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1BBE91F4" w:rsidR="00DB52AF" w:rsidRPr="006B3AD3"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6B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722D" w:rsidRPr="006B3AD3">
        <w:rPr>
          <w:rFonts w:ascii="Palatino Linotype" w:eastAsia="Times New Roman" w:hAnsi="Palatino Linotype" w:cs="Arial"/>
          <w:color w:val="000000"/>
          <w:sz w:val="24"/>
          <w:szCs w:val="24"/>
          <w:lang w:eastAsia="es-MX"/>
        </w:rPr>
        <w:t>cinco de octubre de</w:t>
      </w:r>
      <w:r w:rsidRPr="006B3AD3">
        <w:rPr>
          <w:rFonts w:ascii="Palatino Linotype" w:eastAsia="Times New Roman" w:hAnsi="Palatino Linotype" w:cs="Arial"/>
          <w:color w:val="000000"/>
          <w:sz w:val="24"/>
          <w:szCs w:val="24"/>
          <w:lang w:eastAsia="es-MX"/>
        </w:rPr>
        <w:t xml:space="preserve"> dos mil veintidós.</w:t>
      </w:r>
    </w:p>
    <w:p w14:paraId="42FB219E" w14:textId="77777777" w:rsidR="00DB52AF" w:rsidRPr="006B3AD3"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303537DB" w:rsidR="00DB52AF" w:rsidRPr="006B3AD3" w:rsidRDefault="00DB52AF" w:rsidP="00DB52AF">
      <w:pPr>
        <w:tabs>
          <w:tab w:val="left" w:pos="1701"/>
        </w:tabs>
        <w:spacing w:after="0" w:line="360" w:lineRule="auto"/>
        <w:jc w:val="both"/>
        <w:rPr>
          <w:rFonts w:ascii="Palatino Linotype" w:hAnsi="Palatino Linotype" w:cs="Arial"/>
          <w:b/>
          <w:sz w:val="24"/>
          <w:szCs w:val="24"/>
        </w:rPr>
      </w:pPr>
      <w:r w:rsidRPr="006B3AD3">
        <w:rPr>
          <w:rFonts w:ascii="Palatino Linotype" w:hAnsi="Palatino Linotype" w:cs="Arial"/>
          <w:b/>
          <w:sz w:val="24"/>
          <w:szCs w:val="24"/>
        </w:rPr>
        <w:t>VISTO</w:t>
      </w:r>
      <w:r w:rsidR="00672B13" w:rsidRPr="006B3AD3">
        <w:rPr>
          <w:rFonts w:ascii="Palatino Linotype" w:hAnsi="Palatino Linotype" w:cs="Arial"/>
          <w:sz w:val="24"/>
          <w:szCs w:val="24"/>
        </w:rPr>
        <w:t xml:space="preserve"> el</w:t>
      </w:r>
      <w:r w:rsidRPr="006B3AD3">
        <w:rPr>
          <w:rFonts w:ascii="Palatino Linotype" w:hAnsi="Palatino Linotype" w:cs="Arial"/>
          <w:sz w:val="24"/>
          <w:szCs w:val="24"/>
        </w:rPr>
        <w:t xml:space="preserve"> expediente electrónico formado</w:t>
      </w:r>
      <w:r w:rsidR="00B1695A" w:rsidRPr="006B3AD3">
        <w:rPr>
          <w:rFonts w:ascii="Palatino Linotype" w:hAnsi="Palatino Linotype" w:cs="Arial"/>
          <w:sz w:val="24"/>
          <w:szCs w:val="24"/>
        </w:rPr>
        <w:t xml:space="preserve"> </w:t>
      </w:r>
      <w:r w:rsidRPr="006B3AD3">
        <w:rPr>
          <w:rFonts w:ascii="Palatino Linotype" w:hAnsi="Palatino Linotype" w:cs="Arial"/>
          <w:sz w:val="24"/>
          <w:szCs w:val="24"/>
        </w:rPr>
        <w:t>con motivo de</w:t>
      </w:r>
      <w:r w:rsidR="00672B13" w:rsidRPr="006B3AD3">
        <w:rPr>
          <w:rFonts w:ascii="Palatino Linotype" w:hAnsi="Palatino Linotype" w:cs="Arial"/>
          <w:sz w:val="24"/>
          <w:szCs w:val="24"/>
        </w:rPr>
        <w:t>l</w:t>
      </w:r>
      <w:r w:rsidR="007342D6" w:rsidRPr="006B3AD3">
        <w:rPr>
          <w:rFonts w:ascii="Palatino Linotype" w:hAnsi="Palatino Linotype" w:cs="Arial"/>
          <w:sz w:val="24"/>
          <w:szCs w:val="24"/>
        </w:rPr>
        <w:t xml:space="preserve"> </w:t>
      </w:r>
      <w:r w:rsidRPr="006B3AD3">
        <w:rPr>
          <w:rFonts w:ascii="Palatino Linotype" w:hAnsi="Palatino Linotype" w:cs="Arial"/>
          <w:sz w:val="24"/>
          <w:szCs w:val="24"/>
        </w:rPr>
        <w:t xml:space="preserve">recurso de revisión con número </w:t>
      </w:r>
      <w:bookmarkStart w:id="0" w:name="_Hlk107776858"/>
      <w:r w:rsidR="00B1695A" w:rsidRPr="006B3AD3">
        <w:rPr>
          <w:rFonts w:ascii="Palatino Linotype" w:hAnsi="Palatino Linotype" w:cs="Arial"/>
          <w:b/>
          <w:bCs/>
          <w:sz w:val="24"/>
          <w:szCs w:val="24"/>
          <w:lang w:eastAsia="es-MX"/>
        </w:rPr>
        <w:t>11035</w:t>
      </w:r>
      <w:r w:rsidRPr="006B3AD3">
        <w:rPr>
          <w:rFonts w:ascii="Palatino Linotype" w:hAnsi="Palatino Linotype" w:cs="Arial"/>
          <w:b/>
          <w:bCs/>
          <w:sz w:val="24"/>
          <w:szCs w:val="24"/>
          <w:lang w:eastAsia="es-MX"/>
        </w:rPr>
        <w:t>/INFOEM/IP/RR/2022</w:t>
      </w:r>
      <w:bookmarkEnd w:id="0"/>
      <w:r w:rsidR="00672B13" w:rsidRPr="006B3AD3">
        <w:rPr>
          <w:rFonts w:ascii="Palatino Linotype" w:hAnsi="Palatino Linotype" w:cs="Arial"/>
          <w:sz w:val="24"/>
          <w:szCs w:val="24"/>
        </w:rPr>
        <w:t>, interpuesto por</w:t>
      </w:r>
      <w:r w:rsidR="00B1695A" w:rsidRPr="006B3AD3">
        <w:rPr>
          <w:rFonts w:ascii="Palatino Linotype" w:hAnsi="Palatino Linotype" w:cs="Arial"/>
          <w:sz w:val="24"/>
          <w:szCs w:val="24"/>
        </w:rPr>
        <w:t xml:space="preserve"> </w:t>
      </w:r>
      <w:r w:rsidR="006731B2" w:rsidRPr="006B3AD3">
        <w:rPr>
          <w:rFonts w:ascii="Palatino Linotype" w:hAnsi="Palatino Linotype" w:cs="Arial"/>
          <w:sz w:val="24"/>
          <w:szCs w:val="24"/>
        </w:rPr>
        <w:t>l</w:t>
      </w:r>
      <w:r w:rsidR="00B1695A" w:rsidRPr="006B3AD3">
        <w:rPr>
          <w:rFonts w:ascii="Palatino Linotype" w:hAnsi="Palatino Linotype" w:cs="Arial"/>
          <w:sz w:val="24"/>
          <w:szCs w:val="24"/>
        </w:rPr>
        <w:t xml:space="preserve">a </w:t>
      </w:r>
      <w:r w:rsidR="00A87EF0">
        <w:rPr>
          <w:rFonts w:ascii="Palatino Linotype" w:hAnsi="Palatino Linotype" w:cs="Arial"/>
          <w:b/>
          <w:sz w:val="24"/>
          <w:szCs w:val="24"/>
        </w:rPr>
        <w:t>XXXXXXXXXXXXXX</w:t>
      </w:r>
      <w:r w:rsidR="00672B13" w:rsidRPr="006B3AD3">
        <w:rPr>
          <w:rFonts w:ascii="Palatino Linotype" w:hAnsi="Palatino Linotype" w:cs="Arial"/>
          <w:sz w:val="24"/>
          <w:szCs w:val="24"/>
        </w:rPr>
        <w:t>,</w:t>
      </w:r>
      <w:r w:rsidR="00672B13" w:rsidRPr="006B3AD3">
        <w:rPr>
          <w:rFonts w:ascii="Palatino Linotype" w:hAnsi="Palatino Linotype" w:cs="Arial"/>
          <w:b/>
          <w:sz w:val="24"/>
          <w:szCs w:val="24"/>
        </w:rPr>
        <w:t xml:space="preserve"> </w:t>
      </w:r>
      <w:r w:rsidR="00672B13" w:rsidRPr="006B3AD3">
        <w:rPr>
          <w:rFonts w:ascii="Palatino Linotype" w:hAnsi="Palatino Linotype" w:cs="Arial"/>
          <w:sz w:val="24"/>
          <w:szCs w:val="24"/>
        </w:rPr>
        <w:t xml:space="preserve">en lo sucesivo </w:t>
      </w:r>
      <w:r w:rsidR="00B1695A" w:rsidRPr="006B3AD3">
        <w:rPr>
          <w:rFonts w:ascii="Palatino Linotype" w:hAnsi="Palatino Linotype" w:cs="Arial"/>
          <w:b/>
          <w:bCs/>
          <w:sz w:val="24"/>
          <w:szCs w:val="24"/>
        </w:rPr>
        <w:t xml:space="preserve">La </w:t>
      </w:r>
      <w:r w:rsidR="00672B13" w:rsidRPr="006B3AD3">
        <w:rPr>
          <w:rFonts w:ascii="Palatino Linotype" w:hAnsi="Palatino Linotype" w:cs="Arial"/>
          <w:b/>
          <w:sz w:val="24"/>
          <w:szCs w:val="24"/>
        </w:rPr>
        <w:t>Recurrente</w:t>
      </w:r>
      <w:r w:rsidRPr="006B3AD3">
        <w:rPr>
          <w:rFonts w:ascii="Palatino Linotype" w:hAnsi="Palatino Linotype" w:cs="Arial"/>
          <w:sz w:val="24"/>
          <w:szCs w:val="24"/>
        </w:rPr>
        <w:t xml:space="preserve">, en contra de la respuesta del </w:t>
      </w:r>
      <w:r w:rsidR="00B1695A" w:rsidRPr="006B3AD3">
        <w:rPr>
          <w:rFonts w:ascii="Palatino Linotype" w:hAnsi="Palatino Linotype" w:cs="Arial"/>
          <w:b/>
          <w:sz w:val="24"/>
          <w:szCs w:val="24"/>
        </w:rPr>
        <w:t>Ayuntamiento de Chimalhuacán</w:t>
      </w:r>
      <w:r w:rsidRPr="006B3AD3">
        <w:rPr>
          <w:rFonts w:ascii="Palatino Linotype" w:hAnsi="Palatino Linotype" w:cs="Arial"/>
          <w:b/>
          <w:sz w:val="24"/>
          <w:szCs w:val="24"/>
        </w:rPr>
        <w:t xml:space="preserve">, </w:t>
      </w:r>
      <w:r w:rsidRPr="006B3AD3">
        <w:rPr>
          <w:rFonts w:ascii="Palatino Linotype" w:hAnsi="Palatino Linotype" w:cs="Arial"/>
          <w:sz w:val="24"/>
          <w:szCs w:val="24"/>
        </w:rPr>
        <w:t>en lo subsecuente</w:t>
      </w:r>
      <w:r w:rsidRPr="006B3AD3">
        <w:rPr>
          <w:rFonts w:ascii="Palatino Linotype" w:hAnsi="Palatino Linotype" w:cs="Arial"/>
          <w:b/>
          <w:sz w:val="24"/>
          <w:szCs w:val="24"/>
        </w:rPr>
        <w:t xml:space="preserve"> el Sujeto Obligado, </w:t>
      </w:r>
      <w:r w:rsidRPr="006B3AD3">
        <w:rPr>
          <w:rFonts w:ascii="Palatino Linotype" w:hAnsi="Palatino Linotype" w:cs="Arial"/>
          <w:sz w:val="24"/>
          <w:szCs w:val="24"/>
        </w:rPr>
        <w:t>se procede a dictar la presente resolución.</w:t>
      </w:r>
    </w:p>
    <w:p w14:paraId="6A36139E" w14:textId="77777777" w:rsidR="00DB52AF" w:rsidRPr="006B3AD3" w:rsidRDefault="00DB52AF" w:rsidP="00DB52AF">
      <w:pPr>
        <w:spacing w:after="0" w:line="360" w:lineRule="auto"/>
        <w:jc w:val="center"/>
        <w:rPr>
          <w:rFonts w:ascii="Palatino Linotype" w:hAnsi="Palatino Linotype" w:cs="Arial"/>
          <w:b/>
          <w:sz w:val="24"/>
          <w:szCs w:val="24"/>
        </w:rPr>
      </w:pPr>
      <w:r w:rsidRPr="006B3AD3">
        <w:rPr>
          <w:rFonts w:ascii="Palatino Linotype" w:hAnsi="Palatino Linotype" w:cs="Arial"/>
          <w:b/>
          <w:sz w:val="24"/>
          <w:szCs w:val="24"/>
        </w:rPr>
        <w:t>A N T E C E D E N T E S</w:t>
      </w:r>
    </w:p>
    <w:p w14:paraId="62B58DC1" w14:textId="16CE66AB" w:rsidR="00DB52AF"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b/>
          <w:sz w:val="24"/>
          <w:szCs w:val="24"/>
        </w:rPr>
        <w:t xml:space="preserve">PRIMERO. </w:t>
      </w:r>
      <w:r w:rsidRPr="006B3AD3">
        <w:rPr>
          <w:rFonts w:ascii="Palatino Linotype" w:hAnsi="Palatino Linotype" w:cs="Arial"/>
          <w:sz w:val="24"/>
          <w:szCs w:val="24"/>
        </w:rPr>
        <w:t xml:space="preserve">Con fecha </w:t>
      </w:r>
      <w:r w:rsidR="00B1695A" w:rsidRPr="006B3AD3">
        <w:rPr>
          <w:rFonts w:ascii="Palatino Linotype" w:hAnsi="Palatino Linotype" w:cs="Arial"/>
          <w:sz w:val="24"/>
          <w:szCs w:val="24"/>
        </w:rPr>
        <w:t xml:space="preserve">diecisiete de mayo </w:t>
      </w:r>
      <w:r w:rsidRPr="006B3AD3">
        <w:rPr>
          <w:rFonts w:ascii="Palatino Linotype" w:hAnsi="Palatino Linotype" w:cs="Arial"/>
          <w:sz w:val="24"/>
          <w:szCs w:val="24"/>
        </w:rPr>
        <w:t xml:space="preserve">de dos mil veintidós, </w:t>
      </w:r>
      <w:r w:rsidR="006731B2" w:rsidRPr="006B3AD3">
        <w:rPr>
          <w:rFonts w:ascii="Palatino Linotype" w:hAnsi="Palatino Linotype" w:cs="Arial"/>
          <w:sz w:val="24"/>
          <w:szCs w:val="24"/>
        </w:rPr>
        <w:t>l</w:t>
      </w:r>
      <w:r w:rsidR="00B1695A" w:rsidRPr="006B3AD3">
        <w:rPr>
          <w:rFonts w:ascii="Palatino Linotype" w:hAnsi="Palatino Linotype" w:cs="Arial"/>
          <w:sz w:val="24"/>
          <w:szCs w:val="24"/>
        </w:rPr>
        <w:t xml:space="preserve">a </w:t>
      </w:r>
      <w:r w:rsidRPr="006B3AD3">
        <w:rPr>
          <w:rFonts w:ascii="Palatino Linotype" w:hAnsi="Palatino Linotype" w:cs="Arial"/>
          <w:b/>
          <w:sz w:val="24"/>
          <w:szCs w:val="24"/>
        </w:rPr>
        <w:t>Recurrente</w:t>
      </w:r>
      <w:r w:rsidRPr="006B3AD3">
        <w:rPr>
          <w:rFonts w:ascii="Palatino Linotype" w:hAnsi="Palatino Linotype" w:cs="Arial"/>
          <w:sz w:val="24"/>
          <w:szCs w:val="24"/>
        </w:rPr>
        <w:t xml:space="preserve"> presentó a través del Sistema de Acceso a la Información Mexiquense, en lo posterior el </w:t>
      </w:r>
      <w:r w:rsidRPr="006B3AD3">
        <w:rPr>
          <w:rFonts w:ascii="Palatino Linotype" w:hAnsi="Palatino Linotype" w:cs="Arial"/>
          <w:b/>
          <w:sz w:val="24"/>
          <w:szCs w:val="24"/>
        </w:rPr>
        <w:t>SAIMEX</w:t>
      </w:r>
      <w:r w:rsidRPr="006B3AD3">
        <w:rPr>
          <w:rFonts w:ascii="Palatino Linotype" w:hAnsi="Palatino Linotype" w:cs="Arial"/>
          <w:sz w:val="24"/>
          <w:szCs w:val="24"/>
        </w:rPr>
        <w:t xml:space="preserve">, ante </w:t>
      </w:r>
      <w:r w:rsidRPr="006B3AD3">
        <w:rPr>
          <w:rFonts w:ascii="Palatino Linotype" w:hAnsi="Palatino Linotype" w:cs="Arial"/>
          <w:b/>
          <w:sz w:val="24"/>
          <w:szCs w:val="24"/>
        </w:rPr>
        <w:t>el Sujeto Obligado</w:t>
      </w:r>
      <w:r w:rsidRPr="006B3AD3">
        <w:rPr>
          <w:rFonts w:ascii="Palatino Linotype" w:hAnsi="Palatino Linotype" w:cs="Arial"/>
          <w:sz w:val="24"/>
          <w:szCs w:val="24"/>
        </w:rPr>
        <w:t>, solicitu</w:t>
      </w:r>
      <w:r w:rsidR="00672B13" w:rsidRPr="006B3AD3">
        <w:rPr>
          <w:rFonts w:ascii="Palatino Linotype" w:hAnsi="Palatino Linotype" w:cs="Arial"/>
          <w:sz w:val="24"/>
          <w:szCs w:val="24"/>
        </w:rPr>
        <w:t>d</w:t>
      </w:r>
      <w:r w:rsidRPr="006B3AD3">
        <w:rPr>
          <w:rFonts w:ascii="Palatino Linotype" w:hAnsi="Palatino Linotype" w:cs="Arial"/>
          <w:sz w:val="24"/>
          <w:szCs w:val="24"/>
        </w:rPr>
        <w:t xml:space="preserve"> de acceso a </w:t>
      </w:r>
      <w:r w:rsidR="003D29DA" w:rsidRPr="006B3AD3">
        <w:rPr>
          <w:rFonts w:ascii="Palatino Linotype" w:hAnsi="Palatino Linotype" w:cs="Arial"/>
          <w:sz w:val="24"/>
          <w:szCs w:val="24"/>
        </w:rPr>
        <w:t>la información pública registrada</w:t>
      </w:r>
      <w:r w:rsidRPr="006B3AD3">
        <w:rPr>
          <w:rFonts w:ascii="Palatino Linotype" w:hAnsi="Palatino Linotype" w:cs="Arial"/>
          <w:sz w:val="24"/>
          <w:szCs w:val="24"/>
        </w:rPr>
        <w:t xml:space="preserve"> bajo </w:t>
      </w:r>
      <w:r w:rsidR="00672B13" w:rsidRPr="006B3AD3">
        <w:rPr>
          <w:rFonts w:ascii="Palatino Linotype" w:hAnsi="Palatino Linotype" w:cs="Arial"/>
          <w:sz w:val="24"/>
          <w:szCs w:val="24"/>
        </w:rPr>
        <w:t>el</w:t>
      </w:r>
      <w:r w:rsidRPr="006B3AD3">
        <w:rPr>
          <w:rFonts w:ascii="Palatino Linotype" w:hAnsi="Palatino Linotype" w:cs="Arial"/>
          <w:sz w:val="24"/>
          <w:szCs w:val="24"/>
        </w:rPr>
        <w:t xml:space="preserve"> número </w:t>
      </w:r>
      <w:r w:rsidR="00B1695A" w:rsidRPr="006B3AD3">
        <w:rPr>
          <w:rFonts w:ascii="Palatino Linotype" w:hAnsi="Palatino Linotype"/>
          <w:b/>
          <w:bCs/>
          <w:sz w:val="24"/>
          <w:szCs w:val="24"/>
        </w:rPr>
        <w:t>00377/CHIMALHU/IP/2022</w:t>
      </w:r>
      <w:r w:rsidR="003D29DA" w:rsidRPr="006B3AD3">
        <w:rPr>
          <w:rFonts w:ascii="Palatino Linotype" w:hAnsi="Palatino Linotype" w:cs="Arial"/>
          <w:sz w:val="24"/>
          <w:szCs w:val="24"/>
        </w:rPr>
        <w:t xml:space="preserve"> </w:t>
      </w:r>
      <w:r w:rsidRPr="006B3AD3">
        <w:rPr>
          <w:rFonts w:ascii="Palatino Linotype" w:hAnsi="Palatino Linotype" w:cs="Arial"/>
          <w:sz w:val="24"/>
          <w:szCs w:val="24"/>
        </w:rPr>
        <w:t>mediante la cual solicitó información en el tenor siguiente:</w:t>
      </w:r>
    </w:p>
    <w:p w14:paraId="09566B55" w14:textId="77777777" w:rsidR="007A3E3A" w:rsidRPr="006B3AD3" w:rsidRDefault="007A3E3A" w:rsidP="00DB52AF">
      <w:pPr>
        <w:spacing w:after="0" w:line="360" w:lineRule="auto"/>
        <w:jc w:val="both"/>
        <w:rPr>
          <w:rFonts w:ascii="Palatino Linotype" w:hAnsi="Palatino Linotype" w:cs="Arial"/>
          <w:i/>
          <w:sz w:val="24"/>
          <w:szCs w:val="24"/>
        </w:rPr>
      </w:pPr>
    </w:p>
    <w:p w14:paraId="6A0C083E" w14:textId="0BDD131E" w:rsidR="00DB52AF" w:rsidRPr="006B3AD3" w:rsidRDefault="00B1695A" w:rsidP="007C4FA5">
      <w:pPr>
        <w:tabs>
          <w:tab w:val="left" w:pos="5647"/>
        </w:tabs>
        <w:spacing w:after="0" w:line="360" w:lineRule="auto"/>
        <w:ind w:left="567" w:right="851"/>
        <w:jc w:val="both"/>
        <w:rPr>
          <w:rFonts w:ascii="Palatino Linotype" w:eastAsia="Times New Roman" w:hAnsi="Palatino Linotype" w:cs="Times New Roman"/>
          <w:i/>
          <w:sz w:val="24"/>
          <w:szCs w:val="24"/>
          <w:lang w:eastAsia="es-ES"/>
        </w:rPr>
      </w:pPr>
      <w:r w:rsidRPr="006B3AD3">
        <w:rPr>
          <w:rFonts w:ascii="Palatino Linotype" w:hAnsi="Palatino Linotype"/>
          <w:i/>
          <w:sz w:val="24"/>
          <w:szCs w:val="24"/>
        </w:rPr>
        <w:t xml:space="preserve">“Solicito la respuesta al escrito que dirigí a la Presidenta Municipal, en marzo 2022, solicitando la pavimentación de la calle </w:t>
      </w:r>
      <w:proofErr w:type="spellStart"/>
      <w:r w:rsidRPr="006B3AD3">
        <w:rPr>
          <w:rFonts w:ascii="Palatino Linotype" w:hAnsi="Palatino Linotype"/>
          <w:i/>
          <w:sz w:val="24"/>
          <w:szCs w:val="24"/>
        </w:rPr>
        <w:t>Apapasco</w:t>
      </w:r>
      <w:proofErr w:type="spellEnd"/>
      <w:r w:rsidRPr="006B3AD3">
        <w:rPr>
          <w:rFonts w:ascii="Palatino Linotype" w:hAnsi="Palatino Linotype"/>
          <w:i/>
          <w:sz w:val="24"/>
          <w:szCs w:val="24"/>
        </w:rPr>
        <w:t xml:space="preserve">, entre Juan de la Barrera y Margaritas, colonia Acuitlapilco, han pasado ya casi dos meses y no he obtenido respuesta alguna. Atentamente: </w:t>
      </w:r>
      <w:r w:rsidR="00A87EF0">
        <w:rPr>
          <w:rFonts w:ascii="Palatino Linotype" w:hAnsi="Palatino Linotype"/>
          <w:i/>
          <w:sz w:val="24"/>
          <w:szCs w:val="24"/>
        </w:rPr>
        <w:t>XXXXXXXXXXXXXXXX</w:t>
      </w:r>
      <w:r w:rsidRPr="006B3AD3">
        <w:rPr>
          <w:rFonts w:ascii="Palatino Linotype" w:hAnsi="Palatino Linotype"/>
          <w:i/>
          <w:sz w:val="24"/>
          <w:szCs w:val="24"/>
        </w:rPr>
        <w:t>.</w:t>
      </w:r>
      <w:r w:rsidR="003D29DA" w:rsidRPr="006B3AD3">
        <w:rPr>
          <w:rFonts w:ascii="Palatino Linotype" w:hAnsi="Palatino Linotype"/>
          <w:i/>
          <w:sz w:val="24"/>
          <w:szCs w:val="24"/>
        </w:rPr>
        <w:t xml:space="preserve">” </w:t>
      </w:r>
      <w:r w:rsidR="003D29DA" w:rsidRPr="00F95FB0">
        <w:rPr>
          <w:rFonts w:ascii="Palatino Linotype" w:hAnsi="Palatino Linotype"/>
          <w:b/>
          <w:bCs/>
          <w:i/>
          <w:color w:val="000000"/>
          <w:sz w:val="24"/>
          <w:szCs w:val="24"/>
        </w:rPr>
        <w:t>(</w:t>
      </w:r>
      <w:r w:rsidR="00F95FB0">
        <w:rPr>
          <w:rFonts w:ascii="Palatino Linotype" w:hAnsi="Palatino Linotype"/>
          <w:b/>
          <w:bCs/>
          <w:i/>
          <w:color w:val="000000"/>
          <w:sz w:val="24"/>
          <w:szCs w:val="24"/>
        </w:rPr>
        <w:t>S</w:t>
      </w:r>
      <w:r w:rsidR="003D29DA" w:rsidRPr="00F95FB0">
        <w:rPr>
          <w:rFonts w:ascii="Palatino Linotype" w:hAnsi="Palatino Linotype"/>
          <w:b/>
          <w:bCs/>
          <w:i/>
          <w:color w:val="000000"/>
          <w:sz w:val="24"/>
          <w:szCs w:val="24"/>
        </w:rPr>
        <w:t>ic)</w:t>
      </w:r>
    </w:p>
    <w:p w14:paraId="7DCCFAED" w14:textId="3BC3539A" w:rsidR="007A3E3A" w:rsidRPr="006B3AD3"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Pr="006B3AD3"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6B3AD3">
        <w:rPr>
          <w:rFonts w:ascii="Palatino Linotype" w:eastAsia="Times New Roman" w:hAnsi="Palatino Linotype" w:cs="Times New Roman"/>
          <w:b/>
          <w:sz w:val="24"/>
          <w:szCs w:val="24"/>
          <w:lang w:val="es-ES_tradnl" w:eastAsia="es-ES"/>
        </w:rPr>
        <w:t>Modalidad de entrega:</w:t>
      </w:r>
      <w:r w:rsidRPr="006B3AD3">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6B3AD3"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69DD8C6E" w14:textId="77777777" w:rsidR="00DB5043" w:rsidRPr="006B3AD3" w:rsidRDefault="00DB5043" w:rsidP="00DB5043">
      <w:pPr>
        <w:spacing w:line="360" w:lineRule="auto"/>
        <w:jc w:val="both"/>
        <w:rPr>
          <w:rFonts w:ascii="Palatino Linotype" w:hAnsi="Palatino Linotype" w:cs="Arial"/>
          <w:b/>
          <w:sz w:val="24"/>
          <w:szCs w:val="24"/>
        </w:rPr>
      </w:pPr>
      <w:r w:rsidRPr="006B3AD3">
        <w:rPr>
          <w:rFonts w:ascii="Palatino Linotype" w:hAnsi="Palatino Linotype" w:cs="Arial"/>
          <w:b/>
          <w:sz w:val="24"/>
          <w:szCs w:val="24"/>
        </w:rPr>
        <w:t xml:space="preserve">SEGUNDO. De la respuesta del Sujeto Obligado. </w:t>
      </w:r>
    </w:p>
    <w:p w14:paraId="48A039E2" w14:textId="3815FFA2" w:rsidR="00CA083D" w:rsidRPr="006B3AD3" w:rsidRDefault="00DB5043" w:rsidP="00343AB0">
      <w:pPr>
        <w:spacing w:line="360" w:lineRule="auto"/>
        <w:jc w:val="both"/>
        <w:rPr>
          <w:rFonts w:ascii="Palatino Linotype" w:eastAsia="Times New Roman" w:hAnsi="Palatino Linotype" w:cs="Times New Roman"/>
          <w:sz w:val="24"/>
          <w:szCs w:val="24"/>
          <w:lang w:eastAsia="es-MX"/>
        </w:rPr>
      </w:pPr>
      <w:r w:rsidRPr="006B3AD3">
        <w:rPr>
          <w:rFonts w:ascii="Palatino Linotype" w:hAnsi="Palatino Linotype" w:cs="Arial"/>
          <w:sz w:val="24"/>
          <w:szCs w:val="24"/>
        </w:rPr>
        <w:lastRenderedPageBreak/>
        <w:t>De las constancias que obran en el sistema S</w:t>
      </w:r>
      <w:r w:rsidR="00CA083D" w:rsidRPr="006B3AD3">
        <w:rPr>
          <w:rFonts w:ascii="Palatino Linotype" w:hAnsi="Palatino Linotype" w:cs="Arial"/>
          <w:sz w:val="24"/>
          <w:szCs w:val="24"/>
        </w:rPr>
        <w:t xml:space="preserve">AIMEX, se advierte que en treinta y uno </w:t>
      </w:r>
      <w:r w:rsidRPr="006B3AD3">
        <w:rPr>
          <w:rFonts w:ascii="Palatino Linotype" w:hAnsi="Palatino Linotype" w:cs="Arial"/>
          <w:sz w:val="24"/>
          <w:szCs w:val="24"/>
        </w:rPr>
        <w:t xml:space="preserve">de mayo de dos mil veintidós, </w:t>
      </w:r>
      <w:r w:rsidRPr="006B3AD3">
        <w:rPr>
          <w:rFonts w:ascii="Palatino Linotype" w:hAnsi="Palatino Linotype" w:cs="Arial"/>
          <w:b/>
          <w:sz w:val="24"/>
          <w:szCs w:val="24"/>
        </w:rPr>
        <w:t>El Sujeto Obligado</w:t>
      </w:r>
      <w:r w:rsidRPr="006B3AD3">
        <w:rPr>
          <w:rFonts w:ascii="Palatino Linotype" w:hAnsi="Palatino Linotype" w:cs="Arial"/>
          <w:sz w:val="24"/>
          <w:szCs w:val="24"/>
        </w:rPr>
        <w:t xml:space="preserve"> emitió la respuesta en los siguientes términos:</w:t>
      </w:r>
    </w:p>
    <w:p w14:paraId="45D96AEB" w14:textId="52E0461E" w:rsidR="00CA083D" w:rsidRPr="006B3AD3" w:rsidRDefault="00CA083D" w:rsidP="00CA083D">
      <w:pPr>
        <w:jc w:val="right"/>
        <w:rPr>
          <w:rFonts w:ascii="Palatino Linotype" w:eastAsia="Times New Roman" w:hAnsi="Palatino Linotype" w:cs="Times New Roman"/>
          <w:b/>
          <w:i/>
          <w:sz w:val="24"/>
          <w:szCs w:val="24"/>
          <w:lang w:eastAsia="es-MX"/>
        </w:rPr>
      </w:pPr>
      <w:r w:rsidRPr="006B3AD3">
        <w:rPr>
          <w:rFonts w:ascii="Palatino Linotype" w:eastAsia="Times New Roman" w:hAnsi="Palatino Linotype" w:cs="Times New Roman"/>
          <w:b/>
          <w:i/>
          <w:sz w:val="24"/>
          <w:szCs w:val="24"/>
          <w:lang w:eastAsia="es-MX"/>
        </w:rPr>
        <w:t>Chimalhuacán, México a 31 de Mayo de 2022</w:t>
      </w:r>
    </w:p>
    <w:p w14:paraId="40E78EB7" w14:textId="75BCD2F4" w:rsidR="00CA083D" w:rsidRPr="006B3AD3" w:rsidRDefault="00CA083D" w:rsidP="00CA083D">
      <w:pPr>
        <w:jc w:val="right"/>
        <w:rPr>
          <w:rFonts w:ascii="Palatino Linotype" w:eastAsia="Times New Roman" w:hAnsi="Palatino Linotype" w:cs="Times New Roman"/>
          <w:b/>
          <w:i/>
          <w:sz w:val="24"/>
          <w:szCs w:val="24"/>
          <w:lang w:eastAsia="es-MX"/>
        </w:rPr>
      </w:pPr>
      <w:r w:rsidRPr="006B3AD3">
        <w:rPr>
          <w:rFonts w:ascii="Palatino Linotype" w:eastAsia="Times New Roman" w:hAnsi="Palatino Linotype" w:cs="Times New Roman"/>
          <w:b/>
          <w:i/>
          <w:sz w:val="24"/>
          <w:szCs w:val="24"/>
          <w:lang w:eastAsia="es-MX"/>
        </w:rPr>
        <w:t>Folio de la solicitud: 00377/CHIMALHU/IP/2022</w:t>
      </w:r>
    </w:p>
    <w:p w14:paraId="7743E327" w14:textId="160E9614" w:rsidR="00DB5043" w:rsidRPr="006B3AD3" w:rsidRDefault="00CA083D" w:rsidP="00CA083D">
      <w:pPr>
        <w:jc w:val="both"/>
        <w:rPr>
          <w:rFonts w:ascii="Palatino Linotype" w:hAnsi="Palatino Linotype"/>
          <w:i/>
          <w:sz w:val="24"/>
          <w:szCs w:val="24"/>
        </w:rPr>
      </w:pPr>
      <w:r w:rsidRPr="006B3AD3">
        <w:rPr>
          <w:rFonts w:ascii="Palatino Linotype" w:eastAsia="Times New Roman" w:hAnsi="Palatino Linotype" w:cs="Times New Roman"/>
          <w:i/>
          <w:sz w:val="24"/>
          <w:szCs w:val="24"/>
          <w:lang w:eastAsia="es-MX"/>
        </w:rPr>
        <w:t xml:space="preserve">Teniendo a bien responder a su solicitud de acuerdo al Título Séptimo Acceso a la Información Pública, </w:t>
      </w:r>
      <w:proofErr w:type="spellStart"/>
      <w:r w:rsidRPr="006B3AD3">
        <w:rPr>
          <w:rFonts w:ascii="Palatino Linotype" w:eastAsia="Times New Roman" w:hAnsi="Palatino Linotype" w:cs="Times New Roman"/>
          <w:i/>
          <w:sz w:val="24"/>
          <w:szCs w:val="24"/>
          <w:lang w:eastAsia="es-MX"/>
        </w:rPr>
        <w:t>Capitulo</w:t>
      </w:r>
      <w:proofErr w:type="spellEnd"/>
      <w:r w:rsidRPr="006B3AD3">
        <w:rPr>
          <w:rFonts w:ascii="Palatino Linotype" w:eastAsia="Times New Roman" w:hAnsi="Palatino Linotype" w:cs="Times New Roman"/>
          <w:i/>
          <w:sz w:val="24"/>
          <w:szCs w:val="24"/>
          <w:lang w:eastAsia="es-MX"/>
        </w:rPr>
        <w:t xml:space="preserve"> I Del Procedimiento de Acceso a la Información Pública y Articulo 172 de la Ley de Transparencia y Acceso a la información </w:t>
      </w:r>
      <w:proofErr w:type="spellStart"/>
      <w:r w:rsidRPr="006B3AD3">
        <w:rPr>
          <w:rFonts w:ascii="Palatino Linotype" w:eastAsia="Times New Roman" w:hAnsi="Palatino Linotype" w:cs="Times New Roman"/>
          <w:i/>
          <w:sz w:val="24"/>
          <w:szCs w:val="24"/>
          <w:lang w:eastAsia="es-MX"/>
        </w:rPr>
        <w:t>Publica</w:t>
      </w:r>
      <w:proofErr w:type="spellEnd"/>
      <w:r w:rsidRPr="006B3AD3">
        <w:rPr>
          <w:rFonts w:ascii="Palatino Linotype" w:eastAsia="Times New Roman" w:hAnsi="Palatino Linotype" w:cs="Times New Roman"/>
          <w:i/>
          <w:sz w:val="24"/>
          <w:szCs w:val="24"/>
          <w:lang w:eastAsia="es-MX"/>
        </w:rPr>
        <w:t xml:space="preserve"> del Estado de México y Municipios,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Los argumentos para justificar cualquier negativa de acceso a la información deben recaer en el sujeto obligado al cual la información fue solicitada…” Tengo a bien e informar que de acuerdo con la normatividad municipal dentro del marco legal que regula al Secretario de Ayuntamiento de acuerdo a lo establecido en los artículos 91 de la Ley Orgánica Municipal del Estado de México, 23 del Reglamento Orgánico de la Administración Pública Municipal de Chimalhuacán, Estado de México y 9 del Reglamento Interior de la Secretaria del Ayuntamiento de Chimalhuacán, Estado de México que a continuación cito: Ley Orgánica Municipal del Estado de México: Articulo 91.- La Secretaria del Ayuntamiento estará a cargo de un Secretario, el que, sin ser miembro del mismo, deberá ser nombrado por el propio Ayuntamiento a propuesta del Presidente Municipal como lo marca el </w:t>
      </w:r>
      <w:proofErr w:type="spellStart"/>
      <w:r w:rsidRPr="006B3AD3">
        <w:rPr>
          <w:rFonts w:ascii="Palatino Linotype" w:eastAsia="Times New Roman" w:hAnsi="Palatino Linotype" w:cs="Times New Roman"/>
          <w:i/>
          <w:sz w:val="24"/>
          <w:szCs w:val="24"/>
          <w:lang w:eastAsia="es-MX"/>
        </w:rPr>
        <w:t>articulo</w:t>
      </w:r>
      <w:proofErr w:type="spellEnd"/>
      <w:r w:rsidRPr="006B3AD3">
        <w:rPr>
          <w:rFonts w:ascii="Palatino Linotype" w:eastAsia="Times New Roman" w:hAnsi="Palatino Linotype" w:cs="Times New Roman"/>
          <w:i/>
          <w:sz w:val="24"/>
          <w:szCs w:val="24"/>
          <w:lang w:eastAsia="es-MX"/>
        </w:rPr>
        <w:t xml:space="preserve"> 31 de las presente ley. Sus Faltas temporales serán cubiertas por quien designe el Ayuntamiento y sus atribuciones son las siguientes: VII. Controlar y distribuir la correspondencia oficial del ayuntamiento, dando cuenta diaria al presidente municipal para acordar su trámite; Reglamento Orgánico de la Administración Pública Municipal de Chimalhuacán, Estado de México: Articulo 23.-La Secretaria del Ayuntamiento, tendrá las siguientes atribuciones: XXV. Por conducto del Departamento del Departamento de Oficialía de Partes, llevar estricto control sobre la recepción y distribución de la correspondencia oficial del Ayuntamiento, dando cuenta diaria al Presidente Municipal para acordar su trámite. XXVI. Por conducto del Departamento de Oficialía de Partes, recibir y despachar la correspondencia dirigida al Presidente Municipal. Reglamento Interior de la Secretaria del </w:t>
      </w:r>
      <w:r w:rsidRPr="006B3AD3">
        <w:rPr>
          <w:rFonts w:ascii="Palatino Linotype" w:eastAsia="Times New Roman" w:hAnsi="Palatino Linotype" w:cs="Times New Roman"/>
          <w:i/>
          <w:sz w:val="24"/>
          <w:szCs w:val="24"/>
          <w:lang w:eastAsia="es-MX"/>
        </w:rPr>
        <w:lastRenderedPageBreak/>
        <w:t xml:space="preserve">Ayuntamiento de Chimalhuacán, Estado de México: Articulo 9.- De conformidad con el artículo 23 del Orgánico de la Administración Pública Municipal de Chimalhuacán, Estado de México, la Secretaria del Ayuntamiento tendrá las siguientes atribuciones: XXV. Por conducto del Departamento del Departamento de Oficialía de Partes, llevar estricto control sobre la recepción y distribución de la correspondencia oficial del Ayuntamiento, dando cuenta diaria al Presidente Municipal para acordar su trámite. XXVI. Por conducto del Departamento de Oficialía de Partes, recibir y despachar la correspondencia dirigida al Presidente Municipal. Una vez citado lo anterior y descrito las actividades, es clave señalar que el Departamento en el que tuvo que haber ingresado su Oficio dirigido a la Presidenta como lo menciona en su solicitud “…Solicito la respuesta al escrito que dirigí a la Presidenta Municipal…”, es en el Departamento de Oficialía de Partes el cual depende de Secretaria del Ayuntamiento, y una vez presentado en este se les asigna un </w:t>
      </w:r>
      <w:proofErr w:type="spellStart"/>
      <w:r w:rsidRPr="006B3AD3">
        <w:rPr>
          <w:rFonts w:ascii="Palatino Linotype" w:eastAsia="Times New Roman" w:hAnsi="Palatino Linotype" w:cs="Times New Roman"/>
          <w:i/>
          <w:sz w:val="24"/>
          <w:szCs w:val="24"/>
          <w:lang w:eastAsia="es-MX"/>
        </w:rPr>
        <w:t>numero</w:t>
      </w:r>
      <w:proofErr w:type="spellEnd"/>
      <w:r w:rsidRPr="006B3AD3">
        <w:rPr>
          <w:rFonts w:ascii="Palatino Linotype" w:eastAsia="Times New Roman" w:hAnsi="Palatino Linotype" w:cs="Times New Roman"/>
          <w:i/>
          <w:sz w:val="24"/>
          <w:szCs w:val="24"/>
          <w:lang w:eastAsia="es-MX"/>
        </w:rPr>
        <w:t xml:space="preserve"> de folio con el cual se le da seguimiento, para respuesta y continuidad puede presentarse de 10 a 15 días hábiles en la Secretaria Particular para poder revisar a que área fue canalizado su oficio y revisar el estatus del mismo, para ello es importante mencionar que deberá traer su acuse, a fin de darle el seguimiento antes citado. Aunado esta Unidad de Transparencia se ve imposibilitada a realizar la búsqueda de este oficio dado que se estaría tratando de un “seguimiento de trámite” para el cual necesitaríamos Datos Personales que es la considerará que una persona es identificable cuando su identidad pueda determinarse directa o indirectamente a través de cualquier documento informativo físico o electrónico de acuerdo a la Ley de Protección de Datos Personales en Posesión de Sujetos Obligados del Estado de México y Municipios. 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esta, ni presentarla conforme al interés del solicitante; no estarán obligados a generarla, resumirla, efectuar cálculos o practicar investigaciones.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w:t>
      </w:r>
    </w:p>
    <w:p w14:paraId="22405A63" w14:textId="77777777" w:rsidR="00DB5043" w:rsidRPr="006B3AD3" w:rsidRDefault="00DB5043" w:rsidP="00DB5043">
      <w:pPr>
        <w:ind w:right="567"/>
        <w:jc w:val="both"/>
        <w:rPr>
          <w:rFonts w:ascii="Palatino Linotype" w:hAnsi="Palatino Linotype"/>
          <w:iCs/>
          <w:sz w:val="24"/>
          <w:szCs w:val="24"/>
          <w:lang w:eastAsia="es-MX"/>
        </w:rPr>
      </w:pPr>
    </w:p>
    <w:p w14:paraId="7D3AE456" w14:textId="4CF8B467" w:rsidR="00DB52AF" w:rsidRPr="006B3AD3" w:rsidRDefault="00DB52AF" w:rsidP="00DB52AF">
      <w:pPr>
        <w:spacing w:after="0" w:line="360" w:lineRule="auto"/>
        <w:jc w:val="both"/>
        <w:rPr>
          <w:rFonts w:ascii="Palatino Linotype" w:hAnsi="Palatino Linotype" w:cs="Arial"/>
          <w:sz w:val="24"/>
          <w:szCs w:val="24"/>
        </w:rPr>
      </w:pPr>
      <w:r w:rsidRPr="006B3AD3">
        <w:rPr>
          <w:rFonts w:ascii="Palatino Linotype" w:eastAsia="Times New Roman" w:hAnsi="Palatino Linotype" w:cs="Arial"/>
          <w:b/>
          <w:sz w:val="24"/>
          <w:szCs w:val="24"/>
          <w:lang w:eastAsia="es-ES"/>
        </w:rPr>
        <w:lastRenderedPageBreak/>
        <w:t>TERCERO</w:t>
      </w:r>
      <w:r w:rsidRPr="006B3AD3">
        <w:rPr>
          <w:rFonts w:ascii="Palatino Linotype" w:hAnsi="Palatino Linotype" w:cs="Arial"/>
          <w:sz w:val="24"/>
          <w:szCs w:val="24"/>
        </w:rPr>
        <w:t xml:space="preserve">. Inconforme ante la respuesta por parte del </w:t>
      </w:r>
      <w:r w:rsidRPr="006B3AD3">
        <w:rPr>
          <w:rFonts w:ascii="Palatino Linotype" w:hAnsi="Palatino Linotype" w:cs="Arial"/>
          <w:b/>
          <w:sz w:val="24"/>
          <w:szCs w:val="24"/>
        </w:rPr>
        <w:t>Sujeto Obligado</w:t>
      </w:r>
      <w:r w:rsidRPr="006B3AD3">
        <w:rPr>
          <w:rFonts w:ascii="Palatino Linotype" w:hAnsi="Palatino Linotype" w:cs="Arial"/>
          <w:sz w:val="24"/>
          <w:szCs w:val="24"/>
        </w:rPr>
        <w:t xml:space="preserve">, </w:t>
      </w:r>
      <w:r w:rsidR="005E4BAD" w:rsidRPr="006B3AD3">
        <w:rPr>
          <w:rFonts w:ascii="Palatino Linotype" w:hAnsi="Palatino Linotype" w:cs="Arial"/>
          <w:sz w:val="24"/>
          <w:szCs w:val="24"/>
        </w:rPr>
        <w:t>la</w:t>
      </w:r>
      <w:r w:rsidR="00260C70" w:rsidRPr="006B3AD3">
        <w:rPr>
          <w:rFonts w:ascii="Palatino Linotype" w:hAnsi="Palatino Linotype" w:cs="Arial"/>
          <w:sz w:val="24"/>
          <w:szCs w:val="24"/>
        </w:rPr>
        <w:t xml:space="preserve"> </w:t>
      </w:r>
      <w:r w:rsidRPr="006B3AD3">
        <w:rPr>
          <w:rFonts w:ascii="Palatino Linotype" w:hAnsi="Palatino Linotype" w:cs="Arial"/>
          <w:sz w:val="24"/>
          <w:szCs w:val="24"/>
        </w:rPr>
        <w:t xml:space="preserve">ahora </w:t>
      </w:r>
      <w:r w:rsidRPr="006B3AD3">
        <w:rPr>
          <w:rFonts w:ascii="Palatino Linotype" w:hAnsi="Palatino Linotype" w:cs="Arial"/>
          <w:b/>
          <w:sz w:val="24"/>
          <w:szCs w:val="24"/>
        </w:rPr>
        <w:t>Recurrente</w:t>
      </w:r>
      <w:r w:rsidRPr="006B3AD3">
        <w:rPr>
          <w:rFonts w:ascii="Palatino Linotype" w:hAnsi="Palatino Linotype" w:cs="Arial"/>
          <w:sz w:val="24"/>
          <w:szCs w:val="24"/>
        </w:rPr>
        <w:t xml:space="preserve"> en fecha </w:t>
      </w:r>
      <w:r w:rsidR="007C4FA5" w:rsidRPr="006B3AD3">
        <w:rPr>
          <w:rFonts w:ascii="Palatino Linotype" w:hAnsi="Palatino Linotype" w:cs="Arial"/>
          <w:sz w:val="24"/>
          <w:szCs w:val="24"/>
        </w:rPr>
        <w:t>seis de junio</w:t>
      </w:r>
      <w:r w:rsidRPr="006B3AD3">
        <w:rPr>
          <w:rFonts w:ascii="Palatino Linotype" w:hAnsi="Palatino Linotype" w:cs="Arial"/>
          <w:sz w:val="24"/>
          <w:szCs w:val="24"/>
        </w:rPr>
        <w:t xml:space="preserve"> de dos mil veintidós, interpuso </w:t>
      </w:r>
      <w:r w:rsidR="003D29DA" w:rsidRPr="006B3AD3">
        <w:rPr>
          <w:rFonts w:ascii="Palatino Linotype" w:hAnsi="Palatino Linotype" w:cs="Arial"/>
          <w:sz w:val="24"/>
          <w:szCs w:val="24"/>
        </w:rPr>
        <w:t xml:space="preserve">el </w:t>
      </w:r>
      <w:r w:rsidRPr="006B3AD3">
        <w:rPr>
          <w:rFonts w:ascii="Palatino Linotype" w:hAnsi="Palatino Linotype" w:cs="Arial"/>
          <w:sz w:val="24"/>
          <w:szCs w:val="24"/>
        </w:rPr>
        <w:t>recurso</w:t>
      </w:r>
      <w:r w:rsidR="003D29DA" w:rsidRPr="006B3AD3">
        <w:rPr>
          <w:rFonts w:ascii="Palatino Linotype" w:hAnsi="Palatino Linotype" w:cs="Arial"/>
          <w:sz w:val="24"/>
          <w:szCs w:val="24"/>
        </w:rPr>
        <w:t xml:space="preserve"> </w:t>
      </w:r>
      <w:r w:rsidRPr="006B3AD3">
        <w:rPr>
          <w:rFonts w:ascii="Palatino Linotype" w:hAnsi="Palatino Linotype" w:cs="Arial"/>
          <w:sz w:val="24"/>
          <w:szCs w:val="24"/>
        </w:rPr>
        <w:t>de revisión, que fu</w:t>
      </w:r>
      <w:r w:rsidR="003D29DA" w:rsidRPr="006B3AD3">
        <w:rPr>
          <w:rFonts w:ascii="Palatino Linotype" w:hAnsi="Palatino Linotype" w:cs="Arial"/>
          <w:sz w:val="24"/>
          <w:szCs w:val="24"/>
        </w:rPr>
        <w:t>e</w:t>
      </w:r>
      <w:r w:rsidRPr="006B3AD3">
        <w:rPr>
          <w:rFonts w:ascii="Palatino Linotype" w:hAnsi="Palatino Linotype" w:cs="Arial"/>
          <w:sz w:val="24"/>
          <w:szCs w:val="24"/>
        </w:rPr>
        <w:t xml:space="preserve"> registrado</w:t>
      </w:r>
      <w:r w:rsidRPr="006B3AD3">
        <w:rPr>
          <w:rFonts w:ascii="Palatino Linotype" w:hAnsi="Palatino Linotype" w:cs="Arial"/>
          <w:b/>
          <w:sz w:val="24"/>
          <w:szCs w:val="24"/>
        </w:rPr>
        <w:t xml:space="preserve"> </w:t>
      </w:r>
      <w:r w:rsidRPr="006B3AD3">
        <w:rPr>
          <w:rFonts w:ascii="Palatino Linotype" w:hAnsi="Palatino Linotype" w:cs="Arial"/>
          <w:sz w:val="24"/>
          <w:szCs w:val="24"/>
        </w:rPr>
        <w:t xml:space="preserve">en el sistema electrónico con número de expediente </w:t>
      </w:r>
      <w:bookmarkStart w:id="1" w:name="_Hlk107778012"/>
      <w:r w:rsidR="007C4FA5" w:rsidRPr="006B3AD3">
        <w:rPr>
          <w:rFonts w:ascii="Palatino Linotype" w:hAnsi="Palatino Linotype" w:cs="Arial"/>
          <w:b/>
          <w:bCs/>
          <w:sz w:val="24"/>
          <w:szCs w:val="24"/>
          <w:lang w:eastAsia="es-MX"/>
        </w:rPr>
        <w:t>11035</w:t>
      </w:r>
      <w:r w:rsidRPr="006B3AD3">
        <w:rPr>
          <w:rFonts w:ascii="Palatino Linotype" w:hAnsi="Palatino Linotype" w:cs="Arial"/>
          <w:b/>
          <w:bCs/>
          <w:sz w:val="24"/>
          <w:szCs w:val="24"/>
          <w:lang w:eastAsia="es-MX"/>
        </w:rPr>
        <w:t>/INFOEM/IP/RR/2022</w:t>
      </w:r>
      <w:bookmarkEnd w:id="1"/>
      <w:r w:rsidR="00824475" w:rsidRPr="006B3AD3">
        <w:rPr>
          <w:rFonts w:ascii="Palatino Linotype" w:hAnsi="Palatino Linotype"/>
          <w:sz w:val="24"/>
          <w:szCs w:val="24"/>
        </w:rPr>
        <w:t>,</w:t>
      </w:r>
      <w:r w:rsidR="00824475" w:rsidRPr="006B3AD3">
        <w:rPr>
          <w:rFonts w:ascii="Palatino Linotype" w:hAnsi="Palatino Linotype"/>
          <w:b/>
          <w:bCs/>
          <w:sz w:val="24"/>
          <w:szCs w:val="24"/>
        </w:rPr>
        <w:t xml:space="preserve"> </w:t>
      </w:r>
      <w:r w:rsidRPr="006B3AD3">
        <w:rPr>
          <w:rFonts w:ascii="Palatino Linotype" w:hAnsi="Palatino Linotype" w:cs="Arial"/>
          <w:sz w:val="24"/>
          <w:szCs w:val="24"/>
        </w:rPr>
        <w:t>aduciendo como acto impugnado y razones o motivos de inconformidad, los siguientes:</w:t>
      </w:r>
    </w:p>
    <w:p w14:paraId="08320834" w14:textId="77777777" w:rsidR="003D29DA" w:rsidRPr="006B3AD3" w:rsidRDefault="003D29DA" w:rsidP="00DB52AF">
      <w:pPr>
        <w:pStyle w:val="Prrafodelista"/>
        <w:spacing w:line="360" w:lineRule="auto"/>
        <w:ind w:left="0"/>
        <w:jc w:val="both"/>
        <w:rPr>
          <w:rFonts w:ascii="Palatino Linotype" w:hAnsi="Palatino Linotype" w:cs="Arial"/>
          <w:b/>
        </w:rPr>
      </w:pPr>
    </w:p>
    <w:p w14:paraId="72E9422F" w14:textId="7C4DA685" w:rsidR="00DB52AF" w:rsidRPr="006B3AD3" w:rsidRDefault="00DB52AF" w:rsidP="00DB52AF">
      <w:pPr>
        <w:pStyle w:val="Prrafodelista"/>
        <w:spacing w:line="360" w:lineRule="auto"/>
        <w:ind w:left="0"/>
        <w:jc w:val="both"/>
        <w:rPr>
          <w:rFonts w:ascii="Palatino Linotype" w:hAnsi="Palatino Linotype" w:cs="Arial"/>
          <w:b/>
        </w:rPr>
      </w:pPr>
      <w:r w:rsidRPr="006B3AD3">
        <w:rPr>
          <w:rFonts w:ascii="Palatino Linotype" w:hAnsi="Palatino Linotype" w:cs="Arial"/>
          <w:b/>
        </w:rPr>
        <w:t>Acto Impugnado:</w:t>
      </w:r>
    </w:p>
    <w:p w14:paraId="799CF670" w14:textId="147899C1" w:rsidR="00DB52AF" w:rsidRPr="006B3AD3" w:rsidRDefault="007C4FA5" w:rsidP="007C4FA5">
      <w:pPr>
        <w:spacing w:after="0" w:line="360" w:lineRule="auto"/>
        <w:ind w:left="567" w:right="567"/>
        <w:jc w:val="both"/>
        <w:rPr>
          <w:rFonts w:ascii="Palatino Linotype" w:hAnsi="Palatino Linotype"/>
          <w:i/>
          <w:color w:val="000000"/>
          <w:sz w:val="24"/>
          <w:szCs w:val="24"/>
        </w:rPr>
      </w:pPr>
      <w:r w:rsidRPr="006B3AD3">
        <w:rPr>
          <w:rFonts w:ascii="Palatino Linotype" w:hAnsi="Palatino Linotype"/>
          <w:i/>
          <w:color w:val="000000"/>
          <w:sz w:val="24"/>
          <w:szCs w:val="24"/>
        </w:rPr>
        <w:t xml:space="preserve">“Se confirma que el Ayuntamiento de Chimalhuacán es competente para atender mi solicitud de pavimentación, ya que no es ajeno a la Presidencia, pues de esta dependen las unidades administrativas, y lo que debió proceder es que la Presidenta y Unidad de Transparencia turnara de inmediato el requerimiento a la unidad administrativa competente, para dar atención y seguimiento. Asimismo, la Presidencia y la Unidad de Transparencia, están obligadas a generar los turnos necesarios para delegar los asuntos a las áreas que correspondan. Primordialmente, no existe documento adjunto que contenga el acta del Comité en la que declaren los motivos y fundamento legal de incompetencia. Código de Procedimientos Administrativos del Estado de México Artículo 121.-Cuando un escrito sea presentado ante una autoridad administrativa incompetente, se remitirá de oficio a la que sea competente en el plazo de tres días, siempre que ambas pertenezcan a la Administración Pública del Estado o a la del mismo municipio; en caso contrario, sólo se declarará la incompetencia. Si la autoridad que se considera competente se niega a conocer del asunto, enviará el expediente al superior jerárquico común, quien decidirá la cuestión. Se tendrá como fecha de presentación la del recibo por la autoridad incompetente. Se notificará al promovente la remisión practicada. LEY GENERAL DE TRANSPARENCIA Y ACCESO A LA INFORMACIÓN </w:t>
      </w:r>
      <w:r w:rsidRPr="006B3AD3">
        <w:rPr>
          <w:rFonts w:ascii="Palatino Linotype" w:hAnsi="Palatino Linotype"/>
          <w:i/>
          <w:color w:val="000000"/>
          <w:sz w:val="24"/>
          <w:szCs w:val="24"/>
        </w:rPr>
        <w:lastRenderedPageBreak/>
        <w:t>PÚBLICA Artículo 44.Cada Comité de Transparencia tendrá las siguientes funciones :</w:t>
      </w:r>
      <w:proofErr w:type="spellStart"/>
      <w:r w:rsidRPr="006B3AD3">
        <w:rPr>
          <w:rFonts w:ascii="Palatino Linotype" w:hAnsi="Palatino Linotype"/>
          <w:i/>
          <w:color w:val="000000"/>
          <w:sz w:val="24"/>
          <w:szCs w:val="24"/>
        </w:rPr>
        <w:t>I.Instituir</w:t>
      </w:r>
      <w:proofErr w:type="spellEnd"/>
      <w:r w:rsidRPr="006B3AD3">
        <w:rPr>
          <w:rFonts w:ascii="Palatino Linotype" w:hAnsi="Palatino Linotype"/>
          <w:i/>
          <w:color w:val="000000"/>
          <w:sz w:val="24"/>
          <w:szCs w:val="24"/>
        </w:rPr>
        <w:t xml:space="preserve">, coordinar y supervisar, en términos de las disposiciones aplicables, las acciones y los procedimientos para asegurar la mayor eficacia en la gestión de las solicitudes en materia de acceso a la información; </w:t>
      </w:r>
      <w:proofErr w:type="spellStart"/>
      <w:r w:rsidRPr="006B3AD3">
        <w:rPr>
          <w:rFonts w:ascii="Palatino Linotype" w:hAnsi="Palatino Linotype"/>
          <w:i/>
          <w:color w:val="000000"/>
          <w:sz w:val="24"/>
          <w:szCs w:val="24"/>
        </w:rPr>
        <w:t>II.Confirmar</w:t>
      </w:r>
      <w:proofErr w:type="spellEnd"/>
      <w:r w:rsidRPr="006B3AD3">
        <w:rPr>
          <w:rFonts w:ascii="Palatino Linotype" w:hAnsi="Palatino Linotype"/>
          <w:i/>
          <w:color w:val="000000"/>
          <w:sz w:val="24"/>
          <w:szCs w:val="24"/>
        </w:rPr>
        <w:t>, modificar o revocar las determinaciones que en materia de ampliación del plazo de respuesta, clasificación de la información y declaración de inexistencia o de incompetencia realicen los titulares de las Áreas de los sujetos obligados;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Artículo 45.Los sujetos obligados designarán al responsable de la Unidad de Transparencia que tendrá las siguientes funciones: ... IV. Realizar los trámites internos necesarios para la atención de las solicitudes de acceso a la información; Artículo 46.Cuando alguna Área de los sujetos obligados se negara a colaborar con la Unidad de Transparencia, ésta dará aviso al superior jerárquico para que le ordene realizar sin demora las acciones conducentes. Cuando persista la negativa de colaboración, la Unidad de Transparencia lo hará del conocimiento de la autoridad competente para que ésta inicie, en su caso, el procedimiento de responsabilidad respectivo.”</w:t>
      </w:r>
      <w:r w:rsidR="00DB52AF" w:rsidRPr="006B3AD3">
        <w:rPr>
          <w:rFonts w:ascii="Palatino Linotype" w:hAnsi="Palatino Linotype"/>
          <w:i/>
          <w:color w:val="000000"/>
          <w:sz w:val="24"/>
          <w:szCs w:val="24"/>
        </w:rPr>
        <w:t xml:space="preserve"> (sic)</w:t>
      </w:r>
    </w:p>
    <w:p w14:paraId="15A72026" w14:textId="77777777" w:rsidR="00DB52AF" w:rsidRPr="006B3AD3" w:rsidRDefault="00DB52AF" w:rsidP="00DB52AF">
      <w:pPr>
        <w:spacing w:after="0" w:line="360" w:lineRule="auto"/>
        <w:jc w:val="both"/>
        <w:rPr>
          <w:rFonts w:ascii="Palatino Linotype" w:hAnsi="Palatino Linotype" w:cs="Arial"/>
          <w:i/>
          <w:sz w:val="24"/>
          <w:szCs w:val="24"/>
        </w:rPr>
      </w:pPr>
    </w:p>
    <w:p w14:paraId="71260F99" w14:textId="49FA2EA8" w:rsidR="00DB52AF"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b/>
          <w:sz w:val="24"/>
          <w:szCs w:val="24"/>
        </w:rPr>
        <w:t>Razones o motivos de inconformidad:</w:t>
      </w:r>
    </w:p>
    <w:p w14:paraId="5C3155B2" w14:textId="56EA1C68" w:rsidR="00DB52AF" w:rsidRPr="006B3AD3" w:rsidRDefault="00864333" w:rsidP="007C4FA5">
      <w:pPr>
        <w:spacing w:after="0" w:line="360" w:lineRule="auto"/>
        <w:ind w:left="567" w:right="567"/>
        <w:jc w:val="both"/>
        <w:rPr>
          <w:rFonts w:ascii="Palatino Linotype" w:hAnsi="Palatino Linotype" w:cs="Arial"/>
          <w:i/>
          <w:sz w:val="24"/>
          <w:szCs w:val="24"/>
        </w:rPr>
      </w:pPr>
      <w:r w:rsidRPr="006B3AD3">
        <w:rPr>
          <w:rFonts w:ascii="Palatino Linotype" w:hAnsi="Palatino Linotype"/>
          <w:i/>
          <w:color w:val="000000"/>
          <w:sz w:val="24"/>
          <w:szCs w:val="24"/>
        </w:rPr>
        <w:t>“</w:t>
      </w:r>
      <w:r w:rsidR="007C4FA5" w:rsidRPr="006B3AD3">
        <w:rPr>
          <w:rFonts w:ascii="Palatino Linotype" w:hAnsi="Palatino Linotype"/>
          <w:i/>
          <w:color w:val="000000"/>
          <w:sz w:val="24"/>
          <w:szCs w:val="24"/>
        </w:rPr>
        <w:t xml:space="preserve">Se confirma que el Ayuntamiento de Chimalhuacán es competente para atender mi solicitud de pavimentación, ya que no es ajeno a la Presidencia, pues de esta dependen las unidades administrativas, y lo que debió proceder es que la Presidenta </w:t>
      </w:r>
      <w:r w:rsidR="007C4FA5" w:rsidRPr="006B3AD3">
        <w:rPr>
          <w:rFonts w:ascii="Palatino Linotype" w:hAnsi="Palatino Linotype"/>
          <w:i/>
          <w:color w:val="000000"/>
          <w:sz w:val="24"/>
          <w:szCs w:val="24"/>
        </w:rPr>
        <w:lastRenderedPageBreak/>
        <w:t>y Unidad de Transparencia turnara de inmediato el requerimiento a la unidad administrativa competente, para dar atención y seguimiento. Asimismo, la Presidencia y la Unidad de Transparencia, están obligadas a generar los turnos necesarios para delegar los asuntos a las áreas que correspondan. Primordialmente, no existe documento adjunto que contenga el acta del Comité en la que declaren los motivos y fundamento legal de incompetencia.</w:t>
      </w:r>
      <w:r w:rsidRPr="006B3AD3">
        <w:rPr>
          <w:rFonts w:ascii="Palatino Linotype" w:hAnsi="Palatino Linotype"/>
          <w:i/>
          <w:color w:val="000000"/>
          <w:sz w:val="24"/>
          <w:szCs w:val="24"/>
        </w:rPr>
        <w:t>”</w:t>
      </w:r>
      <w:r w:rsidRPr="006B3AD3">
        <w:rPr>
          <w:rFonts w:ascii="Palatino Linotype" w:hAnsi="Palatino Linotype" w:cs="Arial"/>
          <w:i/>
          <w:sz w:val="24"/>
          <w:szCs w:val="24"/>
        </w:rPr>
        <w:t xml:space="preserve"> </w:t>
      </w:r>
      <w:r w:rsidR="00CF2D0F" w:rsidRPr="006B3AD3">
        <w:rPr>
          <w:rFonts w:ascii="Palatino Linotype" w:hAnsi="Palatino Linotype" w:cs="Arial"/>
          <w:i/>
          <w:sz w:val="24"/>
          <w:szCs w:val="24"/>
        </w:rPr>
        <w:t>(Sic)</w:t>
      </w:r>
    </w:p>
    <w:p w14:paraId="27A4AF05" w14:textId="77777777" w:rsidR="00E32619" w:rsidRPr="006B3AD3" w:rsidRDefault="00E32619" w:rsidP="00DB52AF">
      <w:pPr>
        <w:pStyle w:val="Citas"/>
        <w:spacing w:before="0" w:after="0"/>
        <w:ind w:left="0" w:right="0"/>
        <w:rPr>
          <w:i w:val="0"/>
          <w:sz w:val="24"/>
          <w:szCs w:val="24"/>
        </w:rPr>
      </w:pPr>
    </w:p>
    <w:p w14:paraId="53D3283C" w14:textId="6F91A472" w:rsidR="00DB52AF" w:rsidRPr="006B3AD3" w:rsidRDefault="00DB52AF" w:rsidP="00DB52AF">
      <w:pPr>
        <w:spacing w:after="0" w:line="360" w:lineRule="auto"/>
        <w:jc w:val="both"/>
        <w:rPr>
          <w:rFonts w:ascii="Palatino Linotype" w:eastAsia="Times New Roman" w:hAnsi="Palatino Linotype" w:cs="Arial"/>
          <w:sz w:val="24"/>
          <w:szCs w:val="24"/>
          <w:lang w:val="es-ES_tradnl" w:eastAsia="es-ES"/>
        </w:rPr>
      </w:pPr>
      <w:r w:rsidRPr="006B3AD3">
        <w:rPr>
          <w:rFonts w:ascii="Palatino Linotype" w:eastAsia="Times New Roman" w:hAnsi="Palatino Linotype" w:cs="Arial"/>
          <w:b/>
          <w:sz w:val="24"/>
          <w:szCs w:val="24"/>
          <w:lang w:eastAsia="es-ES"/>
        </w:rPr>
        <w:t xml:space="preserve">CUARTO. </w:t>
      </w:r>
      <w:r w:rsidRPr="006B3AD3">
        <w:rPr>
          <w:rFonts w:ascii="Palatino Linotype" w:eastAsia="Times New Roman" w:hAnsi="Palatino Linotype" w:cs="Arial"/>
          <w:sz w:val="24"/>
          <w:szCs w:val="24"/>
          <w:lang w:val="es-ES" w:eastAsia="es-ES"/>
        </w:rPr>
        <w:t xml:space="preserve">En fecha </w:t>
      </w:r>
      <w:r w:rsidR="00DF50EF" w:rsidRPr="006B3AD3">
        <w:rPr>
          <w:rFonts w:ascii="Palatino Linotype" w:hAnsi="Palatino Linotype" w:cs="Arial"/>
          <w:sz w:val="24"/>
          <w:szCs w:val="24"/>
        </w:rPr>
        <w:t xml:space="preserve">seis </w:t>
      </w:r>
      <w:r w:rsidR="00160249" w:rsidRPr="006B3AD3">
        <w:rPr>
          <w:rFonts w:ascii="Palatino Linotype" w:hAnsi="Palatino Linotype" w:cs="Arial"/>
          <w:sz w:val="24"/>
          <w:szCs w:val="24"/>
        </w:rPr>
        <w:t>de junio</w:t>
      </w:r>
      <w:r w:rsidRPr="006B3AD3">
        <w:rPr>
          <w:rFonts w:ascii="Palatino Linotype" w:hAnsi="Palatino Linotype" w:cs="Arial"/>
          <w:sz w:val="24"/>
          <w:szCs w:val="24"/>
        </w:rPr>
        <w:t xml:space="preserve"> de dos mil veintidós</w:t>
      </w:r>
      <w:r w:rsidRPr="006B3AD3">
        <w:rPr>
          <w:rFonts w:ascii="Palatino Linotype" w:eastAsia="Times New Roman" w:hAnsi="Palatino Linotype" w:cs="Arial"/>
          <w:sz w:val="24"/>
          <w:szCs w:val="24"/>
          <w:lang w:val="es-ES" w:eastAsia="es-ES"/>
        </w:rPr>
        <w:t xml:space="preserve">, </w:t>
      </w:r>
      <w:r w:rsidR="007F453A" w:rsidRPr="006B3AD3">
        <w:rPr>
          <w:rFonts w:ascii="Palatino Linotype" w:eastAsia="Times New Roman" w:hAnsi="Palatino Linotype" w:cs="Arial"/>
          <w:sz w:val="24"/>
          <w:szCs w:val="24"/>
          <w:lang w:val="es-ES" w:eastAsia="es-ES"/>
        </w:rPr>
        <w:t>el</w:t>
      </w:r>
      <w:r w:rsidR="00DA2AA3" w:rsidRPr="006B3AD3">
        <w:rPr>
          <w:rFonts w:ascii="Palatino Linotype" w:eastAsia="Times New Roman" w:hAnsi="Palatino Linotype" w:cs="Arial"/>
          <w:sz w:val="24"/>
          <w:szCs w:val="24"/>
          <w:lang w:val="es-ES" w:eastAsia="es-ES"/>
        </w:rPr>
        <w:t xml:space="preserve"> </w:t>
      </w:r>
      <w:r w:rsidRPr="006B3AD3">
        <w:rPr>
          <w:rFonts w:ascii="Palatino Linotype" w:eastAsia="Times New Roman" w:hAnsi="Palatino Linotype" w:cs="Arial"/>
          <w:sz w:val="24"/>
          <w:szCs w:val="24"/>
          <w:lang w:val="es-ES_tradnl" w:eastAsia="es-ES"/>
        </w:rPr>
        <w:t xml:space="preserve">recurso de </w:t>
      </w:r>
      <w:r w:rsidR="00CF2D0F" w:rsidRPr="006B3AD3">
        <w:rPr>
          <w:rFonts w:ascii="Palatino Linotype" w:eastAsia="Times New Roman" w:hAnsi="Palatino Linotype" w:cs="Arial"/>
          <w:sz w:val="24"/>
          <w:szCs w:val="24"/>
          <w:lang w:val="es-ES_tradnl" w:eastAsia="es-ES"/>
        </w:rPr>
        <w:t>revisión de mérito</w:t>
      </w:r>
      <w:r w:rsidRPr="006B3AD3">
        <w:rPr>
          <w:rFonts w:ascii="Palatino Linotype" w:eastAsia="Times New Roman" w:hAnsi="Palatino Linotype" w:cs="Arial"/>
          <w:sz w:val="24"/>
          <w:szCs w:val="24"/>
          <w:lang w:val="es-ES_tradnl" w:eastAsia="es-ES"/>
        </w:rPr>
        <w:t xml:space="preserve"> se envi</w:t>
      </w:r>
      <w:r w:rsidR="007F453A" w:rsidRPr="006B3AD3">
        <w:rPr>
          <w:rFonts w:ascii="Palatino Linotype" w:eastAsia="Times New Roman" w:hAnsi="Palatino Linotype" w:cs="Arial"/>
          <w:sz w:val="24"/>
          <w:szCs w:val="24"/>
          <w:lang w:val="es-ES_tradnl" w:eastAsia="es-ES"/>
        </w:rPr>
        <w:t>ó</w:t>
      </w:r>
      <w:r w:rsidRPr="006B3AD3">
        <w:rPr>
          <w:rFonts w:ascii="Palatino Linotype" w:eastAsia="Times New Roman" w:hAnsi="Palatino Linotype" w:cs="Arial"/>
          <w:sz w:val="24"/>
          <w:szCs w:val="24"/>
          <w:lang w:val="es-ES_tradnl" w:eastAsia="es-ES"/>
        </w:rPr>
        <w:t xml:space="preserve"> electrónicamente al Instituto de </w:t>
      </w:r>
      <w:r w:rsidRPr="006B3AD3">
        <w:rPr>
          <w:rFonts w:ascii="Palatino Linotype" w:eastAsia="Arial Unicode MS" w:hAnsi="Palatino Linotype" w:cs="Arial"/>
          <w:sz w:val="24"/>
          <w:szCs w:val="24"/>
          <w:lang w:val="es-ES" w:eastAsia="es-ES"/>
        </w:rPr>
        <w:t>Transparencia</w:t>
      </w:r>
      <w:r w:rsidRPr="006B3AD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B3AD3">
        <w:rPr>
          <w:rFonts w:ascii="Palatino Linotype" w:eastAsia="Times New Roman" w:hAnsi="Palatino Linotype" w:cs="Times New Roman"/>
          <w:sz w:val="24"/>
          <w:szCs w:val="24"/>
          <w:lang w:val="es-ES" w:eastAsia="es-ES"/>
        </w:rPr>
        <w:t>Ley de Transparencia y Acceso a la Información Pública del Estado de México y Municipios</w:t>
      </w:r>
      <w:r w:rsidRPr="006B3AD3">
        <w:rPr>
          <w:rFonts w:ascii="Palatino Linotype" w:eastAsia="Times New Roman" w:hAnsi="Palatino Linotype" w:cs="Arial"/>
          <w:sz w:val="24"/>
          <w:szCs w:val="24"/>
          <w:lang w:val="es-ES_tradnl" w:eastAsia="es-ES"/>
        </w:rPr>
        <w:t>, se turn</w:t>
      </w:r>
      <w:r w:rsidR="007F453A" w:rsidRPr="006B3AD3">
        <w:rPr>
          <w:rFonts w:ascii="Palatino Linotype" w:eastAsia="Times New Roman" w:hAnsi="Palatino Linotype" w:cs="Arial"/>
          <w:sz w:val="24"/>
          <w:szCs w:val="24"/>
          <w:lang w:val="es-ES_tradnl" w:eastAsia="es-ES"/>
        </w:rPr>
        <w:t>ó</w:t>
      </w:r>
      <w:r w:rsidRPr="006B3AD3">
        <w:rPr>
          <w:rFonts w:ascii="Palatino Linotype" w:eastAsia="Times New Roman" w:hAnsi="Palatino Linotype" w:cs="Arial"/>
          <w:sz w:val="24"/>
          <w:szCs w:val="24"/>
          <w:lang w:val="es-ES_tradnl" w:eastAsia="es-ES"/>
        </w:rPr>
        <w:t xml:space="preserve"> a través del</w:t>
      </w:r>
      <w:r w:rsidRPr="006B3AD3">
        <w:rPr>
          <w:rFonts w:ascii="Palatino Linotype" w:eastAsia="Arial Unicode MS" w:hAnsi="Palatino Linotype" w:cs="Arial"/>
          <w:sz w:val="24"/>
          <w:szCs w:val="24"/>
          <w:lang w:val="es-ES_tradnl" w:eastAsia="es-ES"/>
        </w:rPr>
        <w:t xml:space="preserve"> </w:t>
      </w:r>
      <w:r w:rsidRPr="006B3AD3">
        <w:rPr>
          <w:rFonts w:ascii="Palatino Linotype" w:eastAsia="Arial Unicode MS" w:hAnsi="Palatino Linotype" w:cs="Arial"/>
          <w:b/>
          <w:sz w:val="24"/>
          <w:szCs w:val="24"/>
          <w:lang w:val="es-ES_tradnl" w:eastAsia="es-ES"/>
        </w:rPr>
        <w:t>SAIMEX</w:t>
      </w:r>
      <w:r w:rsidRPr="006B3AD3">
        <w:rPr>
          <w:rFonts w:ascii="Palatino Linotype" w:eastAsia="Times New Roman" w:hAnsi="Palatino Linotype" w:cs="Times New Roman"/>
          <w:sz w:val="24"/>
          <w:szCs w:val="24"/>
          <w:lang w:val="es-ES" w:eastAsia="es-ES"/>
        </w:rPr>
        <w:t xml:space="preserve"> al </w:t>
      </w:r>
      <w:r w:rsidRPr="006B3AD3">
        <w:rPr>
          <w:rFonts w:ascii="Palatino Linotype" w:eastAsia="Times New Roman" w:hAnsi="Palatino Linotype" w:cs="Arial"/>
          <w:sz w:val="24"/>
          <w:szCs w:val="24"/>
          <w:lang w:val="es-ES_tradnl" w:eastAsia="es-ES"/>
        </w:rPr>
        <w:t xml:space="preserve">Comisionado Presidente </w:t>
      </w:r>
      <w:r w:rsidRPr="006B3AD3">
        <w:rPr>
          <w:rFonts w:ascii="Palatino Linotype" w:eastAsia="Times New Roman" w:hAnsi="Palatino Linotype" w:cs="Arial"/>
          <w:b/>
          <w:sz w:val="24"/>
          <w:szCs w:val="24"/>
          <w:lang w:val="es-ES_tradnl" w:eastAsia="es-ES"/>
        </w:rPr>
        <w:t xml:space="preserve">JOSÉ MARTÍNEZ VILCHIS, </w:t>
      </w:r>
      <w:r w:rsidRPr="006B3AD3">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6B3AD3"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382F2DAA" w:rsidR="00DB52AF" w:rsidRPr="006B3AD3"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6B3AD3">
        <w:rPr>
          <w:rFonts w:ascii="Palatino Linotype" w:eastAsia="Times New Roman" w:hAnsi="Palatino Linotype" w:cs="Arial"/>
          <w:b/>
          <w:sz w:val="24"/>
          <w:szCs w:val="24"/>
          <w:lang w:val="es-ES_tradnl" w:eastAsia="es-ES"/>
        </w:rPr>
        <w:t xml:space="preserve">QUINTO. </w:t>
      </w:r>
      <w:r w:rsidRPr="006B3AD3">
        <w:rPr>
          <w:rFonts w:ascii="Palatino Linotype" w:eastAsia="Times New Roman" w:hAnsi="Palatino Linotype" w:cs="Arial"/>
          <w:sz w:val="24"/>
          <w:szCs w:val="24"/>
          <w:lang w:val="es-ES_tradnl" w:eastAsia="es-ES"/>
        </w:rPr>
        <w:t>E</w:t>
      </w:r>
      <w:r w:rsidRPr="006B3AD3">
        <w:rPr>
          <w:rFonts w:ascii="Palatino Linotype" w:eastAsia="Times New Roman" w:hAnsi="Palatino Linotype" w:cs="Arial"/>
          <w:sz w:val="24"/>
          <w:szCs w:val="24"/>
          <w:lang w:val="es-ES" w:eastAsia="es-ES"/>
        </w:rPr>
        <w:t xml:space="preserve">n fecha </w:t>
      </w:r>
      <w:r w:rsidR="00160249" w:rsidRPr="006B3AD3">
        <w:rPr>
          <w:rFonts w:ascii="Palatino Linotype" w:eastAsia="Times New Roman" w:hAnsi="Palatino Linotype" w:cs="Arial"/>
          <w:sz w:val="24"/>
          <w:szCs w:val="24"/>
          <w:lang w:val="es-ES" w:eastAsia="es-ES"/>
        </w:rPr>
        <w:t>ocho de junio</w:t>
      </w:r>
      <w:r w:rsidR="004670EC" w:rsidRPr="006B3AD3">
        <w:rPr>
          <w:rFonts w:ascii="Palatino Linotype" w:eastAsia="Times New Roman" w:hAnsi="Palatino Linotype" w:cs="Arial"/>
          <w:sz w:val="24"/>
          <w:szCs w:val="24"/>
          <w:lang w:val="es-ES" w:eastAsia="es-ES"/>
        </w:rPr>
        <w:t xml:space="preserve"> </w:t>
      </w:r>
      <w:r w:rsidRPr="006B3AD3">
        <w:rPr>
          <w:rFonts w:ascii="Palatino Linotype" w:eastAsia="Times New Roman" w:hAnsi="Palatino Linotype" w:cs="Arial"/>
          <w:sz w:val="24"/>
          <w:szCs w:val="24"/>
          <w:lang w:val="es-ES" w:eastAsia="es-ES"/>
        </w:rPr>
        <w:t xml:space="preserve">de dos mil veintidós, atento a lo dispuesto en el </w:t>
      </w:r>
      <w:r w:rsidRPr="006B3AD3">
        <w:rPr>
          <w:rFonts w:ascii="Palatino Linotype" w:eastAsia="Times New Roman" w:hAnsi="Palatino Linotype" w:cs="Arial"/>
          <w:sz w:val="24"/>
          <w:szCs w:val="24"/>
          <w:lang w:val="es-ES_tradnl" w:eastAsia="es-ES"/>
        </w:rPr>
        <w:t>artículo</w:t>
      </w:r>
      <w:r w:rsidRPr="006B3AD3">
        <w:rPr>
          <w:rFonts w:ascii="Palatino Linotype" w:eastAsia="Times New Roman" w:hAnsi="Palatino Linotype" w:cs="Arial"/>
          <w:sz w:val="24"/>
          <w:szCs w:val="24"/>
          <w:lang w:val="es-ES" w:eastAsia="es-ES"/>
        </w:rPr>
        <w:t xml:space="preserve"> 185 fracciones I, II y IV </w:t>
      </w:r>
      <w:r w:rsidRPr="006B3AD3">
        <w:rPr>
          <w:rFonts w:ascii="Palatino Linotype" w:eastAsia="Times New Roman" w:hAnsi="Palatino Linotype" w:cs="Arial"/>
          <w:sz w:val="24"/>
          <w:szCs w:val="24"/>
          <w:lang w:val="es-ES_tradnl" w:eastAsia="es-ES"/>
        </w:rPr>
        <w:t xml:space="preserve">de la </w:t>
      </w:r>
      <w:r w:rsidRPr="006B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B3AD3">
        <w:rPr>
          <w:rFonts w:ascii="Palatino Linotype" w:eastAsia="Times New Roman" w:hAnsi="Palatino Linotype" w:cs="Arial"/>
          <w:sz w:val="24"/>
          <w:szCs w:val="24"/>
          <w:lang w:val="es-ES" w:eastAsia="es-ES"/>
        </w:rPr>
        <w:t xml:space="preserve">cordó la admisión a trámite del </w:t>
      </w:r>
      <w:r w:rsidR="00DA6DEB" w:rsidRPr="006B3AD3">
        <w:rPr>
          <w:rFonts w:ascii="Palatino Linotype" w:eastAsia="Times New Roman" w:hAnsi="Palatino Linotype" w:cs="Arial"/>
          <w:sz w:val="24"/>
          <w:szCs w:val="24"/>
          <w:lang w:val="es-ES" w:eastAsia="es-ES"/>
        </w:rPr>
        <w:t xml:space="preserve">recurso </w:t>
      </w:r>
      <w:r w:rsidRPr="006B3AD3">
        <w:rPr>
          <w:rFonts w:ascii="Palatino Linotype" w:eastAsia="Times New Roman" w:hAnsi="Palatino Linotype" w:cs="Arial"/>
          <w:sz w:val="24"/>
          <w:szCs w:val="24"/>
          <w:lang w:val="es-ES" w:eastAsia="es-ES"/>
        </w:rPr>
        <w:t>de revisión</w:t>
      </w:r>
      <w:r w:rsidR="00DA6DEB" w:rsidRPr="006B3AD3">
        <w:rPr>
          <w:rFonts w:ascii="Palatino Linotype" w:eastAsia="Times New Roman" w:hAnsi="Palatino Linotype" w:cs="Arial"/>
          <w:sz w:val="24"/>
          <w:szCs w:val="24"/>
          <w:lang w:val="es-ES" w:eastAsia="es-ES"/>
        </w:rPr>
        <w:t xml:space="preserve"> </w:t>
      </w:r>
      <w:r w:rsidR="00160249" w:rsidRPr="006B3AD3">
        <w:rPr>
          <w:rFonts w:ascii="Palatino Linotype" w:hAnsi="Palatino Linotype" w:cs="Arial"/>
          <w:b/>
          <w:bCs/>
          <w:sz w:val="24"/>
          <w:szCs w:val="24"/>
          <w:lang w:eastAsia="es-MX"/>
        </w:rPr>
        <w:t>11035</w:t>
      </w:r>
      <w:r w:rsidR="00DA6DEB" w:rsidRPr="006B3AD3">
        <w:rPr>
          <w:rFonts w:ascii="Palatino Linotype" w:hAnsi="Palatino Linotype" w:cs="Arial"/>
          <w:b/>
          <w:bCs/>
          <w:sz w:val="24"/>
          <w:szCs w:val="24"/>
          <w:lang w:eastAsia="es-MX"/>
        </w:rPr>
        <w:t>/INFOEM/IP/RR/2022</w:t>
      </w:r>
      <w:r w:rsidRPr="006B3AD3">
        <w:rPr>
          <w:rFonts w:ascii="Palatino Linotype" w:eastAsia="Times New Roman" w:hAnsi="Palatino Linotype" w:cs="Arial"/>
          <w:sz w:val="24"/>
          <w:szCs w:val="24"/>
          <w:lang w:val="es-ES" w:eastAsia="es-ES"/>
        </w:rPr>
        <w:t>, así como la integración del expedie</w:t>
      </w:r>
      <w:r w:rsidR="004670EC" w:rsidRPr="006B3AD3">
        <w:rPr>
          <w:rFonts w:ascii="Palatino Linotype" w:eastAsia="Times New Roman" w:hAnsi="Palatino Linotype" w:cs="Arial"/>
          <w:sz w:val="24"/>
          <w:szCs w:val="24"/>
          <w:lang w:val="es-ES" w:eastAsia="es-ES"/>
        </w:rPr>
        <w:t>nte respectivo, mis</w:t>
      </w:r>
      <w:r w:rsidR="00E25131" w:rsidRPr="006B3AD3">
        <w:rPr>
          <w:rFonts w:ascii="Palatino Linotype" w:eastAsia="Times New Roman" w:hAnsi="Palatino Linotype" w:cs="Arial"/>
          <w:sz w:val="24"/>
          <w:szCs w:val="24"/>
          <w:lang w:val="es-ES" w:eastAsia="es-ES"/>
        </w:rPr>
        <w:t>m</w:t>
      </w:r>
      <w:r w:rsidR="004670EC" w:rsidRPr="006B3AD3">
        <w:rPr>
          <w:rFonts w:ascii="Palatino Linotype" w:eastAsia="Times New Roman" w:hAnsi="Palatino Linotype" w:cs="Arial"/>
          <w:sz w:val="24"/>
          <w:szCs w:val="24"/>
          <w:lang w:val="es-ES" w:eastAsia="es-ES"/>
        </w:rPr>
        <w:t xml:space="preserve">o que se puso </w:t>
      </w:r>
      <w:r w:rsidRPr="006B3AD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6B3AD3"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1F1685FC" w:rsidR="00F26B6E" w:rsidRPr="006B3AD3" w:rsidRDefault="00DB52AF" w:rsidP="00F26B6E">
      <w:pPr>
        <w:spacing w:before="240" w:line="360" w:lineRule="auto"/>
        <w:jc w:val="both"/>
        <w:rPr>
          <w:rFonts w:ascii="Palatino Linotype" w:hAnsi="Palatino Linotype" w:cs="Arial"/>
          <w:sz w:val="24"/>
          <w:szCs w:val="24"/>
        </w:rPr>
      </w:pPr>
      <w:r w:rsidRPr="006B3AD3">
        <w:rPr>
          <w:rFonts w:ascii="Palatino Linotype" w:eastAsia="Times New Roman" w:hAnsi="Palatino Linotype" w:cs="Arial"/>
          <w:b/>
          <w:sz w:val="24"/>
          <w:szCs w:val="24"/>
          <w:lang w:val="es-ES_tradnl" w:eastAsia="es-ES"/>
        </w:rPr>
        <w:lastRenderedPageBreak/>
        <w:t>SEXTO</w:t>
      </w:r>
      <w:r w:rsidRPr="006B3AD3">
        <w:rPr>
          <w:rFonts w:ascii="Palatino Linotype" w:hAnsi="Palatino Linotype" w:cs="Arial"/>
          <w:b/>
          <w:sz w:val="24"/>
          <w:szCs w:val="24"/>
        </w:rPr>
        <w:t xml:space="preserve">. </w:t>
      </w:r>
      <w:r w:rsidR="00F26B6E" w:rsidRPr="006B3AD3">
        <w:rPr>
          <w:rFonts w:ascii="Palatino Linotype" w:hAnsi="Palatino Linotype" w:cs="Arial"/>
          <w:sz w:val="24"/>
          <w:szCs w:val="24"/>
        </w:rPr>
        <w:t xml:space="preserve">Así, una vez transcurrido el término legal referido, se advierte que </w:t>
      </w:r>
      <w:r w:rsidR="00F95FB0">
        <w:rPr>
          <w:rFonts w:ascii="Palatino Linotype" w:hAnsi="Palatino Linotype" w:cs="Arial"/>
          <w:b/>
          <w:sz w:val="24"/>
          <w:szCs w:val="24"/>
        </w:rPr>
        <w:t xml:space="preserve">el </w:t>
      </w:r>
      <w:r w:rsidR="00F26B6E" w:rsidRPr="006B3AD3">
        <w:rPr>
          <w:rFonts w:ascii="Palatino Linotype" w:hAnsi="Palatino Linotype" w:cs="Arial"/>
          <w:b/>
          <w:sz w:val="24"/>
          <w:szCs w:val="24"/>
        </w:rPr>
        <w:t xml:space="preserve">Sujeto Obligado </w:t>
      </w:r>
      <w:r w:rsidR="00F26B6E" w:rsidRPr="006B3AD3">
        <w:rPr>
          <w:rFonts w:ascii="Palatino Linotype" w:hAnsi="Palatino Linotype" w:cs="Arial"/>
          <w:sz w:val="24"/>
          <w:szCs w:val="24"/>
        </w:rPr>
        <w:t xml:space="preserve">fue omiso en presentar su informe justificado; de igual manera </w:t>
      </w:r>
      <w:r w:rsidR="00F95FB0">
        <w:rPr>
          <w:rFonts w:ascii="Palatino Linotype" w:hAnsi="Palatino Linotype" w:cs="Arial"/>
          <w:b/>
          <w:sz w:val="24"/>
          <w:szCs w:val="24"/>
        </w:rPr>
        <w:t>la</w:t>
      </w:r>
      <w:r w:rsidR="00F26B6E" w:rsidRPr="006B3AD3">
        <w:rPr>
          <w:rFonts w:ascii="Palatino Linotype" w:hAnsi="Palatino Linotype" w:cs="Arial"/>
          <w:b/>
          <w:sz w:val="24"/>
          <w:szCs w:val="24"/>
        </w:rPr>
        <w:t xml:space="preserve"> Recurrente </w:t>
      </w:r>
      <w:r w:rsidR="00F26B6E" w:rsidRPr="006B3AD3">
        <w:rPr>
          <w:rFonts w:ascii="Palatino Linotype" w:hAnsi="Palatino Linotype" w:cs="Arial"/>
          <w:sz w:val="24"/>
          <w:szCs w:val="24"/>
        </w:rPr>
        <w:t>fue omis</w:t>
      </w:r>
      <w:r w:rsidR="00C17B73" w:rsidRPr="006B3AD3">
        <w:rPr>
          <w:rFonts w:ascii="Palatino Linotype" w:hAnsi="Palatino Linotype" w:cs="Arial"/>
          <w:sz w:val="24"/>
          <w:szCs w:val="24"/>
        </w:rPr>
        <w:t>a</w:t>
      </w:r>
      <w:r w:rsidR="00F26B6E" w:rsidRPr="006B3AD3">
        <w:rPr>
          <w:rFonts w:ascii="Palatino Linotype" w:hAnsi="Palatino Linotype" w:cs="Arial"/>
          <w:sz w:val="24"/>
          <w:szCs w:val="24"/>
        </w:rPr>
        <w:t xml:space="preserve"> en presentar alegatos, pruebas o manifestación alguna.  </w:t>
      </w:r>
    </w:p>
    <w:p w14:paraId="7E3B17B1" w14:textId="77777777" w:rsidR="00F26B6E" w:rsidRPr="006B3AD3" w:rsidRDefault="00F26B6E" w:rsidP="00DB52AF">
      <w:pPr>
        <w:spacing w:after="0" w:line="360" w:lineRule="auto"/>
        <w:jc w:val="both"/>
        <w:rPr>
          <w:rFonts w:ascii="Palatino Linotype" w:hAnsi="Palatino Linotype" w:cs="Arial"/>
          <w:sz w:val="24"/>
          <w:szCs w:val="24"/>
        </w:rPr>
      </w:pPr>
    </w:p>
    <w:p w14:paraId="6923198B" w14:textId="77777777" w:rsidR="00DB52AF"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6B3AD3">
        <w:rPr>
          <w:rFonts w:ascii="Palatino Linotype" w:hAnsi="Palatino Linotype" w:cs="Arial"/>
          <w:b/>
          <w:sz w:val="24"/>
          <w:szCs w:val="24"/>
        </w:rPr>
        <w:t>Recurrente</w:t>
      </w:r>
      <w:r w:rsidRPr="006B3AD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6B3AD3" w:rsidRDefault="00DB52AF" w:rsidP="00DB52AF">
      <w:pPr>
        <w:spacing w:after="0" w:line="360" w:lineRule="auto"/>
        <w:jc w:val="both"/>
        <w:rPr>
          <w:rFonts w:ascii="Palatino Linotype" w:hAnsi="Palatino Linotype" w:cs="Arial"/>
          <w:sz w:val="24"/>
          <w:szCs w:val="24"/>
        </w:rPr>
      </w:pPr>
    </w:p>
    <w:p w14:paraId="7B910AEC" w14:textId="3DD8A141" w:rsidR="00CF2D0F" w:rsidRPr="006B3AD3" w:rsidRDefault="00DB52AF" w:rsidP="00CF2D0F">
      <w:pPr>
        <w:spacing w:after="0" w:line="360" w:lineRule="auto"/>
        <w:jc w:val="both"/>
        <w:rPr>
          <w:rFonts w:ascii="Palatino Linotype" w:hAnsi="Palatino Linotype" w:cs="Arial"/>
          <w:sz w:val="24"/>
          <w:szCs w:val="24"/>
        </w:rPr>
      </w:pPr>
      <w:r w:rsidRPr="006B3AD3">
        <w:rPr>
          <w:rFonts w:ascii="Palatino Linotype" w:hAnsi="Palatino Linotype" w:cs="Arial"/>
          <w:b/>
          <w:sz w:val="24"/>
          <w:szCs w:val="24"/>
        </w:rPr>
        <w:t xml:space="preserve">SÉPTIMO. </w:t>
      </w:r>
      <w:r w:rsidR="00CF2D0F" w:rsidRPr="006B3AD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7F453A" w:rsidRPr="006B3AD3">
        <w:rPr>
          <w:rFonts w:ascii="Palatino Linotype" w:hAnsi="Palatino Linotype" w:cs="Arial"/>
          <w:sz w:val="24"/>
          <w:szCs w:val="24"/>
        </w:rPr>
        <w:t xml:space="preserve">pendiente por desahogar, ni </w:t>
      </w:r>
      <w:r w:rsidR="00CF2D0F" w:rsidRPr="006B3AD3">
        <w:rPr>
          <w:rFonts w:ascii="Palatino Linotype" w:hAnsi="Palatino Linotype" w:cs="Arial"/>
          <w:sz w:val="24"/>
          <w:szCs w:val="24"/>
        </w:rPr>
        <w:t xml:space="preserve">documentos que integrar al expediente electrónico, se decretó el cierre de instrucción en fecha </w:t>
      </w:r>
      <w:r w:rsidR="0078239E" w:rsidRPr="006B3AD3">
        <w:rPr>
          <w:rFonts w:ascii="Palatino Linotype" w:hAnsi="Palatino Linotype" w:cs="Arial"/>
          <w:sz w:val="24"/>
          <w:szCs w:val="24"/>
        </w:rPr>
        <w:t>veintiuno</w:t>
      </w:r>
      <w:r w:rsidR="00CF2D0F" w:rsidRPr="006B3AD3">
        <w:rPr>
          <w:rFonts w:ascii="Palatino Linotype" w:hAnsi="Palatino Linotype" w:cs="Arial"/>
          <w:sz w:val="24"/>
          <w:szCs w:val="24"/>
        </w:rPr>
        <w:t xml:space="preserve"> de junio de dos mil veintidós,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6B3AD3" w:rsidRDefault="00CF2D0F" w:rsidP="00F75BB1">
      <w:pPr>
        <w:spacing w:after="0" w:line="360" w:lineRule="auto"/>
        <w:jc w:val="both"/>
        <w:rPr>
          <w:rFonts w:ascii="Palatino Linotype" w:hAnsi="Palatino Linotype" w:cs="Arial"/>
          <w:bCs/>
          <w:sz w:val="24"/>
          <w:szCs w:val="24"/>
        </w:rPr>
      </w:pPr>
    </w:p>
    <w:p w14:paraId="49C6F5CA" w14:textId="77777777" w:rsidR="000D7A2F" w:rsidRPr="006B3AD3" w:rsidRDefault="000D7A2F" w:rsidP="000D7A2F">
      <w:pPr>
        <w:spacing w:line="360" w:lineRule="auto"/>
        <w:jc w:val="both"/>
        <w:rPr>
          <w:rFonts w:ascii="Palatino Linotype" w:hAnsi="Palatino Linotype"/>
          <w:b/>
          <w:sz w:val="24"/>
          <w:szCs w:val="24"/>
        </w:rPr>
      </w:pPr>
      <w:r w:rsidRPr="006B3AD3">
        <w:rPr>
          <w:rFonts w:ascii="Palatino Linotype" w:hAnsi="Palatino Linotype"/>
          <w:b/>
          <w:sz w:val="24"/>
          <w:szCs w:val="24"/>
        </w:rPr>
        <w:t>OCTAVO. - De la ampliación del plazo para resolver</w:t>
      </w:r>
    </w:p>
    <w:p w14:paraId="70D01CC6" w14:textId="00034727" w:rsidR="000D7A2F" w:rsidRPr="006B3AD3" w:rsidRDefault="000D7A2F" w:rsidP="000D7A2F">
      <w:pPr>
        <w:spacing w:line="360" w:lineRule="auto"/>
        <w:jc w:val="both"/>
        <w:rPr>
          <w:rFonts w:ascii="Palatino Linotype" w:hAnsi="Palatino Linotype"/>
          <w:sz w:val="24"/>
          <w:szCs w:val="24"/>
        </w:rPr>
      </w:pPr>
      <w:r w:rsidRPr="006B3AD3">
        <w:rPr>
          <w:rFonts w:ascii="Palatino Linotype" w:hAnsi="Palatino Linotype"/>
          <w:sz w:val="24"/>
          <w:szCs w:val="24"/>
        </w:rPr>
        <w:t xml:space="preserve">Así, en fecha </w:t>
      </w:r>
      <w:r w:rsidR="005E4BAD" w:rsidRPr="006B3AD3">
        <w:rPr>
          <w:rFonts w:ascii="Palatino Linotype" w:hAnsi="Palatino Linotype"/>
          <w:sz w:val="24"/>
          <w:szCs w:val="24"/>
        </w:rPr>
        <w:t>diez de agosto</w:t>
      </w:r>
      <w:r w:rsidR="00B3416C" w:rsidRPr="006B3AD3">
        <w:rPr>
          <w:rFonts w:ascii="Palatino Linotype" w:hAnsi="Palatino Linotype"/>
          <w:sz w:val="24"/>
          <w:szCs w:val="24"/>
        </w:rPr>
        <w:t xml:space="preserve"> </w:t>
      </w:r>
      <w:r w:rsidR="0079546B" w:rsidRPr="006B3AD3">
        <w:rPr>
          <w:rFonts w:ascii="Palatino Linotype" w:hAnsi="Palatino Linotype"/>
          <w:sz w:val="24"/>
          <w:szCs w:val="24"/>
        </w:rPr>
        <w:t>de dos</w:t>
      </w:r>
      <w:r w:rsidRPr="006B3AD3">
        <w:rPr>
          <w:rFonts w:ascii="Palatino Linotype" w:hAnsi="Palatino Linotype"/>
          <w:sz w:val="24"/>
          <w:szCs w:val="24"/>
        </w:rPr>
        <w:t xml:space="preserve"> mil veintidós, en el expediente electrónico del recurso de revisión se amplió</w:t>
      </w:r>
      <w:r w:rsidR="007F453A" w:rsidRPr="006B3AD3">
        <w:rPr>
          <w:rFonts w:ascii="Palatino Linotype" w:hAnsi="Palatino Linotype"/>
          <w:sz w:val="24"/>
          <w:szCs w:val="24"/>
        </w:rPr>
        <w:t xml:space="preserve"> el</w:t>
      </w:r>
      <w:r w:rsidRPr="006B3AD3">
        <w:rPr>
          <w:rFonts w:ascii="Palatino Linotype" w:hAnsi="Palatino Linotype"/>
          <w:sz w:val="24"/>
          <w:szCs w:val="24"/>
        </w:rPr>
        <w:t xml:space="preserve"> plazo para dictar resolución, en términos del artículo 181 de la Ley de Transparencia y Acceso a la Información del Estado de México y Municipios, </w:t>
      </w:r>
      <w:r w:rsidRPr="006B3AD3">
        <w:rPr>
          <w:rFonts w:ascii="Palatino Linotype" w:hAnsi="Palatino Linotype" w:cs="Tahoma"/>
          <w:sz w:val="24"/>
          <w:szCs w:val="24"/>
        </w:rPr>
        <w:t xml:space="preserve">acto que fue notificado a las partes, mediante el Sistema de Acceso a la Información Mexiquense </w:t>
      </w:r>
      <w:r w:rsidRPr="00F95FB0">
        <w:rPr>
          <w:rFonts w:ascii="Palatino Linotype" w:hAnsi="Palatino Linotype" w:cs="Tahoma"/>
          <w:b/>
          <w:bCs/>
          <w:sz w:val="24"/>
          <w:szCs w:val="24"/>
        </w:rPr>
        <w:t>(SAIMEX).</w:t>
      </w:r>
    </w:p>
    <w:p w14:paraId="395ED83E" w14:textId="77777777"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FCCE769" w14:textId="77777777" w:rsidR="00343AB0" w:rsidRPr="006B3AD3" w:rsidRDefault="00343AB0" w:rsidP="00382E70">
      <w:pPr>
        <w:spacing w:line="360" w:lineRule="auto"/>
        <w:jc w:val="both"/>
        <w:rPr>
          <w:rFonts w:ascii="Palatino Linotype" w:hAnsi="Palatino Linotype"/>
          <w:sz w:val="24"/>
          <w:szCs w:val="24"/>
        </w:rPr>
      </w:pPr>
    </w:p>
    <w:p w14:paraId="7390176A" w14:textId="3EFCB588"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9DF214F" w14:textId="77777777" w:rsidR="00382E70" w:rsidRPr="006B3AD3" w:rsidRDefault="00382E70" w:rsidP="00382E70">
      <w:pPr>
        <w:spacing w:line="360" w:lineRule="auto"/>
        <w:jc w:val="both"/>
        <w:rPr>
          <w:rFonts w:ascii="Palatino Linotype" w:hAnsi="Palatino Linotype"/>
          <w:sz w:val="24"/>
          <w:szCs w:val="24"/>
        </w:rPr>
      </w:pPr>
    </w:p>
    <w:p w14:paraId="000DD1CF" w14:textId="77777777"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8B1FBC" w14:textId="77777777" w:rsidR="00343AB0" w:rsidRPr="006B3AD3" w:rsidRDefault="00343AB0" w:rsidP="00382E70">
      <w:pPr>
        <w:spacing w:line="360" w:lineRule="auto"/>
        <w:jc w:val="both"/>
        <w:rPr>
          <w:rFonts w:ascii="Palatino Linotype" w:hAnsi="Palatino Linotype"/>
          <w:sz w:val="24"/>
          <w:szCs w:val="24"/>
        </w:rPr>
      </w:pPr>
    </w:p>
    <w:p w14:paraId="22C9C32E" w14:textId="72D6B282"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6B3AD3">
        <w:rPr>
          <w:rFonts w:ascii="Palatino Linotype" w:hAnsi="Palatino Linotype"/>
          <w:sz w:val="24"/>
          <w:szCs w:val="24"/>
        </w:rPr>
        <w:lastRenderedPageBreak/>
        <w:t xml:space="preserve">jurisdiccionales o cuasi jurisdiccionales, tanto por la complejidad de los hechos, como por el número de casos que conocen. </w:t>
      </w:r>
    </w:p>
    <w:p w14:paraId="315188F7" w14:textId="77777777" w:rsidR="00382E70" w:rsidRPr="006B3AD3" w:rsidRDefault="00382E70" w:rsidP="00382E70">
      <w:pPr>
        <w:spacing w:line="360" w:lineRule="auto"/>
        <w:jc w:val="both"/>
        <w:rPr>
          <w:rFonts w:ascii="Palatino Linotype" w:hAnsi="Palatino Linotype"/>
          <w:sz w:val="24"/>
          <w:szCs w:val="24"/>
        </w:rPr>
      </w:pPr>
    </w:p>
    <w:p w14:paraId="200029A0" w14:textId="77777777"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3EBDAD4A" w14:textId="77777777" w:rsidR="00382E70" w:rsidRPr="006B3AD3" w:rsidRDefault="00382E70" w:rsidP="00382E70">
      <w:pPr>
        <w:pStyle w:val="Prrafodelista"/>
        <w:numPr>
          <w:ilvl w:val="0"/>
          <w:numId w:val="6"/>
        </w:numPr>
        <w:spacing w:line="360" w:lineRule="auto"/>
        <w:contextualSpacing/>
        <w:jc w:val="both"/>
        <w:rPr>
          <w:rFonts w:ascii="Palatino Linotype" w:hAnsi="Palatino Linotype"/>
        </w:rPr>
      </w:pPr>
      <w:r w:rsidRPr="006B3AD3">
        <w:rPr>
          <w:rFonts w:ascii="Palatino Linotype" w:hAnsi="Palatino Linotype"/>
        </w:rPr>
        <w:t xml:space="preserve">Complejidad del Asunto: La complejidad de la prueba, la pluralidad de sujetos procesales, el tiempo transcurrido, las características y contexto del recurso. </w:t>
      </w:r>
    </w:p>
    <w:p w14:paraId="0DADCBD3" w14:textId="77777777" w:rsidR="00382E70" w:rsidRPr="006B3AD3" w:rsidRDefault="00382E70" w:rsidP="00382E70">
      <w:pPr>
        <w:pStyle w:val="Prrafodelista"/>
        <w:spacing w:line="360" w:lineRule="auto"/>
        <w:ind w:left="927"/>
        <w:jc w:val="both"/>
        <w:rPr>
          <w:rFonts w:ascii="Palatino Linotype" w:hAnsi="Palatino Linotype"/>
        </w:rPr>
      </w:pPr>
    </w:p>
    <w:p w14:paraId="5F710C42" w14:textId="77777777" w:rsidR="00382E70" w:rsidRPr="006B3AD3" w:rsidRDefault="00382E70" w:rsidP="00382E70">
      <w:pPr>
        <w:pStyle w:val="Prrafodelista"/>
        <w:numPr>
          <w:ilvl w:val="0"/>
          <w:numId w:val="6"/>
        </w:numPr>
        <w:spacing w:line="360" w:lineRule="auto"/>
        <w:contextualSpacing/>
        <w:jc w:val="both"/>
        <w:rPr>
          <w:rFonts w:ascii="Palatino Linotype" w:hAnsi="Palatino Linotype"/>
        </w:rPr>
      </w:pPr>
      <w:r w:rsidRPr="006B3AD3">
        <w:rPr>
          <w:rFonts w:ascii="Palatino Linotype" w:hAnsi="Palatino Linotype"/>
        </w:rPr>
        <w:t>Actividad Procesal del interesado. Acciones u omisiones del interesado.</w:t>
      </w:r>
    </w:p>
    <w:p w14:paraId="0EF01912" w14:textId="77777777" w:rsidR="00382E70" w:rsidRPr="006B3AD3" w:rsidRDefault="00382E70" w:rsidP="00382E70">
      <w:pPr>
        <w:spacing w:line="360" w:lineRule="auto"/>
        <w:jc w:val="both"/>
        <w:rPr>
          <w:rFonts w:ascii="Palatino Linotype" w:hAnsi="Palatino Linotype"/>
          <w:sz w:val="24"/>
          <w:szCs w:val="24"/>
        </w:rPr>
      </w:pPr>
    </w:p>
    <w:p w14:paraId="2BFE79E4" w14:textId="77777777" w:rsidR="00382E70" w:rsidRPr="006B3AD3" w:rsidRDefault="00382E70" w:rsidP="00382E70">
      <w:pPr>
        <w:pStyle w:val="Prrafodelista"/>
        <w:numPr>
          <w:ilvl w:val="0"/>
          <w:numId w:val="6"/>
        </w:numPr>
        <w:spacing w:line="360" w:lineRule="auto"/>
        <w:contextualSpacing/>
        <w:jc w:val="both"/>
        <w:rPr>
          <w:rFonts w:ascii="Palatino Linotype" w:hAnsi="Palatino Linotype"/>
        </w:rPr>
      </w:pPr>
      <w:r w:rsidRPr="006B3AD3">
        <w:rPr>
          <w:rFonts w:ascii="Palatino Linotype" w:hAnsi="Palatino Linotype"/>
        </w:rPr>
        <w:t>Conducta de la Autoridad: Las Acciones u omisiones realizadas en el procedimiento. Así como si la autoridad actuó con la debida diligencia.</w:t>
      </w:r>
    </w:p>
    <w:p w14:paraId="5C96FC10" w14:textId="77777777" w:rsidR="00382E70" w:rsidRPr="006B3AD3" w:rsidRDefault="00382E70" w:rsidP="00382E70">
      <w:pPr>
        <w:pStyle w:val="Prrafodelista"/>
        <w:spacing w:line="360" w:lineRule="auto"/>
        <w:rPr>
          <w:rFonts w:ascii="Palatino Linotype" w:hAnsi="Palatino Linotype"/>
        </w:rPr>
      </w:pPr>
    </w:p>
    <w:p w14:paraId="2750E2A8" w14:textId="77777777" w:rsidR="00382E70" w:rsidRPr="006B3AD3" w:rsidRDefault="00382E70" w:rsidP="00382E70">
      <w:pPr>
        <w:spacing w:line="360" w:lineRule="auto"/>
        <w:ind w:left="567"/>
        <w:jc w:val="both"/>
        <w:rPr>
          <w:rFonts w:ascii="Palatino Linotype" w:hAnsi="Palatino Linotype"/>
          <w:sz w:val="24"/>
          <w:szCs w:val="24"/>
        </w:rPr>
      </w:pPr>
      <w:r w:rsidRPr="006B3AD3">
        <w:rPr>
          <w:rFonts w:ascii="Palatino Linotype" w:hAnsi="Palatino Linotype"/>
          <w:sz w:val="24"/>
          <w:szCs w:val="24"/>
        </w:rPr>
        <w:t>d) La afectación generada en la situación jurídica de la persona involucrada en el proceso: Violación a sus derechos humanos.</w:t>
      </w:r>
    </w:p>
    <w:p w14:paraId="65140FA3" w14:textId="77777777" w:rsidR="00382E70" w:rsidRPr="006B3AD3" w:rsidRDefault="00382E70" w:rsidP="00382E70">
      <w:pPr>
        <w:spacing w:line="360" w:lineRule="auto"/>
        <w:jc w:val="both"/>
        <w:rPr>
          <w:rFonts w:ascii="Palatino Linotype" w:hAnsi="Palatino Linotype"/>
          <w:sz w:val="24"/>
          <w:szCs w:val="24"/>
        </w:rPr>
      </w:pPr>
    </w:p>
    <w:p w14:paraId="4DA8BA6E" w14:textId="77777777"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4DC1C" w14:textId="77777777" w:rsidR="00382E70" w:rsidRPr="006B3AD3" w:rsidRDefault="00382E70" w:rsidP="00382E70">
      <w:pPr>
        <w:spacing w:line="360" w:lineRule="auto"/>
        <w:jc w:val="both"/>
        <w:rPr>
          <w:rFonts w:ascii="Palatino Linotype" w:hAnsi="Palatino Linotype"/>
          <w:sz w:val="24"/>
          <w:szCs w:val="24"/>
        </w:rPr>
      </w:pPr>
    </w:p>
    <w:p w14:paraId="1E7D0952" w14:textId="77777777" w:rsidR="00382E70" w:rsidRPr="006B3AD3" w:rsidRDefault="00382E70" w:rsidP="00382E70">
      <w:pPr>
        <w:spacing w:line="360" w:lineRule="auto"/>
        <w:jc w:val="both"/>
        <w:rPr>
          <w:rFonts w:ascii="Palatino Linotype" w:hAnsi="Palatino Linotype"/>
          <w:b/>
          <w:sz w:val="24"/>
          <w:szCs w:val="24"/>
        </w:rPr>
      </w:pPr>
      <w:r w:rsidRPr="006B3AD3">
        <w:rPr>
          <w:rFonts w:ascii="Palatino Linotype" w:hAnsi="Palatino Linotype"/>
          <w:sz w:val="24"/>
          <w:szCs w:val="24"/>
        </w:rPr>
        <w:t xml:space="preserve">Argumento que encuentra sustento en la jurisprudencia P./J. 32/92 emitida por el Pleno de la Suprema Corte de Justicia de la Nación de rubro </w:t>
      </w:r>
      <w:r w:rsidRPr="006B3AD3">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6B3AD3">
        <w:rPr>
          <w:rFonts w:ascii="Palatino Linotype" w:hAnsi="Palatino Linotype"/>
          <w:sz w:val="24"/>
          <w:szCs w:val="24"/>
        </w:rPr>
        <w:t>, visible en la Gaceta del Seminario Judicial de la Federación con el registro digital 205635.</w:t>
      </w:r>
    </w:p>
    <w:p w14:paraId="3DDB5EE3" w14:textId="77777777" w:rsidR="00382E70" w:rsidRPr="006B3AD3" w:rsidRDefault="00382E70" w:rsidP="00382E70">
      <w:pPr>
        <w:spacing w:line="360" w:lineRule="auto"/>
        <w:jc w:val="both"/>
        <w:rPr>
          <w:rFonts w:ascii="Palatino Linotype" w:hAnsi="Palatino Linotype"/>
          <w:sz w:val="24"/>
          <w:szCs w:val="24"/>
        </w:rPr>
      </w:pPr>
    </w:p>
    <w:p w14:paraId="23D40AF9" w14:textId="77777777"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364727" w14:textId="77777777" w:rsidR="00343AB0" w:rsidRPr="006B3AD3" w:rsidRDefault="00343AB0" w:rsidP="00382E70">
      <w:pPr>
        <w:spacing w:line="360" w:lineRule="auto"/>
        <w:jc w:val="both"/>
        <w:rPr>
          <w:rFonts w:ascii="Palatino Linotype" w:hAnsi="Palatino Linotype"/>
          <w:sz w:val="24"/>
          <w:szCs w:val="24"/>
        </w:rPr>
      </w:pPr>
    </w:p>
    <w:p w14:paraId="11265463" w14:textId="4310E49F"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t xml:space="preserve">Por ello, este organismo garante comprometido con la tutela de los derechos humanos </w:t>
      </w:r>
      <w:r w:rsidR="00F95FB0" w:rsidRPr="006B3AD3">
        <w:rPr>
          <w:rFonts w:ascii="Palatino Linotype" w:hAnsi="Palatino Linotype"/>
          <w:sz w:val="24"/>
          <w:szCs w:val="24"/>
        </w:rPr>
        <w:t>confiados</w:t>
      </w:r>
      <w:r w:rsidRPr="006B3AD3">
        <w:rPr>
          <w:rFonts w:ascii="Palatino Linotype" w:hAnsi="Palatino Linotype"/>
          <w:sz w:val="24"/>
          <w:szCs w:val="24"/>
        </w:rPr>
        <w:t xml:space="preserve"> señala que este exceso del plazo legal para resolver el presente asunto, resulta de carácter excepcional.</w:t>
      </w:r>
    </w:p>
    <w:p w14:paraId="7CD21437" w14:textId="77777777" w:rsidR="00382E70" w:rsidRPr="006B3AD3" w:rsidRDefault="00382E70" w:rsidP="00382E70">
      <w:pPr>
        <w:spacing w:line="360" w:lineRule="auto"/>
        <w:jc w:val="both"/>
        <w:rPr>
          <w:rFonts w:ascii="Palatino Linotype" w:hAnsi="Palatino Linotype"/>
          <w:sz w:val="24"/>
          <w:szCs w:val="24"/>
        </w:rPr>
      </w:pPr>
      <w:r w:rsidRPr="006B3AD3">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DC3A1B0" w14:textId="77777777" w:rsidR="00382E70" w:rsidRPr="006B3AD3" w:rsidRDefault="00382E70" w:rsidP="00343AB0">
      <w:pPr>
        <w:spacing w:line="360" w:lineRule="auto"/>
        <w:ind w:left="567"/>
        <w:jc w:val="both"/>
        <w:rPr>
          <w:rFonts w:ascii="Palatino Linotype" w:hAnsi="Palatino Linotype"/>
          <w:sz w:val="24"/>
          <w:szCs w:val="24"/>
        </w:rPr>
      </w:pPr>
      <w:r w:rsidRPr="006B3AD3">
        <w:rPr>
          <w:rFonts w:ascii="Palatino Linotype" w:hAnsi="Palatino Linotype"/>
          <w:i/>
          <w:sz w:val="24"/>
          <w:szCs w:val="24"/>
        </w:rPr>
        <w:t>“PLAZO RAZONABLE PARA RESOLVER. DIMENSIÓN Y EFECTOS DE ESTE CONCEPTO CUANDO SE ADUCE EXCESIVA CARGA DE TRABAJO.”</w:t>
      </w:r>
      <w:r w:rsidRPr="006B3AD3">
        <w:rPr>
          <w:rFonts w:ascii="Palatino Linotype" w:hAnsi="Palatino Linotype"/>
          <w:sz w:val="24"/>
          <w:szCs w:val="24"/>
        </w:rPr>
        <w:t xml:space="preserve"> consultable en el Seminario Judicial de la Federación y su gaceta, con el registro digital 2002351.</w:t>
      </w:r>
    </w:p>
    <w:p w14:paraId="751E97D4" w14:textId="77777777" w:rsidR="00382E70" w:rsidRPr="006B3AD3" w:rsidRDefault="00382E70" w:rsidP="00343AB0">
      <w:pPr>
        <w:spacing w:line="360" w:lineRule="auto"/>
        <w:ind w:left="567"/>
        <w:jc w:val="both"/>
        <w:rPr>
          <w:rFonts w:ascii="Palatino Linotype" w:hAnsi="Palatino Linotype"/>
          <w:b/>
          <w:sz w:val="24"/>
          <w:szCs w:val="24"/>
        </w:rPr>
      </w:pPr>
    </w:p>
    <w:p w14:paraId="31B39761" w14:textId="44222D2F" w:rsidR="00382E70" w:rsidRPr="006B3AD3" w:rsidRDefault="00382E70" w:rsidP="00343AB0">
      <w:pPr>
        <w:spacing w:line="360" w:lineRule="auto"/>
        <w:ind w:left="567"/>
        <w:jc w:val="both"/>
        <w:rPr>
          <w:rFonts w:ascii="Palatino Linotype" w:hAnsi="Palatino Linotype"/>
          <w:sz w:val="24"/>
          <w:szCs w:val="24"/>
        </w:rPr>
      </w:pPr>
      <w:r w:rsidRPr="006B3AD3">
        <w:rPr>
          <w:rFonts w:ascii="Palatino Linotype" w:hAnsi="Palatino Linotype"/>
          <w:i/>
          <w:sz w:val="24"/>
          <w:szCs w:val="24"/>
        </w:rPr>
        <w:t>“PLAZO RAZONABLE PARA RESOLVER. CONCEPTO Y ELEMENTOS QUE LO INTEGRAN A LA LUZ DEL DERECHO INTERNACIONAL DE LOS DERECHOS HUMANOS.”</w:t>
      </w:r>
      <w:r w:rsidRPr="006B3AD3">
        <w:rPr>
          <w:rFonts w:ascii="Palatino Linotype" w:hAnsi="Palatino Linotype"/>
          <w:sz w:val="24"/>
          <w:szCs w:val="24"/>
        </w:rPr>
        <w:t>, visible en el Seminario Judicial de la Federación y su gaceta, con el registro digital 2002350.</w:t>
      </w:r>
    </w:p>
    <w:p w14:paraId="54940BD0" w14:textId="77777777" w:rsidR="00343AB0" w:rsidRPr="006B3AD3" w:rsidRDefault="00343AB0" w:rsidP="00343AB0">
      <w:pPr>
        <w:spacing w:line="360" w:lineRule="auto"/>
        <w:jc w:val="both"/>
        <w:rPr>
          <w:rFonts w:ascii="Palatino Linotype" w:hAnsi="Palatino Linotype" w:cstheme="majorHAnsi"/>
          <w:bCs/>
          <w:sz w:val="24"/>
          <w:szCs w:val="24"/>
        </w:rPr>
      </w:pPr>
    </w:p>
    <w:p w14:paraId="761667D7" w14:textId="69900170" w:rsidR="00343AB0" w:rsidRPr="006B3AD3" w:rsidRDefault="00343AB0" w:rsidP="00343AB0">
      <w:pPr>
        <w:spacing w:line="360" w:lineRule="auto"/>
        <w:jc w:val="both"/>
        <w:rPr>
          <w:rFonts w:ascii="Palatino Linotype" w:hAnsi="Palatino Linotype"/>
          <w:sz w:val="24"/>
          <w:szCs w:val="24"/>
        </w:rPr>
      </w:pPr>
      <w:r w:rsidRPr="006B3AD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BF831F2" w14:textId="77777777" w:rsidR="00B234D3" w:rsidRPr="006B3AD3" w:rsidRDefault="00B234D3" w:rsidP="00DB52AF">
      <w:pPr>
        <w:spacing w:after="0" w:line="360" w:lineRule="auto"/>
        <w:jc w:val="center"/>
        <w:rPr>
          <w:rFonts w:ascii="Palatino Linotype" w:hAnsi="Palatino Linotype" w:cs="Arial"/>
          <w:b/>
          <w:sz w:val="24"/>
          <w:szCs w:val="24"/>
        </w:rPr>
      </w:pPr>
    </w:p>
    <w:p w14:paraId="4B5DB5B1" w14:textId="77777777" w:rsidR="00DB52AF" w:rsidRPr="006836FA" w:rsidRDefault="00DB52AF" w:rsidP="00DB52AF">
      <w:pPr>
        <w:spacing w:after="0" w:line="360" w:lineRule="auto"/>
        <w:jc w:val="center"/>
        <w:rPr>
          <w:rFonts w:ascii="Palatino Linotype" w:hAnsi="Palatino Linotype" w:cs="Arial"/>
          <w:sz w:val="28"/>
          <w:szCs w:val="28"/>
        </w:rPr>
      </w:pPr>
      <w:r w:rsidRPr="006836FA">
        <w:rPr>
          <w:rFonts w:ascii="Palatino Linotype" w:hAnsi="Palatino Linotype" w:cs="Arial"/>
          <w:b/>
          <w:sz w:val="28"/>
          <w:szCs w:val="28"/>
        </w:rPr>
        <w:t xml:space="preserve">C O N S I D E R A N D O </w:t>
      </w:r>
    </w:p>
    <w:p w14:paraId="6F83AEF0" w14:textId="77777777" w:rsidR="00343AB0" w:rsidRPr="006B3AD3" w:rsidRDefault="00343AB0" w:rsidP="00DB52AF">
      <w:pPr>
        <w:spacing w:after="0" w:line="360" w:lineRule="auto"/>
        <w:jc w:val="both"/>
        <w:rPr>
          <w:rFonts w:ascii="Palatino Linotype" w:hAnsi="Palatino Linotype" w:cs="Arial"/>
          <w:b/>
          <w:sz w:val="24"/>
          <w:szCs w:val="24"/>
        </w:rPr>
      </w:pPr>
    </w:p>
    <w:p w14:paraId="39B6F284" w14:textId="4E961A81" w:rsidR="00DB52AF" w:rsidRPr="006836FA" w:rsidRDefault="00DB52AF" w:rsidP="00DB52AF">
      <w:pPr>
        <w:spacing w:after="0" w:line="360" w:lineRule="auto"/>
        <w:jc w:val="both"/>
        <w:rPr>
          <w:rFonts w:ascii="Palatino Linotype" w:hAnsi="Palatino Linotype" w:cs="Arial"/>
          <w:sz w:val="28"/>
          <w:szCs w:val="28"/>
        </w:rPr>
      </w:pPr>
      <w:r w:rsidRPr="006836FA">
        <w:rPr>
          <w:rFonts w:ascii="Palatino Linotype" w:hAnsi="Palatino Linotype" w:cs="Arial"/>
          <w:b/>
          <w:sz w:val="28"/>
          <w:szCs w:val="28"/>
        </w:rPr>
        <w:t>PRIMERO. De la competencia</w:t>
      </w:r>
      <w:r w:rsidRPr="006836FA">
        <w:rPr>
          <w:rFonts w:ascii="Palatino Linotype" w:hAnsi="Palatino Linotype" w:cs="Arial"/>
          <w:sz w:val="28"/>
          <w:szCs w:val="28"/>
        </w:rPr>
        <w:t>.</w:t>
      </w:r>
    </w:p>
    <w:p w14:paraId="367289F2" w14:textId="5A9930B8" w:rsidR="000D7A2F"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382E70" w:rsidRPr="006B3AD3">
        <w:rPr>
          <w:rFonts w:ascii="Palatino Linotype" w:hAnsi="Palatino Linotype" w:cs="Arial"/>
          <w:sz w:val="24"/>
          <w:szCs w:val="24"/>
        </w:rPr>
        <w:t>la</w:t>
      </w:r>
      <w:r w:rsidRPr="006B3AD3">
        <w:rPr>
          <w:rFonts w:ascii="Palatino Linotype" w:hAnsi="Palatino Linotype" w:cs="Arial"/>
          <w:sz w:val="24"/>
          <w:szCs w:val="24"/>
        </w:rPr>
        <w:t xml:space="preserve"> ahora </w:t>
      </w:r>
      <w:r w:rsidRPr="006B3AD3">
        <w:rPr>
          <w:rFonts w:ascii="Palatino Linotype" w:hAnsi="Palatino Linotype" w:cs="Arial"/>
          <w:b/>
          <w:sz w:val="24"/>
          <w:szCs w:val="24"/>
        </w:rPr>
        <w:t>Recurrente</w:t>
      </w:r>
      <w:r w:rsidRPr="006B3AD3">
        <w:rPr>
          <w:rFonts w:ascii="Palatino Linotype" w:hAnsi="Palatino Linotype" w:cs="Arial"/>
          <w:sz w:val="24"/>
          <w:szCs w:val="24"/>
        </w:rPr>
        <w:t xml:space="preserve">, conforme a lo </w:t>
      </w:r>
    </w:p>
    <w:p w14:paraId="3A82740A" w14:textId="6322D15E" w:rsidR="00DB52AF"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sz w:val="24"/>
          <w:szCs w:val="24"/>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6B3AD3" w:rsidRDefault="00DB52AF" w:rsidP="00DB52AF">
      <w:pPr>
        <w:spacing w:after="0" w:line="360" w:lineRule="auto"/>
        <w:jc w:val="both"/>
        <w:rPr>
          <w:rFonts w:ascii="Palatino Linotype" w:hAnsi="Palatino Linotype" w:cs="Arial"/>
          <w:sz w:val="24"/>
          <w:szCs w:val="24"/>
        </w:rPr>
      </w:pPr>
    </w:p>
    <w:p w14:paraId="5DCD0EEB" w14:textId="77777777" w:rsidR="00DB52AF" w:rsidRPr="006836FA" w:rsidRDefault="00DB52AF" w:rsidP="00DB52AF">
      <w:pPr>
        <w:autoSpaceDE w:val="0"/>
        <w:autoSpaceDN w:val="0"/>
        <w:adjustRightInd w:val="0"/>
        <w:spacing w:after="0" w:line="360" w:lineRule="auto"/>
        <w:jc w:val="both"/>
        <w:rPr>
          <w:rFonts w:ascii="Palatino Linotype" w:hAnsi="Palatino Linotype" w:cs="Arial"/>
          <w:b/>
          <w:sz w:val="28"/>
          <w:szCs w:val="28"/>
        </w:rPr>
      </w:pPr>
      <w:r w:rsidRPr="006836FA">
        <w:rPr>
          <w:rFonts w:ascii="Palatino Linotype" w:hAnsi="Palatino Linotype" w:cs="Arial"/>
          <w:b/>
          <w:sz w:val="28"/>
          <w:szCs w:val="28"/>
        </w:rPr>
        <w:t xml:space="preserve">SEGUNDO. Alcance del recurso de revisión. </w:t>
      </w:r>
    </w:p>
    <w:p w14:paraId="1EC23E4A" w14:textId="77777777" w:rsidR="00DB52AF" w:rsidRPr="006B3AD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B3AD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87AAEB" w14:textId="31EE249D" w:rsidR="00DB52AF" w:rsidRPr="006B3AD3"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41EEF569" w:rsidR="00DB52AF" w:rsidRPr="006836FA"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6836FA">
        <w:rPr>
          <w:rFonts w:ascii="Palatino Linotype" w:eastAsia="Times New Roman" w:hAnsi="Palatino Linotype" w:cs="Arial"/>
          <w:b/>
          <w:sz w:val="28"/>
          <w:szCs w:val="28"/>
          <w:lang w:val="es-ES" w:eastAsia="es-ES"/>
        </w:rPr>
        <w:t>TERCERO.</w:t>
      </w:r>
      <w:r w:rsidRPr="006836FA">
        <w:rPr>
          <w:rFonts w:ascii="Palatino Linotype" w:eastAsia="Times New Roman" w:hAnsi="Palatino Linotype" w:cs="Arial"/>
          <w:sz w:val="28"/>
          <w:szCs w:val="28"/>
          <w:lang w:val="es-ES" w:eastAsia="es-ES"/>
        </w:rPr>
        <w:t xml:space="preserve"> </w:t>
      </w:r>
      <w:r w:rsidRPr="006836FA">
        <w:rPr>
          <w:rFonts w:ascii="Palatino Linotype" w:eastAsia="Times New Roman" w:hAnsi="Palatino Linotype" w:cs="Arial"/>
          <w:b/>
          <w:sz w:val="28"/>
          <w:szCs w:val="28"/>
          <w:lang w:val="es-ES" w:eastAsia="es-ES"/>
        </w:rPr>
        <w:t>De las causas de improcedencia</w:t>
      </w:r>
      <w:r w:rsidR="00382E70" w:rsidRPr="006836FA">
        <w:rPr>
          <w:rFonts w:ascii="Palatino Linotype" w:eastAsia="Times New Roman" w:hAnsi="Palatino Linotype" w:cs="Arial"/>
          <w:b/>
          <w:sz w:val="28"/>
          <w:szCs w:val="28"/>
          <w:lang w:val="es-ES" w:eastAsia="es-ES"/>
        </w:rPr>
        <w:t xml:space="preserve"> y sobreseimiento</w:t>
      </w:r>
    </w:p>
    <w:p w14:paraId="0E08D08D" w14:textId="7F70B196" w:rsidR="0062594E" w:rsidRDefault="0062594E" w:rsidP="0062594E">
      <w:pPr>
        <w:spacing w:line="360" w:lineRule="auto"/>
        <w:jc w:val="both"/>
        <w:rPr>
          <w:rFonts w:ascii="Palatino Linotype" w:hAnsi="Palatino Linotype"/>
          <w:sz w:val="24"/>
          <w:szCs w:val="24"/>
        </w:rPr>
      </w:pPr>
      <w:r w:rsidRPr="006B3AD3">
        <w:rPr>
          <w:rFonts w:ascii="Palatino Linotype" w:hAnsi="Palatino Linotype"/>
          <w:sz w:val="24"/>
          <w:szCs w:val="24"/>
        </w:rPr>
        <w:t>Este Instituto realiza el estudio oficioso de las causales de improcedencia, por tratarse de una cuestión de orden público y de estudio preferente (acorde con el Criterio orientador en la Tesis de Jurisprudencia “</w:t>
      </w:r>
      <w:r w:rsidRPr="006B3AD3">
        <w:rPr>
          <w:rFonts w:ascii="Palatino Linotype" w:hAnsi="Palatino Linotype"/>
          <w:b/>
          <w:sz w:val="24"/>
          <w:szCs w:val="24"/>
        </w:rPr>
        <w:t>IMPROCEDENCIA</w:t>
      </w:r>
      <w:r w:rsidRPr="006B3AD3">
        <w:rPr>
          <w:rFonts w:ascii="Palatino Linotype" w:hAnsi="Palatino Linotype"/>
          <w:sz w:val="24"/>
          <w:szCs w:val="24"/>
        </w:rPr>
        <w:t xml:space="preserve">.” </w:t>
      </w:r>
      <w:r w:rsidRPr="006B3AD3">
        <w:rPr>
          <w:rFonts w:ascii="Palatino Linotype" w:hAnsi="Palatino Linotype"/>
          <w:b/>
          <w:sz w:val="24"/>
          <w:szCs w:val="24"/>
        </w:rPr>
        <w:t>(Semanario Judicial de la Federación, Quinta Época, 1985, pág. 262),</w:t>
      </w:r>
      <w:r w:rsidRPr="006B3AD3">
        <w:rPr>
          <w:rFonts w:ascii="Palatino Linotype" w:hAnsi="Palatino Linotype"/>
          <w:sz w:val="24"/>
          <w:szCs w:val="24"/>
        </w:rPr>
        <w:t xml:space="preserve"> el cual establece que debe examinarse previamente la procedencia del juicio de amparo, sea que las partes lo soliciten o no, por ser una cuestión de orden público; de tal suerte, deberá ser desechado cualquier </w:t>
      </w:r>
      <w:r w:rsidRPr="006B3AD3">
        <w:rPr>
          <w:rFonts w:ascii="Palatino Linotype" w:hAnsi="Palatino Linotype"/>
          <w:sz w:val="24"/>
          <w:szCs w:val="24"/>
        </w:rPr>
        <w:lastRenderedPageBreak/>
        <w:t>Recurso de Revisión que actualice alguno de los supuestos establecidos en el artículo 191 de la Ley de Transparencia y Acceso a la Información Pública del Estado de México y Municipios, por ser improcedente.</w:t>
      </w:r>
    </w:p>
    <w:p w14:paraId="2159C034" w14:textId="77777777" w:rsidR="006836FA" w:rsidRPr="006B3AD3" w:rsidRDefault="006836FA" w:rsidP="0062594E">
      <w:pPr>
        <w:spacing w:line="360" w:lineRule="auto"/>
        <w:jc w:val="both"/>
        <w:rPr>
          <w:rFonts w:ascii="Palatino Linotype" w:hAnsi="Palatino Linotype"/>
          <w:sz w:val="24"/>
          <w:szCs w:val="24"/>
        </w:rPr>
      </w:pPr>
    </w:p>
    <w:p w14:paraId="033575C9" w14:textId="77777777" w:rsidR="0062594E" w:rsidRPr="006B3AD3" w:rsidRDefault="0062594E" w:rsidP="0062594E">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6B3AD3">
        <w:rPr>
          <w:rFonts w:ascii="Palatino Linotype" w:eastAsia="Calibri" w:hAnsi="Palatino Linotype" w:cs="Tahoma"/>
          <w:color w:val="000000"/>
          <w:sz w:val="24"/>
          <w:szCs w:val="24"/>
          <w:lang w:eastAsia="es-MX"/>
        </w:rPr>
        <w:t xml:space="preserve">Así, el artículo 191 de la </w:t>
      </w:r>
      <w:r w:rsidRPr="006B3AD3">
        <w:rPr>
          <w:rFonts w:ascii="Palatino Linotype" w:hAnsi="Palatino Linotype"/>
          <w:sz w:val="24"/>
          <w:szCs w:val="24"/>
        </w:rPr>
        <w:t>Ley de Transparencia y Acceso a la Información Pública del Estado de México y Municipios</w:t>
      </w:r>
      <w:r w:rsidRPr="006B3AD3">
        <w:rPr>
          <w:rFonts w:ascii="Palatino Linotype" w:eastAsia="Calibri" w:hAnsi="Palatino Linotype" w:cs="Tahoma"/>
          <w:color w:val="000000"/>
          <w:sz w:val="24"/>
          <w:szCs w:val="24"/>
          <w:lang w:eastAsia="es-MX"/>
        </w:rPr>
        <w:t>, señala que el Recurso de Revisión podrá ser desechado por improcedente cuando:</w:t>
      </w:r>
    </w:p>
    <w:p w14:paraId="34F45B37" w14:textId="77777777" w:rsidR="0062594E" w:rsidRPr="006B3AD3" w:rsidRDefault="0062594E" w:rsidP="0062594E">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1D5C137E" w14:textId="77777777" w:rsidR="0062594E" w:rsidRPr="006B3AD3" w:rsidRDefault="0062594E" w:rsidP="0062594E">
      <w:pPr>
        <w:autoSpaceDE w:val="0"/>
        <w:autoSpaceDN w:val="0"/>
        <w:adjustRightInd w:val="0"/>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 Sea extemporáneo por haber transcurrido el plazo establecido en la presente Ley, a partir de la respuesta; </w:t>
      </w:r>
    </w:p>
    <w:p w14:paraId="70649054" w14:textId="77777777" w:rsidR="0062594E" w:rsidRPr="006B3AD3" w:rsidRDefault="0062594E" w:rsidP="0062594E">
      <w:pPr>
        <w:autoSpaceDE w:val="0"/>
        <w:autoSpaceDN w:val="0"/>
        <w:adjustRightInd w:val="0"/>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II. Se esté tramitando ante el Poder Judicial de la Federación algún recurso o medio de defensa interpuesto por el recurrente; </w:t>
      </w:r>
    </w:p>
    <w:p w14:paraId="5D01D243" w14:textId="77777777" w:rsidR="0062594E" w:rsidRPr="006B3AD3" w:rsidRDefault="0062594E" w:rsidP="0062594E">
      <w:pPr>
        <w:autoSpaceDE w:val="0"/>
        <w:autoSpaceDN w:val="0"/>
        <w:adjustRightInd w:val="0"/>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III. No actualice alguno de los supuestos previstos en la presente Ley; </w:t>
      </w:r>
    </w:p>
    <w:p w14:paraId="29EC35F9" w14:textId="77777777" w:rsidR="0062594E" w:rsidRPr="006B3AD3" w:rsidRDefault="0062594E" w:rsidP="0062594E">
      <w:pPr>
        <w:autoSpaceDE w:val="0"/>
        <w:autoSpaceDN w:val="0"/>
        <w:adjustRightInd w:val="0"/>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IV. No se haya desahogado la prevención en los términos establecidos en la presente Ley; </w:t>
      </w:r>
    </w:p>
    <w:p w14:paraId="65DF5EEE" w14:textId="77777777" w:rsidR="0062594E" w:rsidRPr="006B3AD3" w:rsidRDefault="0062594E" w:rsidP="0062594E">
      <w:pPr>
        <w:autoSpaceDE w:val="0"/>
        <w:autoSpaceDN w:val="0"/>
        <w:adjustRightInd w:val="0"/>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V. Se impugne la veracidad de la información proporcionada; </w:t>
      </w:r>
    </w:p>
    <w:p w14:paraId="4549C99F" w14:textId="77777777" w:rsidR="0062594E" w:rsidRPr="006B3AD3" w:rsidRDefault="0062594E" w:rsidP="0062594E">
      <w:pPr>
        <w:autoSpaceDE w:val="0"/>
        <w:autoSpaceDN w:val="0"/>
        <w:adjustRightInd w:val="0"/>
        <w:spacing w:line="360" w:lineRule="auto"/>
        <w:ind w:left="567" w:right="539"/>
        <w:jc w:val="both"/>
        <w:rPr>
          <w:rFonts w:ascii="Palatino Linotype" w:hAnsi="Palatino Linotype"/>
          <w:b/>
          <w:bCs/>
          <w:i/>
          <w:iCs/>
          <w:sz w:val="24"/>
          <w:szCs w:val="24"/>
          <w:u w:val="single"/>
        </w:rPr>
      </w:pPr>
      <w:r w:rsidRPr="006B3AD3">
        <w:rPr>
          <w:rFonts w:ascii="Palatino Linotype" w:hAnsi="Palatino Linotype"/>
          <w:b/>
          <w:bCs/>
          <w:i/>
          <w:iCs/>
          <w:sz w:val="24"/>
          <w:szCs w:val="24"/>
          <w:u w:val="single"/>
        </w:rPr>
        <w:t xml:space="preserve">VI. Se trate de una consulta, o trámite en específico; y </w:t>
      </w:r>
    </w:p>
    <w:p w14:paraId="3AC8A796" w14:textId="77777777" w:rsidR="0062594E" w:rsidRPr="006B3AD3" w:rsidRDefault="0062594E" w:rsidP="0062594E">
      <w:pPr>
        <w:autoSpaceDE w:val="0"/>
        <w:autoSpaceDN w:val="0"/>
        <w:adjustRightInd w:val="0"/>
        <w:spacing w:line="360" w:lineRule="auto"/>
        <w:ind w:left="567" w:right="539"/>
        <w:jc w:val="both"/>
        <w:rPr>
          <w:rFonts w:ascii="Palatino Linotype" w:eastAsia="Calibri" w:hAnsi="Palatino Linotype" w:cs="Tahoma"/>
          <w:i/>
          <w:iCs/>
          <w:color w:val="000000"/>
          <w:sz w:val="24"/>
          <w:szCs w:val="24"/>
          <w:lang w:eastAsia="es-MX"/>
        </w:rPr>
      </w:pPr>
      <w:r w:rsidRPr="006B3AD3">
        <w:rPr>
          <w:rFonts w:ascii="Palatino Linotype" w:hAnsi="Palatino Linotype"/>
          <w:i/>
          <w:iCs/>
          <w:sz w:val="24"/>
          <w:szCs w:val="24"/>
        </w:rPr>
        <w:t>VII. El recurrente amplíe su solicitud en el recurso de revisión, únicamente respecto de los nuevos contenidos.</w:t>
      </w:r>
    </w:p>
    <w:p w14:paraId="3ED202A1" w14:textId="77777777" w:rsidR="0062594E" w:rsidRPr="006B3AD3" w:rsidRDefault="0062594E" w:rsidP="0062594E">
      <w:pPr>
        <w:spacing w:line="360" w:lineRule="auto"/>
        <w:jc w:val="both"/>
        <w:rPr>
          <w:rFonts w:ascii="Palatino Linotype" w:hAnsi="Palatino Linotype" w:cs="Tahoma"/>
          <w:sz w:val="24"/>
          <w:szCs w:val="24"/>
          <w:shd w:val="clear" w:color="auto" w:fill="FFFFFF"/>
          <w:lang w:val="es-ES"/>
        </w:rPr>
      </w:pPr>
    </w:p>
    <w:p w14:paraId="19BBABDD" w14:textId="36B7DC9C" w:rsidR="0062594E" w:rsidRPr="006B3AD3" w:rsidRDefault="0062594E" w:rsidP="0062594E">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6B3AD3">
        <w:rPr>
          <w:rFonts w:ascii="Palatino Linotype" w:eastAsia="Calibri" w:hAnsi="Palatino Linotype" w:cs="Tahoma"/>
          <w:color w:val="000000"/>
          <w:sz w:val="24"/>
          <w:szCs w:val="24"/>
          <w:lang w:eastAsia="es-MX"/>
        </w:rPr>
        <w:lastRenderedPageBreak/>
        <w:t xml:space="preserve">Por lo tanto, este Instituto advierte que en el Recurso de Revisión que nos ocupa, es necesario entrar al estudio de la causal de improcedencia contenida en la fracción </w:t>
      </w:r>
      <w:r w:rsidR="00C52FD2" w:rsidRPr="006B3AD3">
        <w:rPr>
          <w:rFonts w:ascii="Palatino Linotype" w:eastAsia="Calibri" w:hAnsi="Palatino Linotype" w:cs="Tahoma"/>
          <w:color w:val="000000"/>
          <w:sz w:val="24"/>
          <w:szCs w:val="24"/>
          <w:lang w:eastAsia="es-MX"/>
        </w:rPr>
        <w:t xml:space="preserve">VI </w:t>
      </w:r>
      <w:r w:rsidRPr="006B3AD3">
        <w:rPr>
          <w:rFonts w:ascii="Palatino Linotype" w:eastAsia="Calibri" w:hAnsi="Palatino Linotype" w:cs="Tahoma"/>
          <w:color w:val="000000"/>
          <w:sz w:val="24"/>
          <w:szCs w:val="24"/>
          <w:lang w:eastAsia="es-MX"/>
        </w:rPr>
        <w:t xml:space="preserve">del numeral en cita, la cual versa en que </w:t>
      </w:r>
      <w:r w:rsidR="00C52FD2" w:rsidRPr="006B3AD3">
        <w:rPr>
          <w:rFonts w:ascii="Palatino Linotype" w:eastAsia="Calibri" w:hAnsi="Palatino Linotype" w:cs="Tahoma"/>
          <w:color w:val="000000"/>
          <w:sz w:val="24"/>
          <w:szCs w:val="24"/>
          <w:lang w:eastAsia="es-MX"/>
        </w:rPr>
        <w:t>se trate de una consulta o trámite en específico.</w:t>
      </w:r>
    </w:p>
    <w:p w14:paraId="4FBCFACD" w14:textId="77777777" w:rsidR="0062594E" w:rsidRPr="006B3AD3" w:rsidRDefault="0062594E" w:rsidP="0062594E">
      <w:pPr>
        <w:spacing w:line="360" w:lineRule="auto"/>
        <w:jc w:val="both"/>
        <w:rPr>
          <w:rFonts w:ascii="Palatino Linotype" w:hAnsi="Palatino Linotype"/>
          <w:b/>
          <w:sz w:val="24"/>
          <w:szCs w:val="24"/>
        </w:rPr>
      </w:pPr>
    </w:p>
    <w:p w14:paraId="1FEE692F" w14:textId="77777777" w:rsidR="0062594E" w:rsidRPr="006B3AD3" w:rsidRDefault="0062594E" w:rsidP="0062594E">
      <w:pPr>
        <w:spacing w:line="360" w:lineRule="auto"/>
        <w:jc w:val="both"/>
        <w:rPr>
          <w:rFonts w:ascii="Palatino Linotype" w:hAnsi="Palatino Linotype" w:cs="Tahoma"/>
          <w:sz w:val="24"/>
          <w:szCs w:val="24"/>
        </w:rPr>
      </w:pPr>
      <w:r w:rsidRPr="006B3AD3">
        <w:rPr>
          <w:rFonts w:ascii="Palatino Linotype" w:hAnsi="Palatino Linotype" w:cs="Tahoma"/>
          <w:sz w:val="24"/>
          <w:szCs w:val="24"/>
        </w:rPr>
        <w:t xml:space="preserve">Así entonces, en congruencia con el apartado precedente, el artículo 192 de la </w:t>
      </w:r>
      <w:r w:rsidRPr="006B3AD3">
        <w:rPr>
          <w:rFonts w:ascii="Palatino Linotype" w:hAnsi="Palatino Linotype"/>
          <w:sz w:val="24"/>
          <w:szCs w:val="24"/>
        </w:rPr>
        <w:t>Ley de Transparencia y Acceso a la Información Pública del Estado de México y Municipios</w:t>
      </w:r>
      <w:r w:rsidRPr="006B3AD3">
        <w:rPr>
          <w:rFonts w:ascii="Palatino Linotype" w:hAnsi="Palatino Linotype" w:cs="Tahoma"/>
          <w:sz w:val="24"/>
          <w:szCs w:val="24"/>
        </w:rPr>
        <w:t xml:space="preserve">, señala que el Recurso de Revisión será sobreseído cuando una vez admitido, se actualice alguno de los supuestos siguientes: </w:t>
      </w:r>
    </w:p>
    <w:p w14:paraId="1845FA55" w14:textId="77777777" w:rsidR="0062594E" w:rsidRPr="006B3AD3" w:rsidRDefault="0062594E" w:rsidP="0062594E">
      <w:pPr>
        <w:spacing w:line="360" w:lineRule="auto"/>
        <w:jc w:val="both"/>
        <w:rPr>
          <w:rFonts w:ascii="Palatino Linotype" w:hAnsi="Palatino Linotype" w:cs="Tahoma"/>
          <w:sz w:val="24"/>
          <w:szCs w:val="24"/>
        </w:rPr>
      </w:pPr>
    </w:p>
    <w:p w14:paraId="4FA14294" w14:textId="77777777" w:rsidR="0062594E" w:rsidRPr="006B3AD3" w:rsidRDefault="0062594E" w:rsidP="0062594E">
      <w:pPr>
        <w:spacing w:line="360" w:lineRule="auto"/>
        <w:ind w:left="567" w:right="539"/>
        <w:jc w:val="both"/>
        <w:rPr>
          <w:rFonts w:ascii="Palatino Linotype" w:hAnsi="Palatino Linotype"/>
          <w:i/>
          <w:iCs/>
          <w:sz w:val="24"/>
          <w:szCs w:val="24"/>
        </w:rPr>
      </w:pPr>
      <w:r w:rsidRPr="006B3AD3">
        <w:rPr>
          <w:rFonts w:ascii="Palatino Linotype" w:hAnsi="Palatino Linotype"/>
          <w:b/>
          <w:bCs/>
          <w:i/>
          <w:iCs/>
          <w:sz w:val="24"/>
          <w:szCs w:val="24"/>
        </w:rPr>
        <w:t>Artículo 192.</w:t>
      </w:r>
      <w:r w:rsidRPr="006B3AD3">
        <w:rPr>
          <w:rFonts w:ascii="Palatino Linotype" w:hAnsi="Palatino Linotype"/>
          <w:i/>
          <w:iCs/>
          <w:sz w:val="24"/>
          <w:szCs w:val="24"/>
        </w:rPr>
        <w:t xml:space="preserve"> El recurso será sobreseído, en todo o en parte, cuando una vez admitido, se actualicen alguno de los siguientes supuestos:</w:t>
      </w:r>
    </w:p>
    <w:p w14:paraId="7D2712FE" w14:textId="77777777" w:rsidR="0062594E" w:rsidRPr="006B3AD3" w:rsidRDefault="0062594E" w:rsidP="0062594E">
      <w:pPr>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 El recurrente se desista expresamente del recurso; </w:t>
      </w:r>
    </w:p>
    <w:p w14:paraId="5F108FFC" w14:textId="77777777" w:rsidR="0062594E" w:rsidRPr="006B3AD3" w:rsidRDefault="0062594E" w:rsidP="0062594E">
      <w:pPr>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II. El recurrente fallezca o, tratándose de personas jurídicas colectivas, se disuelva; </w:t>
      </w:r>
    </w:p>
    <w:p w14:paraId="19709E2D" w14:textId="77777777" w:rsidR="0062594E" w:rsidRPr="006B3AD3" w:rsidRDefault="0062594E" w:rsidP="0062594E">
      <w:pPr>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 xml:space="preserve">III. El sujeto obligado responsable del acto lo modifique o revoque de tal manera que el recurso de revisión quede sin materia; </w:t>
      </w:r>
    </w:p>
    <w:p w14:paraId="1070DFD8" w14:textId="77777777" w:rsidR="0062594E" w:rsidRPr="006B3AD3" w:rsidRDefault="0062594E" w:rsidP="0062594E">
      <w:pPr>
        <w:spacing w:line="360" w:lineRule="auto"/>
        <w:ind w:left="567" w:right="539"/>
        <w:jc w:val="both"/>
        <w:rPr>
          <w:rFonts w:ascii="Palatino Linotype" w:hAnsi="Palatino Linotype"/>
          <w:b/>
          <w:bCs/>
          <w:i/>
          <w:iCs/>
          <w:sz w:val="24"/>
          <w:szCs w:val="24"/>
          <w:u w:val="single"/>
        </w:rPr>
      </w:pPr>
      <w:r w:rsidRPr="006B3AD3">
        <w:rPr>
          <w:rFonts w:ascii="Palatino Linotype" w:hAnsi="Palatino Linotype"/>
          <w:b/>
          <w:bCs/>
          <w:i/>
          <w:iCs/>
          <w:sz w:val="24"/>
          <w:szCs w:val="24"/>
          <w:u w:val="single"/>
        </w:rPr>
        <w:t>IV. Admitido el recurso de revisión, aparezca alguna causal de improcedencia en los términos de la presente Ley; y</w:t>
      </w:r>
    </w:p>
    <w:p w14:paraId="55481D7C" w14:textId="77777777" w:rsidR="0062594E" w:rsidRPr="006B3AD3" w:rsidRDefault="0062594E" w:rsidP="0062594E">
      <w:pPr>
        <w:spacing w:line="360" w:lineRule="auto"/>
        <w:ind w:left="567" w:right="539"/>
        <w:jc w:val="both"/>
        <w:rPr>
          <w:rFonts w:ascii="Palatino Linotype" w:hAnsi="Palatino Linotype"/>
          <w:i/>
          <w:iCs/>
          <w:sz w:val="24"/>
          <w:szCs w:val="24"/>
        </w:rPr>
      </w:pPr>
      <w:r w:rsidRPr="006B3AD3">
        <w:rPr>
          <w:rFonts w:ascii="Palatino Linotype" w:hAnsi="Palatino Linotype"/>
          <w:i/>
          <w:iCs/>
          <w:sz w:val="24"/>
          <w:szCs w:val="24"/>
        </w:rPr>
        <w:t>V. Cuando por cualquier motivo quede sin materia el recurso.</w:t>
      </w:r>
    </w:p>
    <w:p w14:paraId="4AA00AD8" w14:textId="77777777" w:rsidR="0062594E" w:rsidRPr="006B3AD3" w:rsidRDefault="0062594E" w:rsidP="0062594E">
      <w:pPr>
        <w:spacing w:line="360" w:lineRule="auto"/>
        <w:jc w:val="both"/>
        <w:rPr>
          <w:rFonts w:ascii="Palatino Linotype" w:hAnsi="Palatino Linotype" w:cs="Tahoma"/>
          <w:sz w:val="24"/>
          <w:szCs w:val="24"/>
          <w:shd w:val="clear" w:color="auto" w:fill="FFFFFF"/>
        </w:rPr>
      </w:pPr>
    </w:p>
    <w:p w14:paraId="78CCD06A" w14:textId="3A694D1F" w:rsidR="0062594E" w:rsidRPr="006B3AD3" w:rsidRDefault="0062594E" w:rsidP="0062594E">
      <w:pPr>
        <w:spacing w:line="360" w:lineRule="auto"/>
        <w:jc w:val="both"/>
        <w:rPr>
          <w:rFonts w:ascii="Palatino Linotype" w:hAnsi="Palatino Linotype" w:cs="Tahoma"/>
          <w:sz w:val="24"/>
          <w:szCs w:val="24"/>
        </w:rPr>
      </w:pPr>
      <w:r w:rsidRPr="006B3AD3">
        <w:rPr>
          <w:rFonts w:ascii="Palatino Linotype" w:hAnsi="Palatino Linotype" w:cs="Tahoma"/>
          <w:sz w:val="24"/>
          <w:szCs w:val="24"/>
        </w:rPr>
        <w:lastRenderedPageBreak/>
        <w:t xml:space="preserve">Es de señalar que toda vez admitido el Recurso de Revisión, se actualiza una causal de sobreseimiento en términos de la Ley, es procedente analizar la causal de la fracción </w:t>
      </w:r>
      <w:r w:rsidR="005C7B85" w:rsidRPr="006B3AD3">
        <w:rPr>
          <w:rFonts w:ascii="Palatino Linotype" w:hAnsi="Palatino Linotype" w:cs="Tahoma"/>
          <w:sz w:val="24"/>
          <w:szCs w:val="24"/>
        </w:rPr>
        <w:t>IV</w:t>
      </w:r>
      <w:r w:rsidR="00C52FD2" w:rsidRPr="006B3AD3">
        <w:rPr>
          <w:rFonts w:ascii="Palatino Linotype" w:hAnsi="Palatino Linotype" w:cs="Tahoma"/>
          <w:sz w:val="24"/>
          <w:szCs w:val="24"/>
        </w:rPr>
        <w:t xml:space="preserve"> </w:t>
      </w:r>
      <w:r w:rsidRPr="006B3AD3">
        <w:rPr>
          <w:rFonts w:ascii="Palatino Linotype" w:hAnsi="Palatino Linotype" w:cs="Tahoma"/>
          <w:sz w:val="24"/>
          <w:szCs w:val="24"/>
        </w:rPr>
        <w:t>del artículo en cita.</w:t>
      </w:r>
    </w:p>
    <w:p w14:paraId="64646B71" w14:textId="77777777" w:rsidR="0062594E" w:rsidRPr="006B3AD3" w:rsidRDefault="0062594E" w:rsidP="0062594E">
      <w:pPr>
        <w:spacing w:line="360" w:lineRule="auto"/>
        <w:contextualSpacing/>
        <w:jc w:val="both"/>
        <w:rPr>
          <w:rFonts w:ascii="Palatino Linotype" w:eastAsia="Calibri" w:hAnsi="Palatino Linotype" w:cs="Tahoma"/>
          <w:bCs/>
          <w:color w:val="000000"/>
          <w:sz w:val="24"/>
          <w:szCs w:val="24"/>
          <w:lang w:eastAsia="es-ES_tradnl"/>
        </w:rPr>
      </w:pPr>
    </w:p>
    <w:p w14:paraId="7B7AAE7B" w14:textId="77777777" w:rsidR="0062594E" w:rsidRPr="006B3AD3" w:rsidRDefault="0062594E" w:rsidP="0062594E">
      <w:pPr>
        <w:spacing w:line="360" w:lineRule="auto"/>
        <w:contextualSpacing/>
        <w:jc w:val="both"/>
        <w:rPr>
          <w:rFonts w:ascii="Palatino Linotype" w:eastAsia="Calibri" w:hAnsi="Palatino Linotype" w:cs="Tahoma"/>
          <w:iCs/>
          <w:sz w:val="24"/>
          <w:szCs w:val="24"/>
          <w:lang w:eastAsia="es-ES_tradnl"/>
        </w:rPr>
      </w:pPr>
      <w:r w:rsidRPr="006B3AD3">
        <w:rPr>
          <w:rFonts w:ascii="Palatino Linotype" w:eastAsia="Calibri" w:hAnsi="Palatino Linotype" w:cs="Tahoma"/>
          <w:bCs/>
          <w:color w:val="000000"/>
          <w:sz w:val="24"/>
          <w:szCs w:val="24"/>
          <w:lang w:eastAsia="es-ES_tradnl"/>
        </w:rPr>
        <w:t xml:space="preserve">Así, con la finalidad de analizar la causal de sobreseimiento precisada por este Instituto en el presente Recurso de Revisión, </w:t>
      </w:r>
      <w:r w:rsidRPr="006B3AD3">
        <w:rPr>
          <w:rFonts w:ascii="Palatino Linotype" w:hAnsi="Palatino Linotype" w:cs="Tahoma"/>
          <w:sz w:val="24"/>
          <w:szCs w:val="24"/>
        </w:rPr>
        <w:t xml:space="preserve">se realizará la relatoría de las actuaciones contenidas en el expediente electrónico formado en el Sistema de Acceso a la Información Mexiquense (SAIMEX), esto, </w:t>
      </w:r>
      <w:r w:rsidRPr="006B3AD3">
        <w:rPr>
          <w:rFonts w:ascii="Palatino Linotype" w:eastAsia="Calibri" w:hAnsi="Palatino Linotype" w:cs="Tahoma"/>
          <w:iCs/>
          <w:sz w:val="24"/>
          <w:szCs w:val="24"/>
          <w:lang w:eastAsia="es-ES_tradnl"/>
        </w:rPr>
        <w:t>con el propósito de dar claridad en el procedimiento de acceso a la información pública.</w:t>
      </w:r>
    </w:p>
    <w:p w14:paraId="2C849C1F" w14:textId="77777777" w:rsidR="0062594E" w:rsidRPr="006B3AD3" w:rsidRDefault="0062594E" w:rsidP="0062594E">
      <w:pPr>
        <w:spacing w:line="360" w:lineRule="auto"/>
        <w:contextualSpacing/>
        <w:jc w:val="both"/>
        <w:rPr>
          <w:rFonts w:ascii="Palatino Linotype" w:eastAsia="Calibri" w:hAnsi="Palatino Linotype" w:cs="Tahoma"/>
          <w:iCs/>
          <w:sz w:val="24"/>
          <w:szCs w:val="24"/>
          <w:lang w:eastAsia="es-ES_tradnl"/>
        </w:rPr>
      </w:pPr>
    </w:p>
    <w:p w14:paraId="7666196A" w14:textId="77777777" w:rsidR="0062594E" w:rsidRPr="006B3AD3" w:rsidRDefault="0062594E" w:rsidP="0062594E">
      <w:pPr>
        <w:spacing w:line="360" w:lineRule="auto"/>
        <w:jc w:val="both"/>
        <w:rPr>
          <w:rFonts w:ascii="Palatino Linotype" w:hAnsi="Palatino Linotype" w:cs="Tahoma"/>
          <w:bCs/>
          <w:color w:val="0D0D0D" w:themeColor="text1" w:themeTint="F2"/>
          <w:sz w:val="24"/>
          <w:szCs w:val="24"/>
        </w:rPr>
      </w:pPr>
      <w:r w:rsidRPr="006B3AD3">
        <w:rPr>
          <w:rFonts w:ascii="Palatino Linotype" w:eastAsia="Calibri" w:hAnsi="Palatino Linotype" w:cs="Tahoma"/>
          <w:bCs/>
          <w:sz w:val="24"/>
          <w:szCs w:val="24"/>
        </w:rPr>
        <w:t xml:space="preserve">En este sentido, es necesario precisar </w:t>
      </w:r>
      <w:r w:rsidRPr="006B3AD3">
        <w:rPr>
          <w:rFonts w:ascii="Palatino Linotype" w:eastAsia="Calibri" w:hAnsi="Palatino Linotype" w:cs="Tahoma"/>
          <w:bCs/>
          <w:sz w:val="24"/>
          <w:szCs w:val="24"/>
          <w:lang w:val="es-ES"/>
        </w:rPr>
        <w:t>los alcances del requerimiento de acceso a la información pública del Particular, mismos que versan en</w:t>
      </w:r>
      <w:r w:rsidRPr="006B3AD3">
        <w:rPr>
          <w:rFonts w:ascii="Palatino Linotype" w:hAnsi="Palatino Linotype" w:cs="Tahoma"/>
          <w:bCs/>
          <w:color w:val="0D0D0D" w:themeColor="text1" w:themeTint="F2"/>
          <w:sz w:val="24"/>
          <w:szCs w:val="24"/>
        </w:rPr>
        <w:t xml:space="preserve"> acceder a lo siguiente: </w:t>
      </w:r>
    </w:p>
    <w:p w14:paraId="2FEFF370" w14:textId="7DFA3AF0" w:rsidR="00181189" w:rsidRPr="006B3AD3" w:rsidRDefault="00181189" w:rsidP="00181189">
      <w:pPr>
        <w:tabs>
          <w:tab w:val="left" w:pos="5647"/>
        </w:tabs>
        <w:spacing w:after="0" w:line="360" w:lineRule="auto"/>
        <w:ind w:left="567" w:right="851"/>
        <w:jc w:val="both"/>
        <w:rPr>
          <w:rFonts w:ascii="Palatino Linotype" w:hAnsi="Palatino Linotype"/>
          <w:b/>
          <w:i/>
          <w:sz w:val="24"/>
          <w:szCs w:val="24"/>
        </w:rPr>
      </w:pPr>
      <w:r w:rsidRPr="006B3AD3">
        <w:rPr>
          <w:rFonts w:ascii="Palatino Linotype" w:hAnsi="Palatino Linotype"/>
          <w:b/>
          <w:i/>
          <w:sz w:val="24"/>
          <w:szCs w:val="24"/>
        </w:rPr>
        <w:t>REQUERIMIENTO:</w:t>
      </w:r>
    </w:p>
    <w:p w14:paraId="320A7EB7" w14:textId="320317B4" w:rsidR="00CB0658" w:rsidRPr="006B3AD3" w:rsidRDefault="00CB0658" w:rsidP="008207A4">
      <w:pPr>
        <w:pStyle w:val="Prrafodelista"/>
        <w:numPr>
          <w:ilvl w:val="0"/>
          <w:numId w:val="7"/>
        </w:numPr>
        <w:spacing w:line="360" w:lineRule="auto"/>
        <w:ind w:right="49"/>
        <w:jc w:val="both"/>
        <w:rPr>
          <w:rFonts w:ascii="Palatino Linotype" w:hAnsi="Palatino Linotype" w:cs="Arial"/>
          <w:iCs/>
        </w:rPr>
      </w:pPr>
      <w:r w:rsidRPr="006B3AD3">
        <w:rPr>
          <w:rFonts w:ascii="Palatino Linotype" w:hAnsi="Palatino Linotype" w:cs="Arial"/>
        </w:rPr>
        <w:t>L</w:t>
      </w:r>
      <w:r w:rsidRPr="006B3AD3">
        <w:rPr>
          <w:rFonts w:ascii="Palatino Linotype" w:hAnsi="Palatino Linotype"/>
          <w:iCs/>
        </w:rPr>
        <w:t xml:space="preserve">a respuesta al escrito dirigido a la Presidenta Municipal, en marzo 2022, solicitando la pavimentación de la calle </w:t>
      </w:r>
      <w:proofErr w:type="spellStart"/>
      <w:r w:rsidRPr="006B3AD3">
        <w:rPr>
          <w:rFonts w:ascii="Palatino Linotype" w:hAnsi="Palatino Linotype"/>
          <w:iCs/>
        </w:rPr>
        <w:t>Apapasco</w:t>
      </w:r>
      <w:proofErr w:type="spellEnd"/>
      <w:r w:rsidRPr="006B3AD3">
        <w:rPr>
          <w:rFonts w:ascii="Palatino Linotype" w:hAnsi="Palatino Linotype"/>
          <w:iCs/>
        </w:rPr>
        <w:t>, entre Juan de la Barrera y Margaritas, colonia Acuitlapilco</w:t>
      </w:r>
      <w:r w:rsidRPr="006B3AD3">
        <w:rPr>
          <w:rFonts w:ascii="Palatino Linotype" w:hAnsi="Palatino Linotype" w:cs="Arial"/>
          <w:iCs/>
        </w:rPr>
        <w:t>.</w:t>
      </w:r>
    </w:p>
    <w:p w14:paraId="0E9E53D0" w14:textId="44BB1AFB" w:rsidR="00CB0658" w:rsidRPr="006B3AD3" w:rsidRDefault="003E7632" w:rsidP="00CB0658">
      <w:pPr>
        <w:spacing w:after="0" w:line="360" w:lineRule="auto"/>
        <w:ind w:right="49"/>
        <w:jc w:val="both"/>
        <w:rPr>
          <w:rFonts w:ascii="Palatino Linotype" w:hAnsi="Palatino Linotype" w:cs="Arial"/>
          <w:sz w:val="24"/>
          <w:szCs w:val="24"/>
        </w:rPr>
      </w:pPr>
      <w:r w:rsidRPr="006B3AD3">
        <w:rPr>
          <w:rFonts w:ascii="Palatino Linotype" w:hAnsi="Palatino Linotype" w:cs="Arial"/>
          <w:sz w:val="24"/>
          <w:szCs w:val="24"/>
        </w:rPr>
        <w:t xml:space="preserve"> </w:t>
      </w:r>
    </w:p>
    <w:p w14:paraId="2ACCC2E0" w14:textId="7BCCFD72" w:rsidR="00AB7D4E" w:rsidRPr="006B3AD3" w:rsidRDefault="003E7632" w:rsidP="00AB7D4E">
      <w:pPr>
        <w:spacing w:line="360" w:lineRule="auto"/>
        <w:ind w:right="49"/>
        <w:jc w:val="both"/>
        <w:rPr>
          <w:rFonts w:ascii="Palatino Linotype" w:hAnsi="Palatino Linotype" w:cs="Arial"/>
          <w:sz w:val="24"/>
          <w:szCs w:val="24"/>
        </w:rPr>
      </w:pPr>
      <w:r w:rsidRPr="006B3AD3">
        <w:rPr>
          <w:rFonts w:ascii="Palatino Linotype" w:hAnsi="Palatino Linotype" w:cs="Arial"/>
          <w:sz w:val="24"/>
          <w:szCs w:val="24"/>
        </w:rPr>
        <w:t xml:space="preserve">Derivado de lo </w:t>
      </w:r>
      <w:r w:rsidR="008207A4" w:rsidRPr="006B3AD3">
        <w:rPr>
          <w:rFonts w:ascii="Palatino Linotype" w:hAnsi="Palatino Linotype" w:cs="Arial"/>
          <w:sz w:val="24"/>
          <w:szCs w:val="24"/>
        </w:rPr>
        <w:t>anterior</w:t>
      </w:r>
      <w:r w:rsidR="008207A4" w:rsidRPr="006B3AD3">
        <w:rPr>
          <w:rFonts w:ascii="Palatino Linotype" w:hAnsi="Palatino Linotype"/>
          <w:sz w:val="24"/>
          <w:szCs w:val="24"/>
        </w:rPr>
        <w:t xml:space="preserve"> el </w:t>
      </w:r>
      <w:r w:rsidR="005210EB" w:rsidRPr="006B3AD3">
        <w:rPr>
          <w:rFonts w:ascii="Palatino Linotype" w:hAnsi="Palatino Linotype"/>
          <w:b/>
          <w:bCs/>
          <w:sz w:val="24"/>
          <w:szCs w:val="24"/>
        </w:rPr>
        <w:t>S</w:t>
      </w:r>
      <w:r w:rsidR="008207A4" w:rsidRPr="006B3AD3">
        <w:rPr>
          <w:rFonts w:ascii="Palatino Linotype" w:hAnsi="Palatino Linotype"/>
          <w:b/>
          <w:bCs/>
          <w:sz w:val="24"/>
          <w:szCs w:val="24"/>
        </w:rPr>
        <w:t>ujeto Obligado</w:t>
      </w:r>
      <w:r w:rsidR="00AB7D4E" w:rsidRPr="006B3AD3">
        <w:rPr>
          <w:rFonts w:ascii="Palatino Linotype" w:hAnsi="Palatino Linotype"/>
          <w:sz w:val="24"/>
          <w:szCs w:val="24"/>
          <w:lang w:eastAsia="es-MX"/>
        </w:rPr>
        <w:t>, a través de</w:t>
      </w:r>
      <w:r w:rsidR="00CE7DF4" w:rsidRPr="006B3AD3">
        <w:rPr>
          <w:rFonts w:ascii="Palatino Linotype" w:hAnsi="Palatino Linotype"/>
          <w:sz w:val="24"/>
          <w:szCs w:val="24"/>
          <w:lang w:eastAsia="es-MX"/>
        </w:rPr>
        <w:t>l</w:t>
      </w:r>
      <w:r w:rsidR="00AB7D4E" w:rsidRPr="006B3AD3">
        <w:rPr>
          <w:rFonts w:ascii="Palatino Linotype" w:hAnsi="Palatino Linotype"/>
          <w:sz w:val="24"/>
          <w:szCs w:val="24"/>
          <w:lang w:eastAsia="es-MX"/>
        </w:rPr>
        <w:t xml:space="preserve"> </w:t>
      </w:r>
      <w:r w:rsidR="0081086E" w:rsidRPr="006B3AD3">
        <w:rPr>
          <w:rFonts w:ascii="Palatino Linotype" w:hAnsi="Palatino Linotype"/>
          <w:sz w:val="24"/>
          <w:szCs w:val="24"/>
          <w:lang w:eastAsia="es-MX"/>
        </w:rPr>
        <w:t>Titular de</w:t>
      </w:r>
      <w:r w:rsidR="00AB7D4E" w:rsidRPr="006B3AD3">
        <w:rPr>
          <w:rFonts w:ascii="Palatino Linotype" w:hAnsi="Palatino Linotype"/>
          <w:color w:val="000000"/>
          <w:sz w:val="24"/>
          <w:szCs w:val="24"/>
        </w:rPr>
        <w:t xml:space="preserve"> la Unidad de Transparencia, </w:t>
      </w:r>
      <w:r w:rsidR="00096117" w:rsidRPr="006B3AD3">
        <w:rPr>
          <w:rFonts w:ascii="Palatino Linotype" w:hAnsi="Palatino Linotype"/>
          <w:sz w:val="24"/>
          <w:szCs w:val="24"/>
        </w:rPr>
        <w:t xml:space="preserve">emitió respuesta el </w:t>
      </w:r>
      <w:r w:rsidR="005C7B85" w:rsidRPr="006B3AD3">
        <w:rPr>
          <w:rFonts w:ascii="Palatino Linotype" w:hAnsi="Palatino Linotype"/>
          <w:sz w:val="24"/>
          <w:szCs w:val="24"/>
        </w:rPr>
        <w:t>treinta y uno</w:t>
      </w:r>
      <w:r w:rsidR="00096117" w:rsidRPr="006B3AD3">
        <w:rPr>
          <w:rFonts w:ascii="Palatino Linotype" w:hAnsi="Palatino Linotype"/>
          <w:sz w:val="24"/>
          <w:szCs w:val="24"/>
        </w:rPr>
        <w:t xml:space="preserve"> de mayo del dos mil veintidós</w:t>
      </w:r>
      <w:r w:rsidR="005C7B85" w:rsidRPr="006B3AD3">
        <w:rPr>
          <w:rFonts w:ascii="Palatino Linotype" w:hAnsi="Palatino Linotype"/>
          <w:sz w:val="24"/>
          <w:szCs w:val="24"/>
        </w:rPr>
        <w:t>,</w:t>
      </w:r>
      <w:r w:rsidR="00096117" w:rsidRPr="006B3AD3">
        <w:rPr>
          <w:rFonts w:ascii="Palatino Linotype" w:hAnsi="Palatino Linotype"/>
          <w:sz w:val="24"/>
          <w:szCs w:val="24"/>
          <w:lang w:eastAsia="es-MX"/>
        </w:rPr>
        <w:t xml:space="preserve"> </w:t>
      </w:r>
      <w:r w:rsidR="00CE7DF4" w:rsidRPr="006B3AD3">
        <w:rPr>
          <w:rFonts w:ascii="Palatino Linotype" w:hAnsi="Palatino Linotype"/>
          <w:sz w:val="24"/>
          <w:szCs w:val="24"/>
          <w:lang w:eastAsia="es-MX"/>
        </w:rPr>
        <w:t xml:space="preserve">mediante el archivo </w:t>
      </w:r>
      <w:r w:rsidR="0021449A" w:rsidRPr="006B3AD3">
        <w:rPr>
          <w:rFonts w:ascii="Palatino Linotype" w:hAnsi="Palatino Linotype"/>
          <w:sz w:val="24"/>
          <w:szCs w:val="24"/>
          <w:lang w:eastAsia="es-MX"/>
        </w:rPr>
        <w:t xml:space="preserve">denominado </w:t>
      </w:r>
      <w:hyperlink r:id="rId8" w:tgtFrame="_blank" w:history="1">
        <w:r w:rsidR="00CE7DF4" w:rsidRPr="006B3AD3">
          <w:rPr>
            <w:rStyle w:val="Hipervnculo"/>
            <w:rFonts w:ascii="Palatino Linotype" w:hAnsi="Palatino Linotype" w:cs="Arial"/>
            <w:b/>
            <w:bCs/>
            <w:color w:val="auto"/>
            <w:sz w:val="24"/>
            <w:szCs w:val="24"/>
          </w:rPr>
          <w:t>Respuesta a la Solicitud 377.pdf</w:t>
        </w:r>
      </w:hyperlink>
      <w:r w:rsidR="0021449A" w:rsidRPr="006B3AD3">
        <w:rPr>
          <w:rFonts w:ascii="Palatino Linotype" w:hAnsi="Palatino Linotype"/>
          <w:sz w:val="24"/>
          <w:szCs w:val="24"/>
          <w:lang w:eastAsia="es-MX"/>
        </w:rPr>
        <w:t xml:space="preserve">, </w:t>
      </w:r>
      <w:r w:rsidR="00CE7DF4" w:rsidRPr="006B3AD3">
        <w:rPr>
          <w:rFonts w:ascii="Palatino Linotype" w:hAnsi="Palatino Linotype"/>
          <w:sz w:val="24"/>
          <w:szCs w:val="24"/>
          <w:lang w:eastAsia="es-MX"/>
        </w:rPr>
        <w:t xml:space="preserve">tal </w:t>
      </w:r>
      <w:r w:rsidR="00096117" w:rsidRPr="006B3AD3">
        <w:rPr>
          <w:rFonts w:ascii="Palatino Linotype" w:hAnsi="Palatino Linotype"/>
          <w:sz w:val="24"/>
          <w:szCs w:val="24"/>
        </w:rPr>
        <w:t xml:space="preserve">como obra </w:t>
      </w:r>
      <w:r w:rsidR="00F95FB0" w:rsidRPr="006B3AD3">
        <w:rPr>
          <w:rFonts w:ascii="Palatino Linotype" w:hAnsi="Palatino Linotype"/>
          <w:sz w:val="24"/>
          <w:szCs w:val="24"/>
        </w:rPr>
        <w:t>en el</w:t>
      </w:r>
      <w:r w:rsidR="00CE7DF4" w:rsidRPr="006B3AD3">
        <w:rPr>
          <w:rFonts w:ascii="Palatino Linotype" w:eastAsia="Calibri" w:hAnsi="Palatino Linotype" w:cs="Tahoma"/>
          <w:iCs/>
          <w:sz w:val="24"/>
          <w:szCs w:val="24"/>
          <w:lang w:eastAsia="es-ES_tradnl"/>
        </w:rPr>
        <w:t xml:space="preserve"> expediente electrónico formado en el Sistema de Acceso a la Información Mexiquense (SAIMEX).</w:t>
      </w:r>
    </w:p>
    <w:p w14:paraId="5906D6BD" w14:textId="73E51035" w:rsidR="003E7632" w:rsidRPr="006B3AD3" w:rsidRDefault="008207A4" w:rsidP="008207A4">
      <w:pPr>
        <w:spacing w:after="0" w:line="360" w:lineRule="auto"/>
        <w:ind w:left="567" w:right="49"/>
        <w:jc w:val="both"/>
        <w:rPr>
          <w:rFonts w:ascii="Palatino Linotype" w:hAnsi="Palatino Linotype" w:cs="Arial"/>
          <w:i/>
          <w:iCs/>
          <w:sz w:val="24"/>
          <w:szCs w:val="24"/>
        </w:rPr>
      </w:pPr>
      <w:r w:rsidRPr="006B3AD3">
        <w:rPr>
          <w:rFonts w:ascii="Palatino Linotype" w:hAnsi="Palatino Linotype"/>
          <w:i/>
          <w:iCs/>
          <w:sz w:val="24"/>
          <w:szCs w:val="24"/>
        </w:rPr>
        <w:t xml:space="preserve">ESTIMADO CIUDADANO P R E S E N T E: Con fundamento en lo dispuesto en el artículo 6 apartado A, de la Constitución Política de los Estados Unidos Mexicanos, </w:t>
      </w:r>
      <w:r w:rsidRPr="006B3AD3">
        <w:rPr>
          <w:rFonts w:ascii="Palatino Linotype" w:hAnsi="Palatino Linotype"/>
          <w:i/>
          <w:iCs/>
          <w:sz w:val="24"/>
          <w:szCs w:val="24"/>
        </w:rPr>
        <w:lastRenderedPageBreak/>
        <w:t xml:space="preserve">articulo 5, párrafos trigésimo y trigésimo primero, fracciones del I al IX de la Constitución del Estado Libre y Soberano de México, también aplicables los artículos 2, 4, 5, 7, 12, 15, 17, 57, 59, 90, 162, 163 y 165 de la Ley de Transparencia y Acceso a la Información Pública del Estado de México y Municipios, remito contestación a su solicitud de información con número de folio 00377/CHIMALHU/IP/2022, ingresada vía Sistema de Acceso a la Información Mexiquense (SAIMEX), turnada a través del sistema referido, solicitud por la cual requiere lo siguiente: “…Solicito la respuesta al escrito que dirigí a la Presidenta Municipal, en marzo 2022, solicitando la pavimentación de la calle </w:t>
      </w:r>
      <w:proofErr w:type="spellStart"/>
      <w:r w:rsidRPr="006B3AD3">
        <w:rPr>
          <w:rFonts w:ascii="Palatino Linotype" w:hAnsi="Palatino Linotype"/>
          <w:i/>
          <w:iCs/>
          <w:sz w:val="24"/>
          <w:szCs w:val="24"/>
        </w:rPr>
        <w:t>Apapasco</w:t>
      </w:r>
      <w:proofErr w:type="spellEnd"/>
      <w:r w:rsidRPr="006B3AD3">
        <w:rPr>
          <w:rFonts w:ascii="Palatino Linotype" w:hAnsi="Palatino Linotype"/>
          <w:i/>
          <w:iCs/>
          <w:sz w:val="24"/>
          <w:szCs w:val="24"/>
        </w:rPr>
        <w:t xml:space="preserve">, entre Juan de la Barrera y Margaritas, colonia Acuitlapilco, han pasado ya casi dos meses y no he obtenido respuesta alguna. Atentamente: </w:t>
      </w:r>
      <w:r w:rsidR="00A87EF0">
        <w:rPr>
          <w:rFonts w:ascii="Palatino Linotype" w:hAnsi="Palatino Linotype"/>
          <w:i/>
          <w:iCs/>
          <w:sz w:val="24"/>
          <w:szCs w:val="24"/>
        </w:rPr>
        <w:t>XXXXXXX</w:t>
      </w:r>
      <w:r w:rsidRPr="006B3AD3">
        <w:rPr>
          <w:rFonts w:ascii="Palatino Linotype" w:hAnsi="Palatino Linotype"/>
          <w:i/>
          <w:iCs/>
          <w:sz w:val="24"/>
          <w:szCs w:val="24"/>
        </w:rPr>
        <w:t xml:space="preserve"> </w:t>
      </w:r>
      <w:r w:rsidR="00A87EF0">
        <w:rPr>
          <w:rFonts w:ascii="Palatino Linotype" w:hAnsi="Palatino Linotype"/>
          <w:i/>
          <w:iCs/>
          <w:sz w:val="24"/>
          <w:szCs w:val="24"/>
        </w:rPr>
        <w:t>XXXXXXXXX</w:t>
      </w:r>
      <w:r w:rsidRPr="006B3AD3">
        <w:rPr>
          <w:rFonts w:ascii="Palatino Linotype" w:hAnsi="Palatino Linotype"/>
          <w:i/>
          <w:iCs/>
          <w:sz w:val="24"/>
          <w:szCs w:val="24"/>
        </w:rPr>
        <w:t xml:space="preserve">…” Teniendo a bien responder a su solicitud de acuerdo al Título Séptimo Acceso a la Información Pública, </w:t>
      </w:r>
      <w:proofErr w:type="spellStart"/>
      <w:r w:rsidRPr="006B3AD3">
        <w:rPr>
          <w:rFonts w:ascii="Palatino Linotype" w:hAnsi="Palatino Linotype"/>
          <w:i/>
          <w:iCs/>
          <w:sz w:val="24"/>
          <w:szCs w:val="24"/>
        </w:rPr>
        <w:t>Capitulo</w:t>
      </w:r>
      <w:proofErr w:type="spellEnd"/>
      <w:r w:rsidRPr="006B3AD3">
        <w:rPr>
          <w:rFonts w:ascii="Palatino Linotype" w:hAnsi="Palatino Linotype"/>
          <w:i/>
          <w:iCs/>
          <w:sz w:val="24"/>
          <w:szCs w:val="24"/>
        </w:rPr>
        <w:t xml:space="preserve"> I Del Procedimiento de Acceso a la Información Pública y Articulo 172 de la Ley de Transparencia y Acceso a la información </w:t>
      </w:r>
      <w:proofErr w:type="spellStart"/>
      <w:r w:rsidRPr="006B3AD3">
        <w:rPr>
          <w:rFonts w:ascii="Palatino Linotype" w:hAnsi="Palatino Linotype"/>
          <w:i/>
          <w:iCs/>
          <w:sz w:val="24"/>
          <w:szCs w:val="24"/>
        </w:rPr>
        <w:t>Publica</w:t>
      </w:r>
      <w:proofErr w:type="spellEnd"/>
      <w:r w:rsidRPr="006B3AD3">
        <w:rPr>
          <w:rFonts w:ascii="Palatino Linotype" w:hAnsi="Palatino Linotype"/>
          <w:i/>
          <w:iCs/>
          <w:sz w:val="24"/>
          <w:szCs w:val="24"/>
        </w:rPr>
        <w:t xml:space="preserve"> del Estado de México y Municipios,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Los argumentos para justificar cualquier negativa de acceso a la información deben recaer en el sujeto obligado al cual la información fue solicitada…”</w:t>
      </w:r>
      <w:r w:rsidR="009D1BAF" w:rsidRPr="006B3AD3">
        <w:rPr>
          <w:rFonts w:ascii="Palatino Linotype" w:hAnsi="Palatino Linotype"/>
          <w:i/>
          <w:iCs/>
          <w:sz w:val="24"/>
          <w:szCs w:val="24"/>
        </w:rPr>
        <w:t>(Sic)</w:t>
      </w:r>
    </w:p>
    <w:p w14:paraId="0C1E4919" w14:textId="77777777" w:rsidR="005210EB" w:rsidRPr="006B3AD3" w:rsidRDefault="005210EB" w:rsidP="005210EB">
      <w:pPr>
        <w:tabs>
          <w:tab w:val="left" w:pos="709"/>
        </w:tabs>
        <w:spacing w:after="0" w:line="360" w:lineRule="auto"/>
        <w:jc w:val="both"/>
        <w:rPr>
          <w:rFonts w:ascii="Palatino Linotype" w:hAnsi="Palatino Linotype" w:cs="Arial"/>
          <w:sz w:val="24"/>
          <w:szCs w:val="24"/>
        </w:rPr>
      </w:pPr>
    </w:p>
    <w:p w14:paraId="5B2C3D46" w14:textId="7BF16523" w:rsidR="007D5865" w:rsidRPr="00647840" w:rsidRDefault="00483594" w:rsidP="007D5865">
      <w:pPr>
        <w:spacing w:after="0" w:line="360" w:lineRule="auto"/>
        <w:jc w:val="both"/>
        <w:rPr>
          <w:rFonts w:ascii="Palatino Linotype" w:eastAsia="Times New Roman" w:hAnsi="Palatino Linotype" w:cs="Arial"/>
          <w:bCs/>
          <w:sz w:val="24"/>
          <w:szCs w:val="24"/>
          <w:lang w:val="es-ES" w:eastAsia="es-ES"/>
        </w:rPr>
      </w:pPr>
      <w:r w:rsidRPr="00647840">
        <w:rPr>
          <w:rFonts w:ascii="Palatino Linotype" w:eastAsia="Times New Roman" w:hAnsi="Palatino Linotype" w:cs="Arial"/>
          <w:bCs/>
          <w:sz w:val="24"/>
          <w:szCs w:val="24"/>
          <w:lang w:val="es-ES" w:eastAsia="es-ES"/>
        </w:rPr>
        <w:t xml:space="preserve">Una vez sentado lo anterior, en una aproximación inicial, es procedente mencionar  que mediante la solicitud de </w:t>
      </w:r>
      <w:r w:rsidR="003B1EA6" w:rsidRPr="00647840">
        <w:rPr>
          <w:rFonts w:ascii="Palatino Linotype" w:eastAsia="Times New Roman" w:hAnsi="Palatino Linotype" w:cs="Arial"/>
          <w:bCs/>
          <w:sz w:val="24"/>
          <w:szCs w:val="24"/>
          <w:lang w:val="es-ES" w:eastAsia="es-ES"/>
        </w:rPr>
        <w:t>información</w:t>
      </w:r>
      <w:r w:rsidR="002D69B3" w:rsidRPr="00647840">
        <w:rPr>
          <w:rFonts w:ascii="Palatino Linotype" w:eastAsia="Times New Roman" w:hAnsi="Palatino Linotype" w:cs="Arial"/>
          <w:bCs/>
          <w:sz w:val="24"/>
          <w:szCs w:val="24"/>
          <w:lang w:val="es-ES" w:eastAsia="es-ES"/>
        </w:rPr>
        <w:t xml:space="preserve"> </w:t>
      </w:r>
      <w:r w:rsidRPr="00647840">
        <w:rPr>
          <w:rFonts w:ascii="Palatino Linotype" w:eastAsia="Times New Roman" w:hAnsi="Palatino Linotype" w:cs="Arial"/>
          <w:bCs/>
          <w:sz w:val="24"/>
          <w:szCs w:val="24"/>
          <w:lang w:val="es-ES" w:eastAsia="es-ES"/>
        </w:rPr>
        <w:t>la</w:t>
      </w:r>
      <w:r w:rsidR="002D69B3" w:rsidRPr="00647840">
        <w:rPr>
          <w:rFonts w:ascii="Palatino Linotype" w:eastAsia="Times New Roman" w:hAnsi="Palatino Linotype" w:cs="Arial"/>
          <w:bCs/>
          <w:sz w:val="24"/>
          <w:szCs w:val="24"/>
          <w:lang w:val="es-ES" w:eastAsia="es-ES"/>
        </w:rPr>
        <w:t xml:space="preserve"> Recurrente solicitó la respuesta a un escrito dirigido a la presidenta Municipal del </w:t>
      </w:r>
      <w:r w:rsidRPr="00647840">
        <w:rPr>
          <w:rFonts w:ascii="Palatino Linotype" w:eastAsia="Times New Roman" w:hAnsi="Palatino Linotype" w:cs="Arial"/>
          <w:bCs/>
          <w:sz w:val="24"/>
          <w:szCs w:val="24"/>
          <w:lang w:val="es-ES" w:eastAsia="es-ES"/>
        </w:rPr>
        <w:t>Ayuntamiento</w:t>
      </w:r>
      <w:r w:rsidR="002D69B3" w:rsidRPr="00647840">
        <w:rPr>
          <w:rFonts w:ascii="Palatino Linotype" w:eastAsia="Times New Roman" w:hAnsi="Palatino Linotype" w:cs="Arial"/>
          <w:bCs/>
          <w:sz w:val="24"/>
          <w:szCs w:val="24"/>
          <w:lang w:val="es-ES" w:eastAsia="es-ES"/>
        </w:rPr>
        <w:t xml:space="preserve"> de </w:t>
      </w:r>
      <w:r w:rsidR="006836FA" w:rsidRPr="00647840">
        <w:rPr>
          <w:rFonts w:ascii="Palatino Linotype" w:eastAsia="Times New Roman" w:hAnsi="Palatino Linotype" w:cs="Arial"/>
          <w:bCs/>
          <w:sz w:val="24"/>
          <w:szCs w:val="24"/>
          <w:lang w:val="es-ES" w:eastAsia="es-ES"/>
        </w:rPr>
        <w:t>Chimalhuacán</w:t>
      </w:r>
      <w:r w:rsidR="003B1EA6" w:rsidRPr="00647840">
        <w:rPr>
          <w:rFonts w:ascii="Palatino Linotype" w:eastAsia="Times New Roman" w:hAnsi="Palatino Linotype" w:cs="Arial"/>
          <w:bCs/>
          <w:sz w:val="24"/>
          <w:szCs w:val="24"/>
          <w:lang w:val="es-ES" w:eastAsia="es-ES"/>
        </w:rPr>
        <w:t xml:space="preserve">, </w:t>
      </w:r>
      <w:r w:rsidR="007D5865" w:rsidRPr="00647840">
        <w:rPr>
          <w:rFonts w:ascii="Palatino Linotype" w:hAnsi="Palatino Linotype"/>
        </w:rPr>
        <w:t xml:space="preserve">lo que supone </w:t>
      </w:r>
      <w:r w:rsidR="007D5865" w:rsidRPr="00647840">
        <w:rPr>
          <w:rFonts w:ascii="Palatino Linotype" w:hAnsi="Palatino Linotype"/>
        </w:rPr>
        <w:lastRenderedPageBreak/>
        <w:t>que el Sujeto Obligado lleve a cabo un pronunciamiento específico, otorgando respuesta a un derecho de petición ejercido por el particular respecto de una cuestión instrumentada en la administración pública municipal.</w:t>
      </w:r>
    </w:p>
    <w:p w14:paraId="4B377CF9" w14:textId="77777777" w:rsidR="007D5865" w:rsidRPr="00647840" w:rsidRDefault="007D5865" w:rsidP="007D5865">
      <w:pPr>
        <w:pStyle w:val="Prrafodelista"/>
        <w:autoSpaceDE w:val="0"/>
        <w:autoSpaceDN w:val="0"/>
        <w:adjustRightInd w:val="0"/>
        <w:spacing w:line="360" w:lineRule="auto"/>
        <w:ind w:left="0"/>
        <w:contextualSpacing/>
        <w:jc w:val="both"/>
        <w:rPr>
          <w:rFonts w:ascii="Palatino Linotype" w:hAnsi="Palatino Linotype"/>
        </w:rPr>
      </w:pPr>
    </w:p>
    <w:p w14:paraId="2AC22E6E" w14:textId="77777777" w:rsidR="007D5865" w:rsidRPr="00647840" w:rsidRDefault="007D5865" w:rsidP="007D5865">
      <w:pPr>
        <w:pStyle w:val="Prrafodelista"/>
        <w:autoSpaceDE w:val="0"/>
        <w:autoSpaceDN w:val="0"/>
        <w:adjustRightInd w:val="0"/>
        <w:spacing w:line="360" w:lineRule="auto"/>
        <w:ind w:left="0"/>
        <w:contextualSpacing/>
        <w:jc w:val="both"/>
        <w:rPr>
          <w:rFonts w:ascii="Palatino Linotype" w:hAnsi="Palatino Linotype" w:cs="Arial"/>
          <w:lang w:val="es-MX"/>
        </w:rPr>
      </w:pPr>
      <w:r w:rsidRPr="00647840">
        <w:rPr>
          <w:rFonts w:ascii="Palatino Linotype" w:hAnsi="Palatino Linotype"/>
        </w:rPr>
        <w:t xml:space="preserve">Bajo éste tenor cabe aclarar que cuando los planteamientos que formulen los particulares se pueda colmar con la entrega de </w:t>
      </w:r>
      <w:r w:rsidRPr="0064784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64784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33228B7" w14:textId="77777777" w:rsidR="007D5865" w:rsidRPr="00647840" w:rsidRDefault="007D5865" w:rsidP="007D58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50C986" w14:textId="4B3AF520" w:rsidR="007D5865" w:rsidRPr="00647840" w:rsidRDefault="004F442F" w:rsidP="007D58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7840">
        <w:rPr>
          <w:rFonts w:ascii="Palatino Linotype" w:eastAsia="Times New Roman" w:hAnsi="Palatino Linotype" w:cs="Arial"/>
          <w:sz w:val="24"/>
          <w:szCs w:val="24"/>
          <w:lang w:val="es-ES" w:eastAsia="es-ES"/>
        </w:rPr>
        <w:t>En ese sentido</w:t>
      </w:r>
      <w:r w:rsidR="007D5865" w:rsidRPr="00647840">
        <w:rPr>
          <w:rFonts w:ascii="Palatino Linotype" w:eastAsia="Times New Roman" w:hAnsi="Palatino Linotype" w:cs="Arial"/>
          <w:sz w:val="24"/>
          <w:szCs w:val="24"/>
          <w:lang w:val="es-ES" w:eastAsia="es-ES"/>
        </w:rPr>
        <w:t xml:space="preserve">, 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 resultando inconcuso que su solicitud de información es improcedente porque el requerimiento consiste en un pronunciamiento sobre cuestionamientos derivados de </w:t>
      </w:r>
      <w:r w:rsidRPr="00647840">
        <w:rPr>
          <w:rFonts w:ascii="Palatino Linotype" w:eastAsia="Times New Roman" w:hAnsi="Palatino Linotype" w:cs="Arial"/>
          <w:sz w:val="24"/>
          <w:szCs w:val="24"/>
          <w:lang w:val="es-ES" w:eastAsia="es-ES"/>
        </w:rPr>
        <w:t>un escrito remitido al Sujeto Obligado</w:t>
      </w:r>
      <w:r w:rsidR="007D5865" w:rsidRPr="00647840">
        <w:rPr>
          <w:rFonts w:ascii="Palatino Linotype" w:eastAsia="Times New Roman" w:hAnsi="Palatino Linotype" w:cs="Arial"/>
          <w:sz w:val="24"/>
          <w:szCs w:val="24"/>
          <w:lang w:val="es-ES" w:eastAsia="es-ES"/>
        </w:rPr>
        <w:t xml:space="preserve"> por parte del </w:t>
      </w:r>
      <w:r w:rsidR="007D5865" w:rsidRPr="00647840">
        <w:rPr>
          <w:rFonts w:ascii="Palatino Linotype" w:eastAsia="Times New Roman" w:hAnsi="Palatino Linotype" w:cs="Arial"/>
          <w:b/>
          <w:sz w:val="24"/>
          <w:szCs w:val="24"/>
          <w:lang w:val="es-ES" w:eastAsia="es-ES"/>
        </w:rPr>
        <w:t>Recurrente</w:t>
      </w:r>
      <w:r w:rsidR="007D5865" w:rsidRPr="0064784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007D5865" w:rsidRPr="00647840">
        <w:rPr>
          <w:rFonts w:ascii="Palatino Linotype" w:eastAsia="Times New Roman" w:hAnsi="Palatino Linotype" w:cs="Arial"/>
          <w:b/>
          <w:sz w:val="24"/>
          <w:szCs w:val="24"/>
          <w:lang w:val="es-ES" w:eastAsia="es-ES"/>
        </w:rPr>
        <w:t>Sujeto Obligado</w:t>
      </w:r>
      <w:r w:rsidR="007D5865" w:rsidRPr="00647840">
        <w:rPr>
          <w:rFonts w:ascii="Palatino Linotype" w:eastAsia="Times New Roman" w:hAnsi="Palatino Linotype" w:cs="Arial"/>
          <w:sz w:val="24"/>
          <w:szCs w:val="24"/>
          <w:lang w:val="es-ES" w:eastAsia="es-ES"/>
        </w:rPr>
        <w:t xml:space="preserve"> localizarlo y en su caso ponerlo a su disposición.</w:t>
      </w:r>
    </w:p>
    <w:p w14:paraId="244FF9BD" w14:textId="77777777" w:rsidR="007D5865" w:rsidRPr="00647840" w:rsidRDefault="007D5865" w:rsidP="007D5865">
      <w:pPr>
        <w:pStyle w:val="Sinespaciado"/>
        <w:rPr>
          <w:lang w:val="es-ES"/>
        </w:rPr>
      </w:pPr>
    </w:p>
    <w:p w14:paraId="2B2C9C41" w14:textId="77777777" w:rsidR="007D5865" w:rsidRPr="00647840" w:rsidRDefault="007D5865" w:rsidP="007D58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784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69734639" w14:textId="77777777" w:rsidR="007D5865" w:rsidRPr="00647840" w:rsidRDefault="007D5865" w:rsidP="007D5865">
      <w:pPr>
        <w:pStyle w:val="Sinespaciado"/>
        <w:rPr>
          <w:lang w:val="es-ES"/>
        </w:rPr>
      </w:pPr>
    </w:p>
    <w:p w14:paraId="0659E608" w14:textId="77777777" w:rsidR="007D5865" w:rsidRPr="00647840" w:rsidRDefault="007D5865" w:rsidP="007D5865">
      <w:pPr>
        <w:spacing w:after="0" w:line="240" w:lineRule="auto"/>
        <w:ind w:left="567" w:right="567"/>
        <w:jc w:val="both"/>
        <w:rPr>
          <w:rFonts w:ascii="Palatino Linotype" w:hAnsi="Palatino Linotype" w:cs="Arial"/>
          <w:i/>
        </w:rPr>
      </w:pPr>
      <w:r w:rsidRPr="00647840">
        <w:rPr>
          <w:rFonts w:ascii="Palatino Linotype" w:hAnsi="Palatino Linotype" w:cs="Arial"/>
          <w:b/>
          <w:i/>
        </w:rPr>
        <w:lastRenderedPageBreak/>
        <w:t>“Artículo 6o.</w:t>
      </w:r>
    </w:p>
    <w:p w14:paraId="41DA74E8" w14:textId="77777777" w:rsidR="007D5865" w:rsidRPr="00647840" w:rsidRDefault="007D5865" w:rsidP="007D5865">
      <w:pPr>
        <w:spacing w:after="0" w:line="240" w:lineRule="auto"/>
        <w:ind w:left="567" w:right="567"/>
        <w:jc w:val="both"/>
        <w:rPr>
          <w:rFonts w:ascii="Palatino Linotype" w:hAnsi="Palatino Linotype" w:cs="Arial"/>
          <w:i/>
        </w:rPr>
      </w:pPr>
      <w:r w:rsidRPr="00647840">
        <w:rPr>
          <w:rFonts w:ascii="Palatino Linotype" w:hAnsi="Palatino Linotype" w:cs="Arial"/>
          <w:i/>
        </w:rPr>
        <w:t>[...]</w:t>
      </w:r>
    </w:p>
    <w:p w14:paraId="74C3C45D" w14:textId="77777777" w:rsidR="007D5865" w:rsidRPr="00647840" w:rsidRDefault="007D5865" w:rsidP="007D5865">
      <w:pPr>
        <w:spacing w:after="0" w:line="240" w:lineRule="auto"/>
        <w:ind w:left="567" w:right="567"/>
        <w:jc w:val="both"/>
        <w:rPr>
          <w:rFonts w:ascii="Palatino Linotype" w:eastAsia="Times New Roman" w:hAnsi="Palatino Linotype" w:cs="Arial"/>
          <w:i/>
          <w:color w:val="000000"/>
        </w:rPr>
      </w:pPr>
      <w:r w:rsidRPr="00647840">
        <w:rPr>
          <w:rFonts w:ascii="Palatino Linotype" w:eastAsia="Times New Roman" w:hAnsi="Palatino Linotype" w:cs="Arial"/>
          <w:b/>
          <w:bCs/>
          <w:i/>
          <w:color w:val="000000"/>
          <w:lang w:val="es-ES_tradnl"/>
        </w:rPr>
        <w:t xml:space="preserve">A. </w:t>
      </w:r>
      <w:r w:rsidRPr="00647840">
        <w:rPr>
          <w:rFonts w:ascii="Palatino Linotype" w:hAnsi="Palatino Linotype"/>
          <w:b/>
          <w:i/>
        </w:rPr>
        <w:t xml:space="preserve">Para el ejercicio del derecho de acceso a la información, la Federación y </w:t>
      </w:r>
      <w:r w:rsidRPr="00647840">
        <w:rPr>
          <w:rFonts w:ascii="Palatino Linotype" w:hAnsi="Palatino Linotype"/>
          <w:b/>
          <w:i/>
          <w:u w:val="single"/>
        </w:rPr>
        <w:t>las entidades federativas</w:t>
      </w:r>
      <w:r w:rsidRPr="00647840">
        <w:rPr>
          <w:rFonts w:ascii="Palatino Linotype" w:hAnsi="Palatino Linotype"/>
          <w:b/>
          <w:i/>
        </w:rPr>
        <w:t>,</w:t>
      </w:r>
      <w:r w:rsidRPr="00647840">
        <w:rPr>
          <w:rFonts w:ascii="Palatino Linotype" w:hAnsi="Palatino Linotype"/>
          <w:i/>
        </w:rPr>
        <w:t xml:space="preserve"> en el ámbito de sus respectivas competencias, se regirán por los siguientes principios y bases:</w:t>
      </w:r>
    </w:p>
    <w:p w14:paraId="15512D0F" w14:textId="77777777" w:rsidR="007D5865" w:rsidRPr="00647840" w:rsidRDefault="007D5865" w:rsidP="007D5865">
      <w:pPr>
        <w:spacing w:after="0" w:line="240" w:lineRule="auto"/>
        <w:ind w:left="567" w:right="567"/>
        <w:jc w:val="both"/>
        <w:rPr>
          <w:rFonts w:ascii="Palatino Linotype" w:eastAsia="Times New Roman" w:hAnsi="Palatino Linotype" w:cs="Arial"/>
          <w:i/>
          <w:color w:val="000000"/>
        </w:rPr>
      </w:pPr>
      <w:r w:rsidRPr="00647840">
        <w:rPr>
          <w:rFonts w:ascii="Palatino Linotype" w:eastAsia="Times New Roman" w:hAnsi="Palatino Linotype" w:cs="Arial"/>
          <w:i/>
          <w:color w:val="000000"/>
        </w:rPr>
        <w:t> </w:t>
      </w:r>
    </w:p>
    <w:p w14:paraId="663A42EE" w14:textId="77777777" w:rsidR="007D5865" w:rsidRPr="00647840" w:rsidRDefault="007D5865" w:rsidP="007D5865">
      <w:pPr>
        <w:spacing w:after="0" w:line="240" w:lineRule="auto"/>
        <w:ind w:left="567" w:right="567"/>
        <w:jc w:val="both"/>
        <w:rPr>
          <w:rFonts w:ascii="Palatino Linotype" w:eastAsia="Times New Roman" w:hAnsi="Palatino Linotype" w:cs="Courier New"/>
          <w:i/>
          <w:color w:val="000000"/>
        </w:rPr>
      </w:pPr>
      <w:r w:rsidRPr="00647840">
        <w:rPr>
          <w:rFonts w:ascii="Palatino Linotype" w:eastAsia="Times New Roman" w:hAnsi="Palatino Linotype" w:cs="Arial"/>
          <w:b/>
          <w:bCs/>
          <w:i/>
          <w:color w:val="000000"/>
        </w:rPr>
        <w:t xml:space="preserve">I. </w:t>
      </w:r>
      <w:r w:rsidRPr="00647840">
        <w:rPr>
          <w:rFonts w:ascii="Palatino Linotype" w:eastAsia="Times New Roman" w:hAnsi="Palatino Linotype" w:cs="Arial"/>
          <w:b/>
          <w:i/>
          <w:color w:val="000000"/>
          <w:u w:val="single"/>
        </w:rPr>
        <w:t>Toda la información en posesión de cualquier autoridad, entidad, órgano y organismo de los Poderes</w:t>
      </w:r>
      <w:r w:rsidRPr="00647840">
        <w:rPr>
          <w:rFonts w:ascii="Palatino Linotype" w:eastAsia="Times New Roman" w:hAnsi="Palatino Linotype" w:cs="Arial"/>
          <w:i/>
          <w:color w:val="000000"/>
        </w:rPr>
        <w:t xml:space="preserve"> Ejecutivo, Legislativo y Judicial, </w:t>
      </w:r>
      <w:r w:rsidRPr="00647840">
        <w:rPr>
          <w:rFonts w:ascii="Palatino Linotype" w:eastAsia="Times New Roman" w:hAnsi="Palatino Linotype" w:cs="Arial"/>
          <w:b/>
          <w:i/>
          <w:color w:val="000000"/>
          <w:u w:val="single"/>
        </w:rPr>
        <w:t>órganos autónomos</w:t>
      </w:r>
      <w:r w:rsidRPr="0064784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26A449" w14:textId="77777777" w:rsidR="007D5865" w:rsidRPr="00647840" w:rsidRDefault="007D5865" w:rsidP="007D5865">
      <w:pPr>
        <w:spacing w:after="0" w:line="240" w:lineRule="auto"/>
        <w:ind w:left="567" w:right="567"/>
        <w:jc w:val="both"/>
        <w:rPr>
          <w:rFonts w:ascii="Palatino Linotype" w:eastAsia="Times New Roman" w:hAnsi="Palatino Linotype" w:cs="Arial"/>
          <w:b/>
          <w:i/>
          <w:color w:val="000000"/>
        </w:rPr>
      </w:pPr>
      <w:r w:rsidRPr="00647840">
        <w:rPr>
          <w:rFonts w:ascii="Palatino Linotype" w:eastAsia="Times New Roman" w:hAnsi="Palatino Linotype" w:cs="Arial"/>
          <w:i/>
          <w:color w:val="000000"/>
        </w:rPr>
        <w:t> </w:t>
      </w:r>
      <w:r w:rsidRPr="00647840">
        <w:rPr>
          <w:rFonts w:ascii="Palatino Linotype" w:eastAsia="Times New Roman" w:hAnsi="Palatino Linotype" w:cs="Arial"/>
          <w:b/>
          <w:bCs/>
          <w:i/>
          <w:color w:val="000000"/>
        </w:rPr>
        <w:t xml:space="preserve">II. </w:t>
      </w:r>
      <w:r w:rsidRPr="0064784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39798014" w14:textId="77777777" w:rsidR="007D5865" w:rsidRPr="00647840" w:rsidRDefault="007D5865" w:rsidP="007D5865">
      <w:pPr>
        <w:spacing w:after="0" w:line="240" w:lineRule="auto"/>
        <w:ind w:left="567" w:right="567"/>
        <w:jc w:val="both"/>
        <w:rPr>
          <w:rFonts w:ascii="Palatino Linotype" w:eastAsia="Times New Roman" w:hAnsi="Palatino Linotype" w:cs="Arial"/>
          <w:i/>
          <w:color w:val="000000"/>
        </w:rPr>
      </w:pPr>
      <w:r w:rsidRPr="00647840">
        <w:rPr>
          <w:rFonts w:ascii="Palatino Linotype" w:eastAsia="Times New Roman" w:hAnsi="Palatino Linotype" w:cs="Arial"/>
          <w:i/>
          <w:color w:val="000000"/>
        </w:rPr>
        <w:t> </w:t>
      </w:r>
    </w:p>
    <w:p w14:paraId="053346E7" w14:textId="77777777" w:rsidR="007D5865" w:rsidRPr="00647840" w:rsidRDefault="007D5865" w:rsidP="007D5865">
      <w:pPr>
        <w:spacing w:after="0" w:line="240" w:lineRule="auto"/>
        <w:ind w:left="567" w:right="567"/>
        <w:jc w:val="both"/>
        <w:rPr>
          <w:rFonts w:ascii="Palatino Linotype" w:hAnsi="Palatino Linotype" w:cs="Arial"/>
          <w:sz w:val="24"/>
          <w:szCs w:val="24"/>
        </w:rPr>
      </w:pPr>
      <w:r w:rsidRPr="00647840">
        <w:rPr>
          <w:rFonts w:ascii="Palatino Linotype" w:eastAsia="Times New Roman" w:hAnsi="Palatino Linotype" w:cs="Arial"/>
          <w:b/>
          <w:bCs/>
          <w:i/>
          <w:color w:val="000000"/>
        </w:rPr>
        <w:t xml:space="preserve">III. </w:t>
      </w:r>
      <w:r w:rsidRPr="0064784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647840">
        <w:rPr>
          <w:rFonts w:ascii="Palatino Linotype" w:eastAsia="Times New Roman" w:hAnsi="Palatino Linotype" w:cs="Arial"/>
          <w:i/>
          <w:color w:val="000000"/>
        </w:rPr>
        <w:t xml:space="preserve"> a sus datos personales o a la rectificación de éstos.” (sic)</w:t>
      </w:r>
    </w:p>
    <w:p w14:paraId="1B33B1E9" w14:textId="77777777" w:rsidR="007D5865" w:rsidRPr="00647840" w:rsidRDefault="007D5865" w:rsidP="007D5865">
      <w:pPr>
        <w:autoSpaceDE w:val="0"/>
        <w:autoSpaceDN w:val="0"/>
        <w:adjustRightInd w:val="0"/>
        <w:spacing w:after="0" w:line="360" w:lineRule="auto"/>
        <w:jc w:val="both"/>
        <w:rPr>
          <w:rFonts w:ascii="Palatino Linotype" w:hAnsi="Palatino Linotype" w:cs="Arial"/>
          <w:sz w:val="24"/>
          <w:szCs w:val="24"/>
        </w:rPr>
      </w:pPr>
    </w:p>
    <w:p w14:paraId="293CEEA5" w14:textId="77777777" w:rsidR="007D5865" w:rsidRPr="00647840" w:rsidRDefault="007D5865" w:rsidP="007D5865">
      <w:pPr>
        <w:autoSpaceDE w:val="0"/>
        <w:autoSpaceDN w:val="0"/>
        <w:adjustRightInd w:val="0"/>
        <w:spacing w:after="0" w:line="360" w:lineRule="auto"/>
        <w:jc w:val="both"/>
        <w:rPr>
          <w:rFonts w:ascii="Palatino Linotype" w:hAnsi="Palatino Linotype" w:cs="Arial"/>
          <w:sz w:val="24"/>
          <w:szCs w:val="24"/>
        </w:rPr>
      </w:pPr>
      <w:r w:rsidRPr="0064784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w:t>
      </w:r>
      <w:r w:rsidRPr="00647840">
        <w:rPr>
          <w:rFonts w:ascii="Palatino Linotype" w:hAnsi="Palatino Linotype" w:cs="Arial"/>
          <w:b/>
          <w:sz w:val="24"/>
          <w:szCs w:val="24"/>
        </w:rPr>
        <w:t>entendiéndose como aquella que posea al momento de la solicitud, sin que se conmine a su generación derivado de una solicitud de información en específico que conlleve a realizar un procesamiento o investigaciones de la información</w:t>
      </w:r>
      <w:r w:rsidRPr="00647840">
        <w:rPr>
          <w:rFonts w:ascii="Palatino Linotype" w:hAnsi="Palatino Linotype" w:cs="Arial"/>
          <w:sz w:val="24"/>
          <w:szCs w:val="24"/>
        </w:rPr>
        <w:t xml:space="preserve">. </w:t>
      </w:r>
    </w:p>
    <w:p w14:paraId="219BEFDC" w14:textId="77777777" w:rsidR="007D5865" w:rsidRPr="00647840" w:rsidRDefault="007D5865" w:rsidP="007D5865">
      <w:pPr>
        <w:pStyle w:val="Sinespaciado"/>
      </w:pPr>
    </w:p>
    <w:p w14:paraId="764D7C12" w14:textId="77777777" w:rsidR="007D5865" w:rsidRPr="00647840" w:rsidRDefault="007D5865" w:rsidP="007D5865">
      <w:pPr>
        <w:autoSpaceDE w:val="0"/>
        <w:autoSpaceDN w:val="0"/>
        <w:adjustRightInd w:val="0"/>
        <w:spacing w:after="0" w:line="360" w:lineRule="auto"/>
        <w:jc w:val="both"/>
        <w:rPr>
          <w:rFonts w:ascii="Palatino Linotype" w:hAnsi="Palatino Linotype" w:cs="Arial"/>
          <w:sz w:val="24"/>
          <w:szCs w:val="24"/>
        </w:rPr>
      </w:pPr>
      <w:r w:rsidRPr="0064784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159DC4BD" w14:textId="77777777" w:rsidR="007D5865" w:rsidRPr="00647840" w:rsidRDefault="007D5865" w:rsidP="007D5865">
      <w:pPr>
        <w:autoSpaceDE w:val="0"/>
        <w:autoSpaceDN w:val="0"/>
        <w:adjustRightInd w:val="0"/>
        <w:spacing w:after="0" w:line="360" w:lineRule="auto"/>
        <w:jc w:val="both"/>
        <w:rPr>
          <w:rFonts w:ascii="Palatino Linotype" w:hAnsi="Palatino Linotype" w:cs="Arial"/>
          <w:sz w:val="24"/>
          <w:szCs w:val="24"/>
        </w:rPr>
      </w:pPr>
    </w:p>
    <w:p w14:paraId="6091466C"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cs="Arial"/>
          <w:i/>
        </w:rPr>
      </w:pPr>
      <w:r w:rsidRPr="00647840">
        <w:rPr>
          <w:rFonts w:ascii="Palatino Linotype" w:hAnsi="Palatino Linotype"/>
          <w:b/>
          <w:i/>
        </w:rPr>
        <w:lastRenderedPageBreak/>
        <w:t>Artículo 4.</w:t>
      </w:r>
      <w:r w:rsidRPr="0064784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478D2D"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i/>
          <w:u w:val="single"/>
        </w:rPr>
      </w:pPr>
    </w:p>
    <w:p w14:paraId="13FFDF6D"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cs="Arial"/>
          <w:i/>
        </w:rPr>
      </w:pPr>
      <w:r w:rsidRPr="0064784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4784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5A2B1789"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cs="Arial"/>
          <w:i/>
        </w:rPr>
      </w:pPr>
      <w:r w:rsidRPr="00647840">
        <w:rPr>
          <w:rFonts w:ascii="Palatino Linotype" w:hAnsi="Palatino Linotype" w:cs="Arial"/>
          <w:i/>
        </w:rPr>
        <w:t>[…]</w:t>
      </w:r>
    </w:p>
    <w:p w14:paraId="4232D2CA"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b/>
          <w:i/>
        </w:rPr>
      </w:pPr>
    </w:p>
    <w:p w14:paraId="32CD5810"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cs="Arial"/>
          <w:i/>
        </w:rPr>
      </w:pPr>
      <w:r w:rsidRPr="00647840">
        <w:rPr>
          <w:rFonts w:ascii="Palatino Linotype" w:hAnsi="Palatino Linotype"/>
          <w:b/>
          <w:i/>
        </w:rPr>
        <w:t>Artículo 12.</w:t>
      </w:r>
      <w:r w:rsidRPr="0064784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AB83F00"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i/>
          <w:u w:val="single"/>
        </w:rPr>
      </w:pPr>
    </w:p>
    <w:p w14:paraId="595586AA" w14:textId="77777777" w:rsidR="007D5865" w:rsidRPr="00647840" w:rsidRDefault="007D5865" w:rsidP="007D5865">
      <w:pPr>
        <w:autoSpaceDE w:val="0"/>
        <w:autoSpaceDN w:val="0"/>
        <w:adjustRightInd w:val="0"/>
        <w:spacing w:after="0" w:line="240" w:lineRule="auto"/>
        <w:ind w:left="567" w:right="567"/>
        <w:jc w:val="both"/>
        <w:rPr>
          <w:rFonts w:ascii="Palatino Linotype" w:hAnsi="Palatino Linotype"/>
          <w:i/>
          <w:u w:val="single"/>
        </w:rPr>
      </w:pPr>
      <w:r w:rsidRPr="00647840">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1C1348" w14:textId="77777777" w:rsidR="007D5865" w:rsidRPr="00647840" w:rsidRDefault="007D5865" w:rsidP="007D5865">
      <w:pPr>
        <w:autoSpaceDE w:val="0"/>
        <w:autoSpaceDN w:val="0"/>
        <w:adjustRightInd w:val="0"/>
        <w:spacing w:after="0" w:line="360" w:lineRule="auto"/>
        <w:jc w:val="both"/>
        <w:rPr>
          <w:rFonts w:ascii="Palatino Linotype" w:hAnsi="Palatino Linotype" w:cs="Arial"/>
          <w:sz w:val="24"/>
          <w:szCs w:val="24"/>
        </w:rPr>
      </w:pPr>
    </w:p>
    <w:p w14:paraId="6D1C7DBB" w14:textId="77777777" w:rsidR="007D5865" w:rsidRPr="00647840" w:rsidRDefault="007D5865" w:rsidP="007D5865">
      <w:pPr>
        <w:autoSpaceDE w:val="0"/>
        <w:autoSpaceDN w:val="0"/>
        <w:adjustRightInd w:val="0"/>
        <w:spacing w:after="0" w:line="360" w:lineRule="auto"/>
        <w:jc w:val="both"/>
        <w:rPr>
          <w:rFonts w:ascii="Palatino Linotype" w:hAnsi="Palatino Linotype" w:cs="Arial"/>
          <w:sz w:val="24"/>
          <w:szCs w:val="24"/>
        </w:rPr>
      </w:pPr>
      <w:r w:rsidRPr="0064784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61628E9" w14:textId="77777777" w:rsidR="007D5865" w:rsidRPr="00647840" w:rsidRDefault="007D5865" w:rsidP="005C7B85">
      <w:pPr>
        <w:spacing w:after="0" w:line="360" w:lineRule="auto"/>
        <w:jc w:val="both"/>
        <w:rPr>
          <w:rFonts w:ascii="Palatino Linotype" w:eastAsia="Times New Roman" w:hAnsi="Palatino Linotype" w:cs="Arial"/>
          <w:bCs/>
          <w:sz w:val="24"/>
          <w:szCs w:val="24"/>
          <w:lang w:val="es-ES" w:eastAsia="es-ES"/>
        </w:rPr>
      </w:pPr>
    </w:p>
    <w:p w14:paraId="33DAE4EC" w14:textId="77777777" w:rsidR="007D5865" w:rsidRPr="00647840" w:rsidRDefault="007D5865" w:rsidP="005C7B85">
      <w:pPr>
        <w:spacing w:after="0" w:line="360" w:lineRule="auto"/>
        <w:jc w:val="both"/>
        <w:rPr>
          <w:rFonts w:ascii="Palatino Linotype" w:eastAsia="Times New Roman" w:hAnsi="Palatino Linotype" w:cs="Arial"/>
          <w:bCs/>
          <w:sz w:val="24"/>
          <w:szCs w:val="24"/>
          <w:lang w:val="es-ES" w:eastAsia="es-ES"/>
        </w:rPr>
      </w:pPr>
    </w:p>
    <w:p w14:paraId="6F8CF77D" w14:textId="77777777" w:rsidR="007D5865" w:rsidRPr="00647840" w:rsidRDefault="007D5865" w:rsidP="005C7B85">
      <w:pPr>
        <w:spacing w:after="0" w:line="360" w:lineRule="auto"/>
        <w:jc w:val="both"/>
        <w:rPr>
          <w:rFonts w:ascii="Palatino Linotype" w:eastAsia="Times New Roman" w:hAnsi="Palatino Linotype" w:cs="Arial"/>
          <w:bCs/>
          <w:sz w:val="24"/>
          <w:szCs w:val="24"/>
          <w:lang w:val="es-ES" w:eastAsia="es-ES"/>
        </w:rPr>
      </w:pPr>
    </w:p>
    <w:p w14:paraId="4371B73E" w14:textId="14E07C99" w:rsidR="006E1D83" w:rsidRPr="006B3AD3" w:rsidRDefault="004F442F" w:rsidP="005C7B85">
      <w:pPr>
        <w:spacing w:after="0" w:line="360" w:lineRule="auto"/>
        <w:jc w:val="both"/>
        <w:rPr>
          <w:rFonts w:ascii="Palatino Linotype" w:eastAsia="Times New Roman" w:hAnsi="Palatino Linotype" w:cs="Arial"/>
          <w:color w:val="000000"/>
          <w:sz w:val="24"/>
          <w:szCs w:val="24"/>
          <w:lang w:val="es-ES_tradnl" w:eastAsia="es-MX"/>
        </w:rPr>
      </w:pPr>
      <w:r w:rsidRPr="00647840">
        <w:rPr>
          <w:rFonts w:ascii="Palatino Linotype" w:eastAsia="Times New Roman" w:hAnsi="Palatino Linotype" w:cs="Arial"/>
          <w:bCs/>
          <w:sz w:val="24"/>
          <w:szCs w:val="24"/>
          <w:lang w:val="es-ES" w:eastAsia="es-ES"/>
        </w:rPr>
        <w:t>Por lo anteriormente señalado, se</w:t>
      </w:r>
      <w:r w:rsidR="005C7B85" w:rsidRPr="00647840">
        <w:rPr>
          <w:rFonts w:ascii="Palatino Linotype" w:eastAsia="Times New Roman" w:hAnsi="Palatino Linotype" w:cs="Arial"/>
          <w:bCs/>
          <w:sz w:val="24"/>
          <w:szCs w:val="24"/>
          <w:lang w:val="es-ES" w:eastAsia="es-ES"/>
        </w:rPr>
        <w:t xml:space="preserve"> </w:t>
      </w:r>
      <w:r w:rsidR="005C7B85" w:rsidRPr="00647840">
        <w:rPr>
          <w:rFonts w:ascii="Palatino Linotype" w:eastAsia="Times New Roman" w:hAnsi="Palatino Linotype" w:cs="Arial"/>
          <w:color w:val="000000"/>
          <w:sz w:val="24"/>
          <w:szCs w:val="24"/>
          <w:lang w:val="es-ES_tradnl" w:eastAsia="es-MX"/>
        </w:rPr>
        <w:t xml:space="preserve"> advierte que dicha solicitud no constituye un derecho de acceso a la información pública, </w:t>
      </w:r>
      <w:r w:rsidR="005C7B85" w:rsidRPr="00647840">
        <w:rPr>
          <w:rFonts w:ascii="Palatino Linotype" w:eastAsia="Times New Roman" w:hAnsi="Palatino Linotype" w:cs="Arial"/>
          <w:b/>
          <w:i/>
          <w:iCs/>
          <w:color w:val="000000"/>
          <w:sz w:val="24"/>
          <w:szCs w:val="24"/>
          <w:lang w:val="es-ES_tradnl" w:eastAsia="es-MX"/>
        </w:rPr>
        <w:t>sino más bien, refiere a un trámite, por lo que el solicitante deberá realizar dicho trámite de manera presencial ante el Sujeto Obligado</w:t>
      </w:r>
      <w:r w:rsidR="005C7B85" w:rsidRPr="00647840">
        <w:rPr>
          <w:rFonts w:ascii="Palatino Linotype" w:eastAsia="Times New Roman" w:hAnsi="Palatino Linotype" w:cs="Arial"/>
          <w:color w:val="000000"/>
          <w:sz w:val="24"/>
          <w:szCs w:val="24"/>
          <w:lang w:val="es-ES_tradnl" w:eastAsia="es-MX"/>
        </w:rPr>
        <w:t xml:space="preserve"> para poder allegarse de la información que refiere en su solicitud de información, conforme a los requisitos y procedimientos establecidos para la obtención de la misma.</w:t>
      </w:r>
      <w:r w:rsidR="005C7B85" w:rsidRPr="006B3AD3">
        <w:rPr>
          <w:rFonts w:ascii="Palatino Linotype" w:eastAsia="Times New Roman" w:hAnsi="Palatino Linotype" w:cs="Arial"/>
          <w:color w:val="000000"/>
          <w:sz w:val="24"/>
          <w:szCs w:val="24"/>
          <w:lang w:val="es-ES_tradnl" w:eastAsia="es-MX"/>
        </w:rPr>
        <w:t xml:space="preserve"> </w:t>
      </w:r>
    </w:p>
    <w:p w14:paraId="2D09C2A6" w14:textId="35E433C2" w:rsidR="006E1D83" w:rsidRPr="006B3AD3" w:rsidRDefault="006E1D83" w:rsidP="005C7B85">
      <w:pPr>
        <w:spacing w:after="0" w:line="360" w:lineRule="auto"/>
        <w:jc w:val="both"/>
        <w:rPr>
          <w:rFonts w:ascii="Palatino Linotype" w:eastAsia="Times New Roman" w:hAnsi="Palatino Linotype" w:cs="Arial"/>
          <w:color w:val="000000"/>
          <w:sz w:val="24"/>
          <w:szCs w:val="24"/>
          <w:lang w:val="es-ES_tradnl" w:eastAsia="es-MX"/>
        </w:rPr>
      </w:pPr>
    </w:p>
    <w:p w14:paraId="0EA26DC6" w14:textId="09B38EA4" w:rsidR="004E7CD4" w:rsidRPr="006B3AD3" w:rsidRDefault="004E7CD4" w:rsidP="005C7B85">
      <w:pPr>
        <w:spacing w:after="0" w:line="360" w:lineRule="auto"/>
        <w:jc w:val="both"/>
        <w:rPr>
          <w:rFonts w:ascii="Palatino Linotype" w:eastAsia="Times New Roman" w:hAnsi="Palatino Linotype" w:cs="Arial"/>
          <w:color w:val="000000"/>
          <w:sz w:val="24"/>
          <w:szCs w:val="24"/>
          <w:lang w:val="es-ES_tradnl" w:eastAsia="es-MX"/>
        </w:rPr>
      </w:pPr>
      <w:r w:rsidRPr="006B3AD3">
        <w:rPr>
          <w:rFonts w:ascii="Palatino Linotype" w:eastAsia="Times New Roman" w:hAnsi="Palatino Linotype" w:cs="Arial"/>
          <w:color w:val="000000"/>
          <w:sz w:val="24"/>
          <w:szCs w:val="24"/>
          <w:lang w:val="es-ES_tradnl" w:eastAsia="es-MX"/>
        </w:rPr>
        <w:t xml:space="preserve">Sirva de sustento el </w:t>
      </w:r>
      <w:r w:rsidR="001860E4" w:rsidRPr="006B3AD3">
        <w:rPr>
          <w:rFonts w:ascii="Palatino Linotype" w:eastAsia="Times New Roman" w:hAnsi="Palatino Linotype" w:cs="Times New Roman"/>
          <w:iCs/>
          <w:sz w:val="24"/>
          <w:szCs w:val="24"/>
          <w:lang w:eastAsia="es-MX"/>
        </w:rPr>
        <w:t>artículo 172 de la Ley de Transparencia y Acceso a la información Pública del Estado de México y Municipios</w:t>
      </w:r>
      <w:r w:rsidR="001860E4" w:rsidRPr="006B3AD3">
        <w:rPr>
          <w:rFonts w:ascii="Palatino Linotype" w:eastAsia="Times New Roman" w:hAnsi="Palatino Linotype" w:cs="Arial"/>
          <w:color w:val="000000"/>
          <w:sz w:val="24"/>
          <w:szCs w:val="24"/>
          <w:lang w:val="es-ES_tradnl" w:eastAsia="es-MX"/>
        </w:rPr>
        <w:t xml:space="preserve"> que dispone a la literalidad lo siguiente:</w:t>
      </w:r>
    </w:p>
    <w:p w14:paraId="4873CFA4" w14:textId="77777777" w:rsidR="00CA1380" w:rsidRPr="006B3AD3" w:rsidRDefault="00CA1380" w:rsidP="005C7B85">
      <w:pPr>
        <w:spacing w:after="0" w:line="360" w:lineRule="auto"/>
        <w:jc w:val="both"/>
        <w:rPr>
          <w:rFonts w:ascii="Palatino Linotype" w:eastAsia="Times New Roman" w:hAnsi="Palatino Linotype" w:cs="Arial"/>
          <w:color w:val="000000"/>
          <w:sz w:val="24"/>
          <w:szCs w:val="24"/>
          <w:lang w:val="es-ES_tradnl" w:eastAsia="es-MX"/>
        </w:rPr>
      </w:pPr>
    </w:p>
    <w:p w14:paraId="3A132178" w14:textId="51516894" w:rsidR="001860E4" w:rsidRPr="006B3AD3" w:rsidRDefault="00CA1380" w:rsidP="001860E4">
      <w:pPr>
        <w:spacing w:after="0" w:line="360" w:lineRule="auto"/>
        <w:ind w:left="567"/>
        <w:jc w:val="both"/>
        <w:rPr>
          <w:rFonts w:ascii="Palatino Linotype" w:eastAsia="Times New Roman" w:hAnsi="Palatino Linotype" w:cs="Times New Roman"/>
          <w:i/>
          <w:sz w:val="24"/>
          <w:szCs w:val="24"/>
          <w:lang w:eastAsia="es-MX"/>
        </w:rPr>
      </w:pPr>
      <w:r w:rsidRPr="006B3AD3">
        <w:rPr>
          <w:rFonts w:ascii="Palatino Linotype" w:eastAsia="Times New Roman" w:hAnsi="Palatino Linotype" w:cs="Times New Roman"/>
          <w:i/>
          <w:sz w:val="24"/>
          <w:szCs w:val="24"/>
          <w:lang w:eastAsia="es-MX"/>
        </w:rPr>
        <w:t>“</w:t>
      </w:r>
      <w:r w:rsidR="001860E4" w:rsidRPr="006B3AD3">
        <w:rPr>
          <w:rFonts w:ascii="Palatino Linotype" w:eastAsia="Times New Roman" w:hAnsi="Palatino Linotype" w:cs="Times New Roman"/>
          <w:i/>
          <w:sz w:val="24"/>
          <w:szCs w:val="24"/>
          <w:lang w:eastAsia="es-MX"/>
        </w:rPr>
        <w:t xml:space="preserve">Título Séptimo Acceso a la Información Pública </w:t>
      </w:r>
    </w:p>
    <w:p w14:paraId="5C9668EE" w14:textId="3F59446A" w:rsidR="001860E4" w:rsidRPr="006B3AD3" w:rsidRDefault="001860E4" w:rsidP="001860E4">
      <w:pPr>
        <w:spacing w:after="0" w:line="360" w:lineRule="auto"/>
        <w:ind w:left="567"/>
        <w:jc w:val="both"/>
        <w:rPr>
          <w:rFonts w:ascii="Palatino Linotype" w:eastAsia="Times New Roman" w:hAnsi="Palatino Linotype" w:cs="Times New Roman"/>
          <w:i/>
          <w:sz w:val="24"/>
          <w:szCs w:val="24"/>
          <w:lang w:eastAsia="es-MX"/>
        </w:rPr>
      </w:pPr>
      <w:r w:rsidRPr="006B3AD3">
        <w:rPr>
          <w:rFonts w:ascii="Palatino Linotype" w:eastAsia="Times New Roman" w:hAnsi="Palatino Linotype" w:cs="Times New Roman"/>
          <w:i/>
          <w:sz w:val="24"/>
          <w:szCs w:val="24"/>
          <w:lang w:eastAsia="es-MX"/>
        </w:rPr>
        <w:t xml:space="preserve">Capítulo I Del Procedimiento de Acceso a la Información Pública </w:t>
      </w:r>
    </w:p>
    <w:p w14:paraId="46089B59" w14:textId="77777777" w:rsidR="001860E4" w:rsidRPr="006B3AD3" w:rsidRDefault="001860E4" w:rsidP="001860E4">
      <w:pPr>
        <w:spacing w:after="0" w:line="360" w:lineRule="auto"/>
        <w:ind w:left="567"/>
        <w:jc w:val="both"/>
        <w:rPr>
          <w:rFonts w:ascii="Palatino Linotype" w:eastAsia="Times New Roman" w:hAnsi="Palatino Linotype" w:cs="Times New Roman"/>
          <w:i/>
          <w:sz w:val="24"/>
          <w:szCs w:val="24"/>
          <w:lang w:eastAsia="es-MX"/>
        </w:rPr>
      </w:pPr>
      <w:r w:rsidRPr="006B3AD3">
        <w:rPr>
          <w:rFonts w:ascii="Palatino Linotype" w:eastAsia="Times New Roman" w:hAnsi="Palatino Linotype" w:cs="Times New Roman"/>
          <w:b/>
          <w:bCs/>
          <w:i/>
          <w:sz w:val="24"/>
          <w:szCs w:val="24"/>
          <w:lang w:eastAsia="es-MX"/>
        </w:rPr>
        <w:t>Artículo 172.</w:t>
      </w:r>
      <w:r w:rsidRPr="006B3AD3">
        <w:rPr>
          <w:rFonts w:ascii="Palatino Linotype" w:eastAsia="Times New Roman" w:hAnsi="Palatino Linotype" w:cs="Times New Roman"/>
          <w:i/>
          <w:sz w:val="24"/>
          <w:szCs w:val="24"/>
          <w:lang w:eastAsia="es-MX"/>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14:paraId="554EB0FB" w14:textId="77777777" w:rsidR="001860E4" w:rsidRPr="006B3AD3" w:rsidRDefault="001860E4" w:rsidP="001860E4">
      <w:pPr>
        <w:spacing w:after="0" w:line="360" w:lineRule="auto"/>
        <w:ind w:left="567"/>
        <w:jc w:val="both"/>
        <w:rPr>
          <w:rFonts w:ascii="Palatino Linotype" w:eastAsia="Times New Roman" w:hAnsi="Palatino Linotype" w:cs="Times New Roman"/>
          <w:i/>
          <w:sz w:val="24"/>
          <w:szCs w:val="24"/>
          <w:lang w:eastAsia="es-MX"/>
        </w:rPr>
      </w:pPr>
    </w:p>
    <w:p w14:paraId="54946A89" w14:textId="5382A2F7" w:rsidR="001860E4" w:rsidRPr="006B3AD3" w:rsidRDefault="001860E4" w:rsidP="001860E4">
      <w:pPr>
        <w:spacing w:after="0" w:line="360" w:lineRule="auto"/>
        <w:ind w:left="567"/>
        <w:jc w:val="both"/>
        <w:rPr>
          <w:rFonts w:ascii="Palatino Linotype" w:eastAsia="Times New Roman" w:hAnsi="Palatino Linotype" w:cs="Arial"/>
          <w:color w:val="000000"/>
          <w:sz w:val="24"/>
          <w:szCs w:val="24"/>
          <w:lang w:val="es-ES_tradnl" w:eastAsia="es-MX"/>
        </w:rPr>
      </w:pPr>
      <w:r w:rsidRPr="006B3AD3">
        <w:rPr>
          <w:rFonts w:ascii="Palatino Linotype" w:eastAsia="Times New Roman" w:hAnsi="Palatino Linotype" w:cs="Times New Roman"/>
          <w:i/>
          <w:sz w:val="24"/>
          <w:szCs w:val="24"/>
          <w:lang w:eastAsia="es-MX"/>
        </w:rPr>
        <w:t>Los argumentos para justificar cualquier negativa de acceso a la información deben recaer en el sujeto obligado al cual la información fue solicitada.</w:t>
      </w:r>
      <w:r w:rsidR="00CA1380" w:rsidRPr="006B3AD3">
        <w:rPr>
          <w:rFonts w:ascii="Palatino Linotype" w:eastAsia="Times New Roman" w:hAnsi="Palatino Linotype" w:cs="Times New Roman"/>
          <w:i/>
          <w:sz w:val="24"/>
          <w:szCs w:val="24"/>
          <w:lang w:eastAsia="es-MX"/>
        </w:rPr>
        <w:t>”</w:t>
      </w:r>
    </w:p>
    <w:p w14:paraId="478F7D23" w14:textId="77777777" w:rsidR="001860E4" w:rsidRPr="006B3AD3" w:rsidRDefault="001860E4" w:rsidP="005C7B85">
      <w:pPr>
        <w:spacing w:after="0" w:line="360" w:lineRule="auto"/>
        <w:jc w:val="both"/>
        <w:rPr>
          <w:rFonts w:ascii="Palatino Linotype" w:eastAsia="Times New Roman" w:hAnsi="Palatino Linotype" w:cs="Arial"/>
          <w:color w:val="000000"/>
          <w:sz w:val="24"/>
          <w:szCs w:val="24"/>
          <w:lang w:val="es-ES_tradnl" w:eastAsia="es-MX"/>
        </w:rPr>
      </w:pPr>
    </w:p>
    <w:p w14:paraId="64C79D5B" w14:textId="77777777" w:rsidR="00A17C93" w:rsidRPr="006B3AD3" w:rsidRDefault="00A17C93" w:rsidP="00A17C93">
      <w:pPr>
        <w:pStyle w:val="Prrafodelista"/>
        <w:autoSpaceDE w:val="0"/>
        <w:autoSpaceDN w:val="0"/>
        <w:adjustRightInd w:val="0"/>
        <w:spacing w:line="360" w:lineRule="auto"/>
        <w:ind w:left="0"/>
        <w:jc w:val="both"/>
        <w:rPr>
          <w:rFonts w:ascii="Palatino Linotype" w:hAnsi="Palatino Linotype" w:cs="Arial"/>
        </w:rPr>
      </w:pPr>
      <w:r w:rsidRPr="006B3AD3">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58EC90FC" w14:textId="77777777" w:rsidR="00A17C93" w:rsidRPr="006B3AD3" w:rsidRDefault="00A17C93" w:rsidP="00A17C93">
      <w:pPr>
        <w:pStyle w:val="Sinespaciado"/>
        <w:rPr>
          <w:rFonts w:ascii="Palatino Linotype" w:hAnsi="Palatino Linotype"/>
          <w:sz w:val="24"/>
          <w:szCs w:val="24"/>
        </w:rPr>
      </w:pPr>
    </w:p>
    <w:p w14:paraId="06830717" w14:textId="77777777" w:rsidR="00A17C93" w:rsidRPr="006B3AD3" w:rsidRDefault="00A17C93" w:rsidP="00A17C93">
      <w:pPr>
        <w:ind w:left="851" w:right="851"/>
        <w:jc w:val="both"/>
        <w:rPr>
          <w:rFonts w:ascii="Palatino Linotype" w:hAnsi="Palatino Linotype" w:cs="Arial"/>
          <w:b/>
          <w:i/>
          <w:sz w:val="24"/>
          <w:szCs w:val="24"/>
        </w:rPr>
      </w:pPr>
      <w:r w:rsidRPr="006B3AD3">
        <w:rPr>
          <w:rFonts w:ascii="Palatino Linotype" w:hAnsi="Palatino Linotype" w:cs="Arial"/>
          <w:b/>
          <w:i/>
          <w:sz w:val="24"/>
          <w:szCs w:val="24"/>
        </w:rPr>
        <w:t>Artículo 12.</w:t>
      </w:r>
      <w:r w:rsidRPr="006B3AD3">
        <w:rPr>
          <w:rFonts w:ascii="Palatino Linotype" w:hAnsi="Palatino Linotype" w:cs="Arial"/>
          <w:i/>
          <w:sz w:val="24"/>
          <w:szCs w:val="24"/>
        </w:rPr>
        <w:t xml:space="preserve"> …</w:t>
      </w:r>
      <w:r w:rsidRPr="006B3AD3">
        <w:rPr>
          <w:rFonts w:ascii="Palatino Linotype" w:hAnsi="Palatino Linotype" w:cs="Arial"/>
          <w:b/>
          <w:i/>
          <w:sz w:val="24"/>
          <w:szCs w:val="24"/>
        </w:rPr>
        <w:t xml:space="preserve"> </w:t>
      </w:r>
    </w:p>
    <w:p w14:paraId="6BB3B447" w14:textId="77777777" w:rsidR="00A17C93" w:rsidRPr="006B3AD3" w:rsidRDefault="00A17C93" w:rsidP="006836FA">
      <w:pPr>
        <w:spacing w:line="360" w:lineRule="auto"/>
        <w:ind w:left="851" w:right="851"/>
        <w:jc w:val="both"/>
        <w:rPr>
          <w:rFonts w:ascii="Palatino Linotype" w:hAnsi="Palatino Linotype" w:cs="Arial"/>
          <w:i/>
          <w:sz w:val="24"/>
          <w:szCs w:val="24"/>
        </w:rPr>
      </w:pPr>
      <w:r w:rsidRPr="006B3AD3">
        <w:rPr>
          <w:rFonts w:ascii="Palatino Linotype" w:hAnsi="Palatino Linotype" w:cs="Arial"/>
          <w:b/>
          <w:i/>
          <w:sz w:val="24"/>
          <w:szCs w:val="24"/>
          <w:u w:val="single"/>
        </w:rPr>
        <w:t>Los sujetos obligados sólo proporcionarán la información pública que se les requiera y que obre en sus archivos y en el estado en que ésta se encuentre</w:t>
      </w:r>
      <w:r w:rsidRPr="006B3AD3">
        <w:rPr>
          <w:rFonts w:ascii="Palatino Linotype" w:hAnsi="Palatino Linotype" w:cs="Arial"/>
          <w:i/>
          <w:sz w:val="24"/>
          <w:szCs w:val="24"/>
        </w:rPr>
        <w:t>. La obligación de proporcionar información no comprende el procesamiento de la misma, ni el presentarla conforme al interés del solicitante; no estarán obligados a generarla, resumirla, efectuar cálculos o practicar investigaciones.</w:t>
      </w:r>
    </w:p>
    <w:p w14:paraId="7B44A0C4" w14:textId="77777777" w:rsidR="00A17C93" w:rsidRPr="006B3AD3" w:rsidRDefault="00A17C93" w:rsidP="006E1D83">
      <w:pPr>
        <w:spacing w:after="0" w:line="480" w:lineRule="auto"/>
        <w:jc w:val="both"/>
        <w:rPr>
          <w:rFonts w:ascii="Palatino Linotype" w:eastAsia="Times New Roman" w:hAnsi="Palatino Linotype" w:cs="Arial"/>
          <w:color w:val="000000"/>
          <w:sz w:val="24"/>
          <w:szCs w:val="24"/>
          <w:lang w:eastAsia="es-MX"/>
        </w:rPr>
      </w:pPr>
    </w:p>
    <w:p w14:paraId="108F59DA" w14:textId="38FF077E" w:rsidR="006220AC" w:rsidRPr="006B3AD3" w:rsidRDefault="00A17C93" w:rsidP="006E1D83">
      <w:pPr>
        <w:spacing w:after="0" w:line="480" w:lineRule="auto"/>
        <w:jc w:val="both"/>
        <w:rPr>
          <w:rFonts w:ascii="Palatino Linotype" w:eastAsia="Times New Roman" w:hAnsi="Palatino Linotype" w:cs="Arial"/>
          <w:color w:val="000000"/>
          <w:sz w:val="24"/>
          <w:szCs w:val="24"/>
          <w:lang w:val="es-ES_tradnl" w:eastAsia="es-MX"/>
        </w:rPr>
      </w:pPr>
      <w:r w:rsidRPr="006B3AD3">
        <w:rPr>
          <w:rFonts w:ascii="Palatino Linotype" w:eastAsia="Times New Roman" w:hAnsi="Palatino Linotype" w:cs="Arial"/>
          <w:color w:val="000000"/>
          <w:sz w:val="24"/>
          <w:szCs w:val="24"/>
          <w:lang w:val="es-ES_tradnl" w:eastAsia="es-MX"/>
        </w:rPr>
        <w:t>Bajo esta líneas argumentativas resulta dable traer a colación</w:t>
      </w:r>
      <w:r w:rsidR="00CA1380" w:rsidRPr="006B3AD3">
        <w:rPr>
          <w:rFonts w:ascii="Palatino Linotype" w:eastAsia="Times New Roman" w:hAnsi="Palatino Linotype" w:cs="Arial"/>
          <w:color w:val="000000"/>
          <w:sz w:val="24"/>
          <w:szCs w:val="24"/>
          <w:lang w:val="es-ES_tradnl" w:eastAsia="es-MX"/>
        </w:rPr>
        <w:t xml:space="preserve"> </w:t>
      </w:r>
      <w:r w:rsidR="006E1D83" w:rsidRPr="006B3AD3">
        <w:rPr>
          <w:rFonts w:ascii="Palatino Linotype" w:eastAsia="Times New Roman" w:hAnsi="Palatino Linotype" w:cs="Arial"/>
          <w:color w:val="000000"/>
          <w:sz w:val="24"/>
          <w:szCs w:val="24"/>
          <w:lang w:val="es-ES_tradnl" w:eastAsia="es-MX"/>
        </w:rPr>
        <w:t xml:space="preserve">lo establecido en </w:t>
      </w:r>
      <w:r w:rsidR="006220AC" w:rsidRPr="006B3AD3">
        <w:rPr>
          <w:rFonts w:ascii="Palatino Linotype" w:eastAsia="Times New Roman" w:hAnsi="Palatino Linotype" w:cs="Arial"/>
          <w:color w:val="000000"/>
          <w:sz w:val="24"/>
          <w:szCs w:val="24"/>
          <w:lang w:val="es-ES_tradnl" w:eastAsia="es-MX"/>
        </w:rPr>
        <w:t xml:space="preserve">la </w:t>
      </w:r>
      <w:r w:rsidR="006220AC" w:rsidRPr="006B3AD3">
        <w:rPr>
          <w:rFonts w:ascii="Palatino Linotype" w:eastAsia="Times New Roman" w:hAnsi="Palatino Linotype" w:cs="Arial"/>
          <w:b/>
          <w:bCs/>
          <w:color w:val="000000"/>
          <w:sz w:val="24"/>
          <w:szCs w:val="24"/>
          <w:lang w:val="es-ES_tradnl" w:eastAsia="es-MX"/>
        </w:rPr>
        <w:t>Ley para la Mejora Regulatoria del Estado de México y sus Municipios</w:t>
      </w:r>
      <w:r w:rsidR="006220AC" w:rsidRPr="006B3AD3">
        <w:rPr>
          <w:rFonts w:ascii="Palatino Linotype" w:eastAsia="Times New Roman" w:hAnsi="Palatino Linotype" w:cs="Arial"/>
          <w:color w:val="000000"/>
          <w:sz w:val="24"/>
          <w:szCs w:val="24"/>
          <w:lang w:val="es-ES_tradnl" w:eastAsia="es-MX"/>
        </w:rPr>
        <w:t xml:space="preserve"> que establece lo siguiente:</w:t>
      </w:r>
    </w:p>
    <w:p w14:paraId="059AFB36" w14:textId="77777777" w:rsidR="006220AC" w:rsidRPr="006B3AD3" w:rsidRDefault="006220AC" w:rsidP="006220AC">
      <w:pPr>
        <w:spacing w:after="0" w:line="480" w:lineRule="auto"/>
        <w:ind w:left="567"/>
        <w:jc w:val="both"/>
        <w:rPr>
          <w:rFonts w:ascii="Palatino Linotype" w:hAnsi="Palatino Linotype"/>
          <w:b/>
          <w:bCs/>
          <w:i/>
          <w:iCs/>
          <w:sz w:val="24"/>
          <w:szCs w:val="24"/>
        </w:rPr>
      </w:pPr>
      <w:r w:rsidRPr="006B3AD3">
        <w:rPr>
          <w:rFonts w:ascii="Palatino Linotype" w:eastAsia="Times New Roman" w:hAnsi="Palatino Linotype" w:cs="Arial"/>
          <w:color w:val="000000"/>
          <w:sz w:val="24"/>
          <w:szCs w:val="24"/>
          <w:lang w:val="es-ES_tradnl" w:eastAsia="es-MX"/>
        </w:rPr>
        <w:t xml:space="preserve"> </w:t>
      </w:r>
      <w:r w:rsidRPr="006B3AD3">
        <w:rPr>
          <w:rFonts w:ascii="Palatino Linotype" w:hAnsi="Palatino Linotype"/>
          <w:b/>
          <w:bCs/>
          <w:i/>
          <w:iCs/>
          <w:sz w:val="24"/>
          <w:szCs w:val="24"/>
        </w:rPr>
        <w:t xml:space="preserve">Artículo 4.- Para los efectos de esta Ley, se entiende por: </w:t>
      </w:r>
    </w:p>
    <w:p w14:paraId="6B149D21" w14:textId="10DCE71D" w:rsidR="006220AC" w:rsidRPr="006B3AD3" w:rsidRDefault="006220AC" w:rsidP="006220AC">
      <w:pPr>
        <w:spacing w:after="0" w:line="480" w:lineRule="auto"/>
        <w:ind w:left="567"/>
        <w:jc w:val="both"/>
        <w:rPr>
          <w:rFonts w:ascii="Palatino Linotype" w:hAnsi="Palatino Linotype"/>
          <w:b/>
          <w:bCs/>
          <w:i/>
          <w:iCs/>
          <w:sz w:val="24"/>
          <w:szCs w:val="24"/>
        </w:rPr>
      </w:pPr>
      <w:r w:rsidRPr="006B3AD3">
        <w:rPr>
          <w:rFonts w:ascii="Palatino Linotype" w:hAnsi="Palatino Linotype"/>
          <w:b/>
          <w:bCs/>
          <w:i/>
          <w:iCs/>
          <w:sz w:val="24"/>
          <w:szCs w:val="24"/>
        </w:rPr>
        <w:t xml:space="preserve">I (…) </w:t>
      </w:r>
    </w:p>
    <w:p w14:paraId="7DAF0227" w14:textId="77777777" w:rsidR="006220AC" w:rsidRPr="006B3AD3" w:rsidRDefault="006220AC" w:rsidP="006220AC">
      <w:pPr>
        <w:spacing w:after="0" w:line="480" w:lineRule="auto"/>
        <w:ind w:left="567"/>
        <w:jc w:val="both"/>
        <w:rPr>
          <w:rFonts w:ascii="Palatino Linotype" w:hAnsi="Palatino Linotype"/>
          <w:i/>
          <w:iCs/>
          <w:sz w:val="24"/>
          <w:szCs w:val="24"/>
        </w:rPr>
      </w:pPr>
      <w:r w:rsidRPr="006B3AD3">
        <w:rPr>
          <w:rFonts w:ascii="Palatino Linotype" w:hAnsi="Palatino Linotype"/>
          <w:b/>
          <w:bCs/>
          <w:i/>
          <w:iCs/>
          <w:sz w:val="24"/>
          <w:szCs w:val="24"/>
        </w:rPr>
        <w:t xml:space="preserve"> XXXIII. Trámite</w:t>
      </w:r>
      <w:r w:rsidRPr="006B3AD3">
        <w:rPr>
          <w:rFonts w:ascii="Palatino Linotype" w:hAnsi="Palatino Linotype"/>
          <w:sz w:val="24"/>
          <w:szCs w:val="24"/>
        </w:rPr>
        <w:t xml:space="preserve">: </w:t>
      </w:r>
      <w:r w:rsidRPr="006B3AD3">
        <w:rPr>
          <w:rFonts w:ascii="Palatino Linotype" w:hAnsi="Palatino Linotype"/>
          <w:i/>
          <w:iCs/>
          <w:sz w:val="24"/>
          <w:szCs w:val="24"/>
        </w:rPr>
        <w:t>A la solicitud o gestión que realizan las personas físicas o jurídicas colectivas, con base en un ordenamiento jurídico, ya sea para cumplir una obligación que tiene a su cargo, o bien, para obtener información, un beneficio, un servicio o una resolución, y que los sujetos obligados a que se refiere el propio ordenamiento están obligados a resolver en los términos del mismo.</w:t>
      </w:r>
    </w:p>
    <w:p w14:paraId="1BCC905F" w14:textId="77777777" w:rsidR="006220AC" w:rsidRPr="006B3AD3" w:rsidRDefault="006220AC" w:rsidP="006E1D83">
      <w:pPr>
        <w:spacing w:after="0" w:line="480" w:lineRule="auto"/>
        <w:jc w:val="both"/>
        <w:rPr>
          <w:rFonts w:ascii="Palatino Linotype" w:hAnsi="Palatino Linotype"/>
          <w:sz w:val="24"/>
          <w:szCs w:val="24"/>
        </w:rPr>
      </w:pPr>
    </w:p>
    <w:p w14:paraId="29888810" w14:textId="3FF8A34C" w:rsidR="005C7B85" w:rsidRPr="006B3AD3" w:rsidRDefault="005C7B85" w:rsidP="005C7B85">
      <w:pPr>
        <w:spacing w:after="0" w:line="360" w:lineRule="auto"/>
        <w:jc w:val="both"/>
        <w:rPr>
          <w:rFonts w:ascii="Palatino Linotype" w:eastAsia="Times New Roman" w:hAnsi="Palatino Linotype" w:cs="Arial"/>
          <w:color w:val="000000"/>
          <w:sz w:val="24"/>
          <w:szCs w:val="24"/>
          <w:lang w:val="es-ES_tradnl" w:eastAsia="es-MX"/>
        </w:rPr>
      </w:pPr>
      <w:r w:rsidRPr="006B3AD3">
        <w:rPr>
          <w:rFonts w:ascii="Palatino Linotype" w:eastAsia="Times New Roman" w:hAnsi="Palatino Linotype" w:cs="Arial"/>
          <w:color w:val="000000"/>
          <w:sz w:val="24"/>
          <w:szCs w:val="24"/>
          <w:lang w:val="es-ES_tradnl" w:eastAsia="es-MX"/>
        </w:rPr>
        <w:lastRenderedPageBreak/>
        <w:t xml:space="preserve">Es por ello que la vía que intenta ejercer el solicitante denominada de </w:t>
      </w:r>
      <w:r w:rsidRPr="006B3AD3">
        <w:rPr>
          <w:rFonts w:ascii="Palatino Linotype" w:eastAsia="Times New Roman" w:hAnsi="Palatino Linotype" w:cs="Arial"/>
          <w:b/>
          <w:i/>
          <w:color w:val="000000"/>
          <w:sz w:val="24"/>
          <w:szCs w:val="24"/>
          <w:lang w:val="es-ES_tradnl" w:eastAsia="es-MX"/>
        </w:rPr>
        <w:t>“acceso a la información pública”</w:t>
      </w:r>
      <w:r w:rsidRPr="006B3AD3">
        <w:rPr>
          <w:rFonts w:ascii="Palatino Linotype" w:eastAsia="Times New Roman" w:hAnsi="Palatino Linotype" w:cs="Arial"/>
          <w:color w:val="000000"/>
          <w:sz w:val="24"/>
          <w:szCs w:val="24"/>
          <w:lang w:val="es-ES_tradnl" w:eastAsia="es-MX"/>
        </w:rPr>
        <w:t>, no es la idónea para allegarse de la información materia de la solicitud.</w:t>
      </w:r>
      <w:r w:rsidR="006E1D83" w:rsidRPr="006B3AD3">
        <w:rPr>
          <w:rFonts w:ascii="Palatino Linotype" w:eastAsia="Times New Roman" w:hAnsi="Palatino Linotype" w:cs="Arial"/>
          <w:color w:val="000000"/>
          <w:sz w:val="24"/>
          <w:szCs w:val="24"/>
          <w:lang w:val="es-ES_tradnl" w:eastAsia="es-MX"/>
        </w:rPr>
        <w:t xml:space="preserve"> </w:t>
      </w:r>
      <w:r w:rsidRPr="006B3AD3">
        <w:rPr>
          <w:rFonts w:ascii="Palatino Linotype" w:eastAsia="Times New Roman" w:hAnsi="Palatino Linotype" w:cs="Arial"/>
          <w:color w:val="000000"/>
          <w:sz w:val="24"/>
          <w:szCs w:val="24"/>
          <w:lang w:val="es-ES_tradnl" w:eastAsia="es-MX"/>
        </w:rPr>
        <w:t>En consecuencia, este órgano garante concluye que el procedimiento de acceso a la información pública no</w:t>
      </w:r>
      <w:r w:rsidR="00672359">
        <w:rPr>
          <w:rFonts w:ascii="Palatino Linotype" w:eastAsia="Times New Roman" w:hAnsi="Palatino Linotype" w:cs="Arial"/>
          <w:color w:val="000000"/>
          <w:sz w:val="24"/>
          <w:szCs w:val="24"/>
          <w:lang w:val="es-ES_tradnl" w:eastAsia="es-MX"/>
        </w:rPr>
        <w:t xml:space="preserve"> es</w:t>
      </w:r>
      <w:r w:rsidRPr="006B3AD3">
        <w:rPr>
          <w:rFonts w:ascii="Palatino Linotype" w:eastAsia="Times New Roman" w:hAnsi="Palatino Linotype" w:cs="Arial"/>
          <w:color w:val="000000"/>
          <w:sz w:val="24"/>
          <w:szCs w:val="24"/>
          <w:lang w:val="es-ES_tradnl" w:eastAsia="es-MX"/>
        </w:rPr>
        <w:t xml:space="preserve"> la vía para obtener la documentación solicitada, ya que existe un trámite específico que, además, requieren la satisfacción de requisitos concretos; toda vez que no es el medio adecuado para concluir las tramitaciones correspondientes.</w:t>
      </w:r>
    </w:p>
    <w:p w14:paraId="3D99D66F" w14:textId="51C43A76" w:rsidR="00856D74" w:rsidRPr="006B3AD3" w:rsidRDefault="00856D74" w:rsidP="005C7B85">
      <w:pPr>
        <w:spacing w:after="0" w:line="360" w:lineRule="auto"/>
        <w:jc w:val="both"/>
        <w:rPr>
          <w:rFonts w:ascii="Palatino Linotype" w:eastAsia="Times New Roman" w:hAnsi="Palatino Linotype" w:cs="Arial"/>
          <w:color w:val="000000"/>
          <w:sz w:val="24"/>
          <w:szCs w:val="24"/>
          <w:lang w:val="es-ES_tradnl" w:eastAsia="es-MX"/>
        </w:rPr>
      </w:pPr>
    </w:p>
    <w:p w14:paraId="4E7DA69B" w14:textId="4EFBA774" w:rsidR="00856D74" w:rsidRPr="006B3AD3" w:rsidRDefault="00672359" w:rsidP="00856D74">
      <w:pPr>
        <w:spacing w:after="0" w:line="360" w:lineRule="auto"/>
        <w:jc w:val="both"/>
        <w:rPr>
          <w:rFonts w:ascii="Palatino Linotype" w:eastAsia="Times New Roman" w:hAnsi="Palatino Linotype" w:cs="Arial"/>
          <w:color w:val="000000"/>
          <w:sz w:val="24"/>
          <w:szCs w:val="24"/>
          <w:lang w:val="es-ES_tradnl" w:eastAsia="es-MX"/>
        </w:rPr>
      </w:pPr>
      <w:r>
        <w:rPr>
          <w:rFonts w:ascii="Palatino Linotype" w:eastAsia="Times New Roman" w:hAnsi="Palatino Linotype" w:cs="Arial"/>
          <w:color w:val="000000"/>
          <w:sz w:val="24"/>
          <w:szCs w:val="24"/>
          <w:lang w:val="es-ES_tradnl" w:eastAsia="es-MX"/>
        </w:rPr>
        <w:t xml:space="preserve">Bajo estas líneas argumentativas </w:t>
      </w:r>
      <w:r w:rsidR="006836FA">
        <w:rPr>
          <w:rFonts w:ascii="Palatino Linotype" w:eastAsia="Times New Roman" w:hAnsi="Palatino Linotype" w:cs="Arial"/>
          <w:color w:val="000000"/>
          <w:sz w:val="24"/>
          <w:szCs w:val="24"/>
          <w:lang w:val="es-ES_tradnl" w:eastAsia="es-MX"/>
        </w:rPr>
        <w:t xml:space="preserve">se </w:t>
      </w:r>
      <w:r w:rsidR="006836FA" w:rsidRPr="006B3AD3">
        <w:rPr>
          <w:rFonts w:ascii="Palatino Linotype" w:eastAsia="Times New Roman" w:hAnsi="Palatino Linotype" w:cs="Arial"/>
          <w:color w:val="000000"/>
          <w:sz w:val="24"/>
          <w:szCs w:val="24"/>
          <w:lang w:val="es-ES_tradnl" w:eastAsia="es-MX"/>
        </w:rPr>
        <w:t>concluye</w:t>
      </w:r>
      <w:r w:rsidR="00856D74" w:rsidRPr="006B3AD3">
        <w:rPr>
          <w:rFonts w:ascii="Palatino Linotype" w:eastAsia="Times New Roman" w:hAnsi="Palatino Linotype" w:cs="Arial"/>
          <w:color w:val="000000"/>
          <w:sz w:val="24"/>
          <w:szCs w:val="24"/>
          <w:lang w:val="es-ES_tradnl" w:eastAsia="es-MX"/>
        </w:rPr>
        <w:t xml:space="preserve"> que ha sido criterio de este Instituto que cuándo la información se solicita en la vías previstas en las leyes de acceso a la información pública o protección de datos personales, pero existe un trámite para su obtención, debe seguirse esta última modalidad con la finalidad de preservar su marco regulatorio y que se cubran las condiciones exigidas en ella. </w:t>
      </w:r>
    </w:p>
    <w:p w14:paraId="5789146A" w14:textId="40E11481" w:rsidR="00856D74" w:rsidRPr="006B3AD3" w:rsidRDefault="00856D74" w:rsidP="00856D74">
      <w:pPr>
        <w:spacing w:after="0" w:line="360" w:lineRule="auto"/>
        <w:jc w:val="both"/>
        <w:rPr>
          <w:rFonts w:ascii="Palatino Linotype" w:eastAsia="Times New Roman" w:hAnsi="Palatino Linotype" w:cs="Arial"/>
          <w:color w:val="000000"/>
          <w:sz w:val="24"/>
          <w:szCs w:val="24"/>
          <w:lang w:val="es-ES_tradnl" w:eastAsia="es-MX"/>
        </w:rPr>
      </w:pPr>
    </w:p>
    <w:p w14:paraId="15DC6538" w14:textId="77386193" w:rsidR="00856D74" w:rsidRPr="006B3AD3" w:rsidRDefault="00670474" w:rsidP="00856D74">
      <w:pPr>
        <w:spacing w:after="0" w:line="360" w:lineRule="auto"/>
        <w:jc w:val="both"/>
        <w:rPr>
          <w:rFonts w:ascii="Palatino Linotype" w:hAnsi="Palatino Linotype"/>
          <w:sz w:val="24"/>
          <w:szCs w:val="24"/>
        </w:rPr>
      </w:pPr>
      <w:r w:rsidRPr="006B3AD3">
        <w:rPr>
          <w:rFonts w:ascii="Palatino Linotype" w:eastAsia="Times New Roman" w:hAnsi="Palatino Linotype" w:cs="Arial"/>
          <w:color w:val="000000"/>
          <w:sz w:val="24"/>
          <w:szCs w:val="24"/>
          <w:lang w:val="es-ES_tradnl" w:eastAsia="es-MX"/>
        </w:rPr>
        <w:t xml:space="preserve">Atendiendo lo anterior al principio </w:t>
      </w:r>
      <w:r w:rsidRPr="006B3AD3">
        <w:rPr>
          <w:rFonts w:ascii="Palatino Linotype" w:hAnsi="Palatino Linotype"/>
          <w:sz w:val="24"/>
          <w:szCs w:val="24"/>
        </w:rPr>
        <w:t xml:space="preserve">de </w:t>
      </w:r>
      <w:r w:rsidRPr="006B3AD3">
        <w:rPr>
          <w:rFonts w:ascii="Palatino Linotype" w:hAnsi="Palatino Linotype"/>
          <w:b/>
          <w:bCs/>
          <w:i/>
          <w:iCs/>
          <w:sz w:val="24"/>
          <w:szCs w:val="24"/>
          <w:u w:val="single"/>
        </w:rPr>
        <w:t>especialidad normativa (LEX SPECIALIS</w:t>
      </w:r>
      <w:r w:rsidRPr="006B3AD3">
        <w:rPr>
          <w:rFonts w:ascii="Palatino Linotype" w:hAnsi="Palatino Linotype"/>
          <w:sz w:val="24"/>
          <w:szCs w:val="24"/>
        </w:rPr>
        <w:t>)</w:t>
      </w:r>
      <w:r w:rsidRPr="006B3AD3">
        <w:rPr>
          <w:rFonts w:ascii="Palatino Linotype" w:eastAsia="Times New Roman" w:hAnsi="Palatino Linotype" w:cs="Arial"/>
          <w:color w:val="000000"/>
          <w:sz w:val="24"/>
          <w:szCs w:val="24"/>
          <w:lang w:val="es-ES_tradnl" w:eastAsia="es-MX"/>
        </w:rPr>
        <w:t xml:space="preserve"> </w:t>
      </w:r>
      <w:r w:rsidRPr="006B3AD3">
        <w:rPr>
          <w:rFonts w:ascii="Palatino Linotype" w:hAnsi="Palatino Linotype"/>
          <w:sz w:val="24"/>
          <w:szCs w:val="24"/>
        </w:rPr>
        <w:t>la preferencia aplicativa de la norma reguladora de una especie de cierto género sobre la norma reguladora de tal género en su totalidad.</w:t>
      </w:r>
    </w:p>
    <w:p w14:paraId="49043120" w14:textId="77777777" w:rsidR="000A4968" w:rsidRPr="006B3AD3" w:rsidRDefault="000A4968" w:rsidP="00856D74">
      <w:pPr>
        <w:spacing w:after="0" w:line="360" w:lineRule="auto"/>
        <w:jc w:val="both"/>
        <w:rPr>
          <w:rFonts w:ascii="Palatino Linotype" w:eastAsia="Times New Roman" w:hAnsi="Palatino Linotype" w:cs="Arial"/>
          <w:color w:val="000000"/>
          <w:sz w:val="24"/>
          <w:szCs w:val="24"/>
          <w:lang w:val="es-ES_tradnl" w:eastAsia="es-MX"/>
        </w:rPr>
      </w:pPr>
    </w:p>
    <w:p w14:paraId="7285B2CE" w14:textId="4F0197A0" w:rsidR="009216E9" w:rsidRPr="006B3AD3" w:rsidRDefault="00670474" w:rsidP="009216E9">
      <w:pPr>
        <w:autoSpaceDE w:val="0"/>
        <w:autoSpaceDN w:val="0"/>
        <w:adjustRightInd w:val="0"/>
        <w:spacing w:line="360" w:lineRule="auto"/>
        <w:contextualSpacing/>
        <w:jc w:val="both"/>
        <w:rPr>
          <w:rFonts w:ascii="Palatino Linotype" w:hAnsi="Palatino Linotype" w:cs="Tahoma"/>
          <w:bCs/>
          <w:sz w:val="24"/>
          <w:szCs w:val="24"/>
        </w:rPr>
      </w:pPr>
      <w:r w:rsidRPr="006B3AD3">
        <w:rPr>
          <w:rFonts w:ascii="Palatino Linotype" w:eastAsia="Calibri" w:hAnsi="Palatino Linotype" w:cs="Tahoma"/>
          <w:iCs/>
          <w:sz w:val="24"/>
          <w:szCs w:val="24"/>
          <w:lang w:eastAsia="es-ES_tradnl"/>
        </w:rPr>
        <w:t>Por tales circunstancias, este Instituto se encuentra impedido a entrar al estudio de fondo</w:t>
      </w:r>
      <w:r w:rsidR="00D07118" w:rsidRPr="006B3AD3">
        <w:rPr>
          <w:rFonts w:ascii="Palatino Linotype" w:eastAsia="Calibri" w:hAnsi="Palatino Linotype" w:cs="Tahoma"/>
          <w:iCs/>
          <w:sz w:val="24"/>
          <w:szCs w:val="24"/>
          <w:lang w:eastAsia="es-ES_tradnl"/>
        </w:rPr>
        <w:t xml:space="preserve"> del asunto</w:t>
      </w:r>
      <w:r w:rsidR="00A17C93" w:rsidRPr="006B3AD3">
        <w:rPr>
          <w:rFonts w:ascii="Palatino Linotype" w:eastAsia="Calibri" w:hAnsi="Palatino Linotype" w:cs="Tahoma"/>
          <w:iCs/>
          <w:sz w:val="24"/>
          <w:szCs w:val="24"/>
          <w:lang w:eastAsia="es-ES_tradnl"/>
        </w:rPr>
        <w:t xml:space="preserve">, </w:t>
      </w:r>
      <w:r w:rsidR="00CB38E4" w:rsidRPr="006B3AD3">
        <w:rPr>
          <w:rFonts w:ascii="Palatino Linotype" w:eastAsia="Calibri" w:hAnsi="Palatino Linotype" w:cs="Arial"/>
          <w:color w:val="000000" w:themeColor="text1"/>
          <w:sz w:val="24"/>
          <w:szCs w:val="24"/>
          <w:lang w:val="es-ES"/>
        </w:rPr>
        <w:t>consecuentemente</w:t>
      </w:r>
      <w:r w:rsidR="009216E9" w:rsidRPr="006B3AD3">
        <w:rPr>
          <w:rFonts w:ascii="Palatino Linotype" w:eastAsia="Calibri" w:hAnsi="Palatino Linotype" w:cs="Arial"/>
          <w:color w:val="000000" w:themeColor="text1"/>
          <w:sz w:val="24"/>
          <w:szCs w:val="24"/>
          <w:lang w:val="es-ES"/>
        </w:rPr>
        <w:t xml:space="preserve">, </w:t>
      </w:r>
      <w:r w:rsidR="009216E9" w:rsidRPr="006B3AD3">
        <w:rPr>
          <w:rFonts w:ascii="Palatino Linotype" w:eastAsia="Calibri" w:hAnsi="Palatino Linotype"/>
          <w:sz w:val="24"/>
          <w:szCs w:val="24"/>
        </w:rPr>
        <w:t>por lo que hace a los motivos de inconformidad, los mismos devienen inatendibles por actualizarse la figura del sobreseimiento, misma que impide el estudio de los agravios planteados</w:t>
      </w:r>
      <w:r w:rsidR="00FF05F3" w:rsidRPr="006B3AD3">
        <w:rPr>
          <w:rFonts w:ascii="Palatino Linotype" w:eastAsia="Calibri" w:hAnsi="Palatino Linotype"/>
          <w:sz w:val="24"/>
          <w:szCs w:val="24"/>
        </w:rPr>
        <w:t>.</w:t>
      </w:r>
    </w:p>
    <w:p w14:paraId="38ECD326" w14:textId="0E297662" w:rsidR="00670474" w:rsidRPr="006B3AD3" w:rsidRDefault="00670474" w:rsidP="00670474">
      <w:pPr>
        <w:spacing w:line="360" w:lineRule="auto"/>
        <w:jc w:val="both"/>
        <w:rPr>
          <w:rFonts w:ascii="Palatino Linotype" w:eastAsia="Calibri" w:hAnsi="Palatino Linotype" w:cs="Tahoma"/>
          <w:iCs/>
          <w:sz w:val="24"/>
          <w:szCs w:val="24"/>
          <w:lang w:eastAsia="es-ES_tradnl"/>
        </w:rPr>
      </w:pPr>
    </w:p>
    <w:p w14:paraId="659CBB52" w14:textId="77777777" w:rsidR="00D07118" w:rsidRPr="006B3AD3" w:rsidRDefault="00D07118" w:rsidP="00D07118">
      <w:pPr>
        <w:spacing w:line="360" w:lineRule="auto"/>
        <w:ind w:left="567" w:right="565"/>
        <w:contextualSpacing/>
        <w:jc w:val="both"/>
        <w:rPr>
          <w:rFonts w:ascii="Palatino Linotype" w:eastAsia="Calibri" w:hAnsi="Palatino Linotype"/>
          <w:i/>
          <w:sz w:val="24"/>
          <w:szCs w:val="24"/>
          <w:lang w:val="es-AR"/>
        </w:rPr>
      </w:pPr>
      <w:r w:rsidRPr="006B3AD3">
        <w:rPr>
          <w:rFonts w:ascii="Palatino Linotype" w:eastAsia="Calibri" w:hAnsi="Palatino Linotype"/>
          <w:b/>
          <w:i/>
          <w:sz w:val="24"/>
          <w:szCs w:val="24"/>
          <w:lang w:val="es-AR"/>
        </w:rPr>
        <w:t xml:space="preserve">SOBRESEIMIENTO EN EL JUICIO DE AMPARO DIRECTO. IMPIDE EL ESTUDIO DE LAS VIOLACIONES PROCESALES PLANTEADAS EN LOS </w:t>
      </w:r>
      <w:r w:rsidRPr="006B3AD3">
        <w:rPr>
          <w:rFonts w:ascii="Palatino Linotype" w:eastAsia="Calibri" w:hAnsi="Palatino Linotype"/>
          <w:b/>
          <w:i/>
          <w:sz w:val="24"/>
          <w:szCs w:val="24"/>
          <w:lang w:val="es-AR"/>
        </w:rPr>
        <w:lastRenderedPageBreak/>
        <w:t>CONCEPTOS DE VIOLACIÓN. El sobreseimiento</w:t>
      </w:r>
      <w:r w:rsidRPr="006B3AD3">
        <w:rPr>
          <w:rFonts w:ascii="Palatino Linotype" w:eastAsia="Calibri" w:hAnsi="Palatino Linotype"/>
          <w:i/>
          <w:sz w:val="24"/>
          <w:szCs w:val="24"/>
          <w:lang w:val="es-AR"/>
        </w:rPr>
        <w:t xml:space="preserve"> en el juicio de amparo directo </w:t>
      </w:r>
      <w:r w:rsidRPr="006B3AD3">
        <w:rPr>
          <w:rFonts w:ascii="Palatino Linotype" w:eastAsia="Calibri" w:hAnsi="Palatino Linotype"/>
          <w:b/>
          <w:i/>
          <w:sz w:val="24"/>
          <w:szCs w:val="24"/>
          <w:lang w:val="es-AR"/>
        </w:rPr>
        <w:t>provoca la terminación de la controversia planteada</w:t>
      </w:r>
      <w:r w:rsidRPr="006B3AD3">
        <w:rPr>
          <w:rFonts w:ascii="Palatino Linotype" w:eastAsia="Calibri" w:hAnsi="Palatino Linotype"/>
          <w:i/>
          <w:sz w:val="24"/>
          <w:szCs w:val="24"/>
          <w:lang w:val="es-AR"/>
        </w:rPr>
        <w:t xml:space="preserve"> por el quejoso en la demanda de amparo</w:t>
      </w:r>
      <w:r w:rsidRPr="006B3AD3">
        <w:rPr>
          <w:rFonts w:ascii="Palatino Linotype" w:eastAsia="Calibri" w:hAnsi="Palatino Linotype"/>
          <w:b/>
          <w:i/>
          <w:sz w:val="24"/>
          <w:szCs w:val="24"/>
          <w:lang w:val="es-AR"/>
        </w:rPr>
        <w:t>, sin hacer un pronunciamiento de fondo sobre la legalidad o ilegalidad de la sentencia reclamada</w:t>
      </w:r>
      <w:r w:rsidRPr="006B3AD3">
        <w:rPr>
          <w:rFonts w:ascii="Palatino Linotype" w:eastAsia="Calibri" w:hAnsi="Palatino Linotype"/>
          <w:i/>
          <w:sz w:val="24"/>
          <w:szCs w:val="24"/>
          <w:lang w:val="es-AR"/>
        </w:rPr>
        <w:t xml:space="preserve">. </w:t>
      </w:r>
      <w:r w:rsidRPr="006B3AD3">
        <w:rPr>
          <w:rFonts w:ascii="Palatino Linotype" w:eastAsia="Calibri" w:hAnsi="Palatino Linotype"/>
          <w:b/>
          <w:i/>
          <w:sz w:val="24"/>
          <w:szCs w:val="24"/>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B3AD3">
        <w:rPr>
          <w:rFonts w:ascii="Palatino Linotype" w:eastAsia="Calibri" w:hAnsi="Palatino Linotype"/>
          <w:i/>
          <w:sz w:val="24"/>
          <w:szCs w:val="24"/>
          <w:lang w:val="es-AR"/>
        </w:rPr>
        <w:t>.</w:t>
      </w:r>
    </w:p>
    <w:p w14:paraId="48CB2416" w14:textId="77777777" w:rsidR="00D07118" w:rsidRPr="006B3AD3" w:rsidRDefault="00D07118" w:rsidP="00D07118">
      <w:pPr>
        <w:spacing w:line="360" w:lineRule="auto"/>
        <w:ind w:left="567" w:right="565"/>
        <w:contextualSpacing/>
        <w:jc w:val="both"/>
        <w:rPr>
          <w:rFonts w:ascii="Palatino Linotype" w:eastAsia="Calibri" w:hAnsi="Palatino Linotype"/>
          <w:i/>
          <w:sz w:val="24"/>
          <w:szCs w:val="24"/>
          <w:lang w:val="es-AR"/>
        </w:rPr>
      </w:pPr>
      <w:r w:rsidRPr="006B3AD3">
        <w:rPr>
          <w:rFonts w:ascii="Palatino Linotype" w:eastAsia="Calibri" w:hAnsi="Palatino Linotype"/>
          <w:i/>
          <w:sz w:val="24"/>
          <w:szCs w:val="24"/>
          <w:lang w:val="es-AR"/>
        </w:rPr>
        <w:t>SÉPTIMO TRIBUNAL COLEGIADO EN MATERIA CIVIL DEL PRIMER CIRCUITO.</w:t>
      </w:r>
    </w:p>
    <w:p w14:paraId="34343E07" w14:textId="77777777" w:rsidR="00D07118" w:rsidRPr="006B3AD3" w:rsidRDefault="00D07118" w:rsidP="00D07118">
      <w:pPr>
        <w:spacing w:line="360" w:lineRule="auto"/>
        <w:ind w:left="567" w:right="565"/>
        <w:contextualSpacing/>
        <w:jc w:val="both"/>
        <w:rPr>
          <w:rFonts w:ascii="Palatino Linotype" w:eastAsia="Calibri" w:hAnsi="Palatino Linotype"/>
          <w:b/>
          <w:i/>
          <w:sz w:val="24"/>
          <w:szCs w:val="24"/>
          <w:lang w:val="es-AR"/>
        </w:rPr>
      </w:pPr>
      <w:r w:rsidRPr="006B3AD3">
        <w:rPr>
          <w:rFonts w:ascii="Palatino Linotype" w:eastAsia="Calibri" w:hAnsi="Palatino Linotype"/>
          <w:i/>
          <w:sz w:val="24"/>
          <w:szCs w:val="24"/>
          <w:lang w:val="es-AR"/>
        </w:rPr>
        <w:t>Amparo directo 699/2008. Mariana Leticia González Steele. 13 de noviembre de 2008. Unanimidad de votos. Ponente: Sara Judith Montalvo Trejo. Secretario: Arnulfo Mateos García.</w:t>
      </w:r>
    </w:p>
    <w:p w14:paraId="533C6ACF" w14:textId="77777777" w:rsidR="00D07118" w:rsidRPr="006B3AD3" w:rsidRDefault="00D07118" w:rsidP="00D07118">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rPr>
      </w:pPr>
      <w:r w:rsidRPr="006B3AD3">
        <w:rPr>
          <w:rFonts w:ascii="Palatino Linotype" w:eastAsia="Calibri" w:hAnsi="Palatino Linotype"/>
          <w:i/>
          <w:lang w:val="es-AR"/>
        </w:rPr>
        <w:t>(Énfasis añadido)</w:t>
      </w:r>
    </w:p>
    <w:p w14:paraId="4FDA5FFD" w14:textId="11DAA313" w:rsidR="00D07118" w:rsidRPr="006B3AD3" w:rsidRDefault="00D07118" w:rsidP="00D07118">
      <w:pPr>
        <w:pStyle w:val="Prrafodelista"/>
        <w:rPr>
          <w:rFonts w:ascii="Palatino Linotype" w:eastAsia="Calibri" w:hAnsi="Palatino Linotype" w:cs="Arial"/>
          <w:color w:val="000000" w:themeColor="text1"/>
        </w:rPr>
      </w:pPr>
    </w:p>
    <w:p w14:paraId="0BAECF25" w14:textId="77777777" w:rsidR="00FF05F3" w:rsidRPr="006B3AD3" w:rsidRDefault="00FF05F3" w:rsidP="00D07118">
      <w:pPr>
        <w:pStyle w:val="Prrafodelista"/>
        <w:rPr>
          <w:rFonts w:ascii="Palatino Linotype" w:eastAsia="Calibri" w:hAnsi="Palatino Linotype" w:cs="Arial"/>
          <w:color w:val="000000" w:themeColor="text1"/>
          <w:lang w:val="es-MX"/>
        </w:rPr>
      </w:pPr>
    </w:p>
    <w:p w14:paraId="2870734A" w14:textId="3C40C846" w:rsidR="00670474" w:rsidRPr="006B3AD3" w:rsidRDefault="00FF05F3" w:rsidP="00670474">
      <w:pPr>
        <w:autoSpaceDE w:val="0"/>
        <w:autoSpaceDN w:val="0"/>
        <w:adjustRightInd w:val="0"/>
        <w:spacing w:line="360" w:lineRule="auto"/>
        <w:contextualSpacing/>
        <w:jc w:val="both"/>
        <w:rPr>
          <w:rFonts w:ascii="Palatino Linotype" w:hAnsi="Palatino Linotype" w:cs="Tahoma"/>
          <w:bCs/>
          <w:sz w:val="24"/>
          <w:szCs w:val="24"/>
        </w:rPr>
      </w:pPr>
      <w:r w:rsidRPr="006B3AD3">
        <w:rPr>
          <w:rFonts w:ascii="Palatino Linotype" w:hAnsi="Palatino Linotype" w:cs="Tahoma"/>
          <w:bCs/>
          <w:sz w:val="24"/>
          <w:szCs w:val="24"/>
        </w:rPr>
        <w:t>En mérito de lo expuesto</w:t>
      </w:r>
      <w:r w:rsidR="00670474" w:rsidRPr="006B3AD3">
        <w:rPr>
          <w:rFonts w:ascii="Palatino Linotype" w:hAnsi="Palatino Linotype" w:cs="Tahoma"/>
          <w:bCs/>
          <w:sz w:val="24"/>
          <w:szCs w:val="24"/>
        </w:rPr>
        <w:t xml:space="preserve"> es conducente colegir que en el presente Recurso de Revisión, se actualizó la causal de improcedencia prevista en la fracción VI del numeral 191 de la </w:t>
      </w:r>
      <w:r w:rsidR="00670474" w:rsidRPr="006B3AD3">
        <w:rPr>
          <w:rFonts w:ascii="Palatino Linotype" w:eastAsia="Calibri" w:hAnsi="Palatino Linotype" w:cs="Tahoma"/>
          <w:bCs/>
          <w:color w:val="000000"/>
          <w:sz w:val="24"/>
          <w:szCs w:val="24"/>
          <w:lang w:eastAsia="es-ES_tradnl"/>
        </w:rPr>
        <w:t>Ley de Transparencia y Acceso a la Información Pública del Estado de México y Municipios</w:t>
      </w:r>
      <w:r w:rsidR="00670474" w:rsidRPr="006B3AD3">
        <w:rPr>
          <w:rFonts w:ascii="Palatino Linotype" w:hAnsi="Palatino Linotype" w:cs="Tahoma"/>
          <w:bCs/>
          <w:sz w:val="24"/>
          <w:szCs w:val="24"/>
        </w:rPr>
        <w:t>,</w:t>
      </w:r>
      <w:r w:rsidR="00672359">
        <w:rPr>
          <w:rFonts w:ascii="Palatino Linotype" w:hAnsi="Palatino Linotype" w:cs="Tahoma"/>
          <w:bCs/>
          <w:sz w:val="24"/>
          <w:szCs w:val="24"/>
        </w:rPr>
        <w:t xml:space="preserve"> cuando se trate de una consulta o trámite en específico.</w:t>
      </w:r>
    </w:p>
    <w:p w14:paraId="7D039374" w14:textId="77777777" w:rsidR="00670474" w:rsidRPr="006B3AD3" w:rsidRDefault="00670474" w:rsidP="00670474">
      <w:pPr>
        <w:autoSpaceDE w:val="0"/>
        <w:autoSpaceDN w:val="0"/>
        <w:adjustRightInd w:val="0"/>
        <w:spacing w:line="360" w:lineRule="auto"/>
        <w:contextualSpacing/>
        <w:jc w:val="both"/>
        <w:rPr>
          <w:rFonts w:ascii="Palatino Linotype" w:hAnsi="Palatino Linotype" w:cs="Tahoma"/>
          <w:bCs/>
          <w:sz w:val="24"/>
          <w:szCs w:val="24"/>
        </w:rPr>
      </w:pPr>
    </w:p>
    <w:p w14:paraId="0C0177D2" w14:textId="77777777" w:rsidR="00670474" w:rsidRPr="006B3AD3" w:rsidRDefault="00670474" w:rsidP="00670474">
      <w:pPr>
        <w:spacing w:line="360" w:lineRule="auto"/>
        <w:ind w:right="-93"/>
        <w:jc w:val="both"/>
        <w:rPr>
          <w:rFonts w:ascii="Palatino Linotype" w:eastAsia="Palatino Linotype" w:hAnsi="Palatino Linotype" w:cs="Palatino Linotype"/>
          <w:sz w:val="24"/>
          <w:szCs w:val="24"/>
        </w:rPr>
      </w:pPr>
      <w:r w:rsidRPr="006B3AD3">
        <w:rPr>
          <w:rFonts w:ascii="Palatino Linotype" w:eastAsia="Palatino Linotype" w:hAnsi="Palatino Linotype" w:cs="Palatino Linotype"/>
          <w:sz w:val="24"/>
          <w:szCs w:val="24"/>
        </w:rPr>
        <w:t xml:space="preserve">Con fundamento en el artículo 186, fracción I, de la Ley de Transparencia y Acceso a la Información Pública del Estado de México y Municipios, este Instituto considera </w:t>
      </w:r>
      <w:r w:rsidRPr="006B3AD3">
        <w:rPr>
          <w:rFonts w:ascii="Palatino Linotype" w:eastAsia="Palatino Linotype" w:hAnsi="Palatino Linotype" w:cs="Palatino Linotype"/>
          <w:sz w:val="24"/>
          <w:szCs w:val="24"/>
        </w:rPr>
        <w:lastRenderedPageBreak/>
        <w:t xml:space="preserve">procedente </w:t>
      </w:r>
      <w:r w:rsidRPr="006B3AD3">
        <w:rPr>
          <w:rFonts w:ascii="Palatino Linotype" w:eastAsia="Palatino Linotype" w:hAnsi="Palatino Linotype" w:cs="Palatino Linotype"/>
          <w:b/>
          <w:sz w:val="24"/>
          <w:szCs w:val="24"/>
        </w:rPr>
        <w:t xml:space="preserve">SOBRESEER </w:t>
      </w:r>
      <w:r w:rsidRPr="006B3AD3">
        <w:rPr>
          <w:rFonts w:ascii="Palatino Linotype" w:eastAsia="Palatino Linotype" w:hAnsi="Palatino Linotype" w:cs="Palatino Linotype"/>
          <w:sz w:val="24"/>
          <w:szCs w:val="24"/>
        </w:rPr>
        <w:t xml:space="preserve">el medio de impugnación que nos ocupa, en virtud de no actualizar ningún supuesto de procedencia señalado en el ordenamiento en cita. </w:t>
      </w:r>
    </w:p>
    <w:p w14:paraId="2F5E6112" w14:textId="77777777" w:rsidR="00670474" w:rsidRPr="006B3AD3" w:rsidRDefault="00670474" w:rsidP="00670474">
      <w:pPr>
        <w:spacing w:line="360" w:lineRule="auto"/>
        <w:contextualSpacing/>
        <w:jc w:val="both"/>
        <w:rPr>
          <w:rFonts w:ascii="Palatino Linotype" w:eastAsia="Calibri" w:hAnsi="Palatino Linotype" w:cs="Tahoma"/>
          <w:iCs/>
          <w:sz w:val="24"/>
          <w:szCs w:val="24"/>
          <w:lang w:eastAsia="es-ES_tradnl"/>
        </w:rPr>
      </w:pPr>
    </w:p>
    <w:p w14:paraId="52BEC8B4" w14:textId="4688633B" w:rsidR="00670474" w:rsidRPr="006B3AD3" w:rsidRDefault="00670474" w:rsidP="00670474">
      <w:pPr>
        <w:autoSpaceDE w:val="0"/>
        <w:autoSpaceDN w:val="0"/>
        <w:adjustRightInd w:val="0"/>
        <w:spacing w:line="360" w:lineRule="auto"/>
        <w:contextualSpacing/>
        <w:jc w:val="both"/>
        <w:rPr>
          <w:rFonts w:ascii="Palatino Linotype" w:eastAsia="Calibri" w:hAnsi="Palatino Linotype" w:cs="Tahoma"/>
          <w:bCs/>
          <w:iCs/>
          <w:sz w:val="24"/>
          <w:szCs w:val="24"/>
        </w:rPr>
      </w:pPr>
      <w:r w:rsidRPr="006B3AD3">
        <w:rPr>
          <w:rFonts w:ascii="Palatino Linotype" w:eastAsia="Calibri" w:hAnsi="Palatino Linotype" w:cs="Tahoma"/>
          <w:bCs/>
          <w:iCs/>
          <w:sz w:val="24"/>
          <w:szCs w:val="24"/>
        </w:rPr>
        <w:t>Por lo expuesto y fundado, este Pleno:</w:t>
      </w:r>
    </w:p>
    <w:p w14:paraId="7953AA98" w14:textId="77777777" w:rsidR="00082BA5" w:rsidRPr="006B3AD3" w:rsidRDefault="00082BA5" w:rsidP="00670474">
      <w:pPr>
        <w:autoSpaceDE w:val="0"/>
        <w:autoSpaceDN w:val="0"/>
        <w:adjustRightInd w:val="0"/>
        <w:spacing w:line="360" w:lineRule="auto"/>
        <w:contextualSpacing/>
        <w:jc w:val="both"/>
        <w:rPr>
          <w:rFonts w:ascii="Palatino Linotype" w:eastAsia="Calibri" w:hAnsi="Palatino Linotype" w:cs="Tahoma"/>
          <w:bCs/>
          <w:iCs/>
          <w:sz w:val="24"/>
          <w:szCs w:val="24"/>
        </w:rPr>
      </w:pPr>
    </w:p>
    <w:p w14:paraId="604DAE79" w14:textId="77777777" w:rsidR="00672359" w:rsidRDefault="00672359" w:rsidP="00670474">
      <w:pPr>
        <w:spacing w:line="360" w:lineRule="auto"/>
        <w:ind w:right="-91"/>
        <w:jc w:val="center"/>
        <w:rPr>
          <w:rFonts w:ascii="Palatino Linotype" w:eastAsia="Palatino Linotype" w:hAnsi="Palatino Linotype" w:cs="Palatino Linotype"/>
          <w:b/>
          <w:sz w:val="24"/>
          <w:szCs w:val="24"/>
        </w:rPr>
      </w:pPr>
    </w:p>
    <w:p w14:paraId="7C268112" w14:textId="5277FDBA" w:rsidR="00670474" w:rsidRPr="006B3AD3" w:rsidRDefault="00670474" w:rsidP="00670474">
      <w:pPr>
        <w:spacing w:line="360" w:lineRule="auto"/>
        <w:ind w:right="-91"/>
        <w:jc w:val="center"/>
        <w:rPr>
          <w:rFonts w:ascii="Palatino Linotype" w:eastAsia="Palatino Linotype" w:hAnsi="Palatino Linotype" w:cs="Palatino Linotype"/>
          <w:b/>
          <w:sz w:val="24"/>
          <w:szCs w:val="24"/>
        </w:rPr>
      </w:pPr>
      <w:r w:rsidRPr="006B3AD3">
        <w:rPr>
          <w:rFonts w:ascii="Palatino Linotype" w:eastAsia="Palatino Linotype" w:hAnsi="Palatino Linotype" w:cs="Palatino Linotype"/>
          <w:b/>
          <w:sz w:val="24"/>
          <w:szCs w:val="24"/>
        </w:rPr>
        <w:t>RESUELVE:</w:t>
      </w:r>
    </w:p>
    <w:p w14:paraId="41436B4B" w14:textId="77777777" w:rsidR="00672359" w:rsidRDefault="00672359" w:rsidP="00670474">
      <w:pPr>
        <w:spacing w:line="360" w:lineRule="auto"/>
        <w:jc w:val="both"/>
        <w:rPr>
          <w:rFonts w:ascii="Palatino Linotype" w:eastAsia="Calibri" w:hAnsi="Palatino Linotype" w:cs="Tahoma"/>
          <w:b/>
          <w:bCs/>
          <w:sz w:val="24"/>
          <w:szCs w:val="24"/>
        </w:rPr>
      </w:pPr>
    </w:p>
    <w:p w14:paraId="6A7F20AB" w14:textId="1C4FECFD" w:rsidR="00670474" w:rsidRPr="006B3AD3" w:rsidRDefault="00670474" w:rsidP="00670474">
      <w:pPr>
        <w:spacing w:line="360" w:lineRule="auto"/>
        <w:jc w:val="both"/>
        <w:rPr>
          <w:rFonts w:ascii="Palatino Linotype" w:hAnsi="Palatino Linotype" w:cs="Tahoma"/>
          <w:sz w:val="24"/>
          <w:szCs w:val="24"/>
        </w:rPr>
      </w:pPr>
      <w:r w:rsidRPr="006B3AD3">
        <w:rPr>
          <w:rFonts w:ascii="Palatino Linotype" w:eastAsia="Calibri" w:hAnsi="Palatino Linotype" w:cs="Tahoma"/>
          <w:b/>
          <w:bCs/>
          <w:sz w:val="24"/>
          <w:szCs w:val="24"/>
        </w:rPr>
        <w:t xml:space="preserve">PRIMERO. </w:t>
      </w:r>
      <w:r w:rsidRPr="006B3AD3">
        <w:rPr>
          <w:rFonts w:ascii="Palatino Linotype" w:eastAsia="Calibri" w:hAnsi="Palatino Linotype" w:cs="Tahoma"/>
          <w:bCs/>
          <w:sz w:val="24"/>
          <w:szCs w:val="24"/>
        </w:rPr>
        <w:t xml:space="preserve">Se </w:t>
      </w:r>
      <w:r w:rsidRPr="006B3AD3">
        <w:rPr>
          <w:rFonts w:ascii="Palatino Linotype" w:eastAsia="Calibri" w:hAnsi="Palatino Linotype" w:cs="Tahoma"/>
          <w:b/>
          <w:bCs/>
          <w:sz w:val="24"/>
          <w:szCs w:val="24"/>
        </w:rPr>
        <w:t xml:space="preserve">SOBRESEE </w:t>
      </w:r>
      <w:r w:rsidRPr="006B3AD3">
        <w:rPr>
          <w:rFonts w:ascii="Palatino Linotype" w:eastAsia="Calibri" w:hAnsi="Palatino Linotype" w:cs="Tahoma"/>
          <w:bCs/>
          <w:sz w:val="24"/>
          <w:szCs w:val="24"/>
        </w:rPr>
        <w:t xml:space="preserve">el Recurso de Revisión </w:t>
      </w:r>
      <w:r w:rsidR="00082BA5" w:rsidRPr="006B3AD3">
        <w:rPr>
          <w:rFonts w:ascii="Palatino Linotype" w:eastAsia="Calibri" w:hAnsi="Palatino Linotype" w:cs="Tahoma"/>
          <w:b/>
          <w:bCs/>
          <w:sz w:val="24"/>
          <w:szCs w:val="24"/>
        </w:rPr>
        <w:t>11035/</w:t>
      </w:r>
      <w:r w:rsidRPr="006B3AD3">
        <w:rPr>
          <w:rFonts w:ascii="Palatino Linotype" w:hAnsi="Palatino Linotype" w:cs="Tahoma"/>
          <w:b/>
          <w:bCs/>
          <w:color w:val="0D0D0D" w:themeColor="text1" w:themeTint="F2"/>
          <w:sz w:val="24"/>
          <w:szCs w:val="24"/>
        </w:rPr>
        <w:t>INFOEM/IP/RR/2022</w:t>
      </w:r>
      <w:r w:rsidRPr="006B3AD3">
        <w:rPr>
          <w:rFonts w:ascii="Palatino Linotype" w:hAnsi="Palatino Linotype"/>
          <w:sz w:val="24"/>
          <w:szCs w:val="24"/>
        </w:rPr>
        <w:t xml:space="preserve">,  por </w:t>
      </w:r>
      <w:r w:rsidRPr="006B3AD3">
        <w:rPr>
          <w:rFonts w:ascii="Palatino Linotype" w:hAnsi="Palatino Linotype"/>
          <w:b/>
          <w:bCs/>
          <w:sz w:val="24"/>
          <w:szCs w:val="24"/>
        </w:rPr>
        <w:t>improcedente</w:t>
      </w:r>
      <w:r w:rsidRPr="006B3AD3">
        <w:rPr>
          <w:rFonts w:ascii="Palatino Linotype" w:hAnsi="Palatino Linotype" w:cs="Arial"/>
          <w:sz w:val="24"/>
          <w:szCs w:val="24"/>
        </w:rPr>
        <w:t xml:space="preserve">, en términos de los artículos 191, fracción </w:t>
      </w:r>
      <w:r w:rsidR="00082BA5" w:rsidRPr="006B3AD3">
        <w:rPr>
          <w:rFonts w:ascii="Palatino Linotype" w:hAnsi="Palatino Linotype" w:cs="Arial"/>
          <w:sz w:val="24"/>
          <w:szCs w:val="24"/>
        </w:rPr>
        <w:t>VI</w:t>
      </w:r>
      <w:r w:rsidRPr="006B3AD3">
        <w:rPr>
          <w:rFonts w:ascii="Palatino Linotype" w:hAnsi="Palatino Linotype" w:cs="Arial"/>
          <w:sz w:val="24"/>
          <w:szCs w:val="24"/>
        </w:rPr>
        <w:t xml:space="preserve"> y 192, fracción IV, de la Ley de Transparencia y Acceso a la Información Pública del Estado de México y Municipios, </w:t>
      </w:r>
      <w:r w:rsidRPr="006B3AD3">
        <w:rPr>
          <w:rFonts w:ascii="Palatino Linotype" w:hAnsi="Palatino Linotype" w:cs="Tahoma"/>
          <w:sz w:val="24"/>
          <w:szCs w:val="24"/>
        </w:rPr>
        <w:t xml:space="preserve">de conformidad con el Considerando </w:t>
      </w:r>
      <w:r w:rsidRPr="006B3AD3">
        <w:rPr>
          <w:rFonts w:ascii="Palatino Linotype" w:hAnsi="Palatino Linotype" w:cs="Tahoma"/>
          <w:b/>
          <w:sz w:val="24"/>
          <w:szCs w:val="24"/>
        </w:rPr>
        <w:t xml:space="preserve">TERCERO </w:t>
      </w:r>
      <w:r w:rsidRPr="006B3AD3">
        <w:rPr>
          <w:rFonts w:ascii="Palatino Linotype" w:hAnsi="Palatino Linotype" w:cs="Tahoma"/>
          <w:sz w:val="24"/>
          <w:szCs w:val="24"/>
        </w:rPr>
        <w:t>de la presente Resolución.</w:t>
      </w:r>
    </w:p>
    <w:p w14:paraId="2A152BA5" w14:textId="77777777" w:rsidR="00670474" w:rsidRPr="006B3AD3" w:rsidRDefault="00670474" w:rsidP="00670474">
      <w:pPr>
        <w:spacing w:line="360" w:lineRule="auto"/>
        <w:jc w:val="both"/>
        <w:rPr>
          <w:rFonts w:ascii="Palatino Linotype" w:hAnsi="Palatino Linotype" w:cs="Arial"/>
          <w:sz w:val="24"/>
          <w:szCs w:val="24"/>
        </w:rPr>
      </w:pPr>
    </w:p>
    <w:p w14:paraId="09382586" w14:textId="77777777" w:rsidR="00670474" w:rsidRPr="006B3AD3" w:rsidRDefault="00670474" w:rsidP="00670474">
      <w:pPr>
        <w:spacing w:line="360" w:lineRule="auto"/>
        <w:contextualSpacing/>
        <w:jc w:val="both"/>
        <w:rPr>
          <w:rFonts w:ascii="Palatino Linotype" w:hAnsi="Palatino Linotype" w:cs="Arial"/>
          <w:sz w:val="24"/>
          <w:szCs w:val="24"/>
        </w:rPr>
      </w:pPr>
      <w:r w:rsidRPr="006B3AD3">
        <w:rPr>
          <w:rFonts w:ascii="Palatino Linotype" w:hAnsi="Palatino Linotype"/>
          <w:b/>
          <w:sz w:val="24"/>
          <w:szCs w:val="24"/>
        </w:rPr>
        <w:t>SEGUNDO.</w:t>
      </w:r>
      <w:r w:rsidRPr="006B3AD3">
        <w:rPr>
          <w:rFonts w:ascii="Palatino Linotype" w:hAnsi="Palatino Linotype" w:cs="Arial"/>
          <w:sz w:val="24"/>
          <w:szCs w:val="24"/>
        </w:rPr>
        <w:t xml:space="preserve"> </w:t>
      </w:r>
      <w:r w:rsidRPr="006B3AD3">
        <w:rPr>
          <w:rFonts w:ascii="Palatino Linotype" w:hAnsi="Palatino Linotype" w:cs="Arial"/>
          <w:b/>
          <w:sz w:val="24"/>
          <w:szCs w:val="24"/>
        </w:rPr>
        <w:t xml:space="preserve">Notifíquese </w:t>
      </w:r>
      <w:r w:rsidRPr="006B3AD3">
        <w:rPr>
          <w:rFonts w:ascii="Palatino Linotype" w:hAnsi="Palatino Linotype" w:cs="Arial"/>
          <w:sz w:val="24"/>
          <w:szCs w:val="24"/>
        </w:rPr>
        <w:t>la presente resolución</w:t>
      </w:r>
      <w:r w:rsidRPr="006B3AD3">
        <w:rPr>
          <w:rFonts w:ascii="Palatino Linotype" w:hAnsi="Palatino Linotype" w:cs="Arial"/>
          <w:b/>
          <w:sz w:val="24"/>
          <w:szCs w:val="24"/>
        </w:rPr>
        <w:t xml:space="preserve"> </w:t>
      </w:r>
      <w:r w:rsidRPr="006B3AD3">
        <w:rPr>
          <w:rFonts w:ascii="Palatino Linotype" w:hAnsi="Palatino Linotype" w:cs="Arial"/>
          <w:sz w:val="24"/>
          <w:szCs w:val="24"/>
        </w:rPr>
        <w:t xml:space="preserve">al Titular de la Unidad de Transparencia del </w:t>
      </w:r>
      <w:r w:rsidRPr="006B3AD3">
        <w:rPr>
          <w:rFonts w:ascii="Palatino Linotype" w:hAnsi="Palatino Linotype" w:cs="Arial"/>
          <w:bCs/>
          <w:sz w:val="24"/>
          <w:szCs w:val="24"/>
        </w:rPr>
        <w:t>Sujeto Obligado</w:t>
      </w:r>
      <w:r w:rsidRPr="006B3AD3">
        <w:rPr>
          <w:rFonts w:ascii="Palatino Linotype" w:hAnsi="Palatino Linotype" w:cs="Arial"/>
          <w:sz w:val="24"/>
          <w:szCs w:val="24"/>
        </w:rPr>
        <w:t xml:space="preserve"> a través del Sistema de Acc</w:t>
      </w:r>
      <w:bookmarkStart w:id="2" w:name="_GoBack"/>
      <w:bookmarkEnd w:id="2"/>
      <w:r w:rsidRPr="006B3AD3">
        <w:rPr>
          <w:rFonts w:ascii="Palatino Linotype" w:hAnsi="Palatino Linotype" w:cs="Arial"/>
          <w:sz w:val="24"/>
          <w:szCs w:val="24"/>
        </w:rPr>
        <w:t>eso a la Información Mexiquense SAIMEX.</w:t>
      </w:r>
    </w:p>
    <w:p w14:paraId="4A042B38" w14:textId="77777777" w:rsidR="00670474" w:rsidRPr="006B3AD3" w:rsidRDefault="00670474" w:rsidP="00670474">
      <w:pPr>
        <w:spacing w:line="360" w:lineRule="auto"/>
        <w:contextualSpacing/>
        <w:jc w:val="both"/>
        <w:rPr>
          <w:rFonts w:ascii="Palatino Linotype" w:hAnsi="Palatino Linotype" w:cs="Arial"/>
          <w:sz w:val="24"/>
          <w:szCs w:val="24"/>
        </w:rPr>
      </w:pPr>
    </w:p>
    <w:p w14:paraId="1CFADD43" w14:textId="4350ABB1" w:rsidR="00670474" w:rsidRPr="006B3AD3" w:rsidRDefault="00670474" w:rsidP="00670474">
      <w:pPr>
        <w:spacing w:line="360" w:lineRule="auto"/>
        <w:jc w:val="both"/>
        <w:rPr>
          <w:rFonts w:ascii="Palatino Linotype" w:hAnsi="Palatino Linotype" w:cs="Tahoma"/>
          <w:sz w:val="24"/>
          <w:szCs w:val="24"/>
        </w:rPr>
      </w:pPr>
      <w:r w:rsidRPr="006B3AD3">
        <w:rPr>
          <w:rFonts w:ascii="Palatino Linotype" w:hAnsi="Palatino Linotype" w:cs="Arial"/>
          <w:b/>
          <w:sz w:val="24"/>
          <w:szCs w:val="24"/>
        </w:rPr>
        <w:t>TERCERO.</w:t>
      </w:r>
      <w:r w:rsidRPr="006B3AD3">
        <w:rPr>
          <w:rFonts w:ascii="Palatino Linotype" w:hAnsi="Palatino Linotype" w:cs="Arial"/>
          <w:sz w:val="24"/>
          <w:szCs w:val="24"/>
        </w:rPr>
        <w:t xml:space="preserve"> </w:t>
      </w:r>
      <w:r w:rsidRPr="006B3AD3">
        <w:rPr>
          <w:rFonts w:ascii="Palatino Linotype" w:hAnsi="Palatino Linotype" w:cs="Arial"/>
          <w:b/>
          <w:sz w:val="24"/>
          <w:szCs w:val="24"/>
        </w:rPr>
        <w:t xml:space="preserve">Notifíquese </w:t>
      </w:r>
      <w:r w:rsidRPr="006B3AD3">
        <w:rPr>
          <w:rFonts w:ascii="Palatino Linotype" w:hAnsi="Palatino Linotype" w:cs="Arial"/>
          <w:sz w:val="24"/>
          <w:szCs w:val="24"/>
        </w:rPr>
        <w:t>la presente resolución</w:t>
      </w:r>
      <w:r w:rsidRPr="006B3AD3">
        <w:rPr>
          <w:rFonts w:ascii="Palatino Linotype" w:hAnsi="Palatino Linotype" w:cs="Arial"/>
          <w:b/>
          <w:sz w:val="24"/>
          <w:szCs w:val="24"/>
        </w:rPr>
        <w:t xml:space="preserve"> </w:t>
      </w:r>
      <w:r w:rsidRPr="006B3AD3">
        <w:rPr>
          <w:rFonts w:ascii="Palatino Linotype" w:hAnsi="Palatino Linotype" w:cs="Arial"/>
          <w:sz w:val="24"/>
          <w:szCs w:val="24"/>
        </w:rPr>
        <w:t xml:space="preserve">al Recurrente, a través </w:t>
      </w:r>
      <w:r w:rsidR="00082BA5" w:rsidRPr="006B3AD3">
        <w:rPr>
          <w:rFonts w:ascii="Palatino Linotype" w:hAnsi="Palatino Linotype" w:cs="Arial"/>
          <w:sz w:val="24"/>
          <w:szCs w:val="24"/>
        </w:rPr>
        <w:t>de</w:t>
      </w:r>
      <w:r w:rsidR="00082BA5" w:rsidRPr="006B3AD3">
        <w:rPr>
          <w:rFonts w:ascii="Palatino Linotype" w:hAnsi="Palatino Linotype" w:cs="Tahoma"/>
          <w:sz w:val="24"/>
          <w:szCs w:val="24"/>
        </w:rPr>
        <w:t>l Sistema de Acceso a la Información Mexiquense (SAIMEX),</w:t>
      </w:r>
      <w:r w:rsidRPr="006B3AD3">
        <w:rPr>
          <w:rFonts w:ascii="Palatino Linotype" w:hAnsi="Palatino Linotype" w:cs="Tahoma"/>
          <w:sz w:val="24"/>
          <w:szCs w:val="24"/>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F07059D" w14:textId="77777777" w:rsidR="00670474" w:rsidRPr="006B3AD3" w:rsidRDefault="00670474" w:rsidP="00670474">
      <w:pPr>
        <w:spacing w:line="360" w:lineRule="auto"/>
        <w:ind w:right="-93"/>
        <w:jc w:val="both"/>
        <w:rPr>
          <w:rFonts w:ascii="Palatino Linotype" w:hAnsi="Palatino Linotype" w:cs="Tahoma"/>
          <w:b/>
          <w:bCs/>
          <w:sz w:val="24"/>
          <w:szCs w:val="24"/>
        </w:rPr>
      </w:pPr>
    </w:p>
    <w:p w14:paraId="22BF169E" w14:textId="024C2B0A" w:rsidR="00DB52AF"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sz w:val="24"/>
          <w:szCs w:val="24"/>
        </w:rPr>
        <w:t>ASÍ LO RESUELVE, POR UNANIMIDAD DE VOTOS EL PLENO DEL</w:t>
      </w:r>
      <w:r w:rsidRPr="006B3AD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B3AD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024064" w:rsidRPr="006B3AD3">
        <w:rPr>
          <w:rFonts w:ascii="Palatino Linotype" w:hAnsi="Palatino Linotype" w:cs="Arial"/>
          <w:sz w:val="24"/>
          <w:szCs w:val="24"/>
        </w:rPr>
        <w:t xml:space="preserve">LA </w:t>
      </w:r>
      <w:r w:rsidR="00484405" w:rsidRPr="006B3AD3">
        <w:rPr>
          <w:rFonts w:ascii="Palatino Linotype" w:hAnsi="Palatino Linotype" w:cs="Arial"/>
          <w:sz w:val="24"/>
          <w:szCs w:val="24"/>
        </w:rPr>
        <w:t>TRIGÉSIMA</w:t>
      </w:r>
      <w:r w:rsidR="003103ED" w:rsidRPr="006B3AD3">
        <w:rPr>
          <w:rFonts w:ascii="Palatino Linotype" w:hAnsi="Palatino Linotype" w:cs="Arial"/>
          <w:sz w:val="24"/>
          <w:szCs w:val="24"/>
        </w:rPr>
        <w:t xml:space="preserve"> </w:t>
      </w:r>
      <w:r w:rsidR="00FF05F3" w:rsidRPr="006B3AD3">
        <w:rPr>
          <w:rFonts w:ascii="Palatino Linotype" w:hAnsi="Palatino Linotype" w:cs="Arial"/>
          <w:sz w:val="24"/>
          <w:szCs w:val="24"/>
        </w:rPr>
        <w:t>SEXTA</w:t>
      </w:r>
      <w:r w:rsidR="00484405" w:rsidRPr="006B3AD3">
        <w:rPr>
          <w:rFonts w:ascii="Palatino Linotype" w:hAnsi="Palatino Linotype" w:cs="Arial"/>
          <w:sz w:val="24"/>
          <w:szCs w:val="24"/>
        </w:rPr>
        <w:t xml:space="preserve"> </w:t>
      </w:r>
      <w:r w:rsidR="00024064" w:rsidRPr="006B3AD3">
        <w:rPr>
          <w:rFonts w:ascii="Palatino Linotype" w:hAnsi="Palatino Linotype" w:cs="Arial"/>
          <w:sz w:val="24"/>
          <w:szCs w:val="24"/>
        </w:rPr>
        <w:t xml:space="preserve">SESIÓN ORDINARIA CELEBRADA EL </w:t>
      </w:r>
      <w:r w:rsidR="00FF05F3" w:rsidRPr="006B3AD3">
        <w:rPr>
          <w:rFonts w:ascii="Palatino Linotype" w:hAnsi="Palatino Linotype" w:cs="Arial"/>
          <w:sz w:val="24"/>
          <w:szCs w:val="24"/>
        </w:rPr>
        <w:t>CINCO DE OCTUBRE DE</w:t>
      </w:r>
      <w:r w:rsidRPr="006B3AD3">
        <w:rPr>
          <w:rFonts w:ascii="Palatino Linotype" w:hAnsi="Palatino Linotype" w:cs="Arial"/>
          <w:sz w:val="24"/>
          <w:szCs w:val="24"/>
        </w:rPr>
        <w:t xml:space="preserve"> DOS MIL VEINTIDÓS, ANTE EL ANTE EL SECRETARIO TÉCNICO DEL PLENO, ALEXIS TAPIA RAMÍREZ. ---------------------------------------------------------------------------------------------------------------------------------------------------------------------------------------------------------</w:t>
      </w:r>
      <w:r w:rsidR="003103ED" w:rsidRPr="006B3AD3">
        <w:rPr>
          <w:rFonts w:ascii="Palatino Linotype" w:hAnsi="Palatino Linotype" w:cs="Arial"/>
          <w:sz w:val="24"/>
          <w:szCs w:val="24"/>
        </w:rPr>
        <w:t>-----------------------------------------------------------------------------------</w:t>
      </w:r>
    </w:p>
    <w:p w14:paraId="3D251355" w14:textId="5DD4D9C6" w:rsidR="0091079C" w:rsidRPr="006B3AD3" w:rsidRDefault="00DB52AF" w:rsidP="00DB52AF">
      <w:pPr>
        <w:spacing w:after="0" w:line="360" w:lineRule="auto"/>
        <w:jc w:val="both"/>
        <w:rPr>
          <w:rFonts w:ascii="Palatino Linotype" w:hAnsi="Palatino Linotype" w:cs="Arial"/>
          <w:sz w:val="24"/>
          <w:szCs w:val="24"/>
        </w:rPr>
      </w:pPr>
      <w:r w:rsidRPr="006B3AD3">
        <w:rPr>
          <w:rFonts w:ascii="Palatino Linotype" w:hAnsi="Palatino Linotype" w:cs="Arial"/>
          <w:sz w:val="24"/>
          <w:szCs w:val="24"/>
        </w:rPr>
        <w:t>-----------------------------------------------------------------------------------------------------------------</w:t>
      </w:r>
      <w:r w:rsidR="00F26B6E" w:rsidRPr="006B3AD3">
        <w:rPr>
          <w:rFonts w:ascii="Palatino Linotype" w:hAnsi="Palatino Linotype" w:cs="Arial"/>
          <w:sz w:val="24"/>
          <w:szCs w:val="24"/>
        </w:rPr>
        <w:t>-------------------------------------------------------------------------------------------------------------------------------------------------------------------------------------------------------------------------------------------------------------------------------------------------------------------------------------------------------------------------------------------------------------------------------------------------------------------------------------------------------------------------------------------------------------------------------------------------------------------------------------------------------------------------</w:t>
      </w:r>
      <w:r w:rsidR="004F442F">
        <w:rPr>
          <w:rFonts w:ascii="Palatino Linotype" w:hAnsi="Palatino Linotype" w:cs="Arial"/>
          <w:sz w:val="24"/>
          <w:szCs w:val="24"/>
        </w:rPr>
        <w:t>------------------------</w:t>
      </w:r>
      <w:r w:rsidR="00F26B6E" w:rsidRPr="006B3AD3">
        <w:rPr>
          <w:rFonts w:ascii="Palatino Linotype" w:hAnsi="Palatino Linotype" w:cs="Arial"/>
          <w:sz w:val="24"/>
          <w:szCs w:val="24"/>
        </w:rPr>
        <w:t>-</w:t>
      </w:r>
      <w:r w:rsidR="004F442F">
        <w:rPr>
          <w:rFonts w:ascii="Palatino Linotype" w:hAnsi="Palatino Linotype" w:cs="Arial"/>
          <w:sz w:val="24"/>
          <w:szCs w:val="24"/>
        </w:rPr>
        <w:t>------------------</w:t>
      </w:r>
      <w:r w:rsidR="00F26B6E" w:rsidRPr="006B3AD3">
        <w:rPr>
          <w:rFonts w:ascii="Palatino Linotype" w:hAnsi="Palatino Linotype" w:cs="Arial"/>
          <w:sz w:val="24"/>
          <w:szCs w:val="24"/>
        </w:rPr>
        <w:t>---------------------------------------------------------------------------------------------------</w:t>
      </w:r>
      <w:r w:rsidR="00CB38E4">
        <w:rPr>
          <w:rFonts w:ascii="Palatino Linotype" w:hAnsi="Palatino Linotype" w:cs="Arial"/>
          <w:sz w:val="24"/>
          <w:szCs w:val="24"/>
        </w:rPr>
        <w:t>--------------------------------------------------------------------------------------------------------------------------------------------------------------------------------------------------------------------------------------------------------------------------------------------------------------------------------------------------------------------------------------------------------------------------------------------------------------------</w:t>
      </w:r>
    </w:p>
    <w:p w14:paraId="262A5AAD" w14:textId="26206BE9" w:rsidR="00DB52AF" w:rsidRPr="006B3AD3" w:rsidRDefault="000D7A2F" w:rsidP="00DB52AF">
      <w:pPr>
        <w:spacing w:after="0" w:line="360" w:lineRule="auto"/>
        <w:jc w:val="both"/>
        <w:rPr>
          <w:rFonts w:ascii="Palatino Linotype" w:hAnsi="Palatino Linotype" w:cs="Arial"/>
          <w:sz w:val="24"/>
          <w:szCs w:val="24"/>
        </w:rPr>
      </w:pPr>
      <w:r w:rsidRPr="006B3AD3">
        <w:rPr>
          <w:rFonts w:ascii="Palatino Linotype" w:hAnsi="Palatino Linotype" w:cs="Arial"/>
          <w:sz w:val="24"/>
          <w:szCs w:val="24"/>
        </w:rPr>
        <w:t>JMV/CCR/</w:t>
      </w:r>
      <w:proofErr w:type="spellStart"/>
      <w:r w:rsidRPr="006B3AD3">
        <w:rPr>
          <w:rFonts w:ascii="Palatino Linotype" w:hAnsi="Palatino Linotype" w:cs="Arial"/>
          <w:sz w:val="24"/>
          <w:szCs w:val="24"/>
        </w:rPr>
        <w:t>pgch</w:t>
      </w:r>
      <w:proofErr w:type="spellEnd"/>
    </w:p>
    <w:p w14:paraId="41E56D73" w14:textId="77777777" w:rsidR="00DB52AF" w:rsidRPr="006B3AD3" w:rsidRDefault="00DB52AF" w:rsidP="00DB52AF">
      <w:pPr>
        <w:spacing w:after="0" w:line="360" w:lineRule="auto"/>
        <w:jc w:val="both"/>
        <w:rPr>
          <w:rFonts w:ascii="Palatino Linotype" w:hAnsi="Palatino Linotype" w:cs="Arial"/>
          <w:sz w:val="24"/>
          <w:szCs w:val="24"/>
        </w:rPr>
      </w:pPr>
    </w:p>
    <w:p w14:paraId="19A49D03" w14:textId="77777777" w:rsidR="00DB52AF" w:rsidRPr="006B3AD3" w:rsidRDefault="00DB52AF" w:rsidP="00DB52AF">
      <w:pPr>
        <w:spacing w:after="0" w:line="360" w:lineRule="auto"/>
        <w:jc w:val="both"/>
        <w:rPr>
          <w:rFonts w:ascii="Palatino Linotype" w:hAnsi="Palatino Linotype" w:cs="Arial"/>
          <w:sz w:val="24"/>
          <w:szCs w:val="24"/>
        </w:rPr>
      </w:pPr>
    </w:p>
    <w:p w14:paraId="5B283376" w14:textId="77777777" w:rsidR="00DB52AF" w:rsidRPr="006B3AD3" w:rsidRDefault="00DB52AF" w:rsidP="00DB52AF">
      <w:pPr>
        <w:spacing w:after="0" w:line="360" w:lineRule="auto"/>
        <w:jc w:val="both"/>
        <w:rPr>
          <w:rFonts w:ascii="Palatino Linotype" w:hAnsi="Palatino Linotype" w:cs="Arial"/>
          <w:sz w:val="24"/>
          <w:szCs w:val="24"/>
        </w:rPr>
      </w:pPr>
    </w:p>
    <w:p w14:paraId="304B18A0" w14:textId="77777777" w:rsidR="00DB52AF" w:rsidRPr="006B3AD3" w:rsidRDefault="00DB52AF" w:rsidP="00DB52AF">
      <w:pPr>
        <w:spacing w:after="0"/>
        <w:rPr>
          <w:rFonts w:ascii="Palatino Linotype" w:hAnsi="Palatino Linotype"/>
          <w:sz w:val="24"/>
          <w:szCs w:val="24"/>
        </w:rPr>
      </w:pPr>
    </w:p>
    <w:p w14:paraId="4BFC7509" w14:textId="77777777" w:rsidR="00DB52AF" w:rsidRPr="006B3AD3" w:rsidRDefault="00DB52AF" w:rsidP="00DB52AF">
      <w:pPr>
        <w:spacing w:after="0"/>
        <w:rPr>
          <w:rFonts w:ascii="Palatino Linotype" w:hAnsi="Palatino Linotype"/>
          <w:sz w:val="24"/>
          <w:szCs w:val="24"/>
        </w:rPr>
      </w:pPr>
    </w:p>
    <w:p w14:paraId="2F22BBFA" w14:textId="77777777" w:rsidR="00DB52AF" w:rsidRPr="006B3AD3" w:rsidRDefault="00DB52AF" w:rsidP="00DB52AF">
      <w:pPr>
        <w:spacing w:after="0"/>
        <w:rPr>
          <w:rFonts w:ascii="Palatino Linotype" w:hAnsi="Palatino Linotype"/>
          <w:sz w:val="24"/>
          <w:szCs w:val="24"/>
        </w:rPr>
      </w:pPr>
    </w:p>
    <w:p w14:paraId="62923A43" w14:textId="77777777" w:rsidR="00DB52AF" w:rsidRPr="006B3AD3" w:rsidRDefault="00DB52AF" w:rsidP="00DB52AF">
      <w:pPr>
        <w:spacing w:after="0"/>
        <w:rPr>
          <w:rFonts w:ascii="Palatino Linotype" w:hAnsi="Palatino Linotype"/>
          <w:sz w:val="24"/>
          <w:szCs w:val="24"/>
        </w:rPr>
      </w:pPr>
    </w:p>
    <w:p w14:paraId="1ED21161" w14:textId="77777777" w:rsidR="00DB52AF" w:rsidRPr="006B3AD3" w:rsidRDefault="00DB52AF" w:rsidP="00DB52AF">
      <w:pPr>
        <w:spacing w:after="0"/>
        <w:rPr>
          <w:rFonts w:ascii="Palatino Linotype" w:hAnsi="Palatino Linotype"/>
          <w:sz w:val="24"/>
          <w:szCs w:val="24"/>
        </w:rPr>
      </w:pPr>
    </w:p>
    <w:p w14:paraId="7BF1856F" w14:textId="77777777" w:rsidR="00DB52AF" w:rsidRPr="006B3AD3" w:rsidRDefault="00DB52AF" w:rsidP="00DB52AF">
      <w:pPr>
        <w:spacing w:after="0"/>
        <w:rPr>
          <w:rFonts w:ascii="Palatino Linotype" w:hAnsi="Palatino Linotype"/>
          <w:sz w:val="24"/>
          <w:szCs w:val="24"/>
        </w:rPr>
      </w:pPr>
    </w:p>
    <w:p w14:paraId="7B98F34C" w14:textId="77777777" w:rsidR="00DB52AF" w:rsidRPr="006B3AD3" w:rsidRDefault="00DB52AF" w:rsidP="00DB52AF">
      <w:pPr>
        <w:spacing w:after="0"/>
        <w:rPr>
          <w:rFonts w:ascii="Palatino Linotype" w:hAnsi="Palatino Linotype"/>
          <w:sz w:val="24"/>
          <w:szCs w:val="24"/>
        </w:rPr>
      </w:pPr>
    </w:p>
    <w:p w14:paraId="35BAB41B" w14:textId="77777777" w:rsidR="00DB52AF" w:rsidRPr="006B3AD3" w:rsidRDefault="00DB52AF" w:rsidP="00DB52AF">
      <w:pPr>
        <w:spacing w:after="0"/>
        <w:rPr>
          <w:rFonts w:ascii="Palatino Linotype" w:hAnsi="Palatino Linotype"/>
          <w:sz w:val="24"/>
          <w:szCs w:val="24"/>
        </w:rPr>
      </w:pPr>
    </w:p>
    <w:p w14:paraId="569C2F46" w14:textId="77777777" w:rsidR="00DB52AF" w:rsidRPr="006B3AD3" w:rsidRDefault="00DB52AF" w:rsidP="00DB52AF">
      <w:pPr>
        <w:spacing w:after="0"/>
        <w:rPr>
          <w:rFonts w:ascii="Palatino Linotype" w:hAnsi="Palatino Linotype"/>
          <w:sz w:val="24"/>
          <w:szCs w:val="24"/>
        </w:rPr>
      </w:pPr>
    </w:p>
    <w:p w14:paraId="40CE6480" w14:textId="77777777" w:rsidR="00DB52AF" w:rsidRPr="006B3AD3" w:rsidRDefault="00DB52AF" w:rsidP="00DB52AF">
      <w:pPr>
        <w:rPr>
          <w:rFonts w:ascii="Palatino Linotype" w:hAnsi="Palatino Linotype"/>
          <w:sz w:val="24"/>
          <w:szCs w:val="24"/>
        </w:rPr>
      </w:pPr>
    </w:p>
    <w:sectPr w:rsidR="00DB52AF" w:rsidRPr="006B3AD3" w:rsidSect="004670EC">
      <w:headerReference w:type="default" r:id="rId9"/>
      <w:footerReference w:type="default" r:id="rId10"/>
      <w:headerReference w:type="first" r:id="rId11"/>
      <w:footerReference w:type="first" r:id="rId12"/>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0BE7D" w14:textId="77777777" w:rsidR="009250CD" w:rsidRDefault="009250CD" w:rsidP="00DB52AF">
      <w:pPr>
        <w:spacing w:after="0" w:line="240" w:lineRule="auto"/>
      </w:pPr>
      <w:r>
        <w:separator/>
      </w:r>
    </w:p>
  </w:endnote>
  <w:endnote w:type="continuationSeparator" w:id="0">
    <w:p w14:paraId="0647EEEE" w14:textId="77777777" w:rsidR="009250CD" w:rsidRDefault="009250CD"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90372"/>
      <w:docPartObj>
        <w:docPartGallery w:val="Page Numbers (Bottom of Page)"/>
        <w:docPartUnique/>
      </w:docPartObj>
    </w:sdtPr>
    <w:sdtEndPr/>
    <w:sdtContent>
      <w:sdt>
        <w:sdtPr>
          <w:id w:val="-1253043515"/>
          <w:docPartObj>
            <w:docPartGallery w:val="Page Numbers (Top of Page)"/>
            <w:docPartUnique/>
          </w:docPartObj>
        </w:sdtPr>
        <w:sdtEndPr/>
        <w:sdtContent>
          <w:p w14:paraId="45FCC354" w14:textId="77777777" w:rsidR="00ED58B1" w:rsidRPr="002D6DD8" w:rsidRDefault="00ED58B1" w:rsidP="00ED58B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258">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3258">
              <w:rPr>
                <w:rFonts w:ascii="Palatino Linotype" w:hAnsi="Palatino Linotype"/>
                <w:bCs/>
                <w:noProof/>
                <w:sz w:val="20"/>
              </w:rPr>
              <w:t>26</w:t>
            </w:r>
            <w:r>
              <w:rPr>
                <w:rFonts w:ascii="Palatino Linotype" w:hAnsi="Palatino Linotype"/>
                <w:bCs/>
                <w:noProof/>
                <w:sz w:val="20"/>
              </w:rPr>
              <w:fldChar w:fldCharType="end"/>
            </w:r>
          </w:p>
        </w:sdtContent>
      </w:sdt>
    </w:sdtContent>
  </w:sdt>
  <w:p w14:paraId="0CDE4F13" w14:textId="77777777" w:rsidR="00ED58B1" w:rsidRDefault="00ED58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D58B1" w:rsidRPr="000B69FA" w:rsidRDefault="00ED58B1" w:rsidP="00ED58B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2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3258">
      <w:rPr>
        <w:rFonts w:ascii="Palatino Linotype" w:hAnsi="Palatino Linotype"/>
        <w:bCs/>
        <w:noProof/>
        <w:sz w:val="20"/>
      </w:rPr>
      <w:t>26</w:t>
    </w:r>
    <w:r>
      <w:rPr>
        <w:rFonts w:ascii="Palatino Linotype" w:hAnsi="Palatino Linotype"/>
        <w:bCs/>
        <w:noProof/>
        <w:sz w:val="20"/>
      </w:rPr>
      <w:fldChar w:fldCharType="end"/>
    </w:r>
  </w:p>
  <w:p w14:paraId="3D338257" w14:textId="77777777" w:rsidR="00ED58B1" w:rsidRDefault="00ED58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9EB7B" w14:textId="77777777" w:rsidR="009250CD" w:rsidRDefault="009250CD" w:rsidP="00DB52AF">
      <w:pPr>
        <w:spacing w:after="0" w:line="240" w:lineRule="auto"/>
      </w:pPr>
      <w:r>
        <w:separator/>
      </w:r>
    </w:p>
  </w:footnote>
  <w:footnote w:type="continuationSeparator" w:id="0">
    <w:p w14:paraId="204F0135" w14:textId="77777777" w:rsidR="009250CD" w:rsidRDefault="009250CD" w:rsidP="00DB5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D58B1" w14:paraId="03484DA1" w14:textId="77777777" w:rsidTr="00ED58B1">
      <w:trPr>
        <w:trHeight w:val="227"/>
      </w:trPr>
      <w:tc>
        <w:tcPr>
          <w:tcW w:w="5246" w:type="dxa"/>
          <w:hideMark/>
        </w:tcPr>
        <w:p w14:paraId="0B9FC23D" w14:textId="77777777" w:rsidR="00ED58B1" w:rsidRPr="00641471" w:rsidRDefault="00ED58B1" w:rsidP="00ED58B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52F867D3" w:rsidR="00ED58B1" w:rsidRPr="004670EC" w:rsidRDefault="00ED58B1"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11035/INFOEM/IP/RR/2022 </w:t>
          </w:r>
        </w:p>
      </w:tc>
    </w:tr>
    <w:tr w:rsidR="00ED58B1" w14:paraId="152F7D1D" w14:textId="77777777" w:rsidTr="00ED58B1">
      <w:trPr>
        <w:trHeight w:val="242"/>
      </w:trPr>
      <w:tc>
        <w:tcPr>
          <w:tcW w:w="5246" w:type="dxa"/>
          <w:hideMark/>
        </w:tcPr>
        <w:p w14:paraId="07D6C746" w14:textId="77777777" w:rsidR="00ED58B1" w:rsidRPr="00641471" w:rsidRDefault="00ED58B1" w:rsidP="00ED58B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1EB3D8B4" w:rsidR="00ED58B1" w:rsidRPr="00641471" w:rsidRDefault="00ED58B1" w:rsidP="00B1695A">
          <w:pPr>
            <w:spacing w:after="120" w:line="256" w:lineRule="auto"/>
            <w:ind w:left="-486" w:right="214" w:firstLine="284"/>
            <w:jc w:val="center"/>
            <w:rPr>
              <w:rFonts w:ascii="Palatino Linotype" w:hAnsi="Palatino Linotype" w:cs="Arial"/>
              <w:b/>
              <w:szCs w:val="20"/>
            </w:rPr>
          </w:pPr>
          <w:r>
            <w:rPr>
              <w:rFonts w:ascii="Palatino Linotype" w:hAnsi="Palatino Linotype" w:cs="Arial"/>
              <w:b/>
              <w:szCs w:val="20"/>
            </w:rPr>
            <w:t xml:space="preserve">        </w:t>
          </w:r>
          <w:r w:rsidRPr="00DB52AF">
            <w:rPr>
              <w:rFonts w:ascii="Palatino Linotype" w:hAnsi="Palatino Linotype" w:cs="Arial"/>
              <w:b/>
              <w:szCs w:val="20"/>
            </w:rPr>
            <w:t xml:space="preserve">Ayuntamiento de </w:t>
          </w:r>
          <w:r>
            <w:rPr>
              <w:rFonts w:ascii="Palatino Linotype" w:hAnsi="Palatino Linotype" w:cs="Arial"/>
              <w:b/>
              <w:szCs w:val="20"/>
            </w:rPr>
            <w:t>Chimalhuacán</w:t>
          </w:r>
        </w:p>
      </w:tc>
    </w:tr>
    <w:tr w:rsidR="00ED58B1" w14:paraId="6103794C" w14:textId="77777777" w:rsidTr="00ED58B1">
      <w:trPr>
        <w:trHeight w:val="342"/>
      </w:trPr>
      <w:tc>
        <w:tcPr>
          <w:tcW w:w="5246" w:type="dxa"/>
          <w:hideMark/>
        </w:tcPr>
        <w:p w14:paraId="59DF814C" w14:textId="77777777" w:rsidR="00ED58B1" w:rsidRPr="00641471" w:rsidRDefault="00ED58B1" w:rsidP="00ED58B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D58B1" w:rsidRPr="00641471" w:rsidRDefault="00ED58B1"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Pr="00641471">
            <w:rPr>
              <w:rFonts w:ascii="Palatino Linotype" w:hAnsi="Palatino Linotype" w:cs="Arial"/>
              <w:b/>
              <w:szCs w:val="20"/>
            </w:rPr>
            <w:t>José Martínez Vilchis</w:t>
          </w:r>
        </w:p>
      </w:tc>
    </w:tr>
  </w:tbl>
  <w:p w14:paraId="5D513DFC" w14:textId="77777777" w:rsidR="00ED58B1" w:rsidRPr="00AE046A" w:rsidRDefault="00ED58B1" w:rsidP="00ED58B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D58B1" w14:paraId="5C18D412" w14:textId="77777777" w:rsidTr="007342D6">
      <w:trPr>
        <w:trHeight w:val="227"/>
      </w:trPr>
      <w:tc>
        <w:tcPr>
          <w:tcW w:w="5104" w:type="dxa"/>
          <w:hideMark/>
        </w:tcPr>
        <w:p w14:paraId="6D425D0F" w14:textId="50473DE9" w:rsidR="00ED58B1" w:rsidRPr="00641471" w:rsidRDefault="00ED58B1" w:rsidP="00ED58B1">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 xml:space="preserve">        </w:t>
          </w:r>
          <w:r w:rsidRPr="00641471">
            <w:rPr>
              <w:rFonts w:ascii="Palatino Linotype" w:hAnsi="Palatino Linotype" w:cs="Arial"/>
              <w:szCs w:val="20"/>
            </w:rPr>
            <w:t>Recurso de Revisión N°:</w:t>
          </w:r>
        </w:p>
      </w:tc>
      <w:tc>
        <w:tcPr>
          <w:tcW w:w="4819" w:type="dxa"/>
          <w:hideMark/>
        </w:tcPr>
        <w:p w14:paraId="25F8FD44" w14:textId="375AE004" w:rsidR="00ED58B1" w:rsidRPr="00641471" w:rsidRDefault="00ED58B1"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11035/INFOEM/IP/RR/2022</w:t>
          </w:r>
        </w:p>
      </w:tc>
    </w:tr>
    <w:tr w:rsidR="00ED58B1" w14:paraId="774C0026" w14:textId="77777777" w:rsidTr="007342D6">
      <w:trPr>
        <w:trHeight w:val="242"/>
      </w:trPr>
      <w:tc>
        <w:tcPr>
          <w:tcW w:w="5104" w:type="dxa"/>
          <w:hideMark/>
        </w:tcPr>
        <w:p w14:paraId="3F8CA37C" w14:textId="77777777" w:rsidR="00ED58B1" w:rsidRPr="00641471" w:rsidRDefault="00ED58B1" w:rsidP="00ED58B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15C764C2" w:rsidR="00ED58B1" w:rsidRPr="00641471" w:rsidRDefault="00ED58B1" w:rsidP="009A1107">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Pr="00DB52AF">
            <w:rPr>
              <w:rFonts w:ascii="Palatino Linotype" w:hAnsi="Palatino Linotype" w:cs="Arial"/>
              <w:b/>
              <w:szCs w:val="20"/>
            </w:rPr>
            <w:t xml:space="preserve">Ayuntamiento de </w:t>
          </w:r>
          <w:r>
            <w:rPr>
              <w:rFonts w:ascii="Palatino Linotype" w:hAnsi="Palatino Linotype" w:cs="Arial"/>
              <w:b/>
              <w:szCs w:val="20"/>
            </w:rPr>
            <w:t>Chimalhuacán</w:t>
          </w:r>
        </w:p>
      </w:tc>
    </w:tr>
    <w:tr w:rsidR="00ED58B1" w14:paraId="4D525FD1" w14:textId="77777777" w:rsidTr="007342D6">
      <w:trPr>
        <w:trHeight w:val="342"/>
      </w:trPr>
      <w:tc>
        <w:tcPr>
          <w:tcW w:w="5104" w:type="dxa"/>
        </w:tcPr>
        <w:p w14:paraId="39AEB933" w14:textId="77777777" w:rsidR="00ED58B1" w:rsidRPr="00641471" w:rsidRDefault="00ED58B1" w:rsidP="00ED58B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63EEA800" w:rsidR="00ED58B1" w:rsidRPr="00641471" w:rsidRDefault="00ED58B1" w:rsidP="00A87EF0">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A87EF0">
            <w:rPr>
              <w:rFonts w:ascii="Palatino Linotype" w:hAnsi="Palatino Linotype" w:cs="Arial"/>
              <w:b/>
              <w:noProof/>
              <w:szCs w:val="20"/>
              <w:lang w:eastAsia="es-MX"/>
            </w:rPr>
            <w:t>XXXXXXXXXXXX</w:t>
          </w:r>
          <w:r>
            <w:rPr>
              <w:rFonts w:ascii="Palatino Linotype" w:hAnsi="Palatino Linotype" w:cs="Arial"/>
              <w:b/>
              <w:noProof/>
              <w:szCs w:val="20"/>
              <w:lang w:eastAsia="es-MX"/>
            </w:rPr>
            <w:t xml:space="preserve">  </w:t>
          </w:r>
        </w:p>
      </w:tc>
    </w:tr>
    <w:tr w:rsidR="00ED58B1" w14:paraId="17B2FB2D" w14:textId="77777777" w:rsidTr="007342D6">
      <w:trPr>
        <w:trHeight w:val="342"/>
      </w:trPr>
      <w:tc>
        <w:tcPr>
          <w:tcW w:w="5104" w:type="dxa"/>
        </w:tcPr>
        <w:p w14:paraId="6C32C325" w14:textId="77777777" w:rsidR="00ED58B1" w:rsidRPr="00641471" w:rsidRDefault="00ED58B1" w:rsidP="00ED58B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D58B1" w:rsidRPr="00641471" w:rsidRDefault="00ED58B1"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14:paraId="485ABC66" w14:textId="77777777" w:rsidR="00ED58B1" w:rsidRPr="00C222C0" w:rsidRDefault="00ED58B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CD940A5"/>
    <w:multiLevelType w:val="hybridMultilevel"/>
    <w:tmpl w:val="00BEF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6FC64469"/>
    <w:multiLevelType w:val="hybridMultilevel"/>
    <w:tmpl w:val="83BE8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481546D"/>
    <w:multiLevelType w:val="hybridMultilevel"/>
    <w:tmpl w:val="4910382A"/>
    <w:lvl w:ilvl="0" w:tplc="745C58F0">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7"/>
  </w:num>
  <w:num w:numId="3">
    <w:abstractNumId w:val="6"/>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50B7"/>
    <w:rsid w:val="00021DDE"/>
    <w:rsid w:val="00024064"/>
    <w:rsid w:val="00025398"/>
    <w:rsid w:val="00036F8B"/>
    <w:rsid w:val="00053C4C"/>
    <w:rsid w:val="00065DD5"/>
    <w:rsid w:val="00067CC7"/>
    <w:rsid w:val="0007569F"/>
    <w:rsid w:val="00082BA5"/>
    <w:rsid w:val="00083273"/>
    <w:rsid w:val="00096117"/>
    <w:rsid w:val="000A4968"/>
    <w:rsid w:val="000C76AC"/>
    <w:rsid w:val="000D6F58"/>
    <w:rsid w:val="000D7A2F"/>
    <w:rsid w:val="001227FA"/>
    <w:rsid w:val="00123996"/>
    <w:rsid w:val="0014244D"/>
    <w:rsid w:val="00160249"/>
    <w:rsid w:val="00162241"/>
    <w:rsid w:val="00181189"/>
    <w:rsid w:val="001860E4"/>
    <w:rsid w:val="00190CF4"/>
    <w:rsid w:val="00201FE1"/>
    <w:rsid w:val="00206A5F"/>
    <w:rsid w:val="0021449A"/>
    <w:rsid w:val="00260C70"/>
    <w:rsid w:val="0027094A"/>
    <w:rsid w:val="002A74FD"/>
    <w:rsid w:val="002D69B3"/>
    <w:rsid w:val="002F277B"/>
    <w:rsid w:val="002F283C"/>
    <w:rsid w:val="002F4897"/>
    <w:rsid w:val="003103ED"/>
    <w:rsid w:val="00343AB0"/>
    <w:rsid w:val="00355210"/>
    <w:rsid w:val="00363557"/>
    <w:rsid w:val="00365A4C"/>
    <w:rsid w:val="00374EF5"/>
    <w:rsid w:val="00382E70"/>
    <w:rsid w:val="003B1EA6"/>
    <w:rsid w:val="003C1935"/>
    <w:rsid w:val="003D19A1"/>
    <w:rsid w:val="003D29DA"/>
    <w:rsid w:val="003D64F9"/>
    <w:rsid w:val="003E7632"/>
    <w:rsid w:val="00424874"/>
    <w:rsid w:val="00445289"/>
    <w:rsid w:val="004670EC"/>
    <w:rsid w:val="00483594"/>
    <w:rsid w:val="00484405"/>
    <w:rsid w:val="0048581A"/>
    <w:rsid w:val="004D02A4"/>
    <w:rsid w:val="004E7CD4"/>
    <w:rsid w:val="004F442F"/>
    <w:rsid w:val="005210EB"/>
    <w:rsid w:val="00546392"/>
    <w:rsid w:val="00560E97"/>
    <w:rsid w:val="00582BE3"/>
    <w:rsid w:val="005B0290"/>
    <w:rsid w:val="005B7996"/>
    <w:rsid w:val="005C7B85"/>
    <w:rsid w:val="005E4BAD"/>
    <w:rsid w:val="005F629E"/>
    <w:rsid w:val="006220AC"/>
    <w:rsid w:val="0062594E"/>
    <w:rsid w:val="0064175D"/>
    <w:rsid w:val="00647840"/>
    <w:rsid w:val="00654D13"/>
    <w:rsid w:val="00667F64"/>
    <w:rsid w:val="00670474"/>
    <w:rsid w:val="00672359"/>
    <w:rsid w:val="00672B13"/>
    <w:rsid w:val="006731B2"/>
    <w:rsid w:val="006836FA"/>
    <w:rsid w:val="00684874"/>
    <w:rsid w:val="006B1F90"/>
    <w:rsid w:val="006B3AD3"/>
    <w:rsid w:val="006B6614"/>
    <w:rsid w:val="006E1D83"/>
    <w:rsid w:val="006E69E5"/>
    <w:rsid w:val="006F3F51"/>
    <w:rsid w:val="00715CB6"/>
    <w:rsid w:val="007342D6"/>
    <w:rsid w:val="00761ED2"/>
    <w:rsid w:val="0076383D"/>
    <w:rsid w:val="0078239E"/>
    <w:rsid w:val="0079546B"/>
    <w:rsid w:val="007A2EE1"/>
    <w:rsid w:val="007A3E3A"/>
    <w:rsid w:val="007B092B"/>
    <w:rsid w:val="007B722D"/>
    <w:rsid w:val="007C2FD2"/>
    <w:rsid w:val="007C4FA5"/>
    <w:rsid w:val="007D5865"/>
    <w:rsid w:val="007D763C"/>
    <w:rsid w:val="007E4DC4"/>
    <w:rsid w:val="007F453A"/>
    <w:rsid w:val="008017BE"/>
    <w:rsid w:val="00810393"/>
    <w:rsid w:val="0081086E"/>
    <w:rsid w:val="008207A4"/>
    <w:rsid w:val="0082418A"/>
    <w:rsid w:val="00824475"/>
    <w:rsid w:val="00827E36"/>
    <w:rsid w:val="00831116"/>
    <w:rsid w:val="008343B4"/>
    <w:rsid w:val="008513D7"/>
    <w:rsid w:val="00856D74"/>
    <w:rsid w:val="00864333"/>
    <w:rsid w:val="008C46F0"/>
    <w:rsid w:val="008D4AFF"/>
    <w:rsid w:val="00902AF3"/>
    <w:rsid w:val="0091079C"/>
    <w:rsid w:val="00911026"/>
    <w:rsid w:val="009216E9"/>
    <w:rsid w:val="009250CD"/>
    <w:rsid w:val="009639C7"/>
    <w:rsid w:val="00983B49"/>
    <w:rsid w:val="009A1107"/>
    <w:rsid w:val="009D1BAF"/>
    <w:rsid w:val="009D29E3"/>
    <w:rsid w:val="009E637B"/>
    <w:rsid w:val="00A03F77"/>
    <w:rsid w:val="00A17C93"/>
    <w:rsid w:val="00A32CBC"/>
    <w:rsid w:val="00A369CD"/>
    <w:rsid w:val="00A824F3"/>
    <w:rsid w:val="00A87EF0"/>
    <w:rsid w:val="00A927C1"/>
    <w:rsid w:val="00AA1583"/>
    <w:rsid w:val="00AA3EB8"/>
    <w:rsid w:val="00AB503C"/>
    <w:rsid w:val="00AB7D4E"/>
    <w:rsid w:val="00AF64A3"/>
    <w:rsid w:val="00B05A81"/>
    <w:rsid w:val="00B1695A"/>
    <w:rsid w:val="00B234D3"/>
    <w:rsid w:val="00B3416C"/>
    <w:rsid w:val="00B360AA"/>
    <w:rsid w:val="00B626D4"/>
    <w:rsid w:val="00B7409D"/>
    <w:rsid w:val="00B841A3"/>
    <w:rsid w:val="00BB21FB"/>
    <w:rsid w:val="00BD6139"/>
    <w:rsid w:val="00C13C53"/>
    <w:rsid w:val="00C17B73"/>
    <w:rsid w:val="00C2240D"/>
    <w:rsid w:val="00C52FD2"/>
    <w:rsid w:val="00C64277"/>
    <w:rsid w:val="00C65A9D"/>
    <w:rsid w:val="00C8203D"/>
    <w:rsid w:val="00C95392"/>
    <w:rsid w:val="00CA083D"/>
    <w:rsid w:val="00CA1380"/>
    <w:rsid w:val="00CB0658"/>
    <w:rsid w:val="00CB38E4"/>
    <w:rsid w:val="00CB79B8"/>
    <w:rsid w:val="00CC4919"/>
    <w:rsid w:val="00CE7DF4"/>
    <w:rsid w:val="00CF2D0F"/>
    <w:rsid w:val="00CF6196"/>
    <w:rsid w:val="00D0018B"/>
    <w:rsid w:val="00D07118"/>
    <w:rsid w:val="00D30ECB"/>
    <w:rsid w:val="00DA2AA3"/>
    <w:rsid w:val="00DA6DEB"/>
    <w:rsid w:val="00DB5043"/>
    <w:rsid w:val="00DB52AF"/>
    <w:rsid w:val="00DD1BDA"/>
    <w:rsid w:val="00DE1FE8"/>
    <w:rsid w:val="00DF50EF"/>
    <w:rsid w:val="00E23197"/>
    <w:rsid w:val="00E25131"/>
    <w:rsid w:val="00E2565C"/>
    <w:rsid w:val="00E32619"/>
    <w:rsid w:val="00E63F65"/>
    <w:rsid w:val="00E671BD"/>
    <w:rsid w:val="00E80756"/>
    <w:rsid w:val="00EB3258"/>
    <w:rsid w:val="00ED58B1"/>
    <w:rsid w:val="00F106D9"/>
    <w:rsid w:val="00F26B6E"/>
    <w:rsid w:val="00F75BB1"/>
    <w:rsid w:val="00F81225"/>
    <w:rsid w:val="00F95FB0"/>
    <w:rsid w:val="00FB44FC"/>
    <w:rsid w:val="00FF05F3"/>
    <w:rsid w:val="00FF7E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63F65"/>
    <w:rPr>
      <w:sz w:val="16"/>
      <w:szCs w:val="16"/>
    </w:rPr>
  </w:style>
  <w:style w:type="paragraph" w:styleId="Textocomentario">
    <w:name w:val="annotation text"/>
    <w:basedOn w:val="Normal"/>
    <w:link w:val="TextocomentarioCar"/>
    <w:uiPriority w:val="99"/>
    <w:semiHidden/>
    <w:unhideWhenUsed/>
    <w:rsid w:val="00E63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3F65"/>
    <w:rPr>
      <w:sz w:val="20"/>
      <w:szCs w:val="20"/>
    </w:rPr>
  </w:style>
  <w:style w:type="paragraph" w:styleId="Asuntodelcomentario">
    <w:name w:val="annotation subject"/>
    <w:basedOn w:val="Textocomentario"/>
    <w:next w:val="Textocomentario"/>
    <w:link w:val="AsuntodelcomentarioCar"/>
    <w:uiPriority w:val="99"/>
    <w:semiHidden/>
    <w:unhideWhenUsed/>
    <w:rsid w:val="00E63F65"/>
    <w:rPr>
      <w:b/>
      <w:bCs/>
    </w:rPr>
  </w:style>
  <w:style w:type="character" w:customStyle="1" w:styleId="AsuntodelcomentarioCar">
    <w:name w:val="Asunto del comentario Car"/>
    <w:basedOn w:val="TextocomentarioCar"/>
    <w:link w:val="Asuntodelcomentario"/>
    <w:uiPriority w:val="99"/>
    <w:semiHidden/>
    <w:rsid w:val="00E63F65"/>
    <w:rPr>
      <w:b/>
      <w:bCs/>
      <w:sz w:val="20"/>
      <w:szCs w:val="20"/>
    </w:rPr>
  </w:style>
  <w:style w:type="paragraph" w:styleId="Revisin">
    <w:name w:val="Revision"/>
    <w:hidden/>
    <w:uiPriority w:val="99"/>
    <w:semiHidden/>
    <w:rsid w:val="00E23197"/>
    <w:pPr>
      <w:spacing w:after="0" w:line="240" w:lineRule="auto"/>
    </w:pPr>
  </w:style>
  <w:style w:type="character" w:customStyle="1" w:styleId="SinespaciadoCar">
    <w:name w:val="Sin espaciado Car"/>
    <w:aliases w:val="Francesa Car,INAI Car"/>
    <w:link w:val="Sinespaciado"/>
    <w:uiPriority w:val="1"/>
    <w:locked/>
    <w:rsid w:val="00CB79B8"/>
  </w:style>
  <w:style w:type="paragraph" w:styleId="Sinespaciado">
    <w:name w:val="No Spacing"/>
    <w:aliases w:val="Francesa,INAI"/>
    <w:link w:val="SinespaciadoCar"/>
    <w:uiPriority w:val="1"/>
    <w:qFormat/>
    <w:rsid w:val="00CB79B8"/>
    <w:pPr>
      <w:spacing w:after="0" w:line="240" w:lineRule="auto"/>
    </w:pPr>
  </w:style>
  <w:style w:type="character" w:customStyle="1" w:styleId="il">
    <w:name w:val="il"/>
    <w:basedOn w:val="Fuentedeprrafopredeter"/>
    <w:rsid w:val="007D5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22312214">
      <w:bodyDiv w:val="1"/>
      <w:marLeft w:val="0"/>
      <w:marRight w:val="0"/>
      <w:marTop w:val="0"/>
      <w:marBottom w:val="0"/>
      <w:divBdr>
        <w:top w:val="none" w:sz="0" w:space="0" w:color="auto"/>
        <w:left w:val="none" w:sz="0" w:space="0" w:color="auto"/>
        <w:bottom w:val="none" w:sz="0" w:space="0" w:color="auto"/>
        <w:right w:val="none" w:sz="0" w:space="0" w:color="auto"/>
      </w:divBdr>
    </w:div>
    <w:div w:id="381712862">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05678047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110666405">
      <w:bodyDiv w:val="1"/>
      <w:marLeft w:val="0"/>
      <w:marRight w:val="0"/>
      <w:marTop w:val="0"/>
      <w:marBottom w:val="0"/>
      <w:divBdr>
        <w:top w:val="none" w:sz="0" w:space="0" w:color="auto"/>
        <w:left w:val="none" w:sz="0" w:space="0" w:color="auto"/>
        <w:bottom w:val="none" w:sz="0" w:space="0" w:color="auto"/>
        <w:right w:val="none" w:sz="0" w:space="0" w:color="auto"/>
      </w:divBdr>
    </w:div>
    <w:div w:id="1142233764">
      <w:bodyDiv w:val="1"/>
      <w:marLeft w:val="0"/>
      <w:marRight w:val="0"/>
      <w:marTop w:val="0"/>
      <w:marBottom w:val="0"/>
      <w:divBdr>
        <w:top w:val="none" w:sz="0" w:space="0" w:color="auto"/>
        <w:left w:val="none" w:sz="0" w:space="0" w:color="auto"/>
        <w:bottom w:val="none" w:sz="0" w:space="0" w:color="auto"/>
        <w:right w:val="none" w:sz="0" w:space="0" w:color="auto"/>
      </w:divBdr>
    </w:div>
    <w:div w:id="1224637788">
      <w:bodyDiv w:val="1"/>
      <w:marLeft w:val="0"/>
      <w:marRight w:val="0"/>
      <w:marTop w:val="0"/>
      <w:marBottom w:val="0"/>
      <w:divBdr>
        <w:top w:val="none" w:sz="0" w:space="0" w:color="auto"/>
        <w:left w:val="none" w:sz="0" w:space="0" w:color="auto"/>
        <w:bottom w:val="none" w:sz="0" w:space="0" w:color="auto"/>
        <w:right w:val="none" w:sz="0" w:space="0" w:color="auto"/>
      </w:divBdr>
    </w:div>
    <w:div w:id="1316372539">
      <w:bodyDiv w:val="1"/>
      <w:marLeft w:val="0"/>
      <w:marRight w:val="0"/>
      <w:marTop w:val="0"/>
      <w:marBottom w:val="0"/>
      <w:divBdr>
        <w:top w:val="none" w:sz="0" w:space="0" w:color="auto"/>
        <w:left w:val="none" w:sz="0" w:space="0" w:color="auto"/>
        <w:bottom w:val="none" w:sz="0" w:space="0" w:color="auto"/>
        <w:right w:val="none" w:sz="0" w:space="0" w:color="auto"/>
      </w:divBdr>
    </w:div>
    <w:div w:id="1379014336">
      <w:bodyDiv w:val="1"/>
      <w:marLeft w:val="0"/>
      <w:marRight w:val="0"/>
      <w:marTop w:val="0"/>
      <w:marBottom w:val="0"/>
      <w:divBdr>
        <w:top w:val="none" w:sz="0" w:space="0" w:color="auto"/>
        <w:left w:val="none" w:sz="0" w:space="0" w:color="auto"/>
        <w:bottom w:val="none" w:sz="0" w:space="0" w:color="auto"/>
        <w:right w:val="none" w:sz="0" w:space="0" w:color="auto"/>
      </w:divBdr>
    </w:div>
    <w:div w:id="1461728252">
      <w:bodyDiv w:val="1"/>
      <w:marLeft w:val="0"/>
      <w:marRight w:val="0"/>
      <w:marTop w:val="0"/>
      <w:marBottom w:val="0"/>
      <w:divBdr>
        <w:top w:val="none" w:sz="0" w:space="0" w:color="auto"/>
        <w:left w:val="none" w:sz="0" w:space="0" w:color="auto"/>
        <w:bottom w:val="none" w:sz="0" w:space="0" w:color="auto"/>
        <w:right w:val="none" w:sz="0" w:space="0" w:color="auto"/>
      </w:divBdr>
    </w:div>
    <w:div w:id="1517377807">
      <w:bodyDiv w:val="1"/>
      <w:marLeft w:val="0"/>
      <w:marRight w:val="0"/>
      <w:marTop w:val="0"/>
      <w:marBottom w:val="0"/>
      <w:divBdr>
        <w:top w:val="none" w:sz="0" w:space="0" w:color="auto"/>
        <w:left w:val="none" w:sz="0" w:space="0" w:color="auto"/>
        <w:bottom w:val="none" w:sz="0" w:space="0" w:color="auto"/>
        <w:right w:val="none" w:sz="0" w:space="0" w:color="auto"/>
      </w:divBdr>
    </w:div>
    <w:div w:id="1538473557">
      <w:bodyDiv w:val="1"/>
      <w:marLeft w:val="0"/>
      <w:marRight w:val="0"/>
      <w:marTop w:val="0"/>
      <w:marBottom w:val="0"/>
      <w:divBdr>
        <w:top w:val="none" w:sz="0" w:space="0" w:color="auto"/>
        <w:left w:val="none" w:sz="0" w:space="0" w:color="auto"/>
        <w:bottom w:val="none" w:sz="0" w:space="0" w:color="auto"/>
        <w:right w:val="none" w:sz="0" w:space="0" w:color="auto"/>
      </w:divBdr>
    </w:div>
    <w:div w:id="1982495731">
      <w:bodyDiv w:val="1"/>
      <w:marLeft w:val="0"/>
      <w:marRight w:val="0"/>
      <w:marTop w:val="0"/>
      <w:marBottom w:val="0"/>
      <w:divBdr>
        <w:top w:val="none" w:sz="0" w:space="0" w:color="auto"/>
        <w:left w:val="none" w:sz="0" w:space="0" w:color="auto"/>
        <w:bottom w:val="none" w:sz="0" w:space="0" w:color="auto"/>
        <w:right w:val="none" w:sz="0" w:space="0" w:color="auto"/>
      </w:divBdr>
    </w:div>
    <w:div w:id="21143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949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A9DF4-350B-42D7-B5D7-CF16580F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6325</Words>
  <Characters>34790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3</cp:revision>
  <dcterms:created xsi:type="dcterms:W3CDTF">2022-10-05T21:29:00Z</dcterms:created>
  <dcterms:modified xsi:type="dcterms:W3CDTF">2022-10-24T19:21:00Z</dcterms:modified>
</cp:coreProperties>
</file>