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F302F" w14:textId="77777777" w:rsidR="007D3765" w:rsidRDefault="00500F96">
      <w:pPr>
        <w:spacing w:line="360" w:lineRule="auto"/>
        <w:jc w:val="both"/>
        <w:rPr>
          <w:rFonts w:ascii="Palatino Linotype" w:eastAsia="Palatino Linotype" w:hAnsi="Palatino Linotype" w:cs="Palatino Linotype"/>
        </w:rPr>
      </w:pPr>
      <w:bookmarkStart w:id="0" w:name="_heading=h.30j0zll"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diez de agosto de dos mil veintidós. </w:t>
      </w:r>
    </w:p>
    <w:p w14:paraId="6988433A" w14:textId="77777777" w:rsidR="007D3765" w:rsidRDefault="007D3765">
      <w:pPr>
        <w:spacing w:line="360" w:lineRule="auto"/>
        <w:jc w:val="both"/>
        <w:rPr>
          <w:rFonts w:ascii="Palatino Linotype" w:eastAsia="Palatino Linotype" w:hAnsi="Palatino Linotype" w:cs="Palatino Linotype"/>
        </w:rPr>
      </w:pPr>
    </w:p>
    <w:p w14:paraId="2B880534"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06777/INFOEM/IP/RR/2022, </w:t>
      </w:r>
      <w:r>
        <w:rPr>
          <w:rFonts w:ascii="Palatino Linotype" w:eastAsia="Palatino Linotype" w:hAnsi="Palatino Linotype" w:cs="Palatino Linotype"/>
        </w:rPr>
        <w:t xml:space="preserve">promovido por un particular de manera anónima, a quien en lo sucesivo se le denominara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sidRPr="000279D7">
        <w:rPr>
          <w:rFonts w:ascii="Palatino Linotype" w:eastAsia="Palatino Linotype" w:hAnsi="Palatino Linotype" w:cs="Palatino Linotype"/>
          <w:b/>
        </w:rPr>
        <w:t>Ayuntamiento de Villa Victoria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subsecuente se le denominará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14:paraId="1C3C5C68" w14:textId="77777777" w:rsidR="007D3765" w:rsidRDefault="007D3765">
      <w:pPr>
        <w:spacing w:line="360" w:lineRule="auto"/>
        <w:jc w:val="both"/>
        <w:rPr>
          <w:rFonts w:ascii="Palatino Linotype" w:eastAsia="Palatino Linotype" w:hAnsi="Palatino Linotype" w:cs="Palatino Linotype"/>
          <w:b/>
        </w:rPr>
      </w:pPr>
    </w:p>
    <w:p w14:paraId="52B1C451" w14:textId="77777777" w:rsidR="007D3765" w:rsidRDefault="00500F96">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ANTECEDENTES</w:t>
      </w:r>
    </w:p>
    <w:p w14:paraId="08C53CA8" w14:textId="77777777" w:rsidR="007D3765" w:rsidRDefault="007D3765">
      <w:pPr>
        <w:rPr>
          <w:rFonts w:ascii="Palatino Linotype" w:eastAsia="Palatino Linotype" w:hAnsi="Palatino Linotype" w:cs="Palatino Linotype"/>
          <w:b/>
        </w:rPr>
      </w:pPr>
    </w:p>
    <w:p w14:paraId="11B4BBB8" w14:textId="77777777" w:rsidR="007D3765" w:rsidRDefault="00500F96">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Pr>
          <w:rFonts w:ascii="Palatino Linotype" w:eastAsia="Palatino Linotype" w:hAnsi="Palatino Linotype" w:cs="Palatino Linotype"/>
          <w:b/>
          <w:sz w:val="28"/>
          <w:szCs w:val="28"/>
        </w:rPr>
        <w:t>I.</w:t>
      </w:r>
      <w:r>
        <w:rPr>
          <w:rFonts w:ascii="Palatino Linotype" w:eastAsia="Palatino Linotype" w:hAnsi="Palatino Linotype" w:cs="Palatino Linotype"/>
          <w:b/>
        </w:rPr>
        <w:t xml:space="preserve"> </w:t>
      </w:r>
      <w:r>
        <w:rPr>
          <w:rFonts w:ascii="Palatino Linotype" w:eastAsia="Palatino Linotype" w:hAnsi="Palatino Linotype" w:cs="Palatino Linotype"/>
          <w:b/>
          <w:sz w:val="28"/>
          <w:szCs w:val="28"/>
        </w:rPr>
        <w:t>De la Solicitud de Información</w:t>
      </w:r>
    </w:p>
    <w:p w14:paraId="5D924EA5" w14:textId="77777777" w:rsidR="007D3765" w:rsidRDefault="00500F96">
      <w:pPr>
        <w:spacing w:line="360" w:lineRule="auto"/>
        <w:jc w:val="both"/>
        <w:rPr>
          <w:rFonts w:ascii="Palatino Linotype" w:eastAsia="Palatino Linotype" w:hAnsi="Palatino Linotype" w:cs="Palatino Linotype"/>
          <w:i/>
          <w:sz w:val="20"/>
          <w:szCs w:val="20"/>
        </w:rPr>
      </w:pPr>
      <w:bookmarkStart w:id="2" w:name="_heading=h.ifuj3wtxm21l" w:colFirst="0" w:colLast="0"/>
      <w:bookmarkEnd w:id="2"/>
      <w:r>
        <w:rPr>
          <w:rFonts w:ascii="Palatino Linotype" w:eastAsia="Palatino Linotype" w:hAnsi="Palatino Linotype" w:cs="Palatino Linotype"/>
        </w:rPr>
        <w:t xml:space="preserve"> En fecha treinta de marzo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de expediente </w:t>
      </w:r>
      <w:r>
        <w:rPr>
          <w:rFonts w:ascii="Palatino Linotype" w:eastAsia="Palatino Linotype" w:hAnsi="Palatino Linotype" w:cs="Palatino Linotype"/>
          <w:b/>
        </w:rPr>
        <w:t xml:space="preserve">00039/VIVICTOR/IP/2022, </w:t>
      </w:r>
      <w:r>
        <w:rPr>
          <w:rFonts w:ascii="Palatino Linotype" w:eastAsia="Palatino Linotype" w:hAnsi="Palatino Linotype" w:cs="Palatino Linotype"/>
        </w:rPr>
        <w:t>requirió, lo siguiente:</w:t>
      </w:r>
    </w:p>
    <w:p w14:paraId="50DFF0C0" w14:textId="77777777" w:rsidR="007D3765" w:rsidRDefault="00500F96">
      <w:pPr>
        <w:ind w:left="850"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“DE LA TESORERÍA DEL MUNICIPIO DE VILLA VICTORIA, ESTADO DE MÉXICO, REQUIERO LO SIGUIENTE: A).- El presupuesto de egresos, oficialmente asignado para cada área del ayuntamiento, del ejercicio correspondiente al año 2022, siendo las siguientes: 1. Presidencia 2. Comunicación Social 3. Derechos Humanos 4. Sindicatura 5. Regiduría I 6. Regiduría ll 7. Regiduría III 8. Regiduría IV 9. Regiduría V 10. Regiduría VI 11. Regiduría VII 12. Secretaría del Ayuntamiento 13. Administración 14. Informática 15. Desarrollo Urbano y Obras </w:t>
      </w:r>
      <w:r>
        <w:rPr>
          <w:rFonts w:ascii="Palatino Linotype" w:eastAsia="Palatino Linotype" w:hAnsi="Palatino Linotype" w:cs="Palatino Linotype"/>
          <w:i/>
          <w:sz w:val="22"/>
          <w:szCs w:val="22"/>
        </w:rPr>
        <w:lastRenderedPageBreak/>
        <w:t xml:space="preserve">Públicas 16. Desarrollo Urbano y Servicios Públicos 17. Ecología 18. Desarrollo Social 19. Gobierno Municipal 20. Contraloría 21. Tesorería 22. Consejería Jurídica 23. Dirección de Desarrollo Económico 24. Educación Cultural y Bienestar Social 25. Seguridad Pública y Tránsito 26. Unidad de información, planeación, programación y evaluación B). El desglose el presupuesto autorizado por proyecto asignado a la Quinta Regiduría para el ejercicio fiscal </w:t>
      </w:r>
      <w:proofErr w:type="gramStart"/>
      <w:r>
        <w:rPr>
          <w:rFonts w:ascii="Palatino Linotype" w:eastAsia="Palatino Linotype" w:hAnsi="Palatino Linotype" w:cs="Palatino Linotype"/>
          <w:i/>
          <w:sz w:val="22"/>
          <w:szCs w:val="22"/>
        </w:rPr>
        <w:t>2022..</w:t>
      </w:r>
      <w:proofErr w:type="gramEnd"/>
      <w:r>
        <w:rPr>
          <w:rFonts w:ascii="Palatino Linotype" w:eastAsia="Palatino Linotype" w:hAnsi="Palatino Linotype" w:cs="Palatino Linotype"/>
          <w:i/>
          <w:sz w:val="22"/>
          <w:szCs w:val="22"/>
        </w:rPr>
        <w:t>” (sic)</w:t>
      </w:r>
    </w:p>
    <w:p w14:paraId="3A23C34D" w14:textId="77777777" w:rsidR="007D3765" w:rsidRDefault="007D3765">
      <w:pPr>
        <w:tabs>
          <w:tab w:val="left" w:pos="851"/>
        </w:tabs>
        <w:ind w:right="901"/>
        <w:jc w:val="both"/>
        <w:rPr>
          <w:rFonts w:ascii="Palatino Linotype" w:eastAsia="Palatino Linotype" w:hAnsi="Palatino Linotype" w:cs="Palatino Linotype"/>
          <w:sz w:val="22"/>
          <w:szCs w:val="22"/>
        </w:rPr>
      </w:pPr>
    </w:p>
    <w:p w14:paraId="09083ABE" w14:textId="77777777" w:rsidR="007D3765" w:rsidRDefault="00500F96">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p>
    <w:p w14:paraId="1BC22F5E" w14:textId="77777777" w:rsidR="007D3765" w:rsidRDefault="007D3765">
      <w:pPr>
        <w:pBdr>
          <w:top w:val="nil"/>
          <w:left w:val="nil"/>
          <w:bottom w:val="nil"/>
          <w:right w:val="nil"/>
          <w:between w:val="nil"/>
        </w:pBdr>
        <w:spacing w:line="360" w:lineRule="auto"/>
        <w:ind w:left="850"/>
        <w:jc w:val="both"/>
        <w:rPr>
          <w:rFonts w:ascii="Palatino Linotype" w:eastAsia="Palatino Linotype" w:hAnsi="Palatino Linotype" w:cs="Palatino Linotype"/>
        </w:rPr>
      </w:pPr>
    </w:p>
    <w:p w14:paraId="039FE04D" w14:textId="77777777" w:rsidR="007D3765" w:rsidRDefault="00500F96">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 Turno de requerimiento del Sujeto Obligado</w:t>
      </w:r>
    </w:p>
    <w:p w14:paraId="276C9176"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los expedientes electrónicos del SAIMEX advierte en fecha diecinueve de abril del dos mil veintidós el  turno de requerimiento hecho al servidor público habilitado que estimó competente, en términos de lo establecido por el artículo 162 de la Ley de Transparencia y Acceso a la Información Pública del Estado de México y Municipios.</w:t>
      </w:r>
    </w:p>
    <w:p w14:paraId="0B152B25" w14:textId="77777777" w:rsidR="007D3765" w:rsidRDefault="00500F96">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 </w:t>
      </w:r>
    </w:p>
    <w:p w14:paraId="4624E4A9" w14:textId="77777777" w:rsidR="007D3765" w:rsidRDefault="00500F96">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III. Respuesta del Sujeto Obligado</w:t>
      </w:r>
    </w:p>
    <w:p w14:paraId="10650668"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el expediente electrónico del SAIMEX se observa que en fecha veintisiete de abril de dos mil veintidós,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a la solicitud de acceso a la información pública en los términos siguientes: </w:t>
      </w:r>
    </w:p>
    <w:p w14:paraId="0EB3838C" w14:textId="77777777" w:rsidR="007D3765" w:rsidRDefault="00500F96">
      <w:pPr>
        <w:ind w:left="850" w:right="899"/>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“En relación a la solicitud de información ingresada a través del Sistema de Acceso a la Información Mexiquense (SAIMEX), registrada con el número de folio 00039/VIVICTOR/IP/2022, que requiere lo siguiente: DE LA TESORERÍA DEL MUNICIPIO DE VILLA VICTORIA, ESTADO DE MÉXICO, REQUIERO LO SIGUIENTE: A).- El presupuesto de egresos, oficialmente asignado para cada área del ayuntamiento, del ejercicio correspondiente al año 2022, siendo las siguientes: 1. Presidencia 2. Comunicación Social 3. Derechos Humanos 4. Sindicatura 5. </w:t>
      </w:r>
      <w:r>
        <w:rPr>
          <w:rFonts w:ascii="Palatino Linotype" w:eastAsia="Palatino Linotype" w:hAnsi="Palatino Linotype" w:cs="Palatino Linotype"/>
          <w:i/>
          <w:sz w:val="22"/>
          <w:szCs w:val="22"/>
        </w:rPr>
        <w:lastRenderedPageBreak/>
        <w:t xml:space="preserve">Regiduría I 6. Regiduría ll 7. Regiduría III 8. Regiduría IV 9. Regiduría V 10. Regiduría VI 11. Regiduría VII 12. Secretaría del Ayuntamiento 13. Administración 14. Informática 15. Desarrollo Urbano y Obras Públicas 16. Desarrollo Urbano y Servicios Públicos 17. Ecología 18. Desarrollo Social 19. Gobierno Municipal 20. Contraloría 21. Tesorería 22. Consejería Jurídica 23. Dirección de Desarrollo Económico 24. Educación Cultural y Bienestar Social 25. Seguridad Pública y Tránsito 26. Unidad de información, planeación, programación y evaluación B). El desglose el presupuesto autorizado por proyecto asignado a la Quinta Regiduría para el ejercicio fiscal 2022. Con fundamento en los artículos 12, 53, Fracciones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una vez realizada la búsqueda exhaustiva y razonable en los archivos de esta entidad municipal, específicamente de la Tesorería Municipal, al tratarse de información relacionada con sus atribuciones según lo establecido en el Reglamento Orgánico de la Administración Municipal 2022-2024, Me permito adjuntar archivo en formato </w:t>
      </w:r>
      <w:proofErr w:type="spellStart"/>
      <w:r>
        <w:rPr>
          <w:rFonts w:ascii="Palatino Linotype" w:eastAsia="Palatino Linotype" w:hAnsi="Palatino Linotype" w:cs="Palatino Linotype"/>
          <w:i/>
          <w:sz w:val="22"/>
          <w:szCs w:val="22"/>
        </w:rPr>
        <w:t>pdf</w:t>
      </w:r>
      <w:proofErr w:type="spellEnd"/>
      <w:r>
        <w:rPr>
          <w:rFonts w:ascii="Palatino Linotype" w:eastAsia="Palatino Linotype" w:hAnsi="Palatino Linotype" w:cs="Palatino Linotype"/>
          <w:i/>
          <w:sz w:val="22"/>
          <w:szCs w:val="22"/>
        </w:rPr>
        <w:t xml:space="preserve"> con la información solicitada. Sin otro particular, con el presente escrito se tiene por atendida la solicitud de información.”(Sic)</w:t>
      </w:r>
    </w:p>
    <w:p w14:paraId="17CA5B71" w14:textId="77777777" w:rsidR="007D3765" w:rsidRDefault="007D3765">
      <w:pPr>
        <w:spacing w:line="360" w:lineRule="auto"/>
        <w:jc w:val="both"/>
        <w:rPr>
          <w:rFonts w:ascii="Palatino Linotype" w:eastAsia="Palatino Linotype" w:hAnsi="Palatino Linotype" w:cs="Palatino Linotype"/>
        </w:rPr>
      </w:pPr>
    </w:p>
    <w:p w14:paraId="4922BFC3"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 respuesta dos documentos, el primero de nombre “</w:t>
      </w:r>
      <w:r>
        <w:rPr>
          <w:rFonts w:ascii="Palatino Linotype" w:eastAsia="Palatino Linotype" w:hAnsi="Palatino Linotype" w:cs="Palatino Linotype"/>
          <w:i/>
        </w:rPr>
        <w:t xml:space="preserve">Calendarizado de Egresos 2022 Sol. No. 00039.pdf” </w:t>
      </w:r>
      <w:r>
        <w:rPr>
          <w:rFonts w:ascii="Palatino Linotype" w:eastAsia="Palatino Linotype" w:hAnsi="Palatino Linotype" w:cs="Palatino Linotype"/>
        </w:rPr>
        <w:t xml:space="preserve">el cual contiene el presupuesto de Egresos Calendarizado de dos mil veintidós del ayuntamiento de Villa Victoria al veintisiete de abril de dos mil veintidós. </w:t>
      </w:r>
    </w:p>
    <w:p w14:paraId="55238124" w14:textId="77777777" w:rsidR="007D3765" w:rsidRDefault="007D3765">
      <w:pPr>
        <w:spacing w:line="360" w:lineRule="auto"/>
        <w:jc w:val="both"/>
        <w:rPr>
          <w:rFonts w:ascii="Palatino Linotype" w:eastAsia="Palatino Linotype" w:hAnsi="Palatino Linotype" w:cs="Palatino Linotype"/>
        </w:rPr>
      </w:pPr>
    </w:p>
    <w:p w14:paraId="4E1E3218"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segundo documento denominado  “</w:t>
      </w:r>
      <w:r>
        <w:rPr>
          <w:rFonts w:ascii="Palatino Linotype" w:eastAsia="Palatino Linotype" w:hAnsi="Palatino Linotype" w:cs="Palatino Linotype"/>
          <w:i/>
        </w:rPr>
        <w:t xml:space="preserve">RESPUESTA UTAIP SOL. NO. 00039.pdf” </w:t>
      </w:r>
      <w:r>
        <w:rPr>
          <w:rFonts w:ascii="Palatino Linotype" w:eastAsia="Palatino Linotype" w:hAnsi="Palatino Linotype" w:cs="Palatino Linotype"/>
        </w:rPr>
        <w:t xml:space="preserve"> de cuyo contenido se advierte la respuesta formal emitida por el Titular de la Unidad de </w:t>
      </w:r>
      <w:r>
        <w:rPr>
          <w:rFonts w:ascii="Palatino Linotype" w:eastAsia="Palatino Linotype" w:hAnsi="Palatino Linotype" w:cs="Palatino Linotype"/>
        </w:rPr>
        <w:lastRenderedPageBreak/>
        <w:t xml:space="preserve">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indicando que una vez efectuada la búsqueda en los archivos de la Tesorería adjunta el formato con la información solicitada. </w:t>
      </w:r>
    </w:p>
    <w:p w14:paraId="7774B1C2"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52D46705" w14:textId="77777777" w:rsidR="007D3765" w:rsidRDefault="00500F96">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IV.  Del Recurso de Revisión</w:t>
      </w:r>
      <w:r>
        <w:rPr>
          <w:rFonts w:ascii="Palatino Linotype" w:eastAsia="Palatino Linotype" w:hAnsi="Palatino Linotype" w:cs="Palatino Linotype"/>
          <w:b/>
        </w:rPr>
        <w:t>.</w:t>
      </w:r>
    </w:p>
    <w:p w14:paraId="39811B49" w14:textId="77777777" w:rsidR="007D3765" w:rsidRDefault="00500F9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con la respuesta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el veintiocho de abril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El cual fue registrado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 asignó el número de expediente </w:t>
      </w:r>
      <w:r>
        <w:rPr>
          <w:rFonts w:ascii="Palatino Linotype" w:eastAsia="Palatino Linotype" w:hAnsi="Palatino Linotype" w:cs="Palatino Linotype"/>
          <w:b/>
        </w:rPr>
        <w:t xml:space="preserve">06777/INFOEM/IP/RR/2022, </w:t>
      </w:r>
      <w:r>
        <w:rPr>
          <w:rFonts w:ascii="Palatino Linotype" w:eastAsia="Palatino Linotype" w:hAnsi="Palatino Linotype" w:cs="Palatino Linotype"/>
        </w:rPr>
        <w:t xml:space="preserve">donde los motivos de agravio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fueron los siguientes:</w:t>
      </w:r>
    </w:p>
    <w:p w14:paraId="29008BA6" w14:textId="77777777" w:rsidR="007D3765" w:rsidRDefault="007D3765">
      <w:pPr>
        <w:widowControl w:val="0"/>
        <w:spacing w:line="360" w:lineRule="auto"/>
        <w:jc w:val="both"/>
        <w:rPr>
          <w:rFonts w:ascii="Palatino Linotype" w:eastAsia="Palatino Linotype" w:hAnsi="Palatino Linotype" w:cs="Palatino Linotype"/>
        </w:rPr>
      </w:pPr>
    </w:p>
    <w:p w14:paraId="14FA27C3" w14:textId="77777777" w:rsidR="007D3765" w:rsidRDefault="00500F96">
      <w:pPr>
        <w:spacing w:line="360" w:lineRule="auto"/>
        <w:ind w:left="-57" w:right="-57"/>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Acto Impugnado:</w:t>
      </w:r>
      <w:r>
        <w:rPr>
          <w:b/>
          <w:u w:val="single"/>
        </w:rPr>
        <w:t xml:space="preserve"> </w:t>
      </w:r>
    </w:p>
    <w:p w14:paraId="5BD4301E" w14:textId="77777777" w:rsidR="007D3765" w:rsidRDefault="00500F96">
      <w:pPr>
        <w:tabs>
          <w:tab w:val="left" w:pos="709"/>
        </w:tabs>
        <w:spacing w:before="66"/>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respuesta dada por el sujeto </w:t>
      </w:r>
      <w:proofErr w:type="gramStart"/>
      <w:r>
        <w:rPr>
          <w:rFonts w:ascii="Palatino Linotype" w:eastAsia="Palatino Linotype" w:hAnsi="Palatino Linotype" w:cs="Palatino Linotype"/>
          <w:i/>
          <w:sz w:val="22"/>
          <w:szCs w:val="22"/>
        </w:rPr>
        <w:t>obligado”(</w:t>
      </w:r>
      <w:proofErr w:type="gramEnd"/>
      <w:r>
        <w:rPr>
          <w:rFonts w:ascii="Palatino Linotype" w:eastAsia="Palatino Linotype" w:hAnsi="Palatino Linotype" w:cs="Palatino Linotype"/>
          <w:i/>
          <w:sz w:val="22"/>
          <w:szCs w:val="22"/>
        </w:rPr>
        <w:t>sic)</w:t>
      </w:r>
    </w:p>
    <w:p w14:paraId="7646C54A" w14:textId="77777777" w:rsidR="007D3765" w:rsidRDefault="007D3765">
      <w:pPr>
        <w:ind w:right="899"/>
        <w:jc w:val="both"/>
        <w:rPr>
          <w:rFonts w:ascii="Palatino Linotype" w:eastAsia="Palatino Linotype" w:hAnsi="Palatino Linotype" w:cs="Palatino Linotype"/>
        </w:rPr>
      </w:pPr>
    </w:p>
    <w:p w14:paraId="140B9249" w14:textId="77777777" w:rsidR="007D3765" w:rsidRDefault="00500F96">
      <w:pPr>
        <w:spacing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Razones o motivos de inconformidad:</w:t>
      </w:r>
    </w:p>
    <w:p w14:paraId="1AF7AB4D" w14:textId="77777777" w:rsidR="007D3765" w:rsidRDefault="00500F96">
      <w:pPr>
        <w:tabs>
          <w:tab w:val="left" w:pos="709"/>
        </w:tabs>
        <w:spacing w:before="66"/>
        <w:ind w:left="850" w:right="899"/>
        <w:jc w:val="both"/>
        <w:rPr>
          <w:rFonts w:ascii="Palatino Linotype" w:eastAsia="Palatino Linotype" w:hAnsi="Palatino Linotype" w:cs="Palatino Linotype"/>
          <w:b/>
          <w:u w:val="single"/>
        </w:rPr>
      </w:pPr>
      <w:r>
        <w:rPr>
          <w:rFonts w:ascii="Palatino Linotype" w:eastAsia="Palatino Linotype" w:hAnsi="Palatino Linotype" w:cs="Palatino Linotype"/>
          <w:i/>
          <w:sz w:val="22"/>
          <w:szCs w:val="22"/>
        </w:rPr>
        <w:t xml:space="preserve">“El sujeto obligado de una manera ilegal da una respuesta obscura, confusa, poco transparente e </w:t>
      </w:r>
      <w:proofErr w:type="spellStart"/>
      <w:r>
        <w:rPr>
          <w:rFonts w:ascii="Palatino Linotype" w:eastAsia="Palatino Linotype" w:hAnsi="Palatino Linotype" w:cs="Palatino Linotype"/>
          <w:i/>
          <w:sz w:val="22"/>
          <w:szCs w:val="22"/>
        </w:rPr>
        <w:t>intendible</w:t>
      </w:r>
      <w:proofErr w:type="spellEnd"/>
      <w:r>
        <w:rPr>
          <w:rFonts w:ascii="Palatino Linotype" w:eastAsia="Palatino Linotype" w:hAnsi="Palatino Linotype" w:cs="Palatino Linotype"/>
          <w:i/>
          <w:sz w:val="22"/>
          <w:szCs w:val="22"/>
        </w:rPr>
        <w:t xml:space="preserve"> para el ciudadano común. Como se podrá advertir de la misma, menciona diversos números de claves y programas, sin especificar a qué se refiere cada una de ellas o dónde pueden consultarse, máxime que mi solicitud fue precisa, al referir la áreas de la administración pública municipal de las cuales requería la información, violando con ello los principios de Certeza, Eficacia, Máxima Publicidad y Transparencia contemplados en el artículo 9 de la Ley de Transparencia y Acceso a la Información Pública del Estado de México.”(sic)</w:t>
      </w:r>
    </w:p>
    <w:p w14:paraId="2A7365F7" w14:textId="77777777" w:rsidR="007D3765" w:rsidRDefault="007D3765">
      <w:pPr>
        <w:ind w:right="899"/>
        <w:jc w:val="both"/>
        <w:rPr>
          <w:rFonts w:ascii="Palatino Linotype" w:eastAsia="Palatino Linotype" w:hAnsi="Palatino Linotype" w:cs="Palatino Linotype"/>
        </w:rPr>
      </w:pPr>
    </w:p>
    <w:p w14:paraId="281B8907" w14:textId="77777777" w:rsidR="007D3765" w:rsidRDefault="007D3765">
      <w:pPr>
        <w:spacing w:line="360" w:lineRule="auto"/>
        <w:jc w:val="both"/>
        <w:rPr>
          <w:rFonts w:ascii="Palatino Linotype" w:eastAsia="Palatino Linotype" w:hAnsi="Palatino Linotype" w:cs="Palatino Linotype"/>
          <w:b/>
          <w:sz w:val="28"/>
          <w:szCs w:val="28"/>
        </w:rPr>
      </w:pPr>
    </w:p>
    <w:p w14:paraId="43649248" w14:textId="77777777" w:rsidR="007D3765" w:rsidRDefault="007D3765">
      <w:pPr>
        <w:spacing w:line="360" w:lineRule="auto"/>
        <w:jc w:val="both"/>
        <w:rPr>
          <w:rFonts w:ascii="Palatino Linotype" w:eastAsia="Palatino Linotype" w:hAnsi="Palatino Linotype" w:cs="Palatino Linotype"/>
          <w:b/>
          <w:sz w:val="28"/>
          <w:szCs w:val="28"/>
        </w:rPr>
      </w:pPr>
    </w:p>
    <w:p w14:paraId="044CAB9A" w14:textId="77777777" w:rsidR="007D3765" w:rsidRDefault="007D3765">
      <w:pPr>
        <w:spacing w:line="360" w:lineRule="auto"/>
        <w:jc w:val="both"/>
        <w:rPr>
          <w:rFonts w:ascii="Palatino Linotype" w:eastAsia="Palatino Linotype" w:hAnsi="Palatino Linotype" w:cs="Palatino Linotype"/>
          <w:b/>
          <w:sz w:val="28"/>
          <w:szCs w:val="28"/>
        </w:rPr>
      </w:pPr>
    </w:p>
    <w:p w14:paraId="0C5FE573" w14:textId="77777777" w:rsidR="007D3765" w:rsidRDefault="00500F96">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lastRenderedPageBreak/>
        <w:t xml:space="preserve">V. Del turno del Recurso de Revisión. </w:t>
      </w:r>
    </w:p>
    <w:p w14:paraId="55F23096"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veintiocho de abril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Pr>
          <w:rFonts w:ascii="Palatino Linotype" w:eastAsia="Palatino Linotype" w:hAnsi="Palatino Linotype" w:cs="Palatino Linotype"/>
          <w:b/>
        </w:rPr>
        <w:t>Comisionada Sharon Cristina Morales Martínez</w:t>
      </w:r>
      <w:r>
        <w:rPr>
          <w:rFonts w:ascii="Palatino Linotype" w:eastAsia="Palatino Linotype" w:hAnsi="Palatino Linotype" w:cs="Palatino Linotype"/>
        </w:rPr>
        <w:t xml:space="preserve">; a efecto de decretar su admisión o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473ED318" w14:textId="77777777" w:rsidR="007D3765" w:rsidRDefault="007D3765">
      <w:pPr>
        <w:spacing w:line="360" w:lineRule="auto"/>
        <w:jc w:val="both"/>
        <w:rPr>
          <w:rFonts w:ascii="Palatino Linotype" w:eastAsia="Palatino Linotype" w:hAnsi="Palatino Linotype" w:cs="Palatino Linotype"/>
        </w:rPr>
      </w:pPr>
    </w:p>
    <w:p w14:paraId="50350913" w14:textId="77777777" w:rsidR="007D3765" w:rsidRDefault="00500F96">
      <w:pPr>
        <w:tabs>
          <w:tab w:val="center" w:pos="4252"/>
          <w:tab w:val="right" w:pos="8504"/>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Admisión del Recurso de Revisión</w:t>
      </w:r>
    </w:p>
    <w:p w14:paraId="1DA9F113" w14:textId="77777777" w:rsidR="007D3765" w:rsidRDefault="00500F96">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en fecha veintinueve de abril de dos mil veintidós, se acordó la admisión a trámite del Recurso de Revisión que nos ocupa; así como la integración del expediente respectivo, mismo que se puso a disposición de las partes, para que en un plazo máximo de siete días hábiles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manifestara lo que a su derecho conviniera, a efecto de presentar pruebas y alegatos; así como, para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el correspondiente</w:t>
      </w:r>
      <w:r>
        <w:rPr>
          <w:rFonts w:ascii="Palatino Linotype" w:eastAsia="Palatino Linotype" w:hAnsi="Palatino Linotype" w:cs="Palatino Linotype"/>
          <w:b/>
        </w:rPr>
        <w:t xml:space="preserve"> </w:t>
      </w:r>
      <w:r>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1B923135" w14:textId="77777777" w:rsidR="007D3765" w:rsidRDefault="007D3765">
      <w:pPr>
        <w:tabs>
          <w:tab w:val="center" w:pos="4252"/>
          <w:tab w:val="right" w:pos="8504"/>
        </w:tabs>
        <w:spacing w:line="360" w:lineRule="auto"/>
        <w:jc w:val="both"/>
        <w:rPr>
          <w:rFonts w:ascii="Palatino Linotype" w:eastAsia="Palatino Linotype" w:hAnsi="Palatino Linotype" w:cs="Palatino Linotype"/>
        </w:rPr>
      </w:pPr>
    </w:p>
    <w:p w14:paraId="527686C9" w14:textId="77777777" w:rsidR="007D3765" w:rsidRDefault="00500F9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Informe Justificado</w:t>
      </w:r>
    </w:p>
    <w:p w14:paraId="281DA044" w14:textId="77777777" w:rsidR="007D3765" w:rsidRDefault="00500F96">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las constancias que obran en el expediente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desprende que atento a lo dispuesto en el artículo 185 de la Ley de Transparencia y Acceso a la </w:t>
      </w:r>
      <w:r>
        <w:rPr>
          <w:rFonts w:ascii="Palatino Linotype" w:eastAsia="Palatino Linotype" w:hAnsi="Palatino Linotype" w:cs="Palatino Linotype"/>
        </w:rPr>
        <w:lastRenderedPageBreak/>
        <w:t xml:space="preserve">Información Pública del Estado de México y Municipios, dentro del término legalmente concedido a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presentó manifestaciones que a su derecho convinieran. </w:t>
      </w:r>
    </w:p>
    <w:p w14:paraId="139A22FA" w14:textId="77777777" w:rsidR="007D3765" w:rsidRDefault="007D3765">
      <w:pPr>
        <w:widowControl w:val="0"/>
        <w:tabs>
          <w:tab w:val="left" w:pos="0"/>
        </w:tabs>
        <w:spacing w:line="360" w:lineRule="auto"/>
        <w:jc w:val="both"/>
        <w:rPr>
          <w:rFonts w:ascii="Palatino Linotype" w:eastAsia="Palatino Linotype" w:hAnsi="Palatino Linotype" w:cs="Palatino Linotype"/>
        </w:rPr>
      </w:pPr>
    </w:p>
    <w:p w14:paraId="1B3C953B" w14:textId="77777777" w:rsidR="007D3765" w:rsidRDefault="00500F96">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dos archivos, el primero de ellos de </w:t>
      </w:r>
      <w:proofErr w:type="gramStart"/>
      <w:r>
        <w:rPr>
          <w:rFonts w:ascii="Palatino Linotype" w:eastAsia="Palatino Linotype" w:hAnsi="Palatino Linotype" w:cs="Palatino Linotype"/>
        </w:rPr>
        <w:t xml:space="preserve">nombre  </w:t>
      </w:r>
      <w:r>
        <w:rPr>
          <w:rFonts w:ascii="Palatino Linotype" w:eastAsia="Palatino Linotype" w:hAnsi="Palatino Linotype" w:cs="Palatino Linotype"/>
          <w:i/>
        </w:rPr>
        <w:t>edo.</w:t>
      </w:r>
      <w:proofErr w:type="gramEnd"/>
      <w:r>
        <w:rPr>
          <w:rFonts w:ascii="Palatino Linotype" w:eastAsia="Palatino Linotype" w:hAnsi="Palatino Linotype" w:cs="Palatino Linotype"/>
          <w:i/>
        </w:rPr>
        <w:t xml:space="preserve"> avance por dependencia general REQ. 00039.pdf, </w:t>
      </w:r>
      <w:r>
        <w:rPr>
          <w:rFonts w:ascii="Palatino Linotype" w:eastAsia="Palatino Linotype" w:hAnsi="Palatino Linotype" w:cs="Palatino Linotype"/>
        </w:rPr>
        <w:t xml:space="preserve">mediante el cual remite el Estado de Avance presupuestal de Egresos del primero al treinta y uno de enero de dos mil veintidós por dependencia </w:t>
      </w:r>
    </w:p>
    <w:p w14:paraId="7E35CC0D" w14:textId="77777777" w:rsidR="007D3765" w:rsidRDefault="007D3765">
      <w:pPr>
        <w:widowControl w:val="0"/>
        <w:tabs>
          <w:tab w:val="left" w:pos="0"/>
        </w:tabs>
        <w:spacing w:line="360" w:lineRule="auto"/>
        <w:jc w:val="both"/>
        <w:rPr>
          <w:rFonts w:ascii="Palatino Linotype" w:eastAsia="Palatino Linotype" w:hAnsi="Palatino Linotype" w:cs="Palatino Linotype"/>
        </w:rPr>
      </w:pPr>
    </w:p>
    <w:p w14:paraId="70E203D5" w14:textId="77777777" w:rsidR="007D3765" w:rsidRDefault="00500F96">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segundo archivo denominado </w:t>
      </w:r>
      <w:r>
        <w:rPr>
          <w:rFonts w:ascii="Palatino Linotype" w:eastAsia="Palatino Linotype" w:hAnsi="Palatino Linotype" w:cs="Palatino Linotype"/>
          <w:i/>
        </w:rPr>
        <w:t xml:space="preserve">INFORME SOL. NO. 00039.pdf </w:t>
      </w:r>
      <w:r>
        <w:rPr>
          <w:rFonts w:ascii="Palatino Linotype" w:eastAsia="Palatino Linotype" w:hAnsi="Palatino Linotype" w:cs="Palatino Linotype"/>
        </w:rPr>
        <w:t xml:space="preserve">contiene el Informe Justificado emitido por el Titular de la Unidad de Transparencia indicando remitir la información solicitada. </w:t>
      </w:r>
    </w:p>
    <w:p w14:paraId="29B9FEFD" w14:textId="77777777" w:rsidR="007D3765" w:rsidRDefault="007D3765">
      <w:pPr>
        <w:widowControl w:val="0"/>
        <w:tabs>
          <w:tab w:val="left" w:pos="0"/>
        </w:tabs>
        <w:spacing w:line="360" w:lineRule="auto"/>
        <w:jc w:val="both"/>
        <w:rPr>
          <w:rFonts w:ascii="Palatino Linotype" w:eastAsia="Palatino Linotype" w:hAnsi="Palatino Linotype" w:cs="Palatino Linotype"/>
        </w:rPr>
      </w:pPr>
    </w:p>
    <w:p w14:paraId="5F77E615" w14:textId="77777777" w:rsidR="007D3765" w:rsidRDefault="00500F96">
      <w:pPr>
        <w:widowControl w:val="0"/>
        <w:tabs>
          <w:tab w:val="left" w:pos="0"/>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 De la ampliación </w:t>
      </w:r>
    </w:p>
    <w:p w14:paraId="15C299FC"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fecha diecisiete de junio de dos mil veintidós, se notificó el acuerdo de ampliación de plazo para resolver el presente Recurso de Revisión, previsto en el artículo 181, tercer párrafo de la Ley de Transparencia y Acceso a la Información Pública del Estado de México y Municipios.</w:t>
      </w:r>
    </w:p>
    <w:p w14:paraId="659A10AB" w14:textId="77777777" w:rsidR="007D3765" w:rsidRDefault="007D3765">
      <w:pPr>
        <w:shd w:val="clear" w:color="auto" w:fill="FFFFFF"/>
        <w:spacing w:line="392" w:lineRule="auto"/>
        <w:jc w:val="both"/>
        <w:rPr>
          <w:rFonts w:ascii="Palatino Linotype" w:eastAsia="Palatino Linotype" w:hAnsi="Palatino Linotype" w:cs="Palatino Linotype"/>
        </w:rPr>
      </w:pPr>
    </w:p>
    <w:p w14:paraId="627E4BD5"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w:t>
      </w:r>
      <w:r>
        <w:rPr>
          <w:rFonts w:ascii="Palatino Linotype" w:eastAsia="Palatino Linotype" w:hAnsi="Palatino Linotype" w:cs="Palatino Linotype"/>
        </w:rPr>
        <w:lastRenderedPageBreak/>
        <w:t>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23010CF"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2901944A"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CA2B279"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8A5B2C2"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C79E69"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6014E521"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Pr>
          <w:rFonts w:ascii="Palatino Linotype" w:eastAsia="Palatino Linotype" w:hAnsi="Palatino Linotype" w:cs="Palatino Linotype"/>
        </w:rPr>
        <w:lastRenderedPageBreak/>
        <w:t>jurisdiccionales o cuasi jurisdiccionales, tanto por la complejidad de los hechos, como por el número de casos que conocen.</w:t>
      </w:r>
    </w:p>
    <w:p w14:paraId="1CA70BAA"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F774915"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2E3B79AE" w14:textId="77777777" w:rsidR="007D3765" w:rsidRDefault="00500F96">
      <w:pPr>
        <w:shd w:val="clear" w:color="auto" w:fill="FFFFFF"/>
        <w:spacing w:before="200" w:after="200" w:line="360" w:lineRule="auto"/>
        <w:ind w:left="992"/>
        <w:jc w:val="both"/>
        <w:rPr>
          <w:rFonts w:ascii="Palatino Linotype" w:eastAsia="Palatino Linotype" w:hAnsi="Palatino Linotype" w:cs="Palatino Linotype"/>
        </w:rPr>
      </w:pPr>
      <w:r>
        <w:rPr>
          <w:rFonts w:ascii="Palatino Linotype" w:eastAsia="Palatino Linotype" w:hAnsi="Palatino Linotype" w:cs="Palatino Linotype"/>
        </w:rPr>
        <w:t xml:space="preserve">a) Complejidad del Asunto: La complejidad de la prueba, la pluralidad de sujetos procesales, el tiempo transcurrido, las características y contexto del recurso. </w:t>
      </w:r>
    </w:p>
    <w:p w14:paraId="3AB7D3E4" w14:textId="77777777" w:rsidR="007D3765" w:rsidRDefault="00500F96">
      <w:pPr>
        <w:shd w:val="clear" w:color="auto" w:fill="FFFFFF"/>
        <w:spacing w:before="200" w:after="200" w:line="360" w:lineRule="auto"/>
        <w:ind w:left="992"/>
        <w:jc w:val="both"/>
        <w:rPr>
          <w:rFonts w:ascii="Palatino Linotype" w:eastAsia="Palatino Linotype" w:hAnsi="Palatino Linotype" w:cs="Palatino Linotype"/>
        </w:rPr>
      </w:pPr>
      <w:r>
        <w:rPr>
          <w:rFonts w:ascii="Palatino Linotype" w:eastAsia="Palatino Linotype" w:hAnsi="Palatino Linotype" w:cs="Palatino Linotype"/>
        </w:rPr>
        <w:t xml:space="preserve">b) Actividad Procesal del interesado. Acciones u omisiones del interesado. </w:t>
      </w:r>
    </w:p>
    <w:p w14:paraId="394896D6" w14:textId="77777777" w:rsidR="007D3765" w:rsidRDefault="00500F96">
      <w:pPr>
        <w:shd w:val="clear" w:color="auto" w:fill="FFFFFF"/>
        <w:spacing w:before="200" w:after="200" w:line="360" w:lineRule="auto"/>
        <w:ind w:left="992"/>
        <w:jc w:val="both"/>
        <w:rPr>
          <w:rFonts w:ascii="Palatino Linotype" w:eastAsia="Palatino Linotype" w:hAnsi="Palatino Linotype" w:cs="Palatino Linotype"/>
        </w:rPr>
      </w:pPr>
      <w:r>
        <w:rPr>
          <w:rFonts w:ascii="Palatino Linotype" w:eastAsia="Palatino Linotype" w:hAnsi="Palatino Linotype" w:cs="Palatino Linotype"/>
        </w:rPr>
        <w:t xml:space="preserve">c) Conducta de la Autoridad: Las Acciones u omisiones realizadas en el procedimiento. Así como si la autoridad actuó con la debida diligencia. </w:t>
      </w:r>
    </w:p>
    <w:p w14:paraId="30CF74BF" w14:textId="77777777" w:rsidR="007D3765" w:rsidRDefault="00500F96">
      <w:pPr>
        <w:shd w:val="clear" w:color="auto" w:fill="FFFFFF"/>
        <w:spacing w:line="360" w:lineRule="auto"/>
        <w:ind w:left="992"/>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21BE9789" w14:textId="77777777" w:rsidR="007D3765" w:rsidRDefault="00500F96">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27C81593"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F061B9"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del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Semanario Judicial de la Federación con el registro digital 205635.</w:t>
      </w:r>
    </w:p>
    <w:p w14:paraId="3DE1CE53" w14:textId="77777777" w:rsidR="007D3765" w:rsidRDefault="007D3765">
      <w:pPr>
        <w:shd w:val="clear" w:color="auto" w:fill="FFFFFF"/>
        <w:spacing w:line="360" w:lineRule="auto"/>
        <w:jc w:val="both"/>
        <w:rPr>
          <w:rFonts w:ascii="Palatino Linotype" w:eastAsia="Palatino Linotype" w:hAnsi="Palatino Linotype" w:cs="Palatino Linotype"/>
        </w:rPr>
      </w:pPr>
    </w:p>
    <w:p w14:paraId="1AB51102"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5A3ED0" w14:textId="77777777" w:rsidR="007D3765" w:rsidRDefault="007D3765">
      <w:pPr>
        <w:shd w:val="clear" w:color="auto" w:fill="FFFFFF"/>
        <w:spacing w:line="392" w:lineRule="auto"/>
        <w:jc w:val="both"/>
        <w:rPr>
          <w:rFonts w:ascii="Palatino Linotype" w:eastAsia="Palatino Linotype" w:hAnsi="Palatino Linotype" w:cs="Palatino Linotype"/>
        </w:rPr>
      </w:pPr>
    </w:p>
    <w:p w14:paraId="3428772C"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F70A303"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6F2A5D43" w14:textId="77777777" w:rsidR="007D3765" w:rsidRDefault="007D3765">
      <w:pPr>
        <w:shd w:val="clear" w:color="auto" w:fill="FFFFFF"/>
        <w:spacing w:line="392" w:lineRule="auto"/>
        <w:jc w:val="both"/>
        <w:rPr>
          <w:rFonts w:ascii="Palatino Linotype" w:eastAsia="Palatino Linotype" w:hAnsi="Palatino Linotype" w:cs="Palatino Linotype"/>
        </w:rPr>
      </w:pPr>
    </w:p>
    <w:p w14:paraId="4748D5DD"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5041694F" w14:textId="77777777" w:rsidR="007D3765" w:rsidRDefault="007D3765">
      <w:pPr>
        <w:shd w:val="clear" w:color="auto" w:fill="FFFFFF"/>
        <w:spacing w:line="392" w:lineRule="auto"/>
        <w:jc w:val="both"/>
        <w:rPr>
          <w:rFonts w:ascii="Palatino Linotype" w:eastAsia="Palatino Linotype" w:hAnsi="Palatino Linotype" w:cs="Palatino Linotype"/>
          <w:b/>
        </w:rPr>
      </w:pPr>
    </w:p>
    <w:p w14:paraId="7871D65C"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42397F62" w14:textId="77777777" w:rsidR="007D3765" w:rsidRDefault="007D3765">
      <w:pPr>
        <w:shd w:val="clear" w:color="auto" w:fill="FFFFFF"/>
        <w:spacing w:line="392" w:lineRule="auto"/>
        <w:jc w:val="both"/>
        <w:rPr>
          <w:rFonts w:ascii="Palatino Linotype" w:eastAsia="Palatino Linotype" w:hAnsi="Palatino Linotype" w:cs="Palatino Linotype"/>
          <w:b/>
        </w:rPr>
      </w:pPr>
    </w:p>
    <w:p w14:paraId="32D8A519" w14:textId="77777777" w:rsidR="007D3765" w:rsidRDefault="00500F96">
      <w:pPr>
        <w:shd w:val="clear" w:color="auto" w:fill="FFFFFF"/>
        <w:spacing w:line="392"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C428966" w14:textId="77777777" w:rsidR="0090501F" w:rsidRDefault="0090501F">
      <w:pPr>
        <w:spacing w:line="360" w:lineRule="auto"/>
        <w:jc w:val="both"/>
        <w:rPr>
          <w:rFonts w:ascii="Palatino Linotype" w:eastAsia="Palatino Linotype" w:hAnsi="Palatino Linotype" w:cs="Palatino Linotype"/>
          <w:b/>
        </w:rPr>
      </w:pPr>
    </w:p>
    <w:p w14:paraId="5F9DD54F" w14:textId="77777777" w:rsidR="007D3765" w:rsidRDefault="00500F9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d) Cierre de Instrucción</w:t>
      </w:r>
    </w:p>
    <w:p w14:paraId="450D2DF0"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una vez analizado el estado procesal que guarda el expediente, en fecha cuatro de agosto de dos mil veintidós, la </w:t>
      </w:r>
      <w:r>
        <w:rPr>
          <w:rFonts w:ascii="Palatino Linotype" w:eastAsia="Palatino Linotype" w:hAnsi="Palatino Linotype" w:cs="Palatino Linotype"/>
          <w:b/>
        </w:rPr>
        <w:t xml:space="preserve">Comisionada Sharon Cristina Morales Martínez </w:t>
      </w:r>
      <w:r>
        <w:rPr>
          <w:rFonts w:ascii="Palatino Linotype" w:eastAsia="Palatino Linotype" w:hAnsi="Palatino Linotype" w:cs="Palatino Linotype"/>
        </w:rPr>
        <w:t xml:space="preserve">acordó el cierre de instrucción, así como la remisión del mismo, a efecto de </w:t>
      </w:r>
      <w:r>
        <w:rPr>
          <w:rFonts w:ascii="Palatino Linotype" w:eastAsia="Palatino Linotype" w:hAnsi="Palatino Linotype" w:cs="Palatino Linotype"/>
        </w:rPr>
        <w:lastRenderedPageBreak/>
        <w:t xml:space="preserve">ser resuelto, de conformidad con lo establecido en el artículo 185 fracciones VI y VIII de la Ley de Transparencia y Acceso a la Información Pública del Estado de México y Municipios. </w:t>
      </w:r>
    </w:p>
    <w:p w14:paraId="25A81BCB" w14:textId="77777777" w:rsidR="007D3765" w:rsidRDefault="007D3765">
      <w:pPr>
        <w:spacing w:line="360" w:lineRule="auto"/>
        <w:jc w:val="both"/>
        <w:rPr>
          <w:rFonts w:ascii="Palatino Linotype" w:eastAsia="Palatino Linotype" w:hAnsi="Palatino Linotype" w:cs="Palatino Linotype"/>
        </w:rPr>
      </w:pPr>
    </w:p>
    <w:p w14:paraId="3D3EF8CA" w14:textId="77777777" w:rsidR="007D3765" w:rsidRDefault="007D3765">
      <w:pPr>
        <w:spacing w:line="360" w:lineRule="auto"/>
        <w:jc w:val="both"/>
        <w:rPr>
          <w:rFonts w:ascii="Palatino Linotype" w:eastAsia="Palatino Linotype" w:hAnsi="Palatino Linotype" w:cs="Palatino Linotype"/>
        </w:rPr>
      </w:pPr>
    </w:p>
    <w:p w14:paraId="33DB2025" w14:textId="77777777" w:rsidR="007D3765" w:rsidRDefault="00500F96">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14:paraId="786CFF35" w14:textId="77777777" w:rsidR="007D3765" w:rsidRDefault="007D3765">
      <w:pPr>
        <w:jc w:val="center"/>
        <w:rPr>
          <w:rFonts w:ascii="Palatino Linotype" w:eastAsia="Palatino Linotype" w:hAnsi="Palatino Linotype" w:cs="Palatino Linotype"/>
          <w:b/>
          <w:sz w:val="28"/>
          <w:szCs w:val="28"/>
        </w:rPr>
      </w:pPr>
    </w:p>
    <w:p w14:paraId="0887974F" w14:textId="77777777" w:rsidR="007D3765" w:rsidRDefault="00500F96">
      <w:pPr>
        <w:widowControl w:val="0"/>
        <w:tabs>
          <w:tab w:val="left" w:pos="170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14:paraId="54C45956" w14:textId="77777777" w:rsidR="007D3765" w:rsidRDefault="00500F96">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BA41575" w14:textId="77777777" w:rsidR="007D3765" w:rsidRDefault="007D3765">
      <w:pPr>
        <w:spacing w:line="360" w:lineRule="auto"/>
        <w:jc w:val="both"/>
        <w:rPr>
          <w:rFonts w:ascii="Palatino Linotype" w:eastAsia="Palatino Linotype" w:hAnsi="Palatino Linotype" w:cs="Palatino Linotype"/>
          <w:b/>
          <w:sz w:val="28"/>
          <w:szCs w:val="28"/>
        </w:rPr>
      </w:pPr>
    </w:p>
    <w:p w14:paraId="30D7DB7B" w14:textId="77777777" w:rsidR="007D3765" w:rsidRDefault="00500F9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p>
    <w:p w14:paraId="640BDD71" w14:textId="77777777" w:rsidR="007D3765" w:rsidRDefault="00500F96">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El</w:t>
      </w:r>
      <w:r>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Pr>
          <w:rFonts w:ascii="Palatino Linotype" w:eastAsia="Palatino Linotype" w:hAnsi="Palatino Linotype" w:cs="Palatino Linotype"/>
          <w:b/>
        </w:rPr>
        <w:t>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quien es la misma persona que </w:t>
      </w:r>
      <w:r>
        <w:rPr>
          <w:rFonts w:ascii="Palatino Linotype" w:eastAsia="Palatino Linotype" w:hAnsi="Palatino Linotype" w:cs="Palatino Linotype"/>
          <w:color w:val="000000"/>
        </w:rPr>
        <w:lastRenderedPageBreak/>
        <w:t xml:space="preserve">formuló la solicitud de acceso a la información pública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pues para ello, es necesario que el particular ingrese al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mediante la utilización de su clave de usuario y contraseña.</w:t>
      </w:r>
    </w:p>
    <w:p w14:paraId="363B1723" w14:textId="77777777" w:rsidR="007D3765" w:rsidRDefault="007D3765">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13F36073" w14:textId="77777777" w:rsidR="007D3765" w:rsidRDefault="00500F96">
      <w:pPr>
        <w:tabs>
          <w:tab w:val="center" w:pos="4252"/>
          <w:tab w:val="right" w:pos="8504"/>
        </w:tabs>
        <w:spacing w:line="360" w:lineRule="auto"/>
        <w:ind w:left="-57"/>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Oportunidad</w:t>
      </w:r>
      <w:r>
        <w:rPr>
          <w:rFonts w:ascii="Palatino Linotype" w:eastAsia="Palatino Linotype" w:hAnsi="Palatino Linotype" w:cs="Palatino Linotype"/>
          <w:color w:val="000000"/>
        </w:rPr>
        <w:t xml:space="preserve">. </w:t>
      </w:r>
    </w:p>
    <w:p w14:paraId="7AC7E13C" w14:textId="77777777" w:rsidR="007D3765" w:rsidRDefault="00500F96">
      <w:pPr>
        <w:widowControl w:val="0"/>
        <w:tabs>
          <w:tab w:val="left" w:pos="1701"/>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El Recurso de Revisión fue interpuesto dentro del plazo de quince días hábiles, contados a partir del día siguiente al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6118A33F" w14:textId="77777777" w:rsidR="007D3765" w:rsidRDefault="007D3765">
      <w:pPr>
        <w:ind w:left="720" w:right="709"/>
        <w:jc w:val="both"/>
        <w:rPr>
          <w:rFonts w:ascii="Palatino Linotype" w:eastAsia="Palatino Linotype" w:hAnsi="Palatino Linotype" w:cs="Palatino Linotype"/>
          <w:i/>
          <w:sz w:val="22"/>
          <w:szCs w:val="22"/>
        </w:rPr>
      </w:pPr>
    </w:p>
    <w:p w14:paraId="093B89D2"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C230046" w14:textId="77777777" w:rsidR="007D3765" w:rsidRDefault="007D3765">
      <w:pPr>
        <w:ind w:left="851" w:right="899"/>
        <w:jc w:val="both"/>
        <w:rPr>
          <w:rFonts w:ascii="Palatino Linotype" w:eastAsia="Palatino Linotype" w:hAnsi="Palatino Linotype" w:cs="Palatino Linotype"/>
          <w:i/>
          <w:sz w:val="22"/>
          <w:szCs w:val="22"/>
        </w:rPr>
      </w:pPr>
    </w:p>
    <w:p w14:paraId="75CE661A"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A2FEA23" w14:textId="77777777" w:rsidR="007D3765" w:rsidRDefault="007D3765">
      <w:pPr>
        <w:ind w:left="851" w:right="899"/>
        <w:jc w:val="both"/>
        <w:rPr>
          <w:rFonts w:ascii="Palatino Linotype" w:eastAsia="Palatino Linotype" w:hAnsi="Palatino Linotype" w:cs="Palatino Linotype"/>
          <w:i/>
          <w:sz w:val="22"/>
          <w:szCs w:val="22"/>
        </w:rPr>
      </w:pPr>
    </w:p>
    <w:p w14:paraId="6B35E966"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E47E019" w14:textId="77777777" w:rsidR="007D3765" w:rsidRDefault="007D3765">
      <w:pPr>
        <w:ind w:left="720" w:right="709"/>
        <w:jc w:val="both"/>
        <w:rPr>
          <w:rFonts w:ascii="Palatino Linotype" w:eastAsia="Palatino Linotype" w:hAnsi="Palatino Linotype" w:cs="Palatino Linotype"/>
          <w:i/>
          <w:sz w:val="22"/>
          <w:szCs w:val="22"/>
        </w:rPr>
      </w:pPr>
    </w:p>
    <w:p w14:paraId="766CE43D" w14:textId="77777777" w:rsidR="007D3765" w:rsidRDefault="00500F96">
      <w:pPr>
        <w:spacing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 respuesta a la solicitud de acceso a la información pública el día</w:t>
      </w:r>
      <w:r>
        <w:rPr>
          <w:rFonts w:ascii="Palatino Linotype" w:eastAsia="Palatino Linotype" w:hAnsi="Palatino Linotype" w:cs="Palatino Linotype"/>
          <w:b/>
        </w:rPr>
        <w:t xml:space="preserve"> veintisiete de abril de dos mil veintidós</w:t>
      </w:r>
      <w:r>
        <w:rPr>
          <w:rFonts w:ascii="Palatino Linotype" w:eastAsia="Palatino Linotype" w:hAnsi="Palatino Linotype" w:cs="Palatino Linotype"/>
        </w:rPr>
        <w:t xml:space="preserve">, así el plazo de quince días hábiles que el artículo 178 de la Ley de la materia otorga al </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para presentar el respectivo Recurso de Revisión, transcurrió </w:t>
      </w:r>
      <w:r>
        <w:rPr>
          <w:rFonts w:ascii="Palatino Linotype" w:eastAsia="Palatino Linotype" w:hAnsi="Palatino Linotype" w:cs="Palatino Linotype"/>
        </w:rPr>
        <w:lastRenderedPageBreak/>
        <w:t>del</w:t>
      </w:r>
      <w:r>
        <w:rPr>
          <w:rFonts w:ascii="Palatino Linotype" w:eastAsia="Palatino Linotype" w:hAnsi="Palatino Linotype" w:cs="Palatino Linotype"/>
          <w:b/>
        </w:rPr>
        <w:t xml:space="preserve"> veintiocho de abril al diecinueve de mayo de dos mil veintidós, </w:t>
      </w:r>
      <w:r>
        <w:rPr>
          <w:rFonts w:ascii="Palatino Linotype" w:eastAsia="Palatino Linotype" w:hAnsi="Palatino Linotype" w:cs="Palatino Linotype"/>
        </w:rPr>
        <w:t>sin contemplar en el cómputo el día, treinta de abril así como uno, siete, ocho, catorce y quince de mayo, por corresponder a sábados y domingos, considerados como días inhábiles, en términos del artículo 3, fracción X de la Ley de Transparencia y Acceso a la Información Pública del Estado de México y Municipios. Exceptuando además de dicho plazo el día cinco de mayo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w:t>
      </w:r>
    </w:p>
    <w:p w14:paraId="4A7CEB1A" w14:textId="77777777" w:rsidR="007D3765" w:rsidRDefault="007D3765">
      <w:pPr>
        <w:spacing w:line="360" w:lineRule="auto"/>
        <w:jc w:val="both"/>
        <w:rPr>
          <w:rFonts w:ascii="Palatino Linotype" w:eastAsia="Palatino Linotype" w:hAnsi="Palatino Linotype" w:cs="Palatino Linotype"/>
        </w:rPr>
      </w:pPr>
      <w:bookmarkStart w:id="5" w:name="_heading=h.orkc3o7h9xbv" w:colFirst="0" w:colLast="0"/>
      <w:bookmarkEnd w:id="5"/>
    </w:p>
    <w:p w14:paraId="35541080" w14:textId="77777777" w:rsidR="007D3765" w:rsidRDefault="00500F96">
      <w:pPr>
        <w:spacing w:line="360" w:lineRule="auto"/>
        <w:ind w:left="-5" w:hanging="10"/>
        <w:jc w:val="both"/>
        <w:rPr>
          <w:rFonts w:ascii="Palatino Linotype" w:eastAsia="Palatino Linotype" w:hAnsi="Palatino Linotype" w:cs="Palatino Linotype"/>
        </w:rPr>
      </w:pPr>
      <w:r>
        <w:rPr>
          <w:rFonts w:ascii="Palatino Linotype" w:eastAsia="Palatino Linotype" w:hAnsi="Palatino Linotype" w:cs="Palatino Linotype"/>
        </w:rPr>
        <w:t xml:space="preserve">En ese tenor, se advierte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el medio de impugnación, el veintiocho de abril de dos mil veintidós, luego entonces debe considerarse en tiempo.</w:t>
      </w:r>
    </w:p>
    <w:p w14:paraId="7509BFFC" w14:textId="77777777" w:rsidR="007D3765" w:rsidRDefault="007D3765">
      <w:pPr>
        <w:spacing w:line="360" w:lineRule="auto"/>
        <w:ind w:right="49"/>
        <w:jc w:val="both"/>
        <w:rPr>
          <w:rFonts w:ascii="Palatino Linotype" w:eastAsia="Palatino Linotype" w:hAnsi="Palatino Linotype" w:cs="Palatino Linotype"/>
          <w:b/>
          <w:sz w:val="28"/>
          <w:szCs w:val="28"/>
        </w:rPr>
      </w:pPr>
    </w:p>
    <w:p w14:paraId="12171D50" w14:textId="77777777" w:rsidR="007D3765" w:rsidRDefault="00500F96">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b/>
        </w:rPr>
        <w:t xml:space="preserve">. Procedibilidad. </w:t>
      </w:r>
    </w:p>
    <w:p w14:paraId="1BCC35CB" w14:textId="77777777" w:rsidR="007D3765" w:rsidRDefault="00500F9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04387B46" w14:textId="77777777" w:rsidR="007D3765" w:rsidRDefault="007D3765">
      <w:pPr>
        <w:ind w:right="49"/>
        <w:jc w:val="both"/>
        <w:rPr>
          <w:rFonts w:ascii="Palatino Linotype" w:eastAsia="Palatino Linotype" w:hAnsi="Palatino Linotype" w:cs="Palatino Linotype"/>
        </w:rPr>
      </w:pPr>
    </w:p>
    <w:p w14:paraId="05DDEDB2" w14:textId="77777777" w:rsidR="007D3765" w:rsidRDefault="00500F96">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180. </w:t>
      </w:r>
      <w:r>
        <w:rPr>
          <w:rFonts w:ascii="Palatino Linotype" w:eastAsia="Palatino Linotype" w:hAnsi="Palatino Linotype" w:cs="Palatino Linotype"/>
          <w:i/>
          <w:sz w:val="22"/>
          <w:szCs w:val="22"/>
        </w:rPr>
        <w:t>El Recurso de Revisión contendrá:</w:t>
      </w:r>
      <w:r>
        <w:rPr>
          <w:rFonts w:ascii="Palatino Linotype" w:eastAsia="Palatino Linotype" w:hAnsi="Palatino Linotype" w:cs="Palatino Linotype"/>
          <w:b/>
          <w:i/>
          <w:sz w:val="22"/>
          <w:szCs w:val="22"/>
        </w:rPr>
        <w:t xml:space="preserve"> </w:t>
      </w:r>
    </w:p>
    <w:p w14:paraId="2DF48129" w14:textId="77777777" w:rsidR="007D3765" w:rsidRDefault="00500F96">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80BBDEA" w14:textId="77777777" w:rsidR="007D3765" w:rsidRDefault="00500F96">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El nombre del solicitante que recurre </w:t>
      </w:r>
      <w:r>
        <w:rPr>
          <w:rFonts w:ascii="Palatino Linotype" w:eastAsia="Palatino Linotype" w:hAnsi="Palatino Linotype" w:cs="Palatino Linotype"/>
          <w:i/>
          <w:sz w:val="22"/>
          <w:szCs w:val="22"/>
        </w:rPr>
        <w:t>o de su representante y, en su caso, …</w:t>
      </w:r>
    </w:p>
    <w:p w14:paraId="15818071" w14:textId="77777777" w:rsidR="007D3765" w:rsidRDefault="00500F96">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Pr>
          <w:rFonts w:ascii="Palatino Linotype" w:eastAsia="Palatino Linotype" w:hAnsi="Palatino Linotype" w:cs="Palatino Linotype"/>
          <w:i/>
          <w:sz w:val="22"/>
          <w:szCs w:val="22"/>
        </w:rPr>
        <w:t>, IV, VII y VIII.</w:t>
      </w:r>
      <w:r>
        <w:rPr>
          <w:rFonts w:ascii="Palatino Linotype" w:eastAsia="Palatino Linotype" w:hAnsi="Palatino Linotype" w:cs="Palatino Linotype"/>
          <w:b/>
          <w:i/>
          <w:sz w:val="22"/>
          <w:szCs w:val="22"/>
        </w:rPr>
        <w:t>”</w:t>
      </w:r>
    </w:p>
    <w:p w14:paraId="24293F00" w14:textId="77777777" w:rsidR="007D3765" w:rsidRDefault="00500F96">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5D62B592" w14:textId="77777777" w:rsidR="007D3765" w:rsidRDefault="007D3765">
      <w:pPr>
        <w:tabs>
          <w:tab w:val="left" w:pos="851"/>
        </w:tabs>
        <w:ind w:right="901"/>
        <w:jc w:val="both"/>
        <w:rPr>
          <w:rFonts w:ascii="Palatino Linotype" w:eastAsia="Palatino Linotype" w:hAnsi="Palatino Linotype" w:cs="Palatino Linotype"/>
          <w:i/>
          <w:sz w:val="22"/>
          <w:szCs w:val="22"/>
        </w:rPr>
      </w:pPr>
    </w:p>
    <w:p w14:paraId="2EDC8253" w14:textId="77777777" w:rsidR="007D3765" w:rsidRDefault="00500F9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por lo que, en el presente caso, al haber sido presentado el Recurso de Revisión vía </w:t>
      </w:r>
      <w:r>
        <w:rPr>
          <w:rFonts w:ascii="Palatino Linotype" w:eastAsia="Palatino Linotype" w:hAnsi="Palatino Linotype" w:cs="Palatino Linotype"/>
          <w:b/>
        </w:rPr>
        <w:t>SAIMEX</w:t>
      </w:r>
      <w:r>
        <w:rPr>
          <w:rFonts w:ascii="Palatino Linotype" w:eastAsia="Palatino Linotype" w:hAnsi="Palatino Linotype" w:cs="Palatino Linotype"/>
        </w:rPr>
        <w:t>, dicho requisito resulta innecesario.</w:t>
      </w:r>
    </w:p>
    <w:p w14:paraId="5C806D49" w14:textId="77777777" w:rsidR="007D3765" w:rsidRDefault="007D3765">
      <w:pPr>
        <w:spacing w:line="360" w:lineRule="auto"/>
        <w:jc w:val="both"/>
        <w:rPr>
          <w:rFonts w:ascii="Palatino Linotype" w:eastAsia="Palatino Linotype" w:hAnsi="Palatino Linotype" w:cs="Palatino Linotype"/>
        </w:rPr>
      </w:pPr>
    </w:p>
    <w:p w14:paraId="45ED8022"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Pr>
          <w:rFonts w:ascii="Palatino Linotype" w:eastAsia="Palatino Linotype" w:hAnsi="Palatino Linotype" w:cs="Palatino Linotype"/>
          <w:b/>
          <w:u w:val="single"/>
        </w:rPr>
        <w:t xml:space="preserve">el nombre no es un requisito </w:t>
      </w:r>
      <w:r>
        <w:rPr>
          <w:rFonts w:ascii="Palatino Linotype" w:eastAsia="Palatino Linotype" w:hAnsi="Palatino Linotype" w:cs="Palatino Linotype"/>
          <w:b/>
          <w:i/>
          <w:u w:val="single"/>
        </w:rPr>
        <w:t>sine qua non</w:t>
      </w:r>
      <w:r>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359606F" w14:textId="77777777" w:rsidR="007D3765" w:rsidRDefault="007D3765">
      <w:pPr>
        <w:spacing w:line="360" w:lineRule="auto"/>
        <w:jc w:val="both"/>
        <w:rPr>
          <w:rFonts w:ascii="Palatino Linotype" w:eastAsia="Palatino Linotype" w:hAnsi="Palatino Linotype" w:cs="Palatino Linotype"/>
        </w:rPr>
      </w:pPr>
    </w:p>
    <w:p w14:paraId="56D5521F" w14:textId="77777777" w:rsidR="007D3765" w:rsidRDefault="00500F9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w:t>
      </w:r>
      <w:r>
        <w:rPr>
          <w:rFonts w:ascii="Palatino Linotype" w:eastAsia="Palatino Linotype" w:hAnsi="Palatino Linotype" w:cs="Palatino Linotype"/>
        </w:rPr>
        <w:lastRenderedPageBreak/>
        <w:t>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0BC5A42" w14:textId="77777777" w:rsidR="007D3765" w:rsidRDefault="007D3765">
      <w:pPr>
        <w:tabs>
          <w:tab w:val="left" w:pos="851"/>
        </w:tabs>
        <w:spacing w:line="360" w:lineRule="auto"/>
        <w:ind w:left="851" w:right="901"/>
        <w:jc w:val="both"/>
        <w:rPr>
          <w:rFonts w:ascii="Palatino Linotype" w:eastAsia="Palatino Linotype" w:hAnsi="Palatino Linotype" w:cs="Palatino Linotype"/>
          <w:sz w:val="22"/>
          <w:szCs w:val="22"/>
        </w:rPr>
      </w:pPr>
    </w:p>
    <w:p w14:paraId="64DF7E80"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es la misma persona que realizó la solicitud de acceso a la información pública que ahora se impugna.</w:t>
      </w:r>
    </w:p>
    <w:p w14:paraId="6D04DD3F" w14:textId="77777777" w:rsidR="007D3765" w:rsidRDefault="007D3765">
      <w:pPr>
        <w:tabs>
          <w:tab w:val="left" w:pos="851"/>
        </w:tabs>
        <w:spacing w:line="360" w:lineRule="auto"/>
        <w:ind w:left="851" w:right="901"/>
        <w:jc w:val="both"/>
        <w:rPr>
          <w:rFonts w:ascii="Palatino Linotype" w:eastAsia="Palatino Linotype" w:hAnsi="Palatino Linotype" w:cs="Palatino Linotype"/>
          <w:sz w:val="22"/>
          <w:szCs w:val="22"/>
        </w:rPr>
      </w:pPr>
    </w:p>
    <w:p w14:paraId="6EA8B78A"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w:t>
      </w:r>
      <w:r>
        <w:rPr>
          <w:rFonts w:ascii="Palatino Linotype" w:eastAsia="Palatino Linotype" w:hAnsi="Palatino Linotype" w:cs="Palatino Linotype"/>
        </w:rPr>
        <w:lastRenderedPageBreak/>
        <w:t>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59961A80" w14:textId="77777777" w:rsidR="007D3765" w:rsidRDefault="007D3765">
      <w:pPr>
        <w:spacing w:line="360" w:lineRule="auto"/>
        <w:jc w:val="both"/>
        <w:rPr>
          <w:rFonts w:ascii="Palatino Linotype" w:eastAsia="Palatino Linotype" w:hAnsi="Palatino Linotype" w:cs="Palatino Linotype"/>
        </w:rPr>
      </w:pPr>
    </w:p>
    <w:p w14:paraId="6E837398" w14:textId="77777777" w:rsidR="007D3765" w:rsidRDefault="00500F9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Estudio y resolución del asunto. </w:t>
      </w:r>
    </w:p>
    <w:p w14:paraId="43F678EB" w14:textId="77777777" w:rsidR="007D3765" w:rsidRDefault="00500F96">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es importante precisar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solicitó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14:paraId="61899C05" w14:textId="77777777" w:rsidR="007D3765" w:rsidRDefault="00500F96">
      <w:pPr>
        <w:numPr>
          <w:ilvl w:val="0"/>
          <w:numId w:val="2"/>
        </w:num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presupuesto de egresos, oficialmente asignado para cada área del ayuntamiento, del ejercicio correspondiente al año 2022, siendo las siguientes: 1. Presidencia 2. Comunicación Social 3. Derechos Humanos 4. Sindicatura 5. Regiduría I 6. Regiduría ll 7. Regiduría III 8. Regiduría IV 9. Regiduría V 10. Regiduría VI 11. Regiduría VII 12. Secretaría del Ayuntamiento 13. Administración 14. Informática 15. Desarrollo Urbano y Obras Públicas 16. Desarrollo Urbano y Servicios Públicos 17. Ecología 18. Desarrollo Social 19. Gobierno Municipal 20. Contraloría 21. Tesorería 22. Consejería Jurídica 23. Dirección de Desarrollo Económico 24. Educación Cultural y Bienestar Social 25. Seguridad Pública y Tránsito 26. Unidad de información, planeación, programación y evaluación.</w:t>
      </w:r>
    </w:p>
    <w:p w14:paraId="7733650C" w14:textId="77777777" w:rsidR="007D3765" w:rsidRDefault="00500F96">
      <w:pPr>
        <w:numPr>
          <w:ilvl w:val="0"/>
          <w:numId w:val="2"/>
        </w:num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desglose del presupuesto autorizado por proyecto asignado a la Quinta Regiduría para el ejercicio fiscal 2022.</w:t>
      </w:r>
    </w:p>
    <w:p w14:paraId="09B87985" w14:textId="77777777" w:rsidR="007D3765" w:rsidRDefault="007D3765">
      <w:pPr>
        <w:tabs>
          <w:tab w:val="left" w:pos="709"/>
        </w:tabs>
        <w:spacing w:line="360" w:lineRule="auto"/>
        <w:jc w:val="both"/>
        <w:rPr>
          <w:rFonts w:ascii="Palatino Linotype" w:eastAsia="Palatino Linotype" w:hAnsi="Palatino Linotype" w:cs="Palatino Linotype"/>
        </w:rPr>
      </w:pPr>
    </w:p>
    <w:p w14:paraId="051A960C"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 lo cual en respuesta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entregó el documento denominado “Calendarizado de Egresos 2022 Sol. No. 00039.pdf” el cual contiene el presupuesto de Egresos Calendarizado de dos mil veintidós del ayuntamiento de Villa Victoria al veintisiete de abril de dos mil veintidós.</w:t>
      </w:r>
    </w:p>
    <w:p w14:paraId="67FAFCB6" w14:textId="77777777" w:rsidR="007D3765" w:rsidRDefault="007D3765">
      <w:pPr>
        <w:spacing w:line="360" w:lineRule="auto"/>
        <w:jc w:val="both"/>
        <w:rPr>
          <w:rFonts w:ascii="Palatino Linotype" w:eastAsia="Palatino Linotype" w:hAnsi="Palatino Linotype" w:cs="Palatino Linotype"/>
        </w:rPr>
      </w:pPr>
    </w:p>
    <w:p w14:paraId="22BDAE5B"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con la respuesta el particular </w:t>
      </w:r>
      <w:proofErr w:type="spellStart"/>
      <w:r>
        <w:rPr>
          <w:rFonts w:ascii="Palatino Linotype" w:eastAsia="Palatino Linotype" w:hAnsi="Palatino Linotype" w:cs="Palatino Linotype"/>
        </w:rPr>
        <w:t>interpusó</w:t>
      </w:r>
      <w:proofErr w:type="spellEnd"/>
      <w:r>
        <w:rPr>
          <w:rFonts w:ascii="Palatino Linotype" w:eastAsia="Palatino Linotype" w:hAnsi="Palatino Linotype" w:cs="Palatino Linotype"/>
        </w:rPr>
        <w:t xml:space="preserve"> el presente Recurso de Revisión, señalando  en donde de forma medular se inconforma de que no le fue entregada la </w:t>
      </w:r>
      <w:proofErr w:type="spellStart"/>
      <w:r>
        <w:rPr>
          <w:rFonts w:ascii="Palatino Linotype" w:eastAsia="Palatino Linotype" w:hAnsi="Palatino Linotype" w:cs="Palatino Linotype"/>
        </w:rPr>
        <w:t>informaicón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solcitada</w:t>
      </w:r>
      <w:proofErr w:type="spellEnd"/>
      <w:r>
        <w:rPr>
          <w:rFonts w:ascii="Palatino Linotype" w:eastAsia="Palatino Linotype" w:hAnsi="Palatino Linotype" w:cs="Palatino Linotype"/>
        </w:rPr>
        <w:t xml:space="preserve"> de forma completa ni en un formato entendible ya que solo refieren </w:t>
      </w:r>
      <w:proofErr w:type="spellStart"/>
      <w:r>
        <w:rPr>
          <w:rFonts w:ascii="Palatino Linotype" w:eastAsia="Palatino Linotype" w:hAnsi="Palatino Linotype" w:cs="Palatino Linotype"/>
        </w:rPr>
        <w:t>numeros</w:t>
      </w:r>
      <w:proofErr w:type="spellEnd"/>
      <w:r>
        <w:rPr>
          <w:rFonts w:ascii="Palatino Linotype" w:eastAsia="Palatino Linotype" w:hAnsi="Palatino Linotype" w:cs="Palatino Linotype"/>
        </w:rPr>
        <w:t xml:space="preserve"> sin </w:t>
      </w:r>
      <w:proofErr w:type="spellStart"/>
      <w:r>
        <w:rPr>
          <w:rFonts w:ascii="Palatino Linotype" w:eastAsia="Palatino Linotype" w:hAnsi="Palatino Linotype" w:cs="Palatino Linotype"/>
        </w:rPr>
        <w:t>específicar</w:t>
      </w:r>
      <w:proofErr w:type="spellEnd"/>
      <w:r>
        <w:rPr>
          <w:rFonts w:ascii="Palatino Linotype" w:eastAsia="Palatino Linotype" w:hAnsi="Palatino Linotype" w:cs="Palatino Linotype"/>
        </w:rPr>
        <w:t xml:space="preserve"> las partidas a las que se refieren. Lo que en consecuencia actualiza las causales de procedencia del Recurso de Revisión establecida en el artículo 179 fracciones V y IX  que establece: </w:t>
      </w:r>
    </w:p>
    <w:p w14:paraId="61D6A389" w14:textId="77777777" w:rsidR="007D3765" w:rsidRDefault="007D3765">
      <w:pPr>
        <w:spacing w:line="360" w:lineRule="auto"/>
        <w:jc w:val="both"/>
        <w:rPr>
          <w:rFonts w:ascii="Palatino Linotype" w:eastAsia="Palatino Linotype" w:hAnsi="Palatino Linotype" w:cs="Palatino Linotype"/>
        </w:rPr>
      </w:pPr>
    </w:p>
    <w:p w14:paraId="024CADBE" w14:textId="77777777" w:rsidR="007D3765" w:rsidRDefault="00500F96">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52B205DF" w14:textId="77777777" w:rsidR="007D3765" w:rsidRDefault="00500F96">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14:paraId="12983088" w14:textId="77777777" w:rsidR="007D3765" w:rsidRDefault="00500F96">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La entrega o puesta a disposición de información en un formato incomprensible y/o no accesible para el solicitante;”</w:t>
      </w:r>
    </w:p>
    <w:p w14:paraId="738A86D4" w14:textId="77777777" w:rsidR="007D3765" w:rsidRDefault="00500F96">
      <w:pPr>
        <w:ind w:left="850" w:right="899"/>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(énfasis añadido)</w:t>
      </w:r>
    </w:p>
    <w:p w14:paraId="2463606A" w14:textId="77777777" w:rsidR="007D3765" w:rsidRDefault="007D3765">
      <w:pPr>
        <w:tabs>
          <w:tab w:val="left" w:pos="709"/>
        </w:tabs>
        <w:spacing w:line="360" w:lineRule="auto"/>
        <w:ind w:right="49"/>
        <w:jc w:val="both"/>
        <w:rPr>
          <w:rFonts w:ascii="Palatino Linotype" w:eastAsia="Palatino Linotype" w:hAnsi="Palatino Linotype" w:cs="Palatino Linotype"/>
        </w:rPr>
      </w:pPr>
    </w:p>
    <w:p w14:paraId="13767D7B" w14:textId="77777777" w:rsidR="007D3765" w:rsidRDefault="00500F96">
      <w:pPr>
        <w:tabs>
          <w:tab w:val="left" w:pos="709"/>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resulta procedente analizar las constancias que integran el expediente electrónico del SAIMEX para determinar si con la información aportada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puede tener por atendido el derecho de Acceso a la Información pública del </w:t>
      </w:r>
      <w:proofErr w:type="gramStart"/>
      <w:r>
        <w:rPr>
          <w:rFonts w:ascii="Palatino Linotype" w:eastAsia="Palatino Linotype" w:hAnsi="Palatino Linotype" w:cs="Palatino Linotype"/>
        </w:rPr>
        <w:t>particular .</w:t>
      </w:r>
      <w:proofErr w:type="gramEnd"/>
      <w:r>
        <w:rPr>
          <w:rFonts w:ascii="Palatino Linotype" w:eastAsia="Palatino Linotype" w:hAnsi="Palatino Linotype" w:cs="Palatino Linotype"/>
        </w:rPr>
        <w:t xml:space="preserve"> </w:t>
      </w:r>
    </w:p>
    <w:p w14:paraId="43B88949" w14:textId="77777777" w:rsidR="007D3765" w:rsidRDefault="007D3765">
      <w:pPr>
        <w:tabs>
          <w:tab w:val="left" w:pos="709"/>
        </w:tabs>
        <w:spacing w:line="360" w:lineRule="auto"/>
        <w:ind w:right="49"/>
        <w:jc w:val="both"/>
        <w:rPr>
          <w:rFonts w:ascii="Palatino Linotype" w:eastAsia="Palatino Linotype" w:hAnsi="Palatino Linotype" w:cs="Palatino Linotype"/>
        </w:rPr>
      </w:pPr>
    </w:p>
    <w:p w14:paraId="197798CD" w14:textId="77777777" w:rsidR="007D3765" w:rsidRDefault="00500F96">
      <w:pPr>
        <w:tabs>
          <w:tab w:val="left" w:pos="709"/>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tal sentido,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C2DBDCD" w14:textId="77777777" w:rsidR="007D3765" w:rsidRDefault="00500F96">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1D72655" w14:textId="77777777" w:rsidR="007D3765" w:rsidRDefault="00500F9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5E661F2" w14:textId="77777777" w:rsidR="007D3765" w:rsidRDefault="00500F9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02485D4E" w14:textId="77777777" w:rsidR="007D3765" w:rsidRDefault="007D3765">
      <w:pPr>
        <w:spacing w:line="360" w:lineRule="auto"/>
        <w:jc w:val="both"/>
        <w:rPr>
          <w:rFonts w:ascii="Palatino Linotype" w:eastAsia="Palatino Linotype" w:hAnsi="Palatino Linotype" w:cs="Palatino Linotype"/>
        </w:rPr>
      </w:pPr>
    </w:p>
    <w:p w14:paraId="2D302B64"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w:t>
      </w:r>
      <w:r>
        <w:rPr>
          <w:rFonts w:ascii="Palatino Linotype" w:eastAsia="Palatino Linotype" w:hAnsi="Palatino Linotype" w:cs="Palatino Linotype"/>
        </w:rPr>
        <w:lastRenderedPageBreak/>
        <w:t>solicitante; como así lo establece el artículo 12 de la Ley de Transparencia y Acceso a la Información Pública del Estado de México y Municipios, que a la letra dice:</w:t>
      </w:r>
    </w:p>
    <w:p w14:paraId="2BFD5BB2" w14:textId="77777777" w:rsidR="007D3765" w:rsidRDefault="00500F9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1B38745" w14:textId="77777777" w:rsidR="007D3765" w:rsidRDefault="007D3765">
      <w:pPr>
        <w:ind w:left="567" w:right="758"/>
        <w:jc w:val="both"/>
        <w:rPr>
          <w:rFonts w:ascii="Palatino Linotype" w:eastAsia="Palatino Linotype" w:hAnsi="Palatino Linotype" w:cs="Palatino Linotype"/>
          <w:i/>
          <w:sz w:val="22"/>
          <w:szCs w:val="22"/>
        </w:rPr>
      </w:pPr>
    </w:p>
    <w:p w14:paraId="4F59201B" w14:textId="77777777" w:rsidR="007D3765" w:rsidRDefault="00500F9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93194EF" w14:textId="77777777" w:rsidR="007D3765" w:rsidRDefault="007D3765">
      <w:pPr>
        <w:spacing w:line="360" w:lineRule="auto"/>
        <w:ind w:right="-93"/>
        <w:jc w:val="both"/>
        <w:rPr>
          <w:rFonts w:ascii="Palatino Linotype" w:eastAsia="Palatino Linotype" w:hAnsi="Palatino Linotype" w:cs="Palatino Linotype"/>
        </w:rPr>
      </w:pPr>
    </w:p>
    <w:p w14:paraId="6E2B6897" w14:textId="77777777" w:rsidR="007D3765" w:rsidRDefault="00500F96">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2586BE8" w14:textId="77777777" w:rsidR="007D3765" w:rsidRDefault="007D3765">
      <w:pPr>
        <w:spacing w:line="360" w:lineRule="auto"/>
        <w:ind w:right="-93"/>
        <w:jc w:val="both"/>
        <w:rPr>
          <w:rFonts w:ascii="Palatino Linotype" w:eastAsia="Palatino Linotype" w:hAnsi="Palatino Linotype" w:cs="Palatino Linotype"/>
        </w:rPr>
      </w:pPr>
    </w:p>
    <w:p w14:paraId="65307148" w14:textId="77777777" w:rsidR="007D3765" w:rsidRDefault="00500F9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rPr>
        <w:t xml:space="preserve"> </w:t>
      </w:r>
    </w:p>
    <w:p w14:paraId="0E76B45F" w14:textId="77777777" w:rsidR="007D3765" w:rsidRDefault="007D3765">
      <w:pPr>
        <w:ind w:left="851" w:right="850"/>
        <w:jc w:val="both"/>
        <w:rPr>
          <w:rFonts w:ascii="Palatino Linotype" w:eastAsia="Palatino Linotype" w:hAnsi="Palatino Linotype" w:cs="Palatino Linotype"/>
        </w:rPr>
      </w:pPr>
    </w:p>
    <w:p w14:paraId="7AF2527C" w14:textId="77777777" w:rsidR="007D3765" w:rsidRDefault="00500F9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Pr>
          <w:rFonts w:ascii="Palatino Linotype" w:eastAsia="Palatino Linotype" w:hAnsi="Palatino Linotype" w:cs="Palatino Linotype"/>
          <w:i/>
          <w:sz w:val="22"/>
          <w:szCs w:val="22"/>
        </w:rPr>
        <w:lastRenderedPageBreak/>
        <w:t>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D53652B" w14:textId="77777777" w:rsidR="007D3765" w:rsidRDefault="007D3765">
      <w:pPr>
        <w:spacing w:line="360" w:lineRule="auto"/>
        <w:ind w:right="-93"/>
        <w:jc w:val="both"/>
        <w:rPr>
          <w:rFonts w:ascii="Palatino Linotype" w:eastAsia="Palatino Linotype" w:hAnsi="Palatino Linotype" w:cs="Palatino Linotype"/>
        </w:rPr>
      </w:pPr>
    </w:p>
    <w:p w14:paraId="435D01DB"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21D033A" w14:textId="77777777" w:rsidR="007D3765" w:rsidRDefault="007D3765">
      <w:pPr>
        <w:spacing w:line="360" w:lineRule="auto"/>
        <w:jc w:val="both"/>
        <w:rPr>
          <w:rFonts w:ascii="Palatino Linotype" w:eastAsia="Palatino Linotype" w:hAnsi="Palatino Linotype" w:cs="Palatino Linotype"/>
        </w:rPr>
      </w:pPr>
    </w:p>
    <w:p w14:paraId="0E11ABA7" w14:textId="77777777" w:rsidR="007D3765" w:rsidRDefault="00500F9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6F2E881" w14:textId="77777777" w:rsidR="007D3765" w:rsidRDefault="007D3765">
      <w:pPr>
        <w:spacing w:line="360" w:lineRule="auto"/>
        <w:ind w:right="49"/>
        <w:jc w:val="both"/>
        <w:rPr>
          <w:rFonts w:ascii="Palatino Linotype" w:eastAsia="Palatino Linotype" w:hAnsi="Palatino Linotype" w:cs="Palatino Linotype"/>
        </w:rPr>
      </w:pPr>
    </w:p>
    <w:p w14:paraId="3FCE779A"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Pr>
          <w:rFonts w:ascii="Palatino Linotype" w:eastAsia="Palatino Linotype" w:hAnsi="Palatino Linotype" w:cs="Palatino Linotype"/>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ECF2782" w14:textId="77777777" w:rsidR="007D3765" w:rsidRDefault="007D3765">
      <w:pPr>
        <w:ind w:left="851" w:right="899"/>
        <w:jc w:val="both"/>
        <w:rPr>
          <w:rFonts w:ascii="Palatino Linotype" w:eastAsia="Palatino Linotype" w:hAnsi="Palatino Linotype" w:cs="Palatino Linotype"/>
          <w:i/>
          <w:sz w:val="22"/>
          <w:szCs w:val="22"/>
        </w:rPr>
      </w:pPr>
    </w:p>
    <w:p w14:paraId="1C2B9AE4"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4FE1EFA0"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9B29BF4"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415966A" w14:textId="77777777" w:rsidR="007D3765" w:rsidRDefault="007D3765">
      <w:pPr>
        <w:ind w:left="851" w:right="899"/>
        <w:jc w:val="both"/>
        <w:rPr>
          <w:rFonts w:ascii="Palatino Linotype" w:eastAsia="Palatino Linotype" w:hAnsi="Palatino Linotype" w:cs="Palatino Linotype"/>
          <w:sz w:val="22"/>
          <w:szCs w:val="22"/>
        </w:rPr>
      </w:pPr>
    </w:p>
    <w:p w14:paraId="0B3831E2"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5DE689F" w14:textId="77777777" w:rsidR="007D3765" w:rsidRDefault="007D3765">
      <w:pPr>
        <w:ind w:left="851" w:right="899"/>
        <w:jc w:val="both"/>
        <w:rPr>
          <w:rFonts w:ascii="Palatino Linotype" w:eastAsia="Palatino Linotype" w:hAnsi="Palatino Linotype" w:cs="Palatino Linotype"/>
        </w:rPr>
      </w:pPr>
    </w:p>
    <w:p w14:paraId="4060541C" w14:textId="77777777" w:rsidR="007D3765" w:rsidRDefault="00500F9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4A87806D"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Pr>
          <w:rFonts w:ascii="Palatino Linotype" w:eastAsia="Palatino Linotype" w:hAnsi="Palatino Linotype" w:cs="Palatino Linotype"/>
          <w:i/>
          <w:sz w:val="22"/>
          <w:szCs w:val="22"/>
        </w:rPr>
        <w:lastRenderedPageBreak/>
        <w:t>organismos públicos, en virtud del ejercicio de sus funciones de derecho público, sin importar su fuente, soporte o fecha de elaboración.</w:t>
      </w:r>
    </w:p>
    <w:p w14:paraId="4B56AFA9"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79DCCF8"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BCD397B" w14:textId="77777777" w:rsidR="007D3765" w:rsidRDefault="00500F9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B231965" w14:textId="77777777" w:rsidR="007D3765" w:rsidRDefault="00500F9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3C921F3E" w14:textId="77777777" w:rsidR="007D3765" w:rsidRDefault="007D3765">
      <w:pPr>
        <w:spacing w:line="360" w:lineRule="auto"/>
        <w:ind w:right="-93"/>
        <w:jc w:val="both"/>
        <w:rPr>
          <w:rFonts w:ascii="Palatino Linotype" w:eastAsia="Palatino Linotype" w:hAnsi="Palatino Linotype" w:cs="Palatino Linotype"/>
        </w:rPr>
      </w:pPr>
    </w:p>
    <w:p w14:paraId="4CC56890"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establecido lo anterior, se advierte que el presupuesto de egresos junto con las fórmulas de distribución de dichos recursos son parte de la información que deberá ser publicada según a lo establecido en la Ley de Transparencia y Acceso a la Información Pública del Estado de México y Municipios, en su artículo 94 dentro del apartado de obligaciones de transparencia específicas a los Sujetos Obligados fracción I relativa al Poder ejecutivo y Municipios, inciso B mismo que establece lo siguiente: </w:t>
      </w:r>
    </w:p>
    <w:p w14:paraId="4C492A63" w14:textId="77777777" w:rsidR="007D3765" w:rsidRDefault="00500F9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“Capítulo III </w:t>
      </w:r>
    </w:p>
    <w:p w14:paraId="2DEBFC25" w14:textId="77777777" w:rsidR="007D3765" w:rsidRDefault="00500F9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las Obligaciones de Transparencia Específicas de los Sujetos Obligados </w:t>
      </w:r>
    </w:p>
    <w:p w14:paraId="5134EBA9" w14:textId="77777777" w:rsidR="007D3765" w:rsidRDefault="007D3765">
      <w:pPr>
        <w:ind w:left="851" w:right="899"/>
        <w:jc w:val="both"/>
        <w:rPr>
          <w:rFonts w:ascii="Palatino Linotype" w:eastAsia="Palatino Linotype" w:hAnsi="Palatino Linotype" w:cs="Palatino Linotype"/>
          <w:b/>
          <w:i/>
          <w:sz w:val="22"/>
          <w:szCs w:val="22"/>
        </w:rPr>
      </w:pPr>
    </w:p>
    <w:p w14:paraId="76419286"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94. </w:t>
      </w:r>
      <w:r>
        <w:rPr>
          <w:rFonts w:ascii="Palatino Linotype" w:eastAsia="Palatino Linotype" w:hAnsi="Palatino Linotype" w:cs="Palatino Linotype"/>
          <w:i/>
          <w:sz w:val="22"/>
          <w:szCs w:val="22"/>
        </w:rPr>
        <w:t>Además de las obligaciones de transparencia común a que se refiere el Capítulo II de este Título, los sujetos obligados del Poder Ejecutivo Local y municipales, deberán poner a disposición del público y actualizar la siguiente información</w:t>
      </w:r>
      <w:r>
        <w:rPr>
          <w:rFonts w:ascii="Palatino Linotype" w:eastAsia="Palatino Linotype" w:hAnsi="Palatino Linotype" w:cs="Palatino Linotype"/>
          <w:b/>
          <w:i/>
          <w:sz w:val="22"/>
          <w:szCs w:val="22"/>
        </w:rPr>
        <w:t>:</w:t>
      </w:r>
    </w:p>
    <w:p w14:paraId="4C9F209B" w14:textId="77777777" w:rsidR="007D3765" w:rsidRDefault="007D3765">
      <w:pPr>
        <w:ind w:left="851" w:right="899"/>
        <w:jc w:val="both"/>
        <w:rPr>
          <w:rFonts w:ascii="Palatino Linotype" w:eastAsia="Palatino Linotype" w:hAnsi="Palatino Linotype" w:cs="Palatino Linotype"/>
          <w:i/>
          <w:sz w:val="22"/>
          <w:szCs w:val="22"/>
        </w:rPr>
      </w:pPr>
    </w:p>
    <w:p w14:paraId="0FB2B2F4" w14:textId="77777777" w:rsidR="007D3765" w:rsidRDefault="00500F9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En el caso del Poder Ejecutivo y los Municipios, en el ámbito de su competencia: </w:t>
      </w:r>
    </w:p>
    <w:p w14:paraId="5587E98B" w14:textId="77777777" w:rsidR="007D3765" w:rsidRDefault="00500F9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 El Plan Estatal de Desarrollo y Plan de Desarrollo Municipal; </w:t>
      </w:r>
    </w:p>
    <w:p w14:paraId="5A176E75"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b) El presupuesto de egresos y las fórmulas de distribución de los recursos otorgados;</w:t>
      </w:r>
      <w:r>
        <w:rPr>
          <w:rFonts w:ascii="Palatino Linotype" w:eastAsia="Palatino Linotype" w:hAnsi="Palatino Linotype" w:cs="Palatino Linotype"/>
          <w:i/>
          <w:sz w:val="22"/>
          <w:szCs w:val="22"/>
        </w:rPr>
        <w:t xml:space="preserve"> </w:t>
      </w:r>
    </w:p>
    <w:p w14:paraId="4FF56D19" w14:textId="77777777" w:rsidR="007D3765" w:rsidRDefault="00500F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56735D2" w14:textId="77777777" w:rsidR="007D3765" w:rsidRDefault="007D3765">
      <w:pPr>
        <w:ind w:left="851" w:right="899"/>
        <w:jc w:val="both"/>
        <w:rPr>
          <w:rFonts w:ascii="Palatino Linotype" w:eastAsia="Palatino Linotype" w:hAnsi="Palatino Linotype" w:cs="Palatino Linotype"/>
          <w:i/>
          <w:sz w:val="22"/>
          <w:szCs w:val="22"/>
        </w:rPr>
      </w:pPr>
    </w:p>
    <w:p w14:paraId="338875AF"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dentro de la información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hacer de conocimiento de los particulares se encuentra la relativa al presupuesto de egresos. </w:t>
      </w:r>
    </w:p>
    <w:p w14:paraId="15177D7D"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lo anterior en mente es dable recordar que, en respuesta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hizo entrega </w:t>
      </w:r>
      <w:proofErr w:type="spellStart"/>
      <w:r>
        <w:rPr>
          <w:rFonts w:ascii="Palatino Linotype" w:eastAsia="Palatino Linotype" w:hAnsi="Palatino Linotype" w:cs="Palatino Linotype"/>
        </w:rPr>
        <w:t>de el</w:t>
      </w:r>
      <w:proofErr w:type="spellEnd"/>
      <w:r>
        <w:rPr>
          <w:rFonts w:ascii="Palatino Linotype" w:eastAsia="Palatino Linotype" w:hAnsi="Palatino Linotype" w:cs="Palatino Linotype"/>
        </w:rPr>
        <w:t xml:space="preserve"> presupuesto de egresos calendarizado para el año dos mil veintidós, donde se aprecian los rubros relativos a “CLAVE, PROGRAMA, PARTIDA” para los meses de enero, febrero, marzo, abril, mayo, junio, julio, agosto, septiembre, octubre, noviembre y diciembre del años dos mil veintidós. Se inserta fragmento para mayor referencia: </w:t>
      </w:r>
    </w:p>
    <w:p w14:paraId="4135DFC1"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AD5C38F" w14:textId="77777777" w:rsidR="007D3765" w:rsidRDefault="007D3765">
      <w:pPr>
        <w:spacing w:before="280" w:after="280" w:line="360" w:lineRule="auto"/>
        <w:jc w:val="both"/>
        <w:rPr>
          <w:rFonts w:ascii="Palatino Linotype" w:eastAsia="Palatino Linotype" w:hAnsi="Palatino Linotype" w:cs="Palatino Linotype"/>
        </w:rPr>
      </w:pPr>
    </w:p>
    <w:p w14:paraId="05BC13A1"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0117B76A" wp14:editId="05E3FD22">
            <wp:extent cx="5791200" cy="3060306"/>
            <wp:effectExtent l="0" t="0" r="0" b="0"/>
            <wp:docPr id="3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91200" cy="3060306"/>
                    </a:xfrm>
                    <a:prstGeom prst="rect">
                      <a:avLst/>
                    </a:prstGeom>
                    <a:ln/>
                  </pic:spPr>
                </pic:pic>
              </a:graphicData>
            </a:graphic>
          </wp:inline>
        </w:drawing>
      </w:r>
    </w:p>
    <w:p w14:paraId="1B49B054"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del cual el particular se inconforma indicando que la información es poco entendible para un ciudadano al mencionar diversas claves y programas sin mencionar a qué se refieren las mismas ni a qué dependencia de las requeridas en su solicitud corresponden. Recordando que en su solicitud primigenia, el particular requirió el presupuesto de egresos de las dependencias siguientes: </w:t>
      </w:r>
    </w:p>
    <w:p w14:paraId="74FE39C4" w14:textId="77777777" w:rsidR="007D3765" w:rsidRDefault="00500F96">
      <w:pPr>
        <w:numPr>
          <w:ilvl w:val="0"/>
          <w:numId w:val="4"/>
        </w:numPr>
        <w:spacing w:before="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Presidencia </w:t>
      </w:r>
    </w:p>
    <w:p w14:paraId="57FAF755"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Comunicación Social   </w:t>
      </w:r>
    </w:p>
    <w:p w14:paraId="51EF5DB5"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Derechos Humanos </w:t>
      </w:r>
    </w:p>
    <w:p w14:paraId="66EABCD2"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Sindicatura </w:t>
      </w:r>
    </w:p>
    <w:p w14:paraId="565ABCD9"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Regidurías (I, II, III, IV, V, VI y VII)</w:t>
      </w:r>
    </w:p>
    <w:p w14:paraId="720BB4A2"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Secretaría del Ayuntamiento </w:t>
      </w:r>
    </w:p>
    <w:p w14:paraId="461DA8F5"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Administración</w:t>
      </w:r>
    </w:p>
    <w:p w14:paraId="7AE78D73"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Informática </w:t>
      </w:r>
    </w:p>
    <w:p w14:paraId="202A7BCD"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Desarrollo Urbano y Obra Pública </w:t>
      </w:r>
    </w:p>
    <w:p w14:paraId="18DC273D"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Desarrollo Urbano y Servicios Públicos</w:t>
      </w:r>
    </w:p>
    <w:p w14:paraId="50DA18BD"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Gobierno Municipal</w:t>
      </w:r>
    </w:p>
    <w:p w14:paraId="59F3F2BC"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Contraloría </w:t>
      </w:r>
    </w:p>
    <w:p w14:paraId="7EB3FB99"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Tesorería </w:t>
      </w:r>
    </w:p>
    <w:p w14:paraId="59C80C99"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Consejería Jurídica </w:t>
      </w:r>
    </w:p>
    <w:p w14:paraId="6A9838B3"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Dirección de Desarrollo Económico </w:t>
      </w:r>
    </w:p>
    <w:p w14:paraId="6CC4132D" w14:textId="77777777" w:rsidR="007D3765" w:rsidRDefault="00500F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Educación, Cultura y  Bienestar Social</w:t>
      </w:r>
    </w:p>
    <w:p w14:paraId="3920919F" w14:textId="77777777" w:rsidR="007D3765" w:rsidRDefault="00500F96">
      <w:pPr>
        <w:numPr>
          <w:ilvl w:val="0"/>
          <w:numId w:val="4"/>
        </w:num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Seguridad Pública y Tránsito.  </w:t>
      </w:r>
    </w:p>
    <w:p w14:paraId="317F465F"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solicitó el presupuesto de egresos con el desglose por proyectos de la Quinta Regiduría y el documento remitido en respuesta únicamente contiene el presupuesto de egresos general de la Administración Pública Municipal de Villa Victoria sin que se aprecie a qué dependencia pertenecen dichos egresos.</w:t>
      </w:r>
    </w:p>
    <w:p w14:paraId="7ABB7A88"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advierte que una vez abierta la etapa de manifestaciones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su Informe Justificado  el cual consta de dos documentos, el primero de ellos denominado </w:t>
      </w:r>
      <w:r>
        <w:rPr>
          <w:rFonts w:ascii="Palatino Linotype" w:eastAsia="Palatino Linotype" w:hAnsi="Palatino Linotype" w:cs="Palatino Linotype"/>
          <w:i/>
        </w:rPr>
        <w:t xml:space="preserve">INFORME SOL. NO. 00039.pdf </w:t>
      </w:r>
      <w:r>
        <w:rPr>
          <w:rFonts w:ascii="Palatino Linotype" w:eastAsia="Palatino Linotype" w:hAnsi="Palatino Linotype" w:cs="Palatino Linotype"/>
        </w:rPr>
        <w:t xml:space="preserve">contiene el Informe Justificado emitido por el Titular de la Unidad de Transparencia indicando remitir la información solicitada. </w:t>
      </w:r>
    </w:p>
    <w:p w14:paraId="0558B350"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segundo archivo de </w:t>
      </w:r>
      <w:proofErr w:type="gramStart"/>
      <w:r>
        <w:rPr>
          <w:rFonts w:ascii="Palatino Linotype" w:eastAsia="Palatino Linotype" w:hAnsi="Palatino Linotype" w:cs="Palatino Linotype"/>
        </w:rPr>
        <w:t>nombre  “</w:t>
      </w:r>
      <w:proofErr w:type="gramEnd"/>
      <w:r>
        <w:rPr>
          <w:rFonts w:ascii="Palatino Linotype" w:eastAsia="Palatino Linotype" w:hAnsi="Palatino Linotype" w:cs="Palatino Linotype"/>
          <w:i/>
        </w:rPr>
        <w:t xml:space="preserve">edo. avance por dependencia general REQ. 00039.pdf” </w:t>
      </w:r>
      <w:r>
        <w:rPr>
          <w:rFonts w:ascii="Palatino Linotype" w:eastAsia="Palatino Linotype" w:hAnsi="Palatino Linotype" w:cs="Palatino Linotype"/>
        </w:rPr>
        <w:t xml:space="preserve">mediante el cual remite el Estado de Avance presupuestal de Egresos del primero al treinta y uno de enero de dos mil veintidós de las siguientes dependencias: </w:t>
      </w:r>
    </w:p>
    <w:p w14:paraId="36E3B9F0" w14:textId="77777777" w:rsidR="007D3765" w:rsidRDefault="00500F96">
      <w:pPr>
        <w:numPr>
          <w:ilvl w:val="0"/>
          <w:numId w:val="13"/>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Presidencia:</w:t>
      </w:r>
    </w:p>
    <w:p w14:paraId="5960F6AA"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1672A77E" wp14:editId="47905D34">
            <wp:extent cx="5791200" cy="1171032"/>
            <wp:effectExtent l="0" t="0" r="0" b="0"/>
            <wp:docPr id="3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t="2144" b="44857"/>
                    <a:stretch>
                      <a:fillRect/>
                    </a:stretch>
                  </pic:blipFill>
                  <pic:spPr>
                    <a:xfrm>
                      <a:off x="0" y="0"/>
                      <a:ext cx="5791200" cy="1171032"/>
                    </a:xfrm>
                    <a:prstGeom prst="rect">
                      <a:avLst/>
                    </a:prstGeom>
                    <a:ln/>
                  </pic:spPr>
                </pic:pic>
              </a:graphicData>
            </a:graphic>
          </wp:inline>
        </w:drawing>
      </w:r>
    </w:p>
    <w:p w14:paraId="77E3C6B9" w14:textId="77777777" w:rsidR="007D3765" w:rsidRDefault="00500F96">
      <w:pPr>
        <w:numPr>
          <w:ilvl w:val="0"/>
          <w:numId w:val="5"/>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Comunicación Social:</w:t>
      </w:r>
    </w:p>
    <w:p w14:paraId="784BA7C8"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085478F4" wp14:editId="2BB0E542">
            <wp:extent cx="5814066" cy="946698"/>
            <wp:effectExtent l="0" t="0" r="0" b="0"/>
            <wp:docPr id="37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814066" cy="946698"/>
                    </a:xfrm>
                    <a:prstGeom prst="rect">
                      <a:avLst/>
                    </a:prstGeom>
                    <a:ln/>
                  </pic:spPr>
                </pic:pic>
              </a:graphicData>
            </a:graphic>
          </wp:inline>
        </w:drawing>
      </w:r>
    </w:p>
    <w:p w14:paraId="0970982C" w14:textId="77777777" w:rsidR="007D3765" w:rsidRDefault="00500F96">
      <w:pPr>
        <w:numPr>
          <w:ilvl w:val="0"/>
          <w:numId w:val="3"/>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Derechos humanos:</w:t>
      </w:r>
    </w:p>
    <w:p w14:paraId="3F8A94D8"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3C57ECCB" wp14:editId="1423FD18">
            <wp:extent cx="5791835" cy="863600"/>
            <wp:effectExtent l="0" t="0" r="0" b="0"/>
            <wp:docPr id="3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91835" cy="863600"/>
                    </a:xfrm>
                    <a:prstGeom prst="rect">
                      <a:avLst/>
                    </a:prstGeom>
                    <a:ln/>
                  </pic:spPr>
                </pic:pic>
              </a:graphicData>
            </a:graphic>
          </wp:inline>
        </w:drawing>
      </w:r>
    </w:p>
    <w:p w14:paraId="427CF989" w14:textId="77777777" w:rsidR="007D3765" w:rsidRDefault="007D3765">
      <w:pPr>
        <w:spacing w:before="280" w:after="280" w:line="360" w:lineRule="auto"/>
        <w:jc w:val="both"/>
        <w:rPr>
          <w:rFonts w:ascii="Palatino Linotype" w:eastAsia="Palatino Linotype" w:hAnsi="Palatino Linotype" w:cs="Palatino Linotype"/>
          <w:u w:val="single"/>
        </w:rPr>
      </w:pPr>
    </w:p>
    <w:p w14:paraId="4F7DD928" w14:textId="77777777" w:rsidR="007D3765" w:rsidRDefault="00500F96">
      <w:pPr>
        <w:numPr>
          <w:ilvl w:val="0"/>
          <w:numId w:val="10"/>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lastRenderedPageBreak/>
        <w:t xml:space="preserve">Sindicatura: </w:t>
      </w:r>
    </w:p>
    <w:p w14:paraId="2A00ABF3"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43B130EC" wp14:editId="7FAEB834">
            <wp:extent cx="5791835" cy="990600"/>
            <wp:effectExtent l="0" t="0" r="0" b="0"/>
            <wp:docPr id="3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791835" cy="990600"/>
                    </a:xfrm>
                    <a:prstGeom prst="rect">
                      <a:avLst/>
                    </a:prstGeom>
                    <a:ln/>
                  </pic:spPr>
                </pic:pic>
              </a:graphicData>
            </a:graphic>
          </wp:inline>
        </w:drawing>
      </w:r>
    </w:p>
    <w:p w14:paraId="76D149A3" w14:textId="77777777" w:rsidR="007D3765" w:rsidRDefault="00500F96">
      <w:pPr>
        <w:numPr>
          <w:ilvl w:val="0"/>
          <w:numId w:val="8"/>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Regiduría I:</w:t>
      </w:r>
    </w:p>
    <w:p w14:paraId="5602F38A"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6CDDA75D" wp14:editId="0E6A7A06">
            <wp:extent cx="5791835" cy="952500"/>
            <wp:effectExtent l="0" t="0" r="0" b="0"/>
            <wp:docPr id="38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791835" cy="952500"/>
                    </a:xfrm>
                    <a:prstGeom prst="rect">
                      <a:avLst/>
                    </a:prstGeom>
                    <a:ln/>
                  </pic:spPr>
                </pic:pic>
              </a:graphicData>
            </a:graphic>
          </wp:inline>
        </w:drawing>
      </w:r>
    </w:p>
    <w:p w14:paraId="4A45E2C1" w14:textId="77777777" w:rsidR="007D3765" w:rsidRDefault="00500F96">
      <w:pPr>
        <w:numPr>
          <w:ilvl w:val="0"/>
          <w:numId w:val="8"/>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Regiduría II:</w:t>
      </w:r>
    </w:p>
    <w:p w14:paraId="7618D5FC"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25D7E690" wp14:editId="66B4E67F">
            <wp:extent cx="5791835" cy="863600"/>
            <wp:effectExtent l="0" t="0" r="0" b="0"/>
            <wp:docPr id="3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91835" cy="863600"/>
                    </a:xfrm>
                    <a:prstGeom prst="rect">
                      <a:avLst/>
                    </a:prstGeom>
                    <a:ln/>
                  </pic:spPr>
                </pic:pic>
              </a:graphicData>
            </a:graphic>
          </wp:inline>
        </w:drawing>
      </w:r>
    </w:p>
    <w:p w14:paraId="31D61684" w14:textId="77777777" w:rsidR="007D3765" w:rsidRDefault="00500F96">
      <w:pPr>
        <w:numPr>
          <w:ilvl w:val="0"/>
          <w:numId w:val="6"/>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Regiduría III:</w:t>
      </w:r>
    </w:p>
    <w:p w14:paraId="7D2A8411"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44FB7B37" wp14:editId="7EB2C817">
            <wp:extent cx="5791835" cy="965200"/>
            <wp:effectExtent l="0" t="0" r="0" b="0"/>
            <wp:docPr id="3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791835" cy="965200"/>
                    </a:xfrm>
                    <a:prstGeom prst="rect">
                      <a:avLst/>
                    </a:prstGeom>
                    <a:ln/>
                  </pic:spPr>
                </pic:pic>
              </a:graphicData>
            </a:graphic>
          </wp:inline>
        </w:drawing>
      </w:r>
    </w:p>
    <w:p w14:paraId="63197044" w14:textId="77777777" w:rsidR="007D3765" w:rsidRDefault="00500F96">
      <w:pPr>
        <w:numPr>
          <w:ilvl w:val="0"/>
          <w:numId w:val="9"/>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lastRenderedPageBreak/>
        <w:t>Regiduría IV:</w:t>
      </w:r>
    </w:p>
    <w:p w14:paraId="61F4D6B7"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2BB315C4" wp14:editId="1056B9FA">
            <wp:extent cx="5791835" cy="939800"/>
            <wp:effectExtent l="0" t="0" r="0" b="0"/>
            <wp:docPr id="38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5791835" cy="939800"/>
                    </a:xfrm>
                    <a:prstGeom prst="rect">
                      <a:avLst/>
                    </a:prstGeom>
                    <a:ln/>
                  </pic:spPr>
                </pic:pic>
              </a:graphicData>
            </a:graphic>
          </wp:inline>
        </w:drawing>
      </w:r>
    </w:p>
    <w:p w14:paraId="08DE078C" w14:textId="77777777" w:rsidR="007D3765" w:rsidRDefault="00500F96">
      <w:pPr>
        <w:numPr>
          <w:ilvl w:val="0"/>
          <w:numId w:val="1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Regiduría V:</w:t>
      </w:r>
    </w:p>
    <w:p w14:paraId="48D429E6"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6A296104" wp14:editId="507BD54E">
            <wp:extent cx="5791835" cy="1041400"/>
            <wp:effectExtent l="0" t="0" r="0" b="0"/>
            <wp:docPr id="38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791835" cy="1041400"/>
                    </a:xfrm>
                    <a:prstGeom prst="rect">
                      <a:avLst/>
                    </a:prstGeom>
                    <a:ln/>
                  </pic:spPr>
                </pic:pic>
              </a:graphicData>
            </a:graphic>
          </wp:inline>
        </w:drawing>
      </w:r>
    </w:p>
    <w:p w14:paraId="0E58448F" w14:textId="77777777" w:rsidR="007D3765" w:rsidRDefault="00500F96">
      <w:pPr>
        <w:numPr>
          <w:ilvl w:val="0"/>
          <w:numId w:val="7"/>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Regiduría VI:</w:t>
      </w:r>
    </w:p>
    <w:p w14:paraId="6B4AD9EB"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39B2FF08" wp14:editId="22EEACC0">
            <wp:extent cx="5791835" cy="977900"/>
            <wp:effectExtent l="0" t="0" r="0" b="0"/>
            <wp:docPr id="38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791835" cy="977900"/>
                    </a:xfrm>
                    <a:prstGeom prst="rect">
                      <a:avLst/>
                    </a:prstGeom>
                    <a:ln/>
                  </pic:spPr>
                </pic:pic>
              </a:graphicData>
            </a:graphic>
          </wp:inline>
        </w:drawing>
      </w:r>
    </w:p>
    <w:p w14:paraId="31970083" w14:textId="77777777" w:rsidR="007D3765" w:rsidRDefault="00500F96">
      <w:pPr>
        <w:numPr>
          <w:ilvl w:val="0"/>
          <w:numId w:val="7"/>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Regiduría VII:</w:t>
      </w:r>
    </w:p>
    <w:p w14:paraId="08FB6A0D"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3966093B" wp14:editId="1A7D0137">
            <wp:extent cx="5791835" cy="1028700"/>
            <wp:effectExtent l="0" t="0" r="0" b="0"/>
            <wp:docPr id="38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5791835" cy="1028700"/>
                    </a:xfrm>
                    <a:prstGeom prst="rect">
                      <a:avLst/>
                    </a:prstGeom>
                    <a:ln/>
                  </pic:spPr>
                </pic:pic>
              </a:graphicData>
            </a:graphic>
          </wp:inline>
        </w:drawing>
      </w:r>
    </w:p>
    <w:p w14:paraId="30201AA3"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lastRenderedPageBreak/>
        <w:t>Secretaría del Ayuntamiento:</w:t>
      </w:r>
    </w:p>
    <w:p w14:paraId="5AAAB59B"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48A45A38" wp14:editId="6425FBDF">
            <wp:extent cx="5791835" cy="1028700"/>
            <wp:effectExtent l="0" t="0" r="0" b="0"/>
            <wp:docPr id="38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791835" cy="1028700"/>
                    </a:xfrm>
                    <a:prstGeom prst="rect">
                      <a:avLst/>
                    </a:prstGeom>
                    <a:ln/>
                  </pic:spPr>
                </pic:pic>
              </a:graphicData>
            </a:graphic>
          </wp:inline>
        </w:drawing>
      </w:r>
    </w:p>
    <w:p w14:paraId="6205E5B4"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Administración:</w:t>
      </w:r>
    </w:p>
    <w:p w14:paraId="174A27E6"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203C7893" wp14:editId="4AEA5BB8">
            <wp:extent cx="5791835" cy="1041400"/>
            <wp:effectExtent l="0" t="0" r="0" b="0"/>
            <wp:docPr id="39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5791835" cy="1041400"/>
                    </a:xfrm>
                    <a:prstGeom prst="rect">
                      <a:avLst/>
                    </a:prstGeom>
                    <a:ln/>
                  </pic:spPr>
                </pic:pic>
              </a:graphicData>
            </a:graphic>
          </wp:inline>
        </w:drawing>
      </w:r>
    </w:p>
    <w:p w14:paraId="12E95F8D"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Informática:</w:t>
      </w:r>
    </w:p>
    <w:p w14:paraId="1E035228"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1BCD8427" wp14:editId="36538BA2">
            <wp:extent cx="5791835" cy="863600"/>
            <wp:effectExtent l="0" t="0" r="0" b="0"/>
            <wp:docPr id="3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5791835" cy="863600"/>
                    </a:xfrm>
                    <a:prstGeom prst="rect">
                      <a:avLst/>
                    </a:prstGeom>
                    <a:ln/>
                  </pic:spPr>
                </pic:pic>
              </a:graphicData>
            </a:graphic>
          </wp:inline>
        </w:drawing>
      </w:r>
    </w:p>
    <w:p w14:paraId="00738946"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Desarrollo Urbano y Obras Públicas:</w:t>
      </w:r>
    </w:p>
    <w:p w14:paraId="6B65F381"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3E2099EC" wp14:editId="03BDC4EF">
            <wp:extent cx="5791835" cy="1041400"/>
            <wp:effectExtent l="0" t="0" r="0" b="0"/>
            <wp:docPr id="39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791835" cy="1041400"/>
                    </a:xfrm>
                    <a:prstGeom prst="rect">
                      <a:avLst/>
                    </a:prstGeom>
                    <a:ln/>
                  </pic:spPr>
                </pic:pic>
              </a:graphicData>
            </a:graphic>
          </wp:inline>
        </w:drawing>
      </w:r>
    </w:p>
    <w:p w14:paraId="413B9B18"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lastRenderedPageBreak/>
        <w:t>Desarrollo Urbano y Servicios Públicos:</w:t>
      </w:r>
    </w:p>
    <w:p w14:paraId="26B9B712"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2238C244" wp14:editId="76818271">
            <wp:extent cx="5791835" cy="1041400"/>
            <wp:effectExtent l="0" t="0" r="0" b="0"/>
            <wp:docPr id="3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791835" cy="1041400"/>
                    </a:xfrm>
                    <a:prstGeom prst="rect">
                      <a:avLst/>
                    </a:prstGeom>
                    <a:ln/>
                  </pic:spPr>
                </pic:pic>
              </a:graphicData>
            </a:graphic>
          </wp:inline>
        </w:drawing>
      </w:r>
    </w:p>
    <w:p w14:paraId="3DB0EEBA"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Ecología:</w:t>
      </w:r>
    </w:p>
    <w:p w14:paraId="47C33075"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61761DCA" wp14:editId="0B61A83A">
            <wp:extent cx="5791835" cy="965200"/>
            <wp:effectExtent l="0" t="0" r="0" b="0"/>
            <wp:docPr id="39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5791835" cy="965200"/>
                    </a:xfrm>
                    <a:prstGeom prst="rect">
                      <a:avLst/>
                    </a:prstGeom>
                    <a:ln/>
                  </pic:spPr>
                </pic:pic>
              </a:graphicData>
            </a:graphic>
          </wp:inline>
        </w:drawing>
      </w:r>
    </w:p>
    <w:p w14:paraId="2626DF02"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Desarrollo Social:</w:t>
      </w:r>
    </w:p>
    <w:p w14:paraId="3C4615C9"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3C7F6461" wp14:editId="7E3AB6A0">
            <wp:extent cx="5791835" cy="952500"/>
            <wp:effectExtent l="0" t="0" r="0" b="0"/>
            <wp:docPr id="39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5791835" cy="952500"/>
                    </a:xfrm>
                    <a:prstGeom prst="rect">
                      <a:avLst/>
                    </a:prstGeom>
                    <a:ln/>
                  </pic:spPr>
                </pic:pic>
              </a:graphicData>
            </a:graphic>
          </wp:inline>
        </w:drawing>
      </w:r>
    </w:p>
    <w:p w14:paraId="67BE937D"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Gobierno Municipal:</w:t>
      </w:r>
    </w:p>
    <w:p w14:paraId="152D0997"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2D7D0CB7" wp14:editId="315D943C">
            <wp:extent cx="5791835" cy="952500"/>
            <wp:effectExtent l="0" t="0" r="0" b="0"/>
            <wp:docPr id="3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5791835" cy="952500"/>
                    </a:xfrm>
                    <a:prstGeom prst="rect">
                      <a:avLst/>
                    </a:prstGeom>
                    <a:ln/>
                  </pic:spPr>
                </pic:pic>
              </a:graphicData>
            </a:graphic>
          </wp:inline>
        </w:drawing>
      </w:r>
    </w:p>
    <w:p w14:paraId="7BD59DE6"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lastRenderedPageBreak/>
        <w:t>Contraloría:</w:t>
      </w:r>
    </w:p>
    <w:p w14:paraId="4D177BA9"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6E0C8DC6" wp14:editId="72A7C5CF">
            <wp:extent cx="5791835" cy="952500"/>
            <wp:effectExtent l="0" t="0" r="0" b="0"/>
            <wp:docPr id="3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791835" cy="952500"/>
                    </a:xfrm>
                    <a:prstGeom prst="rect">
                      <a:avLst/>
                    </a:prstGeom>
                    <a:ln/>
                  </pic:spPr>
                </pic:pic>
              </a:graphicData>
            </a:graphic>
          </wp:inline>
        </w:drawing>
      </w:r>
    </w:p>
    <w:p w14:paraId="18EFED05"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Tesorería:</w:t>
      </w:r>
    </w:p>
    <w:p w14:paraId="47649E80"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295C9129" wp14:editId="5F398837">
            <wp:extent cx="5791835" cy="939800"/>
            <wp:effectExtent l="0" t="0" r="0" b="0"/>
            <wp:docPr id="3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791835" cy="939800"/>
                    </a:xfrm>
                    <a:prstGeom prst="rect">
                      <a:avLst/>
                    </a:prstGeom>
                    <a:ln/>
                  </pic:spPr>
                </pic:pic>
              </a:graphicData>
            </a:graphic>
          </wp:inline>
        </w:drawing>
      </w:r>
    </w:p>
    <w:p w14:paraId="7A216B7D"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Consejería Jurídica:</w:t>
      </w:r>
    </w:p>
    <w:p w14:paraId="6F259630"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3D2B9A45" wp14:editId="4CCA1F4F">
            <wp:extent cx="5791835" cy="927100"/>
            <wp:effectExtent l="0" t="0" r="0" b="0"/>
            <wp:docPr id="3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5791835" cy="927100"/>
                    </a:xfrm>
                    <a:prstGeom prst="rect">
                      <a:avLst/>
                    </a:prstGeom>
                    <a:ln/>
                  </pic:spPr>
                </pic:pic>
              </a:graphicData>
            </a:graphic>
          </wp:inline>
        </w:drawing>
      </w:r>
    </w:p>
    <w:p w14:paraId="0FFFB257"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Desarrollo Económico:</w:t>
      </w:r>
    </w:p>
    <w:p w14:paraId="5F6973AB"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011FF62A" wp14:editId="42336247">
            <wp:extent cx="5791835" cy="952500"/>
            <wp:effectExtent l="0" t="0" r="0" b="0"/>
            <wp:docPr id="3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791835" cy="952500"/>
                    </a:xfrm>
                    <a:prstGeom prst="rect">
                      <a:avLst/>
                    </a:prstGeom>
                    <a:ln/>
                  </pic:spPr>
                </pic:pic>
              </a:graphicData>
            </a:graphic>
          </wp:inline>
        </w:drawing>
      </w:r>
    </w:p>
    <w:p w14:paraId="6B874C92"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lastRenderedPageBreak/>
        <w:t>Educación Cultural y Bienestar Social:</w:t>
      </w:r>
    </w:p>
    <w:p w14:paraId="40917AFE"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484E2066" wp14:editId="783DCFDA">
            <wp:extent cx="5791835" cy="863600"/>
            <wp:effectExtent l="0" t="0" r="0" b="0"/>
            <wp:docPr id="3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5791835" cy="863600"/>
                    </a:xfrm>
                    <a:prstGeom prst="rect">
                      <a:avLst/>
                    </a:prstGeom>
                    <a:ln/>
                  </pic:spPr>
                </pic:pic>
              </a:graphicData>
            </a:graphic>
          </wp:inline>
        </w:drawing>
      </w:r>
    </w:p>
    <w:p w14:paraId="28284927"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Seguridad Pública y Tránsito:</w:t>
      </w:r>
    </w:p>
    <w:p w14:paraId="2C8B1FB5"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765BE67D" wp14:editId="3EA632D6">
            <wp:extent cx="5791835" cy="939800"/>
            <wp:effectExtent l="0" t="0" r="0" b="0"/>
            <wp:docPr id="3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5791835" cy="939800"/>
                    </a:xfrm>
                    <a:prstGeom prst="rect">
                      <a:avLst/>
                    </a:prstGeom>
                    <a:ln/>
                  </pic:spPr>
                </pic:pic>
              </a:graphicData>
            </a:graphic>
          </wp:inline>
        </w:drawing>
      </w:r>
    </w:p>
    <w:p w14:paraId="704C219E"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Unidad de Información, Planeación, Programación y Evaluación:</w:t>
      </w:r>
    </w:p>
    <w:p w14:paraId="33B29373"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08F9051A" wp14:editId="54456340">
            <wp:extent cx="5791835" cy="952500"/>
            <wp:effectExtent l="0" t="0" r="0" b="0"/>
            <wp:docPr id="3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791835" cy="952500"/>
                    </a:xfrm>
                    <a:prstGeom prst="rect">
                      <a:avLst/>
                    </a:prstGeom>
                    <a:ln/>
                  </pic:spPr>
                </pic:pic>
              </a:graphicData>
            </a:graphic>
          </wp:inline>
        </w:drawing>
      </w:r>
    </w:p>
    <w:p w14:paraId="64CF6FBA" w14:textId="77777777" w:rsidR="007D3765" w:rsidRDefault="00500F96">
      <w:pPr>
        <w:numPr>
          <w:ilvl w:val="0"/>
          <w:numId w:val="1"/>
        </w:num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u w:val="single"/>
        </w:rPr>
        <w:t>Protección Civil:</w:t>
      </w:r>
    </w:p>
    <w:p w14:paraId="04FE2151" w14:textId="77777777" w:rsidR="007D3765" w:rsidRDefault="00500F96">
      <w:pPr>
        <w:spacing w:before="280" w:after="28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114300" distB="114300" distL="114300" distR="114300" wp14:anchorId="04FD7FEC" wp14:editId="0C2122E8">
            <wp:extent cx="5791835" cy="1003300"/>
            <wp:effectExtent l="0" t="0" r="0" b="0"/>
            <wp:docPr id="3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5791835" cy="1003300"/>
                    </a:xfrm>
                    <a:prstGeom prst="rect">
                      <a:avLst/>
                    </a:prstGeom>
                    <a:ln/>
                  </pic:spPr>
                </pic:pic>
              </a:graphicData>
            </a:graphic>
          </wp:inline>
        </w:drawing>
      </w:r>
    </w:p>
    <w:p w14:paraId="2450E5BD"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de las imágenes antes insertas se puede observar que en su Informe Justificado,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hace entrega del Estado de Avance Presupuestal de Egresos para las dependencias solicitadas donde se aprecia el presupuesto aprobado, las ampliaciones, reducciones y el concepto por el cual se efectuó cada uno de los egresos. </w:t>
      </w:r>
    </w:p>
    <w:p w14:paraId="4E8A37CF" w14:textId="77777777" w:rsidR="007D3765" w:rsidRDefault="00500F96">
      <w:pPr>
        <w:spacing w:line="360" w:lineRule="auto"/>
        <w:jc w:val="both"/>
        <w:rPr>
          <w:rFonts w:ascii="Palatino Linotype" w:eastAsia="Palatino Linotype" w:hAnsi="Palatino Linotype" w:cs="Palatino Linotype"/>
        </w:rPr>
      </w:pPr>
      <w:bookmarkStart w:id="6" w:name="_heading=h.v5y4wt34g4w3" w:colFirst="0" w:colLast="0"/>
      <w:bookmarkEnd w:id="6"/>
      <w:r>
        <w:rPr>
          <w:rFonts w:ascii="Palatino Linotype" w:eastAsia="Palatino Linotype" w:hAnsi="Palatino Linotype" w:cs="Palatino Linotype"/>
        </w:rPr>
        <w:t xml:space="preserve">Luego entonces, si el particular solicitó el presupuesto de egresos aprobado para cada una de las dependencias listadas anteriormente, se puede advertir que si bien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remitió la información específica en respuesta, lo hizo mediante el Informe Justificado, remitiendo la información requerida de las  dependencias solicitadas, por lo que dicho rubro se tiene colmado con la información entregada en el Informe Justificado. </w:t>
      </w:r>
    </w:p>
    <w:p w14:paraId="278BEA39"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 que respecta al segundo requerimiento realizado por el particular  mediante el cual solicita el desglose del presupuesto autorizado por proyecto asignado a la Quinta Regiduría para el ejercicio fiscal 2022.</w:t>
      </w:r>
    </w:p>
    <w:p w14:paraId="3DA5675F"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mencionó previamente,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hizo entrega mediante el Informe Justificado del Estado de Avance Presupuestal de diversas dependencias entre las cuales se encuentra la Quinta Regiduría, dicho documento señala el concepto del gasto y el presupuesto autorizado, ampliado, reducido y modificado, como se puede apreciar en la imagen que se inserta a continuación:</w:t>
      </w:r>
    </w:p>
    <w:p w14:paraId="0D7B791D" w14:textId="77777777" w:rsidR="007D3765" w:rsidRDefault="007D3765">
      <w:pPr>
        <w:spacing w:before="280" w:after="280" w:line="360" w:lineRule="auto"/>
        <w:jc w:val="both"/>
        <w:rPr>
          <w:rFonts w:ascii="Palatino Linotype" w:eastAsia="Palatino Linotype" w:hAnsi="Palatino Linotype" w:cs="Palatino Linotype"/>
        </w:rPr>
      </w:pPr>
    </w:p>
    <w:p w14:paraId="54E1F998"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6E44CB29" wp14:editId="6032DC87">
            <wp:extent cx="5791835" cy="2108200"/>
            <wp:effectExtent l="0" t="0" r="0" b="0"/>
            <wp:docPr id="3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5791835" cy="2108200"/>
                    </a:xfrm>
                    <a:prstGeom prst="rect">
                      <a:avLst/>
                    </a:prstGeom>
                    <a:ln/>
                  </pic:spPr>
                </pic:pic>
              </a:graphicData>
            </a:graphic>
          </wp:inline>
        </w:drawing>
      </w:r>
    </w:p>
    <w:p w14:paraId="7C310E90"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si bien el documento señala los egresos efectuados por la Quinta Regiduría en atención al presupuesto aprobado, se advierte que el particular solicitó el desglose del presupuesto autorizado por proyecto. </w:t>
      </w:r>
    </w:p>
    <w:p w14:paraId="01089C0F"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sentido es importante señalar que Manual para la Planeación, Programación y Presupuesto de Egresos Municipal para el ejercicio fiscal de 2022, define al presupuesto municipal de acuerdo con lo establecido en el artículo 285 del Código Financiero del Estado de México y Municipios,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425794BC"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pues, el Presupuesto de Egresos se debe enviar conforme al requerimiento y los Lineamientos para la entrega del Presupuesto de Egresos Municipal 2022 emitidos por el Órgano Superior de Fiscalización del Estado de México. </w:t>
      </w:r>
    </w:p>
    <w:p w14:paraId="34F1CD5C"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Dichos lineamientos señalan que dentro de la información que deberá ser enviada se encuentra el Programa Operativo Anual, el cual contiene el Programa Anual Dimensión Administrativa del Gasto, mismo que se identifica con la Nomenclatura: PADAG00002022.txt, PADAG: Programa Anual Dimensión Administrativa del Gasto y está integrado por 9 columnas las cuales consisten en los siguiente: </w:t>
      </w:r>
    </w:p>
    <w:p w14:paraId="3B60184A" w14:textId="77777777" w:rsidR="007D3765" w:rsidRDefault="00500F96">
      <w:pPr>
        <w:numPr>
          <w:ilvl w:val="0"/>
          <w:numId w:val="12"/>
        </w:numPr>
        <w:spacing w:before="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Dependencia General: Anotar el código de la Dependencia General, de acuerdo con el Catálogo de Dependencias Generales establecido en el Manual para la Planeación, Programación y Presupuesto de Egresos Municipal para el Ejercicio Fiscal 2022 (columna 1). </w:t>
      </w:r>
    </w:p>
    <w:p w14:paraId="7090AEDD" w14:textId="77777777" w:rsidR="007D3765" w:rsidRDefault="00500F96">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Dependencia Auxiliar: Anotar el código de la Dependencia Auxiliar, de acuerdo con el Catálogo de Dependencias Auxiliares establecido en el Manual para la Planeación, Programación y Presupuesto de Egresos Municipal para el Ejercicio Fiscal 2022 (columna 2). </w:t>
      </w:r>
    </w:p>
    <w:p w14:paraId="79914845" w14:textId="77777777" w:rsidR="007D3765" w:rsidRDefault="00500F96">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Estructura Funcional Programática: Anotar los códigos de Finalidad, Función, Subfunción, Programa, Subprograma y Proyecto, de acuerdo con la Clasificación Funcional Programática Municipal establecida en el Manual para la Planeación, Programación y Presupuesto de Egresos Municipal para el Ejercicio Fiscal 2022 (columnas de la 3 a 8). </w:t>
      </w:r>
    </w:p>
    <w:p w14:paraId="558E8629" w14:textId="77777777" w:rsidR="007D3765" w:rsidRDefault="00500F96">
      <w:pPr>
        <w:numPr>
          <w:ilvl w:val="0"/>
          <w:numId w:val="12"/>
        </w:num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Presupuesto Autorizado por Proyecto: En este apartado se anotará el monto en pesos del presupuesto de egresos asignado para la ejecución de cada uno de los proyectos listados en el presente archivo (columna 9).</w:t>
      </w:r>
    </w:p>
    <w:p w14:paraId="57BDBFEA"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puede señalar que dentro de la información remitida al OSFEM se encuentra el Presupuesto Autorizado por  Proyecto donde se anota el monto del presupuesto asignado para la ejecución de cada uno de los proyectos que además debe estar identificado por dependencia, tanto general como auxiliar. </w:t>
      </w:r>
    </w:p>
    <w:p w14:paraId="257858DD"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es evidente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genera un documento que puede satisfacer de forma específica el requerimiento elaborado por el ahora </w:t>
      </w:r>
      <w:r>
        <w:rPr>
          <w:rFonts w:ascii="Palatino Linotype" w:eastAsia="Palatino Linotype" w:hAnsi="Palatino Linotype" w:cs="Palatino Linotype"/>
          <w:b/>
        </w:rPr>
        <w:t xml:space="preserve">RECURRENTE. </w:t>
      </w:r>
    </w:p>
    <w:p w14:paraId="14F5DC7F" w14:textId="77777777" w:rsidR="007D3765" w:rsidRDefault="00500F9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Atento a lo anterior, conviene citar el criterio orientador 002/2017 del INAI, y la tesis 1a. CCCXXVII/2014 (10a.) emitida por la Primera Sala de la Suprema Corte de Justicia de la Nación, cuyo tenor es el siguiente:</w:t>
      </w:r>
    </w:p>
    <w:p w14:paraId="3718AF2E" w14:textId="77777777" w:rsidR="007D3765" w:rsidRDefault="007D3765">
      <w:pPr>
        <w:ind w:right="902"/>
        <w:jc w:val="both"/>
        <w:rPr>
          <w:rFonts w:ascii="Palatino Linotype" w:eastAsia="Palatino Linotype" w:hAnsi="Palatino Linotype" w:cs="Palatino Linotype"/>
        </w:rPr>
      </w:pPr>
    </w:p>
    <w:p w14:paraId="490556A5" w14:textId="77777777" w:rsidR="007D3765" w:rsidRDefault="00500F9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Congruencia y exhaustividad</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 Sus alcances para garantizar el derecho de acceso a la información.</w:t>
      </w:r>
      <w:r>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w:t>
      </w:r>
      <w:r>
        <w:rPr>
          <w:rFonts w:ascii="Palatino Linotype" w:eastAsia="Palatino Linotype" w:hAnsi="Palatino Linotype" w:cs="Palatino Linotype"/>
          <w:i/>
          <w:sz w:val="22"/>
          <w:szCs w:val="22"/>
        </w:rPr>
        <w:lastRenderedPageBreak/>
        <w:t>relación lógica con lo solicitado y atiendan de manera puntual y expresa, cada uno de los contenidos de información.”(Sic)</w:t>
      </w:r>
    </w:p>
    <w:p w14:paraId="6CD9D719" w14:textId="77777777" w:rsidR="007D3765" w:rsidRDefault="007D3765">
      <w:pPr>
        <w:widowControl w:val="0"/>
        <w:tabs>
          <w:tab w:val="left" w:pos="1701"/>
          <w:tab w:val="left" w:pos="1843"/>
        </w:tabs>
        <w:spacing w:line="360" w:lineRule="auto"/>
        <w:ind w:right="49"/>
        <w:jc w:val="both"/>
        <w:rPr>
          <w:rFonts w:ascii="Palatino Linotype" w:eastAsia="Palatino Linotype" w:hAnsi="Palatino Linotype" w:cs="Palatino Linotype"/>
        </w:rPr>
      </w:pPr>
      <w:bookmarkStart w:id="7" w:name="_heading=h.h5f6uylknmte" w:colFirst="0" w:colLast="0"/>
      <w:bookmarkEnd w:id="7"/>
    </w:p>
    <w:p w14:paraId="7C1DCE25" w14:textId="77777777" w:rsidR="007D3765" w:rsidRDefault="00500F96">
      <w:pPr>
        <w:widowControl w:val="0"/>
        <w:tabs>
          <w:tab w:val="left" w:pos="1701"/>
          <w:tab w:val="left" w:pos="184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 </w:t>
      </w:r>
    </w:p>
    <w:p w14:paraId="1E7A4938" w14:textId="77777777" w:rsidR="007D3765" w:rsidRDefault="007D3765">
      <w:pPr>
        <w:widowControl w:val="0"/>
        <w:tabs>
          <w:tab w:val="left" w:pos="1701"/>
          <w:tab w:val="left" w:pos="1843"/>
        </w:tabs>
        <w:spacing w:line="360" w:lineRule="auto"/>
        <w:ind w:right="49"/>
        <w:jc w:val="both"/>
        <w:rPr>
          <w:rFonts w:ascii="Palatino Linotype" w:eastAsia="Palatino Linotype" w:hAnsi="Palatino Linotype" w:cs="Palatino Linotype"/>
        </w:rPr>
      </w:pPr>
    </w:p>
    <w:p w14:paraId="5457B2D9" w14:textId="77777777" w:rsidR="007D3765" w:rsidRDefault="00500F96">
      <w:pPr>
        <w:widowControl w:val="0"/>
        <w:tabs>
          <w:tab w:val="left" w:pos="1701"/>
          <w:tab w:val="left" w:pos="184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se aprecia que para que se pueda tener por satisfecho el derecho de Acceso a la información del particular,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pronunciarse sobre cada uno de los requerimientos a grado de desagregación que pueda constar en los documentos que genera posee o administra, en atención a sus facultades.   </w:t>
      </w:r>
    </w:p>
    <w:p w14:paraId="43750FF0" w14:textId="77777777" w:rsidR="007D3765" w:rsidRDefault="00500F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cual se considera procedente </w:t>
      </w:r>
      <w:r>
        <w:rPr>
          <w:rFonts w:ascii="Palatino Linotype" w:eastAsia="Palatino Linotype" w:hAnsi="Palatino Linotype" w:cs="Palatino Linotype"/>
          <w:b/>
        </w:rPr>
        <w:t>MODIFICAR</w:t>
      </w:r>
      <w:r>
        <w:rPr>
          <w:rFonts w:ascii="Palatino Linotype" w:eastAsia="Palatino Linotype" w:hAnsi="Palatino Linotype" w:cs="Palatino Linotype"/>
        </w:rPr>
        <w:t xml:space="preserve"> la respuesta proporcionada por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por resultar fundados los motivos o razones de inconformidad esgrimidos por el particular en el Recurso de Revisión materia de la presente resolución y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del soporte documental donde conste el presupuesto aprobado por proyecto relativo a la Quinta Regiduría para el ejercicio fiscal dos mil veintidós. </w:t>
      </w:r>
    </w:p>
    <w:p w14:paraId="7CF1539C" w14:textId="77777777" w:rsidR="007D3765" w:rsidRDefault="007D3765">
      <w:pPr>
        <w:spacing w:line="360" w:lineRule="auto"/>
        <w:jc w:val="both"/>
        <w:rPr>
          <w:rFonts w:ascii="Palatino Linotype" w:eastAsia="Palatino Linotype" w:hAnsi="Palatino Linotype" w:cs="Palatino Linotype"/>
        </w:rPr>
      </w:pPr>
    </w:p>
    <w:p w14:paraId="51217750"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w:t>
      </w:r>
      <w:r>
        <w:rPr>
          <w:rFonts w:ascii="Palatino Linotype" w:eastAsia="Palatino Linotype" w:hAnsi="Palatino Linotype" w:cs="Palatino Linotype"/>
        </w:rPr>
        <w:lastRenderedPageBreak/>
        <w:t>Libre y Soberano de México; 2, fracción II, 29, 36, fracciones I y II, 176, 178, 179, 181, 185 fracción I, 186 y 188 de la Ley de Transparencia y Acceso a la Información Pública del Estado de México y Municipios, este Pleno:</w:t>
      </w:r>
    </w:p>
    <w:p w14:paraId="0BEB2AC8" w14:textId="77777777" w:rsidR="007D3765" w:rsidRDefault="007D3765">
      <w:pPr>
        <w:spacing w:line="360" w:lineRule="auto"/>
        <w:jc w:val="center"/>
        <w:rPr>
          <w:rFonts w:ascii="Palatino Linotype" w:eastAsia="Palatino Linotype" w:hAnsi="Palatino Linotype" w:cs="Palatino Linotype"/>
          <w:b/>
          <w:sz w:val="26"/>
          <w:szCs w:val="26"/>
        </w:rPr>
      </w:pPr>
    </w:p>
    <w:p w14:paraId="57D4F1A7" w14:textId="77777777" w:rsidR="007D3765" w:rsidRDefault="00500F96">
      <w:pPr>
        <w:spacing w:line="360" w:lineRule="auto"/>
        <w:jc w:val="cente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RESUELVE</w:t>
      </w:r>
    </w:p>
    <w:p w14:paraId="1F4779F3" w14:textId="77777777" w:rsidR="007D3765" w:rsidRDefault="007D3765">
      <w:pPr>
        <w:spacing w:line="360" w:lineRule="auto"/>
        <w:ind w:right="49"/>
        <w:jc w:val="both"/>
        <w:rPr>
          <w:rFonts w:ascii="Palatino Linotype" w:eastAsia="Palatino Linotype" w:hAnsi="Palatino Linotype" w:cs="Palatino Linotype"/>
          <w:b/>
        </w:rPr>
      </w:pPr>
    </w:p>
    <w:p w14:paraId="141E106F" w14:textId="77777777" w:rsidR="007D3765" w:rsidRDefault="00500F9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sidRPr="0090501F">
        <w:rPr>
          <w:rFonts w:ascii="Palatino Linotype" w:eastAsia="Palatino Linotype" w:hAnsi="Palatino Linotype" w:cs="Palatino Linotype"/>
          <w:b/>
        </w:rPr>
        <w:t>parcialmente</w:t>
      </w:r>
      <w:r w:rsidRPr="0090501F">
        <w:rPr>
          <w:rFonts w:ascii="Palatino Linotype" w:eastAsia="Palatino Linotype" w:hAnsi="Palatino Linotype" w:cs="Palatino Linotype"/>
        </w:rPr>
        <w:t xml:space="preserve"> </w:t>
      </w:r>
      <w:r w:rsidRPr="0090501F">
        <w:rPr>
          <w:rFonts w:ascii="Palatino Linotype" w:eastAsia="Palatino Linotype" w:hAnsi="Palatino Linotype" w:cs="Palatino Linotype"/>
          <w:b/>
        </w:rPr>
        <w:t>fundadas</w:t>
      </w:r>
      <w:r>
        <w:rPr>
          <w:rFonts w:ascii="Palatino Linotype" w:eastAsia="Palatino Linotype" w:hAnsi="Palatino Linotype" w:cs="Palatino Linotype"/>
        </w:rPr>
        <w:t xml:space="preserve"> las manifestaciones hechas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06777/INFOEM/IP/RR/2022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w:t>
      </w:r>
    </w:p>
    <w:p w14:paraId="60692BCB" w14:textId="77777777" w:rsidR="007D3765" w:rsidRDefault="007D3765">
      <w:pPr>
        <w:spacing w:line="360" w:lineRule="auto"/>
        <w:ind w:right="49"/>
        <w:jc w:val="both"/>
        <w:rPr>
          <w:rFonts w:ascii="Palatino Linotype" w:eastAsia="Palatino Linotype" w:hAnsi="Palatino Linotype" w:cs="Palatino Linotype"/>
        </w:rPr>
      </w:pPr>
    </w:p>
    <w:p w14:paraId="3DC1F0CD"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se ordena que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haga entrega al Recurrente mediante el Sistema de Acceso a la Información Mexiquense (SAIMEX), de lo siguiente:</w:t>
      </w:r>
    </w:p>
    <w:p w14:paraId="543FAB15" w14:textId="77777777" w:rsidR="007D3765" w:rsidRDefault="00500F96">
      <w:pPr>
        <w:tabs>
          <w:tab w:val="left" w:pos="709"/>
        </w:tabs>
        <w:ind w:left="144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2"/>
          <w:szCs w:val="22"/>
        </w:rPr>
        <w:t>El soporte documental donde conste el presupuesto aprobado por proyecto relativo a la Quinta Regiduría para el ejercicio fiscal dos mil veintidós.</w:t>
      </w:r>
    </w:p>
    <w:p w14:paraId="299330D4" w14:textId="77777777" w:rsidR="007D3765" w:rsidRDefault="007D3765">
      <w:pPr>
        <w:tabs>
          <w:tab w:val="left" w:pos="709"/>
        </w:tabs>
        <w:ind w:left="850" w:right="899"/>
        <w:jc w:val="both"/>
        <w:rPr>
          <w:rFonts w:ascii="Palatino Linotype" w:eastAsia="Palatino Linotype" w:hAnsi="Palatino Linotype" w:cs="Palatino Linotype"/>
          <w:i/>
          <w:sz w:val="20"/>
          <w:szCs w:val="20"/>
        </w:rPr>
      </w:pPr>
    </w:p>
    <w:p w14:paraId="0EC4F396" w14:textId="77777777" w:rsidR="007D3765" w:rsidRDefault="007D3765">
      <w:pPr>
        <w:spacing w:line="360" w:lineRule="auto"/>
        <w:jc w:val="both"/>
        <w:rPr>
          <w:rFonts w:ascii="Palatino Linotype" w:eastAsia="Palatino Linotype" w:hAnsi="Palatino Linotype" w:cs="Palatino Linotype"/>
          <w:b/>
        </w:rPr>
      </w:pPr>
    </w:p>
    <w:p w14:paraId="34C1684E"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ACB559E" w14:textId="77777777" w:rsidR="007D3765" w:rsidRDefault="007D3765">
      <w:pPr>
        <w:spacing w:line="360" w:lineRule="auto"/>
        <w:jc w:val="both"/>
        <w:rPr>
          <w:rFonts w:ascii="Palatino Linotype" w:eastAsia="Palatino Linotype" w:hAnsi="Palatino Linotype" w:cs="Palatino Linotype"/>
          <w:sz w:val="22"/>
          <w:szCs w:val="22"/>
        </w:rPr>
      </w:pPr>
    </w:p>
    <w:p w14:paraId="65A09412"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C5D522D" w14:textId="77777777" w:rsidR="007D3765" w:rsidRDefault="007D3765">
      <w:pPr>
        <w:spacing w:line="360" w:lineRule="auto"/>
        <w:jc w:val="both"/>
        <w:rPr>
          <w:rFonts w:ascii="Palatino Linotype" w:eastAsia="Palatino Linotype" w:hAnsi="Palatino Linotype" w:cs="Palatino Linotype"/>
          <w:sz w:val="22"/>
          <w:szCs w:val="22"/>
        </w:rPr>
      </w:pPr>
    </w:p>
    <w:p w14:paraId="032667CF"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3693368" w14:textId="77777777" w:rsidR="007D3765" w:rsidRDefault="007D3765">
      <w:pPr>
        <w:spacing w:line="360" w:lineRule="auto"/>
        <w:jc w:val="both"/>
        <w:rPr>
          <w:rFonts w:ascii="Palatino Linotype" w:eastAsia="Palatino Linotype" w:hAnsi="Palatino Linotype" w:cs="Palatino Linotype"/>
        </w:rPr>
      </w:pPr>
    </w:p>
    <w:p w14:paraId="25E61A5E" w14:textId="77777777" w:rsidR="007D3765" w:rsidRDefault="00500F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DIEZ DE AGOSTO</w:t>
      </w:r>
      <w:r w:rsidR="0090501F">
        <w:rPr>
          <w:rFonts w:ascii="Palatino Linotype" w:eastAsia="Palatino Linotype" w:hAnsi="Palatino Linotype" w:cs="Palatino Linotype"/>
        </w:rPr>
        <w:t xml:space="preserve"> </w:t>
      </w:r>
      <w:r>
        <w:rPr>
          <w:rFonts w:ascii="Palatino Linotype" w:eastAsia="Palatino Linotype" w:hAnsi="Palatino Linotype" w:cs="Palatino Linotype"/>
        </w:rPr>
        <w:t>DE DOS MIL VEINTIDÓS, ANTE EL SECRETARIO TÉCNICO DEL PLENO, ALEXIS TAPIA RAMÍREZ.</w:t>
      </w:r>
    </w:p>
    <w:p w14:paraId="078E3CD4" w14:textId="77777777" w:rsidR="007D3765" w:rsidRDefault="00500F96">
      <w:pPr>
        <w:spacing w:line="360" w:lineRule="auto"/>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SCMM/BLA/DEMF/PMRE</w:t>
      </w:r>
    </w:p>
    <w:p w14:paraId="76C038B9" w14:textId="77777777" w:rsidR="007D3765" w:rsidRDefault="00500F96">
      <w:pPr>
        <w:rPr>
          <w:rFonts w:ascii="Palatino Linotype" w:eastAsia="Palatino Linotype" w:hAnsi="Palatino Linotype" w:cs="Palatino Linotype"/>
        </w:rPr>
      </w:pPr>
      <w:r>
        <w:br w:type="page"/>
      </w:r>
    </w:p>
    <w:p w14:paraId="474D1BC0" w14:textId="77777777" w:rsidR="007D3765" w:rsidRDefault="007D3765">
      <w:pPr>
        <w:spacing w:line="360" w:lineRule="auto"/>
        <w:jc w:val="both"/>
        <w:rPr>
          <w:rFonts w:ascii="Palatino Linotype" w:eastAsia="Palatino Linotype" w:hAnsi="Palatino Linotype" w:cs="Palatino Linotype"/>
        </w:rPr>
      </w:pPr>
    </w:p>
    <w:p w14:paraId="742E690B" w14:textId="77777777" w:rsidR="007D3765" w:rsidRDefault="007D3765">
      <w:pPr>
        <w:spacing w:line="360" w:lineRule="auto"/>
        <w:jc w:val="both"/>
        <w:rPr>
          <w:rFonts w:ascii="Palatino Linotype" w:eastAsia="Palatino Linotype" w:hAnsi="Palatino Linotype" w:cs="Palatino Linotype"/>
        </w:rPr>
      </w:pPr>
    </w:p>
    <w:p w14:paraId="3380B219" w14:textId="77777777" w:rsidR="007D3765" w:rsidRDefault="007D3765">
      <w:pPr>
        <w:spacing w:line="360" w:lineRule="auto"/>
        <w:jc w:val="both"/>
        <w:rPr>
          <w:rFonts w:ascii="Palatino Linotype" w:eastAsia="Palatino Linotype" w:hAnsi="Palatino Linotype" w:cs="Palatino Linotype"/>
        </w:rPr>
      </w:pPr>
    </w:p>
    <w:p w14:paraId="6B3D4085" w14:textId="77777777" w:rsidR="007D3765" w:rsidRDefault="007D3765">
      <w:pPr>
        <w:spacing w:line="360" w:lineRule="auto"/>
        <w:jc w:val="both"/>
        <w:rPr>
          <w:rFonts w:ascii="Palatino Linotype" w:eastAsia="Palatino Linotype" w:hAnsi="Palatino Linotype" w:cs="Palatino Linotype"/>
        </w:rPr>
      </w:pPr>
    </w:p>
    <w:p w14:paraId="27E12D8C" w14:textId="77777777" w:rsidR="007D3765" w:rsidRDefault="007D3765">
      <w:pPr>
        <w:spacing w:line="360" w:lineRule="auto"/>
        <w:jc w:val="both"/>
        <w:rPr>
          <w:rFonts w:ascii="Palatino Linotype" w:eastAsia="Palatino Linotype" w:hAnsi="Palatino Linotype" w:cs="Palatino Linotype"/>
        </w:rPr>
      </w:pPr>
    </w:p>
    <w:p w14:paraId="049D17D3" w14:textId="77777777" w:rsidR="007D3765" w:rsidRDefault="007D3765">
      <w:pPr>
        <w:spacing w:line="360" w:lineRule="auto"/>
        <w:jc w:val="both"/>
        <w:rPr>
          <w:rFonts w:ascii="Palatino Linotype" w:eastAsia="Palatino Linotype" w:hAnsi="Palatino Linotype" w:cs="Palatino Linotype"/>
        </w:rPr>
      </w:pPr>
    </w:p>
    <w:p w14:paraId="19A7A377" w14:textId="77777777" w:rsidR="007D3765" w:rsidRDefault="007D3765">
      <w:pPr>
        <w:spacing w:line="360" w:lineRule="auto"/>
        <w:jc w:val="both"/>
        <w:rPr>
          <w:rFonts w:ascii="Palatino Linotype" w:eastAsia="Palatino Linotype" w:hAnsi="Palatino Linotype" w:cs="Palatino Linotype"/>
        </w:rPr>
      </w:pPr>
    </w:p>
    <w:p w14:paraId="4F36CD58" w14:textId="77777777" w:rsidR="007D3765" w:rsidRDefault="007D3765">
      <w:pPr>
        <w:spacing w:line="360" w:lineRule="auto"/>
        <w:jc w:val="both"/>
        <w:rPr>
          <w:rFonts w:ascii="Palatino Linotype" w:eastAsia="Palatino Linotype" w:hAnsi="Palatino Linotype" w:cs="Palatino Linotype"/>
        </w:rPr>
      </w:pPr>
    </w:p>
    <w:p w14:paraId="04707CE4" w14:textId="77777777" w:rsidR="007D3765" w:rsidRDefault="007D3765">
      <w:pPr>
        <w:spacing w:line="360" w:lineRule="auto"/>
        <w:jc w:val="both"/>
        <w:rPr>
          <w:rFonts w:ascii="Palatino Linotype" w:eastAsia="Palatino Linotype" w:hAnsi="Palatino Linotype" w:cs="Palatino Linotype"/>
        </w:rPr>
      </w:pPr>
    </w:p>
    <w:p w14:paraId="6A73FB16" w14:textId="77777777" w:rsidR="007D3765" w:rsidRDefault="007D3765">
      <w:pPr>
        <w:spacing w:line="360" w:lineRule="auto"/>
        <w:jc w:val="both"/>
        <w:rPr>
          <w:rFonts w:ascii="Palatino Linotype" w:eastAsia="Palatino Linotype" w:hAnsi="Palatino Linotype" w:cs="Palatino Linotype"/>
        </w:rPr>
      </w:pPr>
    </w:p>
    <w:p w14:paraId="7E746709" w14:textId="77777777" w:rsidR="007D3765" w:rsidRDefault="007D3765">
      <w:pPr>
        <w:spacing w:line="360" w:lineRule="auto"/>
        <w:jc w:val="both"/>
        <w:rPr>
          <w:rFonts w:ascii="Palatino Linotype" w:eastAsia="Palatino Linotype" w:hAnsi="Palatino Linotype" w:cs="Palatino Linotype"/>
        </w:rPr>
      </w:pPr>
    </w:p>
    <w:p w14:paraId="52A1C1A0" w14:textId="77777777" w:rsidR="007D3765" w:rsidRDefault="007D3765">
      <w:pPr>
        <w:spacing w:line="360" w:lineRule="auto"/>
        <w:jc w:val="both"/>
        <w:rPr>
          <w:rFonts w:ascii="Palatino Linotype" w:eastAsia="Palatino Linotype" w:hAnsi="Palatino Linotype" w:cs="Palatino Linotype"/>
        </w:rPr>
      </w:pPr>
    </w:p>
    <w:p w14:paraId="228DEC9F" w14:textId="77777777" w:rsidR="007D3765" w:rsidRDefault="007D3765">
      <w:pPr>
        <w:spacing w:line="360" w:lineRule="auto"/>
        <w:jc w:val="both"/>
        <w:rPr>
          <w:rFonts w:ascii="Palatino Linotype" w:eastAsia="Palatino Linotype" w:hAnsi="Palatino Linotype" w:cs="Palatino Linotype"/>
        </w:rPr>
      </w:pPr>
    </w:p>
    <w:p w14:paraId="39BB4CE7" w14:textId="77777777" w:rsidR="007D3765" w:rsidRDefault="007D3765">
      <w:pPr>
        <w:spacing w:line="360" w:lineRule="auto"/>
        <w:jc w:val="both"/>
        <w:rPr>
          <w:rFonts w:ascii="Palatino Linotype" w:eastAsia="Palatino Linotype" w:hAnsi="Palatino Linotype" w:cs="Palatino Linotype"/>
        </w:rPr>
      </w:pPr>
    </w:p>
    <w:p w14:paraId="61821C26" w14:textId="77777777" w:rsidR="007D3765" w:rsidRDefault="007D3765">
      <w:pPr>
        <w:spacing w:line="360" w:lineRule="auto"/>
        <w:jc w:val="both"/>
        <w:rPr>
          <w:rFonts w:ascii="Palatino Linotype" w:eastAsia="Palatino Linotype" w:hAnsi="Palatino Linotype" w:cs="Palatino Linotype"/>
        </w:rPr>
      </w:pPr>
    </w:p>
    <w:p w14:paraId="577EBCAA" w14:textId="77777777" w:rsidR="007D3765" w:rsidRDefault="007D3765">
      <w:pPr>
        <w:spacing w:line="360" w:lineRule="auto"/>
        <w:jc w:val="both"/>
        <w:rPr>
          <w:rFonts w:ascii="Palatino Linotype" w:eastAsia="Palatino Linotype" w:hAnsi="Palatino Linotype" w:cs="Palatino Linotype"/>
        </w:rPr>
      </w:pPr>
    </w:p>
    <w:p w14:paraId="34189DF3" w14:textId="77777777" w:rsidR="007D3765" w:rsidRDefault="007D3765">
      <w:pPr>
        <w:spacing w:line="360" w:lineRule="auto"/>
        <w:jc w:val="both"/>
        <w:rPr>
          <w:rFonts w:ascii="Palatino Linotype" w:eastAsia="Palatino Linotype" w:hAnsi="Palatino Linotype" w:cs="Palatino Linotype"/>
        </w:rPr>
      </w:pPr>
    </w:p>
    <w:p w14:paraId="2F70451A" w14:textId="77777777" w:rsidR="007D3765" w:rsidRDefault="007D3765">
      <w:pPr>
        <w:spacing w:line="360" w:lineRule="auto"/>
        <w:jc w:val="both"/>
        <w:rPr>
          <w:rFonts w:ascii="Palatino Linotype" w:eastAsia="Palatino Linotype" w:hAnsi="Palatino Linotype" w:cs="Palatino Linotype"/>
        </w:rPr>
      </w:pPr>
    </w:p>
    <w:sectPr w:rsidR="007D3765">
      <w:headerReference w:type="even" r:id="rId37"/>
      <w:headerReference w:type="default" r:id="rId38"/>
      <w:footerReference w:type="default" r:id="rId39"/>
      <w:headerReference w:type="first" r:id="rId40"/>
      <w:footerReference w:type="first" r:id="rId4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2C557" w14:textId="77777777" w:rsidR="004148DA" w:rsidRDefault="004148DA">
      <w:r>
        <w:separator/>
      </w:r>
    </w:p>
  </w:endnote>
  <w:endnote w:type="continuationSeparator" w:id="0">
    <w:p w14:paraId="58FDC167" w14:textId="77777777" w:rsidR="004148DA" w:rsidRDefault="00414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5F90" w14:textId="77777777" w:rsidR="007D3765" w:rsidRDefault="00500F9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279D7">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279D7">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57D6" w14:textId="77777777" w:rsidR="007D3765" w:rsidRDefault="00500F96">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279D7">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279D7">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311F8" w14:textId="77777777" w:rsidR="004148DA" w:rsidRDefault="004148DA">
      <w:r>
        <w:separator/>
      </w:r>
    </w:p>
  </w:footnote>
  <w:footnote w:type="continuationSeparator" w:id="0">
    <w:p w14:paraId="356B6764" w14:textId="77777777" w:rsidR="004148DA" w:rsidRDefault="004148DA">
      <w:r>
        <w:continuationSeparator/>
      </w:r>
    </w:p>
  </w:footnote>
  <w:footnote w:id="1">
    <w:p w14:paraId="516A88B9" w14:textId="77777777" w:rsidR="007D3765" w:rsidRDefault="00500F96">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7FCAA" w14:textId="77777777" w:rsidR="007D3765" w:rsidRDefault="00141C55">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4A3F4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B5D8" w14:textId="77777777" w:rsidR="007D3765" w:rsidRDefault="00141C5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79C32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17"/>
          <w10:wrap anchorx="margin" anchory="margin"/>
        </v:shape>
      </w:pict>
    </w:r>
  </w:p>
  <w:tbl>
    <w:tblPr>
      <w:tblStyle w:val="affffffc"/>
      <w:tblW w:w="9534" w:type="dxa"/>
      <w:tblInd w:w="-142" w:type="dxa"/>
      <w:tblLayout w:type="fixed"/>
      <w:tblLook w:val="0400" w:firstRow="0" w:lastRow="0" w:firstColumn="0" w:lastColumn="0" w:noHBand="0" w:noVBand="1"/>
    </w:tblPr>
    <w:tblGrid>
      <w:gridCol w:w="3261"/>
      <w:gridCol w:w="2551"/>
      <w:gridCol w:w="3722"/>
    </w:tblGrid>
    <w:tr w:rsidR="007D3765" w14:paraId="050FC0D7" w14:textId="77777777">
      <w:tc>
        <w:tcPr>
          <w:tcW w:w="3261" w:type="dxa"/>
          <w:vMerge w:val="restart"/>
        </w:tcPr>
        <w:p w14:paraId="6DBAC681" w14:textId="77777777" w:rsidR="007D3765" w:rsidRDefault="00500F96">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E3D68D0" wp14:editId="24EAC4DD">
                <wp:extent cx="1692162" cy="852673"/>
                <wp:effectExtent l="0" t="0" r="0" b="0"/>
                <wp:docPr id="3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15E350F" w14:textId="77777777" w:rsidR="007D3765" w:rsidRDefault="00500F9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0626441D" w14:textId="77777777" w:rsidR="007D3765" w:rsidRDefault="00500F96">
          <w:pPr>
            <w:jc w:val="both"/>
            <w:rPr>
              <w:rFonts w:ascii="Palatino Linotype" w:eastAsia="Palatino Linotype" w:hAnsi="Palatino Linotype" w:cs="Palatino Linotype"/>
              <w:b/>
            </w:rPr>
          </w:pPr>
          <w:r>
            <w:rPr>
              <w:rFonts w:ascii="Palatino Linotype" w:eastAsia="Palatino Linotype" w:hAnsi="Palatino Linotype" w:cs="Palatino Linotype"/>
              <w:b/>
            </w:rPr>
            <w:t>06777/INFOEM/IP/RR/2022</w:t>
          </w:r>
        </w:p>
      </w:tc>
    </w:tr>
    <w:tr w:rsidR="007D3765" w14:paraId="2B3A8748" w14:textId="77777777">
      <w:tc>
        <w:tcPr>
          <w:tcW w:w="3261" w:type="dxa"/>
          <w:vMerge/>
        </w:tcPr>
        <w:p w14:paraId="4865A357" w14:textId="77777777" w:rsidR="007D3765" w:rsidRDefault="007D376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E381306" w14:textId="77777777" w:rsidR="007D3765" w:rsidRDefault="00500F9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483EC5E4" w14:textId="77777777" w:rsidR="007D3765" w:rsidRDefault="00500F96">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Villa Victoria </w:t>
          </w:r>
        </w:p>
      </w:tc>
    </w:tr>
    <w:tr w:rsidR="007D3765" w14:paraId="17A1A554" w14:textId="77777777">
      <w:trPr>
        <w:trHeight w:val="790"/>
      </w:trPr>
      <w:tc>
        <w:tcPr>
          <w:tcW w:w="3261" w:type="dxa"/>
          <w:vMerge/>
        </w:tcPr>
        <w:p w14:paraId="7F64AB9F" w14:textId="77777777" w:rsidR="007D3765" w:rsidRDefault="007D376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418E421" w14:textId="77777777" w:rsidR="007D3765" w:rsidRDefault="00500F9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59F49915" w14:textId="77777777" w:rsidR="007D3765" w:rsidRDefault="00500F96">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2F50542B" w14:textId="77777777" w:rsidR="007D3765" w:rsidRDefault="007D376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560C" w14:textId="77777777" w:rsidR="007D3765" w:rsidRDefault="00141C55">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D8F0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17"/>
          <w10:wrap anchorx="margin" anchory="margin"/>
        </v:shape>
      </w:pict>
    </w:r>
  </w:p>
  <w:tbl>
    <w:tblPr>
      <w:tblStyle w:val="affffffd"/>
      <w:tblW w:w="9900" w:type="dxa"/>
      <w:tblInd w:w="-833" w:type="dxa"/>
      <w:tblLayout w:type="fixed"/>
      <w:tblLook w:val="0400" w:firstRow="0" w:lastRow="0" w:firstColumn="0" w:lastColumn="0" w:noHBand="0" w:noVBand="1"/>
    </w:tblPr>
    <w:tblGrid>
      <w:gridCol w:w="3805"/>
      <w:gridCol w:w="3000"/>
      <w:gridCol w:w="3095"/>
    </w:tblGrid>
    <w:tr w:rsidR="007D3765" w14:paraId="1F81CA3D" w14:textId="77777777">
      <w:tc>
        <w:tcPr>
          <w:tcW w:w="3805" w:type="dxa"/>
          <w:vMerge w:val="restart"/>
          <w:shd w:val="clear" w:color="auto" w:fill="auto"/>
        </w:tcPr>
        <w:p w14:paraId="32D0EAB8" w14:textId="77777777" w:rsidR="007D3765" w:rsidRDefault="00500F96">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352B635" wp14:editId="2724FF80">
                <wp:extent cx="1692162" cy="852673"/>
                <wp:effectExtent l="0" t="0" r="0" b="0"/>
                <wp:docPr id="3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13C95EF3" w14:textId="77777777" w:rsidR="007D3765" w:rsidRDefault="00500F9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2F4C5C68" w14:textId="77777777" w:rsidR="007D3765" w:rsidRDefault="00500F96">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06777/INFOEM/IP/RR/2022 </w:t>
          </w:r>
        </w:p>
      </w:tc>
    </w:tr>
    <w:tr w:rsidR="007D3765" w14:paraId="425266E6" w14:textId="77777777">
      <w:tc>
        <w:tcPr>
          <w:tcW w:w="3805" w:type="dxa"/>
          <w:vMerge/>
          <w:shd w:val="clear" w:color="auto" w:fill="auto"/>
        </w:tcPr>
        <w:p w14:paraId="51385270" w14:textId="77777777" w:rsidR="007D3765" w:rsidRDefault="007D376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78BF6914" w14:textId="77777777" w:rsidR="007D3765" w:rsidRDefault="00500F96">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622F0EA9" w14:textId="77777777" w:rsidR="007D3765" w:rsidRDefault="007D3765">
          <w:pPr>
            <w:jc w:val="both"/>
            <w:rPr>
              <w:rFonts w:ascii="Palatino Linotype" w:eastAsia="Palatino Linotype" w:hAnsi="Palatino Linotype" w:cs="Palatino Linotype"/>
              <w:b/>
            </w:rPr>
          </w:pPr>
        </w:p>
      </w:tc>
    </w:tr>
    <w:tr w:rsidR="007D3765" w14:paraId="571DAA32" w14:textId="77777777">
      <w:trPr>
        <w:trHeight w:val="228"/>
      </w:trPr>
      <w:tc>
        <w:tcPr>
          <w:tcW w:w="3805" w:type="dxa"/>
          <w:vMerge/>
          <w:shd w:val="clear" w:color="auto" w:fill="auto"/>
        </w:tcPr>
        <w:p w14:paraId="6E4268E8" w14:textId="77777777" w:rsidR="007D3765" w:rsidRDefault="007D376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4BF86F1" w14:textId="77777777" w:rsidR="007D3765" w:rsidRDefault="00500F9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42A88C5D" w14:textId="77777777" w:rsidR="007D3765" w:rsidRDefault="00500F96">
          <w:pPr>
            <w:jc w:val="both"/>
            <w:rPr>
              <w:rFonts w:ascii="Palatino Linotype" w:eastAsia="Palatino Linotype" w:hAnsi="Palatino Linotype" w:cs="Palatino Linotype"/>
              <w:b/>
            </w:rPr>
          </w:pPr>
          <w:r>
            <w:rPr>
              <w:rFonts w:ascii="Palatino Linotype" w:eastAsia="Palatino Linotype" w:hAnsi="Palatino Linotype" w:cs="Palatino Linotype"/>
              <w:b/>
            </w:rPr>
            <w:t>Ayuntamiento de Villa Victoria</w:t>
          </w:r>
        </w:p>
      </w:tc>
    </w:tr>
    <w:tr w:rsidR="007D3765" w14:paraId="457F37D5" w14:textId="77777777">
      <w:tc>
        <w:tcPr>
          <w:tcW w:w="3805" w:type="dxa"/>
          <w:vMerge/>
          <w:shd w:val="clear" w:color="auto" w:fill="auto"/>
        </w:tcPr>
        <w:p w14:paraId="281714E9" w14:textId="77777777" w:rsidR="007D3765" w:rsidRDefault="007D376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889F2D5" w14:textId="77777777" w:rsidR="007D3765" w:rsidRDefault="00500F9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7F359417" w14:textId="77777777" w:rsidR="007D3765" w:rsidRDefault="00500F96">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3C8DBB6C" w14:textId="77777777" w:rsidR="007D3765" w:rsidRDefault="007D3765">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834C1"/>
    <w:multiLevelType w:val="multilevel"/>
    <w:tmpl w:val="2FF64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7357BA"/>
    <w:multiLevelType w:val="multilevel"/>
    <w:tmpl w:val="7798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7B294B"/>
    <w:multiLevelType w:val="multilevel"/>
    <w:tmpl w:val="C2909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A5748D"/>
    <w:multiLevelType w:val="multilevel"/>
    <w:tmpl w:val="1FB27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914A8E"/>
    <w:multiLevelType w:val="multilevel"/>
    <w:tmpl w:val="BE16F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455CB6"/>
    <w:multiLevelType w:val="multilevel"/>
    <w:tmpl w:val="D2BC1A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4023034"/>
    <w:multiLevelType w:val="multilevel"/>
    <w:tmpl w:val="DB8E9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D23DFC"/>
    <w:multiLevelType w:val="multilevel"/>
    <w:tmpl w:val="50FC6A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34444B5"/>
    <w:multiLevelType w:val="multilevel"/>
    <w:tmpl w:val="43B4B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960932"/>
    <w:multiLevelType w:val="multilevel"/>
    <w:tmpl w:val="0B44A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4173B8"/>
    <w:multiLevelType w:val="multilevel"/>
    <w:tmpl w:val="3DFAF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B70174"/>
    <w:multiLevelType w:val="multilevel"/>
    <w:tmpl w:val="EA288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B75AAA"/>
    <w:multiLevelType w:val="multilevel"/>
    <w:tmpl w:val="0A469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81858116">
    <w:abstractNumId w:val="1"/>
  </w:num>
  <w:num w:numId="2" w16cid:durableId="2002268534">
    <w:abstractNumId w:val="5"/>
  </w:num>
  <w:num w:numId="3" w16cid:durableId="1576932669">
    <w:abstractNumId w:val="2"/>
  </w:num>
  <w:num w:numId="4" w16cid:durableId="244535203">
    <w:abstractNumId w:val="12"/>
  </w:num>
  <w:num w:numId="5" w16cid:durableId="266666397">
    <w:abstractNumId w:val="4"/>
  </w:num>
  <w:num w:numId="6" w16cid:durableId="148329823">
    <w:abstractNumId w:val="0"/>
  </w:num>
  <w:num w:numId="7" w16cid:durableId="1681278768">
    <w:abstractNumId w:val="11"/>
  </w:num>
  <w:num w:numId="8" w16cid:durableId="581067561">
    <w:abstractNumId w:val="9"/>
  </w:num>
  <w:num w:numId="9" w16cid:durableId="721366264">
    <w:abstractNumId w:val="8"/>
  </w:num>
  <w:num w:numId="10" w16cid:durableId="237642461">
    <w:abstractNumId w:val="3"/>
  </w:num>
  <w:num w:numId="11" w16cid:durableId="1743328888">
    <w:abstractNumId w:val="10"/>
  </w:num>
  <w:num w:numId="12" w16cid:durableId="982733997">
    <w:abstractNumId w:val="7"/>
  </w:num>
  <w:num w:numId="13" w16cid:durableId="18592769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765"/>
    <w:rsid w:val="000279D7"/>
    <w:rsid w:val="00141C55"/>
    <w:rsid w:val="001C20CA"/>
    <w:rsid w:val="001D7350"/>
    <w:rsid w:val="004148DA"/>
    <w:rsid w:val="00500F96"/>
    <w:rsid w:val="007D3765"/>
    <w:rsid w:val="009050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1ACEB3"/>
  <w15:docId w15:val="{41BD512E-C494-41D4-A55D-7586F1217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7"/>
    <w:tblPr>
      <w:tblStyleRowBandSize w:val="1"/>
      <w:tblStyleColBandSize w:val="1"/>
      <w:tblCellMar>
        <w:top w:w="100" w:type="dxa"/>
        <w:left w:w="100" w:type="dxa"/>
        <w:bottom w:w="100" w:type="dxa"/>
        <w:right w:w="100" w:type="dxa"/>
      </w:tblCellMar>
    </w:tblPr>
  </w:style>
  <w:style w:type="table" w:customStyle="1" w:styleId="a0">
    <w:basedOn w:val="TableNormalff7"/>
    <w:tblPr>
      <w:tblStyleRowBandSize w:val="1"/>
      <w:tblStyleColBandSize w:val="1"/>
      <w:tblCellMar>
        <w:left w:w="115" w:type="dxa"/>
        <w:right w:w="115" w:type="dxa"/>
      </w:tblCellMar>
    </w:tblPr>
  </w:style>
  <w:style w:type="table" w:customStyle="1" w:styleId="a1">
    <w:basedOn w:val="TableNormalff7"/>
    <w:tblPr>
      <w:tblStyleRowBandSize w:val="1"/>
      <w:tblStyleColBandSize w:val="1"/>
      <w:tblCellMar>
        <w:left w:w="115" w:type="dxa"/>
        <w:right w:w="115" w:type="dxa"/>
      </w:tblCellMar>
    </w:tblPr>
  </w:style>
  <w:style w:type="table" w:customStyle="1" w:styleId="a2">
    <w:basedOn w:val="TableNormalff7"/>
    <w:tblPr>
      <w:tblStyleRowBandSize w:val="1"/>
      <w:tblStyleColBandSize w:val="1"/>
      <w:tblCellMar>
        <w:left w:w="115" w:type="dxa"/>
        <w:right w:w="115" w:type="dxa"/>
      </w:tblCellMar>
    </w:tblPr>
  </w:style>
  <w:style w:type="table" w:customStyle="1" w:styleId="a3">
    <w:basedOn w:val="TableNormalff7"/>
    <w:tblPr>
      <w:tblStyleRowBandSize w:val="1"/>
      <w:tblStyleColBandSize w:val="1"/>
      <w:tblCellMar>
        <w:left w:w="115" w:type="dxa"/>
        <w:right w:w="115" w:type="dxa"/>
      </w:tblCellMar>
    </w:tblPr>
  </w:style>
  <w:style w:type="table" w:customStyle="1" w:styleId="a4">
    <w:basedOn w:val="TableNormalff7"/>
    <w:tblPr>
      <w:tblStyleRowBandSize w:val="1"/>
      <w:tblStyleColBandSize w:val="1"/>
      <w:tblCellMar>
        <w:left w:w="115" w:type="dxa"/>
        <w:right w:w="115" w:type="dxa"/>
      </w:tblCellMar>
    </w:tblPr>
  </w:style>
  <w:style w:type="table" w:customStyle="1" w:styleId="a5">
    <w:basedOn w:val="TableNormalff7"/>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7"/>
    <w:tblPr>
      <w:tblStyleRowBandSize w:val="1"/>
      <w:tblStyleColBandSize w:val="1"/>
      <w:tblCellMar>
        <w:left w:w="115" w:type="dxa"/>
        <w:right w:w="115" w:type="dxa"/>
      </w:tblCellMar>
    </w:tblPr>
  </w:style>
  <w:style w:type="table" w:customStyle="1" w:styleId="a7">
    <w:basedOn w:val="TableNormalff7"/>
    <w:tblPr>
      <w:tblStyleRowBandSize w:val="1"/>
      <w:tblStyleColBandSize w:val="1"/>
      <w:tblCellMar>
        <w:left w:w="115" w:type="dxa"/>
        <w:right w:w="115" w:type="dxa"/>
      </w:tblCellMar>
    </w:tblPr>
  </w:style>
  <w:style w:type="table" w:customStyle="1" w:styleId="a8">
    <w:basedOn w:val="TableNormalff7"/>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7"/>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4"/>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6"/>
    <w:tblPr>
      <w:tblStyleRowBandSize w:val="1"/>
      <w:tblStyleColBandSize w:val="1"/>
      <w:tblCellMar>
        <w:left w:w="115" w:type="dxa"/>
        <w:right w:w="115" w:type="dxa"/>
      </w:tblCellMar>
    </w:tblPr>
  </w:style>
  <w:style w:type="table" w:customStyle="1" w:styleId="afff3">
    <w:basedOn w:val="TableNormalf6"/>
    <w:tblPr>
      <w:tblStyleRowBandSize w:val="1"/>
      <w:tblStyleColBandSize w:val="1"/>
      <w:tblCellMar>
        <w:top w:w="100" w:type="dxa"/>
        <w:left w:w="100" w:type="dxa"/>
        <w:bottom w:w="100" w:type="dxa"/>
        <w:right w:w="100" w:type="dxa"/>
      </w:tblCellMar>
    </w:tblPr>
  </w:style>
  <w:style w:type="table" w:customStyle="1" w:styleId="afff4">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6"/>
    <w:tblPr>
      <w:tblStyleRowBandSize w:val="1"/>
      <w:tblStyleColBandSize w:val="1"/>
      <w:tblCellMar>
        <w:top w:w="100" w:type="dxa"/>
        <w:left w:w="100" w:type="dxa"/>
        <w:bottom w:w="100" w:type="dxa"/>
        <w:right w:w="100" w:type="dxa"/>
      </w:tblCellMar>
    </w:tblPr>
  </w:style>
  <w:style w:type="table" w:customStyle="1" w:styleId="afff7">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6"/>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6"/>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ykwvZf2AZX0vdf30Y4DZ+vsS/A==">AMUW2mW3HK+o3fpXJRMJPBP9S/xznylhIDaPTPk0C48e4WSShoftZZofCZzlUqzIAKquRgpybBEtds9PUVcVYELQK82bSYCLHG0dC43KdltcUIQSeyPSZa5WrOO7io0z/MrmIJu44m1VICKT9CyUpiwcDVLrIeMOZ7PwwC7O4f5PF1ll1MRVCMHfnHeYPRaE3gxaaux4M6jG9/WuZ01W8qMsqyT0qCXIoI+glnAOXUrSQWy0DkyDkAq+NB2cvuNMRaqZx1ELDDmL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7139</Words>
  <Characters>39269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5</cp:revision>
  <cp:lastPrinted>2022-08-12T00:22:00Z</cp:lastPrinted>
  <dcterms:created xsi:type="dcterms:W3CDTF">2022-08-11T01:07:00Z</dcterms:created>
  <dcterms:modified xsi:type="dcterms:W3CDTF">2022-08-12T00:22:00Z</dcterms:modified>
</cp:coreProperties>
</file>