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84998">
        <w:rPr>
          <w:rFonts w:ascii="Palatino Linotype" w:eastAsia="Palatino Linotype" w:hAnsi="Palatino Linotype" w:cs="Palatino Linotype"/>
        </w:rPr>
        <w:t>tres</w:t>
      </w:r>
      <w:r>
        <w:rPr>
          <w:rFonts w:ascii="Palatino Linotype" w:eastAsia="Palatino Linotype" w:hAnsi="Palatino Linotype" w:cs="Palatino Linotype"/>
        </w:rPr>
        <w:t xml:space="preserve"> de </w:t>
      </w:r>
      <w:r w:rsidR="00884998">
        <w:rPr>
          <w:rFonts w:ascii="Palatino Linotype" w:eastAsia="Palatino Linotype" w:hAnsi="Palatino Linotype" w:cs="Palatino Linotype"/>
        </w:rPr>
        <w:t>agosto</w:t>
      </w:r>
      <w:r>
        <w:rPr>
          <w:rFonts w:ascii="Palatino Linotype" w:eastAsia="Palatino Linotype" w:hAnsi="Palatino Linotype" w:cs="Palatino Linotype"/>
        </w:rPr>
        <w:t xml:space="preserve"> de dos mil veintidós.</w:t>
      </w:r>
    </w:p>
    <w:p w:rsidR="00814AB9" w:rsidRDefault="00795D52">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11</w:t>
      </w:r>
      <w:r w:rsidR="00440B16">
        <w:rPr>
          <w:rFonts w:ascii="Palatino Linotype" w:eastAsia="Palatino Linotype" w:hAnsi="Palatino Linotype" w:cs="Palatino Linotype"/>
          <w:b/>
        </w:rPr>
        <w:t xml:space="preserve">464/INFOEM/IP/RR/2022 </w:t>
      </w:r>
      <w:r>
        <w:rPr>
          <w:rFonts w:ascii="Palatino Linotype" w:eastAsia="Palatino Linotype" w:hAnsi="Palatino Linotype" w:cs="Palatino Linotype"/>
          <w:b/>
        </w:rPr>
        <w:t>y 11</w:t>
      </w:r>
      <w:r w:rsidR="00440B16">
        <w:rPr>
          <w:rFonts w:ascii="Palatino Linotype" w:eastAsia="Palatino Linotype" w:hAnsi="Palatino Linotype" w:cs="Palatino Linotype"/>
          <w:b/>
        </w:rPr>
        <w:t>466</w:t>
      </w:r>
      <w:r>
        <w:rPr>
          <w:rFonts w:ascii="Palatino Linotype" w:eastAsia="Palatino Linotype" w:hAnsi="Palatino Linotype" w:cs="Palatino Linotype"/>
          <w:b/>
        </w:rPr>
        <w:t>/INFOEM/IP/RR/2022 acumulados,</w:t>
      </w:r>
      <w:r>
        <w:rPr>
          <w:rFonts w:ascii="Palatino Linotype" w:eastAsia="Palatino Linotype" w:hAnsi="Palatino Linotype" w:cs="Palatino Linotype"/>
        </w:rPr>
        <w:t xml:space="preserve"> interpuestos </w:t>
      </w:r>
      <w:r w:rsidR="00440B16">
        <w:rPr>
          <w:rFonts w:ascii="Palatino Linotype" w:eastAsia="Palatino Linotype" w:hAnsi="Palatino Linotype" w:cs="Palatino Linotype"/>
        </w:rPr>
        <w:t>por una persona usuaria del Sistema de Acceso a la Información Mexiquense (SAIMEX)</w:t>
      </w:r>
      <w:r>
        <w:rPr>
          <w:rFonts w:ascii="Palatino Linotype" w:eastAsia="Palatino Linotype" w:hAnsi="Palatino Linotype" w:cs="Palatino Linotype"/>
        </w:rPr>
        <w:t xml:space="preserve"> quien en lo su</w:t>
      </w:r>
      <w:r w:rsidR="00440B16">
        <w:rPr>
          <w:rFonts w:ascii="Palatino Linotype" w:eastAsia="Palatino Linotype" w:hAnsi="Palatino Linotype" w:cs="Palatino Linotype"/>
        </w:rPr>
        <w:t>cesivo será identificado como 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respuestas del </w:t>
      </w:r>
      <w:r>
        <w:rPr>
          <w:rFonts w:ascii="Palatino Linotype" w:eastAsia="Palatino Linotype" w:hAnsi="Palatino Linotype" w:cs="Palatino Linotype"/>
          <w:b/>
        </w:rPr>
        <w:t xml:space="preserve">Ayuntamiento de </w:t>
      </w:r>
      <w:r w:rsidR="00440B16">
        <w:rPr>
          <w:rFonts w:ascii="Palatino Linotype" w:eastAsia="Palatino Linotype" w:hAnsi="Palatino Linotype" w:cs="Palatino Linotype"/>
          <w:b/>
        </w:rPr>
        <w:t>Zinacantepec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bookmarkStart w:id="1" w:name="_GoBack"/>
      <w:bookmarkEnd w:id="1"/>
    </w:p>
    <w:p w:rsidR="00814AB9" w:rsidRDefault="00795D52">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814AB9" w:rsidRDefault="00795D52">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w:t>
      </w:r>
      <w:r w:rsidR="00440B16">
        <w:rPr>
          <w:rFonts w:ascii="Palatino Linotype" w:eastAsia="Palatino Linotype" w:hAnsi="Palatino Linotype" w:cs="Palatino Linotype"/>
          <w:b/>
        </w:rPr>
        <w:t>veintiséis</w:t>
      </w:r>
      <w:r>
        <w:rPr>
          <w:rFonts w:ascii="Palatino Linotype" w:eastAsia="Palatino Linotype" w:hAnsi="Palatino Linotype" w:cs="Palatino Linotype"/>
          <w:b/>
        </w:rPr>
        <w:t xml:space="preserve"> de mayo de dos mil veintidós</w:t>
      </w:r>
      <w:r w:rsidR="00325281">
        <w:rPr>
          <w:rFonts w:ascii="Palatino Linotype" w:eastAsia="Palatino Linotype" w:hAnsi="Palatino Linotype" w:cs="Palatino Linotype"/>
        </w:rPr>
        <w:t>, 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14AB9">
        <w:tc>
          <w:tcPr>
            <w:tcW w:w="3256" w:type="dxa"/>
            <w:shd w:val="clear" w:color="auto" w:fill="D9D9D9"/>
          </w:tcPr>
          <w:p w:rsidR="00814AB9" w:rsidRDefault="00795D52">
            <w:pPr>
              <w:jc w:val="both"/>
              <w:rPr>
                <w:rFonts w:ascii="Palatino Linotype" w:eastAsia="Palatino Linotype" w:hAnsi="Palatino Linotype" w:cs="Palatino Linotype"/>
                <w:b/>
                <w:i/>
                <w:sz w:val="22"/>
                <w:szCs w:val="22"/>
              </w:rPr>
            </w:pPr>
            <w:bookmarkStart w:id="3" w:name="_heading=h.1fob9te" w:colFirst="0" w:colLast="0"/>
            <w:bookmarkEnd w:id="3"/>
            <w:r>
              <w:rPr>
                <w:rFonts w:ascii="Palatino Linotype" w:eastAsia="Palatino Linotype" w:hAnsi="Palatino Linotype" w:cs="Palatino Linotype"/>
                <w:b/>
                <w:i/>
                <w:sz w:val="22"/>
                <w:szCs w:val="22"/>
              </w:rPr>
              <w:t>Número de solicitud</w:t>
            </w:r>
          </w:p>
        </w:tc>
        <w:tc>
          <w:tcPr>
            <w:tcW w:w="5572" w:type="dxa"/>
            <w:shd w:val="clear" w:color="auto" w:fill="D9D9D9"/>
          </w:tcPr>
          <w:p w:rsidR="00814AB9" w:rsidRDefault="00795D52">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814AB9">
        <w:tc>
          <w:tcPr>
            <w:tcW w:w="3256" w:type="dxa"/>
          </w:tcPr>
          <w:p w:rsidR="00814AB9" w:rsidRDefault="00795D52" w:rsidP="00440B16">
            <w:pPr>
              <w:jc w:val="both"/>
              <w:rPr>
                <w:rFonts w:ascii="Palatino Linotype" w:eastAsia="Palatino Linotype" w:hAnsi="Palatino Linotype" w:cs="Palatino Linotype"/>
                <w:b/>
                <w:i/>
                <w:sz w:val="22"/>
                <w:szCs w:val="22"/>
              </w:rPr>
            </w:pPr>
            <w:bookmarkStart w:id="4" w:name="_heading=h.3znysh7" w:colFirst="0" w:colLast="0"/>
            <w:bookmarkEnd w:id="4"/>
            <w:r>
              <w:rPr>
                <w:rFonts w:ascii="Palatino Linotype" w:eastAsia="Palatino Linotype" w:hAnsi="Palatino Linotype" w:cs="Palatino Linotype"/>
                <w:b/>
                <w:i/>
                <w:sz w:val="22"/>
                <w:szCs w:val="22"/>
              </w:rPr>
              <w:t>00</w:t>
            </w:r>
            <w:r w:rsidR="00440B16">
              <w:rPr>
                <w:rFonts w:ascii="Palatino Linotype" w:eastAsia="Palatino Linotype" w:hAnsi="Palatino Linotype" w:cs="Palatino Linotype"/>
                <w:b/>
                <w:i/>
                <w:sz w:val="22"/>
                <w:szCs w:val="22"/>
              </w:rPr>
              <w:t>290</w:t>
            </w:r>
            <w:r>
              <w:rPr>
                <w:rFonts w:ascii="Palatino Linotype" w:eastAsia="Palatino Linotype" w:hAnsi="Palatino Linotype" w:cs="Palatino Linotype"/>
                <w:b/>
                <w:i/>
                <w:sz w:val="22"/>
                <w:szCs w:val="22"/>
              </w:rPr>
              <w:t>/</w:t>
            </w:r>
            <w:r w:rsidR="00440B16">
              <w:rPr>
                <w:rFonts w:ascii="Palatino Linotype" w:eastAsia="Palatino Linotype" w:hAnsi="Palatino Linotype" w:cs="Palatino Linotype"/>
                <w:b/>
                <w:i/>
                <w:sz w:val="22"/>
                <w:szCs w:val="22"/>
              </w:rPr>
              <w:t>ZINACANT</w:t>
            </w:r>
            <w:r>
              <w:rPr>
                <w:rFonts w:ascii="Palatino Linotype" w:eastAsia="Palatino Linotype" w:hAnsi="Palatino Linotype" w:cs="Palatino Linotype"/>
                <w:b/>
                <w:i/>
                <w:sz w:val="22"/>
                <w:szCs w:val="22"/>
              </w:rPr>
              <w:t>/IP/2022 11</w:t>
            </w:r>
            <w:r w:rsidR="00440B16">
              <w:rPr>
                <w:rFonts w:ascii="Palatino Linotype" w:eastAsia="Palatino Linotype" w:hAnsi="Palatino Linotype" w:cs="Palatino Linotype"/>
                <w:b/>
                <w:i/>
                <w:sz w:val="22"/>
                <w:szCs w:val="22"/>
              </w:rPr>
              <w:t>46</w:t>
            </w:r>
            <w:r>
              <w:rPr>
                <w:rFonts w:ascii="Palatino Linotype" w:eastAsia="Palatino Linotype" w:hAnsi="Palatino Linotype" w:cs="Palatino Linotype"/>
                <w:b/>
                <w:i/>
                <w:sz w:val="22"/>
                <w:szCs w:val="22"/>
              </w:rPr>
              <w:t>4/INFOEM/IP/RR/2022</w:t>
            </w:r>
          </w:p>
        </w:tc>
        <w:tc>
          <w:tcPr>
            <w:tcW w:w="5572" w:type="dxa"/>
          </w:tcPr>
          <w:p w:rsidR="00814AB9" w:rsidRDefault="00795D52">
            <w:pPr>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sidR="00440B16" w:rsidRPr="00440B16">
              <w:rPr>
                <w:rFonts w:ascii="Palatino Linotype" w:eastAsia="Palatino Linotype" w:hAnsi="Palatino Linotype" w:cs="Palatino Linotype"/>
                <w:i/>
                <w:sz w:val="22"/>
                <w:szCs w:val="22"/>
              </w:rPr>
              <w:t>Solicito copia de todas las actas, de todos los consejos municipales instalados a la fecha, que hayan sesionado durante los meses de enero, febrero, marzo, abril y Mayo</w:t>
            </w:r>
            <w:r>
              <w:rPr>
                <w:rFonts w:ascii="Palatino Linotype" w:eastAsia="Palatino Linotype" w:hAnsi="Palatino Linotype" w:cs="Palatino Linotype"/>
                <w:i/>
                <w:sz w:val="22"/>
                <w:szCs w:val="22"/>
              </w:rPr>
              <w:t>.” (Sic)</w:t>
            </w:r>
          </w:p>
        </w:tc>
      </w:tr>
      <w:tr w:rsidR="00814AB9">
        <w:tc>
          <w:tcPr>
            <w:tcW w:w="3256" w:type="dxa"/>
          </w:tcPr>
          <w:p w:rsidR="00814AB9" w:rsidRDefault="00795D52" w:rsidP="00440B16">
            <w:r>
              <w:rPr>
                <w:rFonts w:ascii="Palatino Linotype" w:eastAsia="Palatino Linotype" w:hAnsi="Palatino Linotype" w:cs="Palatino Linotype"/>
                <w:b/>
                <w:i/>
                <w:sz w:val="22"/>
                <w:szCs w:val="22"/>
              </w:rPr>
              <w:t>00</w:t>
            </w:r>
            <w:r w:rsidR="00440B16">
              <w:rPr>
                <w:rFonts w:ascii="Palatino Linotype" w:eastAsia="Palatino Linotype" w:hAnsi="Palatino Linotype" w:cs="Palatino Linotype"/>
                <w:b/>
                <w:i/>
                <w:sz w:val="22"/>
                <w:szCs w:val="22"/>
              </w:rPr>
              <w:t>292</w:t>
            </w:r>
            <w:r>
              <w:rPr>
                <w:rFonts w:ascii="Palatino Linotype" w:eastAsia="Palatino Linotype" w:hAnsi="Palatino Linotype" w:cs="Palatino Linotype"/>
                <w:b/>
                <w:i/>
                <w:sz w:val="22"/>
                <w:szCs w:val="22"/>
              </w:rPr>
              <w:t>/</w:t>
            </w:r>
            <w:r w:rsidR="00440B16">
              <w:rPr>
                <w:rFonts w:ascii="Palatino Linotype" w:eastAsia="Palatino Linotype" w:hAnsi="Palatino Linotype" w:cs="Palatino Linotype"/>
                <w:b/>
                <w:i/>
                <w:sz w:val="22"/>
                <w:szCs w:val="22"/>
              </w:rPr>
              <w:t>ZINACANT</w:t>
            </w:r>
            <w:r>
              <w:rPr>
                <w:rFonts w:ascii="Palatino Linotype" w:eastAsia="Palatino Linotype" w:hAnsi="Palatino Linotype" w:cs="Palatino Linotype"/>
                <w:b/>
                <w:i/>
                <w:sz w:val="22"/>
                <w:szCs w:val="22"/>
              </w:rPr>
              <w:t>/IP/2022 11</w:t>
            </w:r>
            <w:r w:rsidR="00440B16">
              <w:rPr>
                <w:rFonts w:ascii="Palatino Linotype" w:eastAsia="Palatino Linotype" w:hAnsi="Palatino Linotype" w:cs="Palatino Linotype"/>
                <w:b/>
                <w:i/>
                <w:sz w:val="22"/>
                <w:szCs w:val="22"/>
              </w:rPr>
              <w:t>466</w:t>
            </w:r>
            <w:r>
              <w:rPr>
                <w:rFonts w:ascii="Palatino Linotype" w:eastAsia="Palatino Linotype" w:hAnsi="Palatino Linotype" w:cs="Palatino Linotype"/>
                <w:b/>
                <w:i/>
                <w:sz w:val="22"/>
                <w:szCs w:val="22"/>
              </w:rPr>
              <w:t>/INFOEM/IP/RR/2022</w:t>
            </w:r>
          </w:p>
        </w:tc>
        <w:tc>
          <w:tcPr>
            <w:tcW w:w="5572" w:type="dxa"/>
          </w:tcPr>
          <w:p w:rsidR="00814AB9" w:rsidRDefault="00440B16">
            <w:pPr>
              <w:jc w:val="both"/>
              <w:rPr>
                <w:rFonts w:ascii="Palatino Linotype" w:eastAsia="Palatino Linotype" w:hAnsi="Palatino Linotype" w:cs="Palatino Linotype"/>
                <w:i/>
                <w:sz w:val="22"/>
                <w:szCs w:val="22"/>
              </w:rPr>
            </w:pPr>
            <w:r w:rsidRPr="00440B16">
              <w:rPr>
                <w:rFonts w:ascii="Palatino Linotype" w:eastAsia="Palatino Linotype" w:hAnsi="Palatino Linotype" w:cs="Palatino Linotype"/>
                <w:i/>
                <w:sz w:val="22"/>
                <w:szCs w:val="22"/>
              </w:rPr>
              <w:t>Solicito copia de todas las actas, de todos los consejos municipales instalados a la fecha, que hayan sesionado durante los meses de enero, febrero, marzo, abril y Mayo</w:t>
            </w:r>
            <w:r w:rsidR="00795D52">
              <w:rPr>
                <w:rFonts w:ascii="Palatino Linotype" w:eastAsia="Palatino Linotype" w:hAnsi="Palatino Linotype" w:cs="Palatino Linotype"/>
                <w:i/>
                <w:sz w:val="22"/>
                <w:szCs w:val="22"/>
              </w:rPr>
              <w:t>.” (Sic)</w:t>
            </w:r>
          </w:p>
        </w:tc>
      </w:tr>
    </w:tbl>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w:t>
      </w:r>
    </w:p>
    <w:p w:rsidR="00814AB9" w:rsidRDefault="00795D52">
      <w:pPr>
        <w:spacing w:before="240" w:after="240" w:line="360" w:lineRule="auto"/>
        <w:jc w:val="both"/>
        <w:rPr>
          <w:rFonts w:ascii="Palatino Linotype" w:eastAsia="Palatino Linotype" w:hAnsi="Palatino Linotype" w:cs="Palatino Linotype"/>
          <w:b/>
          <w:sz w:val="22"/>
          <w:szCs w:val="22"/>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no respondió a las solicitudes </w:t>
      </w:r>
      <w:r w:rsidR="00475939">
        <w:rPr>
          <w:rFonts w:ascii="Palatino Linotype" w:eastAsia="Palatino Linotype" w:hAnsi="Palatino Linotype" w:cs="Palatino Linotype"/>
        </w:rPr>
        <w:t>de información formuladas por 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la falta de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606312">
        <w:rPr>
          <w:rFonts w:ascii="Palatino Linotype" w:eastAsia="Palatino Linotype" w:hAnsi="Palatino Linotype" w:cs="Palatino Linotype"/>
          <w:b/>
        </w:rPr>
        <w:t>diecisiete</w:t>
      </w:r>
      <w:r>
        <w:rPr>
          <w:rFonts w:ascii="Palatino Linotype" w:eastAsia="Palatino Linotype" w:hAnsi="Palatino Linotype" w:cs="Palatino Linotype"/>
          <w:b/>
        </w:rPr>
        <w:t xml:space="preserve"> de junio de dos mil veintidós</w:t>
      </w:r>
      <w:r w:rsidR="00475939">
        <w:rPr>
          <w:rFonts w:ascii="Palatino Linotype" w:eastAsia="Palatino Linotype" w:hAnsi="Palatino Linotype" w:cs="Palatino Linotype"/>
        </w:rPr>
        <w:t>, 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14AB9">
        <w:tc>
          <w:tcPr>
            <w:tcW w:w="3256" w:type="dxa"/>
            <w:shd w:val="clear" w:color="auto" w:fill="D9D9D9"/>
          </w:tcPr>
          <w:p w:rsidR="00814AB9" w:rsidRDefault="00795D52">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Recurso de Revisión </w:t>
            </w:r>
          </w:p>
        </w:tc>
        <w:tc>
          <w:tcPr>
            <w:tcW w:w="5572" w:type="dxa"/>
            <w:shd w:val="clear" w:color="auto" w:fill="D9D9D9"/>
          </w:tcPr>
          <w:p w:rsidR="00814AB9" w:rsidRDefault="00795D52">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814AB9">
        <w:tc>
          <w:tcPr>
            <w:tcW w:w="3256" w:type="dxa"/>
          </w:tcPr>
          <w:p w:rsidR="00814AB9" w:rsidRDefault="00795D52" w:rsidP="00606312">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11</w:t>
            </w:r>
            <w:r w:rsidR="00606312">
              <w:rPr>
                <w:rFonts w:ascii="Palatino Linotype" w:eastAsia="Palatino Linotype" w:hAnsi="Palatino Linotype" w:cs="Palatino Linotype"/>
                <w:b/>
                <w:i/>
                <w:sz w:val="20"/>
                <w:szCs w:val="20"/>
              </w:rPr>
              <w:t>464</w:t>
            </w:r>
            <w:r>
              <w:rPr>
                <w:rFonts w:ascii="Palatino Linotype" w:eastAsia="Palatino Linotype" w:hAnsi="Palatino Linotype" w:cs="Palatino Linotype"/>
                <w:b/>
                <w:i/>
                <w:sz w:val="20"/>
                <w:szCs w:val="20"/>
              </w:rPr>
              <w:t xml:space="preserve">/INFOEM/IP/RR/2022, </w:t>
            </w:r>
          </w:p>
        </w:tc>
        <w:tc>
          <w:tcPr>
            <w:tcW w:w="5572" w:type="dxa"/>
          </w:tcPr>
          <w:p w:rsidR="00814AB9" w:rsidRDefault="00795D5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814AB9">
        <w:tc>
          <w:tcPr>
            <w:tcW w:w="3256" w:type="dxa"/>
          </w:tcPr>
          <w:p w:rsidR="00814AB9" w:rsidRDefault="00795D52" w:rsidP="00606312">
            <w:r>
              <w:rPr>
                <w:rFonts w:ascii="Palatino Linotype" w:eastAsia="Palatino Linotype" w:hAnsi="Palatino Linotype" w:cs="Palatino Linotype"/>
                <w:b/>
                <w:i/>
                <w:sz w:val="20"/>
                <w:szCs w:val="20"/>
              </w:rPr>
              <w:t>11</w:t>
            </w:r>
            <w:r w:rsidR="00606312">
              <w:rPr>
                <w:rFonts w:ascii="Palatino Linotype" w:eastAsia="Palatino Linotype" w:hAnsi="Palatino Linotype" w:cs="Palatino Linotype"/>
                <w:b/>
                <w:i/>
                <w:sz w:val="20"/>
                <w:szCs w:val="20"/>
              </w:rPr>
              <w:t>466</w:t>
            </w:r>
            <w:r>
              <w:rPr>
                <w:rFonts w:ascii="Palatino Linotype" w:eastAsia="Palatino Linotype" w:hAnsi="Palatino Linotype" w:cs="Palatino Linotype"/>
                <w:b/>
                <w:i/>
                <w:sz w:val="20"/>
                <w:szCs w:val="20"/>
              </w:rPr>
              <w:t xml:space="preserve">/INFOEM/IP/RR/2022 </w:t>
            </w:r>
          </w:p>
        </w:tc>
        <w:tc>
          <w:tcPr>
            <w:tcW w:w="5572" w:type="dxa"/>
          </w:tcPr>
          <w:p w:rsidR="00814AB9" w:rsidRDefault="0060631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Luis Gustavo Parra Noriega</w:t>
            </w:r>
          </w:p>
        </w:tc>
      </w:tr>
    </w:tbl>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sidR="00606312">
        <w:rPr>
          <w:rFonts w:ascii="Palatino Linotype" w:eastAsia="Palatino Linotype" w:hAnsi="Palatino Linotype" w:cs="Palatino Linotype"/>
          <w:b/>
        </w:rPr>
        <w:t>veintidós y veintitrés</w:t>
      </w:r>
      <w:r>
        <w:rPr>
          <w:rFonts w:ascii="Palatino Linotype" w:eastAsia="Palatino Linotype" w:hAnsi="Palatino Linotype" w:cs="Palatino Linotype"/>
          <w:b/>
        </w:rPr>
        <w:t xml:space="preserve"> de junio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 xml:space="preserve">Vigésima </w:t>
      </w:r>
      <w:r w:rsidR="00606312">
        <w:rPr>
          <w:rFonts w:ascii="Palatino Linotype" w:eastAsia="Palatino Linotype" w:hAnsi="Palatino Linotype" w:cs="Palatino Linotype"/>
          <w:b/>
        </w:rPr>
        <w:t>Cuarta</w:t>
      </w:r>
      <w:r>
        <w:rPr>
          <w:rFonts w:ascii="Palatino Linotype" w:eastAsia="Palatino Linotype" w:hAnsi="Palatino Linotype" w:cs="Palatino Linotype"/>
          <w:b/>
        </w:rPr>
        <w:t xml:space="preserve">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veinti</w:t>
      </w:r>
      <w:r w:rsidR="00606312">
        <w:rPr>
          <w:rFonts w:ascii="Palatino Linotype" w:eastAsia="Palatino Linotype" w:hAnsi="Palatino Linotype" w:cs="Palatino Linotype"/>
          <w:b/>
        </w:rPr>
        <w:t>nueve</w:t>
      </w:r>
      <w:r>
        <w:rPr>
          <w:rFonts w:ascii="Palatino Linotype" w:eastAsia="Palatino Linotype" w:hAnsi="Palatino Linotype" w:cs="Palatino Linotype"/>
          <w:b/>
        </w:rPr>
        <w:t xml:space="preserve"> de junio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w:t>
      </w:r>
      <w:r>
        <w:rPr>
          <w:rFonts w:ascii="Palatino Linotype" w:eastAsia="Palatino Linotype" w:hAnsi="Palatino Linotype" w:cs="Palatino Linotype"/>
        </w:rPr>
        <w:lastRenderedPageBreak/>
        <w:t xml:space="preserve">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acuerdo que fue notificado a las partes, vía SAIMEX.</w:t>
      </w:r>
    </w:p>
    <w:p w:rsidR="00814AB9" w:rsidRDefault="00795D52">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w:t>
      </w:r>
      <w:r w:rsidR="00475939">
        <w:rPr>
          <w:rFonts w:ascii="Palatino Linotype" w:eastAsia="Palatino Linotype" w:hAnsi="Palatino Linotype" w:cs="Palatino Linotype"/>
        </w:rPr>
        <w:t xml:space="preserve"> justificados, y por su parte 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sidR="001B3CF5">
        <w:rPr>
          <w:rFonts w:ascii="Palatino Linotype" w:eastAsia="Palatino Linotype" w:hAnsi="Palatino Linotype" w:cs="Palatino Linotype"/>
        </w:rPr>
        <w:t>no realizó manifestaciones, no formuló alegatos ni ofreció medio de prueba</w:t>
      </w:r>
      <w:r>
        <w:rPr>
          <w:rFonts w:ascii="Palatino Linotype" w:eastAsia="Palatino Linotype" w:hAnsi="Palatino Linotype" w:cs="Palatino Linotype"/>
        </w:rPr>
        <w:t>, tal como se observa a continuación:</w:t>
      </w:r>
    </w:p>
    <w:p w:rsidR="00814AB9" w:rsidRDefault="001B3CF5">
      <w:pPr>
        <w:spacing w:before="240" w:after="240" w:line="360" w:lineRule="auto"/>
        <w:jc w:val="both"/>
        <w:rPr>
          <w:rFonts w:ascii="Palatino Linotype" w:eastAsia="Palatino Linotype" w:hAnsi="Palatino Linotype" w:cs="Palatino Linotype"/>
        </w:rPr>
      </w:pPr>
      <w:r w:rsidRPr="001B3CF5">
        <w:rPr>
          <w:rFonts w:ascii="Palatino Linotype" w:eastAsia="Palatino Linotype" w:hAnsi="Palatino Linotype" w:cs="Palatino Linotype"/>
          <w:noProof/>
          <w:lang w:val="es-MX" w:eastAsia="es-MX"/>
        </w:rPr>
        <w:drawing>
          <wp:inline distT="0" distB="0" distL="0" distR="0" wp14:anchorId="56152AC0" wp14:editId="0DCE7B2F">
            <wp:extent cx="5671185" cy="1631950"/>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1631950"/>
                    </a:xfrm>
                    <a:prstGeom prst="rect">
                      <a:avLst/>
                    </a:prstGeom>
                  </pic:spPr>
                </pic:pic>
              </a:graphicData>
            </a:graphic>
          </wp:inline>
        </w:drawing>
      </w:r>
    </w:p>
    <w:p w:rsidR="00814AB9" w:rsidRDefault="001B3CF5">
      <w:pPr>
        <w:spacing w:before="240" w:after="240" w:line="360" w:lineRule="auto"/>
        <w:jc w:val="both"/>
        <w:rPr>
          <w:rFonts w:ascii="Palatino Linotype" w:eastAsia="Palatino Linotype" w:hAnsi="Palatino Linotype" w:cs="Palatino Linotype"/>
        </w:rPr>
      </w:pPr>
      <w:r w:rsidRPr="001B3CF5">
        <w:rPr>
          <w:rFonts w:ascii="Palatino Linotype" w:eastAsia="Palatino Linotype" w:hAnsi="Palatino Linotype" w:cs="Palatino Linotype"/>
          <w:noProof/>
          <w:lang w:val="es-MX" w:eastAsia="es-MX"/>
        </w:rPr>
        <w:drawing>
          <wp:inline distT="0" distB="0" distL="0" distR="0" wp14:anchorId="3D66A7DF" wp14:editId="2338E851">
            <wp:extent cx="5671185" cy="164655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646555"/>
                    </a:xfrm>
                    <a:prstGeom prst="rect">
                      <a:avLst/>
                    </a:prstGeom>
                  </pic:spPr>
                </pic:pic>
              </a:graphicData>
            </a:graphic>
          </wp:inline>
        </w:drawing>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El </w:t>
      </w:r>
      <w:r w:rsidR="001B3CF5">
        <w:rPr>
          <w:rFonts w:ascii="Palatino Linotype" w:eastAsia="Palatino Linotype" w:hAnsi="Palatino Linotype" w:cs="Palatino Linotype"/>
          <w:b/>
        </w:rPr>
        <w:t xml:space="preserve">cuatro y cinco </w:t>
      </w:r>
      <w:r>
        <w:rPr>
          <w:rFonts w:ascii="Palatino Linotype" w:eastAsia="Palatino Linotype" w:hAnsi="Palatino Linotype" w:cs="Palatino Linotype"/>
          <w:b/>
        </w:rPr>
        <w:t>de ju</w:t>
      </w:r>
      <w:r w:rsidR="001B3CF5">
        <w:rPr>
          <w:rFonts w:ascii="Palatino Linotype" w:eastAsia="Palatino Linotype" w:hAnsi="Palatino Linotype" w:cs="Palatino Linotype"/>
          <w:b/>
        </w:rPr>
        <w:t>l</w:t>
      </w:r>
      <w:r>
        <w:rPr>
          <w:rFonts w:ascii="Palatino Linotype" w:eastAsia="Palatino Linotype" w:hAnsi="Palatino Linotype" w:cs="Palatino Linotype"/>
          <w:b/>
        </w:rPr>
        <w:t>io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notificó el cierre de instrucción y se procede a formular la resolución que en derecho corresponda.</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rsidR="00814AB9" w:rsidRDefault="00795D52">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solicitante le asiste el derecho para presentar el recurso de revisión.</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14AB9" w:rsidRDefault="00795D5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Por su parte, el artículo 178 del citado ordenamiento, establece:</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los recursos de revisión se han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las solicitudes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 la particular en contra de la incertidumbre jurídica y que tiende a realizar ese Estado de Derecho en el que, la particular, tiene siempre una vía de defensa en contra de los actos autoritarios que le perjudican.</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w:t>
      </w:r>
      <w:r>
        <w:rPr>
          <w:rFonts w:ascii="Palatino Linotype" w:eastAsia="Palatino Linotype" w:hAnsi="Palatino Linotype" w:cs="Palatino Linotype"/>
        </w:rPr>
        <w:lastRenderedPageBreak/>
        <w:t xml:space="preserve">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814AB9" w:rsidRDefault="00795D5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 la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w:t>
      </w:r>
      <w:r>
        <w:rPr>
          <w:rFonts w:ascii="Palatino Linotype" w:eastAsia="Palatino Linotype" w:hAnsi="Palatino Linotype" w:cs="Palatino Linotype"/>
          <w:i/>
          <w:sz w:val="22"/>
          <w:szCs w:val="22"/>
        </w:rPr>
        <w:lastRenderedPageBreak/>
        <w:t>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2A6E55" w:rsidRDefault="002A6E55" w:rsidP="002A6E55">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Por otro lado, es de suma importancia mencionar que, si bien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proporcionó nombre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A6E55" w:rsidRDefault="002A6E55" w:rsidP="002A6E55">
      <w:pPr>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814AB9" w:rsidRDefault="00795D5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fueron presentados mediante el formato visible </w:t>
      </w:r>
      <w:r>
        <w:rPr>
          <w:rFonts w:ascii="Palatino Linotype" w:eastAsia="Palatino Linotype" w:hAnsi="Palatino Linotype" w:cs="Palatino Linotype"/>
          <w:b/>
        </w:rPr>
        <w:t xml:space="preserve">en el SAIMEX.  </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 los recursos de revisión, toda vez que se actualizan la hipótesis prevista en el artículo 179, fracción I de la ley de la materia, que a la letra dice:</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 los recursos de revisión, en aquellos </w:t>
      </w:r>
      <w:r w:rsidR="00475939">
        <w:rPr>
          <w:rFonts w:ascii="Palatino Linotype" w:eastAsia="Palatino Linotype" w:hAnsi="Palatino Linotype" w:cs="Palatino Linotype"/>
        </w:rPr>
        <w:t>casos en que 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respuestas por el </w:t>
      </w:r>
      <w:r>
        <w:rPr>
          <w:rFonts w:ascii="Palatino Linotype" w:eastAsia="Palatino Linotype" w:hAnsi="Palatino Linotype" w:cs="Palatino Linotype"/>
          <w:b/>
        </w:rPr>
        <w:t>SUJETO OBLIGADO</w:t>
      </w:r>
      <w:r>
        <w:rPr>
          <w:rFonts w:ascii="Palatino Linotype" w:eastAsia="Palatino Linotype" w:hAnsi="Palatino Linotype" w:cs="Palatino Linotype"/>
        </w:rPr>
        <w:t>, en este asunto se actualiza la hipótesis juríd</w:t>
      </w:r>
      <w:r w:rsidR="00475939">
        <w:rPr>
          <w:rFonts w:ascii="Palatino Linotype" w:eastAsia="Palatino Linotype" w:hAnsi="Palatino Linotype" w:cs="Palatino Linotype"/>
        </w:rPr>
        <w:t>ica citada, en atención a que 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la negativa a la información solicitada y expresa motivos de inconformidad en contra de la falta de respuestas.</w:t>
      </w:r>
    </w:p>
    <w:p w:rsidR="00814AB9" w:rsidRDefault="00795D52">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w:t>
      </w:r>
      <w:r w:rsidR="00475939">
        <w:rPr>
          <w:rFonts w:ascii="Palatino Linotype" w:eastAsia="Palatino Linotype" w:hAnsi="Palatino Linotype" w:cs="Palatino Linotype"/>
        </w:rPr>
        <w:t>los agravios hechos valer por 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814AB9" w:rsidRDefault="00795D52">
      <w:pPr>
        <w:spacing w:before="240" w:after="240" w:line="360" w:lineRule="auto"/>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 los expedientes de los recursos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respondió a las solicitudes de informació</w:t>
      </w:r>
      <w:r w:rsidR="00475939">
        <w:rPr>
          <w:rFonts w:ascii="Palatino Linotype" w:eastAsia="Palatino Linotype" w:hAnsi="Palatino Linotype" w:cs="Palatino Linotype"/>
        </w:rPr>
        <w:t>n planteadas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w:t>
      </w:r>
      <w:r>
        <w:rPr>
          <w:rFonts w:ascii="Palatino Linotype" w:eastAsia="Palatino Linotype" w:hAnsi="Palatino Linotype" w:cs="Palatino Linotype"/>
        </w:rPr>
        <w:lastRenderedPageBreak/>
        <w:t xml:space="preserve">a las solicitudes </w:t>
      </w:r>
      <w:r>
        <w:rPr>
          <w:rFonts w:ascii="Palatino Linotype" w:eastAsia="Palatino Linotype" w:hAnsi="Palatino Linotype" w:cs="Palatino Linotype"/>
          <w:b/>
        </w:rPr>
        <w:t>00</w:t>
      </w:r>
      <w:r w:rsidR="001B3CF5">
        <w:rPr>
          <w:rFonts w:ascii="Palatino Linotype" w:eastAsia="Palatino Linotype" w:hAnsi="Palatino Linotype" w:cs="Palatino Linotype"/>
          <w:b/>
        </w:rPr>
        <w:t>290</w:t>
      </w:r>
      <w:r>
        <w:rPr>
          <w:rFonts w:ascii="Palatino Linotype" w:eastAsia="Palatino Linotype" w:hAnsi="Palatino Linotype" w:cs="Palatino Linotype"/>
          <w:b/>
        </w:rPr>
        <w:t>/</w:t>
      </w:r>
      <w:r w:rsidR="001B3CF5">
        <w:rPr>
          <w:rFonts w:ascii="Palatino Linotype" w:eastAsia="Palatino Linotype" w:hAnsi="Palatino Linotype" w:cs="Palatino Linotype"/>
          <w:b/>
        </w:rPr>
        <w:t xml:space="preserve">ZINACANT/IP/2022 </w:t>
      </w:r>
      <w:r>
        <w:rPr>
          <w:rFonts w:ascii="Palatino Linotype" w:eastAsia="Palatino Linotype" w:hAnsi="Palatino Linotype" w:cs="Palatino Linotype"/>
          <w:b/>
        </w:rPr>
        <w:t xml:space="preserve">y </w:t>
      </w:r>
      <w:r w:rsidR="001B3CF5">
        <w:rPr>
          <w:rFonts w:ascii="Palatino Linotype" w:eastAsia="Palatino Linotype" w:hAnsi="Palatino Linotype" w:cs="Palatino Linotype"/>
          <w:b/>
        </w:rPr>
        <w:t xml:space="preserve">00292/ZINACANT/IP/2022 </w:t>
      </w:r>
      <w:r>
        <w:rPr>
          <w:rFonts w:ascii="Palatino Linotype" w:eastAsia="Palatino Linotype" w:hAnsi="Palatino Linotype" w:cs="Palatino Linotype"/>
          <w:b/>
        </w:rPr>
        <w:t xml:space="preserve">  </w:t>
      </w:r>
      <w:r>
        <w:rPr>
          <w:rFonts w:ascii="Palatino Linotype" w:eastAsia="Palatino Linotype" w:hAnsi="Palatino Linotype" w:cs="Palatino Linotype"/>
        </w:rPr>
        <w:t>dentro del plazo legal previsto para ello.</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Previo a exponer los argumentos que justifiquen la afirmación que antecede, es necesario precisar que, del análisis realizado a las</w:t>
      </w:r>
      <w:r w:rsidR="00475939">
        <w:rPr>
          <w:rFonts w:ascii="Palatino Linotype" w:eastAsia="Palatino Linotype" w:hAnsi="Palatino Linotype" w:cs="Palatino Linotype"/>
        </w:rPr>
        <w:t xml:space="preserve"> solicitudes formuladas por el</w:t>
      </w:r>
      <w:r w:rsidR="00F908D1">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1. </w:t>
      </w:r>
      <w:r w:rsidR="001B3CF5">
        <w:rPr>
          <w:rFonts w:ascii="Palatino Linotype" w:eastAsia="Palatino Linotype" w:hAnsi="Palatino Linotype" w:cs="Palatino Linotype"/>
        </w:rPr>
        <w:t xml:space="preserve">Actas de las sesiones de todos los consejos municipales de los meses de enero a mayo de dos mil </w:t>
      </w:r>
      <w:r w:rsidR="00475939">
        <w:rPr>
          <w:rFonts w:ascii="Palatino Linotype" w:eastAsia="Palatino Linotype" w:hAnsi="Palatino Linotype" w:cs="Palatino Linotype"/>
        </w:rPr>
        <w:t xml:space="preserve">veintidós; y, </w:t>
      </w:r>
    </w:p>
    <w:p w:rsidR="00475939" w:rsidRDefault="0047593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2. Actas generadas por el comité de bienes muebles e inmuebles municipales del uno de enero al veintiséis de mayo de dos mil veintidós. </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14AB9" w:rsidRDefault="00795D5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w:t>
      </w:r>
      <w:r>
        <w:rPr>
          <w:rFonts w:ascii="Palatino Linotype" w:eastAsia="Palatino Linotype" w:hAnsi="Palatino Linotype" w:cs="Palatino Linotype"/>
        </w:rPr>
        <w:lastRenderedPageBreak/>
        <w:t>disposiciones al Derecho Interno, específicamente a nivel Constitucional, tal y como lo prevén los arábigos 1 párrafos primero, segundo y tercero y 6 apartado A fracciones I, II, III, IV, V, VI y VII que a la letra señalan:</w:t>
      </w:r>
    </w:p>
    <w:p w:rsidR="00814AB9" w:rsidRDefault="00814AB9">
      <w:pPr>
        <w:tabs>
          <w:tab w:val="left" w:pos="709"/>
        </w:tabs>
        <w:ind w:left="851" w:right="850"/>
        <w:jc w:val="both"/>
        <w:rPr>
          <w:rFonts w:ascii="Palatino Linotype" w:eastAsia="Palatino Linotype" w:hAnsi="Palatino Linotype" w:cs="Palatino Linotype"/>
        </w:rPr>
      </w:pPr>
    </w:p>
    <w:p w:rsidR="00814AB9" w:rsidRDefault="00795D5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14AB9" w:rsidRDefault="00795D52">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14AB9" w:rsidRDefault="00795D5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14AB9" w:rsidRDefault="00795D5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14AB9" w:rsidRDefault="00795D52">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14AB9" w:rsidRDefault="00814AB9">
      <w:pPr>
        <w:ind w:left="851" w:right="851"/>
        <w:jc w:val="both"/>
        <w:rPr>
          <w:rFonts w:ascii="Palatino Linotype" w:eastAsia="Palatino Linotype" w:hAnsi="Palatino Linotype" w:cs="Palatino Linotype"/>
          <w:i/>
          <w:sz w:val="22"/>
          <w:szCs w:val="22"/>
        </w:rPr>
      </w:pP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814AB9" w:rsidRDefault="00814AB9">
      <w:pPr>
        <w:ind w:left="851" w:right="851"/>
        <w:jc w:val="both"/>
        <w:rPr>
          <w:rFonts w:ascii="Palatino Linotype" w:eastAsia="Palatino Linotype" w:hAnsi="Palatino Linotype" w:cs="Palatino Linotype"/>
          <w:i/>
          <w:sz w:val="22"/>
          <w:szCs w:val="22"/>
        </w:rPr>
      </w:pPr>
    </w:p>
    <w:p w:rsidR="00814AB9" w:rsidRDefault="00795D5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Pr>
          <w:rFonts w:ascii="Palatino Linotype" w:eastAsia="Palatino Linotype" w:hAnsi="Palatino Linotype" w:cs="Palatino Linotype"/>
        </w:rPr>
        <w:lastRenderedPageBreak/>
        <w:t>con las excepciones enmarcadas, para lo cual queda demostrado que los sujetos obligados deben cumplir con dichos dispositivos legales.</w:t>
      </w:r>
    </w:p>
    <w:p w:rsidR="00814AB9" w:rsidRDefault="00795D52">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814AB9" w:rsidRDefault="00795D5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814AB9" w:rsidRDefault="00795D5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814AB9" w:rsidRDefault="00814AB9">
      <w:pPr>
        <w:ind w:left="851" w:right="902"/>
        <w:jc w:val="both"/>
        <w:rPr>
          <w:rFonts w:ascii="Palatino Linotype" w:eastAsia="Palatino Linotype" w:hAnsi="Palatino Linotype" w:cs="Palatino Linotype"/>
          <w:sz w:val="22"/>
          <w:szCs w:val="22"/>
        </w:rPr>
      </w:pP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14AB9" w:rsidRDefault="00795D5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814AB9" w:rsidRDefault="00795D5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Pr>
          <w:rFonts w:ascii="Palatino Linotype" w:eastAsia="Palatino Linotype" w:hAnsi="Palatino Linotype" w:cs="Palatino Linotype"/>
        </w:rPr>
        <w:lastRenderedPageBreak/>
        <w:t>información; así como, entregar, en su caso, a los particulares la información solicitada.</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14AB9" w:rsidRDefault="00795D5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esta le solicite para el cumplimiento de sus funciones.</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las solicitudes de acceso a la información, limitando el derecho de acceso a la información, accionado por la particular.</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las solicitudes de la particular.</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Pr>
          <w:rFonts w:ascii="Palatino Linotype" w:eastAsia="Palatino Linotype" w:hAnsi="Palatino Linotype" w:cs="Palatino Linotype"/>
        </w:rPr>
        <w:lastRenderedPageBreak/>
        <w:t xml:space="preserve">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resuelven los presentes medios de impugnación, este Instituto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814AB9" w:rsidRDefault="00795D5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w:t>
      </w:r>
      <w:r>
        <w:rPr>
          <w:rFonts w:ascii="Palatino Linotype" w:eastAsia="Palatino Linotype" w:hAnsi="Palatino Linotype" w:cs="Palatino Linotype"/>
        </w:rPr>
        <w:lastRenderedPageBreak/>
        <w:t>la información y que finalmente sea éste último quien apruebe, modifique o revoque la misma, de manera fundada y motivada, en atención al artículo 143 de la Constitución Política del Estado Libre y Soberano de México.</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Organismo Garante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w:t>
      </w:r>
      <w:r>
        <w:rPr>
          <w:rFonts w:ascii="Palatino Linotype" w:eastAsia="Palatino Linotype" w:hAnsi="Palatino Linotype" w:cs="Palatino Linotype"/>
        </w:rPr>
        <w:lastRenderedPageBreak/>
        <w:t>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Pr>
          <w:rFonts w:ascii="Palatino Linotype" w:eastAsia="Palatino Linotype" w:hAnsi="Palatino Linotype" w:cs="Palatino Linotype"/>
        </w:rPr>
        <w:lastRenderedPageBreak/>
        <w:t>información y sólo podrán invocarlas cuando acrediten su procedencia, debiendo clasificar la información en el momento en que:</w:t>
      </w:r>
    </w:p>
    <w:p w:rsidR="00814AB9" w:rsidRDefault="00795D52">
      <w:pPr>
        <w:numPr>
          <w:ilvl w:val="0"/>
          <w:numId w:val="1"/>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814AB9" w:rsidRDefault="00795D52">
      <w:pPr>
        <w:numPr>
          <w:ilvl w:val="0"/>
          <w:numId w:val="1"/>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814AB9" w:rsidRDefault="00795D52">
      <w:pPr>
        <w:numPr>
          <w:ilvl w:val="0"/>
          <w:numId w:val="1"/>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814AB9" w:rsidRDefault="00795D52">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814AB9" w:rsidRDefault="00795D52">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814AB9" w:rsidRDefault="00795D52">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814AB9" w:rsidRDefault="00795D52">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Organismo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814AB9" w:rsidRDefault="00795D52">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 la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este Instituto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14AB9" w:rsidRDefault="00795D5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14AB9" w:rsidRDefault="00795D5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w:t>
      </w:r>
      <w:r>
        <w:rPr>
          <w:rFonts w:ascii="Palatino Linotype" w:eastAsia="Palatino Linotype" w:hAnsi="Palatino Linotype" w:cs="Palatino Linotype"/>
          <w:i/>
          <w:sz w:val="22"/>
          <w:szCs w:val="22"/>
        </w:rPr>
        <w:lastRenderedPageBreak/>
        <w:t xml:space="preserve">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814AB9" w:rsidRDefault="00795D52">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814AB9" w:rsidRDefault="00814AB9">
      <w:pPr>
        <w:shd w:val="clear" w:color="auto" w:fill="FFFFFF"/>
        <w:ind w:right="902" w:firstLine="851"/>
        <w:jc w:val="both"/>
        <w:rPr>
          <w:rFonts w:ascii="Georgia" w:eastAsia="Georgia" w:hAnsi="Georgia" w:cs="Georgia"/>
          <w:sz w:val="22"/>
          <w:szCs w:val="22"/>
        </w:rPr>
      </w:pPr>
    </w:p>
    <w:p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w:t>
      </w:r>
      <w:r w:rsidR="00475939">
        <w:rPr>
          <w:rFonts w:ascii="Palatino Linotype" w:eastAsia="Palatino Linotype" w:hAnsi="Palatino Linotype" w:cs="Palatino Linotype"/>
        </w:rPr>
        <w:t>nconformidad hechos valer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rsidR="00814AB9" w:rsidRDefault="00795D52">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las respuestas a sus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14AB9" w:rsidRDefault="00795D52">
      <w:pPr>
        <w:spacing w:before="240" w:after="240" w:line="360" w:lineRule="auto"/>
        <w:jc w:val="both"/>
        <w:rPr>
          <w:rFonts w:ascii="Palatino Linotype" w:eastAsia="Palatino Linotype" w:hAnsi="Palatino Linotype" w:cs="Palatino Linotype"/>
        </w:rPr>
      </w:pPr>
      <w:bookmarkStart w:id="8" w:name="_heading=h.2s8eyo1" w:colFirst="0" w:colLast="0"/>
      <w:bookmarkEnd w:id="8"/>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rsidR="00814AB9" w:rsidRDefault="00795D52">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814AB9" w:rsidRDefault="00795D5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w:t>
      </w:r>
      <w:r w:rsidR="00475939">
        <w:rPr>
          <w:rFonts w:ascii="Palatino Linotype" w:eastAsia="Palatino Linotype" w:hAnsi="Palatino Linotype" w:cs="Palatino Linotype"/>
        </w:rPr>
        <w:t xml:space="preserve">os de inconformidad </w:t>
      </w:r>
      <w:r w:rsidR="00B150AC">
        <w:rPr>
          <w:rFonts w:ascii="Palatino Linotype" w:eastAsia="Palatino Linotype" w:hAnsi="Palatino Linotype" w:cs="Palatino Linotype"/>
        </w:rPr>
        <w:t>d</w:t>
      </w:r>
      <w:r w:rsidR="00475939">
        <w:rPr>
          <w:rFonts w:ascii="Palatino Linotype" w:eastAsia="Palatino Linotype" w:hAnsi="Palatino Linotype" w:cs="Palatino Linotype"/>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los recursos de revisión </w:t>
      </w:r>
      <w:r w:rsidR="00B150AC">
        <w:rPr>
          <w:rFonts w:ascii="Palatino Linotype" w:eastAsia="Palatino Linotype" w:hAnsi="Palatino Linotype" w:cs="Palatino Linotype"/>
          <w:b/>
        </w:rPr>
        <w:t>11464/INFOEM/IP/RR/2022 y 11466/INFOEM/IP/RR/2022</w:t>
      </w:r>
      <w:r>
        <w:rPr>
          <w:rFonts w:ascii="Palatino Linotype" w:eastAsia="Palatino Linotype" w:hAnsi="Palatino Linotype" w:cs="Palatino Linotype"/>
        </w:rPr>
        <w:t xml:space="preserve">en términos del </w:t>
      </w:r>
      <w:r w:rsidRPr="00B150AC">
        <w:rPr>
          <w:rFonts w:ascii="Palatino Linotype" w:eastAsia="Palatino Linotype" w:hAnsi="Palatino Linotype" w:cs="Palatino Linotype"/>
        </w:rPr>
        <w:t>Considerando Cuarto</w:t>
      </w:r>
      <w:r>
        <w:rPr>
          <w:rFonts w:ascii="Palatino Linotype" w:eastAsia="Palatino Linotype" w:hAnsi="Palatino Linotype" w:cs="Palatino Linotype"/>
        </w:rPr>
        <w:t xml:space="preserve"> de la presente resolución.</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SUJETO OBLIGADO</w:t>
      </w:r>
      <w:r w:rsidR="00B150AC">
        <w:rPr>
          <w:rFonts w:ascii="Palatino Linotype" w:eastAsia="Palatino Linotype" w:hAnsi="Palatino Linotype" w:cs="Palatino Linotype"/>
          <w:b/>
          <w:color w:val="222222"/>
        </w:rPr>
        <w:t xml:space="preserve"> </w:t>
      </w:r>
      <w:r w:rsidR="00B150AC">
        <w:rPr>
          <w:rFonts w:ascii="Palatino Linotype" w:eastAsia="Palatino Linotype" w:hAnsi="Palatino Linotype" w:cs="Palatino Linotype"/>
          <w:color w:val="222222"/>
        </w:rPr>
        <w:t xml:space="preserve">que, </w:t>
      </w:r>
      <w:r w:rsidR="00B150AC">
        <w:rPr>
          <w:rFonts w:ascii="Palatino Linotype" w:eastAsia="Palatino Linotype" w:hAnsi="Palatino Linotype" w:cs="Palatino Linotype"/>
        </w:rPr>
        <w:t xml:space="preserve">vía </w:t>
      </w:r>
      <w:r w:rsidR="00B150AC">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color w:val="222222"/>
        </w:rPr>
        <w:t xml:space="preserve">dé trámite a las solicitudes de acceso a la información pública </w:t>
      </w:r>
      <w:r w:rsidR="00B150AC">
        <w:rPr>
          <w:rFonts w:ascii="Palatino Linotype" w:eastAsia="Palatino Linotype" w:hAnsi="Palatino Linotype" w:cs="Palatino Linotype"/>
          <w:b/>
          <w:color w:val="222222"/>
        </w:rPr>
        <w:t xml:space="preserve">00292/ZINACANT/IP/2022 y 00290/ZINACANT/IP/2022 </w:t>
      </w:r>
      <w:r>
        <w:rPr>
          <w:rFonts w:ascii="Palatino Linotype" w:eastAsia="Palatino Linotype" w:hAnsi="Palatino Linotype" w:cs="Palatino Linotype"/>
          <w:color w:val="222222"/>
        </w:rPr>
        <w:t xml:space="preserve">que </w:t>
      </w:r>
      <w:r>
        <w:rPr>
          <w:rFonts w:ascii="Palatino Linotype" w:eastAsia="Palatino Linotype" w:hAnsi="Palatino Linotype" w:cs="Palatino Linotype"/>
          <w:color w:val="222222"/>
        </w:rPr>
        <w:lastRenderedPageBreak/>
        <w:t xml:space="preserve">dieron origen a los recursos de revisión </w:t>
      </w:r>
      <w:r w:rsidR="00475939">
        <w:rPr>
          <w:rFonts w:ascii="Palatino Linotype" w:eastAsia="Palatino Linotype" w:hAnsi="Palatino Linotype" w:cs="Palatino Linotype"/>
          <w:b/>
        </w:rPr>
        <w:t xml:space="preserve">11464/INFOEM/IP/RR/2022 </w:t>
      </w:r>
      <w:r>
        <w:rPr>
          <w:rFonts w:ascii="Palatino Linotype" w:eastAsia="Palatino Linotype" w:hAnsi="Palatino Linotype" w:cs="Palatino Linotype"/>
          <w:b/>
        </w:rPr>
        <w:t>y 11</w:t>
      </w:r>
      <w:r w:rsidR="00475939">
        <w:rPr>
          <w:rFonts w:ascii="Palatino Linotype" w:eastAsia="Palatino Linotype" w:hAnsi="Palatino Linotype" w:cs="Palatino Linotype"/>
          <w:b/>
        </w:rPr>
        <w:t>466</w:t>
      </w:r>
      <w:r>
        <w:rPr>
          <w:rFonts w:ascii="Palatino Linotype" w:eastAsia="Palatino Linotype" w:hAnsi="Palatino Linotype" w:cs="Palatino Linotype"/>
          <w:b/>
        </w:rPr>
        <w:t>/INFOEM/IP/RR/2022</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814AB9" w:rsidRDefault="00795D5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9" w:name="_heading=h.1t3h5sf" w:colFirst="0" w:colLast="0"/>
      <w:bookmarkEnd w:id="9"/>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sidR="00475939">
        <w:rPr>
          <w:rFonts w:ascii="Palatino Linotype" w:eastAsia="Palatino Linotype" w:hAnsi="Palatino Linotype" w:cs="Palatino Linotype"/>
          <w:highlight w:val="white"/>
        </w:rPr>
        <w:t>al</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14AB9" w:rsidRDefault="00795D52">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 Notifíquese,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sidR="00475939">
        <w:rPr>
          <w:rFonts w:ascii="Palatino Linotype" w:eastAsia="Palatino Linotype" w:hAnsi="Palatino Linotype" w:cs="Palatino Linotype"/>
        </w:rPr>
        <w:t>a</w:t>
      </w:r>
      <w:r>
        <w:rPr>
          <w:rFonts w:ascii="Palatino Linotype" w:eastAsia="Palatino Linotype" w:hAnsi="Palatino Linotype" w:cs="Palatino Linotype"/>
        </w:rPr>
        <w:t xml:space="preserv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que las respuestas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rsidR="00814AB9" w:rsidRDefault="00795D52">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814AB9" w:rsidRDefault="00814AB9">
      <w:pPr>
        <w:widowControl w:val="0"/>
        <w:tabs>
          <w:tab w:val="left" w:pos="1701"/>
        </w:tabs>
        <w:spacing w:line="360" w:lineRule="auto"/>
        <w:ind w:right="51"/>
        <w:jc w:val="both"/>
        <w:rPr>
          <w:rFonts w:ascii="Palatino Linotype" w:eastAsia="Palatino Linotype" w:hAnsi="Palatino Linotype" w:cs="Palatino Linotype"/>
        </w:rPr>
      </w:pPr>
    </w:p>
    <w:p w:rsidR="00814AB9" w:rsidRDefault="00795D52">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SÉPTIMO.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p>
    <w:p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84998">
        <w:rPr>
          <w:rFonts w:ascii="Palatino Linotype" w:eastAsia="Palatino Linotype" w:hAnsi="Palatino Linotype" w:cs="Palatino Linotype"/>
        </w:rPr>
        <w:t>SÉPTIMA</w:t>
      </w:r>
      <w:r>
        <w:rPr>
          <w:rFonts w:ascii="Palatino Linotype" w:eastAsia="Palatino Linotype" w:hAnsi="Palatino Linotype" w:cs="Palatino Linotype"/>
        </w:rPr>
        <w:t xml:space="preserve"> SESIÓN ORDINARIA CELEBRADA EL </w:t>
      </w:r>
      <w:r w:rsidR="00475939">
        <w:rPr>
          <w:rFonts w:ascii="Palatino Linotype" w:eastAsia="Palatino Linotype" w:hAnsi="Palatino Linotype" w:cs="Palatino Linotype"/>
        </w:rPr>
        <w:t>TRE</w:t>
      </w:r>
      <w:r w:rsidR="00884998">
        <w:rPr>
          <w:rFonts w:ascii="Palatino Linotype" w:eastAsia="Palatino Linotype" w:hAnsi="Palatino Linotype" w:cs="Palatino Linotype"/>
        </w:rPr>
        <w:t>S</w:t>
      </w:r>
      <w:r>
        <w:rPr>
          <w:rFonts w:ascii="Palatino Linotype" w:eastAsia="Palatino Linotype" w:hAnsi="Palatino Linotype" w:cs="Palatino Linotype"/>
        </w:rPr>
        <w:t xml:space="preserve"> DE </w:t>
      </w:r>
      <w:r w:rsidR="00884998">
        <w:rPr>
          <w:rFonts w:ascii="Palatino Linotype" w:eastAsia="Palatino Linotype" w:hAnsi="Palatino Linotype" w:cs="Palatino Linotype"/>
        </w:rPr>
        <w:t>AGOSTO</w:t>
      </w:r>
      <w:r>
        <w:rPr>
          <w:rFonts w:ascii="Palatino Linotype" w:eastAsia="Palatino Linotype" w:hAnsi="Palatino Linotype" w:cs="Palatino Linotype"/>
        </w:rPr>
        <w:t xml:space="preserve"> DE DOS MIL VEINTIDÓS, ANTE EL SECRETARIO TÉCNICO DEL PLENO, ALEXIS TAPIA RAMÍREZ.</w:t>
      </w:r>
    </w:p>
    <w:p w:rsidR="00884998" w:rsidRDefault="00884998">
      <w:pPr>
        <w:spacing w:before="240" w:after="240" w:line="360" w:lineRule="auto"/>
        <w:jc w:val="both"/>
        <w:rPr>
          <w:rFonts w:ascii="Palatino Linotype" w:eastAsia="Palatino Linotype" w:hAnsi="Palatino Linotype" w:cs="Palatino Linotype"/>
        </w:rPr>
      </w:pPr>
    </w:p>
    <w:p w:rsidR="00884998" w:rsidRDefault="00884998">
      <w:pPr>
        <w:spacing w:before="240" w:after="240" w:line="360" w:lineRule="auto"/>
        <w:jc w:val="both"/>
        <w:rPr>
          <w:rFonts w:ascii="Palatino Linotype" w:eastAsia="Palatino Linotype" w:hAnsi="Palatino Linotype" w:cs="Palatino Linotype"/>
        </w:rPr>
      </w:pPr>
    </w:p>
    <w:p w:rsidR="00884998" w:rsidRDefault="00884998">
      <w:pPr>
        <w:spacing w:before="240" w:after="240" w:line="360" w:lineRule="auto"/>
        <w:jc w:val="both"/>
        <w:rPr>
          <w:rFonts w:ascii="Palatino Linotype" w:eastAsia="Palatino Linotype" w:hAnsi="Palatino Linotype" w:cs="Palatino Linotype"/>
        </w:rPr>
      </w:pPr>
    </w:p>
    <w:p w:rsidR="00814AB9" w:rsidRDefault="00814AB9"/>
    <w:sectPr w:rsidR="00814AB9">
      <w:headerReference w:type="default"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64E" w:rsidRDefault="0017164E">
      <w:r>
        <w:separator/>
      </w:r>
    </w:p>
  </w:endnote>
  <w:endnote w:type="continuationSeparator" w:id="0">
    <w:p w:rsidR="0017164E" w:rsidRDefault="0017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B9" w:rsidRDefault="00795D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69C7">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69C7">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814AB9" w:rsidRDefault="00795D52">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B9" w:rsidRDefault="00795D52">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9A3011">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9A3011">
      <w:rPr>
        <w:rFonts w:ascii="Palatino Linotype" w:eastAsia="Palatino Linotype" w:hAnsi="Palatino Linotype" w:cs="Palatino Linotype"/>
        <w:b/>
        <w:noProof/>
        <w:sz w:val="20"/>
        <w:szCs w:val="20"/>
      </w:rPr>
      <w:t>29</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64E" w:rsidRDefault="0017164E">
      <w:r>
        <w:separator/>
      </w:r>
    </w:p>
  </w:footnote>
  <w:footnote w:type="continuationSeparator" w:id="0">
    <w:p w:rsidR="0017164E" w:rsidRDefault="0017164E">
      <w:r>
        <w:continuationSeparator/>
      </w:r>
    </w:p>
  </w:footnote>
  <w:footnote w:id="1">
    <w:p w:rsidR="00814AB9" w:rsidRDefault="00795D52">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B9" w:rsidRDefault="00795D5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-754372</wp:posOffset>
          </wp:positionH>
          <wp:positionV relativeFrom="paragraph">
            <wp:posOffset>6350</wp:posOffset>
          </wp:positionV>
          <wp:extent cx="7635163" cy="9944100"/>
          <wp:effectExtent l="0" t="0" r="0" b="0"/>
          <wp:wrapNone/>
          <wp:docPr id="29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b"/>
      <w:tblW w:w="5812" w:type="dxa"/>
      <w:tblInd w:w="2835" w:type="dxa"/>
      <w:tblLayout w:type="fixed"/>
      <w:tblLook w:val="0400" w:firstRow="0" w:lastRow="0" w:firstColumn="0" w:lastColumn="0" w:noHBand="0" w:noVBand="1"/>
    </w:tblPr>
    <w:tblGrid>
      <w:gridCol w:w="2551"/>
      <w:gridCol w:w="3261"/>
    </w:tblGrid>
    <w:tr w:rsidR="00814AB9">
      <w:tc>
        <w:tcPr>
          <w:tcW w:w="2551" w:type="dxa"/>
          <w:vAlign w:val="center"/>
        </w:tcPr>
        <w:p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rsidR="00814AB9" w:rsidRDefault="00440B1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11464/INFOEM/IP/RR/2022 y 11466/INFOEM/IP/RR/2022</w:t>
          </w:r>
        </w:p>
      </w:tc>
    </w:tr>
    <w:tr w:rsidR="00814AB9">
      <w:trPr>
        <w:trHeight w:val="228"/>
      </w:trPr>
      <w:tc>
        <w:tcPr>
          <w:tcW w:w="2551" w:type="dxa"/>
          <w:vAlign w:val="center"/>
        </w:tcPr>
        <w:p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rsidR="00814AB9" w:rsidRDefault="00795D52" w:rsidP="00440B1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 xml:space="preserve">Ayuntamiento de </w:t>
          </w:r>
          <w:r w:rsidR="00440B16">
            <w:rPr>
              <w:rFonts w:ascii="Palatino Linotype" w:eastAsia="Palatino Linotype" w:hAnsi="Palatino Linotype" w:cs="Palatino Linotype"/>
              <w:b/>
              <w:sz w:val="22"/>
              <w:szCs w:val="22"/>
            </w:rPr>
            <w:t>Zinacantepec</w:t>
          </w:r>
        </w:p>
      </w:tc>
    </w:tr>
    <w:tr w:rsidR="00814AB9">
      <w:tc>
        <w:tcPr>
          <w:tcW w:w="2551" w:type="dxa"/>
          <w:vAlign w:val="center"/>
        </w:tcPr>
        <w:p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rsidR="00814AB9" w:rsidRDefault="00795D5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814AB9" w:rsidRDefault="00795D5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B9" w:rsidRDefault="00795D52">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simplePos x="0" y="0"/>
          <wp:positionH relativeFrom="column">
            <wp:posOffset>-1188712</wp:posOffset>
          </wp:positionH>
          <wp:positionV relativeFrom="paragraph">
            <wp:posOffset>-447032</wp:posOffset>
          </wp:positionV>
          <wp:extent cx="7635163" cy="9944100"/>
          <wp:effectExtent l="0" t="0" r="0" b="0"/>
          <wp:wrapNone/>
          <wp:docPr id="29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a"/>
      <w:tblW w:w="5670" w:type="dxa"/>
      <w:tblInd w:w="3261" w:type="dxa"/>
      <w:tblLayout w:type="fixed"/>
      <w:tblLook w:val="0400" w:firstRow="0" w:lastRow="0" w:firstColumn="0" w:lastColumn="0" w:noHBand="0" w:noVBand="1"/>
    </w:tblPr>
    <w:tblGrid>
      <w:gridCol w:w="2551"/>
      <w:gridCol w:w="3119"/>
    </w:tblGrid>
    <w:tr w:rsidR="00814AB9">
      <w:tc>
        <w:tcPr>
          <w:tcW w:w="2551" w:type="dxa"/>
          <w:shd w:val="clear" w:color="auto" w:fill="auto"/>
          <w:vAlign w:val="center"/>
        </w:tcPr>
        <w:p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814AB9" w:rsidRDefault="00795D52" w:rsidP="00440B16">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w:t>
          </w:r>
          <w:r w:rsidR="00440B16">
            <w:rPr>
              <w:rFonts w:ascii="Palatino Linotype" w:eastAsia="Palatino Linotype" w:hAnsi="Palatino Linotype" w:cs="Palatino Linotype"/>
              <w:b/>
              <w:sz w:val="22"/>
              <w:szCs w:val="22"/>
            </w:rPr>
            <w:t>464</w:t>
          </w:r>
          <w:r>
            <w:rPr>
              <w:rFonts w:ascii="Palatino Linotype" w:eastAsia="Palatino Linotype" w:hAnsi="Palatino Linotype" w:cs="Palatino Linotype"/>
              <w:b/>
              <w:sz w:val="22"/>
              <w:szCs w:val="22"/>
            </w:rPr>
            <w:t>/INFOEM/IP/RR/2022 y</w:t>
          </w:r>
          <w:r w:rsidR="00440B16">
            <w:rPr>
              <w:rFonts w:ascii="Palatino Linotype" w:eastAsia="Palatino Linotype" w:hAnsi="Palatino Linotype" w:cs="Palatino Linotype"/>
              <w:b/>
              <w:sz w:val="22"/>
              <w:szCs w:val="22"/>
            </w:rPr>
            <w:t xml:space="preserve"> 11466/INFOEM/IP/RR/2022</w:t>
          </w:r>
          <w:r>
            <w:rPr>
              <w:rFonts w:ascii="Palatino Linotype" w:eastAsia="Palatino Linotype" w:hAnsi="Palatino Linotype" w:cs="Palatino Linotype"/>
              <w:b/>
              <w:sz w:val="22"/>
              <w:szCs w:val="22"/>
            </w:rPr>
            <w:t xml:space="preserve"> </w:t>
          </w:r>
        </w:p>
      </w:tc>
    </w:tr>
    <w:tr w:rsidR="00814AB9">
      <w:trPr>
        <w:trHeight w:val="130"/>
      </w:trPr>
      <w:tc>
        <w:tcPr>
          <w:tcW w:w="2551" w:type="dxa"/>
          <w:shd w:val="clear" w:color="auto" w:fill="auto"/>
          <w:vAlign w:val="center"/>
        </w:tcPr>
        <w:p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814AB9" w:rsidRDefault="00814AB9">
          <w:pPr>
            <w:ind w:left="-45"/>
            <w:rPr>
              <w:rFonts w:ascii="Palatino Linotype" w:eastAsia="Palatino Linotype" w:hAnsi="Palatino Linotype" w:cs="Palatino Linotype"/>
              <w:b/>
              <w:sz w:val="22"/>
              <w:szCs w:val="22"/>
            </w:rPr>
          </w:pPr>
        </w:p>
      </w:tc>
    </w:tr>
    <w:tr w:rsidR="00814AB9">
      <w:trPr>
        <w:trHeight w:val="228"/>
      </w:trPr>
      <w:tc>
        <w:tcPr>
          <w:tcW w:w="2551" w:type="dxa"/>
          <w:shd w:val="clear" w:color="auto" w:fill="auto"/>
          <w:vAlign w:val="center"/>
        </w:tcPr>
        <w:p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814AB9" w:rsidRDefault="00795D52" w:rsidP="00440B16">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440B16">
            <w:rPr>
              <w:rFonts w:ascii="Palatino Linotype" w:eastAsia="Palatino Linotype" w:hAnsi="Palatino Linotype" w:cs="Palatino Linotype"/>
              <w:b/>
              <w:sz w:val="22"/>
              <w:szCs w:val="22"/>
            </w:rPr>
            <w:t>Zinacantepec</w:t>
          </w:r>
        </w:p>
      </w:tc>
    </w:tr>
    <w:tr w:rsidR="00814AB9">
      <w:tc>
        <w:tcPr>
          <w:tcW w:w="2551" w:type="dxa"/>
          <w:shd w:val="clear" w:color="auto" w:fill="auto"/>
          <w:vAlign w:val="center"/>
        </w:tcPr>
        <w:p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814AB9" w:rsidRDefault="00795D52">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14AB9" w:rsidRDefault="00814AB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00D36"/>
    <w:multiLevelType w:val="multilevel"/>
    <w:tmpl w:val="EE3E760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3E5D7C"/>
    <w:multiLevelType w:val="multilevel"/>
    <w:tmpl w:val="30DA9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A25531"/>
    <w:multiLevelType w:val="multilevel"/>
    <w:tmpl w:val="14F4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B9"/>
    <w:rsid w:val="0017164E"/>
    <w:rsid w:val="001B3CF5"/>
    <w:rsid w:val="001D6A64"/>
    <w:rsid w:val="002A6E55"/>
    <w:rsid w:val="00325281"/>
    <w:rsid w:val="00440B16"/>
    <w:rsid w:val="00475939"/>
    <w:rsid w:val="005A4CE9"/>
    <w:rsid w:val="00606312"/>
    <w:rsid w:val="006D077D"/>
    <w:rsid w:val="006F0E8D"/>
    <w:rsid w:val="00795D52"/>
    <w:rsid w:val="008069C7"/>
    <w:rsid w:val="00814AB9"/>
    <w:rsid w:val="00884998"/>
    <w:rsid w:val="009A3011"/>
    <w:rsid w:val="00AB35D7"/>
    <w:rsid w:val="00B1247C"/>
    <w:rsid w:val="00B150AC"/>
    <w:rsid w:val="00E3133E"/>
    <w:rsid w:val="00EF7F4C"/>
    <w:rsid w:val="00F90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7B35D-63E4-464F-A747-AFE15FA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9">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a">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b">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E+22FXH+qOFHWxkZK7Hex7kxgg==">AMUW2mXDzxzURXTL6pFVMmavTXw3qBxtjU2rM2kmFFnb9aDL6FX1z4ky2TkGjtAkW+1FSipEw/DylyCtjictHfOmngwn/aCOUvDQwBFi+Qfzm6boG3cl32xGYYCRInSrBiR5kxSthrcoo3LVQe8cxgqbbenewe7P+IU+qOGKY4m+ldfCxAPB+X8PfbmD3M0d5fO/U+RangXBVK53PBNZWYQ+7XGDbmYRDkYJhiQNqOw75xWQdCFcKQo=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7045</Words>
  <Characters>38752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2022-08-05T15:29:00Z</cp:lastPrinted>
  <dcterms:created xsi:type="dcterms:W3CDTF">2022-09-05T18:32:00Z</dcterms:created>
  <dcterms:modified xsi:type="dcterms:W3CDTF">2022-09-05T18:32:00Z</dcterms:modified>
</cp:coreProperties>
</file>