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71CAD"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w:t>
      </w:r>
      <w:bookmarkStart w:id="0" w:name="_GoBack"/>
      <w:bookmarkEnd w:id="0"/>
      <w:r>
        <w:rPr>
          <w:rFonts w:ascii="Palatino Linotype" w:eastAsia="Palatino Linotype" w:hAnsi="Palatino Linotype" w:cs="Palatino Linotype"/>
        </w:rPr>
        <w:t>o, de fecha quince de junio de dos mil veintidós.</w:t>
      </w:r>
    </w:p>
    <w:p w14:paraId="14F3F90F"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 xml:space="preserve">03149/INFOEM/IP/RR/2022,  </w:t>
      </w:r>
      <w:r>
        <w:rPr>
          <w:rFonts w:ascii="Palatino Linotype" w:eastAsia="Palatino Linotype" w:hAnsi="Palatino Linotype" w:cs="Palatino Linotype"/>
        </w:rPr>
        <w:t>interpuesto por</w:t>
      </w:r>
      <w:r>
        <w:rPr>
          <w:rFonts w:ascii="Palatino Linotype" w:eastAsia="Palatino Linotype" w:hAnsi="Palatino Linotype" w:cs="Palatino Linotype"/>
          <w:b/>
        </w:rPr>
        <w:t xml:space="preserve"> un particular que no proporcionó nombre o seudónimo</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 en contra de la respuesta emitida por parte del </w:t>
      </w:r>
      <w:r>
        <w:rPr>
          <w:rFonts w:ascii="Palatino Linotype" w:eastAsia="Palatino Linotype" w:hAnsi="Palatino Linotype" w:cs="Palatino Linotype"/>
          <w:b/>
        </w:rPr>
        <w:t>Sistema Municipal para el Desarrollo Integral de la Familia de Metepec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6EA6709D" w14:textId="77777777" w:rsidR="00E36AE0" w:rsidRDefault="00EE6CB2">
      <w:pPr>
        <w:numPr>
          <w:ilvl w:val="0"/>
          <w:numId w:val="8"/>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023B31C6" w14:textId="77777777" w:rsidR="00E36AE0" w:rsidRDefault="00EE6CB2">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de veintisiete de enero de dos mil veintidós,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 que requirió lo siguiente:</w:t>
      </w:r>
    </w:p>
    <w:p w14:paraId="33F11A6C" w14:textId="77777777" w:rsidR="00E36AE0" w:rsidRDefault="00EE6CB2">
      <w:pPr>
        <w:spacing w:before="240" w:after="240" w:line="276" w:lineRule="auto"/>
        <w:ind w:left="705"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 xml:space="preserve">Solicito por este medio, una copia en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(en versión pública) del RFC de quien contesta las solicitudes de transparencia del </w:t>
      </w:r>
      <w:proofErr w:type="spellStart"/>
      <w:r>
        <w:rPr>
          <w:rFonts w:ascii="Palatino Linotype" w:eastAsia="Palatino Linotype" w:hAnsi="Palatino Linotype" w:cs="Palatino Linotype"/>
          <w:i/>
          <w:sz w:val="22"/>
          <w:szCs w:val="22"/>
        </w:rPr>
        <w:t>smdif</w:t>
      </w:r>
      <w:proofErr w:type="spellEnd"/>
      <w:r>
        <w:rPr>
          <w:rFonts w:ascii="Palatino Linotype" w:eastAsia="Palatino Linotype" w:hAnsi="Palatino Linotype" w:cs="Palatino Linotype"/>
          <w:i/>
          <w:sz w:val="22"/>
          <w:szCs w:val="22"/>
        </w:rPr>
        <w:t xml:space="preserve"> Metepec.”   </w:t>
      </w:r>
    </w:p>
    <w:p w14:paraId="438F827E" w14:textId="77777777" w:rsidR="00E36AE0" w:rsidRDefault="00EE6CB2">
      <w:pPr>
        <w:spacing w:before="240" w:after="240" w:line="360" w:lineRule="auto"/>
        <w:jc w:val="both"/>
        <w:rPr>
          <w:rFonts w:ascii="Palatino Linotype" w:eastAsia="Palatino Linotype" w:hAnsi="Palatino Linotype" w:cs="Palatino Linotype"/>
        </w:rPr>
      </w:pPr>
      <w:bookmarkStart w:id="2" w:name="_heading=h.2et92p0" w:colFirst="0" w:colLast="0"/>
      <w:bookmarkEnd w:id="2"/>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738E03C5" w14:textId="77777777" w:rsidR="00E36AE0" w:rsidRDefault="00EE6CB2">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2. Prórroga.  En fecha diecisiete de febrero de la presente anualidad </w:t>
      </w:r>
      <w:r>
        <w:rPr>
          <w:rFonts w:ascii="Palatino Linotype" w:eastAsia="Palatino Linotype" w:hAnsi="Palatino Linotype" w:cs="Palatino Linotype"/>
          <w:color w:val="000000"/>
        </w:rPr>
        <w:t xml:space="preserve">con fundamento en el artículo 163 de la Ley de Transparencia y Acceso a la Información Pública del Estado de México y Municipios, se le hace de su conocimiento al </w:t>
      </w:r>
      <w:r>
        <w:rPr>
          <w:rFonts w:ascii="Palatino Linotype" w:eastAsia="Palatino Linotype" w:hAnsi="Palatino Linotype" w:cs="Palatino Linotype"/>
          <w:color w:val="000000"/>
        </w:rPr>
        <w:lastRenderedPageBreak/>
        <w:t>recurrente que el plazo de 15 días hábiles para atender su solicitud de información había sido prorrogado por 7 días. </w:t>
      </w:r>
    </w:p>
    <w:p w14:paraId="2A33A144"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veintiocho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envío su respuesta a la solicitud de acceso a la información a través del SAIMEX, en los siguientes términos:</w:t>
      </w:r>
    </w:p>
    <w:p w14:paraId="19BE7B8E" w14:textId="77777777" w:rsidR="00E36AE0" w:rsidRDefault="00EE6CB2">
      <w:pPr>
        <w:spacing w:before="240" w:after="240" w:line="276" w:lineRule="auto"/>
        <w:ind w:left="708"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i/>
          <w:sz w:val="22"/>
          <w:szCs w:val="22"/>
        </w:rPr>
        <w:t xml:space="preserve">En respuesta a la solicitud recibida, nos permitimos hacer de su conocimiento que con fundamento en el </w:t>
      </w:r>
      <w:proofErr w:type="spellStart"/>
      <w:r>
        <w:rPr>
          <w:rFonts w:ascii="Palatino Linotype" w:eastAsia="Palatino Linotype" w:hAnsi="Palatino Linotype" w:cs="Palatino Linotype"/>
          <w:i/>
          <w:sz w:val="22"/>
          <w:szCs w:val="22"/>
        </w:rPr>
        <w:t>articulo</w:t>
      </w:r>
      <w:proofErr w:type="spellEnd"/>
      <w:r>
        <w:rPr>
          <w:rFonts w:ascii="Palatino Linotype" w:eastAsia="Palatino Linotype" w:hAnsi="Palatino Linotype" w:cs="Palatino Linotype"/>
          <w:i/>
          <w:sz w:val="22"/>
          <w:szCs w:val="22"/>
        </w:rPr>
        <w:t xml:space="preserve"> 53, Fracciones: II, V y VI de la Ley de Transparencia y Acceso a la Información Pública del Estado de México y Municipios, le contestamos que:</w:t>
      </w:r>
    </w:p>
    <w:p w14:paraId="3B96C5DC" w14:textId="77777777" w:rsidR="00E36AE0" w:rsidRDefault="00EE6CB2">
      <w:pPr>
        <w:spacing w:before="240" w:after="240" w:line="276" w:lineRule="auto"/>
        <w:ind w:left="708"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p>
    <w:p w14:paraId="22316982" w14:textId="77777777" w:rsidR="00E36AE0" w:rsidRDefault="00EE6CB2">
      <w:pPr>
        <w:spacing w:before="240" w:after="240" w:line="276" w:lineRule="auto"/>
        <w:ind w:left="708"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5CA958DF" w14:textId="77777777" w:rsidR="00E36AE0" w:rsidRDefault="00EE6CB2">
      <w:pPr>
        <w:spacing w:before="240" w:after="240" w:line="276" w:lineRule="auto"/>
        <w:ind w:left="708"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Licenciado FERNANDO OSCAR ZAPATA NAVARRATE.</w:t>
      </w:r>
    </w:p>
    <w:p w14:paraId="67C34923" w14:textId="77777777" w:rsidR="00E36AE0" w:rsidRDefault="00EE6CB2">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color w:val="000000"/>
        </w:rPr>
        <w:lastRenderedPageBreak/>
        <w:t xml:space="preserve">Adjunto a su respuesta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proporcionó los archivos digitales siguientes: </w:t>
      </w:r>
    </w:p>
    <w:p w14:paraId="49D9B3A8" w14:textId="77777777" w:rsidR="00E36AE0" w:rsidRDefault="00EE6CB2">
      <w:pPr>
        <w:numPr>
          <w:ilvl w:val="0"/>
          <w:numId w:val="1"/>
        </w:numPr>
        <w:spacing w:before="240" w:after="240" w:line="360" w:lineRule="auto"/>
        <w:ind w:left="1571" w:right="902"/>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acta primer sesión extraordinaria Comité de transparencia.pdf </w:t>
      </w:r>
      <w:r>
        <w:rPr>
          <w:rFonts w:ascii="Palatino Linotype" w:eastAsia="Palatino Linotype" w:hAnsi="Palatino Linotype" w:cs="Palatino Linotype"/>
          <w:color w:val="000000"/>
        </w:rPr>
        <w:t>en su contenido se advierte el Acta de la primer Sesión Extraordinaria del Comité de Transparencia del Sistema Municipal DIF de Metepec, en cuyo contenido se precisa: </w:t>
      </w:r>
    </w:p>
    <w:p w14:paraId="3FCE1C1B"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5E6ECC74" wp14:editId="5BA66F6E">
            <wp:extent cx="5278916" cy="621558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278916" cy="6215585"/>
                    </a:xfrm>
                    <a:prstGeom prst="rect">
                      <a:avLst/>
                    </a:prstGeom>
                    <a:ln/>
                  </pic:spPr>
                </pic:pic>
              </a:graphicData>
            </a:graphic>
          </wp:inline>
        </w:drawing>
      </w:r>
    </w:p>
    <w:p w14:paraId="61191D1C"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4. Interposición del recurso de revisión. </w:t>
      </w:r>
      <w:r>
        <w:rPr>
          <w:rFonts w:ascii="Palatino Linotype" w:eastAsia="Palatino Linotype" w:hAnsi="Palatino Linotype" w:cs="Palatino Linotype"/>
        </w:rPr>
        <w:t xml:space="preserve">Inconforme el solicitante con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el recurso de revisión a través del SAIMEX en fecha tres de marzo del dos mil veintidós, a través del cual expresó lo siguiente:</w:t>
      </w:r>
    </w:p>
    <w:p w14:paraId="1B7EAB31"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b/>
        </w:rPr>
        <w:t>Acto Impugnado:</w:t>
      </w:r>
      <w:r>
        <w:rPr>
          <w:rFonts w:ascii="Palatino Linotype" w:eastAsia="Palatino Linotype" w:hAnsi="Palatino Linotype" w:cs="Palatino Linotype"/>
        </w:rPr>
        <w:t xml:space="preserve"> </w:t>
      </w:r>
    </w:p>
    <w:p w14:paraId="657A3F7B" w14:textId="77777777" w:rsidR="00E36AE0" w:rsidRDefault="00EE6CB2">
      <w:pPr>
        <w:spacing w:before="240" w:after="240" w:line="360"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proporcionada por el Sujeto Obligado.” [Sic] </w:t>
      </w:r>
    </w:p>
    <w:p w14:paraId="1DE232DE"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 xml:space="preserve"> </w:t>
      </w:r>
    </w:p>
    <w:p w14:paraId="09C638AE" w14:textId="77777777" w:rsidR="00E36AE0" w:rsidRDefault="00EE6CB2">
      <w:pPr>
        <w:spacing w:before="240" w:after="240"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estableciendo en los artículos 151, 160, 162, 163, 164, 165 y 166 de la Ley </w:t>
      </w:r>
      <w:r>
        <w:rPr>
          <w:rFonts w:ascii="Palatino Linotype" w:eastAsia="Palatino Linotype" w:hAnsi="Palatino Linotype" w:cs="Palatino Linotype"/>
          <w:i/>
          <w:sz w:val="22"/>
          <w:szCs w:val="22"/>
        </w:rPr>
        <w:lastRenderedPageBreak/>
        <w:t xml:space="preserve">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se aprecia que es el mismo titular de la Unidad de Transparencia quien realiza el cambio de modalidad. En la virtud, el servidor público referido quien resulta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w:t>
      </w:r>
      <w:r>
        <w:rPr>
          <w:rFonts w:ascii="Palatino Linotype" w:eastAsia="Palatino Linotype" w:hAnsi="Palatino Linotype" w:cs="Palatino Linotype"/>
          <w:i/>
          <w:sz w:val="22"/>
          <w:szCs w:val="22"/>
        </w:rPr>
        <w:lastRenderedPageBreak/>
        <w:t xml:space="preserve">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el acceso a la información solicitada, además de informar claramente sobre los procesos que implican la aplicación del trabajo humano que se requiere hacer accesible la información. De tal manera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de establecerse claramente las circunstancias fácticas que la información, por su naturaleza, implica para permitir su acceso; debe señalarse el formato en que se encuentra la información, los procesos a los que se encuentra sujeta la misma, y el por qué debe ser sujeta a análisis o esh1dio o la forma en que ésta debe ser procesada para poder ser accesible al particular y entregarse vía electrónica. Deben señalarse claramente los impedimentos técnicos administrativos que dificultan el permitir el acceso a la información solicitada, además de informar claramente sobre los procesos que implican la aplicación del trabajo humano que se requiere para hacer accesible la información. Bajo esta tesitura, la fundamentación y motivación de los actos o resoluciones no es exclusiva de los órganos judiciales o jurisdiccionales, si no que se extiende a todas las autoridades. En este contexto, en todo acto que la autoridad pronuncie en el ejercicio de sus atribuciones, debe expresar los fundamentos legales que le dieron origen y la razones por las que se debe aplicar al caso concreto. De este modo, la persona que se sienta afectada puede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pública solicitada, toda vez que emite una respuesta en la cual, pretende sin motivación y justificación alguna cambiar la modalidad de entrega de la información. En este sentido es importante considerar que el sujeto obligado no niega en ningún momento la existencia de la información requerida, todo lo contrario, por lo que en aquellos casos en que éste al asume, ello implica que la genera, posee o administra; por consiguiente, el sujeto obligado asume contar con la información requerida. Es así como, no se acredita que el análisis, estudio o procesamiento de que los documentos sobrepasen </w:t>
      </w:r>
      <w:r>
        <w:rPr>
          <w:rFonts w:ascii="Palatino Linotype" w:eastAsia="Palatino Linotype" w:hAnsi="Palatino Linotype" w:cs="Palatino Linotype"/>
          <w:i/>
          <w:sz w:val="22"/>
          <w:szCs w:val="22"/>
        </w:rPr>
        <w:lastRenderedPageBreak/>
        <w:t xml:space="preserve">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responsabilidades administrativas por el incumplimiento a lo anteriormente expuesto, aunado a lo previsto por el artículo 222 fracciones I, II, XV y XXI del mismo ordenamiento jurídico” (sic) </w:t>
      </w:r>
    </w:p>
    <w:p w14:paraId="1479305F" w14:textId="77777777" w:rsidR="00E36AE0" w:rsidRDefault="00EE6CB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 Turno</w:t>
      </w:r>
      <w:r>
        <w:rPr>
          <w:rFonts w:ascii="Palatino Linotype" w:eastAsia="Palatino Linotype" w:hAnsi="Palatino Linotype" w:cs="Palatino Linotype"/>
          <w:b/>
          <w:sz w:val="28"/>
          <w:szCs w:val="28"/>
        </w:rPr>
        <w:t>. </w:t>
      </w:r>
      <w:r>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w:t>
      </w:r>
      <w:r>
        <w:rPr>
          <w:rFonts w:ascii="Palatino Linotype" w:eastAsia="Palatino Linotype" w:hAnsi="Palatino Linotype" w:cs="Palatino Linotype"/>
          <w:b/>
        </w:rPr>
        <w:t xml:space="preserve"> Comisionada</w:t>
      </w:r>
      <w:r>
        <w:rPr>
          <w:rFonts w:ascii="Palatino Linotype" w:eastAsia="Palatino Linotype" w:hAnsi="Palatino Linotype" w:cs="Palatino Linotype"/>
        </w:rPr>
        <w:t>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w:t>
      </w:r>
      <w:r>
        <w:rPr>
          <w:rFonts w:ascii="Palatino Linotype" w:eastAsia="Palatino Linotype" w:hAnsi="Palatino Linotype" w:cs="Palatino Linotype"/>
        </w:rPr>
        <w:lastRenderedPageBreak/>
        <w:t xml:space="preserve">su análisis, estudio, elaboración del proyecto y presentación ante el Pleno de este Instituto. </w:t>
      </w:r>
    </w:p>
    <w:p w14:paraId="08417918"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Admisión. </w:t>
      </w:r>
      <w:r>
        <w:rPr>
          <w:rFonts w:ascii="Palatino Linotype" w:eastAsia="Palatino Linotype" w:hAnsi="Palatino Linotype" w:cs="Palatino Linotype"/>
        </w:rPr>
        <w:t>El ocho de marzo de dos mil veintidós, en términos de lo dispuesto en el artículo 185 fracciones I, II y IV de la Ley de Transparencia y Acceso a la Información Pública del Estado de México y Municipios, se admitió a trámite el recurso de revisión.</w:t>
      </w:r>
    </w:p>
    <w:p w14:paraId="52CF3342" w14:textId="77777777" w:rsidR="00E36AE0" w:rsidRDefault="00EE6CB2">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 constancia que obra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informe justificado para manifestar lo que a su derecho asistiera y conviniera, por su parte,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omitió realizar manifestación, formular alegatos y ofrecer algún medio de prueba. </w:t>
      </w:r>
    </w:p>
    <w:p w14:paraId="71EE44E3"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1B0DC161" wp14:editId="79C067B9">
            <wp:extent cx="5612130" cy="181229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2130" cy="1812290"/>
                    </a:xfrm>
                    <a:prstGeom prst="rect">
                      <a:avLst/>
                    </a:prstGeom>
                    <a:ln/>
                  </pic:spPr>
                </pic:pic>
              </a:graphicData>
            </a:graphic>
          </wp:inline>
        </w:drawing>
      </w:r>
    </w:p>
    <w:p w14:paraId="5CD5B778"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El veinte mayo del año dos mil veintidós, con fundamento en lo establecido en los artículos 185, fracción VI de la Ley de Transparencia y Acceso a la Información Pública del Estado de México y Municipios, al no existir trámite pendiente por realizar y haber sido sustanciados los medios de impugnación se </w:t>
      </w:r>
      <w:r>
        <w:rPr>
          <w:rFonts w:ascii="Palatino Linotype" w:eastAsia="Palatino Linotype" w:hAnsi="Palatino Linotype" w:cs="Palatino Linotype"/>
        </w:rPr>
        <w:lastRenderedPageBreak/>
        <w:t>acordó el cierre de instrucción y se procede a formular la resolución que en derecho corresponda.</w:t>
      </w:r>
    </w:p>
    <w:p w14:paraId="0DEC4BF1"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Ampliación de Plazo. </w:t>
      </w:r>
      <w:r>
        <w:rPr>
          <w:rFonts w:ascii="Palatino Linotype" w:eastAsia="Palatino Linotype" w:hAnsi="Palatino Linotype" w:cs="Palatino Linotype"/>
        </w:rPr>
        <w:t>El veinte de mayo del año dos mil veintidós, con fundamento en el artículo 181, párrafo tercero de la Ley de Transparencia y Acceso a la Información Pública del Estado de México y Municipios, se amplía el plazo de treinta días para emitir la resolución, por un periodo de quince días hábiles.</w:t>
      </w:r>
    </w:p>
    <w:p w14:paraId="3D2A0BC2" w14:textId="77777777" w:rsidR="00E36AE0" w:rsidRDefault="00EE6CB2">
      <w:pPr>
        <w:tabs>
          <w:tab w:val="center" w:pos="4419"/>
        </w:tabs>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rPr>
        <w:t xml:space="preserve"> </w:t>
      </w:r>
      <w:r>
        <w:rPr>
          <w:rFonts w:ascii="Palatino Linotype" w:eastAsia="Palatino Linotype" w:hAnsi="Palatino Linotype" w:cs="Palatino Linotype"/>
        </w:rPr>
        <w:tab/>
      </w:r>
      <w:r>
        <w:rPr>
          <w:rFonts w:ascii="Palatino Linotype" w:eastAsia="Palatino Linotype" w:hAnsi="Palatino Linotype" w:cs="Palatino Linotype"/>
          <w:b/>
          <w:color w:val="000000"/>
        </w:rPr>
        <w:t>C O N S I D E R A N D O:</w:t>
      </w:r>
    </w:p>
    <w:p w14:paraId="1111D597"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743BB999" w14:textId="77777777" w:rsidR="00E36AE0" w:rsidRDefault="00EE6CB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rPr>
        <w:t xml:space="preserve">SEGUNDO. </w:t>
      </w:r>
      <w:r>
        <w:rPr>
          <w:rFonts w:ascii="Palatino Linotype" w:eastAsia="Palatino Linotype" w:hAnsi="Palatino Linotype" w:cs="Palatino Linotype"/>
          <w:b/>
          <w:color w:val="000000"/>
        </w:rPr>
        <w:t>Oportunidad y Procedibilidad del Recurso de Revisión.</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rPr>
        <w:t xml:space="preserve">De conformidad con los requisitos de Oportunidad y Procedibilidad que debe reunir el recurso de revisión interpuesto, previstos en los artículos 178 y 180 de la Ley de </w:t>
      </w:r>
      <w:r>
        <w:rPr>
          <w:rFonts w:ascii="Palatino Linotype" w:eastAsia="Palatino Linotype" w:hAnsi="Palatino Linotype" w:cs="Palatino Linotype"/>
          <w:color w:val="000000"/>
        </w:rPr>
        <w:lastRenderedPageBreak/>
        <w:t xml:space="preserve">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emitió su respuesta a la solicitud planteada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en fecha </w:t>
      </w:r>
      <w:r>
        <w:rPr>
          <w:rFonts w:ascii="Palatino Linotype" w:eastAsia="Palatino Linotype" w:hAnsi="Palatino Linotype" w:cs="Palatino Linotype"/>
          <w:b/>
          <w:color w:val="000000"/>
        </w:rPr>
        <w:t>veintiocho de febrero del año dos mil veintidós</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presentó su recurso de revisión el día </w:t>
      </w:r>
      <w:r>
        <w:rPr>
          <w:rFonts w:ascii="Palatino Linotype" w:eastAsia="Palatino Linotype" w:hAnsi="Palatino Linotype" w:cs="Palatino Linotype"/>
          <w:b/>
          <w:color w:val="000000"/>
        </w:rPr>
        <w:t>tres de marzo del mismo año</w:t>
      </w:r>
      <w:r>
        <w:rPr>
          <w:rFonts w:ascii="Palatino Linotype" w:eastAsia="Palatino Linotype" w:hAnsi="Palatino Linotype" w:cs="Palatino Linotype"/>
          <w:color w:val="000000"/>
        </w:rPr>
        <w:t xml:space="preserve">, esto es, al </w:t>
      </w:r>
      <w:r>
        <w:rPr>
          <w:rFonts w:ascii="Palatino Linotype" w:eastAsia="Palatino Linotype" w:hAnsi="Palatino Linotype" w:cs="Palatino Linotype"/>
          <w:b/>
          <w:color w:val="000000"/>
        </w:rPr>
        <w:t>segundo día hábil siguiente</w:t>
      </w:r>
      <w:r>
        <w:rPr>
          <w:rFonts w:ascii="Palatino Linotype" w:eastAsia="Palatino Linotype" w:hAnsi="Palatino Linotype" w:cs="Palatino Linotype"/>
          <w:color w:val="000000"/>
        </w:rPr>
        <w:t xml:space="preserve"> en el que tuvo conocimiento de la respuesta; evidenciándose que la interposición del recurso se encuentra dentro de los márgenes temporales previstos en el citado precepto legal. </w:t>
      </w:r>
    </w:p>
    <w:p w14:paraId="324C282E"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EAE4175" w14:textId="77777777" w:rsidR="00E36AE0" w:rsidRDefault="00EE6CB2">
      <w:pPr>
        <w:spacing w:before="240" w:after="240" w:line="276" w:lineRule="auto"/>
        <w:ind w:left="566" w:right="6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E11E9B0"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por cuanto hace a la procedibilidad del recurso de revisión, una vez realizado el análisis del formato de interposición del mismo, se concluye la acreditación plena de los elementos formales precisados por el artículo 180 de la Ley </w:t>
      </w:r>
      <w:r>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14:paraId="403EEA04" w14:textId="77777777" w:rsidR="00E36AE0" w:rsidRDefault="00EE6CB2">
      <w:pP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en sus motivos de inconformidad, de acuerdo al artículo 179, fracción VIII del ordenamiento legal citado, que a la letra dice:</w:t>
      </w:r>
    </w:p>
    <w:p w14:paraId="48A476A4" w14:textId="77777777" w:rsidR="00E36AE0" w:rsidRDefault="00E36AE0">
      <w:pPr>
        <w:tabs>
          <w:tab w:val="left" w:pos="7088"/>
        </w:tabs>
        <w:spacing w:before="120" w:after="120"/>
        <w:ind w:left="851" w:right="616"/>
        <w:jc w:val="both"/>
        <w:rPr>
          <w:rFonts w:ascii="Palatino Linotype" w:eastAsia="Palatino Linotype" w:hAnsi="Palatino Linotype" w:cs="Palatino Linotype"/>
        </w:rPr>
      </w:pPr>
    </w:p>
    <w:p w14:paraId="68684D97" w14:textId="77777777" w:rsidR="00E36AE0" w:rsidRDefault="00EE6CB2">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47575CC" w14:textId="77777777" w:rsidR="00E36AE0" w:rsidRDefault="00EE6CB2">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br/>
      </w:r>
      <w:r>
        <w:rPr>
          <w:rFonts w:ascii="Palatino Linotype" w:eastAsia="Palatino Linotype" w:hAnsi="Palatino Linotype" w:cs="Palatino Linotype"/>
          <w:b/>
          <w:i/>
          <w:sz w:val="22"/>
          <w:szCs w:val="22"/>
        </w:rPr>
        <w:t>…</w:t>
      </w:r>
      <w:r>
        <w:t xml:space="preserve"> </w:t>
      </w:r>
    </w:p>
    <w:p w14:paraId="2934C1B7" w14:textId="77777777" w:rsidR="00E36AE0" w:rsidRDefault="00EE6CB2">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La notificación, entrega o puesta a disposición de información en una modalidad o formato distinto al solicitado;</w:t>
      </w:r>
    </w:p>
    <w:p w14:paraId="67F86291" w14:textId="77777777" w:rsidR="00E36AE0" w:rsidRDefault="00EE6CB2">
      <w:pPr>
        <w:spacing w:before="120" w:after="120"/>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3EEA53C1" w14:textId="77777777" w:rsidR="00E36AE0" w:rsidRDefault="00E36AE0">
      <w:pPr>
        <w:spacing w:before="120" w:after="120"/>
        <w:ind w:left="993" w:right="902"/>
        <w:jc w:val="both"/>
        <w:rPr>
          <w:rFonts w:ascii="Palatino Linotype" w:eastAsia="Palatino Linotype" w:hAnsi="Palatino Linotype" w:cs="Palatino Linotype"/>
          <w:b/>
          <w:i/>
          <w:sz w:val="22"/>
          <w:szCs w:val="22"/>
        </w:rPr>
      </w:pPr>
    </w:p>
    <w:p w14:paraId="3E9BEF5A" w14:textId="77777777" w:rsidR="00E36AE0" w:rsidRDefault="00EE6CB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7F3A1A2C"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Del </w:t>
      </w:r>
      <w:r>
        <w:rPr>
          <w:rFonts w:ascii="Palatino Linotype" w:eastAsia="Palatino Linotype" w:hAnsi="Palatino Linotype" w:cs="Palatino Linotype"/>
          <w:color w:val="000000"/>
        </w:rPr>
        <w:t>análisis de la solicitud de información motivo del recurso de revisión que ahora se resuelve se advierte que el particular requirió:</w:t>
      </w:r>
    </w:p>
    <w:p w14:paraId="730AF8F3" w14:textId="77777777" w:rsidR="00E36AE0" w:rsidRDefault="00EE6CB2">
      <w:pPr>
        <w:pBdr>
          <w:top w:val="nil"/>
          <w:left w:val="nil"/>
          <w:bottom w:val="nil"/>
          <w:right w:val="nil"/>
          <w:between w:val="nil"/>
        </w:pBdr>
        <w:spacing w:before="280" w:after="28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“Solicito por este medio, una copia en PDF (en versión pública) del RFC de quien contesta las solicitudes de transparencia del </w:t>
      </w:r>
      <w:proofErr w:type="spellStart"/>
      <w:r>
        <w:rPr>
          <w:rFonts w:ascii="Palatino Linotype" w:eastAsia="Palatino Linotype" w:hAnsi="Palatino Linotype" w:cs="Palatino Linotype"/>
          <w:i/>
          <w:color w:val="000000"/>
          <w:sz w:val="22"/>
          <w:szCs w:val="22"/>
        </w:rPr>
        <w:t>smdif</w:t>
      </w:r>
      <w:proofErr w:type="spellEnd"/>
      <w:r>
        <w:rPr>
          <w:rFonts w:ascii="Palatino Linotype" w:eastAsia="Palatino Linotype" w:hAnsi="Palatino Linotype" w:cs="Palatino Linotype"/>
          <w:i/>
          <w:color w:val="000000"/>
          <w:sz w:val="22"/>
          <w:szCs w:val="22"/>
        </w:rPr>
        <w:t xml:space="preserve"> Metepec</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 xml:space="preserve">sic) </w:t>
      </w:r>
    </w:p>
    <w:p w14:paraId="06FD82EF" w14:textId="77777777" w:rsidR="00E36AE0" w:rsidRDefault="00EE6CB2">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En respuesta, se adjuntó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el archivo digital </w:t>
      </w: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acta primer sesión extraordinaria Comité de transparencia.pdf</w:t>
      </w:r>
      <w:r>
        <w:rPr>
          <w:rFonts w:ascii="Palatino Linotype" w:eastAsia="Palatino Linotype" w:hAnsi="Palatino Linotype" w:cs="Palatino Linotype"/>
          <w:b/>
          <w:color w:val="000000"/>
        </w:rPr>
        <w:t xml:space="preserve">” que </w:t>
      </w:r>
      <w:r>
        <w:rPr>
          <w:rFonts w:ascii="Palatino Linotype" w:eastAsia="Palatino Linotype" w:hAnsi="Palatino Linotype" w:cs="Palatino Linotype"/>
          <w:color w:val="000000"/>
        </w:rPr>
        <w:t xml:space="preserve">en su contenido se advierte el Acta de la primer Sesión Extraordinaria del Comité de Transparencia del Sistema Municipal DIF de Metepec, en cuyo contenido se precisa que en el primer bimestre de la presente anualidad el </w:t>
      </w:r>
      <w:r>
        <w:rPr>
          <w:rFonts w:ascii="Palatino Linotype" w:eastAsia="Palatino Linotype" w:hAnsi="Palatino Linotype" w:cs="Palatino Linotype"/>
          <w:b/>
          <w:color w:val="000000"/>
        </w:rPr>
        <w:t>Sistema Municipal Para el Desarrollo Integral de la Familia de Metepec ha recibido un inusual número de solicitudes de acceso a la información pública a través de la plataforma SAIMEX, motivo por el cual diversas áreas de la administración se pronunciaron en el sentido de que la atención a cada una de las solicitudes que se les turnan requiere de realizar una búsqueda exhaustiva  y razonable  de lo solicitado, así como realizar una serie de procedimientos como análisis, estudio y procesamiento de la información y verificación de la misma a efectos de verificar si se encuentra en alguno de los supuestos de clasificación. </w:t>
      </w:r>
    </w:p>
    <w:p w14:paraId="4694B9A8" w14:textId="77777777" w:rsidR="00E36AE0" w:rsidRDefault="00EE6CB2">
      <w:pPr>
        <w:pBdr>
          <w:top w:val="nil"/>
          <w:left w:val="nil"/>
          <w:bottom w:val="nil"/>
          <w:right w:val="nil"/>
          <w:between w:val="nil"/>
        </w:pBdr>
        <w:spacing w:before="240" w:line="360" w:lineRule="auto"/>
        <w:ind w:right="49"/>
        <w:jc w:val="both"/>
        <w:rPr>
          <w:color w:val="000000"/>
        </w:rPr>
      </w:pPr>
      <w:r>
        <w:rPr>
          <w:rFonts w:ascii="Palatino Linotype" w:eastAsia="Palatino Linotype" w:hAnsi="Palatino Linotype" w:cs="Palatino Linotype"/>
          <w:b/>
          <w:color w:val="000000"/>
        </w:rPr>
        <w:t>Además, señala que  no se cuenta con una estructura humana y material para dar atención exclusivamente a  las solicitudes, por  tal motivo se somete a consideración del Comité de Transparencia el cambio de modalidad de entrega de la información, con el propósito de poner a disposición de los solicitantes los documentos correspondientes en consulta directa  en términos de lo establecido en el numeral 53, fracciones IV y VII,  158 y 165 de la Ley en la materia. </w:t>
      </w:r>
    </w:p>
    <w:p w14:paraId="52A329A9" w14:textId="77777777" w:rsidR="00E36AE0" w:rsidRDefault="00EE6CB2">
      <w:pPr>
        <w:pBdr>
          <w:top w:val="nil"/>
          <w:left w:val="nil"/>
          <w:bottom w:val="nil"/>
          <w:right w:val="nil"/>
          <w:between w:val="nil"/>
        </w:pBdr>
        <w:spacing w:line="360" w:lineRule="auto"/>
        <w:ind w:left="1571" w:right="902"/>
        <w:jc w:val="both"/>
        <w:rPr>
          <w:color w:val="000000"/>
        </w:rPr>
      </w:pPr>
      <w:r>
        <w:rPr>
          <w:rFonts w:ascii="Palatino Linotype" w:eastAsia="Palatino Linotype" w:hAnsi="Palatino Linotype" w:cs="Palatino Linotype"/>
          <w:b/>
          <w:color w:val="000000"/>
          <w:sz w:val="22"/>
          <w:szCs w:val="22"/>
        </w:rPr>
        <w:t> </w:t>
      </w:r>
    </w:p>
    <w:p w14:paraId="58822B1C" w14:textId="77777777" w:rsidR="00E36AE0" w:rsidRDefault="00EE6CB2">
      <w:pPr>
        <w:pBdr>
          <w:top w:val="nil"/>
          <w:left w:val="nil"/>
          <w:bottom w:val="nil"/>
          <w:right w:val="nil"/>
          <w:between w:val="nil"/>
        </w:pBdr>
        <w:spacing w:line="360" w:lineRule="auto"/>
        <w:ind w:right="49"/>
        <w:jc w:val="both"/>
        <w:rPr>
          <w:color w:val="000000"/>
        </w:rPr>
      </w:pPr>
      <w:r>
        <w:rPr>
          <w:rFonts w:ascii="Palatino Linotype" w:eastAsia="Palatino Linotype" w:hAnsi="Palatino Linotype" w:cs="Palatino Linotype"/>
          <w:b/>
          <w:color w:val="000000"/>
        </w:rPr>
        <w:lastRenderedPageBreak/>
        <w:t>Finalmente, a través del acuerdo SMDIF/CT/004/2022 se acuerda por unanimidad de votos de los integrantes del Comité de Transparencia que la información requerida en las solicitudes de acceso a la información, sea puesta a disposición de los solicitantes mediante Consulta Directa.  </w:t>
      </w:r>
    </w:p>
    <w:p w14:paraId="14BCAE89" w14:textId="77777777" w:rsidR="00E36AE0" w:rsidRDefault="00EE6CB2">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Derivado de dicha respuesta, </w:t>
      </w:r>
      <w:r>
        <w:rPr>
          <w:rFonts w:ascii="Palatino Linotype" w:eastAsia="Palatino Linotype" w:hAnsi="Palatino Linotype" w:cs="Palatino Linotype"/>
          <w:b/>
          <w:color w:val="000000"/>
        </w:rPr>
        <w:t>la parte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se inconformó, interponiendo el medio de impugnación que es materia de esta resolución,  exponiendo como motivo de inconformidad los siguientes argumentos: </w:t>
      </w:r>
    </w:p>
    <w:p w14:paraId="25807DAF" w14:textId="77777777" w:rsidR="00E36AE0" w:rsidRDefault="00EE6CB2">
      <w:pPr>
        <w:numPr>
          <w:ilvl w:val="0"/>
          <w:numId w:val="2"/>
        </w:numPr>
        <w:spacing w:before="240" w:after="240" w:line="360" w:lineRule="auto"/>
        <w:ind w:left="1571"/>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Que la</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respuesta proporcionada por el SUJETO OBLIGADO está repleta de deficiencias al incumplir con diversas disposiciones explícitamente señaladas por la Ley de Transparencia y Acceso a la Información Pública y demás normatividad aplicable;</w:t>
      </w:r>
    </w:p>
    <w:p w14:paraId="4D627A17" w14:textId="77777777" w:rsidR="00E36AE0" w:rsidRDefault="00EE6CB2">
      <w:pPr>
        <w:numPr>
          <w:ilvl w:val="0"/>
          <w:numId w:val="2"/>
        </w:numPr>
        <w:spacing w:before="240" w:after="240" w:line="360" w:lineRule="auto"/>
        <w:ind w:left="157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w:t>
      </w:r>
    </w:p>
    <w:p w14:paraId="55F2A430" w14:textId="77777777" w:rsidR="00E36AE0" w:rsidRDefault="00EE6CB2">
      <w:pPr>
        <w:numPr>
          <w:ilvl w:val="0"/>
          <w:numId w:val="2"/>
        </w:numPr>
        <w:spacing w:before="240" w:after="240" w:line="360" w:lineRule="auto"/>
        <w:ind w:left="157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en términos generales autorizan el cambio de modalidad de diversas solicitudes de información, sin analizar por cada una los motivos o supuestos por los cuales se realiza dicho cambio;</w:t>
      </w:r>
    </w:p>
    <w:p w14:paraId="5891AB7D" w14:textId="77777777" w:rsidR="00E36AE0" w:rsidRDefault="00EE6CB2">
      <w:pPr>
        <w:numPr>
          <w:ilvl w:val="0"/>
          <w:numId w:val="2"/>
        </w:numPr>
        <w:spacing w:before="240" w:after="240" w:line="360" w:lineRule="auto"/>
        <w:ind w:left="157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Que emite una respuesta en la cual, pretende sin motivación y justificación alguna cambiar la modalidad de entrega de la información; y, </w:t>
      </w:r>
    </w:p>
    <w:p w14:paraId="676CC362" w14:textId="77777777" w:rsidR="00E36AE0" w:rsidRDefault="00EE6CB2">
      <w:pPr>
        <w:numPr>
          <w:ilvl w:val="0"/>
          <w:numId w:val="2"/>
        </w:numPr>
        <w:spacing w:before="240" w:after="240" w:line="360" w:lineRule="auto"/>
        <w:ind w:left="157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29072CC" w14:textId="77777777" w:rsidR="00E36AE0" w:rsidRDefault="00EE6CB2">
      <w:pPr>
        <w:spacing w:line="360" w:lineRule="auto"/>
        <w:ind w:right="-93"/>
        <w:jc w:val="both"/>
      </w:pPr>
      <w:r>
        <w:rPr>
          <w:rFonts w:ascii="Palatino Linotype" w:eastAsia="Palatino Linotype" w:hAnsi="Palatino Linotype" w:cs="Palatino Linotype"/>
          <w:b/>
          <w:color w:val="000000"/>
        </w:rPr>
        <w:t>Agotado lo anterior, tenemos</w:t>
      </w:r>
      <w:r>
        <w:rPr>
          <w:rFonts w:ascii="Palatino Linotype" w:eastAsia="Palatino Linotype" w:hAnsi="Palatino Linotype" w:cs="Palatino Linotype"/>
          <w:color w:val="000000"/>
        </w:rPr>
        <w:t xml:space="preserve"> que  el artículo 6°, Apartado A), fracción I de la Constitución Política de los Estados Unidos Mexicanos, establece que toda la información en posesión de cualquier autoridad es pública y sólo podrá ser reservada temporalmente por razones de interés público. </w:t>
      </w:r>
    </w:p>
    <w:p w14:paraId="0A90E10B" w14:textId="77777777" w:rsidR="00E36AE0" w:rsidRDefault="00E36AE0">
      <w:pPr>
        <w:spacing w:line="360" w:lineRule="auto"/>
      </w:pPr>
    </w:p>
    <w:p w14:paraId="731609CE" w14:textId="77777777" w:rsidR="00E36AE0" w:rsidRDefault="00EE6CB2">
      <w:pPr>
        <w:spacing w:line="360" w:lineRule="auto"/>
        <w:jc w:val="both"/>
      </w:pPr>
      <w:r>
        <w:rPr>
          <w:rFonts w:ascii="Palatino Linotype" w:eastAsia="Palatino Linotype" w:hAnsi="Palatino Linotype" w:cs="Palatino Linotype"/>
          <w:color w:val="000000"/>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F83277C" w14:textId="77777777" w:rsidR="00E36AE0" w:rsidRDefault="00E36AE0">
      <w:pPr>
        <w:spacing w:line="360" w:lineRule="auto"/>
      </w:pPr>
    </w:p>
    <w:p w14:paraId="558E9F6E" w14:textId="77777777" w:rsidR="00E36AE0" w:rsidRDefault="00EE6CB2">
      <w:pPr>
        <w:spacing w:line="360" w:lineRule="auto"/>
        <w:jc w:val="both"/>
      </w:pPr>
      <w:r>
        <w:rPr>
          <w:rFonts w:ascii="Palatino Linotype" w:eastAsia="Palatino Linotype" w:hAnsi="Palatino Linotype" w:cs="Palatino Linotype"/>
          <w:color w:val="000000"/>
        </w:rPr>
        <w:t>Por su parte, la Ley de Transparencia y Acceso a la Información Pública del Estado de México y Municipios (Reglamentaria del artículo 5° de la Constitución Local), establece lo siguiente:</w:t>
      </w:r>
    </w:p>
    <w:p w14:paraId="5B872191" w14:textId="77777777" w:rsidR="00E36AE0" w:rsidRDefault="00EE6CB2">
      <w:pPr>
        <w:spacing w:line="360" w:lineRule="auto"/>
      </w:pPr>
      <w:r>
        <w:lastRenderedPageBreak/>
        <w:br/>
      </w:r>
    </w:p>
    <w:p w14:paraId="6A1F9303" w14:textId="77777777" w:rsidR="00E36AE0" w:rsidRDefault="00EE6CB2">
      <w:pPr>
        <w:numPr>
          <w:ilvl w:val="0"/>
          <w:numId w:val="3"/>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12, que, quienes generen, recopilen, administren, manejen, procesen, archiven o conserven información pública serán responsables de la misma.</w:t>
      </w:r>
    </w:p>
    <w:p w14:paraId="5857C40A" w14:textId="77777777" w:rsidR="00E36AE0" w:rsidRDefault="00E36AE0">
      <w:pPr>
        <w:spacing w:line="360" w:lineRule="auto"/>
      </w:pPr>
    </w:p>
    <w:p w14:paraId="3A088754" w14:textId="77777777" w:rsidR="00E36AE0" w:rsidRDefault="00EE6CB2">
      <w:pPr>
        <w:numPr>
          <w:ilvl w:val="0"/>
          <w:numId w:val="5"/>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743C773B" w14:textId="77777777" w:rsidR="00E36AE0" w:rsidRDefault="00E36AE0">
      <w:pPr>
        <w:spacing w:line="360" w:lineRule="auto"/>
      </w:pPr>
    </w:p>
    <w:p w14:paraId="4EB70AD8" w14:textId="77777777" w:rsidR="00E36AE0" w:rsidRDefault="00EE6CB2">
      <w:pPr>
        <w:numPr>
          <w:ilvl w:val="0"/>
          <w:numId w:val="7"/>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F27D669" w14:textId="77777777" w:rsidR="00E36AE0" w:rsidRDefault="00E36AE0">
      <w:pPr>
        <w:spacing w:line="360" w:lineRule="auto"/>
      </w:pPr>
    </w:p>
    <w:p w14:paraId="16596119" w14:textId="77777777" w:rsidR="00E36AE0" w:rsidRDefault="00EE6CB2">
      <w:pPr>
        <w:spacing w:line="360" w:lineRule="auto"/>
        <w:jc w:val="both"/>
      </w:pPr>
      <w:r>
        <w:rPr>
          <w:rFonts w:ascii="Palatino Linotype" w:eastAsia="Palatino Linotype" w:hAnsi="Palatino Linotype" w:cs="Palatino Linotype"/>
          <w:color w:val="000000"/>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w:t>
      </w:r>
      <w:r>
        <w:rPr>
          <w:rFonts w:ascii="Palatino Linotype" w:eastAsia="Palatino Linotype" w:hAnsi="Palatino Linotype" w:cs="Palatino Linotype"/>
          <w:color w:val="000000"/>
        </w:rPr>
        <w:lastRenderedPageBreak/>
        <w:t>visual, electrónico, informático u holográfico de conformidad con el artículo 3, fracción XI de la Ley de la materia, el cual señala lo siguiente: </w:t>
      </w:r>
    </w:p>
    <w:p w14:paraId="7DEEC595" w14:textId="77777777" w:rsidR="00E36AE0" w:rsidRDefault="00E36AE0"/>
    <w:p w14:paraId="4C1EEC99" w14:textId="77777777" w:rsidR="00E36AE0" w:rsidRDefault="00EE6CB2">
      <w:pPr>
        <w:ind w:left="851" w:right="899"/>
        <w:jc w:val="both"/>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14:paraId="59679301" w14:textId="77777777" w:rsidR="00E36AE0" w:rsidRDefault="00EE6CB2">
      <w:pPr>
        <w:ind w:left="851" w:right="899"/>
        <w:jc w:val="both"/>
      </w:pPr>
      <w:r>
        <w:rPr>
          <w:rFonts w:ascii="Palatino Linotype" w:eastAsia="Palatino Linotype" w:hAnsi="Palatino Linotype" w:cs="Palatino Linotype"/>
          <w:i/>
          <w:color w:val="000000"/>
          <w:sz w:val="22"/>
          <w:szCs w:val="22"/>
        </w:rPr>
        <w:t>…</w:t>
      </w:r>
    </w:p>
    <w:p w14:paraId="757F7D01" w14:textId="77777777" w:rsidR="00E36AE0" w:rsidRDefault="00EE6CB2">
      <w:pPr>
        <w:ind w:left="851" w:right="899"/>
        <w:jc w:val="both"/>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6EB81EE" w14:textId="77777777" w:rsidR="00E36AE0" w:rsidRDefault="00E36AE0"/>
    <w:p w14:paraId="03E456F7" w14:textId="77777777" w:rsidR="00E36AE0" w:rsidRDefault="00EE6CB2">
      <w:pPr>
        <w:spacing w:line="360" w:lineRule="auto"/>
        <w:jc w:val="both"/>
      </w:pPr>
      <w:r>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9E8EA7D" w14:textId="77777777" w:rsidR="00E36AE0" w:rsidRDefault="00E36AE0"/>
    <w:p w14:paraId="2778B66C" w14:textId="77777777" w:rsidR="00E36AE0" w:rsidRDefault="00EE6CB2">
      <w:pPr>
        <w:ind w:left="851" w:right="899"/>
        <w:jc w:val="both"/>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14:paraId="5CFB0E1F" w14:textId="77777777" w:rsidR="00E36AE0" w:rsidRDefault="00EE6CB2">
      <w:pPr>
        <w:ind w:left="851" w:right="899"/>
        <w:jc w:val="both"/>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59A0A4" w14:textId="77777777" w:rsidR="00E36AE0" w:rsidRDefault="00EE6CB2">
      <w:pPr>
        <w:ind w:left="851" w:right="899"/>
        <w:jc w:val="both"/>
      </w:pPr>
      <w:r>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57748433" w14:textId="77777777" w:rsidR="00E36AE0" w:rsidRDefault="00EE6CB2">
      <w:pPr>
        <w:ind w:left="851" w:right="899"/>
        <w:jc w:val="both"/>
      </w:pPr>
      <w:r>
        <w:rPr>
          <w:rFonts w:ascii="Palatino Linotype" w:eastAsia="Palatino Linotype" w:hAnsi="Palatino Linotype" w:cs="Palatino Linotype"/>
          <w:i/>
          <w:color w:val="000000"/>
          <w:sz w:val="22"/>
          <w:szCs w:val="22"/>
        </w:rPr>
        <w:t xml:space="preserve">1) </w:t>
      </w:r>
      <w:r>
        <w:rPr>
          <w:rFonts w:ascii="Palatino Linotype" w:eastAsia="Palatino Linotype" w:hAnsi="Palatino Linotype" w:cs="Palatino Linotype"/>
          <w:b/>
          <w:i/>
          <w:color w:val="000000"/>
          <w:sz w:val="22"/>
          <w:szCs w:val="22"/>
        </w:rPr>
        <w:t>Que se trate de información registrada en cualquier soporte documental, que en ejercicio de las atribuciones conferidas, sea generada por los Sujetos Obligados;</w:t>
      </w:r>
    </w:p>
    <w:p w14:paraId="2C008374" w14:textId="77777777" w:rsidR="00E36AE0" w:rsidRDefault="00EE6CB2">
      <w:pPr>
        <w:ind w:left="851" w:right="899"/>
        <w:jc w:val="both"/>
      </w:pPr>
      <w:r>
        <w:rPr>
          <w:rFonts w:ascii="Palatino Linotype" w:eastAsia="Palatino Linotype" w:hAnsi="Palatino Linotype" w:cs="Palatino Linotype"/>
          <w:b/>
          <w:i/>
          <w:color w:val="000000"/>
          <w:sz w:val="22"/>
          <w:szCs w:val="22"/>
        </w:rPr>
        <w:lastRenderedPageBreak/>
        <w:t>2) Que se trate de información registrada en cualquier soporte documental, que en ejercicio de las atribuciones conferidas, sea administrada por los Sujetos Obligados, y</w:t>
      </w:r>
    </w:p>
    <w:p w14:paraId="2ABFB456" w14:textId="77777777" w:rsidR="00E36AE0" w:rsidRDefault="00EE6CB2">
      <w:pPr>
        <w:ind w:left="851" w:right="899"/>
        <w:jc w:val="both"/>
      </w:pPr>
      <w:r>
        <w:rPr>
          <w:rFonts w:ascii="Palatino Linotype" w:eastAsia="Palatino Linotype" w:hAnsi="Palatino Linotype" w:cs="Palatino Linotype"/>
          <w:b/>
          <w:i/>
          <w:color w:val="000000"/>
          <w:sz w:val="22"/>
          <w:szCs w:val="22"/>
        </w:rPr>
        <w:t>3) Que se trate de información registrada en cualquier soporte documental, que en ejercicio de las atribuciones conferidas, se encuentre en posesión de los Sujetos Obligados.” </w:t>
      </w:r>
    </w:p>
    <w:p w14:paraId="17760DC1" w14:textId="77777777" w:rsidR="00E36AE0" w:rsidRDefault="00E36AE0"/>
    <w:p w14:paraId="26FA55AB" w14:textId="77777777" w:rsidR="00E36AE0" w:rsidRDefault="00EE6CB2">
      <w:pPr>
        <w:spacing w:before="240" w:after="240" w:line="360" w:lineRule="auto"/>
        <w:jc w:val="both"/>
      </w:pPr>
      <w:r>
        <w:rPr>
          <w:rFonts w:ascii="Palatino Linotype" w:eastAsia="Palatino Linotype" w:hAnsi="Palatino Linotype" w:cs="Palatino Linotype"/>
          <w:color w:val="000000"/>
        </w:rPr>
        <w:t xml:space="preserve">Ahora bien,  debe mencionarse que del análisis realizado a las constancias que integran los expedientes de los recursos de revisión al rubro indicado se aprecia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al momento de emitir respuesta, asume que posee la información requerida por el particular, sin embargo, manifiesta que está imposibilitado para entregarla en la modalidad referida por el particular, toda vez que la misma excede las capacidades  técnicas y humanas, y no se cuenta con el equipo tecnológico necesario para dar atención a la solicitud en virtud de que a la fecha se han ingresado en suma cantidad de solicitudes de información, razón por la cual a través de los </w:t>
      </w:r>
      <w:r>
        <w:rPr>
          <w:rFonts w:ascii="Palatino Linotype" w:eastAsia="Palatino Linotype" w:hAnsi="Palatino Linotype" w:cs="Palatino Linotype"/>
          <w:b/>
          <w:color w:val="000000"/>
        </w:rPr>
        <w:t>ACUERDO emitido por su comité de transparencia</w:t>
      </w:r>
      <w:r>
        <w:rPr>
          <w:rFonts w:ascii="Palatino Linotype" w:eastAsia="Palatino Linotype" w:hAnsi="Palatino Linotype" w:cs="Palatino Linotype"/>
          <w:color w:val="000000"/>
        </w:rPr>
        <w:t>, se aprobó por unanimidad el cambio de modalidad de la entrega de la información a consulta directa. </w:t>
      </w:r>
    </w:p>
    <w:p w14:paraId="6CB54F92" w14:textId="77777777" w:rsidR="00E36AE0" w:rsidRDefault="00EE6CB2">
      <w:pPr>
        <w:spacing w:before="240" w:after="240" w:line="360" w:lineRule="auto"/>
        <w:jc w:val="both"/>
      </w:pPr>
      <w:r>
        <w:rPr>
          <w:rFonts w:ascii="Palatino Linotype" w:eastAsia="Palatino Linotype" w:hAnsi="Palatino Linotype" w:cs="Palatino Linotype"/>
          <w:color w:val="000000"/>
        </w:rPr>
        <w:t>Sobre este punto en particular debe mencionarse que,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2BA74B3" w14:textId="77777777" w:rsidR="00E36AE0" w:rsidRDefault="00EE6CB2">
      <w:pPr>
        <w:spacing w:before="240" w:after="240" w:line="360" w:lineRule="auto"/>
        <w:jc w:val="both"/>
      </w:pPr>
      <w:r>
        <w:rPr>
          <w:rFonts w:ascii="Palatino Linotype" w:eastAsia="Palatino Linotype" w:hAnsi="Palatino Linotype" w:cs="Palatino Linotype"/>
          <w:color w:val="000000"/>
        </w:rPr>
        <w:lastRenderedPageBreak/>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61BB6CB" w14:textId="77777777" w:rsidR="00E36AE0" w:rsidRDefault="00EE6CB2">
      <w:pPr>
        <w:numPr>
          <w:ilvl w:val="0"/>
          <w:numId w:val="4"/>
        </w:numPr>
        <w:spacing w:before="120" w:after="120" w:line="360" w:lineRule="auto"/>
        <w:ind w:left="71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0405354" w14:textId="77777777" w:rsidR="00E36AE0" w:rsidRDefault="00EE6CB2">
      <w:pPr>
        <w:numPr>
          <w:ilvl w:val="0"/>
          <w:numId w:val="4"/>
        </w:numPr>
        <w:spacing w:before="120" w:after="120" w:line="360" w:lineRule="auto"/>
        <w:ind w:left="71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Las respuestas a los requerimientos informativos deberán notificarse al interesado en el menor tiempo posible, que no podrá exceder de quince días, contados a partir del día siguiente a la presentación de ésta. Excepcionalmente, el plazo referido podrá ampliarse por siete días hábiles más, cuando existan razones fundadas y motivadas, a través del Comité de Transparencia;</w:t>
      </w:r>
    </w:p>
    <w:p w14:paraId="2EC9963B" w14:textId="77777777" w:rsidR="00E36AE0" w:rsidRDefault="00EE6CB2">
      <w:pPr>
        <w:numPr>
          <w:ilvl w:val="0"/>
          <w:numId w:val="4"/>
        </w:numPr>
        <w:spacing w:before="120" w:after="120" w:line="360" w:lineRule="auto"/>
        <w:ind w:left="71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w:t>
      </w:r>
      <w:r>
        <w:rPr>
          <w:rFonts w:ascii="Palatino Linotype" w:eastAsia="Palatino Linotype" w:hAnsi="Palatino Linotype" w:cs="Palatino Linotype"/>
          <w:b/>
          <w:i/>
          <w:color w:val="000000"/>
        </w:rPr>
        <w:t>proporcionen las expresiones documentales que se encuentren en sus archivos o que estén constreñidos a elaborar;</w:t>
      </w:r>
    </w:p>
    <w:p w14:paraId="069531AD" w14:textId="77777777" w:rsidR="00E36AE0" w:rsidRDefault="00EE6CB2">
      <w:pPr>
        <w:numPr>
          <w:ilvl w:val="0"/>
          <w:numId w:val="4"/>
        </w:numPr>
        <w:spacing w:before="120" w:after="120" w:line="360" w:lineRule="auto"/>
        <w:ind w:left="71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El acceso se dará en la modalidad de entrega y en su caso, de envío elegido por la solicitante</w:t>
      </w:r>
      <w:r>
        <w:rPr>
          <w:rFonts w:ascii="Palatino Linotype" w:eastAsia="Palatino Linotype" w:hAnsi="Palatino Linotype" w:cs="Palatino Linotype"/>
          <w:b/>
          <w:i/>
          <w:color w:val="000000"/>
        </w:rPr>
        <w:t xml:space="preserve">, cuando no pueda entregarse en dicha modalidad, el Sujeto Obligado </w:t>
      </w:r>
      <w:r>
        <w:rPr>
          <w:rFonts w:ascii="Palatino Linotype" w:eastAsia="Palatino Linotype" w:hAnsi="Palatino Linotype" w:cs="Palatino Linotype"/>
          <w:b/>
          <w:i/>
          <w:color w:val="000000"/>
        </w:rPr>
        <w:lastRenderedPageBreak/>
        <w:t>deberá ofrecer otras; por lo cual, deberá fundar y motivar la necesidad de modificar el medio de entrega</w:t>
      </w:r>
      <w:r>
        <w:rPr>
          <w:rFonts w:ascii="Palatino Linotype" w:eastAsia="Palatino Linotype" w:hAnsi="Palatino Linotype" w:cs="Palatino Linotype"/>
          <w:i/>
          <w:color w:val="000000"/>
        </w:rPr>
        <w:t>, y</w:t>
      </w:r>
    </w:p>
    <w:p w14:paraId="249F5DF7" w14:textId="77777777" w:rsidR="00E36AE0" w:rsidRDefault="00EE6CB2">
      <w:pPr>
        <w:numPr>
          <w:ilvl w:val="0"/>
          <w:numId w:val="4"/>
        </w:numPr>
        <w:spacing w:before="120" w:after="120" w:line="360" w:lineRule="auto"/>
        <w:ind w:left="717"/>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rPr>
        <w:t xml:space="preserve">Las </w:t>
      </w:r>
      <w:r>
        <w:rPr>
          <w:rFonts w:ascii="Palatino Linotype" w:eastAsia="Palatino Linotype" w:hAnsi="Palatino Linotype" w:cs="Palatino Linotype"/>
          <w:b/>
          <w:i/>
          <w:color w:val="000000"/>
        </w:rPr>
        <w:t>Unidades de Transparencia, tendrán disponible la información requerida durante un plazo mínimo de sesenta días hábiles</w:t>
      </w:r>
      <w:r>
        <w:rPr>
          <w:rFonts w:ascii="Palatino Linotype" w:eastAsia="Palatino Linotype" w:hAnsi="Palatino Linotype" w:cs="Palatino Linotype"/>
          <w:i/>
          <w:color w:val="000000"/>
        </w:rPr>
        <w:t>,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10E49557" w14:textId="77777777" w:rsidR="00E36AE0" w:rsidRDefault="00EE6CB2">
      <w:pPr>
        <w:shd w:val="clear" w:color="auto" w:fill="FFFFFF"/>
        <w:spacing w:before="240" w:line="360" w:lineRule="auto"/>
        <w:jc w:val="both"/>
      </w:pPr>
      <w:r>
        <w:rPr>
          <w:rFonts w:ascii="Palatino Linotype" w:eastAsia="Palatino Linotype" w:hAnsi="Palatino Linotype" w:cs="Palatino Linotype"/>
          <w:color w:val="000000"/>
        </w:rPr>
        <w:t xml:space="preserve">De lo precisado anteriormente se advierte,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pretende acreditar su imposibilidad técnica y humana para atender la solicitud de información que nos ocupa, en la modalidad elegida por el particular, ello en virtud del volumen de la información y el procesamiento de la misma, por lo cual, con el objeto de satisfacer el acceso a la información se considera viable analizar el cambio de modalidad propuesto por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w:t>
      </w:r>
    </w:p>
    <w:p w14:paraId="2C41DE75" w14:textId="77777777" w:rsidR="00E36AE0" w:rsidRDefault="00EE6CB2">
      <w:pPr>
        <w:spacing w:before="240" w:after="240" w:line="360" w:lineRule="auto"/>
        <w:jc w:val="both"/>
      </w:pPr>
      <w:r>
        <w:rPr>
          <w:rFonts w:ascii="Palatino Linotype" w:eastAsia="Palatino Linotype" w:hAnsi="Palatino Linotype" w:cs="Palatino Linotype"/>
          <w:color w:val="000000"/>
        </w:rPr>
        <w:t xml:space="preserve">Al respecto, el artículo 155, fracción V, de la Ley de Transparencia y Acceso a la Información Pública del Estado de México y Municipios, precisa que para presentar una solicitud, el particular podrá señalar </w:t>
      </w:r>
      <w:r>
        <w:rPr>
          <w:rFonts w:ascii="Palatino Linotype" w:eastAsia="Palatino Linotype" w:hAnsi="Palatino Linotype" w:cs="Palatino Linotype"/>
          <w:b/>
          <w:color w:val="000000"/>
        </w:rPr>
        <w:t>la modalidad en la que prefiere se otorgue el acceso a la información</w:t>
      </w:r>
      <w:r>
        <w:rPr>
          <w:rFonts w:ascii="Palatino Linotype" w:eastAsia="Palatino Linotype" w:hAnsi="Palatino Linotype" w:cs="Palatino Linotype"/>
          <w:color w:val="000000"/>
        </w:rPr>
        <w:t xml:space="preserve">,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el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OBLIGADO</w:t>
      </w:r>
      <w:r>
        <w:rPr>
          <w:rFonts w:ascii="Palatino Linotype" w:eastAsia="Palatino Linotype" w:hAnsi="Palatino Linotype" w:cs="Palatino Linotype"/>
          <w:color w:val="000000"/>
        </w:rPr>
        <w:t xml:space="preserve">, en los casos en que la entrega de la información que se encuentre a su disposición, sobre pase las capacidades técnicas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para cumplir con la solicitud, se podrá poner a disposición del solicitante la información en consulta directa.</w:t>
      </w:r>
    </w:p>
    <w:p w14:paraId="75FFFCA7" w14:textId="77777777" w:rsidR="00E36AE0" w:rsidRDefault="00EE6CB2">
      <w:pPr>
        <w:spacing w:before="240" w:after="240" w:line="360" w:lineRule="auto"/>
        <w:jc w:val="both"/>
      </w:pPr>
      <w:r>
        <w:rPr>
          <w:rFonts w:ascii="Palatino Linotype" w:eastAsia="Palatino Linotype" w:hAnsi="Palatino Linotype" w:cs="Palatino Linotype"/>
          <w:color w:val="000000"/>
        </w:rPr>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788C7DD0" w14:textId="77777777" w:rsidR="00E36AE0" w:rsidRDefault="00EE6CB2">
      <w:pPr>
        <w:spacing w:before="240" w:after="240" w:line="360" w:lineRule="auto"/>
        <w:jc w:val="both"/>
      </w:pPr>
      <w:r>
        <w:rPr>
          <w:rFonts w:ascii="Palatino Linotype" w:eastAsia="Palatino Linotype" w:hAnsi="Palatino Linotype" w:cs="Palatino Linotype"/>
          <w:color w:val="000000"/>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40C38B2D" w14:textId="77777777" w:rsidR="00E36AE0" w:rsidRDefault="00EE6CB2">
      <w:pPr>
        <w:ind w:left="851" w:right="851"/>
        <w:jc w:val="both"/>
      </w:pPr>
      <w:r>
        <w:rPr>
          <w:rFonts w:ascii="Palatino Linotype" w:eastAsia="Palatino Linotype" w:hAnsi="Palatino Linotype" w:cs="Palatino Linotype"/>
          <w:b/>
          <w:i/>
          <w:color w:val="000000"/>
          <w:sz w:val="22"/>
          <w:szCs w:val="22"/>
        </w:rPr>
        <w:t>“Modalidad de entrega. Procedencia de proporcionar la información solicitada en una diversa a la elegida por el solicitante.</w:t>
      </w:r>
      <w:r>
        <w:rPr>
          <w:rFonts w:ascii="Palatino Linotype" w:eastAsia="Palatino Linotype" w:hAnsi="Palatino Linotype" w:cs="Palatino Linotype"/>
          <w:i/>
          <w:color w:val="000000"/>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28BF0581" w14:textId="77777777" w:rsidR="00E36AE0" w:rsidRDefault="00EE6CB2">
      <w:pPr>
        <w:spacing w:before="240" w:after="240" w:line="360" w:lineRule="auto"/>
        <w:jc w:val="both"/>
      </w:pPr>
      <w:r>
        <w:rPr>
          <w:rFonts w:ascii="Palatino Linotype" w:eastAsia="Palatino Linotype" w:hAnsi="Palatino Linotype" w:cs="Palatino Linotype"/>
          <w:color w:val="000000"/>
        </w:rPr>
        <w:lastRenderedPageBreak/>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 </w:t>
      </w:r>
    </w:p>
    <w:p w14:paraId="4342FCA1" w14:textId="77777777" w:rsidR="00E36AE0" w:rsidRDefault="00EE6CB2">
      <w:pPr>
        <w:spacing w:before="240" w:after="240" w:line="360" w:lineRule="auto"/>
        <w:jc w:val="both"/>
      </w:pPr>
      <w:r>
        <w:rPr>
          <w:rFonts w:ascii="Palatino Linotype" w:eastAsia="Palatino Linotype" w:hAnsi="Palatino Linotype" w:cs="Palatino Linotype"/>
          <w:color w:val="000000"/>
        </w:rPr>
        <w:t>Ahora bien, en el presente asunto el SUJETO OBLIGADO, no fundó, motivo ni justificó la imposibilidad de entregar documentos en formato electrónico a través de nuestra plataforma digital; es decir no acreditó el impedimento para proporcionar la información solicitada, a través del Sistema de Acceso a la Información Mexiquense (SAIMEX),</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esto es que sobrepase sus capacidades administrativas, técnicas y humanas, al tener que analizar, procesar y estudiar los documentos solicitados, los cuales pueden contener datos clasificados en términos del artículo 143, fracción I, de la Ley de la materia.</w:t>
      </w:r>
    </w:p>
    <w:p w14:paraId="7BE2935D" w14:textId="77777777" w:rsidR="00E36AE0" w:rsidRDefault="00EE6CB2">
      <w:pPr>
        <w:spacing w:before="240" w:after="240" w:line="360" w:lineRule="auto"/>
        <w:jc w:val="both"/>
      </w:pPr>
      <w:r>
        <w:rPr>
          <w:rFonts w:ascii="Palatino Linotype" w:eastAsia="Palatino Linotype" w:hAnsi="Palatino Linotype" w:cs="Palatino Linotype"/>
          <w:color w:val="000000"/>
        </w:rPr>
        <w:t>Aunado a ello, debe mencionarse que en el presente asunto el SUJETO OBLIGADO no acreditó haber realizado una incidencia ante la Dirección de Informática de este Instituto para justificar el cambio de modalidad de entrega de información, es decir, que la información materia del presente asunto se entregue en la modalidad de consulta directa (</w:t>
      </w:r>
      <w:proofErr w:type="spellStart"/>
      <w:r>
        <w:rPr>
          <w:rFonts w:ascii="Palatino Linotype" w:eastAsia="Palatino Linotype" w:hAnsi="Palatino Linotype" w:cs="Palatino Linotype"/>
          <w:color w:val="000000"/>
        </w:rPr>
        <w:t>insitu</w:t>
      </w:r>
      <w:proofErr w:type="spellEnd"/>
      <w:r>
        <w:rPr>
          <w:rFonts w:ascii="Palatino Linotype" w:eastAsia="Palatino Linotype" w:hAnsi="Palatino Linotype" w:cs="Palatino Linotype"/>
          <w:color w:val="000000"/>
        </w:rPr>
        <w:t>), debido a que dicha información no es susceptible de entregarse a través del SAIMEX, en virtud de que supera las capacidades técnicas de dicha plataforma. </w:t>
      </w:r>
    </w:p>
    <w:p w14:paraId="3E3C3FAF" w14:textId="77777777" w:rsidR="00E36AE0" w:rsidRDefault="00EE6CB2">
      <w:pPr>
        <w:spacing w:before="240" w:after="240" w:line="360" w:lineRule="auto"/>
        <w:jc w:val="both"/>
      </w:pPr>
      <w:r>
        <w:rPr>
          <w:rFonts w:ascii="Palatino Linotype" w:eastAsia="Palatino Linotype" w:hAnsi="Palatino Linotype" w:cs="Palatino Linotype"/>
          <w:color w:val="000000"/>
        </w:rPr>
        <w:t xml:space="preserve">En atención a lo anterior, este Instituto considera que no es procedente el cambio de modalidad de entrega de la información solicitada por el particular, motivo por el </w:t>
      </w:r>
      <w:r>
        <w:rPr>
          <w:rFonts w:ascii="Palatino Linotype" w:eastAsia="Palatino Linotype" w:hAnsi="Palatino Linotype" w:cs="Palatino Linotype"/>
          <w:color w:val="000000"/>
        </w:rPr>
        <w:lastRenderedPageBreak/>
        <w:t>cual con la finalidad de garantizar el pleno ejercicio del derecho de acceso a la información pública se considera procedente analizar la naturaleza de la información solicitada.</w:t>
      </w:r>
    </w:p>
    <w:p w14:paraId="286401CE" w14:textId="77777777" w:rsidR="00E36AE0" w:rsidRDefault="00EE6CB2">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color w:val="000000"/>
        </w:rPr>
        <w:t>Es de recordar que la solicitud formulada por el particular se enfocó en solicitar le fuera entregada “…</w:t>
      </w:r>
      <w:r>
        <w:rPr>
          <w:rFonts w:ascii="Palatino Linotype" w:eastAsia="Palatino Linotype" w:hAnsi="Palatino Linotype" w:cs="Palatino Linotype"/>
          <w:i/>
          <w:sz w:val="22"/>
          <w:szCs w:val="22"/>
        </w:rPr>
        <w:t xml:space="preserve">una copia en </w:t>
      </w:r>
      <w:proofErr w:type="spellStart"/>
      <w:r>
        <w:rPr>
          <w:rFonts w:ascii="Palatino Linotype" w:eastAsia="Palatino Linotype" w:hAnsi="Palatino Linotype" w:cs="Palatino Linotype"/>
          <w:i/>
          <w:sz w:val="22"/>
          <w:szCs w:val="22"/>
        </w:rPr>
        <w:t>pdf</w:t>
      </w:r>
      <w:proofErr w:type="spellEnd"/>
      <w:r>
        <w:rPr>
          <w:rFonts w:ascii="Palatino Linotype" w:eastAsia="Palatino Linotype" w:hAnsi="Palatino Linotype" w:cs="Palatino Linotype"/>
          <w:i/>
          <w:sz w:val="22"/>
          <w:szCs w:val="22"/>
        </w:rPr>
        <w:t xml:space="preserve"> (en versión pública) del RFC de quien contesta las solicitudes de transparencia del </w:t>
      </w:r>
      <w:proofErr w:type="spellStart"/>
      <w:r>
        <w:rPr>
          <w:rFonts w:ascii="Palatino Linotype" w:eastAsia="Palatino Linotype" w:hAnsi="Palatino Linotype" w:cs="Palatino Linotype"/>
          <w:i/>
          <w:sz w:val="22"/>
          <w:szCs w:val="22"/>
        </w:rPr>
        <w:t>smdif</w:t>
      </w:r>
      <w:proofErr w:type="spellEnd"/>
      <w:r>
        <w:rPr>
          <w:rFonts w:ascii="Palatino Linotype" w:eastAsia="Palatino Linotype" w:hAnsi="Palatino Linotype" w:cs="Palatino Linotype"/>
          <w:i/>
          <w:sz w:val="22"/>
          <w:szCs w:val="22"/>
        </w:rPr>
        <w:t xml:space="preserve"> Metepec” (Sic). </w:t>
      </w:r>
    </w:p>
    <w:p w14:paraId="1FA5FE86" w14:textId="77777777" w:rsidR="00E36AE0" w:rsidRDefault="00EE6CB2">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color w:val="000000"/>
        </w:rPr>
        <w:t xml:space="preserve">Al respecto, debe señalarse que el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Pr>
          <w:rFonts w:ascii="Palatino Linotype" w:eastAsia="Palatino Linotype" w:hAnsi="Palatino Linotype" w:cs="Palatino Linotype"/>
          <w:color w:val="000000"/>
        </w:rPr>
        <w:t>homoclave</w:t>
      </w:r>
      <w:proofErr w:type="spellEnd"/>
      <w:r>
        <w:rPr>
          <w:rFonts w:ascii="Palatino Linotype" w:eastAsia="Palatino Linotype" w:hAnsi="Palatino Linotype" w:cs="Palatino Linotype"/>
          <w:color w:val="000000"/>
        </w:rPr>
        <w:t>; la cual, para su obtención es necesario acreditar personalidad, fecha de nacimiento entre otros con documentos oficiales.</w:t>
      </w:r>
    </w:p>
    <w:p w14:paraId="3E22277B" w14:textId="77777777" w:rsidR="00E36AE0" w:rsidRDefault="00EE6CB2">
      <w:pPr>
        <w:pBdr>
          <w:top w:val="nil"/>
          <w:left w:val="nil"/>
          <w:bottom w:val="nil"/>
          <w:right w:val="nil"/>
          <w:between w:val="nil"/>
        </w:pBdr>
        <w:spacing w:before="280" w:after="280"/>
        <w:jc w:val="both"/>
        <w:rPr>
          <w:color w:val="000000"/>
        </w:rPr>
      </w:pPr>
      <w:r>
        <w:rPr>
          <w:rFonts w:ascii="Palatino Linotype" w:eastAsia="Palatino Linotype" w:hAnsi="Palatino Linotype" w:cs="Palatino Linotype"/>
          <w:color w:val="000000"/>
        </w:rPr>
        <w:t>Al respecto, es aplicable el Criterio 19/17 de la Segunda Época, emitido por el INAI, que dice:</w:t>
      </w:r>
      <w:r>
        <w:rPr>
          <w:rFonts w:ascii="Palatino Linotype" w:eastAsia="Palatino Linotype" w:hAnsi="Palatino Linotype" w:cs="Palatino Linotype"/>
          <w:b/>
          <w:color w:val="000000"/>
        </w:rPr>
        <w:t> </w:t>
      </w:r>
    </w:p>
    <w:p w14:paraId="3F517A7E" w14:textId="77777777" w:rsidR="00E36AE0" w:rsidRDefault="00EE6CB2">
      <w:pPr>
        <w:pBdr>
          <w:top w:val="nil"/>
          <w:left w:val="nil"/>
          <w:bottom w:val="nil"/>
          <w:right w:val="nil"/>
          <w:between w:val="nil"/>
        </w:pBdr>
        <w:ind w:left="851" w:right="902"/>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Registro Federal de Contribuyentes (RFC) de personas físicas. El RFC es una clave</w:t>
      </w:r>
      <w:r>
        <w:rPr>
          <w:rFonts w:ascii="Palatino Linotype" w:eastAsia="Palatino Linotype" w:hAnsi="Palatino Linotype" w:cs="Palatino Linotype"/>
          <w:i/>
          <w:color w:val="000000"/>
          <w:sz w:val="22"/>
          <w:szCs w:val="22"/>
        </w:rPr>
        <w:t xml:space="preserve"> de carácter fiscal, única e irrepetible, </w:t>
      </w:r>
      <w:r>
        <w:rPr>
          <w:rFonts w:ascii="Palatino Linotype" w:eastAsia="Palatino Linotype" w:hAnsi="Palatino Linotype" w:cs="Palatino Linotype"/>
          <w:b/>
          <w:i/>
          <w:color w:val="000000"/>
          <w:sz w:val="22"/>
          <w:szCs w:val="22"/>
        </w:rPr>
        <w:t>que permite identificar al titular, su edad y fecha de nacimiento</w:t>
      </w:r>
      <w:r>
        <w:rPr>
          <w:rFonts w:ascii="Palatino Linotype" w:eastAsia="Palatino Linotype" w:hAnsi="Palatino Linotype" w:cs="Palatino Linotype"/>
          <w:i/>
          <w:color w:val="000000"/>
          <w:sz w:val="22"/>
          <w:szCs w:val="22"/>
        </w:rPr>
        <w:t xml:space="preserve">, por lo que </w:t>
      </w:r>
      <w:r>
        <w:rPr>
          <w:rFonts w:ascii="Palatino Linotype" w:eastAsia="Palatino Linotype" w:hAnsi="Palatino Linotype" w:cs="Palatino Linotype"/>
          <w:b/>
          <w:i/>
          <w:color w:val="000000"/>
          <w:sz w:val="22"/>
          <w:szCs w:val="22"/>
        </w:rPr>
        <w:t>es un dato personal de carácter confidencial</w:t>
      </w:r>
      <w:r>
        <w:rPr>
          <w:rFonts w:ascii="Palatino Linotype" w:eastAsia="Palatino Linotype" w:hAnsi="Palatino Linotype" w:cs="Palatino Linotype"/>
          <w:i/>
          <w:color w:val="000000"/>
          <w:sz w:val="22"/>
          <w:szCs w:val="22"/>
        </w:rPr>
        <w:t>.</w:t>
      </w:r>
    </w:p>
    <w:p w14:paraId="33D50153" w14:textId="77777777" w:rsidR="00E36AE0" w:rsidRDefault="00EE6CB2">
      <w:pPr>
        <w:pBdr>
          <w:top w:val="nil"/>
          <w:left w:val="nil"/>
          <w:bottom w:val="nil"/>
          <w:right w:val="nil"/>
          <w:between w:val="nil"/>
        </w:pBdr>
        <w:ind w:left="851" w:right="902"/>
        <w:jc w:val="both"/>
        <w:rPr>
          <w:color w:val="000000"/>
        </w:rPr>
      </w:pPr>
      <w:r>
        <w:rPr>
          <w:rFonts w:ascii="Palatino Linotype" w:eastAsia="Palatino Linotype" w:hAnsi="Palatino Linotype" w:cs="Palatino Linotype"/>
          <w:i/>
          <w:color w:val="000000"/>
          <w:sz w:val="22"/>
          <w:szCs w:val="22"/>
        </w:rPr>
        <w:t>Resoluciones:</w:t>
      </w:r>
    </w:p>
    <w:p w14:paraId="0DA0A6EB" w14:textId="77777777" w:rsidR="00E36AE0" w:rsidRDefault="00EE6CB2">
      <w:pPr>
        <w:pBdr>
          <w:top w:val="nil"/>
          <w:left w:val="nil"/>
          <w:bottom w:val="nil"/>
          <w:right w:val="nil"/>
          <w:between w:val="nil"/>
        </w:pBdr>
        <w:ind w:left="851" w:right="902"/>
        <w:jc w:val="both"/>
        <w:rPr>
          <w:color w:val="000000"/>
        </w:rPr>
      </w:pPr>
      <w:r>
        <w:rPr>
          <w:rFonts w:ascii="Palatino Linotype" w:eastAsia="Palatino Linotype" w:hAnsi="Palatino Linotype" w:cs="Palatino Linotype"/>
          <w:i/>
          <w:color w:val="000000"/>
          <w:sz w:val="22"/>
          <w:szCs w:val="22"/>
        </w:rPr>
        <w:t>• RRA 0189/17. Morena. 08 de febrero de 2017. Por unanimidad. Comisionado Ponente Joel Salas Suárez.</w:t>
      </w:r>
    </w:p>
    <w:p w14:paraId="67305013" w14:textId="77777777" w:rsidR="00E36AE0" w:rsidRDefault="00EE6CB2">
      <w:pPr>
        <w:pBdr>
          <w:top w:val="nil"/>
          <w:left w:val="nil"/>
          <w:bottom w:val="nil"/>
          <w:right w:val="nil"/>
          <w:between w:val="nil"/>
        </w:pBdr>
        <w:ind w:left="851" w:right="902"/>
        <w:jc w:val="both"/>
        <w:rPr>
          <w:color w:val="000000"/>
        </w:rPr>
      </w:pPr>
      <w:r>
        <w:rPr>
          <w:rFonts w:ascii="Palatino Linotype" w:eastAsia="Palatino Linotype" w:hAnsi="Palatino Linotype" w:cs="Palatino Linotype"/>
          <w:i/>
          <w:color w:val="000000"/>
          <w:sz w:val="22"/>
          <w:szCs w:val="22"/>
        </w:rPr>
        <w:lastRenderedPageBreak/>
        <w:t xml:space="preserve">• RRA 0677/17. Universidad Nacional Autónoma de México. 08 de marzo de 2017. Por unanimidad. Comisionado Ponente </w:t>
      </w:r>
      <w:proofErr w:type="spellStart"/>
      <w:r>
        <w:rPr>
          <w:rFonts w:ascii="Palatino Linotype" w:eastAsia="Palatino Linotype" w:hAnsi="Palatino Linotype" w:cs="Palatino Linotype"/>
          <w:i/>
          <w:color w:val="000000"/>
          <w:sz w:val="22"/>
          <w:szCs w:val="22"/>
        </w:rPr>
        <w:t>Rosendoevgueni</w:t>
      </w:r>
      <w:proofErr w:type="spellEnd"/>
      <w:r>
        <w:rPr>
          <w:rFonts w:ascii="Palatino Linotype" w:eastAsia="Palatino Linotype" w:hAnsi="Palatino Linotype" w:cs="Palatino Linotype"/>
          <w:i/>
          <w:color w:val="000000"/>
          <w:sz w:val="22"/>
          <w:szCs w:val="22"/>
        </w:rPr>
        <w:t xml:space="preserve"> Monterrey </w:t>
      </w:r>
      <w:proofErr w:type="spellStart"/>
      <w:r>
        <w:rPr>
          <w:rFonts w:ascii="Palatino Linotype" w:eastAsia="Palatino Linotype" w:hAnsi="Palatino Linotype" w:cs="Palatino Linotype"/>
          <w:i/>
          <w:color w:val="000000"/>
          <w:sz w:val="22"/>
          <w:szCs w:val="22"/>
        </w:rPr>
        <w:t>Chepov</w:t>
      </w:r>
      <w:proofErr w:type="spellEnd"/>
      <w:r>
        <w:rPr>
          <w:rFonts w:ascii="Palatino Linotype" w:eastAsia="Palatino Linotype" w:hAnsi="Palatino Linotype" w:cs="Palatino Linotype"/>
          <w:i/>
          <w:color w:val="000000"/>
          <w:sz w:val="22"/>
          <w:szCs w:val="22"/>
        </w:rPr>
        <w:t>. </w:t>
      </w:r>
    </w:p>
    <w:p w14:paraId="437CC66A" w14:textId="77777777" w:rsidR="00E36AE0" w:rsidRDefault="00EE6CB2">
      <w:pPr>
        <w:pBdr>
          <w:top w:val="nil"/>
          <w:left w:val="nil"/>
          <w:bottom w:val="nil"/>
          <w:right w:val="nil"/>
          <w:between w:val="nil"/>
        </w:pBdr>
        <w:ind w:left="851" w:right="902"/>
        <w:jc w:val="both"/>
        <w:rPr>
          <w:color w:val="000000"/>
        </w:rPr>
      </w:pPr>
      <w:r>
        <w:rPr>
          <w:rFonts w:ascii="Palatino Linotype" w:eastAsia="Palatino Linotype" w:hAnsi="Palatino Linotype" w:cs="Palatino Linotype"/>
          <w:i/>
          <w:color w:val="000000"/>
          <w:sz w:val="22"/>
          <w:szCs w:val="22"/>
        </w:rPr>
        <w:t>• RRA 1564/17. Tribunal Electoral del Poder Judicial de la Federación. 26 de abril de 2017. Por unanimidad. Comisionado Ponente Oscar Mauricio Guerra Ford.” (Sic)</w:t>
      </w:r>
    </w:p>
    <w:p w14:paraId="24D49E5C" w14:textId="77777777" w:rsidR="00E36AE0" w:rsidRDefault="00EE6CB2">
      <w:pPr>
        <w:pBdr>
          <w:top w:val="nil"/>
          <w:left w:val="nil"/>
          <w:bottom w:val="nil"/>
          <w:right w:val="nil"/>
          <w:between w:val="nil"/>
        </w:pBdr>
        <w:ind w:left="851" w:right="902"/>
        <w:jc w:val="both"/>
        <w:rPr>
          <w:color w:val="000000"/>
        </w:rPr>
      </w:pPr>
      <w:r>
        <w:rPr>
          <w:rFonts w:ascii="Palatino Linotype" w:eastAsia="Palatino Linotype" w:hAnsi="Palatino Linotype" w:cs="Palatino Linotype"/>
          <w:color w:val="000000"/>
          <w:sz w:val="22"/>
          <w:szCs w:val="22"/>
        </w:rPr>
        <w:t>(Énfasis añadido)</w:t>
      </w:r>
    </w:p>
    <w:p w14:paraId="0BCBFEB3" w14:textId="77777777" w:rsidR="00E36AE0" w:rsidRDefault="00EE6CB2">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color w:val="000000"/>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2BF6D340" w14:textId="77777777" w:rsidR="00E36AE0" w:rsidRDefault="00EE6CB2">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debe considerarse información confidencial en términos de los artículos 143, fracción I de la Ley de Transparencia del Estado de México y Municipios y 4, fracciones XI y XII de la Ley de Protección de Datos Personales en Posesión de Sujetos Obligados del Estado de México y Municipios; razón por la cual lo dable es ordenar al Sistema Municipal Para el Desarrollo Integral de la Familia de Metepec, haga entrega del Acuerdo del Comité de Transparencia por medio del cual clasifique como confidencial el RFC solicitado por el ahora recurrente. </w:t>
      </w:r>
    </w:p>
    <w:p w14:paraId="3712F6E6" w14:textId="77777777" w:rsidR="00E36AE0" w:rsidRDefault="00EE6CB2">
      <w:pPr>
        <w:spacing w:before="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respecto del acuerdo de clasificación de la información como confidencial que se ordena, es necesario mencionar que el derecho de acceso a la </w:t>
      </w:r>
      <w:r>
        <w:rPr>
          <w:rFonts w:ascii="Palatino Linotype" w:eastAsia="Palatino Linotype" w:hAnsi="Palatino Linotype" w:cs="Palatino Linotype"/>
        </w:rPr>
        <w:lastRenderedPageBreak/>
        <w:t>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w:t>
      </w:r>
    </w:p>
    <w:p w14:paraId="6D969551" w14:textId="77777777" w:rsidR="00E36AE0" w:rsidRDefault="00E36AE0">
      <w:pPr>
        <w:spacing w:line="360" w:lineRule="auto"/>
        <w:ind w:right="49"/>
        <w:jc w:val="both"/>
        <w:rPr>
          <w:rFonts w:ascii="Palatino Linotype" w:eastAsia="Palatino Linotype" w:hAnsi="Palatino Linotype" w:cs="Palatino Linotype"/>
          <w:color w:val="FF0000"/>
        </w:rPr>
      </w:pPr>
    </w:p>
    <w:p w14:paraId="44EB345E" w14:textId="77777777" w:rsidR="00E36AE0" w:rsidRDefault="00EE6CB2">
      <w:pPr>
        <w:shd w:val="clear" w:color="auto" w:fill="FFFFFF"/>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y XLV; 6, 49 fracción VIII, 91, 143, fracción I, de la Ley de Transparencia y Acceso a la Información Pública del Estado de México y Municipios vigente establecen lo siguiente:</w:t>
      </w:r>
    </w:p>
    <w:p w14:paraId="0E44E261" w14:textId="77777777" w:rsidR="00E36AE0" w:rsidRDefault="00EE6CB2">
      <w:pPr>
        <w:shd w:val="clear" w:color="auto" w:fill="FFFFFF"/>
        <w:spacing w:before="120"/>
        <w:ind w:left="851"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3. Para los efectos de la presente Ley se entenderá por:</w:t>
      </w:r>
    </w:p>
    <w:p w14:paraId="03AD49C1" w14:textId="77777777" w:rsidR="00E36AE0" w:rsidRDefault="00EE6CB2">
      <w:pPr>
        <w:shd w:val="clear" w:color="auto" w:fill="FFFFFF"/>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p>
    <w:p w14:paraId="29F33287" w14:textId="77777777" w:rsidR="00E36AE0" w:rsidRDefault="00EE6CB2">
      <w:pPr>
        <w:shd w:val="clear" w:color="auto" w:fill="FFFFFF"/>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w:t>
      </w:r>
    </w:p>
    <w:p w14:paraId="71E62E78"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691B219"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3E6A3057"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ACD497C"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088BF4A"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91F37ED"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DB141DC" w14:textId="77777777" w:rsidR="00E36AE0" w:rsidRDefault="00EE6CB2">
      <w:pPr>
        <w:shd w:val="clear" w:color="auto" w:fill="FFFFFF"/>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p>
    <w:p w14:paraId="74387431" w14:textId="77777777" w:rsidR="00E36AE0" w:rsidRDefault="00EE6CB2">
      <w:pPr>
        <w:shd w:val="clear" w:color="auto" w:fill="FFFFFF"/>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w:t>
      </w:r>
      <w:r>
        <w:rPr>
          <w:rFonts w:ascii="Palatino Linotype" w:eastAsia="Palatino Linotype" w:hAnsi="Palatino Linotype" w:cs="Palatino Linotype"/>
          <w:i/>
          <w:sz w:val="22"/>
          <w:szCs w:val="22"/>
        </w:rPr>
        <w:lastRenderedPageBreak/>
        <w:t>rectificación, cancelación u oposición; los principios, procedimientos, medidas de seguridad en el tratamiento y demás disposiciones en materia de datos personales, se deberá estar a lo dispuesto en las leyes de la materia.</w:t>
      </w:r>
    </w:p>
    <w:p w14:paraId="34CE6719"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Comités de Transparencia tendrán las siguientes atribuciones:</w:t>
      </w:r>
    </w:p>
    <w:p w14:paraId="6D56081D"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8823F2B"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Aprobar, modificar o revocar la clasificación de la información;</w:t>
      </w:r>
    </w:p>
    <w:p w14:paraId="57BE0732"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026FA4F"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25D66D0" w14:textId="77777777" w:rsidR="00E36AE0" w:rsidRDefault="00E36AE0">
      <w:pPr>
        <w:shd w:val="clear" w:color="auto" w:fill="FFFFFF"/>
        <w:ind w:left="851" w:right="902"/>
        <w:jc w:val="both"/>
        <w:rPr>
          <w:rFonts w:ascii="Palatino Linotype" w:eastAsia="Palatino Linotype" w:hAnsi="Palatino Linotype" w:cs="Palatino Linotype"/>
          <w:i/>
          <w:sz w:val="22"/>
          <w:szCs w:val="22"/>
        </w:rPr>
      </w:pPr>
    </w:p>
    <w:p w14:paraId="343E29A8"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FD0E1AE" w14:textId="77777777" w:rsidR="00E36AE0" w:rsidRDefault="00EE6CB2">
      <w:pPr>
        <w:shd w:val="clear" w:color="auto" w:fill="FFFFFF"/>
        <w:ind w:left="851" w:right="902"/>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B6EAD46" w14:textId="77777777" w:rsidR="00E36AE0" w:rsidRDefault="00EE6CB2">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7FFA20D4" w14:textId="77777777" w:rsidR="00E36AE0" w:rsidRDefault="00E36AE0">
      <w:pPr>
        <w:spacing w:line="360" w:lineRule="auto"/>
        <w:ind w:right="49"/>
        <w:jc w:val="both"/>
        <w:rPr>
          <w:rFonts w:ascii="Palatino Linotype" w:eastAsia="Palatino Linotype" w:hAnsi="Palatino Linotype" w:cs="Palatino Linotype"/>
        </w:rPr>
      </w:pPr>
    </w:p>
    <w:p w14:paraId="39CA7361" w14:textId="77777777" w:rsidR="00E36AE0" w:rsidRDefault="00EE6CB2">
      <w:pPr>
        <w:spacing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Es de señalar que para la clasificación el Servidor Público Habilitado o el Responsable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realizarse en términos de lo que disponen los artículos 49 fracción VIII, 53, fracción X y 59, fracción V, de la Ley en consulta, cuyo sentido literal es el siguiente:</w:t>
      </w:r>
    </w:p>
    <w:p w14:paraId="26B92E93" w14:textId="77777777" w:rsidR="00E36AE0" w:rsidRDefault="00EE6CB2">
      <w:pPr>
        <w:spacing w:before="240"/>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293C8B2E" w14:textId="77777777" w:rsidR="00E36AE0" w:rsidRDefault="00EE6CB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12B42C05" w14:textId="77777777" w:rsidR="00E36AE0" w:rsidRDefault="00EE6CB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25097A29" w14:textId="77777777" w:rsidR="00E36AE0" w:rsidRDefault="00E36AE0">
      <w:pPr>
        <w:ind w:left="992" w:right="1043"/>
        <w:jc w:val="both"/>
        <w:rPr>
          <w:rFonts w:ascii="Palatino Linotype" w:eastAsia="Palatino Linotype" w:hAnsi="Palatino Linotype" w:cs="Palatino Linotype"/>
          <w:i/>
          <w:sz w:val="22"/>
          <w:szCs w:val="22"/>
        </w:rPr>
      </w:pPr>
    </w:p>
    <w:p w14:paraId="77A02F2A" w14:textId="77777777" w:rsidR="00E36AE0" w:rsidRDefault="00EE6CB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w:t>
      </w:r>
    </w:p>
    <w:p w14:paraId="573E47E8" w14:textId="77777777" w:rsidR="00E36AE0" w:rsidRDefault="00EE6CB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p>
    <w:p w14:paraId="0B596D9F" w14:textId="77777777" w:rsidR="00E36AE0" w:rsidRDefault="00EE6CB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00CF142E" w14:textId="77777777" w:rsidR="00E36AE0" w:rsidRDefault="00EE6CB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345CAA8" w14:textId="77777777" w:rsidR="00E36AE0" w:rsidRDefault="00EE6CB2">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 …”</w:t>
      </w:r>
    </w:p>
    <w:p w14:paraId="477C4D5F" w14:textId="77777777" w:rsidR="00E36AE0" w:rsidRDefault="00E36AE0">
      <w:pPr>
        <w:ind w:left="992" w:right="1043"/>
        <w:jc w:val="both"/>
        <w:rPr>
          <w:rFonts w:ascii="Palatino Linotype" w:eastAsia="Palatino Linotype" w:hAnsi="Palatino Linotype" w:cs="Palatino Linotype"/>
          <w:i/>
          <w:color w:val="FF0000"/>
          <w:sz w:val="22"/>
          <w:szCs w:val="22"/>
        </w:rPr>
      </w:pPr>
    </w:p>
    <w:p w14:paraId="06B11FA7" w14:textId="77777777" w:rsidR="00E36AE0" w:rsidRDefault="00EE6CB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ordenamientos jurídicos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417F546"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362973B2" w14:textId="77777777" w:rsidR="00E36AE0" w:rsidRDefault="00EE6CB2">
      <w:pPr>
        <w:spacing w:before="240"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6F483167" w14:textId="77777777" w:rsidR="00E36AE0" w:rsidRDefault="00EE6CB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3F9C3008" w14:textId="77777777" w:rsidR="00E36AE0" w:rsidRDefault="00EE6CB2">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se destaca que el acuerdo de clasificación que elabore el ente obligado debe cumplir con las formalidades exigidas en la Ley; es decir, resulta necesario que el Comité de Transparencia del SUJETO OBLIGADO emita el Acuerdo de Clasificación correspondiente debidamente fundado y motivado,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que literalmente expresan:</w:t>
      </w:r>
    </w:p>
    <w:p w14:paraId="65EB873C" w14:textId="77777777" w:rsidR="00E36AE0" w:rsidRDefault="00E36AE0">
      <w:pPr>
        <w:ind w:left="709" w:right="709"/>
        <w:jc w:val="both"/>
        <w:rPr>
          <w:rFonts w:ascii="Palatino Linotype" w:eastAsia="Palatino Linotype" w:hAnsi="Palatino Linotype" w:cs="Palatino Linotype"/>
          <w:b/>
          <w:i/>
          <w:sz w:val="22"/>
          <w:szCs w:val="22"/>
        </w:rPr>
      </w:pPr>
    </w:p>
    <w:p w14:paraId="17AFEAF5" w14:textId="77777777" w:rsidR="00E36AE0" w:rsidRDefault="00EE6CB2">
      <w:pPr>
        <w:ind w:left="709" w:right="70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Cuarto. Para clasificar la información como reservada o confidencial, de manera total</w:t>
      </w:r>
      <w:r>
        <w:rPr>
          <w:rFonts w:ascii="Palatino Linotype" w:eastAsia="Palatino Linotype" w:hAnsi="Palatino Linotype" w:cs="Palatino Linotype"/>
          <w:i/>
          <w:sz w:val="22"/>
          <w:szCs w:val="22"/>
        </w:rPr>
        <w:t xml:space="preserve"> o parcial, </w:t>
      </w:r>
      <w:r>
        <w:rPr>
          <w:rFonts w:ascii="Palatino Linotype" w:eastAsia="Palatino Linotype" w:hAnsi="Palatino Linotype" w:cs="Palatino Linotype"/>
          <w:b/>
          <w:i/>
          <w:sz w:val="22"/>
          <w:szCs w:val="22"/>
        </w:rPr>
        <w:t>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2D56A88" w14:textId="77777777" w:rsidR="00E36AE0" w:rsidRDefault="00E36AE0">
      <w:pPr>
        <w:ind w:left="709" w:right="709"/>
        <w:jc w:val="both"/>
        <w:rPr>
          <w:rFonts w:ascii="Palatino Linotype" w:eastAsia="Palatino Linotype" w:hAnsi="Palatino Linotype" w:cs="Palatino Linotype"/>
          <w:b/>
          <w:i/>
          <w:sz w:val="22"/>
          <w:szCs w:val="22"/>
        </w:rPr>
      </w:pPr>
    </w:p>
    <w:p w14:paraId="6064BFB7"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41BC74B" w14:textId="77777777" w:rsidR="00E36AE0" w:rsidRDefault="00E36AE0">
      <w:pPr>
        <w:ind w:left="709" w:right="709"/>
        <w:jc w:val="both"/>
        <w:rPr>
          <w:rFonts w:ascii="Palatino Linotype" w:eastAsia="Palatino Linotype" w:hAnsi="Palatino Linotype" w:cs="Palatino Linotype"/>
          <w:i/>
          <w:sz w:val="22"/>
          <w:szCs w:val="22"/>
        </w:rPr>
      </w:pPr>
    </w:p>
    <w:p w14:paraId="08B94CBC"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C17C86" w14:textId="77777777" w:rsidR="00E36AE0" w:rsidRDefault="00E36AE0">
      <w:pPr>
        <w:ind w:left="709" w:right="709"/>
        <w:jc w:val="both"/>
        <w:rPr>
          <w:rFonts w:ascii="Palatino Linotype" w:eastAsia="Palatino Linotype" w:hAnsi="Palatino Linotype" w:cs="Palatino Linotype"/>
          <w:b/>
          <w:i/>
          <w:sz w:val="22"/>
          <w:szCs w:val="22"/>
        </w:rPr>
      </w:pPr>
    </w:p>
    <w:p w14:paraId="64D2EB4E"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A9A0C3F"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2D4787F" w14:textId="77777777" w:rsidR="00E36AE0" w:rsidRDefault="00E36AE0">
      <w:pPr>
        <w:ind w:left="709" w:right="709"/>
        <w:jc w:val="both"/>
        <w:rPr>
          <w:rFonts w:ascii="Palatino Linotype" w:eastAsia="Palatino Linotype" w:hAnsi="Palatino Linotype" w:cs="Palatino Linotype"/>
          <w:b/>
          <w:i/>
          <w:sz w:val="22"/>
          <w:szCs w:val="22"/>
        </w:rPr>
      </w:pPr>
    </w:p>
    <w:p w14:paraId="3C1F6F09"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1CF39060"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46F68020"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799E2FE0"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49FA5ED"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BAD512F"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105AFC"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57F2008"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8FCAC60"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06DA4B6"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795498AE" w14:textId="77777777" w:rsidR="00E36AE0" w:rsidRDefault="00E36AE0">
      <w:pPr>
        <w:ind w:left="709" w:right="709"/>
        <w:jc w:val="both"/>
        <w:rPr>
          <w:rFonts w:ascii="Palatino Linotype" w:eastAsia="Palatino Linotype" w:hAnsi="Palatino Linotype" w:cs="Palatino Linotype"/>
          <w:b/>
          <w:i/>
          <w:sz w:val="22"/>
          <w:szCs w:val="22"/>
        </w:rPr>
      </w:pPr>
    </w:p>
    <w:p w14:paraId="3D723EC0"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2DE292F" w14:textId="77777777" w:rsidR="00E36AE0" w:rsidRDefault="00E36AE0">
      <w:pPr>
        <w:ind w:left="709" w:right="709"/>
        <w:jc w:val="both"/>
        <w:rPr>
          <w:rFonts w:ascii="Palatino Linotype" w:eastAsia="Palatino Linotype" w:hAnsi="Palatino Linotype" w:cs="Palatino Linotype"/>
          <w:b/>
          <w:i/>
          <w:sz w:val="22"/>
          <w:szCs w:val="22"/>
        </w:rPr>
      </w:pPr>
    </w:p>
    <w:p w14:paraId="7FDEDD51"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3DD6630"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FA5F95A" w14:textId="77777777" w:rsidR="00E36AE0" w:rsidRDefault="00E36AE0">
      <w:pPr>
        <w:ind w:left="709" w:right="709"/>
        <w:jc w:val="both"/>
        <w:rPr>
          <w:rFonts w:ascii="Palatino Linotype" w:eastAsia="Palatino Linotype" w:hAnsi="Palatino Linotype" w:cs="Palatino Linotype"/>
          <w:b/>
          <w:i/>
          <w:sz w:val="22"/>
          <w:szCs w:val="22"/>
        </w:rPr>
      </w:pPr>
    </w:p>
    <w:p w14:paraId="1D5C018F"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B49B32" w14:textId="77777777" w:rsidR="00E36AE0" w:rsidRDefault="00EE6CB2">
      <w:pPr>
        <w:ind w:left="709"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4B2BB9C" w14:textId="77777777" w:rsidR="00E36AE0" w:rsidRDefault="00E36AE0">
      <w:pPr>
        <w:spacing w:line="360" w:lineRule="auto"/>
        <w:jc w:val="both"/>
        <w:rPr>
          <w:rFonts w:ascii="Palatino Linotype" w:eastAsia="Palatino Linotype" w:hAnsi="Palatino Linotype" w:cs="Palatino Linotype"/>
          <w:color w:val="FF0000"/>
        </w:rPr>
      </w:pPr>
    </w:p>
    <w:p w14:paraId="17D41FA0" w14:textId="77777777" w:rsidR="00E36AE0" w:rsidRDefault="00EE6CB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 por lo que el acuerdo respectivo, deberá hacerse del conocimiento de la parte recurrente.</w:t>
      </w:r>
    </w:p>
    <w:p w14:paraId="3FCDE955" w14:textId="77777777" w:rsidR="00E36AE0" w:rsidRDefault="00E36AE0">
      <w:pPr>
        <w:spacing w:line="360" w:lineRule="auto"/>
        <w:jc w:val="both"/>
        <w:rPr>
          <w:rFonts w:ascii="Palatino Linotype" w:eastAsia="Palatino Linotype" w:hAnsi="Palatino Linotype" w:cs="Palatino Linotype"/>
        </w:rPr>
      </w:pPr>
    </w:p>
    <w:p w14:paraId="597D4229" w14:textId="77777777" w:rsidR="00E36AE0" w:rsidRDefault="00EE6CB2">
      <w:pPr>
        <w:spacing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Conforme a lo expuesto, se reitera que los datos mencionados, deben ser clasificados como confidenciales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35600865"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Sirven de sustento a lo anterior, las tesis jurisprudenciales </w:t>
      </w:r>
      <w:r>
        <w:rPr>
          <w:rFonts w:ascii="Palatino Linotype" w:eastAsia="Palatino Linotype" w:hAnsi="Palatino Linotype" w:cs="Palatino Linotype"/>
          <w:i/>
        </w:rPr>
        <w:t xml:space="preserve">P. LX/2000 </w:t>
      </w:r>
      <w:r>
        <w:rPr>
          <w:rFonts w:ascii="Palatino Linotype" w:eastAsia="Palatino Linotype" w:hAnsi="Palatino Linotype" w:cs="Palatino Linotype"/>
        </w:rPr>
        <w:t xml:space="preserve">y </w:t>
      </w:r>
      <w:r>
        <w:rPr>
          <w:rFonts w:ascii="Palatino Linotype" w:eastAsia="Palatino Linotype" w:hAnsi="Palatino Linotype" w:cs="Palatino Linotype"/>
          <w:i/>
        </w:rPr>
        <w:t>2a. XLIII/2008</w:t>
      </w:r>
      <w:r>
        <w:rPr>
          <w:rFonts w:ascii="Tahoma" w:eastAsia="Tahoma" w:hAnsi="Tahoma" w:cs="Tahoma"/>
          <w:b/>
          <w:sz w:val="18"/>
          <w:szCs w:val="18"/>
        </w:rPr>
        <w:t xml:space="preserve"> </w:t>
      </w:r>
      <w:r>
        <w:rPr>
          <w:rFonts w:ascii="Palatino Linotype" w:eastAsia="Palatino Linotype" w:hAnsi="Palatino Linotype" w:cs="Palatino Linotype"/>
        </w:rPr>
        <w:t>emitidas por el Peno y la Segunda Sala de la Suprema Corte de Justicia de la Nación, respectivamente, que son del tenor literal siguiente:</w:t>
      </w:r>
    </w:p>
    <w:p w14:paraId="402EDAF1" w14:textId="77777777" w:rsidR="00E36AE0" w:rsidRDefault="00EE6CB2">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 “DERECHO A LA INFORMACIÓN. SU EJERCICIO SE ENCUENTRA LIMITADO TANTO POR LOS INTERESES NACIONALES Y DE LA SOCIEDAD, COMO POR LOS DERECHOS DE TERCEROS. </w:t>
      </w:r>
      <w:r>
        <w:rPr>
          <w:rFonts w:ascii="Palatino Linotype" w:eastAsia="Palatino Linotype" w:hAnsi="Palatino Linotype" w:cs="Palatino Linotype"/>
          <w:i/>
          <w:sz w:val="22"/>
          <w:szCs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Pr>
          <w:rFonts w:ascii="Palatino Linotype" w:eastAsia="Palatino Linotype" w:hAnsi="Palatino Linotype" w:cs="Palatino Linotype"/>
          <w:i/>
          <w:sz w:val="22"/>
          <w:szCs w:val="22"/>
        </w:rPr>
        <w:t>.”</w:t>
      </w:r>
    </w:p>
    <w:p w14:paraId="609217A1" w14:textId="77777777" w:rsidR="00E36AE0" w:rsidRDefault="00EE6CB2">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“TRANSPARENCIA Y ACCESO A LA INFORMACIÓN PÚBLICA GUBERNAMENTAL. EL ARTÍCULO 14, FRACCIÓN I, DE LA LEY FEDERAL RELATIVA, NO VIOLA LA GARANTÍA DE ACCESO A LA INFORMACIÓN. </w:t>
      </w:r>
      <w:r>
        <w:rPr>
          <w:rFonts w:ascii="Palatino Linotype" w:eastAsia="Palatino Linotype" w:hAnsi="Palatino Linotype" w:cs="Palatino Linotype"/>
          <w:i/>
          <w:sz w:val="22"/>
          <w:szCs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w:t>
      </w:r>
      <w:r>
        <w:rPr>
          <w:rFonts w:ascii="Palatino Linotype" w:eastAsia="Palatino Linotype" w:hAnsi="Palatino Linotype" w:cs="Palatino Linotype"/>
          <w:i/>
          <w:sz w:val="22"/>
          <w:szCs w:val="22"/>
        </w:rPr>
        <w:lastRenderedPageBreak/>
        <w:t xml:space="preserve">Política de los Estados Unidos Mexicanos, porque es jurídicamente adecuado que en las leyes reguladoras de cada materia, </w:t>
      </w:r>
      <w:r>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sz w:val="22"/>
          <w:szCs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5FA171A6" w14:textId="77777777" w:rsidR="00E36AE0" w:rsidRDefault="00E36AE0">
      <w:pPr>
        <w:spacing w:before="240" w:after="240"/>
        <w:ind w:left="851"/>
        <w:jc w:val="both"/>
        <w:rPr>
          <w:rFonts w:ascii="Palatino Linotype" w:eastAsia="Palatino Linotype" w:hAnsi="Palatino Linotype" w:cs="Palatino Linotype"/>
          <w:i/>
          <w:color w:val="FF0000"/>
          <w:sz w:val="22"/>
          <w:szCs w:val="22"/>
        </w:rPr>
      </w:pPr>
    </w:p>
    <w:p w14:paraId="4F91D84D"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derivado de los motivos de inconformidad que fueron esgrimidos por el particular tendientes a que se inicie con un procedimiento por las posibles responsabilidades, es necesario resaltar que el recurso de revisión previsto en la Ley de la materia no es el medio para investigar y en su caso, sancionar a servidores públicos por la omisión de la entrega de información pública o en la atención a solicitudes de información; por lo tanto no resulta procedente dar vista al área competente para que en ejercicio de sus atribuciones realice las investigaciones.</w:t>
      </w:r>
    </w:p>
    <w:p w14:paraId="2923EA80"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w:t>
      </w:r>
      <w:r>
        <w:rPr>
          <w:rFonts w:ascii="Palatino Linotype" w:eastAsia="Palatino Linotype" w:hAnsi="Palatino Linotype" w:cs="Palatino Linotype"/>
          <w:highlight w:val="white"/>
        </w:rPr>
        <w:t xml:space="preserve"> fracciones IV y V de la </w:t>
      </w:r>
      <w:r>
        <w:rPr>
          <w:rFonts w:ascii="Palatino Linotype" w:eastAsia="Palatino Linotype" w:hAnsi="Palatino Linotype" w:cs="Palatino Linotype"/>
        </w:rPr>
        <w:t>Constitución Política del Estado Libre y Soberano de México; 2, fracción II; 29, 36 fracciones I y II; 176, 178, 181, 185, fracción I, 186 y 188 de la Ley de Transparencia y Acceso a la Información Pública del Estado de México y Municipios, este Pleno:</w:t>
      </w:r>
    </w:p>
    <w:p w14:paraId="61E7F2E2" w14:textId="77777777" w:rsidR="00E36AE0" w:rsidRDefault="00EE6CB2">
      <w:pPr>
        <w:numPr>
          <w:ilvl w:val="0"/>
          <w:numId w:val="6"/>
        </w:numPr>
        <w:pBdr>
          <w:top w:val="nil"/>
          <w:left w:val="nil"/>
          <w:bottom w:val="nil"/>
          <w:right w:val="nil"/>
          <w:between w:val="nil"/>
        </w:pBdr>
        <w:spacing w:before="240" w:after="240" w:line="360" w:lineRule="auto"/>
        <w:ind w:left="426"/>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1A5DC5C2"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w:t>
      </w:r>
      <w:r>
        <w:rPr>
          <w:rFonts w:ascii="Palatino Linotype" w:eastAsia="Palatino Linotype" w:hAnsi="Palatino Linotype" w:cs="Palatino Linotype"/>
        </w:rPr>
        <w:t xml:space="preserve">. Resultan  parcialmente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planteados por la parte </w:t>
      </w:r>
      <w:r>
        <w:rPr>
          <w:rFonts w:ascii="Palatino Linotype" w:eastAsia="Palatino Linotype" w:hAnsi="Palatino Linotype" w:cs="Palatino Linotype"/>
          <w:b/>
        </w:rPr>
        <w:t>recurrente</w:t>
      </w:r>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sz w:val="22"/>
          <w:szCs w:val="22"/>
        </w:rPr>
        <w:t>03149/INFOEM/IP/RR/2022</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sz w:val="22"/>
          <w:szCs w:val="22"/>
        </w:rPr>
        <w:t xml:space="preserve">SUJETO OBLIGADO. </w:t>
      </w:r>
    </w:p>
    <w:p w14:paraId="1A786E68"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términos del </w:t>
      </w:r>
      <w:r>
        <w:rPr>
          <w:rFonts w:ascii="Palatino Linotype" w:eastAsia="Palatino Linotype" w:hAnsi="Palatino Linotype" w:cs="Palatino Linotype"/>
          <w:b/>
        </w:rPr>
        <w:t>Considerando Cuarto</w:t>
      </w:r>
      <w:r>
        <w:rPr>
          <w:rFonts w:ascii="Palatino Linotype" w:eastAsia="Palatino Linotype" w:hAnsi="Palatino Linotype" w:cs="Palatino Linotype"/>
        </w:rPr>
        <w:t xml:space="preserve"> de esta resolución haga entrega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lo siguiente: </w:t>
      </w:r>
    </w:p>
    <w:p w14:paraId="193057D6" w14:textId="77777777" w:rsidR="00E36AE0" w:rsidRDefault="00EE6CB2">
      <w:pPr>
        <w:spacing w:before="240" w:after="240"/>
        <w:ind w:left="708" w:right="900"/>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 xml:space="preserve"> El Acuerdo del Comité de Transparencia por medio del cual clasifique como confidencial, el Registro Federal de Contribuyentes (RFC) de la o las personas servidoras públicas que contestan las solicitudes de transparencia del Sistema Municipal para el Desarrollo Integral de la Familia de Metepec al 27 de enero de 2022.</w:t>
      </w:r>
      <w:r>
        <w:rPr>
          <w:rFonts w:ascii="Palatino Linotype" w:eastAsia="Palatino Linotype" w:hAnsi="Palatino Linotype" w:cs="Palatino Linotype"/>
          <w:b/>
          <w:i/>
        </w:rPr>
        <w:t xml:space="preserve"> </w:t>
      </w:r>
    </w:p>
    <w:p w14:paraId="6EA66E3A"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DF9DD6" w14:textId="77777777" w:rsidR="00E36AE0" w:rsidRDefault="00EE6CB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7AB6CA78" w14:textId="77777777" w:rsidR="00E36AE0" w:rsidRDefault="00EE6C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rPr>
        <w:t>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r>
        <w:rPr>
          <w:rFonts w:ascii="Palatino Linotype" w:eastAsia="Palatino Linotype" w:hAnsi="Palatino Linotype" w:cs="Palatino Linotype"/>
          <w:color w:val="222222"/>
        </w:rPr>
        <w:t>.</w:t>
      </w:r>
    </w:p>
    <w:p w14:paraId="5182527C" w14:textId="77777777" w:rsidR="00E36AE0" w:rsidRDefault="00E36AE0">
      <w:pPr>
        <w:spacing w:line="360" w:lineRule="auto"/>
        <w:ind w:right="49"/>
        <w:jc w:val="both"/>
        <w:rPr>
          <w:rFonts w:ascii="Palatino Linotype" w:eastAsia="Palatino Linotype" w:hAnsi="Palatino Linotype" w:cs="Palatino Linotype"/>
          <w:color w:val="222222"/>
        </w:rPr>
      </w:pPr>
    </w:p>
    <w:p w14:paraId="0FA33764" w14:textId="77777777" w:rsidR="00E36AE0" w:rsidRDefault="00EE6CB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VIGÈSIMA SEGUNDA SESIÓN ORDINARIA CELEBRADA EL QUINCE DE JUNIO DE DOS MIL VEINTIDÓS, ANTE EL SECRETARIO TÉCNICO DEL PLENO ALEXIS TAPIA RAMÍREZ.</w:t>
      </w:r>
    </w:p>
    <w:p w14:paraId="0390B0BA" w14:textId="77777777" w:rsidR="00E36AE0" w:rsidRDefault="00E36AE0">
      <w:pPr>
        <w:spacing w:before="240" w:after="240" w:line="360" w:lineRule="auto"/>
        <w:jc w:val="both"/>
        <w:rPr>
          <w:rFonts w:ascii="Palatino Linotype" w:eastAsia="Palatino Linotype" w:hAnsi="Palatino Linotype" w:cs="Palatino Linotype"/>
          <w:sz w:val="22"/>
          <w:szCs w:val="22"/>
        </w:rPr>
      </w:pPr>
      <w:bookmarkStart w:id="4" w:name="_heading=h.gjdgxs" w:colFirst="0" w:colLast="0"/>
      <w:bookmarkEnd w:id="4"/>
    </w:p>
    <w:p w14:paraId="60D8884A" w14:textId="77777777" w:rsidR="00E36AE0" w:rsidRDefault="00E36AE0">
      <w:pPr>
        <w:spacing w:before="240" w:after="240" w:line="360" w:lineRule="auto"/>
        <w:jc w:val="both"/>
        <w:rPr>
          <w:rFonts w:ascii="Palatino Linotype" w:eastAsia="Palatino Linotype" w:hAnsi="Palatino Linotype" w:cs="Palatino Linotype"/>
          <w:i/>
          <w:sz w:val="22"/>
          <w:szCs w:val="22"/>
        </w:rPr>
      </w:pPr>
    </w:p>
    <w:p w14:paraId="6DF16BFA" w14:textId="77777777" w:rsidR="00E36AE0" w:rsidRDefault="00E36AE0"/>
    <w:p w14:paraId="61C841A4" w14:textId="6D7A0614" w:rsidR="00E36AE0" w:rsidRDefault="00E36AE0"/>
    <w:p w14:paraId="7D480C7F" w14:textId="50145F3E" w:rsidR="006D5DA2" w:rsidRDefault="006D5DA2"/>
    <w:p w14:paraId="3896B826" w14:textId="09234F7E" w:rsidR="006D5DA2" w:rsidRDefault="006D5DA2"/>
    <w:p w14:paraId="2AAD4567" w14:textId="77777777" w:rsidR="006D5DA2" w:rsidRDefault="006D5DA2"/>
    <w:p w14:paraId="5A8B191A" w14:textId="77777777" w:rsidR="00E36AE0" w:rsidRDefault="00E36AE0"/>
    <w:p w14:paraId="254EE332" w14:textId="77777777" w:rsidR="00E36AE0" w:rsidRDefault="00E36AE0"/>
    <w:sectPr w:rsidR="00E36AE0">
      <w:headerReference w:type="default" r:id="rId10"/>
      <w:footerReference w:type="default" r:id="rId11"/>
      <w:headerReference w:type="first" r:id="rId12"/>
      <w:footerReference w:type="first" r:id="rId13"/>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D36D4" w14:textId="77777777" w:rsidR="009B10D5" w:rsidRDefault="009B10D5">
      <w:r>
        <w:separator/>
      </w:r>
    </w:p>
  </w:endnote>
  <w:endnote w:type="continuationSeparator" w:id="0">
    <w:p w14:paraId="015F9DD9" w14:textId="77777777" w:rsidR="009B10D5" w:rsidRDefault="009B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6D7A0" w14:textId="77777777" w:rsidR="00E36AE0" w:rsidRDefault="00EE6CB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64C0B">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64C0B">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p>
  <w:p w14:paraId="585AD783" w14:textId="77777777" w:rsidR="00E36AE0" w:rsidRDefault="00EE6CB2">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AC7F8" w14:textId="77777777" w:rsidR="00E36AE0" w:rsidRDefault="00EE6CB2">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364C0B">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364C0B">
      <w:rPr>
        <w:rFonts w:ascii="Palatino Linotype" w:eastAsia="Palatino Linotype" w:hAnsi="Palatino Linotype" w:cs="Palatino Linotype"/>
        <w:b/>
        <w:noProof/>
        <w:sz w:val="20"/>
        <w:szCs w:val="20"/>
      </w:rPr>
      <w:t>35</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5ACEE" w14:textId="77777777" w:rsidR="009B10D5" w:rsidRDefault="009B10D5">
      <w:r>
        <w:separator/>
      </w:r>
    </w:p>
  </w:footnote>
  <w:footnote w:type="continuationSeparator" w:id="0">
    <w:p w14:paraId="4FADC67E" w14:textId="77777777" w:rsidR="009B10D5" w:rsidRDefault="009B1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3C961" w14:textId="77777777" w:rsidR="00E36AE0" w:rsidRDefault="00EE6CB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D38F28F" wp14:editId="7CBE1503">
          <wp:simplePos x="0" y="0"/>
          <wp:positionH relativeFrom="column">
            <wp:posOffset>-754379</wp:posOffset>
          </wp:positionH>
          <wp:positionV relativeFrom="paragraph">
            <wp:posOffset>6350</wp:posOffset>
          </wp:positionV>
          <wp:extent cx="7635163" cy="9944100"/>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0"/>
      <w:tblW w:w="5528" w:type="dxa"/>
      <w:tblInd w:w="3261" w:type="dxa"/>
      <w:tblLayout w:type="fixed"/>
      <w:tblLook w:val="0400" w:firstRow="0" w:lastRow="0" w:firstColumn="0" w:lastColumn="0" w:noHBand="0" w:noVBand="1"/>
    </w:tblPr>
    <w:tblGrid>
      <w:gridCol w:w="2552"/>
      <w:gridCol w:w="2976"/>
    </w:tblGrid>
    <w:tr w:rsidR="00E36AE0" w14:paraId="6F01C18F" w14:textId="77777777">
      <w:tc>
        <w:tcPr>
          <w:tcW w:w="2552" w:type="dxa"/>
          <w:vAlign w:val="center"/>
        </w:tcPr>
        <w:p w14:paraId="735189B8" w14:textId="77777777" w:rsidR="00E36AE0" w:rsidRDefault="00EE6C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1A1D3EDF" w14:textId="77777777" w:rsidR="00E36AE0" w:rsidRDefault="00EE6CB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03149/INFOEM/IP/RR/2022</w:t>
          </w:r>
        </w:p>
      </w:tc>
    </w:tr>
    <w:tr w:rsidR="00E36AE0" w14:paraId="386D6875" w14:textId="77777777">
      <w:trPr>
        <w:trHeight w:val="228"/>
      </w:trPr>
      <w:tc>
        <w:tcPr>
          <w:tcW w:w="2552" w:type="dxa"/>
          <w:vAlign w:val="center"/>
        </w:tcPr>
        <w:p w14:paraId="316B6EE8" w14:textId="77777777" w:rsidR="00E36AE0" w:rsidRDefault="00EE6C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018A79C0" w14:textId="77777777" w:rsidR="00E36AE0" w:rsidRDefault="00EE6CB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Metepec.</w:t>
          </w:r>
        </w:p>
      </w:tc>
    </w:tr>
    <w:tr w:rsidR="00E36AE0" w14:paraId="03FF5F56" w14:textId="77777777">
      <w:tc>
        <w:tcPr>
          <w:tcW w:w="2552" w:type="dxa"/>
          <w:vAlign w:val="center"/>
        </w:tcPr>
        <w:p w14:paraId="584D22B3" w14:textId="77777777" w:rsidR="00E36AE0" w:rsidRDefault="00EE6CB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2391C4C" w14:textId="77777777" w:rsidR="00E36AE0" w:rsidRDefault="00EE6CB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6F923E8" w14:textId="77777777" w:rsidR="00E36AE0" w:rsidRDefault="00EE6CB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81008" w14:textId="77777777" w:rsidR="00E36AE0" w:rsidRDefault="00EE6CB2">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233915B8" wp14:editId="6002F09C">
          <wp:simplePos x="0" y="0"/>
          <wp:positionH relativeFrom="column">
            <wp:posOffset>-1188719</wp:posOffset>
          </wp:positionH>
          <wp:positionV relativeFrom="paragraph">
            <wp:posOffset>-447039</wp:posOffset>
          </wp:positionV>
          <wp:extent cx="7635163" cy="9944100"/>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
      <w:tblW w:w="5670" w:type="dxa"/>
      <w:tblInd w:w="3261" w:type="dxa"/>
      <w:tblLayout w:type="fixed"/>
      <w:tblLook w:val="0400" w:firstRow="0" w:lastRow="0" w:firstColumn="0" w:lastColumn="0" w:noHBand="0" w:noVBand="1"/>
    </w:tblPr>
    <w:tblGrid>
      <w:gridCol w:w="2551"/>
      <w:gridCol w:w="3119"/>
    </w:tblGrid>
    <w:tr w:rsidR="00E36AE0" w14:paraId="0EE2C5F6" w14:textId="77777777">
      <w:tc>
        <w:tcPr>
          <w:tcW w:w="2551" w:type="dxa"/>
          <w:shd w:val="clear" w:color="auto" w:fill="auto"/>
          <w:vAlign w:val="center"/>
        </w:tcPr>
        <w:p w14:paraId="1BEBCEF6" w14:textId="77777777" w:rsidR="00E36AE0" w:rsidRDefault="00EE6C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06F74DB" w14:textId="77777777" w:rsidR="00E36AE0" w:rsidRDefault="00EE6CB2">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03149/INFOEM/IP/RR/2022</w:t>
          </w:r>
        </w:p>
      </w:tc>
    </w:tr>
    <w:tr w:rsidR="00E36AE0" w14:paraId="6C257F0B" w14:textId="77777777">
      <w:trPr>
        <w:trHeight w:val="130"/>
      </w:trPr>
      <w:tc>
        <w:tcPr>
          <w:tcW w:w="2551" w:type="dxa"/>
          <w:shd w:val="clear" w:color="auto" w:fill="auto"/>
          <w:vAlign w:val="center"/>
        </w:tcPr>
        <w:p w14:paraId="2CD11E06" w14:textId="77777777" w:rsidR="00E36AE0" w:rsidRDefault="00EE6C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D7993BC" w14:textId="77777777" w:rsidR="00E36AE0" w:rsidRDefault="00E36AE0">
          <w:pPr>
            <w:ind w:left="-45"/>
            <w:rPr>
              <w:rFonts w:ascii="Palatino Linotype" w:eastAsia="Palatino Linotype" w:hAnsi="Palatino Linotype" w:cs="Palatino Linotype"/>
              <w:b/>
              <w:sz w:val="22"/>
              <w:szCs w:val="22"/>
            </w:rPr>
          </w:pPr>
        </w:p>
      </w:tc>
    </w:tr>
    <w:tr w:rsidR="00E36AE0" w14:paraId="38D34979" w14:textId="77777777">
      <w:trPr>
        <w:trHeight w:val="228"/>
      </w:trPr>
      <w:tc>
        <w:tcPr>
          <w:tcW w:w="2551" w:type="dxa"/>
          <w:shd w:val="clear" w:color="auto" w:fill="auto"/>
          <w:vAlign w:val="center"/>
        </w:tcPr>
        <w:p w14:paraId="7587AAA0" w14:textId="77777777" w:rsidR="00E36AE0" w:rsidRDefault="00EE6C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0A9B009" w14:textId="77777777" w:rsidR="00E36AE0" w:rsidRDefault="00EE6CB2">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E36AE0" w14:paraId="2CB59CDB" w14:textId="77777777">
      <w:tc>
        <w:tcPr>
          <w:tcW w:w="2551" w:type="dxa"/>
          <w:shd w:val="clear" w:color="auto" w:fill="auto"/>
          <w:vAlign w:val="center"/>
        </w:tcPr>
        <w:p w14:paraId="1CB678B5" w14:textId="77777777" w:rsidR="00E36AE0" w:rsidRDefault="00EE6CB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F4171C0" w14:textId="77777777" w:rsidR="00E36AE0" w:rsidRDefault="00EE6CB2">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E4F49AF" w14:textId="77777777" w:rsidR="00E36AE0" w:rsidRDefault="00E36AE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525E"/>
    <w:multiLevelType w:val="multilevel"/>
    <w:tmpl w:val="7000211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4D6D61"/>
    <w:multiLevelType w:val="multilevel"/>
    <w:tmpl w:val="D94CB6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8ED2A74"/>
    <w:multiLevelType w:val="multilevel"/>
    <w:tmpl w:val="E3B09BD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DC2420"/>
    <w:multiLevelType w:val="multilevel"/>
    <w:tmpl w:val="430C7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1346EA1"/>
    <w:multiLevelType w:val="multilevel"/>
    <w:tmpl w:val="ACF6E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AC92B45"/>
    <w:multiLevelType w:val="multilevel"/>
    <w:tmpl w:val="689A4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E7C7930"/>
    <w:multiLevelType w:val="multilevel"/>
    <w:tmpl w:val="12D499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DEF7C7A"/>
    <w:multiLevelType w:val="multilevel"/>
    <w:tmpl w:val="4BB4BC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4"/>
  </w:num>
  <w:num w:numId="2">
    <w:abstractNumId w:val="5"/>
  </w:num>
  <w:num w:numId="3">
    <w:abstractNumId w:val="3"/>
  </w:num>
  <w:num w:numId="4">
    <w:abstractNumId w:val="6"/>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AE0"/>
    <w:rsid w:val="0028659D"/>
    <w:rsid w:val="00364C0B"/>
    <w:rsid w:val="006D5DA2"/>
    <w:rsid w:val="009B10D5"/>
    <w:rsid w:val="00D7449F"/>
    <w:rsid w:val="00E36AE0"/>
    <w:rsid w:val="00EE6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00B2"/>
  <w15:docId w15:val="{F0346140-777E-475D-93C8-F688AF03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D1B"/>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iedepgina">
    <w:name w:val="footer"/>
    <w:basedOn w:val="Normal"/>
    <w:link w:val="PiedepginaCar"/>
    <w:uiPriority w:val="99"/>
    <w:unhideWhenUsed/>
    <w:rsid w:val="00AD0D1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D0D1B"/>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D0D1B"/>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D0D1B"/>
    <w:pPr>
      <w:ind w:left="708"/>
    </w:pPr>
    <w:rPr>
      <w:sz w:val="22"/>
      <w:szCs w:val="22"/>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D0D1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D0D1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D0D1B"/>
    <w:rPr>
      <w:sz w:val="20"/>
      <w:szCs w:val="20"/>
    </w:rPr>
  </w:style>
  <w:style w:type="table" w:customStyle="1" w:styleId="Tabladelista1clara-nfasis11">
    <w:name w:val="Tabla de lista 1 clara - Énfasis 11"/>
    <w:basedOn w:val="Tablanormal"/>
    <w:uiPriority w:val="46"/>
    <w:rsid w:val="00AD0D1B"/>
    <w:rPr>
      <w:rFonts w:eastAsia="MS Mincho"/>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
    <w:name w:val="Hyperlink"/>
    <w:basedOn w:val="Fuentedeprrafopredeter"/>
    <w:uiPriority w:val="99"/>
    <w:semiHidden/>
    <w:unhideWhenUsed/>
    <w:rsid w:val="00AD0D1B"/>
    <w:rPr>
      <w:color w:val="0000FF"/>
      <w:u w:val="single"/>
    </w:rPr>
  </w:style>
  <w:style w:type="paragraph" w:styleId="Encabezado">
    <w:name w:val="header"/>
    <w:basedOn w:val="Normal"/>
    <w:link w:val="EncabezadoCar"/>
    <w:uiPriority w:val="99"/>
    <w:unhideWhenUsed/>
    <w:rsid w:val="00AD0D1B"/>
    <w:pPr>
      <w:tabs>
        <w:tab w:val="center" w:pos="4419"/>
        <w:tab w:val="right" w:pos="8838"/>
      </w:tabs>
    </w:pPr>
  </w:style>
  <w:style w:type="character" w:customStyle="1" w:styleId="EncabezadoCar">
    <w:name w:val="Encabezado Car"/>
    <w:basedOn w:val="Fuentedeprrafopredeter"/>
    <w:link w:val="Encabezado"/>
    <w:uiPriority w:val="99"/>
    <w:rsid w:val="00AD0D1B"/>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E03047"/>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4ugLu5+xczYwzdus7BJx1DISkA==">AMUW2mXk5ZubhwViZac7HQlpmlWrBz+b6VrabdlvKf0SNgdp1ZGFNO0NoKuL9gH+jwjXj+tVtKr1/3lehTkyGndw4776H8sXAVUOcBLJNkygh+uF3kyMxQX5hxkId+7tyuLy5vOqN694ElC4wPd+sTNItoZ3PXtmXoKLXT7jHAAgXgPMULz2qWc=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8796</Words>
  <Characters>48384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KEPZAR Productos y Servicios de Tecnología</dc:creator>
  <cp:lastModifiedBy>USUARIO</cp:lastModifiedBy>
  <cp:revision>2</cp:revision>
  <dcterms:created xsi:type="dcterms:W3CDTF">2022-07-11T14:09:00Z</dcterms:created>
  <dcterms:modified xsi:type="dcterms:W3CDTF">2022-07-11T14:09:00Z</dcterms:modified>
</cp:coreProperties>
</file>