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A07B4D" w14:textId="60B6F04C"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B410B6">
        <w:rPr>
          <w:rFonts w:ascii="Palatino Linotype" w:eastAsia="Palatino Linotype" w:hAnsi="Palatino Linotype" w:cs="Palatino Linotype"/>
          <w:b/>
        </w:rPr>
        <w:t>tres de agosto</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w:t>
      </w:r>
    </w:p>
    <w:p w14:paraId="11A732A9" w14:textId="6E2CA5AB" w:rsidR="002F3CF4" w:rsidRDefault="00CC3C3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03959/INFOEM/IP/RR/2022</w:t>
      </w:r>
      <w:r>
        <w:rPr>
          <w:rFonts w:ascii="Palatino Linotype" w:eastAsia="Palatino Linotype" w:hAnsi="Palatino Linotype" w:cs="Palatino Linotype"/>
        </w:rPr>
        <w:t xml:space="preserve">, interpuesto por el C. </w:t>
      </w:r>
      <w:r w:rsidR="00085C1A">
        <w:rPr>
          <w:rFonts w:ascii="Palatino Linotype" w:eastAsia="Palatino Linotype" w:hAnsi="Palatino Linotype" w:cs="Palatino Linotype"/>
          <w:b/>
          <w:sz w:val="22"/>
          <w:szCs w:val="22"/>
        </w:rPr>
        <w:t>XXXXX XXXXX XXXXX</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w:t>
      </w:r>
      <w:r>
        <w:rPr>
          <w:rFonts w:ascii="Palatino Linotype" w:eastAsia="Palatino Linotype" w:hAnsi="Palatino Linotype" w:cs="Palatino Linotype"/>
          <w:b/>
        </w:rPr>
        <w:t xml:space="preserve"> 00021/STMEM/IP/2022,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Sistema de Transporte Masivo y Teleférico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564F3045" w14:textId="77777777" w:rsidR="002F3CF4" w:rsidRDefault="00CC3C36">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Pr>
          <w:rFonts w:ascii="Palatino Linotype" w:eastAsia="Palatino Linotype" w:hAnsi="Palatino Linotype" w:cs="Palatino Linotype"/>
          <w:b/>
        </w:rPr>
        <w:t>A N T E C E D E N T E S</w:t>
      </w:r>
    </w:p>
    <w:p w14:paraId="36FBADB8"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ocho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70443FD6" w14:textId="77777777" w:rsidR="002F3CF4" w:rsidRDefault="00CC3C36">
      <w:pPr>
        <w:spacing w:before="240" w:after="240" w:line="276" w:lineRule="auto"/>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“solicito los documentos que debio de entregar esta dependencia y que se señalan en la Notificación de Apercibimiento al titular de la unidad de transparencia 06/10/2021; por lo anterior solicito al pleno las medidas de apremio a las que fue acreedor es servidor publico responsable asi como toda la documental que lo señale.” (Sic)</w:t>
      </w:r>
    </w:p>
    <w:p w14:paraId="0551E656"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31FE32CE" w14:textId="77777777" w:rsidR="002F3CF4" w:rsidRDefault="00CC3C3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lastRenderedPageBreak/>
        <w:t>2. Requerimiento de Aclaración.</w:t>
      </w:r>
      <w:r>
        <w:rPr>
          <w:rFonts w:ascii="Palatino Linotype" w:eastAsia="Palatino Linotype" w:hAnsi="Palatino Linotype" w:cs="Palatino Linotype"/>
          <w:color w:val="000000"/>
        </w:rPr>
        <w:t xml:space="preserve"> De las constancias que obran en el expediente electrónico del SAIMEX, se desprende que el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nueve de marzo del año dos mil veintidós</w:t>
      </w:r>
      <w:r>
        <w:rPr>
          <w:rFonts w:ascii="Palatino Linotype" w:eastAsia="Palatino Linotype" w:hAnsi="Palatino Linotype" w:cs="Palatino Linotype"/>
          <w:color w:val="000000"/>
        </w:rPr>
        <w:t>, notificó una aclaración en los términos siguientes:</w:t>
      </w:r>
    </w:p>
    <w:p w14:paraId="7FEFE033" w14:textId="77777777" w:rsidR="002F3CF4" w:rsidRDefault="00CC3C36">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3078FCCA" w14:textId="77777777" w:rsidR="002F3CF4" w:rsidRDefault="00CC3C36">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por medio del presente se solicita que se aclare y/o corrida su solicitud de acceso a la información publica</w:t>
      </w:r>
    </w:p>
    <w:p w14:paraId="2C869964" w14:textId="77777777" w:rsidR="002F3CF4" w:rsidRDefault="00CC3C36">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2B75A29" w14:textId="77777777" w:rsidR="002F3CF4" w:rsidRDefault="00CC3C36">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0F0A9FA7" w14:textId="77777777" w:rsidR="002F3CF4" w:rsidRDefault="00CC3C36">
      <w:pPr>
        <w:tabs>
          <w:tab w:val="left" w:pos="1134"/>
        </w:tabs>
        <w:spacing w:before="240" w:after="240" w:line="276" w:lineRule="auto"/>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GONZALO LINAS COLIN” (Sic)</w:t>
      </w:r>
    </w:p>
    <w:p w14:paraId="259B8B75" w14:textId="77777777" w:rsidR="002F3CF4" w:rsidRDefault="00CC3C36">
      <w:pPr>
        <w:tabs>
          <w:tab w:val="left" w:pos="113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Adjuntando el documento “</w:t>
      </w:r>
      <w:r>
        <w:rPr>
          <w:rFonts w:ascii="Palatino Linotype" w:eastAsia="Palatino Linotype" w:hAnsi="Palatino Linotype" w:cs="Palatino Linotype"/>
          <w:b/>
          <w:i/>
        </w:rPr>
        <w:t xml:space="preserve">SE SOLICITA ACLARACION SAIMEX 00021.pdf”, </w:t>
      </w:r>
      <w:r>
        <w:rPr>
          <w:rFonts w:ascii="Palatino Linotype" w:eastAsia="Palatino Linotype" w:hAnsi="Palatino Linotype" w:cs="Palatino Linotype"/>
        </w:rPr>
        <w:t>oficio número UT/213C0301200/039/2022, suscrito y firmado por el Titular de la Unidad de Transparencia de fecha nueve de marzo de dos mil veintidós, por medio del cual se destaca lo siguiente:</w:t>
      </w:r>
    </w:p>
    <w:p w14:paraId="5B41CD69" w14:textId="77777777" w:rsidR="002F3CF4" w:rsidRDefault="00CC3C36">
      <w:pPr>
        <w:tabs>
          <w:tab w:val="left" w:pos="1134"/>
        </w:tabs>
        <w:spacing w:before="240" w:after="240"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52A8E27" wp14:editId="4C9C1ECC">
            <wp:extent cx="5614035" cy="2084070"/>
            <wp:effectExtent l="0" t="0" r="0" b="0"/>
            <wp:docPr id="56" name="image2.png" descr="Captura%20de%20pantalla%202022-06-26%20a%20la(s)%2013.11.06.png"/>
            <wp:cNvGraphicFramePr/>
            <a:graphic xmlns:a="http://schemas.openxmlformats.org/drawingml/2006/main">
              <a:graphicData uri="http://schemas.openxmlformats.org/drawingml/2006/picture">
                <pic:pic xmlns:pic="http://schemas.openxmlformats.org/drawingml/2006/picture">
                  <pic:nvPicPr>
                    <pic:cNvPr id="0" name="image2.png" descr="Captura%20de%20pantalla%202022-06-26%20a%20la(s)%2013.11.06.png"/>
                    <pic:cNvPicPr preferRelativeResize="0"/>
                  </pic:nvPicPr>
                  <pic:blipFill>
                    <a:blip r:embed="rId8"/>
                    <a:srcRect/>
                    <a:stretch>
                      <a:fillRect/>
                    </a:stretch>
                  </pic:blipFill>
                  <pic:spPr>
                    <a:xfrm>
                      <a:off x="0" y="0"/>
                      <a:ext cx="5614035" cy="2084070"/>
                    </a:xfrm>
                    <a:prstGeom prst="rect">
                      <a:avLst/>
                    </a:prstGeom>
                    <a:ln/>
                  </pic:spPr>
                </pic:pic>
              </a:graphicData>
            </a:graphic>
          </wp:inline>
        </w:drawing>
      </w:r>
    </w:p>
    <w:p w14:paraId="0672210C"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a la aclaración. </w:t>
      </w:r>
      <w:r>
        <w:rPr>
          <w:rFonts w:ascii="Palatino Linotype" w:eastAsia="Palatino Linotype" w:hAnsi="Palatino Linotype" w:cs="Palatino Linotype"/>
        </w:rPr>
        <w:t>El particular en fecha nueve de marzo de dos mil veintidós, precisa lo siguiente:</w:t>
      </w:r>
    </w:p>
    <w:p w14:paraId="636A6C0D" w14:textId="77777777" w:rsidR="002F3CF4" w:rsidRDefault="00CC3C36">
      <w:pPr>
        <w:tabs>
          <w:tab w:val="left" w:pos="1134"/>
        </w:tabs>
        <w:spacing w:line="276" w:lineRule="auto"/>
        <w:ind w:left="1134" w:right="900"/>
        <w:jc w:val="both"/>
      </w:pPr>
      <w:r>
        <w:rPr>
          <w:rFonts w:ascii="Palatino Linotype" w:eastAsia="Palatino Linotype" w:hAnsi="Palatino Linotype" w:cs="Palatino Linotype"/>
          <w:i/>
          <w:color w:val="000000"/>
          <w:sz w:val="22"/>
          <w:szCs w:val="22"/>
        </w:rPr>
        <w:t>“se solicita la documental requerida y que ordeno el pelno del infoem que entrega el titular de la ut asi mismo el oficio que debio remitir y firmar el titular del sujeto obligado que da cuenta que ordeno al titular de la ut atendiera y diera cumplimiento para no recibir una multa por incompetente” (Sic)</w:t>
      </w:r>
    </w:p>
    <w:p w14:paraId="04C00C63" w14:textId="77777777" w:rsidR="002F3CF4" w:rsidRDefault="002F3CF4">
      <w:pPr>
        <w:tabs>
          <w:tab w:val="left" w:pos="1134"/>
        </w:tabs>
        <w:spacing w:line="276" w:lineRule="auto"/>
        <w:ind w:left="1134" w:right="900"/>
        <w:jc w:val="both"/>
      </w:pPr>
    </w:p>
    <w:p w14:paraId="56A7E763"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Respuesta del Sujeto Obligado.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quince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0264AE5D" w14:textId="77777777" w:rsidR="002F3CF4" w:rsidRDefault="00CC3C3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le contestamos que:</w:t>
      </w:r>
    </w:p>
    <w:p w14:paraId="6B81E0C0" w14:textId="77777777" w:rsidR="002F3CF4" w:rsidRDefault="00CC3C36">
      <w:pPr>
        <w:spacing w:before="240" w:after="240" w:line="276" w:lineRule="auto"/>
        <w:ind w:left="1080" w:right="918"/>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Que por medio del presente, se le informa que </w:t>
      </w:r>
      <w:r>
        <w:rPr>
          <w:rFonts w:ascii="Palatino Linotype" w:eastAsia="Palatino Linotype" w:hAnsi="Palatino Linotype" w:cs="Palatino Linotype"/>
          <w:b/>
          <w:i/>
          <w:sz w:val="22"/>
          <w:szCs w:val="22"/>
          <w:u w:val="single"/>
        </w:rPr>
        <w:t>se tiene por no presentada su solicitud de acceso a la información publica,</w:t>
      </w:r>
      <w:r>
        <w:rPr>
          <w:rFonts w:ascii="Palatino Linotype" w:eastAsia="Palatino Linotype" w:hAnsi="Palatino Linotype" w:cs="Palatino Linotype"/>
          <w:b/>
          <w:i/>
          <w:sz w:val="22"/>
          <w:szCs w:val="22"/>
        </w:rPr>
        <w:t xml:space="preserve"> debido a que desahogo el requerimiento que le fue solicitado mediante el oficio UT/213C03010201200/039/2022</w:t>
      </w:r>
    </w:p>
    <w:p w14:paraId="70982414" w14:textId="77777777" w:rsidR="002F3CF4" w:rsidRDefault="00CC3C3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17AD0DA0" w14:textId="77777777" w:rsidR="002F3CF4" w:rsidRDefault="00CC3C36">
      <w:pPr>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LIC. GONZALO LINAS COLIN” (Sic)</w:t>
      </w:r>
    </w:p>
    <w:p w14:paraId="64F07E6D" w14:textId="77777777" w:rsidR="002F3CF4" w:rsidRDefault="00CC3C36">
      <w:pPr>
        <w:spacing w:before="240" w:after="240" w:line="276" w:lineRule="auto"/>
        <w:ind w:right="18"/>
        <w:jc w:val="both"/>
        <w:rPr>
          <w:rFonts w:ascii="Palatino Linotype" w:eastAsia="Palatino Linotype" w:hAnsi="Palatino Linotype" w:cs="Palatino Linotype"/>
        </w:rPr>
      </w:pPr>
      <w:r>
        <w:rPr>
          <w:rFonts w:ascii="Palatino Linotype" w:eastAsia="Palatino Linotype" w:hAnsi="Palatino Linotype" w:cs="Palatino Linotype"/>
        </w:rPr>
        <w:t xml:space="preserve">A través de la cual adjunto un documento que se describe a continuación: </w:t>
      </w:r>
    </w:p>
    <w:p w14:paraId="792F0A7D" w14:textId="77777777" w:rsidR="002F3CF4" w:rsidRDefault="00CC3C36">
      <w:pPr>
        <w:numPr>
          <w:ilvl w:val="0"/>
          <w:numId w:val="2"/>
        </w:numPr>
        <w:pBdr>
          <w:top w:val="nil"/>
          <w:left w:val="nil"/>
          <w:bottom w:val="nil"/>
          <w:right w:val="nil"/>
          <w:between w:val="nil"/>
        </w:pBdr>
        <w:spacing w:before="240" w:after="240" w:line="276" w:lineRule="auto"/>
        <w:ind w:right="18"/>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“RESPUESTA SAIMEX 00021.pdf“, </w:t>
      </w:r>
      <w:r>
        <w:rPr>
          <w:rFonts w:ascii="Palatino Linotype" w:eastAsia="Palatino Linotype" w:hAnsi="Palatino Linotype" w:cs="Palatino Linotype"/>
          <w:color w:val="000000"/>
        </w:rPr>
        <w:t>oficio número  UT/212C03010301200/047/2022 de fecha once de marzo de dos mil veintidós a través del cual la Titular de la Unidad de Información, Planeación, Programación, Evaluación y Transparencia, manifiesta lo siguiente:</w:t>
      </w:r>
    </w:p>
    <w:p w14:paraId="1CB25705" w14:textId="4109413E" w:rsidR="002F3CF4" w:rsidRDefault="00904EC3" w:rsidP="00904EC3">
      <w:pPr>
        <w:pBdr>
          <w:top w:val="nil"/>
          <w:left w:val="nil"/>
          <w:bottom w:val="nil"/>
          <w:right w:val="nil"/>
          <w:between w:val="nil"/>
        </w:pBdr>
        <w:spacing w:before="240" w:after="240" w:line="276" w:lineRule="auto"/>
        <w:ind w:left="720" w:right="18"/>
        <w:jc w:val="both"/>
        <w:rPr>
          <w:rFonts w:ascii="Palatino Linotype" w:eastAsia="Palatino Linotype" w:hAnsi="Palatino Linotype" w:cs="Palatino Linotype"/>
          <w:color w:val="000000"/>
        </w:rPr>
      </w:pPr>
      <w:r>
        <w:rPr>
          <w:noProof/>
        </w:rPr>
        <w:drawing>
          <wp:inline distT="0" distB="0" distL="0" distR="0" wp14:anchorId="6C41B3DC" wp14:editId="76E9AF9E">
            <wp:extent cx="5029200" cy="28096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412" t="49789" r="28207" b="20036"/>
                    <a:stretch/>
                  </pic:blipFill>
                  <pic:spPr bwMode="auto">
                    <a:xfrm>
                      <a:off x="0" y="0"/>
                      <a:ext cx="5049684" cy="2821053"/>
                    </a:xfrm>
                    <a:prstGeom prst="rect">
                      <a:avLst/>
                    </a:prstGeom>
                    <a:ln>
                      <a:noFill/>
                    </a:ln>
                    <a:extLst>
                      <a:ext uri="{53640926-AAD7-44D8-BBD7-CCE9431645EC}">
                        <a14:shadowObscured xmlns:a14="http://schemas.microsoft.com/office/drawing/2010/main"/>
                      </a:ext>
                    </a:extLst>
                  </pic:spPr>
                </pic:pic>
              </a:graphicData>
            </a:graphic>
          </wp:inline>
        </w:drawing>
      </w:r>
    </w:p>
    <w:p w14:paraId="00C12D2B"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w:t>
      </w:r>
      <w:r>
        <w:rPr>
          <w:rFonts w:ascii="Palatino Linotype" w:eastAsia="Palatino Linotype" w:hAnsi="Palatino Linotype" w:cs="Palatino Linotype"/>
          <w:b/>
        </w:rPr>
        <w:t>quince de marzo del dos mil veintidós,</w:t>
      </w:r>
      <w:r>
        <w:rPr>
          <w:rFonts w:ascii="Palatino Linotype" w:eastAsia="Palatino Linotype" w:hAnsi="Palatino Linotype" w:cs="Palatino Linotype"/>
        </w:rPr>
        <w:t xml:space="preserve"> a través del cual expresó lo siguiente:</w:t>
      </w:r>
    </w:p>
    <w:p w14:paraId="0DEE6FA4" w14:textId="77777777" w:rsidR="002F3CF4" w:rsidRDefault="00CC3C36">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F3D8FB8" w14:textId="77777777" w:rsidR="002F3CF4" w:rsidRDefault="00CC3C36">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“Negativa a responder” (Sic)</w:t>
      </w:r>
    </w:p>
    <w:p w14:paraId="47BF3A1B" w14:textId="77777777" w:rsidR="002F3CF4" w:rsidRDefault="00CC3C3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0E24FF1B" w14:textId="77777777" w:rsidR="002F3CF4" w:rsidRDefault="00CC3C36">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“De forma risible me dicen que atienden el requerimiento y dicen que no saben que información es la que pido, sabiendo que ellos en su sistema tiene. Copia de la notificación y que de forma clara no gana acatado , por lo anterior ratifico el recurso de revisión y dejo patente que no atiende lo requerido y menos obedece a lo ordenado por el infoem.”(Sic)</w:t>
      </w:r>
    </w:p>
    <w:p w14:paraId="3C5B7026" w14:textId="77777777" w:rsidR="002F3CF4" w:rsidRDefault="00CC3C3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 Turno</w:t>
      </w:r>
      <w:r>
        <w:rPr>
          <w:rFonts w:ascii="Palatino Linotype" w:eastAsia="Palatino Linotype" w:hAnsi="Palatino Linotype" w:cs="Palatino Linotype"/>
          <w:b/>
          <w:sz w:val="28"/>
          <w:szCs w:val="28"/>
        </w:rPr>
        <w:t>.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w:t>
      </w:r>
      <w:r>
        <w:rPr>
          <w:rFonts w:ascii="Palatino Linotype" w:eastAsia="Palatino Linotype" w:hAnsi="Palatino Linotype" w:cs="Palatino Linotype"/>
          <w:b/>
        </w:rPr>
        <w:t xml:space="preserve"> Comisionada</w:t>
      </w:r>
      <w:r>
        <w:rPr>
          <w:rFonts w:ascii="Palatino Linotype" w:eastAsia="Palatino Linotype" w:hAnsi="Palatino Linotype" w:cs="Palatino Linotype"/>
        </w:rPr>
        <w:t>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 </w:t>
      </w:r>
    </w:p>
    <w:p w14:paraId="1AEA2445"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dieciocho de marzo del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237E22F7" w14:textId="77777777" w:rsidR="002F3CF4" w:rsidRDefault="00CC3C3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Manifestaciones</w:t>
      </w:r>
      <w:r>
        <w:rPr>
          <w:rFonts w:ascii="Palatino Linotype" w:eastAsia="Palatino Linotype" w:hAnsi="Palatino Linotype" w:cs="Palatino Linotype"/>
        </w:rPr>
        <w:t xml:space="preserve">: De las constancias que integran el expediente en que se actúa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veintitrés de marzo de dos mil veintidós,</w:t>
      </w:r>
      <w:r>
        <w:rPr>
          <w:rFonts w:ascii="Palatino Linotype" w:eastAsia="Palatino Linotype" w:hAnsi="Palatino Linotype" w:cs="Palatino Linotype"/>
        </w:rPr>
        <w:t xml:space="preserve"> rinde informe justificado en los términos siguientes:</w:t>
      </w:r>
    </w:p>
    <w:p w14:paraId="3910248A" w14:textId="77777777" w:rsidR="002F3CF4" w:rsidRDefault="00CC3C3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92DE41E" wp14:editId="00953163">
            <wp:extent cx="5612130" cy="4217670"/>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4217670"/>
                    </a:xfrm>
                    <a:prstGeom prst="rect">
                      <a:avLst/>
                    </a:prstGeom>
                    <a:ln/>
                  </pic:spPr>
                </pic:pic>
              </a:graphicData>
            </a:graphic>
          </wp:inline>
        </w:drawing>
      </w:r>
    </w:p>
    <w:p w14:paraId="3B568E8F" w14:textId="4D36ECEA" w:rsidR="002F3CF4" w:rsidRDefault="00904EC3">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noProof/>
        </w:rPr>
        <w:drawing>
          <wp:inline distT="0" distB="0" distL="0" distR="0" wp14:anchorId="4F2BB8D4" wp14:editId="75FC8865">
            <wp:extent cx="5771051" cy="16954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921" t="59445" r="28038" b="24864"/>
                    <a:stretch/>
                  </pic:blipFill>
                  <pic:spPr bwMode="auto">
                    <a:xfrm>
                      <a:off x="0" y="0"/>
                      <a:ext cx="5785461" cy="1699684"/>
                    </a:xfrm>
                    <a:prstGeom prst="rect">
                      <a:avLst/>
                    </a:prstGeom>
                    <a:ln>
                      <a:noFill/>
                    </a:ln>
                    <a:extLst>
                      <a:ext uri="{53640926-AAD7-44D8-BBD7-CCE9431645EC}">
                        <a14:shadowObscured xmlns:a14="http://schemas.microsoft.com/office/drawing/2010/main"/>
                      </a:ext>
                    </a:extLst>
                  </pic:spPr>
                </pic:pic>
              </a:graphicData>
            </a:graphic>
          </wp:inline>
        </w:drawing>
      </w:r>
    </w:p>
    <w:p w14:paraId="02A7E848" w14:textId="77777777" w:rsidR="002F3CF4" w:rsidRDefault="002F3CF4">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p>
    <w:p w14:paraId="7E86CDF2" w14:textId="77777777" w:rsidR="002F3CF4" w:rsidRDefault="002F3CF4">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p>
    <w:p w14:paraId="1497BB2C" w14:textId="77777777" w:rsidR="002F3CF4" w:rsidRDefault="002F3CF4">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p>
    <w:p w14:paraId="1BF453F0" w14:textId="77777777" w:rsidR="002F3CF4" w:rsidRDefault="00CC3C3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C4D3B79" wp14:editId="69EF94D4">
            <wp:extent cx="5612130" cy="6235982"/>
            <wp:effectExtent l="0" t="0" r="0" b="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19872"/>
                    <a:stretch>
                      <a:fillRect/>
                    </a:stretch>
                  </pic:blipFill>
                  <pic:spPr>
                    <a:xfrm>
                      <a:off x="0" y="0"/>
                      <a:ext cx="5612130" cy="6235982"/>
                    </a:xfrm>
                    <a:prstGeom prst="rect">
                      <a:avLst/>
                    </a:prstGeom>
                    <a:ln/>
                  </pic:spPr>
                </pic:pic>
              </a:graphicData>
            </a:graphic>
          </wp:inline>
        </w:drawing>
      </w:r>
    </w:p>
    <w:p w14:paraId="0744E692" w14:textId="77777777" w:rsidR="002F3CF4" w:rsidRDefault="00CC3C36">
      <w:pPr>
        <w:widowControl w:val="0"/>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72D7D3B" wp14:editId="172A0FB6">
            <wp:extent cx="5612130" cy="866775"/>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866775"/>
                    </a:xfrm>
                    <a:prstGeom prst="rect">
                      <a:avLst/>
                    </a:prstGeom>
                    <a:ln/>
                  </pic:spPr>
                </pic:pic>
              </a:graphicData>
            </a:graphic>
          </wp:inline>
        </w:drawing>
      </w:r>
    </w:p>
    <w:p w14:paraId="794E3458" w14:textId="77777777" w:rsidR="002F3CF4" w:rsidRDefault="00CC3C3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Y agregó el documento: </w:t>
      </w:r>
      <w:r>
        <w:rPr>
          <w:rFonts w:ascii="Palatino Linotype" w:eastAsia="Palatino Linotype" w:hAnsi="Palatino Linotype" w:cs="Palatino Linotype"/>
          <w:b/>
          <w:i/>
        </w:rPr>
        <w:t xml:space="preserve">ANTECEDENTES SAIMEX 00021.pdf, </w:t>
      </w:r>
      <w:r>
        <w:rPr>
          <w:rFonts w:ascii="Palatino Linotype" w:eastAsia="Palatino Linotype" w:hAnsi="Palatino Linotype" w:cs="Palatino Linotype"/>
        </w:rPr>
        <w:t>documentos que contienen lo actuado en el SAIMEX del presente procedimiento.</w:t>
      </w:r>
    </w:p>
    <w:p w14:paraId="483B14D8" w14:textId="77777777" w:rsidR="002F3CF4" w:rsidRDefault="00CC3C3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informe justificado fue puesto a la vista de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el veinticuatro de mayo de dos mil veintidós, por su parte,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fue omisa en emitir manifestaciones. </w:t>
      </w:r>
    </w:p>
    <w:p w14:paraId="1D9B8C7F" w14:textId="77777777" w:rsidR="002F3CF4" w:rsidRDefault="00CC3C3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dieciséis de mayo del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el plazo para emitir la presente resolución a fin de realizar un mejor estudio del asunto.</w:t>
      </w:r>
    </w:p>
    <w:p w14:paraId="7369986F"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509D249"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4D50D04"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612BC5"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6D8EBD4"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4ADBCD87" w14:textId="77777777" w:rsidR="002F3CF4" w:rsidRDefault="00CC3C36">
      <w:pPr>
        <w:spacing w:before="240" w:after="240" w:line="360" w:lineRule="auto"/>
        <w:ind w:left="567" w:hanging="425"/>
        <w:jc w:val="both"/>
        <w:rPr>
          <w:rFonts w:ascii="Palatino Linotype" w:eastAsia="Palatino Linotype" w:hAnsi="Palatino Linotype" w:cs="Palatino Linotype"/>
        </w:rPr>
      </w:pPr>
      <w:r>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6D687FA5" w14:textId="77777777" w:rsidR="002F3CF4" w:rsidRDefault="00CC3C36">
      <w:pPr>
        <w:spacing w:before="240" w:after="240" w:line="360" w:lineRule="auto"/>
        <w:ind w:left="567" w:hanging="425"/>
        <w:jc w:val="both"/>
        <w:rPr>
          <w:rFonts w:ascii="Palatino Linotype" w:eastAsia="Palatino Linotype" w:hAnsi="Palatino Linotype" w:cs="Palatino Linotype"/>
        </w:rPr>
      </w:pPr>
      <w:r>
        <w:rPr>
          <w:rFonts w:ascii="Palatino Linotype" w:eastAsia="Palatino Linotype" w:hAnsi="Palatino Linotype" w:cs="Palatino Linotype"/>
        </w:rPr>
        <w:t>b)     Actividad Procesal del interesado. Acciones u omisiones del interesado.</w:t>
      </w:r>
    </w:p>
    <w:p w14:paraId="5CF5C158" w14:textId="77777777" w:rsidR="002F3CF4" w:rsidRDefault="00CC3C36">
      <w:pPr>
        <w:spacing w:before="240" w:after="240" w:line="360" w:lineRule="auto"/>
        <w:ind w:left="567" w:hanging="425"/>
        <w:jc w:val="both"/>
        <w:rPr>
          <w:rFonts w:ascii="Palatino Linotype" w:eastAsia="Palatino Linotype" w:hAnsi="Palatino Linotype" w:cs="Palatino Linotype"/>
        </w:rPr>
      </w:pPr>
      <w:r>
        <w:rPr>
          <w:rFonts w:ascii="Palatino Linotype" w:eastAsia="Palatino Linotype" w:hAnsi="Palatino Linotype" w:cs="Palatino Linotype"/>
        </w:rPr>
        <w:lastRenderedPageBreak/>
        <w:t>c)  Conducta de la Autoridad: Las Acciones u omisiones realizadas en el procedimiento. Así como si la autoridad actuó con la debida diligencia.</w:t>
      </w:r>
    </w:p>
    <w:p w14:paraId="5B073618" w14:textId="77777777" w:rsidR="002F3CF4" w:rsidRDefault="00CC3C36">
      <w:pPr>
        <w:spacing w:before="240" w:after="240" w:line="360" w:lineRule="auto"/>
        <w:ind w:left="567" w:hanging="425"/>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3EB30A7D"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A63A18"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xml:space="preserve"> visible en la Gaceta del Seminario Judicial de la Federación con el registro digital 205635.</w:t>
      </w:r>
    </w:p>
    <w:p w14:paraId="050F9F03"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Pr>
          <w:rFonts w:ascii="Palatino Linotype" w:eastAsia="Palatino Linotype" w:hAnsi="Palatino Linotype" w:cs="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353E5F8"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4AA378F"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112221F9"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657E09B3"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F46F35E"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treinta y uno de mayo de dos mil veintidós,</w:t>
      </w:r>
      <w:r>
        <w:rPr>
          <w:rFonts w:ascii="Palatino Linotype" w:eastAsia="Palatino Linotype" w:hAnsi="Palatino Linotype" w:cs="Palatino Linotype"/>
        </w:rPr>
        <w:t xml:space="preserve"> con fundamento en lo establecido en los artículos 185, fracción VI de la Ley de Transparencia y Acceso a la Información Pública del Estado de México y Municipios, </w:t>
      </w:r>
      <w:r>
        <w:rPr>
          <w:rFonts w:ascii="Palatino Linotype" w:eastAsia="Palatino Linotype" w:hAnsi="Palatino Linotype" w:cs="Palatino Linotype"/>
        </w:rPr>
        <w:lastRenderedPageBreak/>
        <w:t>al no existir trámite pendiente por realizar y haber sido sustanciado el medio de impugnación se acordó el cierre de instrucción y se procede a formular la resolución que en derecho corresponda.</w:t>
      </w:r>
    </w:p>
    <w:p w14:paraId="4FF320BC" w14:textId="77777777" w:rsidR="002F3CF4" w:rsidRDefault="00CC3C36">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3D3B9FFE" w14:textId="4604697B" w:rsidR="002F3CF4" w:rsidRDefault="00CC3C36">
      <w:pPr>
        <w:widowControl w:val="0"/>
        <w:pBdr>
          <w:top w:val="nil"/>
          <w:left w:val="nil"/>
          <w:bottom w:val="nil"/>
          <w:right w:val="nil"/>
          <w:between w:val="nil"/>
        </w:pBdr>
        <w:tabs>
          <w:tab w:val="left" w:pos="709"/>
        </w:tabs>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w:t>
      </w:r>
      <w:r w:rsidR="00B41668">
        <w:rPr>
          <w:rFonts w:ascii="Palatino Linotype" w:eastAsia="Palatino Linotype" w:hAnsi="Palatino Linotype" w:cs="Palatino Linotype"/>
          <w:b/>
        </w:rPr>
        <w:t>.</w:t>
      </w:r>
      <w:r>
        <w:rPr>
          <w:rFonts w:ascii="Palatino Linotype" w:eastAsia="Palatino Linotype" w:hAnsi="Palatino Linotype" w:cs="Palatino Linotype"/>
          <w:b/>
        </w:rPr>
        <w:tab/>
        <w:t>C O N S I D E R A N D O S</w:t>
      </w:r>
    </w:p>
    <w:p w14:paraId="3375A8FE" w14:textId="77777777" w:rsidR="002F3CF4" w:rsidRDefault="00CC3C36">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el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43E0EA52"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w:t>
      </w:r>
      <w:r>
        <w:rPr>
          <w:rFonts w:ascii="Palatino Linotype" w:eastAsia="Palatino Linotype" w:hAnsi="Palatino Linotype" w:cs="Palatino Linotype"/>
        </w:rPr>
        <w:lastRenderedPageBreak/>
        <w:t xml:space="preserve">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quince de marzo del año dos mil veintidós</w:t>
      </w:r>
      <w:r>
        <w:rPr>
          <w:rFonts w:ascii="Palatino Linotype" w:eastAsia="Palatino Linotype" w:hAnsi="Palatino Linotype" w:cs="Palatino Linotype"/>
        </w:rPr>
        <w:t xml:space="preserve"> y el recurrente presentó su recurso de revisión el </w:t>
      </w:r>
      <w:r>
        <w:rPr>
          <w:rFonts w:ascii="Palatino Linotype" w:eastAsia="Palatino Linotype" w:hAnsi="Palatino Linotype" w:cs="Palatino Linotype"/>
          <w:b/>
        </w:rPr>
        <w:t>quince de marzo del dos mil veintidós</w:t>
      </w:r>
      <w:r>
        <w:rPr>
          <w:rFonts w:ascii="Palatino Linotype" w:eastAsia="Palatino Linotype" w:hAnsi="Palatino Linotype" w:cs="Palatino Linotype"/>
        </w:rPr>
        <w:t>, esto el mismo día hábil de aquel en que tuvo conocimiento de la respuesta; evidenciándose que la interposición del recurso se encuentra dentro de los márgenes temporales previstos en el citado precepto legal.</w:t>
      </w:r>
    </w:p>
    <w:p w14:paraId="268A21A9" w14:textId="77777777" w:rsidR="002F3CF4" w:rsidRDefault="00CC3C36">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C3A0A04" w14:textId="77777777" w:rsidR="002F3CF4" w:rsidRDefault="00CC3C3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color w:val="000000"/>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w:t>
      </w:r>
      <w:r>
        <w:rPr>
          <w:rFonts w:ascii="Palatino Linotype" w:eastAsia="Palatino Linotype" w:hAnsi="Palatino Linotype" w:cs="Palatino Linotype"/>
          <w:i/>
          <w:color w:val="000000"/>
          <w:sz w:val="22"/>
          <w:szCs w:val="22"/>
        </w:rPr>
        <w:lastRenderedPageBreak/>
        <w:t>días, por tanto, no impide que el escrito correspondiente se presente antes de iniciado ese término. De ahí que si dicho recurso se interpone antes de que inicie el plazo para hacerlo, su presentación no es extemporánea.”</w:t>
      </w:r>
    </w:p>
    <w:p w14:paraId="799F0913" w14:textId="77777777" w:rsidR="002F3CF4" w:rsidRDefault="00CC3C3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52C24FF" w14:textId="77777777" w:rsidR="002F3CF4" w:rsidRDefault="00CC3C36">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Ahora bien, resulta procedente la interposición del recurso revisión, según lo aducido por 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en su acto impugnado como en sus motivos de inconformidad, de acuerdo al artículo 179 fracción I de la Ley de Transparencia y Acceso a la Información Pública del Estado de México y Municipios; que a la letra dice:</w:t>
      </w:r>
    </w:p>
    <w:p w14:paraId="699437A8" w14:textId="77777777" w:rsidR="002F3CF4" w:rsidRDefault="00CC3C3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recurso de revisión</w:t>
      </w:r>
      <w:r>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sz w:val="22"/>
          <w:szCs w:val="22"/>
        </w:rPr>
        <w:t>, y procederá en contra de las siguientes causas</w:t>
      </w:r>
      <w:r>
        <w:rPr>
          <w:rFonts w:ascii="Palatino Linotype" w:eastAsia="Palatino Linotype" w:hAnsi="Palatino Linotype" w:cs="Palatino Linotype"/>
          <w:i/>
          <w:sz w:val="22"/>
          <w:szCs w:val="22"/>
        </w:rPr>
        <w:t>:</w:t>
      </w:r>
    </w:p>
    <w:p w14:paraId="76280CE2" w14:textId="77777777" w:rsidR="002F3CF4" w:rsidRDefault="00CC3C3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798326AB" w14:textId="77777777" w:rsidR="002F3CF4" w:rsidRDefault="002F3CF4">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p>
    <w:p w14:paraId="376F75F8" w14:textId="77777777" w:rsidR="002F3CF4" w:rsidRDefault="00CC3C36">
      <w:pPr>
        <w:shd w:val="clear" w:color="auto" w:fill="FFFFFF"/>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Causales de improcedencia.  </w:t>
      </w:r>
      <w:r>
        <w:rPr>
          <w:rFonts w:ascii="Palatino Linotype" w:eastAsia="Palatino Linotype" w:hAnsi="Palatino Linotype" w:cs="Palatino Linotype"/>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w:t>
      </w:r>
      <w:r>
        <w:rPr>
          <w:rFonts w:ascii="Palatino Linotype" w:eastAsia="Palatino Linotype" w:hAnsi="Palatino Linotype" w:cs="Palatino Linotype"/>
        </w:rPr>
        <w:lastRenderedPageBreak/>
        <w:t>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r>
        <w:rPr>
          <w:rFonts w:ascii="Palatino Linotype" w:eastAsia="Palatino Linotype" w:hAnsi="Palatino Linotype" w:cs="Palatino Linotype"/>
          <w:b/>
        </w:rPr>
        <w:t>.</w:t>
      </w:r>
    </w:p>
    <w:p w14:paraId="4A0D6AB5" w14:textId="77777777" w:rsidR="002F3CF4" w:rsidRDefault="00CC3C3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 </w:t>
      </w:r>
      <w:r>
        <w:rPr>
          <w:rFonts w:ascii="Palatino Linotype" w:eastAsia="Palatino Linotype" w:hAnsi="Palatino Linotype" w:cs="Palatino Linotype"/>
        </w:rPr>
        <w:t>En el presente caso, en el análisis oficioso del Recurso de Revisión no se previó una causal de improcedencia; sin embargo, una vez admitido el Recurso de Revisión y en su estudio a detalle, este Organismo Garante advierte que surgió una causal de improcedencia, prevista en el artículo 191 fracción III de la Ley de Transparencia y Acceso a la Información Pública del Estado de México y Municipios; artículo que a la letra dispone:</w:t>
      </w:r>
    </w:p>
    <w:p w14:paraId="7FC383C2" w14:textId="77777777" w:rsidR="002F3CF4" w:rsidRDefault="00CC3C36">
      <w:pPr>
        <w:shd w:val="clear" w:color="auto" w:fill="FFFFFF"/>
        <w:spacing w:before="240" w:after="240" w:line="276" w:lineRule="auto"/>
        <w:ind w:lef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191. El recurso será desechado por improcedente cuando:</w:t>
      </w:r>
    </w:p>
    <w:p w14:paraId="0AA299CC" w14:textId="77777777" w:rsidR="002F3CF4" w:rsidRDefault="00CC3C36">
      <w:pPr>
        <w:shd w:val="clear" w:color="auto" w:fill="FFFFFF"/>
        <w:spacing w:before="240" w:after="240" w:line="276" w:lineRule="auto"/>
        <w:ind w:lef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al II…</w:t>
      </w:r>
    </w:p>
    <w:p w14:paraId="1AF2E561" w14:textId="77777777" w:rsidR="002F3CF4" w:rsidRDefault="00CC3C36">
      <w:pPr>
        <w:shd w:val="clear" w:color="auto" w:fill="FFFFFF"/>
        <w:spacing w:before="240" w:after="240" w:line="276" w:lineRule="auto"/>
        <w:ind w:lef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No actualice alguno de los supuestos previstos en la presente Ley;</w:t>
      </w:r>
    </w:p>
    <w:p w14:paraId="73566B8A" w14:textId="77777777" w:rsidR="002F3CF4" w:rsidRDefault="00CC3C36">
      <w:pPr>
        <w:shd w:val="clear" w:color="auto" w:fill="FFFFFF"/>
        <w:spacing w:before="240" w:after="240" w:line="276" w:lineRule="auto"/>
        <w:ind w:lef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55687AE7" w14:textId="77777777" w:rsidR="002F3CF4" w:rsidRDefault="00CC3C3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de lo anterior, se procede a analizar las cuestiones de hecho que dieron lugar a la improcedencia en concordancia con el apartado de causales de sobreseimiento.</w:t>
      </w:r>
    </w:p>
    <w:p w14:paraId="243FCDCE" w14:textId="77777777" w:rsidR="002F3CF4" w:rsidRDefault="00CC3C3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Análisis de las causales de Sobreseimiento del Recurso de Revisión.</w:t>
      </w:r>
      <w:r>
        <w:rPr>
          <w:rFonts w:ascii="Palatino Linotype" w:eastAsia="Palatino Linotype" w:hAnsi="Palatino Linotype" w:cs="Palatino Linotype"/>
        </w:rPr>
        <w:t xml:space="preserve"> En este contexto este Órgano Colegiado advierte que, el artículo 192 de la Ley de Transparencia y Acceso a la Información Pública del Estado de México y Municipios, </w:t>
      </w:r>
      <w:r>
        <w:rPr>
          <w:rFonts w:ascii="Palatino Linotype" w:eastAsia="Palatino Linotype" w:hAnsi="Palatino Linotype" w:cs="Palatino Linotype"/>
        </w:rPr>
        <w:lastRenderedPageBreak/>
        <w:t>que dispone que  el Recurso de Revisión será sobreseído en todo o en partes, cuando, una vez admitido, se actualice alguno de los siguientes supuestos:</w:t>
      </w:r>
    </w:p>
    <w:p w14:paraId="3EC7222A" w14:textId="77777777" w:rsidR="002F3CF4" w:rsidRDefault="00CC3C36">
      <w:pPr>
        <w:spacing w:before="120" w:after="120" w:line="276" w:lineRule="auto"/>
        <w:ind w:left="700" w:right="7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192.</w:t>
      </w:r>
      <w:r>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78768649" w14:textId="77777777" w:rsidR="002F3CF4" w:rsidRDefault="00CC3C36">
      <w:pPr>
        <w:spacing w:before="120" w:after="120" w:line="276" w:lineRule="auto"/>
        <w:ind w:left="7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El Recurrente se desista expresamente;</w:t>
      </w:r>
    </w:p>
    <w:p w14:paraId="760AA756" w14:textId="77777777" w:rsidR="002F3CF4" w:rsidRDefault="00CC3C36">
      <w:pPr>
        <w:spacing w:before="120" w:after="120" w:line="276" w:lineRule="auto"/>
        <w:ind w:left="7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El Recurrente fallezca o, tratándose de personas morales se disuelva;</w:t>
      </w:r>
    </w:p>
    <w:p w14:paraId="11C28229" w14:textId="77777777" w:rsidR="002F3CF4" w:rsidRDefault="00CC3C36">
      <w:pPr>
        <w:spacing w:before="120" w:after="120" w:line="276" w:lineRule="auto"/>
        <w:ind w:left="7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El Sujeto Obligado modifique la respuesta o la revoque, de tal manera que el recurso de revisión quede sin materia;</w:t>
      </w:r>
    </w:p>
    <w:p w14:paraId="6E08125E" w14:textId="77777777" w:rsidR="002F3CF4" w:rsidRDefault="00CC3C36">
      <w:pPr>
        <w:spacing w:before="120" w:after="120" w:line="276" w:lineRule="auto"/>
        <w:ind w:left="700"/>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IV. Admitido el recurso de revisión, aparezca alguna causal de improcedencia; y,</w:t>
      </w:r>
    </w:p>
    <w:p w14:paraId="46B5982F" w14:textId="77777777" w:rsidR="002F3CF4" w:rsidRDefault="00CC3C36">
      <w:pPr>
        <w:spacing w:before="120" w:after="120" w:line="276" w:lineRule="auto"/>
        <w:ind w:left="700"/>
        <w:jc w:val="both"/>
        <w:rPr>
          <w:rFonts w:ascii="Palatino Linotype" w:eastAsia="Palatino Linotype" w:hAnsi="Palatino Linotype" w:cs="Palatino Linotype"/>
          <w:i/>
        </w:rPr>
      </w:pPr>
      <w:r>
        <w:rPr>
          <w:rFonts w:ascii="Palatino Linotype" w:eastAsia="Palatino Linotype" w:hAnsi="Palatino Linotype" w:cs="Palatino Linotype"/>
          <w:i/>
        </w:rPr>
        <w:t>V. Cuando por cualquier motivo quede sin materia el recurso de revisión.</w:t>
      </w:r>
    </w:p>
    <w:p w14:paraId="3F9C1C9D" w14:textId="77777777" w:rsidR="002F3CF4" w:rsidRDefault="00CC3C36">
      <w:pPr>
        <w:spacing w:before="120" w:after="120" w:line="276" w:lineRule="auto"/>
        <w:ind w:left="700"/>
        <w:jc w:val="both"/>
        <w:rPr>
          <w:rFonts w:ascii="Palatino Linotype" w:eastAsia="Palatino Linotype" w:hAnsi="Palatino Linotype" w:cs="Palatino Linotype"/>
          <w:i/>
        </w:rPr>
      </w:pPr>
      <w:r>
        <w:rPr>
          <w:rFonts w:ascii="Palatino Linotype" w:eastAsia="Palatino Linotype" w:hAnsi="Palatino Linotype" w:cs="Palatino Linotype"/>
          <w:i/>
        </w:rPr>
        <w:t xml:space="preserve"> (Énfasis añadido)</w:t>
      </w:r>
    </w:p>
    <w:p w14:paraId="63028F32" w14:textId="06D399AC"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autos que corren agregados al expediente en el que se actúa, no fue posible advertir que el</w:t>
      </w:r>
      <w:r>
        <w:rPr>
          <w:rFonts w:ascii="Palatino Linotype" w:eastAsia="Palatino Linotype" w:hAnsi="Palatino Linotype" w:cs="Palatino Linotype"/>
          <w:b/>
        </w:rPr>
        <w:t xml:space="preserve"> </w:t>
      </w:r>
      <w:r w:rsidR="007D3B9A">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se hubiera desistido, fallecido o que el Sujeto obligado hubiese modificado o revocado su respuesta durante el trámite del presente Recurso, por lo que no se actualizan dichas causales de sobreseimiento.</w:t>
      </w:r>
    </w:p>
    <w:p w14:paraId="743C5B09"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resulta procedente realizar el análisis de la causal de sobreseimiento prevista en la fracción IV, del artículo 92 de la citada Ley, toda vez que conforme a la transcripción que antecede se advierte como causales de sobreseimiento una vez admitido el recurso de revisión </w:t>
      </w:r>
      <w:r>
        <w:rPr>
          <w:rFonts w:ascii="Palatino Linotype" w:eastAsia="Palatino Linotype" w:hAnsi="Palatino Linotype" w:cs="Palatino Linotype"/>
          <w:i/>
        </w:rPr>
        <w:t>aparezca alguna causal de improcedencia</w:t>
      </w:r>
      <w:r>
        <w:rPr>
          <w:rFonts w:ascii="Palatino Linotype" w:eastAsia="Palatino Linotype" w:hAnsi="Palatino Linotype" w:cs="Palatino Linotype"/>
        </w:rPr>
        <w:t>.</w:t>
      </w:r>
    </w:p>
    <w:p w14:paraId="4A7D5B5C"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la finalidad de verificar lo anterior, se realizará la relatoría de las actuaciones efectuadas por las partes durante el procedimiento de acceso a la </w:t>
      </w:r>
      <w:r>
        <w:rPr>
          <w:rFonts w:ascii="Palatino Linotype" w:eastAsia="Palatino Linotype" w:hAnsi="Palatino Linotype" w:cs="Palatino Linotype"/>
        </w:rPr>
        <w:lastRenderedPageBreak/>
        <w:t>información pública con el propósito de dar claridad en el tratamiento del tema en estudio.</w:t>
      </w:r>
    </w:p>
    <w:p w14:paraId="4626B243" w14:textId="4D9A9E1C"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resulta necesario recordar que </w:t>
      </w:r>
      <w:r w:rsidR="007D3B9A">
        <w:rPr>
          <w:rFonts w:ascii="Palatino Linotype" w:eastAsia="Palatino Linotype" w:hAnsi="Palatino Linotype" w:cs="Palatino Linotype"/>
          <w:b/>
        </w:rPr>
        <w:t>El Recurrente</w:t>
      </w:r>
      <w:r w:rsidR="007D3B9A">
        <w:rPr>
          <w:rFonts w:ascii="Palatino Linotype" w:eastAsia="Palatino Linotype" w:hAnsi="Palatino Linotype" w:cs="Palatino Linotype"/>
        </w:rPr>
        <w:t xml:space="preserve"> </w:t>
      </w:r>
      <w:r>
        <w:rPr>
          <w:rFonts w:ascii="Palatino Linotype" w:eastAsia="Palatino Linotype" w:hAnsi="Palatino Linotype" w:cs="Palatino Linotype"/>
        </w:rPr>
        <w:t>solicitó en el ejercicio de su derecho de acceso a la información:</w:t>
      </w:r>
    </w:p>
    <w:p w14:paraId="55918603" w14:textId="77777777" w:rsidR="002F3CF4" w:rsidRDefault="00CC3C36" w:rsidP="004D68C5">
      <w:pPr>
        <w:spacing w:before="240" w:after="240" w:line="276"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u w:val="single"/>
        </w:rPr>
        <w:t xml:space="preserve">Documentos que debió de entregar esta dependencia y que se señalan en la Notificación de Apercibimiento al titular de la unidad de transparencia 06/10/2021; </w:t>
      </w:r>
      <w:r>
        <w:rPr>
          <w:rFonts w:ascii="Palatino Linotype" w:eastAsia="Palatino Linotype" w:hAnsi="Palatino Linotype" w:cs="Palatino Linotype"/>
          <w:i/>
        </w:rPr>
        <w:t>por lo anterior solicito al pleno las medidas de apremio a las que fue acreedor es servidor público responsable así como toda la documental que lo señale..” (sic)</w:t>
      </w:r>
    </w:p>
    <w:p w14:paraId="4ACEFA7B" w14:textId="7E39FCBC"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fundamento en el artículo 159 de la Ley de Transparencia y Acceso a la Información Pública del Estado de México y Municipios</w:t>
      </w:r>
      <w:r>
        <w:rPr>
          <w:rFonts w:ascii="Palatino Linotype" w:eastAsia="Palatino Linotype" w:hAnsi="Palatino Linotype" w:cs="Palatino Linotype"/>
          <w:b/>
        </w:rPr>
        <w:t xml:space="preserve"> </w:t>
      </w:r>
      <w:r w:rsidR="007D3B9A">
        <w:rPr>
          <w:rFonts w:ascii="Palatino Linotype" w:eastAsia="Palatino Linotype" w:hAnsi="Palatino Linotype" w:cs="Palatino Linotype"/>
          <w:b/>
        </w:rPr>
        <w:t>El Sujeto Obligado</w:t>
      </w:r>
      <w:r w:rsidR="007D3B9A">
        <w:rPr>
          <w:rFonts w:ascii="Palatino Linotype" w:eastAsia="Palatino Linotype" w:hAnsi="Palatino Linotype" w:cs="Palatino Linotype"/>
        </w:rPr>
        <w:t xml:space="preserve">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solicitó al recurrente aclarara o complementara su solicitud, en los siguientes términos: </w:t>
      </w:r>
    </w:p>
    <w:p w14:paraId="016C0EEA"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43A97356" wp14:editId="56BA8940">
            <wp:extent cx="5612130" cy="1629624"/>
            <wp:effectExtent l="0" t="0" r="7620" b="889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620730" cy="1632121"/>
                    </a:xfrm>
                    <a:prstGeom prst="rect">
                      <a:avLst/>
                    </a:prstGeom>
                    <a:ln/>
                  </pic:spPr>
                </pic:pic>
              </a:graphicData>
            </a:graphic>
          </wp:inline>
        </w:drawing>
      </w:r>
    </w:p>
    <w:p w14:paraId="2984CC66"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a través del SAIMEX, realizó la aclaración solicitada, de la siguiente manera:</w:t>
      </w:r>
    </w:p>
    <w:p w14:paraId="66A23108" w14:textId="77777777" w:rsidR="002F3CF4" w:rsidRDefault="00CC3C36">
      <w:pPr>
        <w:spacing w:before="240" w:after="240" w:line="276" w:lineRule="auto"/>
        <w:ind w:left="566"/>
        <w:jc w:val="both"/>
        <w:rPr>
          <w:rFonts w:ascii="Palatino Linotype" w:eastAsia="Palatino Linotype" w:hAnsi="Palatino Linotype" w:cs="Palatino Linotype"/>
          <w:i/>
        </w:rPr>
      </w:pPr>
      <w:r>
        <w:rPr>
          <w:rFonts w:ascii="Palatino Linotype" w:eastAsia="Palatino Linotype" w:hAnsi="Palatino Linotype" w:cs="Palatino Linotype"/>
        </w:rPr>
        <w:t xml:space="preserve"> </w:t>
      </w:r>
      <w:r>
        <w:rPr>
          <w:rFonts w:ascii="Palatino Linotype" w:eastAsia="Palatino Linotype" w:hAnsi="Palatino Linotype" w:cs="Palatino Linotype"/>
          <w:i/>
        </w:rPr>
        <w:t>“s</w:t>
      </w:r>
      <w:r>
        <w:rPr>
          <w:rFonts w:ascii="Palatino Linotype" w:eastAsia="Palatino Linotype" w:hAnsi="Palatino Linotype" w:cs="Palatino Linotype"/>
          <w:b/>
          <w:i/>
          <w:u w:val="single"/>
        </w:rPr>
        <w:t xml:space="preserve">e solicita la documental requerida y que ordeno el pelno del infoem que entrega el titular de la ut </w:t>
      </w:r>
      <w:r>
        <w:rPr>
          <w:rFonts w:ascii="Palatino Linotype" w:eastAsia="Palatino Linotype" w:hAnsi="Palatino Linotype" w:cs="Palatino Linotype"/>
          <w:i/>
        </w:rPr>
        <w:t xml:space="preserve">asi mismo el oficio que debio remitir y firmar el titular del </w:t>
      </w:r>
      <w:r>
        <w:rPr>
          <w:rFonts w:ascii="Palatino Linotype" w:eastAsia="Palatino Linotype" w:hAnsi="Palatino Linotype" w:cs="Palatino Linotype"/>
          <w:i/>
        </w:rPr>
        <w:lastRenderedPageBreak/>
        <w:t>sujeto obligado que da cuenta que ordeno al titular de la ut atendiera y diera cumplimiento para no recibir una multa por incompetente” (Sic)</w:t>
      </w:r>
    </w:p>
    <w:p w14:paraId="773FEC49"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Considerando la aclaración realizada por el RECURRENTE, EL SUJETO OBLIGADO</w:t>
      </w:r>
      <w:r>
        <w:rPr>
          <w:rFonts w:ascii="Palatino Linotype" w:eastAsia="Palatino Linotype" w:hAnsi="Palatino Linotype" w:cs="Palatino Linotype"/>
        </w:rPr>
        <w:t>, emite respuesta, en la que considera no fue atendido el escrito de aclaración y/o ampliación, lo cual considera, resulta impreciso para que los sujetos obligados adscritos al Sistema de Transporte Masivo y Teleférico del Estado de México, puedan identificar los documentos que solicita así como la notificación de la apercibimiento a la cual hace referencia en su solicitud de referencia quedando a salvo los derechos del particular para volver a presentar su solicitud.</w:t>
      </w:r>
    </w:p>
    <w:p w14:paraId="6A58B616" w14:textId="18CE1C1D" w:rsidR="002F3CF4" w:rsidRDefault="00CC3C36">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Inconforme, </w:t>
      </w:r>
      <w:r w:rsidR="007D3B9A">
        <w:rPr>
          <w:rFonts w:ascii="Palatino Linotype" w:eastAsia="Palatino Linotype" w:hAnsi="Palatino Linotype" w:cs="Palatino Linotype"/>
          <w:b/>
        </w:rPr>
        <w:t>El Recurrente</w:t>
      </w:r>
      <w:r w:rsidR="007D3B9A">
        <w:rPr>
          <w:rFonts w:ascii="Palatino Linotype" w:eastAsia="Palatino Linotype" w:hAnsi="Palatino Linotype" w:cs="Palatino Linotype"/>
        </w:rPr>
        <w:t xml:space="preserve"> </w:t>
      </w:r>
      <w:r>
        <w:rPr>
          <w:rFonts w:ascii="Palatino Linotype" w:eastAsia="Palatino Linotype" w:hAnsi="Palatino Linotype" w:cs="Palatino Linotype"/>
        </w:rPr>
        <w:t xml:space="preserve">presentó recurso de revisión señalando como acto impugnado y razones o motivos de inconformidaden lo medular: </w:t>
      </w:r>
      <w:r>
        <w:rPr>
          <w:rFonts w:ascii="Palatino Linotype" w:eastAsia="Palatino Linotype" w:hAnsi="Palatino Linotype" w:cs="Palatino Linotype"/>
          <w:i/>
        </w:rPr>
        <w:t xml:space="preserve">“Negativa a responder” </w:t>
      </w:r>
      <w:r>
        <w:rPr>
          <w:rFonts w:ascii="Palatino Linotype" w:eastAsia="Palatino Linotype" w:hAnsi="Palatino Linotype" w:cs="Palatino Linotype"/>
        </w:rPr>
        <w:t>y que</w:t>
      </w:r>
      <w:r>
        <w:t xml:space="preserve"> </w:t>
      </w:r>
      <w:r>
        <w:rPr>
          <w:rFonts w:ascii="Palatino Linotype" w:eastAsia="Palatino Linotype" w:hAnsi="Palatino Linotype" w:cs="Palatino Linotype"/>
          <w:i/>
        </w:rPr>
        <w:t xml:space="preserve">“De forma risible me dicen que atienden el requerimiento y dicen que no saben que información es la que pido, </w:t>
      </w:r>
      <w:r>
        <w:rPr>
          <w:rFonts w:ascii="Palatino Linotype" w:eastAsia="Palatino Linotype" w:hAnsi="Palatino Linotype" w:cs="Palatino Linotype"/>
          <w:i/>
          <w:u w:val="single"/>
        </w:rPr>
        <w:t>sabiendo que ellos en su sistema tiene.</w:t>
      </w:r>
      <w:r>
        <w:rPr>
          <w:rFonts w:ascii="Palatino Linotype" w:eastAsia="Palatino Linotype" w:hAnsi="Palatino Linotype" w:cs="Palatino Linotype"/>
          <w:i/>
        </w:rPr>
        <w:t xml:space="preserve"> Copia de la notificación y que de forma clara no gana acatado, por lo anterior ratifico el recurso de revisión y dejo patente que no atiende lo requerido y </w:t>
      </w:r>
      <w:r>
        <w:rPr>
          <w:rFonts w:ascii="Palatino Linotype" w:eastAsia="Palatino Linotype" w:hAnsi="Palatino Linotype" w:cs="Palatino Linotype"/>
          <w:b/>
          <w:i/>
          <w:u w:val="single"/>
        </w:rPr>
        <w:t xml:space="preserve">menos obedece a lo ordenado por el infoem.” </w:t>
      </w:r>
      <w:r>
        <w:rPr>
          <w:rFonts w:ascii="Palatino Linotype" w:eastAsia="Palatino Linotype" w:hAnsi="Palatino Linotype" w:cs="Palatino Linotype"/>
          <w:i/>
        </w:rPr>
        <w:t>(Sic)</w:t>
      </w:r>
    </w:p>
    <w:p w14:paraId="684E56B6" w14:textId="043B3217" w:rsidR="002F3CF4" w:rsidRDefault="00CC3C36">
      <w:pPr>
        <w:spacing w:before="240" w:after="240"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ello el </w:t>
      </w:r>
      <w:r w:rsidR="007D3B9A">
        <w:rPr>
          <w:rFonts w:ascii="Palatino Linotype" w:eastAsia="Palatino Linotype" w:hAnsi="Palatino Linotype" w:cs="Palatino Linotype"/>
          <w:b/>
        </w:rPr>
        <w:t>Sujeto Obligado</w:t>
      </w:r>
      <w:r w:rsidR="007D3B9A">
        <w:rPr>
          <w:rFonts w:ascii="Palatino Linotype" w:eastAsia="Palatino Linotype" w:hAnsi="Palatino Linotype" w:cs="Palatino Linotype"/>
        </w:rPr>
        <w:t xml:space="preserve">, </w:t>
      </w:r>
      <w:r>
        <w:rPr>
          <w:rFonts w:ascii="Palatino Linotype" w:eastAsia="Palatino Linotype" w:hAnsi="Palatino Linotype" w:cs="Palatino Linotype"/>
        </w:rPr>
        <w:t>envía informe justificado, en el siguiente sentido:</w:t>
      </w:r>
    </w:p>
    <w:p w14:paraId="20617376"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4D304260" wp14:editId="4F6F4CD1">
            <wp:extent cx="5612130" cy="3521798"/>
            <wp:effectExtent l="0" t="0" r="7620" b="254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616885" cy="3524782"/>
                    </a:xfrm>
                    <a:prstGeom prst="rect">
                      <a:avLst/>
                    </a:prstGeom>
                    <a:ln/>
                  </pic:spPr>
                </pic:pic>
              </a:graphicData>
            </a:graphic>
          </wp:inline>
        </w:drawing>
      </w:r>
    </w:p>
    <w:p w14:paraId="55974C8F" w14:textId="2AAFCEF0" w:rsidR="002F3CF4" w:rsidRDefault="00501D15">
      <w:pPr>
        <w:spacing w:before="240" w:after="240" w:line="360" w:lineRule="auto"/>
        <w:jc w:val="both"/>
        <w:rPr>
          <w:rFonts w:ascii="Palatino Linotype" w:eastAsia="Palatino Linotype" w:hAnsi="Palatino Linotype" w:cs="Palatino Linotype"/>
        </w:rPr>
      </w:pPr>
      <w:r>
        <w:rPr>
          <w:noProof/>
        </w:rPr>
        <w:lastRenderedPageBreak/>
        <w:drawing>
          <wp:inline distT="0" distB="0" distL="0" distR="0" wp14:anchorId="35A29259" wp14:editId="0AE2C672">
            <wp:extent cx="5061098" cy="7266291"/>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96" t="20547" r="30276" b="11739"/>
                    <a:stretch/>
                  </pic:blipFill>
                  <pic:spPr bwMode="auto">
                    <a:xfrm>
                      <a:off x="0" y="0"/>
                      <a:ext cx="5082029" cy="7296342"/>
                    </a:xfrm>
                    <a:prstGeom prst="rect">
                      <a:avLst/>
                    </a:prstGeom>
                    <a:ln>
                      <a:noFill/>
                    </a:ln>
                    <a:extLst>
                      <a:ext uri="{53640926-AAD7-44D8-BBD7-CCE9431645EC}">
                        <a14:shadowObscured xmlns:a14="http://schemas.microsoft.com/office/drawing/2010/main"/>
                      </a:ext>
                    </a:extLst>
                  </pic:spPr>
                </pic:pic>
              </a:graphicData>
            </a:graphic>
          </wp:inline>
        </w:drawing>
      </w:r>
    </w:p>
    <w:p w14:paraId="2860E9DC" w14:textId="38E3BC96" w:rsidR="002F3CF4" w:rsidRDefault="002F3CF4">
      <w:pPr>
        <w:spacing w:before="240" w:after="240" w:line="360" w:lineRule="auto"/>
        <w:jc w:val="both"/>
        <w:rPr>
          <w:rFonts w:ascii="Palatino Linotype" w:eastAsia="Palatino Linotype" w:hAnsi="Palatino Linotype" w:cs="Palatino Linotype"/>
        </w:rPr>
      </w:pPr>
      <w:bookmarkStart w:id="0" w:name="_GoBack"/>
      <w:bookmarkEnd w:id="0"/>
    </w:p>
    <w:p w14:paraId="28F86395"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28B919D3" wp14:editId="60207DAE">
            <wp:extent cx="5612130" cy="876300"/>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876300"/>
                    </a:xfrm>
                    <a:prstGeom prst="rect">
                      <a:avLst/>
                    </a:prstGeom>
                    <a:ln/>
                  </pic:spPr>
                </pic:pic>
              </a:graphicData>
            </a:graphic>
          </wp:inline>
        </w:drawing>
      </w:r>
    </w:p>
    <w:p w14:paraId="434E60DB" w14:textId="20B902A7" w:rsidR="00AF665D" w:rsidRPr="002F6AA7"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del análisis realizado a la totalidad de las constancias que obran en el expediente que </w:t>
      </w:r>
      <w:r w:rsidR="004D68C5">
        <w:rPr>
          <w:rFonts w:ascii="Palatino Linotype" w:eastAsia="Palatino Linotype" w:hAnsi="Palatino Linotype" w:cs="Palatino Linotype"/>
        </w:rPr>
        <w:t>dio</w:t>
      </w:r>
      <w:r>
        <w:rPr>
          <w:rFonts w:ascii="Palatino Linotype" w:eastAsia="Palatino Linotype" w:hAnsi="Palatino Linotype" w:cs="Palatino Linotype"/>
        </w:rPr>
        <w:t xml:space="preserve"> origen al  recurso de revisión que ahora se resuelve, el ahora </w:t>
      </w:r>
      <w:r w:rsidR="007D3B9A">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 xml:space="preserve">pretende inconformarse por el </w:t>
      </w:r>
      <w:r w:rsidR="004D68C5">
        <w:rPr>
          <w:rFonts w:ascii="Palatino Linotype" w:eastAsia="Palatino Linotype" w:hAnsi="Palatino Linotype" w:cs="Palatino Linotype"/>
          <w:b/>
          <w:u w:val="single"/>
        </w:rPr>
        <w:t>incumplimiento</w:t>
      </w:r>
      <w:r>
        <w:rPr>
          <w:rFonts w:ascii="Palatino Linotype" w:eastAsia="Palatino Linotype" w:hAnsi="Palatino Linotype" w:cs="Palatino Linotype"/>
          <w:b/>
          <w:u w:val="single"/>
        </w:rPr>
        <w:t xml:space="preserve"> a lo mandatado al </w:t>
      </w:r>
      <w:r w:rsidR="007D3B9A" w:rsidRPr="007D3B9A">
        <w:rPr>
          <w:rFonts w:ascii="Palatino Linotype" w:eastAsia="Palatino Linotype" w:hAnsi="Palatino Linotype" w:cs="Palatino Linotype"/>
          <w:b/>
          <w:u w:val="single"/>
        </w:rPr>
        <w:t xml:space="preserve">Sujeto Obligado </w:t>
      </w:r>
      <w:r>
        <w:rPr>
          <w:rFonts w:ascii="Palatino Linotype" w:eastAsia="Palatino Linotype" w:hAnsi="Palatino Linotype" w:cs="Palatino Linotype"/>
          <w:b/>
          <w:u w:val="single"/>
        </w:rPr>
        <w:t>en diversa Resolución relacionada con la solicitud 00049/STMEM/IP/2021,</w:t>
      </w:r>
      <w:r>
        <w:rPr>
          <w:rFonts w:ascii="Palatino Linotype" w:eastAsia="Palatino Linotype" w:hAnsi="Palatino Linotype" w:cs="Palatino Linotype"/>
        </w:rPr>
        <w:t xml:space="preserve"> </w:t>
      </w:r>
      <w:r w:rsidRPr="002F6AA7">
        <w:rPr>
          <w:rFonts w:ascii="Palatino Linotype" w:eastAsia="Palatino Linotype" w:hAnsi="Palatino Linotype" w:cs="Palatino Linotype"/>
        </w:rPr>
        <w:t>lo anterior se pudo determinar por parte de este Instituto tomando en consideración los datos aportados por el propio particular referentes a</w:t>
      </w:r>
      <w:r w:rsidR="00AF665D" w:rsidRPr="002F6AA7">
        <w:rPr>
          <w:rFonts w:ascii="Palatino Linotype" w:eastAsia="Palatino Linotype" w:hAnsi="Palatino Linotype" w:cs="Palatino Linotype"/>
        </w:rPr>
        <w:t>:</w:t>
      </w:r>
    </w:p>
    <w:p w14:paraId="5F23C2F5" w14:textId="47D171EC" w:rsidR="00AF665D" w:rsidRPr="00B41668" w:rsidRDefault="00AF665D" w:rsidP="002F6AA7">
      <w:pPr>
        <w:spacing w:before="240" w:after="240" w:line="360" w:lineRule="auto"/>
        <w:ind w:left="540"/>
        <w:jc w:val="both"/>
        <w:rPr>
          <w:rFonts w:ascii="Palatino Linotype" w:eastAsia="Palatino Linotype" w:hAnsi="Palatino Linotype" w:cs="Palatino Linotype"/>
        </w:rPr>
      </w:pPr>
      <w:r w:rsidRPr="00B41668">
        <w:rPr>
          <w:rFonts w:ascii="Palatino Linotype" w:eastAsia="Palatino Linotype" w:hAnsi="Palatino Linotype" w:cs="Palatino Linotype"/>
        </w:rPr>
        <w:t xml:space="preserve">1. Al </w:t>
      </w:r>
      <w:r w:rsidRPr="00B41668">
        <w:rPr>
          <w:rFonts w:ascii="Palatino Linotype" w:eastAsia="Palatino Linotype" w:hAnsi="Palatino Linotype" w:cs="Palatino Linotype"/>
          <w:b/>
          <w:bCs/>
        </w:rPr>
        <w:t>Sujeto Obligado;</w:t>
      </w:r>
    </w:p>
    <w:p w14:paraId="4A827F48" w14:textId="7BBC4458" w:rsidR="00AF665D" w:rsidRPr="00B41668" w:rsidRDefault="00AF665D" w:rsidP="002F6AA7">
      <w:pPr>
        <w:spacing w:before="240" w:after="240" w:line="360" w:lineRule="auto"/>
        <w:ind w:left="540"/>
        <w:jc w:val="both"/>
        <w:rPr>
          <w:rFonts w:ascii="Palatino Linotype" w:eastAsia="Palatino Linotype" w:hAnsi="Palatino Linotype" w:cs="Palatino Linotype"/>
        </w:rPr>
      </w:pPr>
      <w:r w:rsidRPr="00B41668">
        <w:rPr>
          <w:rFonts w:ascii="Palatino Linotype" w:eastAsia="Palatino Linotype" w:hAnsi="Palatino Linotype" w:cs="Palatino Linotype"/>
        </w:rPr>
        <w:t>2. L</w:t>
      </w:r>
      <w:r w:rsidR="00CC3C36" w:rsidRPr="00B41668">
        <w:rPr>
          <w:rFonts w:ascii="Palatino Linotype" w:eastAsia="Palatino Linotype" w:hAnsi="Palatino Linotype" w:cs="Palatino Linotype"/>
        </w:rPr>
        <w:t xml:space="preserve">a notificación de un </w:t>
      </w:r>
      <w:r w:rsidR="00B410B6" w:rsidRPr="00B41668">
        <w:rPr>
          <w:rFonts w:ascii="Palatino Linotype" w:eastAsia="Palatino Linotype" w:hAnsi="Palatino Linotype" w:cs="Palatino Linotype"/>
        </w:rPr>
        <w:t>A</w:t>
      </w:r>
      <w:r w:rsidR="00CC3C36" w:rsidRPr="00B41668">
        <w:rPr>
          <w:rFonts w:ascii="Palatino Linotype" w:eastAsia="Palatino Linotype" w:hAnsi="Palatino Linotype" w:cs="Palatino Linotype"/>
        </w:rPr>
        <w:t>percibimiento</w:t>
      </w:r>
      <w:r w:rsidR="00B410B6" w:rsidRPr="00B41668">
        <w:rPr>
          <w:rFonts w:ascii="Palatino Linotype" w:eastAsia="Palatino Linotype" w:hAnsi="Palatino Linotype" w:cs="Palatino Linotype"/>
        </w:rPr>
        <w:t xml:space="preserve"> al Titular de la Unidad de Transparencia</w:t>
      </w:r>
      <w:r w:rsidRPr="00B41668">
        <w:rPr>
          <w:rFonts w:ascii="Palatino Linotype" w:eastAsia="Palatino Linotype" w:hAnsi="Palatino Linotype" w:cs="Palatino Linotype"/>
        </w:rPr>
        <w:t>;</w:t>
      </w:r>
      <w:r w:rsidR="00CC3C36" w:rsidRPr="00B41668">
        <w:rPr>
          <w:rFonts w:ascii="Palatino Linotype" w:eastAsia="Palatino Linotype" w:hAnsi="Palatino Linotype" w:cs="Palatino Linotype"/>
        </w:rPr>
        <w:t xml:space="preserve"> </w:t>
      </w:r>
      <w:r w:rsidR="002F6AA7" w:rsidRPr="00B41668">
        <w:rPr>
          <w:rFonts w:ascii="Palatino Linotype" w:eastAsia="Palatino Linotype" w:hAnsi="Palatino Linotype" w:cs="Palatino Linotype"/>
        </w:rPr>
        <w:t>y</w:t>
      </w:r>
    </w:p>
    <w:p w14:paraId="466C7EB0" w14:textId="356C1860" w:rsidR="00AF665D" w:rsidRPr="00B41668" w:rsidRDefault="00AF665D" w:rsidP="002F6AA7">
      <w:pPr>
        <w:spacing w:before="240" w:after="240" w:line="360" w:lineRule="auto"/>
        <w:ind w:left="540"/>
        <w:jc w:val="both"/>
        <w:rPr>
          <w:rFonts w:ascii="Palatino Linotype" w:eastAsia="Palatino Linotype" w:hAnsi="Palatino Linotype" w:cs="Palatino Linotype"/>
        </w:rPr>
      </w:pPr>
      <w:r w:rsidRPr="00B41668">
        <w:rPr>
          <w:rFonts w:ascii="Palatino Linotype" w:eastAsia="Palatino Linotype" w:hAnsi="Palatino Linotype" w:cs="Palatino Linotype"/>
        </w:rPr>
        <w:t>3. L</w:t>
      </w:r>
      <w:r w:rsidR="00CC3C36" w:rsidRPr="00B41668">
        <w:rPr>
          <w:rFonts w:ascii="Palatino Linotype" w:eastAsia="Palatino Linotype" w:hAnsi="Palatino Linotype" w:cs="Palatino Linotype"/>
        </w:rPr>
        <w:t xml:space="preserve">a fecha </w:t>
      </w:r>
      <w:r w:rsidRPr="00B41668">
        <w:rPr>
          <w:rFonts w:ascii="Palatino Linotype" w:eastAsia="Palatino Linotype" w:hAnsi="Palatino Linotype" w:cs="Palatino Linotype"/>
        </w:rPr>
        <w:t xml:space="preserve">aportada por el Recurrente </w:t>
      </w:r>
      <w:r w:rsidR="00CC3C36" w:rsidRPr="00B41668">
        <w:rPr>
          <w:rFonts w:ascii="Palatino Linotype" w:eastAsia="Palatino Linotype" w:hAnsi="Palatino Linotype" w:cs="Palatino Linotype"/>
        </w:rPr>
        <w:t xml:space="preserve">en la </w:t>
      </w:r>
      <w:r w:rsidRPr="00B41668">
        <w:rPr>
          <w:rFonts w:ascii="Palatino Linotype" w:eastAsia="Palatino Linotype" w:hAnsi="Palatino Linotype" w:cs="Palatino Linotype"/>
        </w:rPr>
        <w:t>solicitud de información que correponde al diez de octubre de dos mil veintiuno</w:t>
      </w:r>
      <w:r w:rsidR="002F6AA7" w:rsidRPr="00B41668">
        <w:rPr>
          <w:rFonts w:ascii="Palatino Linotype" w:eastAsia="Palatino Linotype" w:hAnsi="Palatino Linotype" w:cs="Palatino Linotype"/>
        </w:rPr>
        <w:t>.</w:t>
      </w:r>
    </w:p>
    <w:p w14:paraId="5C11099E" w14:textId="2F01105F" w:rsidR="002F3CF4" w:rsidRPr="00B41668" w:rsidRDefault="00AF665D">
      <w:pPr>
        <w:spacing w:before="240" w:after="240" w:line="360" w:lineRule="auto"/>
        <w:jc w:val="both"/>
        <w:rPr>
          <w:rFonts w:ascii="Palatino Linotype" w:eastAsia="Palatino Linotype" w:hAnsi="Palatino Linotype" w:cs="Palatino Linotype"/>
        </w:rPr>
      </w:pPr>
      <w:r w:rsidRPr="00B41668">
        <w:rPr>
          <w:rFonts w:ascii="Palatino Linotype" w:eastAsia="Palatino Linotype" w:hAnsi="Palatino Linotype" w:cs="Palatino Linotype"/>
        </w:rPr>
        <w:t>Por lo que de la consulta al SAIMEX, espec</w:t>
      </w:r>
      <w:r w:rsidR="002F6AA7" w:rsidRPr="00B41668">
        <w:rPr>
          <w:rFonts w:ascii="Palatino Linotype" w:eastAsia="Palatino Linotype" w:hAnsi="Palatino Linotype" w:cs="Palatino Linotype"/>
        </w:rPr>
        <w:t>í</w:t>
      </w:r>
      <w:r w:rsidRPr="00B41668">
        <w:rPr>
          <w:rFonts w:ascii="Palatino Linotype" w:eastAsia="Palatino Linotype" w:hAnsi="Palatino Linotype" w:cs="Palatino Linotype"/>
        </w:rPr>
        <w:t xml:space="preserve">ficamente lo correspondiente al  </w:t>
      </w:r>
      <w:r w:rsidRPr="00B41668">
        <w:rPr>
          <w:rFonts w:ascii="Palatino Linotype" w:eastAsia="Palatino Linotype" w:hAnsi="Palatino Linotype" w:cs="Palatino Linotype"/>
          <w:b/>
          <w:bCs/>
        </w:rPr>
        <w:t xml:space="preserve">Sujeto Obligado </w:t>
      </w:r>
      <w:r w:rsidRPr="00B41668">
        <w:rPr>
          <w:rFonts w:ascii="Palatino Linotype" w:eastAsia="Palatino Linotype" w:hAnsi="Palatino Linotype" w:cs="Palatino Linotype"/>
        </w:rPr>
        <w:t xml:space="preserve">y al año dos mil veintiuno, se advierte que solo se presentaron diez recursos de revisión al </w:t>
      </w:r>
      <w:r w:rsidRPr="00B41668">
        <w:rPr>
          <w:rFonts w:ascii="Palatino Linotype" w:eastAsia="Palatino Linotype" w:hAnsi="Palatino Linotype" w:cs="Palatino Linotype"/>
          <w:b/>
        </w:rPr>
        <w:t xml:space="preserve">Sujeto Obligado </w:t>
      </w:r>
      <w:r w:rsidRPr="00B41668">
        <w:rPr>
          <w:rFonts w:ascii="Palatino Linotype" w:eastAsia="Palatino Linotype" w:hAnsi="Palatino Linotype" w:cs="Palatino Linotype"/>
        </w:rPr>
        <w:t xml:space="preserve">y </w:t>
      </w:r>
      <w:r w:rsidRPr="00B41668">
        <w:rPr>
          <w:rFonts w:ascii="Palatino Linotype" w:eastAsia="Palatino Linotype" w:hAnsi="Palatino Linotype" w:cs="Palatino Linotype"/>
          <w:b/>
          <w:u w:val="single"/>
        </w:rPr>
        <w:t>solo en un caso,</w:t>
      </w:r>
      <w:r w:rsidRPr="00B41668">
        <w:rPr>
          <w:rFonts w:ascii="Palatino Linotype" w:eastAsia="Palatino Linotype" w:hAnsi="Palatino Linotype" w:cs="Palatino Linotype"/>
          <w:b/>
        </w:rPr>
        <w:t xml:space="preserve">  se emitió acuerdo de apercibimiento al Titular de la Unidad de Transparencia,</w:t>
      </w:r>
      <w:r w:rsidRPr="00B41668">
        <w:rPr>
          <w:rFonts w:ascii="Palatino Linotype" w:eastAsia="Palatino Linotype" w:hAnsi="Palatino Linotype" w:cs="Palatino Linotype"/>
          <w:bCs/>
        </w:rPr>
        <w:t xml:space="preserve"> mismo que se relaciona con la solicitud antes referida y con el ahora</w:t>
      </w:r>
      <w:r w:rsidRPr="00B41668">
        <w:rPr>
          <w:rFonts w:ascii="Palatino Linotype" w:eastAsia="Palatino Linotype" w:hAnsi="Palatino Linotype" w:cs="Palatino Linotype"/>
          <w:b/>
        </w:rPr>
        <w:t xml:space="preserve"> Recurrente</w:t>
      </w:r>
      <w:r w:rsidR="002F6AA7" w:rsidRPr="00B41668">
        <w:rPr>
          <w:rFonts w:ascii="Palatino Linotype" w:eastAsia="Palatino Linotype" w:hAnsi="Palatino Linotype" w:cs="Palatino Linotype"/>
          <w:b/>
        </w:rPr>
        <w:t xml:space="preserve"> </w:t>
      </w:r>
      <w:r w:rsidR="002F6AA7" w:rsidRPr="00B41668">
        <w:rPr>
          <w:rFonts w:ascii="Palatino Linotype" w:eastAsia="Palatino Linotype" w:hAnsi="Palatino Linotype" w:cs="Palatino Linotype"/>
          <w:bCs/>
        </w:rPr>
        <w:t>y que  en atención a la fecha proporcionada por el Recurrente</w:t>
      </w:r>
      <w:r w:rsidR="002F6AA7" w:rsidRPr="00B41668">
        <w:rPr>
          <w:rFonts w:ascii="Palatino Linotype" w:eastAsia="Palatino Linotype" w:hAnsi="Palatino Linotype" w:cs="Palatino Linotype"/>
          <w:b/>
        </w:rPr>
        <w:t xml:space="preserve"> (</w:t>
      </w:r>
      <w:r w:rsidR="002F6AA7" w:rsidRPr="00B41668">
        <w:rPr>
          <w:rFonts w:ascii="Palatino Linotype" w:eastAsia="Palatino Linotype" w:hAnsi="Palatino Linotype" w:cs="Palatino Linotype"/>
        </w:rPr>
        <w:t xml:space="preserve">diez de octubre de dos mil veintiuno) esta </w:t>
      </w:r>
      <w:r w:rsidR="00AA32BE" w:rsidRPr="00B41668">
        <w:rPr>
          <w:rFonts w:ascii="Palatino Linotype" w:eastAsia="Palatino Linotype" w:hAnsi="Palatino Linotype" w:cs="Palatino Linotype"/>
        </w:rPr>
        <w:lastRenderedPageBreak/>
        <w:t>corresponde a</w:t>
      </w:r>
      <w:r w:rsidRPr="00B41668">
        <w:rPr>
          <w:rFonts w:ascii="Palatino Linotype" w:eastAsia="Palatino Linotype" w:hAnsi="Palatino Linotype" w:cs="Palatino Linotype"/>
        </w:rPr>
        <w:t xml:space="preserve"> la</w:t>
      </w:r>
      <w:r w:rsidR="002F6AA7" w:rsidRPr="00B41668">
        <w:rPr>
          <w:rFonts w:ascii="Palatino Linotype" w:eastAsia="Palatino Linotype" w:hAnsi="Palatino Linotype" w:cs="Palatino Linotype"/>
        </w:rPr>
        <w:t xml:space="preserve"> que se encuentra en el </w:t>
      </w:r>
      <w:r w:rsidR="007D3B9A" w:rsidRPr="00B41668">
        <w:rPr>
          <w:rFonts w:ascii="Palatino Linotype" w:eastAsia="Palatino Linotype" w:hAnsi="Palatino Linotype" w:cs="Palatino Linotype"/>
        </w:rPr>
        <w:t>e</w:t>
      </w:r>
      <w:r w:rsidR="002F6AA7" w:rsidRPr="00B41668">
        <w:rPr>
          <w:rFonts w:ascii="Palatino Linotype" w:eastAsia="Palatino Linotype" w:hAnsi="Palatino Linotype" w:cs="Palatino Linotype"/>
        </w:rPr>
        <w:t>status</w:t>
      </w:r>
      <w:r w:rsidR="007D3B9A" w:rsidRPr="00B41668">
        <w:rPr>
          <w:rFonts w:ascii="Palatino Linotype" w:eastAsia="Palatino Linotype" w:hAnsi="Palatino Linotype" w:cs="Palatino Linotype"/>
        </w:rPr>
        <w:t xml:space="preserve"> como</w:t>
      </w:r>
      <w:r w:rsidR="002F6AA7" w:rsidRPr="00B41668">
        <w:rPr>
          <w:rFonts w:ascii="Palatino Linotype" w:eastAsia="Palatino Linotype" w:hAnsi="Palatino Linotype" w:cs="Palatino Linotype"/>
        </w:rPr>
        <w:t>:</w:t>
      </w:r>
      <w:r w:rsidR="00AA32BE" w:rsidRPr="00B41668">
        <w:rPr>
          <w:rFonts w:ascii="Palatino Linotype" w:eastAsia="Palatino Linotype" w:hAnsi="Palatino Linotype" w:cs="Palatino Linotype"/>
        </w:rPr>
        <w:t xml:space="preserve"> </w:t>
      </w:r>
      <w:r w:rsidRPr="00B41668">
        <w:rPr>
          <w:rFonts w:ascii="Palatino Linotype" w:eastAsia="Palatino Linotype" w:hAnsi="Palatino Linotype" w:cs="Palatino Linotype"/>
        </w:rPr>
        <w:t>Respuesta al recurso de revisión o entrega de información</w:t>
      </w:r>
      <w:r w:rsidR="002F6AA7" w:rsidRPr="00B41668">
        <w:rPr>
          <w:rFonts w:ascii="Palatino Linotype" w:eastAsia="Palatino Linotype" w:hAnsi="Palatino Linotype" w:cs="Palatino Linotype"/>
        </w:rPr>
        <w:t>,</w:t>
      </w:r>
      <w:r w:rsidR="007D3B9A" w:rsidRPr="00B41668">
        <w:rPr>
          <w:rFonts w:ascii="Palatino Linotype" w:eastAsia="Palatino Linotype" w:hAnsi="Palatino Linotype" w:cs="Palatino Linotype"/>
        </w:rPr>
        <w:t xml:space="preserve"> y cuyo seguimiento general en el estatus culmina con la Notificación de Apercibimiento al titular de la unidad de transparencia.</w:t>
      </w:r>
    </w:p>
    <w:p w14:paraId="14AADEF9" w14:textId="77777777" w:rsidR="002F3CF4" w:rsidRDefault="00CC3C36">
      <w:pPr>
        <w:spacing w:before="240" w:after="240" w:line="360" w:lineRule="auto"/>
        <w:jc w:val="both"/>
        <w:rPr>
          <w:rFonts w:ascii="Palatino Linotype" w:eastAsia="Palatino Linotype" w:hAnsi="Palatino Linotype" w:cs="Palatino Linotype"/>
        </w:rPr>
      </w:pPr>
      <w:r w:rsidRPr="00B41668">
        <w:rPr>
          <w:rFonts w:ascii="Palatino Linotype" w:eastAsia="Palatino Linotype" w:hAnsi="Palatino Linotype" w:cs="Palatino Linotype"/>
        </w:rPr>
        <w:t>Por lo que, la inconformidad por el incumpli</w:t>
      </w:r>
      <w:r>
        <w:rPr>
          <w:rFonts w:ascii="Palatino Linotype" w:eastAsia="Palatino Linotype" w:hAnsi="Palatino Linotype" w:cs="Palatino Linotype"/>
        </w:rPr>
        <w:t>miento a la resolución antes referida,  es inatendible a través del presente recurso de revisión, por lo cual no se actualiza ninguna causal de procedencia de las establecidas en el artículo 179 de la Ley en la materia.</w:t>
      </w:r>
    </w:p>
    <w:p w14:paraId="7A38B17F" w14:textId="57983BAE"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conviene señalar que, no se deja en estado de indefensión al </w:t>
      </w:r>
      <w:r w:rsidR="007D3B9A">
        <w:rPr>
          <w:rFonts w:ascii="Palatino Linotype" w:eastAsia="Palatino Linotype" w:hAnsi="Palatino Linotype" w:cs="Palatino Linotype"/>
          <w:b/>
        </w:rPr>
        <w:t>Recurrente</w:t>
      </w:r>
      <w:r>
        <w:rPr>
          <w:rFonts w:ascii="Palatino Linotype" w:eastAsia="Palatino Linotype" w:hAnsi="Palatino Linotype" w:cs="Palatino Linotype"/>
        </w:rPr>
        <w:t>, toda vez que este Órgano Garante da puntual seguimiento al cumplimiento que los sujetos obligados brinden a las resoluciones recaídas a los recursos de revisión,  lo anterior en términos de lo que refiere la Ley de Transparencia y Acceso a la Información Pública del Estado de México y Municipios en sus artículos 198 y 200, los cuales, a la letra establecen:</w:t>
      </w:r>
    </w:p>
    <w:p w14:paraId="6BFE5A6F" w14:textId="77777777" w:rsidR="002F3CF4" w:rsidRDefault="00CC3C36">
      <w:pPr>
        <w:spacing w:before="240" w:after="240" w:line="360" w:lineRule="auto"/>
        <w:ind w:left="700"/>
        <w:jc w:val="both"/>
        <w:rPr>
          <w:rFonts w:ascii="Palatino Linotype" w:eastAsia="Palatino Linotype" w:hAnsi="Palatino Linotype" w:cs="Palatino Linotype"/>
          <w:i/>
        </w:rPr>
      </w:pPr>
      <w:r>
        <w:rPr>
          <w:rFonts w:ascii="Palatino Linotype" w:eastAsia="Palatino Linotype" w:hAnsi="Palatino Linotype" w:cs="Palatino Linotype"/>
          <w:b/>
          <w:i/>
          <w:sz w:val="22"/>
          <w:szCs w:val="22"/>
        </w:rPr>
        <w:t xml:space="preserve"> Artículo 199.</w:t>
      </w:r>
      <w:r>
        <w:rPr>
          <w:rFonts w:ascii="Palatino Linotype" w:eastAsia="Palatino Linotype" w:hAnsi="Palatino Linotype" w:cs="Palatino Linotype"/>
          <w:i/>
        </w:rPr>
        <w:t xml:space="preserve"> Transcurrido el plazo señalado en el artículo anterior, el sujeto obligado deberá rendir informe al Instituto sobre el cumplimento de la resolución.</w:t>
      </w:r>
    </w:p>
    <w:p w14:paraId="17E03390" w14:textId="77777777" w:rsidR="002F3CF4" w:rsidRDefault="00CC3C36">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El Instituto verificará de oficio la calidad de la información y, a más tardar al día siguiente de recibir el informe, dará vista al recurrente para que, dentro de los cinco días hábiles siguientes, manifieste lo que a su derecho convenga.</w:t>
      </w:r>
    </w:p>
    <w:p w14:paraId="0F26C9B2" w14:textId="77777777" w:rsidR="002F3CF4" w:rsidRDefault="00CC3C36">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Si dentro del plazo señalado el recurrente manifiesta que el cumplimiento no corresponde a lo ordenado por el Instituto, deberá expresar las causas específicas por las cuales así lo considera.</w:t>
      </w:r>
    </w:p>
    <w:p w14:paraId="5E1475D9" w14:textId="77777777" w:rsidR="002F3CF4" w:rsidRDefault="00CC3C36">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200.</w:t>
      </w:r>
      <w:r>
        <w:rPr>
          <w:rFonts w:ascii="Palatino Linotype" w:eastAsia="Palatino Linotype" w:hAnsi="Palatino Linotype" w:cs="Palatino Linotype"/>
          <w:i/>
        </w:rPr>
        <w:t xml:space="preserve"> El Instituto deberá pronunciarse, en un plazo no mayor a cinco días hábiles, sobre todas las causas que el recurrente manifieste así como del resultado de la verificación realizada. Si el Instituto considera que se dio cumplimiento a la resolución, emitirá un acuerdo de cumplimiento y se ordenará el archivo del expediente. En caso contrario, el Instituto:</w:t>
      </w:r>
    </w:p>
    <w:p w14:paraId="51F9EAE9" w14:textId="77777777" w:rsidR="002F3CF4" w:rsidRDefault="00CC3C36">
      <w:pPr>
        <w:shd w:val="clear" w:color="auto" w:fill="FFFFFF"/>
        <w:spacing w:before="240" w:line="360" w:lineRule="auto"/>
        <w:ind w:left="2160" w:hanging="720"/>
        <w:jc w:val="both"/>
        <w:rPr>
          <w:rFonts w:ascii="Palatino Linotype" w:eastAsia="Palatino Linotype" w:hAnsi="Palatino Linotype" w:cs="Palatino Linotype"/>
          <w:i/>
        </w:rPr>
      </w:pPr>
      <w:r>
        <w:rPr>
          <w:rFonts w:ascii="Palatino Linotype" w:eastAsia="Palatino Linotype" w:hAnsi="Palatino Linotype" w:cs="Palatino Linotype"/>
          <w:i/>
        </w:rPr>
        <w:t>I.</w:t>
      </w:r>
      <w:r>
        <w:rPr>
          <w:sz w:val="14"/>
          <w:szCs w:val="14"/>
        </w:rPr>
        <w:t xml:space="preserve">               </w:t>
      </w:r>
      <w:r>
        <w:rPr>
          <w:rFonts w:ascii="Palatino Linotype" w:eastAsia="Palatino Linotype" w:hAnsi="Palatino Linotype" w:cs="Palatino Linotype"/>
          <w:i/>
        </w:rPr>
        <w:t>Emitirá un acuerdo de incumplimiento;</w:t>
      </w:r>
    </w:p>
    <w:p w14:paraId="7BB5C7C1" w14:textId="77777777" w:rsidR="002F3CF4" w:rsidRDefault="00CC3C36">
      <w:pPr>
        <w:shd w:val="clear" w:color="auto" w:fill="FFFFFF"/>
        <w:spacing w:before="240" w:after="240" w:line="360" w:lineRule="auto"/>
        <w:ind w:left="2160" w:hanging="720"/>
        <w:jc w:val="both"/>
        <w:rPr>
          <w:rFonts w:ascii="Palatino Linotype" w:eastAsia="Palatino Linotype" w:hAnsi="Palatino Linotype" w:cs="Palatino Linotype"/>
          <w:i/>
        </w:rPr>
      </w:pPr>
      <w:r>
        <w:rPr>
          <w:rFonts w:ascii="Palatino Linotype" w:eastAsia="Palatino Linotype" w:hAnsi="Palatino Linotype" w:cs="Palatino Linotype"/>
          <w:i/>
        </w:rPr>
        <w:t>II.</w:t>
      </w:r>
      <w:r>
        <w:rPr>
          <w:sz w:val="14"/>
          <w:szCs w:val="14"/>
        </w:rPr>
        <w:t xml:space="preserve">             </w:t>
      </w:r>
      <w:r>
        <w:rPr>
          <w:rFonts w:ascii="Palatino Linotype" w:eastAsia="Palatino Linotype" w:hAnsi="Palatino Linotype" w:cs="Palatino Linotype"/>
          <w:i/>
        </w:rPr>
        <w:t>Notificará al superior jerárquico del responsable de dar cumplimiento, para el efecto de que, en un plazo no mayor a cinco días hábiles, se dé cumplimiento a la resolución, bajo el apercibimiento que de no demostrar que dio la orden, se le impondrá a su titular una medida de apremio en los términos señalados en esta Ley, además de que incurrirá en las mismas responsabilidades del servidor público inferior; y</w:t>
      </w:r>
    </w:p>
    <w:p w14:paraId="07BD3286" w14:textId="77777777" w:rsidR="002F3CF4" w:rsidRDefault="00CC3C36">
      <w:pPr>
        <w:shd w:val="clear" w:color="auto" w:fill="FFFFFF"/>
        <w:spacing w:before="240" w:after="240" w:line="360" w:lineRule="auto"/>
        <w:ind w:left="2160" w:hanging="720"/>
        <w:jc w:val="both"/>
        <w:rPr>
          <w:rFonts w:ascii="Palatino Linotype" w:eastAsia="Palatino Linotype" w:hAnsi="Palatino Linotype" w:cs="Palatino Linotype"/>
          <w:i/>
        </w:rPr>
      </w:pPr>
      <w:r>
        <w:rPr>
          <w:rFonts w:ascii="Palatino Linotype" w:eastAsia="Palatino Linotype" w:hAnsi="Palatino Linotype" w:cs="Palatino Linotype"/>
          <w:i/>
        </w:rPr>
        <w:t>III.</w:t>
      </w:r>
      <w:r>
        <w:rPr>
          <w:sz w:val="14"/>
          <w:szCs w:val="14"/>
        </w:rPr>
        <w:t xml:space="preserve">           </w:t>
      </w:r>
      <w:r>
        <w:rPr>
          <w:rFonts w:ascii="Palatino Linotype" w:eastAsia="Palatino Linotype" w:hAnsi="Palatino Linotype" w:cs="Palatino Linotype"/>
          <w:i/>
        </w:rPr>
        <w:t>Determinará las medidas de apremio o sanciones, según corresponda, que deberán imponerse o las acciones procedentes que deberán aplicarse, de conformidad con lo señalado en el siguiente Título.</w:t>
      </w:r>
    </w:p>
    <w:p w14:paraId="0047F874" w14:textId="77777777" w:rsidR="002F3CF4" w:rsidRDefault="00CC3C36">
      <w:pPr>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 xml:space="preserve"> El servidor público requerido como superior jerárquico incurre en responsabilidad por falta de cumplimiento de la resolución, en los mismos términos en que incurrió el servidor público originalmente obligado.</w:t>
      </w:r>
    </w:p>
    <w:p w14:paraId="64132F56" w14:textId="77777777" w:rsidR="002F3CF4" w:rsidRDefault="00CC3C36">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 xml:space="preserve">Todos los servidores públicos que tengan o deban tener intervención en el cumplimiento de la resolución, están obligados a realizar, dentro del ámbito de su </w:t>
      </w:r>
      <w:r>
        <w:rPr>
          <w:rFonts w:ascii="Palatino Linotype" w:eastAsia="Palatino Linotype" w:hAnsi="Palatino Linotype" w:cs="Palatino Linotype"/>
          <w:i/>
        </w:rPr>
        <w:lastRenderedPageBreak/>
        <w:t>competencia, los actos necesarios para su eficaz cumplimiento y estarán sujetos a las mismas responsabilidades a que alude esta Ley.</w:t>
      </w:r>
    </w:p>
    <w:p w14:paraId="4F0BF519" w14:textId="77777777" w:rsidR="002F3CF4" w:rsidRDefault="00CC3C3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existe un procedimiento específico para dar seguimiento al cumplimiento a lo resuelto por este Órgano Garante en materia de Recursos de Revisión, así como, un proceso a seguir en el caso del incumplimiento de estas.  </w:t>
      </w:r>
    </w:p>
    <w:p w14:paraId="18C695CD"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resulta de observancia lo establecido en la fracción III del artículo 191, y fracción IV del artículo 192 de la Ley de Transparencia y Acceso a la Información Pública del Estado de México y Municipios vigente, que a la letra señalan:</w:t>
      </w:r>
    </w:p>
    <w:p w14:paraId="156DAB86" w14:textId="77777777" w:rsidR="002F3CF4" w:rsidRDefault="00CC3C36" w:rsidP="004D68C5">
      <w:pPr>
        <w:spacing w:line="276" w:lineRule="auto"/>
        <w:ind w:left="700"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14:paraId="2B59E330" w14:textId="77777777" w:rsidR="002F3CF4" w:rsidRPr="00B41668" w:rsidRDefault="00CC3C36" w:rsidP="00B41668">
      <w:pPr>
        <w:spacing w:line="276" w:lineRule="auto"/>
        <w:ind w:left="700" w:right="918"/>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b/>
          <w:i/>
          <w:sz w:val="22"/>
          <w:szCs w:val="22"/>
        </w:rPr>
        <w:t>Artículo 191.</w:t>
      </w:r>
      <w:r w:rsidRPr="00B41668">
        <w:rPr>
          <w:rFonts w:ascii="Palatino Linotype" w:eastAsia="Palatino Linotype" w:hAnsi="Palatino Linotype" w:cs="Palatino Linotype"/>
          <w:i/>
          <w:sz w:val="22"/>
          <w:szCs w:val="22"/>
        </w:rPr>
        <w:t xml:space="preserve"> El recurso será desechado por improcedente cuando:</w:t>
      </w:r>
    </w:p>
    <w:p w14:paraId="326D620F" w14:textId="77777777" w:rsidR="002F3CF4" w:rsidRPr="00B41668" w:rsidRDefault="00CC3C36" w:rsidP="00B41668">
      <w:pPr>
        <w:spacing w:before="240" w:after="240" w:line="276" w:lineRule="auto"/>
        <w:ind w:left="360" w:right="918" w:firstLine="360"/>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i/>
          <w:sz w:val="22"/>
          <w:szCs w:val="22"/>
        </w:rPr>
        <w:t>[…]</w:t>
      </w:r>
    </w:p>
    <w:p w14:paraId="2957A714" w14:textId="77777777" w:rsidR="002F3CF4" w:rsidRPr="00B41668" w:rsidRDefault="00CC3C36" w:rsidP="00B41668">
      <w:pPr>
        <w:spacing w:before="240" w:after="240" w:line="276" w:lineRule="auto"/>
        <w:ind w:left="360" w:right="918" w:firstLine="360"/>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i/>
          <w:sz w:val="22"/>
          <w:szCs w:val="22"/>
        </w:rPr>
        <w:t>III. No se actualice alguno de los supuestos previstos en la presente Ley;</w:t>
      </w:r>
    </w:p>
    <w:p w14:paraId="22B164A3" w14:textId="77777777" w:rsidR="002F3CF4" w:rsidRPr="00B41668" w:rsidRDefault="00CC3C36" w:rsidP="00B41668">
      <w:pPr>
        <w:spacing w:line="276" w:lineRule="auto"/>
        <w:ind w:left="700" w:right="918"/>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i/>
          <w:sz w:val="22"/>
          <w:szCs w:val="22"/>
        </w:rPr>
        <w:t>[…]</w:t>
      </w:r>
    </w:p>
    <w:p w14:paraId="0A6E87CD" w14:textId="77777777" w:rsidR="002F3CF4" w:rsidRPr="00B41668" w:rsidRDefault="00CC3C36" w:rsidP="00B41668">
      <w:pPr>
        <w:spacing w:line="276" w:lineRule="auto"/>
        <w:ind w:left="700" w:right="918"/>
        <w:jc w:val="both"/>
        <w:rPr>
          <w:rFonts w:ascii="Palatino Linotype" w:eastAsia="Palatino Linotype" w:hAnsi="Palatino Linotype" w:cs="Palatino Linotype"/>
          <w:b/>
          <w:i/>
          <w:sz w:val="22"/>
          <w:szCs w:val="22"/>
        </w:rPr>
      </w:pPr>
      <w:r w:rsidRPr="00B41668">
        <w:rPr>
          <w:rFonts w:ascii="Palatino Linotype" w:eastAsia="Palatino Linotype" w:hAnsi="Palatino Linotype" w:cs="Palatino Linotype"/>
          <w:b/>
          <w:i/>
          <w:sz w:val="22"/>
          <w:szCs w:val="22"/>
        </w:rPr>
        <w:t xml:space="preserve"> </w:t>
      </w:r>
    </w:p>
    <w:p w14:paraId="4D5C7AFE" w14:textId="77777777" w:rsidR="002F3CF4" w:rsidRPr="00B41668" w:rsidRDefault="00CC3C36" w:rsidP="00B41668">
      <w:pPr>
        <w:spacing w:line="276" w:lineRule="auto"/>
        <w:ind w:left="700" w:right="918"/>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b/>
          <w:i/>
          <w:sz w:val="22"/>
          <w:szCs w:val="22"/>
        </w:rPr>
        <w:t>Artículo 192.</w:t>
      </w:r>
      <w:r w:rsidRPr="00B41668">
        <w:rPr>
          <w:rFonts w:ascii="Palatino Linotype" w:eastAsia="Palatino Linotype" w:hAnsi="Palatino Linotype" w:cs="Palatino Linotype"/>
          <w:i/>
          <w:sz w:val="22"/>
          <w:szCs w:val="22"/>
        </w:rPr>
        <w:t xml:space="preserve"> El </w:t>
      </w:r>
      <w:r w:rsidRPr="00B41668">
        <w:rPr>
          <w:rFonts w:ascii="Palatino Linotype" w:eastAsia="Palatino Linotype" w:hAnsi="Palatino Linotype" w:cs="Palatino Linotype"/>
          <w:b/>
          <w:i/>
          <w:sz w:val="22"/>
          <w:szCs w:val="22"/>
        </w:rPr>
        <w:t>recurso será sobreseído</w:t>
      </w:r>
      <w:r w:rsidRPr="00B41668">
        <w:rPr>
          <w:rFonts w:ascii="Palatino Linotype" w:eastAsia="Palatino Linotype" w:hAnsi="Palatino Linotype" w:cs="Palatino Linotype"/>
          <w:i/>
          <w:sz w:val="22"/>
          <w:szCs w:val="22"/>
        </w:rPr>
        <w:t>, en todo o en parte, cuando una vez admitido, se actualicen alguno de los siguientes supuestos:</w:t>
      </w:r>
    </w:p>
    <w:p w14:paraId="6FE752F7" w14:textId="77777777" w:rsidR="002F3CF4" w:rsidRPr="00B41668" w:rsidRDefault="00CC3C36" w:rsidP="00B41668">
      <w:pPr>
        <w:spacing w:line="276" w:lineRule="auto"/>
        <w:ind w:left="700" w:right="918"/>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i/>
          <w:sz w:val="22"/>
          <w:szCs w:val="22"/>
        </w:rPr>
        <w:t xml:space="preserve"> </w:t>
      </w:r>
    </w:p>
    <w:p w14:paraId="1866AEC4" w14:textId="77777777" w:rsidR="002F3CF4" w:rsidRPr="00B41668" w:rsidRDefault="00CC3C36" w:rsidP="00B41668">
      <w:pPr>
        <w:spacing w:line="276" w:lineRule="auto"/>
        <w:ind w:left="700" w:right="918"/>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i/>
          <w:sz w:val="22"/>
          <w:szCs w:val="22"/>
        </w:rPr>
        <w:t>[…]</w:t>
      </w:r>
    </w:p>
    <w:p w14:paraId="364B515F" w14:textId="77777777" w:rsidR="002F3CF4" w:rsidRPr="00B41668" w:rsidRDefault="00CC3C36" w:rsidP="00B41668">
      <w:pPr>
        <w:spacing w:before="120" w:after="120" w:line="276" w:lineRule="auto"/>
        <w:ind w:left="2160" w:right="918" w:hanging="720"/>
        <w:jc w:val="both"/>
        <w:rPr>
          <w:rFonts w:ascii="Palatino Linotype" w:eastAsia="Palatino Linotype" w:hAnsi="Palatino Linotype" w:cs="Palatino Linotype"/>
          <w:b/>
          <w:i/>
          <w:sz w:val="22"/>
          <w:szCs w:val="22"/>
          <w:u w:val="single"/>
        </w:rPr>
      </w:pPr>
      <w:r w:rsidRPr="00B41668">
        <w:rPr>
          <w:rFonts w:ascii="Palatino Linotype" w:eastAsia="Palatino Linotype" w:hAnsi="Palatino Linotype" w:cs="Palatino Linotype"/>
          <w:b/>
          <w:i/>
          <w:sz w:val="22"/>
          <w:szCs w:val="22"/>
        </w:rPr>
        <w:t>IV.</w:t>
      </w:r>
      <w:r w:rsidRPr="00B41668">
        <w:rPr>
          <w:sz w:val="13"/>
          <w:szCs w:val="13"/>
        </w:rPr>
        <w:t xml:space="preserve">           </w:t>
      </w:r>
      <w:r w:rsidRPr="00B41668">
        <w:rPr>
          <w:rFonts w:ascii="Palatino Linotype" w:eastAsia="Palatino Linotype" w:hAnsi="Palatino Linotype" w:cs="Palatino Linotype"/>
          <w:b/>
          <w:i/>
          <w:sz w:val="22"/>
          <w:szCs w:val="22"/>
          <w:u w:val="single"/>
        </w:rPr>
        <w:t>Admitido el recurso de revisión, aparezca alguna causal de improcedencia; y,</w:t>
      </w:r>
    </w:p>
    <w:p w14:paraId="027D7DE3" w14:textId="77777777" w:rsidR="002F3CF4" w:rsidRPr="00B41668" w:rsidRDefault="00CC3C36" w:rsidP="00B41668">
      <w:pPr>
        <w:spacing w:line="276" w:lineRule="auto"/>
        <w:ind w:left="700" w:right="918"/>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i/>
          <w:sz w:val="22"/>
          <w:szCs w:val="22"/>
        </w:rPr>
        <w:t>[…]</w:t>
      </w:r>
    </w:p>
    <w:p w14:paraId="23530ECF" w14:textId="77777777" w:rsidR="002F3CF4" w:rsidRPr="00B41668" w:rsidRDefault="00CC3C36" w:rsidP="00B41668">
      <w:pPr>
        <w:spacing w:line="276" w:lineRule="auto"/>
        <w:ind w:left="700" w:right="918"/>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i/>
          <w:sz w:val="22"/>
          <w:szCs w:val="22"/>
        </w:rPr>
        <w:t xml:space="preserve"> </w:t>
      </w:r>
    </w:p>
    <w:p w14:paraId="446BEE86" w14:textId="77777777" w:rsidR="002F3CF4" w:rsidRPr="00B41668" w:rsidRDefault="00CC3C36" w:rsidP="00B41668">
      <w:pPr>
        <w:spacing w:line="276" w:lineRule="auto"/>
        <w:ind w:left="700" w:right="918"/>
        <w:jc w:val="both"/>
        <w:rPr>
          <w:rFonts w:ascii="Palatino Linotype" w:eastAsia="Palatino Linotype" w:hAnsi="Palatino Linotype" w:cs="Palatino Linotype"/>
          <w:i/>
          <w:sz w:val="22"/>
          <w:szCs w:val="22"/>
        </w:rPr>
      </w:pPr>
      <w:r w:rsidRPr="00B41668">
        <w:rPr>
          <w:rFonts w:ascii="Palatino Linotype" w:eastAsia="Palatino Linotype" w:hAnsi="Palatino Linotype" w:cs="Palatino Linotype"/>
          <w:i/>
          <w:sz w:val="22"/>
          <w:szCs w:val="22"/>
        </w:rPr>
        <w:t>(Énfasis añadido)</w:t>
      </w:r>
    </w:p>
    <w:p w14:paraId="7BAA548E" w14:textId="77777777" w:rsidR="002F3CF4" w:rsidRDefault="00CC3C36">
      <w:pPr>
        <w:spacing w:line="360" w:lineRule="auto"/>
        <w:ind w:left="700"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 </w:t>
      </w:r>
    </w:p>
    <w:p w14:paraId="507ACF89"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Precepto normativo, que consagra la procedencia para sobreseer el recurso de revisión cuando una vez admitido aparezca una causal de improcedencia, circunstancia que aconteció y quedó claramente demostrada.</w:t>
      </w:r>
    </w:p>
    <w:p w14:paraId="12788FAB" w14:textId="32551E1D"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resulta </w:t>
      </w:r>
      <w:r w:rsidRPr="00B41668">
        <w:rPr>
          <w:rFonts w:ascii="Palatino Linotype" w:eastAsia="Palatino Linotype" w:hAnsi="Palatino Linotype" w:cs="Palatino Linotype"/>
          <w:b/>
          <w:bCs/>
        </w:rPr>
        <w:t>procedente SOBRESEER</w:t>
      </w:r>
      <w:r>
        <w:rPr>
          <w:rFonts w:ascii="Palatino Linotype" w:eastAsia="Palatino Linotype" w:hAnsi="Palatino Linotype" w:cs="Palatino Linotype"/>
        </w:rPr>
        <w:t xml:space="preserve"> el presente Recurso de Revisión; pues se actualizó una causal de improcedencia; ya que de acuerdo a lo manifestado tanto en el desahogo de la aclaración, como en recurso de revisión, el particular pretende inconformarse al referir que ha habido incumplimiento por parte del </w:t>
      </w:r>
      <w:r w:rsidR="00B41668" w:rsidRPr="00B41668">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respecto a lo mandatado por este Organismo Garante a un recurso de revisión diverso, lo cual no actualiza alguno de los supuestos previstos en el artículo 179 de la Ley.</w:t>
      </w:r>
    </w:p>
    <w:p w14:paraId="362C3EE1"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de dar por concluido el recurso administrativo sin entrar al estudio de fondo del asunto de que se trate; lo anterior con apoyo en el criterio del Poder Judicial de la Federación con rubro:</w:t>
      </w:r>
    </w:p>
    <w:p w14:paraId="5A751A93" w14:textId="77777777" w:rsidR="002F3CF4" w:rsidRPr="004D68C5" w:rsidRDefault="00CC3C36" w:rsidP="004D68C5">
      <w:pPr>
        <w:spacing w:line="276" w:lineRule="auto"/>
        <w:ind w:left="860" w:right="860"/>
        <w:jc w:val="both"/>
        <w:rPr>
          <w:rFonts w:ascii="Palatino Linotype" w:eastAsia="Palatino Linotype" w:hAnsi="Palatino Linotype" w:cs="Palatino Linotype"/>
          <w:b/>
          <w:sz w:val="22"/>
          <w:szCs w:val="22"/>
        </w:rPr>
      </w:pPr>
      <w:r w:rsidRPr="004D68C5">
        <w:rPr>
          <w:rFonts w:ascii="Palatino Linotype" w:eastAsia="Palatino Linotype" w:hAnsi="Palatino Linotype" w:cs="Palatino Linotype"/>
          <w:sz w:val="22"/>
          <w:szCs w:val="22"/>
        </w:rPr>
        <w:t>“</w:t>
      </w:r>
      <w:r w:rsidRPr="004D68C5">
        <w:rPr>
          <w:rFonts w:ascii="Palatino Linotype" w:eastAsia="Palatino Linotype" w:hAnsi="Palatino Linotype" w:cs="Palatino Linotype"/>
          <w:b/>
          <w:sz w:val="22"/>
          <w:szCs w:val="22"/>
        </w:rPr>
        <w:t>SOBRESEIMIENTO, NO PERMITE ENTRAR AL ESTUDIO DE LAS CUESTIONES DE FONDO</w:t>
      </w:r>
    </w:p>
    <w:p w14:paraId="59895543" w14:textId="77777777" w:rsidR="002F3CF4" w:rsidRPr="004D68C5" w:rsidRDefault="00CC3C36" w:rsidP="004D68C5">
      <w:pPr>
        <w:spacing w:line="276" w:lineRule="auto"/>
        <w:ind w:left="860" w:right="860"/>
        <w:jc w:val="both"/>
        <w:rPr>
          <w:rFonts w:ascii="Palatino Linotype" w:eastAsia="Palatino Linotype" w:hAnsi="Palatino Linotype" w:cs="Palatino Linotype"/>
          <w:i/>
          <w:sz w:val="22"/>
          <w:szCs w:val="22"/>
        </w:rPr>
      </w:pPr>
      <w:r w:rsidRPr="004D68C5">
        <w:rPr>
          <w:rFonts w:ascii="Palatino Linotype" w:eastAsia="Palatino Linotype" w:hAnsi="Palatino Linotype" w:cs="Palatino Linotype"/>
          <w:i/>
          <w:sz w:val="22"/>
          <w:szCs w:val="22"/>
        </w:rPr>
        <w:t xml:space="preserve"> </w:t>
      </w:r>
    </w:p>
    <w:p w14:paraId="0498DFB5" w14:textId="77777777" w:rsidR="002F3CF4" w:rsidRPr="004D68C5" w:rsidRDefault="00CC3C36" w:rsidP="004D68C5">
      <w:pPr>
        <w:spacing w:line="276" w:lineRule="auto"/>
        <w:ind w:left="860" w:right="860"/>
        <w:jc w:val="both"/>
        <w:rPr>
          <w:rFonts w:ascii="Palatino Linotype" w:eastAsia="Palatino Linotype" w:hAnsi="Palatino Linotype" w:cs="Palatino Linotype"/>
          <w:i/>
          <w:sz w:val="22"/>
          <w:szCs w:val="22"/>
        </w:rPr>
      </w:pPr>
      <w:r w:rsidRPr="004D68C5">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77CAD999" w14:textId="77777777" w:rsidR="002F3CF4" w:rsidRPr="004D68C5" w:rsidRDefault="00CC3C36" w:rsidP="004D68C5">
      <w:pPr>
        <w:spacing w:line="276" w:lineRule="auto"/>
        <w:ind w:left="860" w:right="860"/>
        <w:jc w:val="both"/>
        <w:rPr>
          <w:rFonts w:ascii="Palatino Linotype" w:eastAsia="Palatino Linotype" w:hAnsi="Palatino Linotype" w:cs="Palatino Linotype"/>
          <w:i/>
          <w:sz w:val="22"/>
          <w:szCs w:val="22"/>
        </w:rPr>
      </w:pPr>
      <w:r w:rsidRPr="004D68C5">
        <w:rPr>
          <w:rFonts w:ascii="Palatino Linotype" w:eastAsia="Palatino Linotype" w:hAnsi="Palatino Linotype" w:cs="Palatino Linotype"/>
          <w:i/>
          <w:sz w:val="22"/>
          <w:szCs w:val="22"/>
        </w:rPr>
        <w:lastRenderedPageBreak/>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C0AC149" w14:textId="77777777" w:rsidR="002F3CF4" w:rsidRDefault="00CC3C36">
      <w:pPr>
        <w:spacing w:line="360" w:lineRule="auto"/>
        <w:ind w:left="560"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03A5ED5B" w14:textId="77777777" w:rsidR="002F3CF4" w:rsidRDefault="00CC3C3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0F8F7BC0" w14:textId="77777777" w:rsidR="002F3CF4" w:rsidRDefault="00CC3C36" w:rsidP="004D68C5">
      <w:pPr>
        <w:spacing w:line="276" w:lineRule="auto"/>
        <w:ind w:left="860" w:right="860"/>
        <w:jc w:val="both"/>
        <w:rPr>
          <w:rFonts w:ascii="Palatino Linotype" w:eastAsia="Palatino Linotype" w:hAnsi="Palatino Linotype" w:cs="Palatino Linotype"/>
          <w:b/>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0E8B375D" w14:textId="77777777" w:rsidR="002F3CF4" w:rsidRDefault="00CC3C36" w:rsidP="004D68C5">
      <w:pPr>
        <w:spacing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0DD7B09F" w14:textId="77777777" w:rsidR="002F3CF4" w:rsidRDefault="00CC3C36" w:rsidP="004D68C5">
      <w:pPr>
        <w:spacing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269F8254" w14:textId="77777777" w:rsidR="002F3CF4" w:rsidRDefault="00CC3C3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w:t>
      </w:r>
      <w:r>
        <w:rPr>
          <w:rFonts w:ascii="Palatino Linotype" w:eastAsia="Palatino Linotype" w:hAnsi="Palatino Linotype" w:cs="Palatino Linotype"/>
        </w:rPr>
        <w:lastRenderedPageBreak/>
        <w:t>de México; 2, fracción II; 29, 36 fracciones I y II; 176, 178, 179, fracción I, 181, 185, 186, fracción I y 192, fracción IV, de la Ley de Transparencia y Acceso a la Información Pública del Estado de México y Municipios, este Pleno:</w:t>
      </w:r>
    </w:p>
    <w:p w14:paraId="50579DB1" w14:textId="45B720F4" w:rsidR="002F3CF4" w:rsidRPr="00B41668" w:rsidRDefault="00CC3C36" w:rsidP="00B41668">
      <w:pPr>
        <w:pStyle w:val="Prrafodelista"/>
        <w:numPr>
          <w:ilvl w:val="0"/>
          <w:numId w:val="3"/>
        </w:numPr>
        <w:spacing w:before="240" w:after="240" w:line="360" w:lineRule="auto"/>
        <w:jc w:val="center"/>
        <w:rPr>
          <w:rFonts w:ascii="Palatino Linotype" w:eastAsia="Palatino Linotype" w:hAnsi="Palatino Linotype" w:cs="Palatino Linotype"/>
          <w:b/>
        </w:rPr>
      </w:pPr>
      <w:r w:rsidRPr="00B41668">
        <w:rPr>
          <w:rFonts w:ascii="Palatino Linotype" w:eastAsia="Palatino Linotype" w:hAnsi="Palatino Linotype" w:cs="Palatino Linotype"/>
          <w:b/>
        </w:rPr>
        <w:t>R E S U E L V E</w:t>
      </w:r>
    </w:p>
    <w:p w14:paraId="4C496C96" w14:textId="54439DD8" w:rsidR="002F3CF4" w:rsidRDefault="00CC3C36">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w:t>
      </w:r>
      <w:r w:rsidRPr="008B26AB">
        <w:rPr>
          <w:rFonts w:ascii="Palatino Linotype" w:eastAsia="Palatino Linotype" w:hAnsi="Palatino Linotype" w:cs="Palatino Linotype"/>
          <w:b/>
        </w:rPr>
        <w:t>0395</w:t>
      </w:r>
      <w:r w:rsidR="007F1162" w:rsidRPr="008B26AB">
        <w:rPr>
          <w:rFonts w:ascii="Palatino Linotype" w:eastAsia="Palatino Linotype" w:hAnsi="Palatino Linotype" w:cs="Palatino Linotype"/>
          <w:b/>
        </w:rPr>
        <w:t>9</w:t>
      </w:r>
      <w:r w:rsidRPr="008B26AB">
        <w:rPr>
          <w:rFonts w:ascii="Palatino Linotype" w:eastAsia="Palatino Linotype" w:hAnsi="Palatino Linotype" w:cs="Palatino Linotype"/>
          <w:b/>
        </w:rPr>
        <w:t>/INFOEM/IP/RR/2022</w:t>
      </w:r>
      <w:r w:rsidRPr="008B26AB">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 xml:space="preserve">en términos de lo dispuesto por la fracción IV del artículo 192, por actualizarse la causal de improcedencia establecida en la fracción III del artículo 191, de la Ley de Transparencia y Acceso a la Información Pública del Estado de México y Municipios, en términos de lo expuesto en el Considerando </w:t>
      </w:r>
      <w:r>
        <w:rPr>
          <w:rFonts w:ascii="Palatino Linotype" w:eastAsia="Palatino Linotype" w:hAnsi="Palatino Linotype" w:cs="Palatino Linotype"/>
          <w:b/>
          <w:highlight w:val="white"/>
        </w:rPr>
        <w:t xml:space="preserve">Tercero y Cuarto </w:t>
      </w:r>
      <w:r>
        <w:rPr>
          <w:rFonts w:ascii="Palatino Linotype" w:eastAsia="Palatino Linotype" w:hAnsi="Palatino Linotype" w:cs="Palatino Linotype"/>
          <w:highlight w:val="white"/>
        </w:rPr>
        <w:t>de la presente resolución.</w:t>
      </w:r>
    </w:p>
    <w:p w14:paraId="37D795CD" w14:textId="77777777" w:rsidR="004D68C5" w:rsidRDefault="00CC3C36">
      <w:pPr>
        <w:spacing w:before="240" w:after="240" w:line="360" w:lineRule="auto"/>
        <w:ind w:right="60"/>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sidR="004D68C5">
        <w:rPr>
          <w:rFonts w:ascii="Palatino Linotype" w:eastAsia="Palatino Linotype" w:hAnsi="Palatino Linotype" w:cs="Palatino Linotype"/>
        </w:rPr>
        <w:t xml:space="preserve">, para su conocimiento. </w:t>
      </w:r>
    </w:p>
    <w:p w14:paraId="649AB51C" w14:textId="39B3AD83" w:rsidR="002F3CF4" w:rsidRDefault="00CC3C36">
      <w:pPr>
        <w:spacing w:before="240" w:after="240" w:line="360" w:lineRule="auto"/>
        <w:ind w:right="60"/>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sidRPr="00B41668">
        <w:rPr>
          <w:rFonts w:ascii="Palatino Linotype" w:eastAsia="Palatino Linotype" w:hAnsi="Palatino Linotype" w:cs="Palatino Linotype"/>
          <w:bCs/>
        </w:rPr>
        <w:t xml:space="preserve">vía </w:t>
      </w:r>
      <w:r>
        <w:rPr>
          <w:rFonts w:ascii="Palatino Linotype" w:eastAsia="Palatino Linotype" w:hAnsi="Palatino Linotype" w:cs="Palatino Linotype"/>
          <w:b/>
        </w:rPr>
        <w:t>SAIMEX al RECURRENTE</w:t>
      </w:r>
      <w:r>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E22D2A2" w14:textId="41DF9714" w:rsidR="002F3CF4" w:rsidRDefault="00CC3C36">
      <w:pPr>
        <w:spacing w:before="240" w:after="240" w:line="360" w:lineRule="auto"/>
        <w:ind w:right="60"/>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 xml:space="preserve">MUNICIPIOS, CONFORMADO POR LOS COMISIONADOS JOSÉ MARTÍNEZ VILCHIS, MARÍA DEL ROSARIO MEJÍA AYALA, SHARON CRISTINA MORALES MARTÍNEZ, LUIS GUSTAVO PARRA NORIEGA Y GUADALUPE RAMÍREZ PEÑA; EN LA </w:t>
      </w:r>
      <w:r w:rsidR="00B41668" w:rsidRPr="00B41668">
        <w:rPr>
          <w:rFonts w:ascii="Palatino Linotype" w:eastAsia="Palatino Linotype" w:hAnsi="Palatino Linotype" w:cs="Palatino Linotype"/>
        </w:rPr>
        <w:t xml:space="preserve">VIGÉSIMA SÉPTIMA  </w:t>
      </w:r>
      <w:r w:rsidRPr="00B41668">
        <w:rPr>
          <w:rFonts w:ascii="Palatino Linotype" w:eastAsia="Palatino Linotype" w:hAnsi="Palatino Linotype" w:cs="Palatino Linotype"/>
        </w:rPr>
        <w:t xml:space="preserve">SESIÓN ORDINARIA, CELEBRADA EL </w:t>
      </w:r>
      <w:r w:rsidR="00B41668" w:rsidRPr="00B41668">
        <w:rPr>
          <w:rFonts w:ascii="Palatino Linotype" w:eastAsia="Palatino Linotype" w:hAnsi="Palatino Linotype" w:cs="Palatino Linotype"/>
        </w:rPr>
        <w:t xml:space="preserve">TRES DE AGOSTO </w:t>
      </w:r>
      <w:r w:rsidRPr="00B41668">
        <w:rPr>
          <w:rFonts w:ascii="Palatino Linotype" w:eastAsia="Palatino Linotype" w:hAnsi="Palatino Linotype" w:cs="Palatino Linotype"/>
        </w:rPr>
        <w:t>DE DOS MIL VEINTIDÓS ANTE EL SECRETARIO TÉCNICO DEL PLENO ALEXIS</w:t>
      </w:r>
      <w:r>
        <w:rPr>
          <w:rFonts w:ascii="Palatino Linotype" w:eastAsia="Palatino Linotype" w:hAnsi="Palatino Linotype" w:cs="Palatino Linotype"/>
        </w:rPr>
        <w:t xml:space="preserve"> TAPIA RAMÍREZ.</w:t>
      </w:r>
    </w:p>
    <w:p w14:paraId="38F75410" w14:textId="77777777" w:rsidR="002F3CF4" w:rsidRDefault="002F3CF4">
      <w:pPr>
        <w:spacing w:before="280" w:after="280" w:line="360" w:lineRule="auto"/>
        <w:jc w:val="both"/>
        <w:rPr>
          <w:rFonts w:ascii="Palatino Linotype" w:eastAsia="Palatino Linotype" w:hAnsi="Palatino Linotype" w:cs="Palatino Linotype"/>
        </w:rPr>
      </w:pPr>
    </w:p>
    <w:p w14:paraId="0360C108" w14:textId="77777777" w:rsidR="002F3CF4" w:rsidRDefault="002F3CF4">
      <w:pPr>
        <w:spacing w:before="240" w:after="240" w:line="360" w:lineRule="auto"/>
        <w:jc w:val="both"/>
        <w:rPr>
          <w:rFonts w:ascii="Palatino Linotype" w:eastAsia="Palatino Linotype" w:hAnsi="Palatino Linotype" w:cs="Palatino Linotype"/>
        </w:rPr>
        <w:sectPr w:rsidR="002F3CF4">
          <w:headerReference w:type="default" r:id="rId18"/>
          <w:footerReference w:type="default" r:id="rId19"/>
          <w:headerReference w:type="first" r:id="rId20"/>
          <w:footerReference w:type="first" r:id="rId21"/>
          <w:pgSz w:w="12240" w:h="15840"/>
          <w:pgMar w:top="1417" w:right="1701" w:bottom="1417" w:left="1701" w:header="709" w:footer="709" w:gutter="0"/>
          <w:pgNumType w:start="1"/>
          <w:cols w:space="720"/>
          <w:titlePg/>
        </w:sectPr>
      </w:pPr>
      <w:bookmarkStart w:id="1" w:name="_heading=h.2et92p0" w:colFirst="0" w:colLast="0"/>
      <w:bookmarkEnd w:id="1"/>
    </w:p>
    <w:p w14:paraId="31DA13DE" w14:textId="77777777" w:rsidR="002F3CF4" w:rsidRDefault="002F3CF4">
      <w:pPr>
        <w:spacing w:before="240" w:after="240" w:line="360" w:lineRule="auto"/>
        <w:jc w:val="both"/>
        <w:rPr>
          <w:rFonts w:ascii="Palatino Linotype" w:eastAsia="Palatino Linotype" w:hAnsi="Palatino Linotype" w:cs="Palatino Linotype"/>
        </w:rPr>
      </w:pPr>
    </w:p>
    <w:p w14:paraId="1638FBD3" w14:textId="77777777" w:rsidR="002F3CF4" w:rsidRDefault="002F3CF4">
      <w:pPr>
        <w:spacing w:before="240" w:after="240" w:line="360" w:lineRule="auto"/>
        <w:jc w:val="both"/>
        <w:rPr>
          <w:rFonts w:ascii="Palatino Linotype" w:eastAsia="Palatino Linotype" w:hAnsi="Palatino Linotype" w:cs="Palatino Linotype"/>
        </w:rPr>
      </w:pPr>
    </w:p>
    <w:p w14:paraId="23218EC4" w14:textId="77777777" w:rsidR="002F3CF4" w:rsidRDefault="002F3CF4">
      <w:pPr>
        <w:spacing w:before="240" w:after="240" w:line="360" w:lineRule="auto"/>
        <w:jc w:val="both"/>
        <w:rPr>
          <w:rFonts w:ascii="Palatino Linotype" w:eastAsia="Palatino Linotype" w:hAnsi="Palatino Linotype" w:cs="Palatino Linotype"/>
        </w:rPr>
      </w:pPr>
    </w:p>
    <w:p w14:paraId="596EC91F" w14:textId="77777777" w:rsidR="002F3CF4" w:rsidRDefault="002F3CF4">
      <w:pPr>
        <w:spacing w:before="240" w:after="240" w:line="360" w:lineRule="auto"/>
        <w:rPr>
          <w:rFonts w:ascii="Palatino Linotype" w:eastAsia="Palatino Linotype" w:hAnsi="Palatino Linotype" w:cs="Palatino Linotype"/>
        </w:rPr>
      </w:pPr>
    </w:p>
    <w:p w14:paraId="0A2694E3" w14:textId="77777777" w:rsidR="002F3CF4" w:rsidRDefault="002F3CF4"/>
    <w:sectPr w:rsidR="002F3CF4">
      <w:headerReference w:type="first" r:id="rId22"/>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539FE" w14:textId="77777777" w:rsidR="00CE7D45" w:rsidRDefault="00CE7D45">
      <w:r>
        <w:separator/>
      </w:r>
    </w:p>
  </w:endnote>
  <w:endnote w:type="continuationSeparator" w:id="0">
    <w:p w14:paraId="0B02805B" w14:textId="77777777" w:rsidR="00CE7D45" w:rsidRDefault="00CE7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E4260" w14:textId="77777777" w:rsidR="002F3CF4" w:rsidRDefault="00CC3C3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01D15">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01D15">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1BB51EBD" w14:textId="77777777" w:rsidR="002F3CF4" w:rsidRDefault="002F3CF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A9CC5" w14:textId="77777777" w:rsidR="002F3CF4" w:rsidRDefault="00CC3C3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01D15">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01D15">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1A4D1DFE" w14:textId="77777777" w:rsidR="002F3CF4" w:rsidRDefault="002F3CF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5E058" w14:textId="77777777" w:rsidR="00CE7D45" w:rsidRDefault="00CE7D45">
      <w:r>
        <w:separator/>
      </w:r>
    </w:p>
  </w:footnote>
  <w:footnote w:type="continuationSeparator" w:id="0">
    <w:p w14:paraId="083BFFE6" w14:textId="77777777" w:rsidR="00CE7D45" w:rsidRDefault="00CE7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A1D5D" w14:textId="77777777" w:rsidR="002F3CF4" w:rsidRDefault="00CC3C36">
    <w:pPr>
      <w:pBdr>
        <w:top w:val="nil"/>
        <w:left w:val="nil"/>
        <w:bottom w:val="nil"/>
        <w:right w:val="nil"/>
        <w:between w:val="nil"/>
      </w:pBdr>
      <w:tabs>
        <w:tab w:val="center" w:pos="4419"/>
        <w:tab w:val="right" w:pos="8838"/>
      </w:tabs>
      <w:jc w:val="both"/>
      <w:rPr>
        <w:color w:val="000000"/>
      </w:rPr>
    </w:pPr>
    <w:r>
      <w:rPr>
        <w:noProof/>
      </w:rPr>
      <w:drawing>
        <wp:anchor distT="0" distB="0" distL="0" distR="0" simplePos="0" relativeHeight="251658240" behindDoc="1" locked="0" layoutInCell="1" hidden="0" allowOverlap="1" wp14:anchorId="5FBFE2B5" wp14:editId="5F693229">
          <wp:simplePos x="0" y="0"/>
          <wp:positionH relativeFrom="column">
            <wp:posOffset>-665857</wp:posOffset>
          </wp:positionH>
          <wp:positionV relativeFrom="paragraph">
            <wp:posOffset>-453612</wp:posOffset>
          </wp:positionV>
          <wp:extent cx="7635600" cy="9943200"/>
          <wp:effectExtent l="0" t="0" r="0" b="0"/>
          <wp:wrapNone/>
          <wp:docPr id="5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5812" w:type="dxa"/>
      <w:tblInd w:w="3119" w:type="dxa"/>
      <w:tblLayout w:type="fixed"/>
      <w:tblLook w:val="0400" w:firstRow="0" w:lastRow="0" w:firstColumn="0" w:lastColumn="0" w:noHBand="0" w:noVBand="1"/>
    </w:tblPr>
    <w:tblGrid>
      <w:gridCol w:w="2551"/>
      <w:gridCol w:w="3261"/>
    </w:tblGrid>
    <w:tr w:rsidR="002F3CF4" w14:paraId="742393D9" w14:textId="77777777">
      <w:tc>
        <w:tcPr>
          <w:tcW w:w="2551" w:type="dxa"/>
          <w:vAlign w:val="center"/>
        </w:tcPr>
        <w:p w14:paraId="3FE56BA7" w14:textId="77777777" w:rsidR="002F3CF4" w:rsidRDefault="00CC3C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5F5FAAAD" w14:textId="77777777" w:rsidR="002F3CF4" w:rsidRDefault="00CC3C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03959/INFOEM/IP/RR/2022. </w:t>
          </w:r>
        </w:p>
      </w:tc>
    </w:tr>
    <w:tr w:rsidR="002F3CF4" w14:paraId="3225F51F" w14:textId="77777777">
      <w:trPr>
        <w:trHeight w:val="228"/>
      </w:trPr>
      <w:tc>
        <w:tcPr>
          <w:tcW w:w="2551" w:type="dxa"/>
          <w:vAlign w:val="center"/>
        </w:tcPr>
        <w:p w14:paraId="13EBE658" w14:textId="77777777" w:rsidR="002F3CF4" w:rsidRDefault="00CC3C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5BF070D8" w14:textId="77777777" w:rsidR="002F3CF4" w:rsidRDefault="00CC3C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de Transporte Masivo y Teleférico del Estado de México</w:t>
          </w:r>
        </w:p>
      </w:tc>
    </w:tr>
    <w:tr w:rsidR="002F3CF4" w14:paraId="4F7F0FD1" w14:textId="77777777">
      <w:tc>
        <w:tcPr>
          <w:tcW w:w="2551" w:type="dxa"/>
          <w:vAlign w:val="center"/>
        </w:tcPr>
        <w:p w14:paraId="75397A41" w14:textId="77777777" w:rsidR="002F3CF4" w:rsidRDefault="00CC3C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39140135" w14:textId="77777777" w:rsidR="002F3CF4" w:rsidRDefault="00CC3C3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88E9C4A" w14:textId="77777777" w:rsidR="002F3CF4" w:rsidRDefault="002F3CF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6408B" w14:textId="77777777" w:rsidR="002F3CF4" w:rsidRDefault="00CC3C36">
    <w:pPr>
      <w:pBdr>
        <w:top w:val="nil"/>
        <w:left w:val="nil"/>
        <w:bottom w:val="nil"/>
        <w:right w:val="nil"/>
        <w:between w:val="nil"/>
      </w:pBdr>
      <w:tabs>
        <w:tab w:val="center" w:pos="4419"/>
        <w:tab w:val="right" w:pos="8838"/>
      </w:tabs>
      <w:jc w:val="both"/>
      <w:rPr>
        <w:color w:val="000000"/>
      </w:rPr>
    </w:pPr>
    <w:r>
      <w:rPr>
        <w:noProof/>
      </w:rPr>
      <w:drawing>
        <wp:anchor distT="0" distB="0" distL="0" distR="0" simplePos="0" relativeHeight="251659264" behindDoc="1" locked="0" layoutInCell="1" hidden="0" allowOverlap="1" wp14:anchorId="61B64B20" wp14:editId="296CEA9C">
          <wp:simplePos x="0" y="0"/>
          <wp:positionH relativeFrom="column">
            <wp:posOffset>-680310</wp:posOffset>
          </wp:positionH>
          <wp:positionV relativeFrom="paragraph">
            <wp:posOffset>-168881</wp:posOffset>
          </wp:positionV>
          <wp:extent cx="7635600" cy="9943200"/>
          <wp:effectExtent l="0" t="0" r="0" b="0"/>
          <wp:wrapNone/>
          <wp:docPr id="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812" w:type="dxa"/>
      <w:tblInd w:w="3119" w:type="dxa"/>
      <w:tblLayout w:type="fixed"/>
      <w:tblLook w:val="0400" w:firstRow="0" w:lastRow="0" w:firstColumn="0" w:lastColumn="0" w:noHBand="0" w:noVBand="1"/>
    </w:tblPr>
    <w:tblGrid>
      <w:gridCol w:w="2551"/>
      <w:gridCol w:w="3261"/>
    </w:tblGrid>
    <w:tr w:rsidR="002F3CF4" w14:paraId="3FDC5E5D" w14:textId="77777777">
      <w:tc>
        <w:tcPr>
          <w:tcW w:w="2551" w:type="dxa"/>
          <w:vAlign w:val="center"/>
        </w:tcPr>
        <w:p w14:paraId="00E7044B" w14:textId="77777777" w:rsidR="002F3CF4" w:rsidRDefault="00CC3C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399C6506" w14:textId="77777777" w:rsidR="002F3CF4" w:rsidRDefault="00CC3C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03959/INFOEM/IP/RR/2022. </w:t>
          </w:r>
        </w:p>
      </w:tc>
    </w:tr>
    <w:tr w:rsidR="002F3CF4" w14:paraId="63C19F7B" w14:textId="77777777">
      <w:tc>
        <w:tcPr>
          <w:tcW w:w="2551" w:type="dxa"/>
          <w:vAlign w:val="center"/>
        </w:tcPr>
        <w:p w14:paraId="041CEA29" w14:textId="77777777" w:rsidR="002F3CF4" w:rsidRDefault="00CC3C3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644FC83C" w14:textId="40E451CB" w:rsidR="002F3CF4" w:rsidRDefault="00085C1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XXXXX</w:t>
          </w:r>
        </w:p>
      </w:tc>
    </w:tr>
    <w:tr w:rsidR="002F3CF4" w14:paraId="45B637F6" w14:textId="77777777">
      <w:trPr>
        <w:trHeight w:val="228"/>
      </w:trPr>
      <w:tc>
        <w:tcPr>
          <w:tcW w:w="2551" w:type="dxa"/>
          <w:vAlign w:val="center"/>
        </w:tcPr>
        <w:p w14:paraId="16100AED" w14:textId="77777777" w:rsidR="002F3CF4" w:rsidRDefault="00CC3C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007FE664" w14:textId="77777777" w:rsidR="002F3CF4" w:rsidRDefault="00CC3C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de Transporte Masivo y Teleférico del Estado de México</w:t>
          </w:r>
        </w:p>
      </w:tc>
    </w:tr>
    <w:tr w:rsidR="002F3CF4" w14:paraId="2C46BD06" w14:textId="77777777">
      <w:tc>
        <w:tcPr>
          <w:tcW w:w="2551" w:type="dxa"/>
          <w:vAlign w:val="center"/>
        </w:tcPr>
        <w:p w14:paraId="7A8DA398" w14:textId="77777777" w:rsidR="002F3CF4" w:rsidRDefault="00CC3C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26C9F19C" w14:textId="77777777" w:rsidR="002F3CF4" w:rsidRDefault="00CC3C3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CE505E" w14:textId="77777777" w:rsidR="002F3CF4" w:rsidRDefault="002F3CF4">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CDE6A" w14:textId="77777777" w:rsidR="002F3CF4" w:rsidRDefault="002F3CF4">
    <w:pPr>
      <w:pBdr>
        <w:top w:val="nil"/>
        <w:left w:val="nil"/>
        <w:bottom w:val="nil"/>
        <w:right w:val="nil"/>
        <w:between w:val="nil"/>
      </w:pBdr>
      <w:tabs>
        <w:tab w:val="center" w:pos="4419"/>
        <w:tab w:val="right" w:pos="8838"/>
      </w:tabs>
      <w:jc w:val="both"/>
      <w:rPr>
        <w:color w:val="000000"/>
      </w:rPr>
    </w:pPr>
  </w:p>
  <w:p w14:paraId="033D66EC" w14:textId="77777777" w:rsidR="002F3CF4" w:rsidRDefault="002F3CF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B2307"/>
    <w:multiLevelType w:val="multilevel"/>
    <w:tmpl w:val="144038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DD0B6B"/>
    <w:multiLevelType w:val="multilevel"/>
    <w:tmpl w:val="8182D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D865C7"/>
    <w:multiLevelType w:val="hybridMultilevel"/>
    <w:tmpl w:val="70027628"/>
    <w:lvl w:ilvl="0" w:tplc="BAF85DB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F4"/>
    <w:rsid w:val="00085C1A"/>
    <w:rsid w:val="002F3CF4"/>
    <w:rsid w:val="002F6AA7"/>
    <w:rsid w:val="003F4089"/>
    <w:rsid w:val="004D68C5"/>
    <w:rsid w:val="00501D15"/>
    <w:rsid w:val="007D3B9A"/>
    <w:rsid w:val="007F1162"/>
    <w:rsid w:val="008B26AB"/>
    <w:rsid w:val="00904EC3"/>
    <w:rsid w:val="00986F59"/>
    <w:rsid w:val="00AA32BE"/>
    <w:rsid w:val="00AF665D"/>
    <w:rsid w:val="00B410B6"/>
    <w:rsid w:val="00B41668"/>
    <w:rsid w:val="00BC367F"/>
    <w:rsid w:val="00C9294F"/>
    <w:rsid w:val="00CC3C36"/>
    <w:rsid w:val="00CE7D45"/>
    <w:rsid w:val="00CF6B81"/>
    <w:rsid w:val="00EC7099"/>
    <w:rsid w:val="00F805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6B457"/>
  <w15:docId w15:val="{E58F963E-5804-4B53-AB12-5569CDFFA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1B0"/>
  </w:style>
  <w:style w:type="paragraph" w:styleId="Ttulo1">
    <w:name w:val="heading 1"/>
    <w:basedOn w:val="Normal"/>
    <w:next w:val="Normal"/>
    <w:pPr>
      <w:keepNext/>
      <w:keepLines/>
      <w:spacing w:before="480" w:after="120"/>
      <w:outlineLvl w:val="0"/>
    </w:pPr>
    <w:rPr>
      <w:b/>
      <w:sz w:val="48"/>
      <w:szCs w:val="48"/>
      <w:lang w:val="es-ES" w:eastAsia="es-ES"/>
    </w:rPr>
  </w:style>
  <w:style w:type="paragraph" w:styleId="Ttulo2">
    <w:name w:val="heading 2"/>
    <w:basedOn w:val="Normal"/>
    <w:next w:val="Normal"/>
    <w:pPr>
      <w:keepNext/>
      <w:keepLines/>
      <w:spacing w:before="360" w:after="80"/>
      <w:outlineLvl w:val="1"/>
    </w:pPr>
    <w:rPr>
      <w:b/>
      <w:sz w:val="36"/>
      <w:szCs w:val="36"/>
      <w:lang w:val="es-ES" w:eastAsia="es-ES"/>
    </w:rPr>
  </w:style>
  <w:style w:type="paragraph" w:styleId="Ttulo3">
    <w:name w:val="heading 3"/>
    <w:basedOn w:val="Normal"/>
    <w:next w:val="Normal"/>
    <w:pPr>
      <w:keepNext/>
      <w:keepLines/>
      <w:spacing w:before="280" w:after="80"/>
      <w:outlineLvl w:val="2"/>
    </w:pPr>
    <w:rPr>
      <w:b/>
      <w:sz w:val="28"/>
      <w:szCs w:val="28"/>
      <w:lang w:val="es-ES" w:eastAsia="es-ES"/>
    </w:rPr>
  </w:style>
  <w:style w:type="paragraph" w:styleId="Ttulo4">
    <w:name w:val="heading 4"/>
    <w:basedOn w:val="Normal"/>
    <w:next w:val="Normal"/>
    <w:pPr>
      <w:keepNext/>
      <w:keepLines/>
      <w:spacing w:before="240" w:after="40"/>
      <w:outlineLvl w:val="3"/>
    </w:pPr>
    <w:rPr>
      <w:b/>
      <w:lang w:val="es-ES" w:eastAsia="es-ES"/>
    </w:rPr>
  </w:style>
  <w:style w:type="paragraph" w:styleId="Ttulo5">
    <w:name w:val="heading 5"/>
    <w:basedOn w:val="Normal"/>
    <w:next w:val="Normal"/>
    <w:pPr>
      <w:keepNext/>
      <w:keepLines/>
      <w:spacing w:before="220" w:after="40"/>
      <w:outlineLvl w:val="4"/>
    </w:pPr>
    <w:rPr>
      <w:b/>
      <w:sz w:val="22"/>
      <w:szCs w:val="22"/>
      <w:lang w:val="es-ES" w:eastAsia="es-ES"/>
    </w:rPr>
  </w:style>
  <w:style w:type="paragraph" w:styleId="Ttulo6">
    <w:name w:val="heading 6"/>
    <w:basedOn w:val="Normal"/>
    <w:next w:val="Normal"/>
    <w:pPr>
      <w:keepNext/>
      <w:keepLines/>
      <w:spacing w:before="200" w:after="40"/>
      <w:outlineLvl w:val="5"/>
    </w:pPr>
    <w:rPr>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eastAsia="es-ES"/>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5792E"/>
    <w:pPr>
      <w:tabs>
        <w:tab w:val="center" w:pos="4419"/>
        <w:tab w:val="right" w:pos="8838"/>
      </w:tabs>
    </w:pPr>
    <w:rPr>
      <w:lang w:val="es-ES" w:eastAsia="es-ES"/>
    </w:rPr>
  </w:style>
  <w:style w:type="character" w:customStyle="1" w:styleId="EncabezadoCar">
    <w:name w:val="Encabezado Car"/>
    <w:basedOn w:val="Fuentedeprrafopredeter"/>
    <w:link w:val="Encabezado"/>
    <w:uiPriority w:val="99"/>
    <w:rsid w:val="0005792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5792E"/>
    <w:pPr>
      <w:tabs>
        <w:tab w:val="center" w:pos="4419"/>
        <w:tab w:val="right" w:pos="8838"/>
      </w:tabs>
    </w:pPr>
    <w:rPr>
      <w:lang w:val="es-ES" w:eastAsia="es-ES"/>
    </w:rPr>
  </w:style>
  <w:style w:type="character" w:customStyle="1" w:styleId="PiedepginaCar">
    <w:name w:val="Pie de página Car"/>
    <w:basedOn w:val="Fuentedeprrafopredeter"/>
    <w:link w:val="Piedepgina"/>
    <w:uiPriority w:val="99"/>
    <w:rsid w:val="0005792E"/>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86786E"/>
    <w:rPr>
      <w:color w:val="0563C1" w:themeColor="hyperlink"/>
      <w:u w:val="single"/>
    </w:rPr>
  </w:style>
  <w:style w:type="character" w:customStyle="1" w:styleId="Mencinsinresolver1">
    <w:name w:val="Mención sin resolver1"/>
    <w:basedOn w:val="Fuentedeprrafopredeter"/>
    <w:uiPriority w:val="99"/>
    <w:semiHidden/>
    <w:unhideWhenUsed/>
    <w:rsid w:val="0086786E"/>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A0FF0"/>
    <w:pPr>
      <w:ind w:left="720"/>
      <w:contextualSpacing/>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58CD"/>
    <w:rPr>
      <w:rFonts w:ascii="Times New Roman" w:eastAsia="Times New Roman" w:hAnsi="Times New Roman" w:cs="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rsid w:val="00F12F84"/>
    <w:rPr>
      <w:color w:val="605E5C"/>
      <w:shd w:val="clear" w:color="auto" w:fill="E1DFDD"/>
    </w:rPr>
  </w:style>
  <w:style w:type="paragraph" w:styleId="NormalWeb">
    <w:name w:val="Normal (Web)"/>
    <w:basedOn w:val="Normal"/>
    <w:uiPriority w:val="99"/>
    <w:unhideWhenUsed/>
    <w:rsid w:val="004816FB"/>
    <w:pPr>
      <w:spacing w:before="100" w:beforeAutospacing="1" w:after="100" w:afterAutospacing="1"/>
    </w:p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3dZ8C8ssvtWb9etHMo1CGqbg==">AMUW2mWA8u1LMX9MSVnLjVZG8so0UU6zpdVwdEQ5crD0shf9kdKMbdGpAcjRee71Wzaz+oTEDuAagn16Q2zBYCR+y7EDdI71cwu8IBF4bMJKJ+8RSruVocVskUPbQTlg2r5fVBydtpsk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5114</Words>
  <Characters>27056</Characters>
  <Application>Microsoft Office Word</Application>
  <DocSecurity>0</DocSecurity>
  <Lines>1503</Lines>
  <Paragraphs>277</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KEPZAR Productos y Servicios de Tecnología</dc:creator>
  <cp:lastModifiedBy>Cuenta Microsoft</cp:lastModifiedBy>
  <cp:revision>6</cp:revision>
  <dcterms:created xsi:type="dcterms:W3CDTF">2022-08-02T02:20:00Z</dcterms:created>
  <dcterms:modified xsi:type="dcterms:W3CDTF">2022-10-12T20:52:00Z</dcterms:modified>
</cp:coreProperties>
</file>