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color w:val="000000"/>
          <w:szCs w:val="24"/>
        </w:rPr>
        <w:t xml:space="preserve">Resolución del Pleno del Instituto de Transparencia, Acceso a la Información Pública y </w:t>
      </w:r>
      <w:bookmarkStart w:id="0" w:name="_GoBack"/>
      <w:bookmarkEnd w:id="0"/>
      <w:r>
        <w:rPr>
          <w:rFonts w:eastAsia="Palatino Linotype" w:cs="Palatino Linotype"/>
          <w:color w:val="000000"/>
          <w:szCs w:val="24"/>
        </w:rPr>
        <w:t xml:space="preserve">Protección de Datos Personales del Estado de México y Municipios, con domicilio en Metepec, </w:t>
      </w:r>
      <w:r>
        <w:rPr>
          <w:rFonts w:eastAsia="Palatino Linotype" w:cs="Palatino Linotype"/>
          <w:color w:val="000000"/>
          <w:szCs w:val="24"/>
        </w:rPr>
        <w:t>México, a siete de septiembre de dos mil veintidós.</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Cs w:val="24"/>
        </w:rPr>
        <w:t>VISTOS</w:t>
      </w:r>
      <w:r>
        <w:rPr>
          <w:rFonts w:eastAsia="Palatino Linotype" w:cs="Palatino Linotype"/>
          <w:color w:val="000000"/>
          <w:szCs w:val="24"/>
        </w:rPr>
        <w:t xml:space="preserve"> los expedientes electrónicos formados con motivo de los recursos de revisión </w:t>
      </w:r>
      <w:r>
        <w:rPr>
          <w:rFonts w:eastAsia="Palatino Linotype" w:cs="Palatino Linotype"/>
          <w:b/>
          <w:color w:val="000000"/>
          <w:szCs w:val="24"/>
        </w:rPr>
        <w:t>09765/INFOEM/IP/RR/2022</w:t>
      </w:r>
      <w:r>
        <w:rPr>
          <w:rFonts w:eastAsia="Palatino Linotype" w:cs="Palatino Linotype"/>
          <w:bCs/>
          <w:color w:val="000000"/>
          <w:szCs w:val="24"/>
        </w:rPr>
        <w:t xml:space="preserve"> y</w:t>
      </w:r>
      <w:r>
        <w:rPr>
          <w:rFonts w:eastAsia="Palatino Linotype" w:cs="Palatino Linotype"/>
          <w:b/>
          <w:color w:val="000000"/>
          <w:szCs w:val="24"/>
        </w:rPr>
        <w:t xml:space="preserve"> 09767/INFOEM/IP/RR/2022</w:t>
      </w:r>
      <w:r>
        <w:rPr>
          <w:rFonts w:eastAsia="Palatino Linotype" w:cs="Palatino Linotype"/>
          <w:bCs/>
          <w:color w:val="000000"/>
          <w:szCs w:val="24"/>
        </w:rPr>
        <w:t>,</w:t>
      </w:r>
      <w:r>
        <w:rPr>
          <w:rFonts w:eastAsia="Palatino Linotype" w:cs="Palatino Linotype"/>
          <w:color w:val="000000"/>
          <w:szCs w:val="24"/>
        </w:rPr>
        <w:t xml:space="preserve"> interpuestos por una persona de manera anónima, en lo sucesivo el</w:t>
      </w:r>
      <w:r>
        <w:rPr>
          <w:rFonts w:eastAsia="Palatino Linotype" w:cs="Palatino Linotype"/>
          <w:b/>
          <w:color w:val="000000"/>
          <w:szCs w:val="24"/>
        </w:rPr>
        <w:t xml:space="preserve"> Re</w:t>
      </w:r>
      <w:r>
        <w:rPr>
          <w:rFonts w:eastAsia="Palatino Linotype" w:cs="Palatino Linotype"/>
          <w:b/>
          <w:color w:val="000000"/>
          <w:szCs w:val="24"/>
        </w:rPr>
        <w:t>currente</w:t>
      </w:r>
      <w:r>
        <w:rPr>
          <w:rFonts w:eastAsia="Palatino Linotype" w:cs="Palatino Linotype"/>
          <w:color w:val="000000"/>
          <w:szCs w:val="24"/>
        </w:rPr>
        <w:t xml:space="preserve">; en contra de las respuestas del </w:t>
      </w:r>
      <w:r>
        <w:rPr>
          <w:rFonts w:eastAsia="Palatino Linotype" w:cs="Palatino Linotype"/>
          <w:b/>
          <w:color w:val="000000"/>
          <w:szCs w:val="24"/>
        </w:rPr>
        <w:t>Tecnológico de Estudios Superiores de Coacalco</w:t>
      </w:r>
      <w:r>
        <w:rPr>
          <w:rFonts w:eastAsia="Palatino Linotype" w:cs="Palatino Linotype"/>
          <w:bCs/>
          <w:color w:val="000000"/>
          <w:szCs w:val="24"/>
        </w:rPr>
        <w:t xml:space="preserve">, </w:t>
      </w:r>
      <w:r>
        <w:rPr>
          <w:rFonts w:eastAsia="Palatino Linotype" w:cs="Palatino Linotype"/>
          <w:color w:val="000000"/>
          <w:szCs w:val="24"/>
        </w:rPr>
        <w:t>en lo subsecuente</w:t>
      </w:r>
      <w:r>
        <w:rPr>
          <w:rFonts w:eastAsia="Palatino Linotype" w:cs="Palatino Linotype"/>
          <w:b/>
          <w:color w:val="000000"/>
          <w:szCs w:val="24"/>
        </w:rPr>
        <w:t xml:space="preserve"> </w:t>
      </w:r>
      <w:r>
        <w:rPr>
          <w:rFonts w:eastAsia="Palatino Linotype" w:cs="Palatino Linotype"/>
          <w:color w:val="000000"/>
          <w:szCs w:val="24"/>
        </w:rPr>
        <w:t>el</w:t>
      </w:r>
      <w:r>
        <w:rPr>
          <w:rFonts w:eastAsia="Palatino Linotype" w:cs="Palatino Linotype"/>
          <w:b/>
          <w:color w:val="000000"/>
          <w:szCs w:val="24"/>
        </w:rPr>
        <w:t xml:space="preserve"> Sujeto Obligado</w:t>
      </w:r>
      <w:r>
        <w:rPr>
          <w:rFonts w:eastAsia="Palatino Linotype" w:cs="Palatino Linotype"/>
          <w:color w:val="000000"/>
          <w:szCs w:val="24"/>
        </w:rPr>
        <w:t>,</w:t>
      </w:r>
      <w:r>
        <w:rPr>
          <w:rFonts w:eastAsia="Palatino Linotype" w:cs="Palatino Linotype"/>
          <w:b/>
          <w:color w:val="000000"/>
          <w:szCs w:val="24"/>
        </w:rPr>
        <w:t xml:space="preserve"> </w:t>
      </w:r>
      <w:r>
        <w:rPr>
          <w:rFonts w:eastAsia="Palatino Linotype" w:cs="Palatino Linotype"/>
          <w:color w:val="000000"/>
          <w:szCs w:val="24"/>
        </w:rPr>
        <w:t>se procede a dictar la presente resolución.</w:t>
      </w:r>
    </w:p>
    <w:p w:rsidR="00A51978" w:rsidRDefault="00A51978">
      <w:pPr>
        <w:rPr>
          <w:rFonts w:eastAsia="Palatino Linotype" w:cs="Palatino Linotype"/>
          <w:color w:val="000000"/>
          <w:szCs w:val="24"/>
        </w:rPr>
      </w:pPr>
    </w:p>
    <w:p w:rsidR="00A51978" w:rsidRDefault="00482951">
      <w:pPr>
        <w:jc w:val="center"/>
        <w:rPr>
          <w:rFonts w:eastAsia="Palatino Linotype" w:cs="Palatino Linotype"/>
          <w:b/>
          <w:color w:val="000000"/>
          <w:sz w:val="28"/>
          <w:szCs w:val="28"/>
        </w:rPr>
      </w:pPr>
      <w:r>
        <w:rPr>
          <w:rFonts w:eastAsia="Palatino Linotype" w:cs="Palatino Linotype"/>
          <w:b/>
          <w:color w:val="000000"/>
          <w:sz w:val="28"/>
          <w:szCs w:val="28"/>
        </w:rPr>
        <w:t>A N T E C E D E N T E S</w:t>
      </w:r>
    </w:p>
    <w:p w:rsidR="00A51978" w:rsidRDefault="00A51978">
      <w:pPr>
        <w:rPr>
          <w:rFonts w:eastAsia="Palatino Linotype" w:cs="Palatino Linotype"/>
          <w:b/>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PRIMERO.</w:t>
      </w:r>
      <w:r>
        <w:rPr>
          <w:rFonts w:eastAsia="Palatino Linotype" w:cs="Palatino Linotype"/>
          <w:color w:val="000000"/>
          <w:sz w:val="26"/>
          <w:szCs w:val="26"/>
        </w:rPr>
        <w:t xml:space="preserve"> </w:t>
      </w:r>
      <w:r>
        <w:rPr>
          <w:rFonts w:eastAsia="Palatino Linotype" w:cs="Palatino Linotype"/>
          <w:b/>
          <w:color w:val="000000"/>
          <w:sz w:val="26"/>
          <w:szCs w:val="26"/>
        </w:rPr>
        <w:t>De las solicitudes de información.</w:t>
      </w:r>
    </w:p>
    <w:p w:rsidR="00A51978" w:rsidRDefault="00482951">
      <w:pPr>
        <w:rPr>
          <w:rFonts w:eastAsia="Palatino Linotype" w:cs="Palatino Linotype"/>
          <w:b/>
          <w:bCs/>
          <w:color w:val="000000"/>
          <w:szCs w:val="24"/>
        </w:rPr>
      </w:pPr>
      <w:r>
        <w:rPr>
          <w:rFonts w:eastAsia="Palatino Linotype" w:cs="Palatino Linotype"/>
          <w:color w:val="000000"/>
          <w:szCs w:val="24"/>
        </w:rPr>
        <w:t xml:space="preserve">Con fecha dos </w:t>
      </w:r>
      <w:r>
        <w:rPr>
          <w:rFonts w:eastAsia="Palatino Linotype" w:cs="Palatino Linotype"/>
          <w:color w:val="000000"/>
          <w:szCs w:val="24"/>
        </w:rPr>
        <w:t xml:space="preserve">de mayo de dos mil veintidós, el Recurrente presentó a través del Sistema de Acceso a la Información Mexiquense (SAIMEX) ante el Sujeto Obligado, solicitudes de acceso a la información pública registradas con los números de expediente </w:t>
      </w:r>
      <w:r>
        <w:rPr>
          <w:rFonts w:eastAsia="Palatino Linotype" w:cs="Palatino Linotype"/>
          <w:b/>
          <w:bCs/>
          <w:color w:val="000000"/>
          <w:szCs w:val="24"/>
        </w:rPr>
        <w:t>00007/TESCO/IP/2022</w:t>
      </w:r>
      <w:r>
        <w:rPr>
          <w:rFonts w:eastAsia="Palatino Linotype" w:cs="Palatino Linotype"/>
          <w:color w:val="000000"/>
          <w:szCs w:val="24"/>
        </w:rPr>
        <w:t xml:space="preserve"> y </w:t>
      </w:r>
      <w:r>
        <w:rPr>
          <w:rFonts w:eastAsia="Palatino Linotype" w:cs="Palatino Linotype"/>
          <w:b/>
          <w:bCs/>
          <w:color w:val="000000"/>
          <w:szCs w:val="24"/>
        </w:rPr>
        <w:t>00008/TESCO/IP/2022</w:t>
      </w:r>
      <w:r>
        <w:rPr>
          <w:rFonts w:eastAsia="Palatino Linotype" w:cs="Palatino Linotype"/>
          <w:color w:val="000000"/>
          <w:szCs w:val="24"/>
        </w:rPr>
        <w:t>,</w:t>
      </w:r>
      <w:r>
        <w:rPr>
          <w:rFonts w:eastAsia="Palatino Linotype" w:cs="Palatino Linotype"/>
          <w:b/>
          <w:color w:val="000000"/>
          <w:szCs w:val="24"/>
        </w:rPr>
        <w:t xml:space="preserve"> </w:t>
      </w:r>
      <w:r>
        <w:rPr>
          <w:rFonts w:eastAsia="Palatino Linotype" w:cs="Palatino Linotype"/>
          <w:color w:val="000000"/>
          <w:szCs w:val="24"/>
        </w:rPr>
        <w:t>mediante las cuales solicitó información en el tenor siguiente:</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u w:val="single"/>
        </w:rPr>
      </w:pPr>
      <w:r>
        <w:rPr>
          <w:rFonts w:eastAsia="Palatino Linotype" w:cs="Palatino Linotype"/>
          <w:b/>
          <w:bCs/>
          <w:color w:val="000000"/>
          <w:szCs w:val="24"/>
          <w:u w:val="single"/>
        </w:rPr>
        <w:t>00007/TESCO/IP/2022</w:t>
      </w:r>
    </w:p>
    <w:p w:rsidR="00A51978" w:rsidRDefault="00482951">
      <w:pPr>
        <w:pStyle w:val="Sinespaciado"/>
        <w:rPr>
          <w:rFonts w:eastAsia="Palatino Linotype"/>
          <w:lang w:val="es-ES"/>
        </w:rPr>
      </w:pPr>
      <w:r>
        <w:rPr>
          <w:rFonts w:eastAsia="Palatino Linotype"/>
          <w:lang w:val="es-ES"/>
        </w:rPr>
        <w:t>“Solicito información de la Servidora Pública Montserrat Silva Pantoja, específicamente Grado de Estudios y Cédula Profesional. También solicito co</w:t>
      </w:r>
      <w:r>
        <w:rPr>
          <w:rFonts w:eastAsia="Palatino Linotype"/>
          <w:lang w:val="es-ES"/>
        </w:rPr>
        <w:t xml:space="preserve">pia simple en versión pública de </w:t>
      </w:r>
      <w:r>
        <w:rPr>
          <w:rFonts w:eastAsia="Palatino Linotype"/>
          <w:lang w:val="es-ES"/>
        </w:rPr>
        <w:lastRenderedPageBreak/>
        <w:t>los oficios firmados por dicha servidora pública como titular de los Departamentos de Seguimiento de Egresados y Departamento de Servicio Social.” (Sic)</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u w:val="single"/>
        </w:rPr>
      </w:pPr>
      <w:r>
        <w:rPr>
          <w:rFonts w:eastAsia="Palatino Linotype" w:cs="Palatino Linotype"/>
          <w:b/>
          <w:bCs/>
          <w:color w:val="000000"/>
          <w:szCs w:val="24"/>
          <w:u w:val="single"/>
        </w:rPr>
        <w:t>00008/TESCO/IP/2022</w:t>
      </w:r>
    </w:p>
    <w:p w:rsidR="00A51978" w:rsidRDefault="00482951">
      <w:pPr>
        <w:pStyle w:val="Sinespaciado"/>
        <w:rPr>
          <w:rFonts w:eastAsia="Palatino Linotype"/>
          <w:lang w:val="es-ES"/>
        </w:rPr>
      </w:pPr>
      <w:r>
        <w:rPr>
          <w:rFonts w:eastAsia="Palatino Linotype"/>
          <w:lang w:val="es-ES"/>
        </w:rPr>
        <w:t>“Solicito información del Servidor Público Marcel</w:t>
      </w:r>
      <w:r>
        <w:rPr>
          <w:rFonts w:eastAsia="Palatino Linotype"/>
          <w:lang w:val="es-ES"/>
        </w:rPr>
        <w:t>o Flores Bustamante, específicamente Grado de Estudios y Cédula Profesional. También solicito copia simple en versión pública de todos los documentos firmados por dicho servidor publico durante los ejercicios 2021 y 2022.” (Sic)</w:t>
      </w:r>
    </w:p>
    <w:p w:rsidR="00A51978" w:rsidRDefault="00A51978">
      <w:pPr>
        <w:rPr>
          <w:rFonts w:eastAsia="Palatino Linotype" w:cs="Palatino Linotype"/>
          <w:color w:val="000000"/>
          <w:szCs w:val="24"/>
          <w:u w:val="single"/>
        </w:rPr>
      </w:pPr>
    </w:p>
    <w:p w:rsidR="00A51978" w:rsidRDefault="00482951">
      <w:pPr>
        <w:rPr>
          <w:rFonts w:eastAsia="Palatino Linotype" w:cs="Palatino Linotype"/>
          <w:color w:val="000000"/>
          <w:szCs w:val="24"/>
        </w:rPr>
      </w:pPr>
      <w:r>
        <w:rPr>
          <w:rFonts w:eastAsia="Palatino Linotype" w:cs="Palatino Linotype"/>
          <w:color w:val="000000"/>
          <w:szCs w:val="24"/>
        </w:rPr>
        <w:t>Modalidad de entrega: a tr</w:t>
      </w:r>
      <w:r>
        <w:rPr>
          <w:rFonts w:eastAsia="Palatino Linotype" w:cs="Palatino Linotype"/>
          <w:color w:val="000000"/>
          <w:szCs w:val="24"/>
        </w:rPr>
        <w:t xml:space="preserve">avés del </w:t>
      </w:r>
      <w:r>
        <w:rPr>
          <w:rFonts w:eastAsia="Palatino Linotype" w:cs="Palatino Linotype"/>
          <w:b/>
          <w:color w:val="000000"/>
          <w:szCs w:val="24"/>
        </w:rPr>
        <w:t>SAIMEX</w:t>
      </w:r>
      <w:r>
        <w:rPr>
          <w:rFonts w:eastAsia="Palatino Linotype" w:cs="Palatino Linotype"/>
          <w:color w:val="000000"/>
          <w:szCs w:val="24"/>
        </w:rPr>
        <w:t>.</w:t>
      </w:r>
    </w:p>
    <w:p w:rsidR="00A51978" w:rsidRDefault="00A51978">
      <w:pPr>
        <w:rPr>
          <w:rFonts w:eastAsia="Palatino Linotype" w:cs="Palatino Linotype"/>
          <w:bCs/>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 w:val="26"/>
          <w:szCs w:val="26"/>
        </w:rPr>
        <w:t>SEGUNDO. De las respuestas del Sujeto Obligado.</w:t>
      </w:r>
    </w:p>
    <w:p w:rsidR="00A51978" w:rsidRDefault="00482951">
      <w:pPr>
        <w:contextualSpacing/>
        <w:rPr>
          <w:rFonts w:eastAsia="Palatino Linotype" w:cs="Palatino Linotype"/>
          <w:color w:val="000000"/>
          <w:szCs w:val="24"/>
        </w:rPr>
      </w:pPr>
      <w:r>
        <w:rPr>
          <w:rFonts w:eastAsia="Palatino Linotype" w:cs="Palatino Linotype"/>
          <w:color w:val="000000"/>
          <w:szCs w:val="24"/>
        </w:rPr>
        <w:t xml:space="preserve">De las constancias que obran en el expediente electrónico, se observa que el día veinticuatro de mayo de dos mil veintidós, el Sujeto Obligado dio respuesta a las solicitudes de información </w:t>
      </w:r>
      <w:r>
        <w:rPr>
          <w:rFonts w:eastAsia="Palatino Linotype" w:cs="Palatino Linotype"/>
          <w:color w:val="000000"/>
          <w:szCs w:val="24"/>
        </w:rPr>
        <w:t>manifestando lo siguiente:</w:t>
      </w:r>
    </w:p>
    <w:p w:rsidR="00A51978" w:rsidRDefault="00A51978">
      <w:pPr>
        <w:contextualSpacing/>
        <w:rPr>
          <w:rFonts w:eastAsia="Palatino Linotype" w:cs="Palatino Linotype"/>
          <w:color w:val="000000"/>
          <w:szCs w:val="24"/>
        </w:rPr>
      </w:pPr>
    </w:p>
    <w:p w:rsidR="00A51978" w:rsidRDefault="00482951">
      <w:pPr>
        <w:rPr>
          <w:rFonts w:eastAsia="Palatino Linotype" w:cs="Palatino Linotype"/>
          <w:color w:val="000000"/>
          <w:szCs w:val="24"/>
          <w:u w:val="single"/>
        </w:rPr>
      </w:pPr>
      <w:r>
        <w:rPr>
          <w:rFonts w:eastAsia="Palatino Linotype" w:cs="Palatino Linotype"/>
          <w:b/>
          <w:bCs/>
          <w:color w:val="000000"/>
          <w:szCs w:val="24"/>
          <w:u w:val="single"/>
        </w:rPr>
        <w:t>00007/TESCO/IP/2022</w:t>
      </w:r>
    </w:p>
    <w:p w:rsidR="00A51978" w:rsidRDefault="00482951">
      <w:pPr>
        <w:pStyle w:val="Sinespaciado"/>
        <w:rPr>
          <w:rFonts w:eastAsia="Palatino Linotype"/>
        </w:rPr>
      </w:pPr>
      <w:r>
        <w:rPr>
          <w:rFonts w:eastAsia="Palatino Linotype"/>
        </w:rPr>
        <w:t>“En respuesta a la solicitud recibida, nos permitimos hacer de su conocimiento que con fundamento en el artículo 53, Fracciones: II, V y VI de la Ley de Transparencia y Acceso a la Información Pública del Est</w:t>
      </w:r>
      <w:r>
        <w:rPr>
          <w:rFonts w:eastAsia="Palatino Linotype"/>
        </w:rPr>
        <w:t>ado de México y Municipios, le contestamos que:</w:t>
      </w:r>
    </w:p>
    <w:p w:rsidR="00A51978" w:rsidRDefault="00A51978">
      <w:pPr>
        <w:pStyle w:val="Sinespaciado"/>
      </w:pPr>
    </w:p>
    <w:p w:rsidR="00A51978" w:rsidRDefault="00482951">
      <w:pPr>
        <w:pStyle w:val="Sinespaciado"/>
        <w:rPr>
          <w:rFonts w:eastAsia="Palatino Linotype"/>
        </w:rPr>
      </w:pPr>
      <w:r>
        <w:rPr>
          <w:rFonts w:eastAsia="Palatino Linotype"/>
        </w:rPr>
        <w:t>SE ADJUNTA RESPUESTA A SU SOLICITUD DE INFORMACION</w:t>
      </w:r>
    </w:p>
    <w:p w:rsidR="00A51978" w:rsidRDefault="00A51978">
      <w:pPr>
        <w:pStyle w:val="Sinespaciado"/>
      </w:pPr>
    </w:p>
    <w:p w:rsidR="00A51978" w:rsidRDefault="00482951">
      <w:pPr>
        <w:pStyle w:val="Sinespaciado"/>
        <w:rPr>
          <w:rFonts w:eastAsia="Palatino Linotype"/>
        </w:rPr>
      </w:pPr>
      <w:r>
        <w:rPr>
          <w:rFonts w:eastAsia="Palatino Linotype"/>
        </w:rPr>
        <w:t>ATENTAMENTE</w:t>
      </w:r>
    </w:p>
    <w:p w:rsidR="00A51978" w:rsidRDefault="00482951">
      <w:pPr>
        <w:pStyle w:val="Sinespaciado"/>
        <w:rPr>
          <w:rFonts w:eastAsia="Palatino Linotype"/>
        </w:rPr>
      </w:pPr>
      <w:r>
        <w:rPr>
          <w:rFonts w:eastAsia="Palatino Linotype"/>
        </w:rPr>
        <w:t>Mtro. Carlos Trejo Hernández” (Sic)</w:t>
      </w:r>
    </w:p>
    <w:p w:rsidR="00A51978" w:rsidRDefault="00A51978">
      <w:pPr>
        <w:contextualSpacing/>
        <w:rPr>
          <w:rFonts w:eastAsia="Palatino Linotype" w:cs="Palatino Linotype"/>
          <w:color w:val="000000"/>
          <w:szCs w:val="24"/>
        </w:rPr>
      </w:pPr>
    </w:p>
    <w:p w:rsidR="00A51978" w:rsidRDefault="00482951">
      <w:pPr>
        <w:rPr>
          <w:rFonts w:eastAsia="Palatino Linotype" w:cs="Palatino Linotype"/>
          <w:color w:val="000000"/>
          <w:szCs w:val="24"/>
          <w:u w:val="single"/>
        </w:rPr>
      </w:pPr>
      <w:r>
        <w:rPr>
          <w:rFonts w:eastAsia="Palatino Linotype" w:cs="Palatino Linotype"/>
          <w:b/>
          <w:bCs/>
          <w:color w:val="000000"/>
          <w:szCs w:val="24"/>
          <w:u w:val="single"/>
        </w:rPr>
        <w:t>00008/TESCO/IP/2022</w:t>
      </w:r>
    </w:p>
    <w:p w:rsidR="00A51978" w:rsidRDefault="00482951">
      <w:pPr>
        <w:pStyle w:val="Sinespaciado"/>
        <w:rPr>
          <w:rFonts w:eastAsia="Palatino Linotype"/>
        </w:rPr>
      </w:pPr>
      <w:r>
        <w:rPr>
          <w:rFonts w:eastAsia="Palatino Linotype"/>
        </w:rPr>
        <w:t>“En respuesta a la solicitud recibida, nos permitimos hacer de su conocimiento que con</w:t>
      </w:r>
      <w:r>
        <w:rPr>
          <w:rFonts w:eastAsia="Palatino Linotype"/>
        </w:rPr>
        <w:t xml:space="preserve"> fundamento en el artículo 53, Fracciones: II, V y VI de la Ley de Transparencia y Acceso a la Información Pública del Estado de México y Municipios, le contestamos que:</w:t>
      </w:r>
    </w:p>
    <w:p w:rsidR="00A51978" w:rsidRDefault="00A51978">
      <w:pPr>
        <w:pStyle w:val="Sinespaciado"/>
      </w:pPr>
    </w:p>
    <w:p w:rsidR="00A51978" w:rsidRDefault="00482951">
      <w:pPr>
        <w:pStyle w:val="Sinespaciado"/>
        <w:rPr>
          <w:rFonts w:eastAsia="Palatino Linotype"/>
        </w:rPr>
      </w:pPr>
      <w:r>
        <w:rPr>
          <w:rFonts w:eastAsia="Palatino Linotype"/>
        </w:rPr>
        <w:lastRenderedPageBreak/>
        <w:t>SE ADJUNTA RESPUESTA A SU SOLICITUD</w:t>
      </w:r>
    </w:p>
    <w:p w:rsidR="00A51978" w:rsidRDefault="00A51978">
      <w:pPr>
        <w:pStyle w:val="Sinespaciado"/>
      </w:pPr>
    </w:p>
    <w:p w:rsidR="00A51978" w:rsidRDefault="00482951">
      <w:pPr>
        <w:pStyle w:val="Sinespaciado"/>
        <w:rPr>
          <w:rFonts w:eastAsia="Palatino Linotype"/>
        </w:rPr>
      </w:pPr>
      <w:r>
        <w:rPr>
          <w:rFonts w:eastAsia="Palatino Linotype"/>
        </w:rPr>
        <w:t>ATENTAMENTE</w:t>
      </w:r>
    </w:p>
    <w:p w:rsidR="00A51978" w:rsidRDefault="00482951">
      <w:pPr>
        <w:pStyle w:val="Sinespaciado"/>
        <w:rPr>
          <w:rFonts w:eastAsia="Palatino Linotype"/>
        </w:rPr>
      </w:pPr>
      <w:r>
        <w:rPr>
          <w:rFonts w:eastAsia="Palatino Linotype"/>
        </w:rPr>
        <w:t>Mtro. Carlos Trejo Hernández” (Sic)</w:t>
      </w:r>
    </w:p>
    <w:p w:rsidR="00A51978" w:rsidRDefault="00A51978"/>
    <w:p w:rsidR="00A51978" w:rsidRDefault="00482951">
      <w:pPr>
        <w:contextualSpacing/>
        <w:rPr>
          <w:rFonts w:eastAsia="Palatino Linotype" w:cs="Palatino Linotype"/>
          <w:color w:val="000000"/>
          <w:szCs w:val="24"/>
        </w:rPr>
      </w:pPr>
      <w:r>
        <w:rPr>
          <w:rFonts w:eastAsia="Palatino Linotype" w:cs="Palatino Linotype"/>
          <w:color w:val="000000"/>
          <w:szCs w:val="24"/>
        </w:rPr>
        <w:t xml:space="preserve">A sus respuestas, el Sujeto Obligado adjuntó los documentos denominados  </w:t>
      </w:r>
      <w:r>
        <w:rPr>
          <w:rFonts w:eastAsia="Palatino Linotype" w:cs="Palatino Linotype"/>
          <w:b/>
          <w:color w:val="000000"/>
          <w:szCs w:val="24"/>
        </w:rPr>
        <w:t>“00007TESCOIP2022.pdf”</w:t>
      </w:r>
      <w:r>
        <w:rPr>
          <w:rFonts w:eastAsia="Palatino Linotype" w:cs="Palatino Linotype"/>
          <w:bCs/>
          <w:color w:val="000000"/>
          <w:szCs w:val="24"/>
        </w:rPr>
        <w:t xml:space="preserve"> y</w:t>
      </w:r>
      <w:r>
        <w:rPr>
          <w:rFonts w:eastAsia="Palatino Linotype" w:cs="Palatino Linotype"/>
          <w:b/>
          <w:color w:val="000000"/>
          <w:szCs w:val="24"/>
        </w:rPr>
        <w:t xml:space="preserve"> “00008TESCOIP2022.pdf”</w:t>
      </w:r>
      <w:r>
        <w:rPr>
          <w:rFonts w:eastAsia="Palatino Linotype" w:cs="Palatino Linotype"/>
          <w:color w:val="000000"/>
          <w:szCs w:val="24"/>
        </w:rPr>
        <w:t>, respectivamente, los cuales no se reproducen por ser del conocimiento de las partes; no obstante, se hará el análisis correspondiente</w:t>
      </w:r>
      <w:r>
        <w:rPr>
          <w:rFonts w:eastAsia="Palatino Linotype" w:cs="Palatino Linotype"/>
          <w:color w:val="000000"/>
          <w:szCs w:val="24"/>
        </w:rPr>
        <w:t xml:space="preserve"> durante el estudio del asunto.</w:t>
      </w:r>
    </w:p>
    <w:p w:rsidR="00A51978" w:rsidRDefault="00A51978">
      <w:pPr>
        <w:contextualSpacing/>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TERCERO. Del recurso de revisión.</w:t>
      </w:r>
    </w:p>
    <w:p w:rsidR="00A51978" w:rsidRDefault="00482951">
      <w:pPr>
        <w:rPr>
          <w:rFonts w:eastAsia="Palatino Linotype" w:cs="Palatino Linotype"/>
          <w:color w:val="000000"/>
          <w:szCs w:val="24"/>
        </w:rPr>
      </w:pPr>
      <w:r>
        <w:rPr>
          <w:rFonts w:eastAsia="Palatino Linotype" w:cs="Palatino Linotype"/>
          <w:color w:val="000000"/>
          <w:szCs w:val="24"/>
        </w:rPr>
        <w:t>En fecha veintiséis de mayo de dos mil veintidós, el Recurrente interpuso los presentes recursos de revisión, los cuales fueron registrados</w:t>
      </w:r>
      <w:r>
        <w:rPr>
          <w:rFonts w:eastAsia="Palatino Linotype" w:cs="Palatino Linotype"/>
          <w:b/>
          <w:color w:val="000000"/>
          <w:szCs w:val="24"/>
        </w:rPr>
        <w:t xml:space="preserve"> </w:t>
      </w:r>
      <w:r>
        <w:rPr>
          <w:rFonts w:eastAsia="Palatino Linotype" w:cs="Palatino Linotype"/>
          <w:color w:val="000000"/>
          <w:szCs w:val="24"/>
        </w:rPr>
        <w:t xml:space="preserve">en el SAIMEX con los expedientes </w:t>
      </w:r>
      <w:r>
        <w:rPr>
          <w:rFonts w:eastAsia="Palatino Linotype" w:cs="Palatino Linotype"/>
          <w:b/>
          <w:color w:val="000000"/>
          <w:szCs w:val="24"/>
        </w:rPr>
        <w:t>09765/INFOEM/IP/</w:t>
      </w:r>
      <w:r>
        <w:rPr>
          <w:rFonts w:eastAsia="Palatino Linotype" w:cs="Palatino Linotype"/>
          <w:b/>
          <w:color w:val="000000"/>
          <w:szCs w:val="24"/>
        </w:rPr>
        <w:t>RR/2022</w:t>
      </w:r>
      <w:r>
        <w:rPr>
          <w:rFonts w:eastAsia="Palatino Linotype" w:cs="Palatino Linotype"/>
          <w:bCs/>
          <w:color w:val="000000"/>
          <w:szCs w:val="24"/>
        </w:rPr>
        <w:t xml:space="preserve"> y</w:t>
      </w:r>
      <w:r>
        <w:rPr>
          <w:rFonts w:eastAsia="Palatino Linotype" w:cs="Palatino Linotype"/>
          <w:b/>
          <w:color w:val="000000"/>
          <w:szCs w:val="24"/>
        </w:rPr>
        <w:t xml:space="preserve"> 09767/INFOEM/IP/RR/2022 </w:t>
      </w:r>
      <w:r>
        <w:rPr>
          <w:rFonts w:eastAsia="Palatino Linotype" w:cs="Palatino Linotype"/>
          <w:color w:val="000000"/>
          <w:szCs w:val="24"/>
        </w:rPr>
        <w:t>manifestando lo siguiente:</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u w:val="single"/>
        </w:rPr>
      </w:pPr>
      <w:r>
        <w:rPr>
          <w:rFonts w:eastAsia="Palatino Linotype" w:cs="Palatino Linotype"/>
          <w:b/>
          <w:color w:val="000000"/>
          <w:szCs w:val="24"/>
          <w:u w:val="single"/>
        </w:rPr>
        <w:t>09765/INFOEM/IP/RR/2022</w:t>
      </w:r>
    </w:p>
    <w:p w:rsidR="00A51978" w:rsidRDefault="00482951">
      <w:pPr>
        <w:rPr>
          <w:rFonts w:eastAsia="Palatino Linotype" w:cs="Palatino Linotype"/>
          <w:b/>
          <w:color w:val="000000"/>
          <w:szCs w:val="24"/>
        </w:rPr>
      </w:pPr>
      <w:r>
        <w:rPr>
          <w:rFonts w:eastAsia="Palatino Linotype" w:cs="Palatino Linotype"/>
          <w:b/>
          <w:color w:val="000000"/>
          <w:szCs w:val="24"/>
        </w:rPr>
        <w:t xml:space="preserve">Actos Impugnados: </w:t>
      </w:r>
    </w:p>
    <w:p w:rsidR="00A51978" w:rsidRDefault="00482951">
      <w:pPr>
        <w:pStyle w:val="Sinespaciado"/>
        <w:rPr>
          <w:rFonts w:eastAsia="Palatino Linotype"/>
          <w:lang w:val="es-ES"/>
        </w:rPr>
      </w:pPr>
      <w:r>
        <w:rPr>
          <w:rFonts w:eastAsia="Palatino Linotype"/>
          <w:lang w:val="es-ES"/>
        </w:rPr>
        <w:t>“Quisiera manifestar mi inconformidad con la respuesta proporcionada por el Tecnológico de Estudios Superiores de Coacalco a mi solicitud de Informació</w:t>
      </w:r>
      <w:r>
        <w:rPr>
          <w:rFonts w:eastAsia="Palatino Linotype"/>
          <w:lang w:val="es-ES"/>
        </w:rPr>
        <w:t>n con folio 00007/TESCO/IP/2022, en la cual solicité copia simple en versión pública de los oficios firmados por la Servidora Pública Montserrat Silva Pantoja como titular de los Departamentos de Seguimiento de Egresados y Departamento de Servicio Social.”</w:t>
      </w:r>
      <w:r>
        <w:rPr>
          <w:rFonts w:eastAsia="Palatino Linotype"/>
          <w:lang w:val="es-ES"/>
        </w:rPr>
        <w:t xml:space="preserve"> (Sic) </w:t>
      </w:r>
    </w:p>
    <w:p w:rsidR="00A51978" w:rsidRDefault="00A51978"/>
    <w:p w:rsidR="00A51978" w:rsidRDefault="00482951">
      <w:r>
        <w:rPr>
          <w:b/>
        </w:rPr>
        <w:t>Razones o Motivos de Inconformidad</w:t>
      </w:r>
      <w:r>
        <w:t xml:space="preserve">: </w:t>
      </w:r>
    </w:p>
    <w:p w:rsidR="00A51978" w:rsidRDefault="00482951">
      <w:pPr>
        <w:pStyle w:val="Sinespaciado"/>
        <w:rPr>
          <w:rFonts w:eastAsia="Palatino Linotype"/>
          <w:lang w:val="es-ES"/>
        </w:rPr>
      </w:pPr>
      <w:r>
        <w:rPr>
          <w:rFonts w:eastAsia="Palatino Linotype"/>
          <w:lang w:val="es-ES"/>
        </w:rPr>
        <w:t xml:space="preserve">“A través del documento en que se da respuesta a mi solicitud se me informa que, en la estructura de organización del Tecnológico de Estudios Superiores de Coacalco no se cuenta con unidades administrativas bajo el nombre de Departamento de Seguimiento de </w:t>
      </w:r>
      <w:r>
        <w:rPr>
          <w:rFonts w:eastAsia="Palatino Linotype"/>
          <w:lang w:val="es-ES"/>
        </w:rPr>
        <w:t xml:space="preserve">Egresados y/o Departamento de Servicio Social, por lo que no se me proporcionó documento alguno. Ya que el Tecnológico no me solicitó aclaración alguna ni me orientó antes o al momento de darme </w:t>
      </w:r>
      <w:r>
        <w:rPr>
          <w:rFonts w:eastAsia="Palatino Linotype"/>
          <w:lang w:val="es-ES"/>
        </w:rPr>
        <w:lastRenderedPageBreak/>
        <w:t>una respuesta respecto al nombre exacto de las Unidades Admini</w:t>
      </w:r>
      <w:r>
        <w:rPr>
          <w:rFonts w:eastAsia="Palatino Linotype"/>
          <w:lang w:val="es-ES"/>
        </w:rPr>
        <w:t>strativas por las que requiero la información, me he dado a la tarea de investigar los datos en su portal de información pública y considero que los datos proporcionados al momento de hacer mi solicitud original hacían plenamente identificable la informaci</w:t>
      </w:r>
      <w:r>
        <w:rPr>
          <w:rFonts w:eastAsia="Palatino Linotype"/>
          <w:lang w:val="es-ES"/>
        </w:rPr>
        <w:t>ón que requería, ya que de acuerdo con el portal de información pública del TESCo, este cuenta con un Departamento de Servicio Social y Prácticas Profesionales, del cual Montserrat Silva Pantoja fue dada de alta en el cargo de Jefa de Departamento el 01 de</w:t>
      </w:r>
      <w:r>
        <w:rPr>
          <w:rFonts w:eastAsia="Palatino Linotype"/>
          <w:lang w:val="es-ES"/>
        </w:rPr>
        <w:t xml:space="preserve"> septiembre de 2017, y con un Departamento de Seguimiento de Egresados y Vinculación, del cual Montserrat Silva Pantoja ocupa el cargo de Jefa de Departamento hasta la fecha. Por lo anteriormente expuesto, considero que el Tecnológico de Estudios Superiore</w:t>
      </w:r>
      <w:r>
        <w:rPr>
          <w:rFonts w:eastAsia="Palatino Linotype"/>
          <w:lang w:val="es-ES"/>
        </w:rPr>
        <w:t>s de Coacalco al negarme la información solicitada está violando mi derecho de acceso a la información, y a través de este medio requiero copia simple en versión pública de los oficios firmados por la Servidora Pública Montserrat Silva Pantoja como titular</w:t>
      </w:r>
      <w:r>
        <w:rPr>
          <w:rFonts w:eastAsia="Palatino Linotype"/>
          <w:lang w:val="es-ES"/>
        </w:rPr>
        <w:t xml:space="preserve"> de los Departamentos de Seguimiento de Egresados y Vinculación (periodo 2021-2022) y Departamento de Servicio Social y Prácticas Profesionales (periodo 2017-2021), y deseo que la modalidad de entrega de los mismos sea vía SAIMEX.” (Sic) </w:t>
      </w:r>
    </w:p>
    <w:p w:rsidR="00A51978" w:rsidRDefault="00A51978">
      <w:pPr>
        <w:ind w:right="567"/>
        <w:rPr>
          <w:rFonts w:eastAsia="Palatino Linotype" w:cs="Palatino Linotype"/>
          <w:color w:val="000000"/>
          <w:szCs w:val="24"/>
        </w:rPr>
      </w:pPr>
    </w:p>
    <w:p w:rsidR="00A51978" w:rsidRDefault="00482951">
      <w:pPr>
        <w:ind w:right="567"/>
        <w:rPr>
          <w:rFonts w:eastAsia="Palatino Linotype" w:cs="Palatino Linotype"/>
          <w:color w:val="000000"/>
          <w:szCs w:val="24"/>
        </w:rPr>
      </w:pPr>
      <w:r>
        <w:rPr>
          <w:rFonts w:eastAsia="Palatino Linotype" w:cs="Palatino Linotype"/>
          <w:color w:val="000000"/>
          <w:szCs w:val="24"/>
        </w:rPr>
        <w:t xml:space="preserve">A su medio de impugnación, el Recurrente adjuntó los documentos denominados </w:t>
      </w:r>
      <w:r>
        <w:rPr>
          <w:rFonts w:eastAsia="Palatino Linotype" w:cs="Palatino Linotype"/>
          <w:b/>
          <w:bCs/>
          <w:color w:val="000000"/>
          <w:szCs w:val="24"/>
        </w:rPr>
        <w:t>“IPOMEX SEYV 1.PNG”</w:t>
      </w:r>
      <w:r>
        <w:rPr>
          <w:rFonts w:eastAsia="Palatino Linotype" w:cs="Palatino Linotype"/>
          <w:color w:val="000000"/>
          <w:szCs w:val="24"/>
        </w:rPr>
        <w:t xml:space="preserve"> e </w:t>
      </w:r>
      <w:r>
        <w:rPr>
          <w:rFonts w:eastAsia="Palatino Linotype" w:cs="Palatino Linotype"/>
          <w:b/>
          <w:bCs/>
          <w:color w:val="000000"/>
          <w:szCs w:val="24"/>
        </w:rPr>
        <w:t>“IPOMEX SSYPP 1.PNG”</w:t>
      </w:r>
      <w:r>
        <w:rPr>
          <w:rFonts w:eastAsia="Palatino Linotype" w:cs="Palatino Linotype"/>
          <w:color w:val="000000"/>
          <w:szCs w:val="24"/>
        </w:rPr>
        <w:t>.</w:t>
      </w:r>
    </w:p>
    <w:p w:rsidR="00A51978" w:rsidRDefault="00A51978">
      <w:pPr>
        <w:ind w:right="567"/>
        <w:rPr>
          <w:rFonts w:eastAsia="Palatino Linotype" w:cs="Palatino Linotype"/>
          <w:color w:val="000000"/>
          <w:szCs w:val="24"/>
        </w:rPr>
      </w:pPr>
    </w:p>
    <w:p w:rsidR="00A51978" w:rsidRDefault="00482951">
      <w:pPr>
        <w:rPr>
          <w:rFonts w:eastAsia="Palatino Linotype" w:cs="Palatino Linotype"/>
          <w:color w:val="000000"/>
          <w:szCs w:val="24"/>
          <w:u w:val="single"/>
        </w:rPr>
      </w:pPr>
      <w:r>
        <w:rPr>
          <w:rFonts w:eastAsia="Palatino Linotype" w:cs="Palatino Linotype"/>
          <w:b/>
          <w:color w:val="000000"/>
          <w:szCs w:val="24"/>
          <w:u w:val="single"/>
        </w:rPr>
        <w:t>09767/INFOEM/IP/RR/2022</w:t>
      </w:r>
    </w:p>
    <w:p w:rsidR="00A51978" w:rsidRDefault="00482951">
      <w:pPr>
        <w:rPr>
          <w:rFonts w:eastAsia="Palatino Linotype" w:cs="Palatino Linotype"/>
          <w:b/>
          <w:color w:val="000000"/>
          <w:szCs w:val="24"/>
        </w:rPr>
      </w:pPr>
      <w:r>
        <w:rPr>
          <w:rFonts w:eastAsia="Palatino Linotype" w:cs="Palatino Linotype"/>
          <w:b/>
          <w:color w:val="000000"/>
          <w:szCs w:val="24"/>
        </w:rPr>
        <w:t xml:space="preserve">Actos Impugnados: </w:t>
      </w:r>
    </w:p>
    <w:p w:rsidR="00A51978" w:rsidRDefault="00482951">
      <w:pPr>
        <w:pStyle w:val="Sinespaciado"/>
        <w:rPr>
          <w:rFonts w:eastAsia="Palatino Linotype"/>
          <w:lang w:val="es-ES"/>
        </w:rPr>
      </w:pPr>
      <w:r>
        <w:rPr>
          <w:rFonts w:eastAsia="Palatino Linotype"/>
          <w:lang w:val="es-ES"/>
        </w:rPr>
        <w:t>“Quisiera manifestar mi inconformidad con la respuesta proporcionada por el Tecnológico de E</w:t>
      </w:r>
      <w:r>
        <w:rPr>
          <w:rFonts w:eastAsia="Palatino Linotype"/>
          <w:lang w:val="es-ES"/>
        </w:rPr>
        <w:t>studios Superiores de Coacalco a mi solicitud de Información con folio 00008/TESCO/IP/2022, en la cual solicité copia simple en versión pública de todos los documentos firmados por el Servidor Público Marcelo Flores Bastamente durante los ejercicios 2021 y</w:t>
      </w:r>
      <w:r>
        <w:rPr>
          <w:rFonts w:eastAsia="Palatino Linotype"/>
          <w:lang w:val="es-ES"/>
        </w:rPr>
        <w:t xml:space="preserve"> 2022.” (Sic) </w:t>
      </w:r>
    </w:p>
    <w:p w:rsidR="00A51978" w:rsidRDefault="00A51978"/>
    <w:p w:rsidR="00A51978" w:rsidRDefault="00482951">
      <w:r>
        <w:rPr>
          <w:b/>
        </w:rPr>
        <w:t>Razones o Motivos de Inconformidad</w:t>
      </w:r>
      <w:r>
        <w:t xml:space="preserve">: </w:t>
      </w:r>
    </w:p>
    <w:p w:rsidR="00A51978" w:rsidRDefault="00482951">
      <w:pPr>
        <w:pStyle w:val="Sinespaciado"/>
        <w:rPr>
          <w:rFonts w:eastAsia="Palatino Linotype"/>
          <w:lang w:val="es-ES"/>
        </w:rPr>
      </w:pPr>
      <w:r>
        <w:rPr>
          <w:rFonts w:eastAsia="Palatino Linotype"/>
          <w:lang w:val="es-ES"/>
        </w:rPr>
        <w:t>“A través del documento en que se da respuesta a mi solicitud se me informa que, las funciones del servidor público Marcelo Flores Bastamente no ameritan firma alguna o expedición de documentos oficiales</w:t>
      </w:r>
      <w:r>
        <w:rPr>
          <w:rFonts w:eastAsia="Palatino Linotype"/>
          <w:lang w:val="es-ES"/>
        </w:rPr>
        <w:t xml:space="preserve">, por lo que no se me proporcionó documento alguno. Cabe mencionar que el Servidor Público en comento, ocupa el cargo de Secretario Particular de la Dirección General, ha estado al frente de la Unidad Jurídica del TESCo, y de acuerdo con su portal de </w:t>
      </w:r>
      <w:r>
        <w:rPr>
          <w:rFonts w:eastAsia="Palatino Linotype"/>
          <w:lang w:val="es-ES"/>
        </w:rPr>
        <w:lastRenderedPageBreak/>
        <w:t>infor</w:t>
      </w:r>
      <w:r>
        <w:rPr>
          <w:rFonts w:eastAsia="Palatino Linotype"/>
          <w:lang w:val="es-ES"/>
        </w:rPr>
        <w:t>mación pública ocupa el cargo de “Profesor Titular A” (todos ellos al mismo tiempo), considero que dichos puestos ameritan el haber firmado documentos dirigidos a los departamentos del Tecnológico, principalmente a la Dirección Académica al ocupar el cargo</w:t>
      </w:r>
      <w:r>
        <w:rPr>
          <w:rFonts w:eastAsia="Palatino Linotype"/>
          <w:lang w:val="es-ES"/>
        </w:rPr>
        <w:t xml:space="preserve"> de docente y a la Dirección de Administración y Finanzas. Por lo anteriormente expuesto, considero que el Tecnológico de Estudios Superiores de Coacalco al negarme la información solicitada está violando mi derecho de acceso a la información, y a través d</w:t>
      </w:r>
      <w:r>
        <w:rPr>
          <w:rFonts w:eastAsia="Palatino Linotype"/>
          <w:lang w:val="es-ES"/>
        </w:rPr>
        <w:t xml:space="preserve">e este medio requiero copia simple en versión pública de todos los documentos firmados por el Servidor Público Marcelo Flores Bastamente durante los ejercicios 2020, 2021 y 2022, y deseo que la modalidad de entrega de los mismos sea vía SAIMEX.” (Sic) </w:t>
      </w:r>
    </w:p>
    <w:p w:rsidR="00A51978" w:rsidRDefault="00A51978">
      <w:pPr>
        <w:ind w:right="567"/>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CU</w:t>
      </w:r>
      <w:r>
        <w:rPr>
          <w:rFonts w:eastAsia="Palatino Linotype" w:cs="Palatino Linotype"/>
          <w:b/>
          <w:color w:val="000000"/>
          <w:sz w:val="26"/>
          <w:szCs w:val="26"/>
        </w:rPr>
        <w:t>ARTO. Del turno y admisión de los recursos de revisión.</w:t>
      </w:r>
    </w:p>
    <w:p w:rsidR="00A51978" w:rsidRDefault="00482951">
      <w:pPr>
        <w:rPr>
          <w:rFonts w:eastAsia="Palatino Linotype" w:cs="Palatino Linotype"/>
          <w:color w:val="000000"/>
          <w:szCs w:val="24"/>
        </w:rPr>
      </w:pPr>
      <w:r>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w:t>
      </w:r>
      <w:r>
        <w:rPr>
          <w:rFonts w:eastAsia="Palatino Linotype" w:cs="Palatino Linotype"/>
          <w:color w:val="000000"/>
          <w:szCs w:val="24"/>
        </w:rPr>
        <w:t>unicipios al Comisionado</w:t>
      </w:r>
      <w:r>
        <w:rPr>
          <w:rFonts w:eastAsia="Palatino Linotype" w:cs="Palatino Linotype"/>
          <w:b/>
          <w:bCs/>
          <w:color w:val="000000"/>
          <w:szCs w:val="24"/>
        </w:rPr>
        <w:t xml:space="preserve"> J</w:t>
      </w:r>
      <w:r>
        <w:rPr>
          <w:rFonts w:eastAsia="Palatino Linotype" w:cs="Palatino Linotype"/>
          <w:b/>
          <w:color w:val="000000"/>
          <w:szCs w:val="24"/>
        </w:rPr>
        <w:t>osé Martínez Vilchis</w:t>
      </w:r>
      <w:r>
        <w:rPr>
          <w:rFonts w:eastAsia="Palatino Linotype" w:cs="Palatino Linotype"/>
          <w:color w:val="000000"/>
          <w:szCs w:val="24"/>
        </w:rPr>
        <w:t xml:space="preserve"> y </w:t>
      </w:r>
      <w:r>
        <w:rPr>
          <w:rFonts w:eastAsia="Palatino Linotype" w:cs="Palatino Linotype"/>
          <w:bCs/>
          <w:color w:val="000000"/>
          <w:szCs w:val="24"/>
        </w:rPr>
        <w:t>Comisionada</w:t>
      </w:r>
      <w:r>
        <w:rPr>
          <w:rFonts w:eastAsia="Palatino Linotype" w:cs="Palatino Linotype"/>
          <w:b/>
          <w:color w:val="000000"/>
          <w:szCs w:val="24"/>
        </w:rPr>
        <w:t xml:space="preserve"> Sharon Cristina Morales Martínez</w:t>
      </w:r>
      <w:r>
        <w:rPr>
          <w:rFonts w:eastAsia="Palatino Linotype" w:cs="Palatino Linotype"/>
          <w:color w:val="000000"/>
          <w:szCs w:val="24"/>
        </w:rPr>
        <w:t>, respectivamente, para su revisión y análisis sobre la admisión o desechamiento; por lo que los días treinta y uno de mayo y primero de junio de dos mil veintidós</w:t>
      </w:r>
      <w:r>
        <w:rPr>
          <w:rFonts w:eastAsia="Palatino Linotype" w:cs="Palatino Linotype"/>
          <w:color w:val="000000"/>
          <w:szCs w:val="24"/>
        </w:rPr>
        <w:t>, los recursos de revisión fueron admitidos en la vía interpuesta determinándose en ellos un plazo de siete días para que las partes manifestaran lo que a su derecho corresponda en términos de las fracciones I, II y III del artículo previamente citado.</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QU</w:t>
      </w:r>
      <w:r>
        <w:rPr>
          <w:rFonts w:eastAsia="Palatino Linotype" w:cs="Palatino Linotype"/>
          <w:b/>
          <w:color w:val="000000"/>
          <w:sz w:val="26"/>
          <w:szCs w:val="26"/>
        </w:rPr>
        <w:t>INTO. De la acumulación de los recursos de revisión.</w:t>
      </w:r>
    </w:p>
    <w:p w:rsidR="00A51978" w:rsidRDefault="00482951">
      <w:pPr>
        <w:rPr>
          <w:rFonts w:eastAsia="Palatino Linotype" w:cs="Palatino Linotype"/>
          <w:color w:val="000000"/>
          <w:szCs w:val="24"/>
        </w:rPr>
      </w:pPr>
      <w:r>
        <w:rPr>
          <w:rFonts w:eastAsia="Palatino Linotype" w:cs="Palatino Linotype"/>
          <w:color w:val="000000"/>
          <w:szCs w:val="24"/>
        </w:rPr>
        <w:t>En la Vigésima Primera Sesión Ordinaria del Pleno de este Instituto de Transparencia, Acceso a la Información Pública y Protección de Datos Personales del Estado de México y Municipios, celebrada el ocho</w:t>
      </w:r>
      <w:r>
        <w:rPr>
          <w:rFonts w:eastAsia="Palatino Linotype" w:cs="Palatino Linotype"/>
          <w:color w:val="000000"/>
          <w:szCs w:val="24"/>
        </w:rPr>
        <w:t xml:space="preserve"> de junio de dos mil veintidós, al advertir la conexidad de causa y con la finalidad de evitar que se dictasen resoluciones contradictorias, de conformidad con el artículo 195 de la Ley en la materia y el artículo 18 del Código de </w:t>
      </w:r>
      <w:r>
        <w:rPr>
          <w:rFonts w:eastAsia="Palatino Linotype" w:cs="Palatino Linotype"/>
          <w:color w:val="000000"/>
          <w:szCs w:val="24"/>
        </w:rPr>
        <w:lastRenderedPageBreak/>
        <w:t>Procedimientos Administra</w:t>
      </w:r>
      <w:r>
        <w:rPr>
          <w:rFonts w:eastAsia="Palatino Linotype" w:cs="Palatino Linotype"/>
          <w:color w:val="000000"/>
          <w:szCs w:val="24"/>
        </w:rPr>
        <w:t xml:space="preserve">tivos del Estado de México aplicable de manera supletoria, se acordó la acumulación de los recursos de revisión señalados, determinando que fuera Ponente el </w:t>
      </w:r>
      <w:r>
        <w:rPr>
          <w:rFonts w:eastAsia="Palatino Linotype" w:cs="Palatino Linotype"/>
          <w:b/>
          <w:color w:val="000000"/>
          <w:szCs w:val="24"/>
        </w:rPr>
        <w:t>Comisionado Presidente José Martínez Vilchis</w:t>
      </w:r>
      <w:r>
        <w:rPr>
          <w:rFonts w:eastAsia="Palatino Linotype" w:cs="Palatino Linotype"/>
          <w:color w:val="000000"/>
          <w:szCs w:val="24"/>
        </w:rPr>
        <w:t xml:space="preserve">. </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SEXTO. De la etapa de instrucción.</w:t>
      </w:r>
    </w:p>
    <w:p w:rsidR="00A51978" w:rsidRDefault="00482951">
      <w:pPr>
        <w:rPr>
          <w:rFonts w:eastAsia="Palatino Linotype" w:cs="Palatino Linotype"/>
          <w:color w:val="000000"/>
          <w:szCs w:val="24"/>
        </w:rPr>
      </w:pPr>
      <w:r>
        <w:rPr>
          <w:rFonts w:eastAsia="Palatino Linotype" w:cs="Palatino Linotype"/>
          <w:color w:val="000000"/>
          <w:szCs w:val="24"/>
        </w:rPr>
        <w:t xml:space="preserve">Una vez abierta la etapa de instrucción, en el sumario se observa que el Sujeto Obligado omitió rendir los Informes Justificados correspondientes. Por otra parte, en fecha dos de junio de dos mil veintidós, el Recurrente presentó sus manifestaciones en el </w:t>
      </w:r>
      <w:r>
        <w:rPr>
          <w:rFonts w:eastAsia="Palatino Linotype" w:cs="Palatino Linotype"/>
          <w:color w:val="000000"/>
          <w:szCs w:val="24"/>
        </w:rPr>
        <w:t xml:space="preserve">recurso de revisión </w:t>
      </w:r>
      <w:r>
        <w:rPr>
          <w:rFonts w:eastAsia="Palatino Linotype" w:cs="Palatino Linotype"/>
          <w:b/>
          <w:bCs/>
          <w:color w:val="000000"/>
          <w:szCs w:val="24"/>
        </w:rPr>
        <w:t>09767/INFOEM/IP/RR/2022</w:t>
      </w:r>
      <w:r>
        <w:rPr>
          <w:rFonts w:eastAsia="Palatino Linotype" w:cs="Palatino Linotype"/>
          <w:color w:val="000000"/>
          <w:szCs w:val="24"/>
        </w:rPr>
        <w:t xml:space="preserve"> mediante el documento denominado </w:t>
      </w:r>
      <w:r>
        <w:rPr>
          <w:rFonts w:eastAsia="Palatino Linotype" w:cs="Palatino Linotype"/>
          <w:b/>
          <w:bCs/>
          <w:color w:val="000000"/>
          <w:szCs w:val="24"/>
        </w:rPr>
        <w:t>“MFB.PNG”</w:t>
      </w:r>
      <w:r>
        <w:rPr>
          <w:rFonts w:eastAsia="Palatino Linotype" w:cs="Palatino Linotype"/>
          <w:color w:val="000000"/>
          <w:szCs w:val="24"/>
        </w:rPr>
        <w:t xml:space="preserve">, mientras que en el recurso </w:t>
      </w:r>
      <w:r>
        <w:rPr>
          <w:rFonts w:eastAsia="Palatino Linotype" w:cs="Palatino Linotype"/>
          <w:b/>
          <w:bCs/>
          <w:color w:val="000000"/>
          <w:szCs w:val="24"/>
        </w:rPr>
        <w:t xml:space="preserve">09765/INFOEM/IP/RR/2022 </w:t>
      </w:r>
      <w:r>
        <w:rPr>
          <w:rFonts w:eastAsia="Palatino Linotype" w:cs="Palatino Linotype"/>
          <w:color w:val="000000"/>
          <w:szCs w:val="24"/>
        </w:rPr>
        <w:t>no realizó manifestaciones, vertió alegatos o presentó pruebas que a su derecho conviniera.</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SÉPTIMO. Del cierre de i</w:t>
      </w:r>
      <w:r>
        <w:rPr>
          <w:rFonts w:eastAsia="Palatino Linotype" w:cs="Palatino Linotype"/>
          <w:b/>
          <w:color w:val="000000"/>
          <w:sz w:val="26"/>
          <w:szCs w:val="26"/>
        </w:rPr>
        <w:t>nstrucción.</w:t>
      </w:r>
    </w:p>
    <w:p w:rsidR="00A51978" w:rsidRDefault="00482951">
      <w:pPr>
        <w:rPr>
          <w:rFonts w:eastAsia="Palatino Linotype" w:cs="Palatino Linotype"/>
          <w:color w:val="000000"/>
          <w:szCs w:val="24"/>
        </w:rPr>
      </w:pPr>
      <w:r>
        <w:rPr>
          <w:rFonts w:eastAsia="Palatino Linotype" w:cs="Palatino Linotype"/>
          <w:color w:val="000000"/>
          <w:szCs w:val="24"/>
        </w:rPr>
        <w:t>Así, una vez transcurrido el término legal, se decretó el cierre de instrucción en los recursos de revisión en fecha quince de junio de dos mil veintidós, en términos del artículo 185 fracción VI de la Ley de Transparencia y Acceso a la Informa</w:t>
      </w:r>
      <w:r>
        <w:rPr>
          <w:rFonts w:eastAsia="Palatino Linotype" w:cs="Palatino Linotype"/>
          <w:color w:val="000000"/>
          <w:szCs w:val="24"/>
        </w:rPr>
        <w:t>ción Pública del Estado de México y Municipios, iniciando el término legal para dictar resolución definitiva del asunto.</w:t>
      </w:r>
    </w:p>
    <w:p w:rsidR="00A51978" w:rsidRDefault="00A51978">
      <w:pPr>
        <w:rPr>
          <w:rFonts w:eastAsia="Palatino Linotype" w:cs="Palatino Linotype"/>
          <w:color w:val="000000"/>
          <w:szCs w:val="24"/>
        </w:rPr>
      </w:pPr>
    </w:p>
    <w:p w:rsidR="00A51978" w:rsidRDefault="00482951">
      <w:pPr>
        <w:rPr>
          <w:rFonts w:eastAsiaTheme="minorHAnsi" w:cstheme="minorBidi"/>
          <w:b/>
          <w:sz w:val="26"/>
          <w:szCs w:val="26"/>
          <w:lang w:eastAsia="en-US"/>
        </w:rPr>
      </w:pPr>
      <w:r>
        <w:rPr>
          <w:rFonts w:eastAsiaTheme="minorHAnsi" w:cstheme="minorBidi"/>
          <w:b/>
          <w:sz w:val="26"/>
          <w:szCs w:val="26"/>
          <w:lang w:eastAsia="en-US"/>
        </w:rPr>
        <w:t>OCTAVO. De la ampliación del término para resolver.</w:t>
      </w:r>
    </w:p>
    <w:p w:rsidR="00A51978" w:rsidRDefault="00482951">
      <w:pPr>
        <w:rPr>
          <w:rFonts w:eastAsiaTheme="minorHAnsi" w:cstheme="minorBidi"/>
          <w:szCs w:val="24"/>
          <w:lang w:eastAsia="en-US"/>
        </w:rPr>
      </w:pPr>
      <w:r>
        <w:rPr>
          <w:rFonts w:eastAsiaTheme="minorHAnsi" w:cstheme="minorBidi"/>
          <w:szCs w:val="24"/>
          <w:lang w:eastAsia="en-US"/>
        </w:rPr>
        <w:t>En fecha trece de julio de dos mil veintiuno, se amplió el término para resolver e</w:t>
      </w:r>
      <w:r>
        <w:rPr>
          <w:rFonts w:eastAsiaTheme="minorHAnsi" w:cstheme="minorBidi"/>
          <w:szCs w:val="24"/>
          <w:lang w:eastAsia="en-US"/>
        </w:rPr>
        <w:t xml:space="preserve">l recurso de revisión en términos del artículo 181 párrafo tercero de la Ley de Transparencia y </w:t>
      </w:r>
      <w:r>
        <w:rPr>
          <w:rFonts w:eastAsiaTheme="minorHAnsi" w:cstheme="minorBidi"/>
          <w:szCs w:val="24"/>
          <w:lang w:eastAsia="en-US"/>
        </w:rPr>
        <w:lastRenderedPageBreak/>
        <w:t>Acceso a la Información Pública del Estado de México y Municipios por un plazo de quince días hábiles.</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 xml:space="preserve">Este organismo garante no pasa por alto justificar </w:t>
      </w:r>
      <w:r>
        <w:rPr>
          <w:rFonts w:eastAsiaTheme="minorHAnsi" w:cstheme="minorBidi"/>
          <w:bCs/>
          <w:szCs w:val="24"/>
          <w:lang w:eastAsia="en-US"/>
        </w:rPr>
        <w:t>que e</w:t>
      </w:r>
      <w:r>
        <w:rPr>
          <w:rFonts w:eastAsiaTheme="minorHAnsi" w:cstheme="minorBidi"/>
          <w:bCs/>
          <w:szCs w:val="24"/>
          <w:lang w:eastAsia="en-US"/>
        </w:rPr>
        <w:t xml:space="preserve">l plazo para emitir resolución en el presente asunto </w:t>
      </w:r>
      <w:r>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w:t>
      </w:r>
      <w:r>
        <w:rPr>
          <w:rFonts w:eastAsiaTheme="minorHAnsi" w:cstheme="minorBidi"/>
          <w:szCs w:val="24"/>
          <w:lang w:eastAsia="en-US"/>
        </w:rPr>
        <w:t>odo, se ha incrementado aproximadamente un 400%, circunstancia atípica que ha rebasado las capacidades técnicas y humanas del personal encargado de la proyección de las resoluciones a dichos medios de impugnación.</w:t>
      </w:r>
    </w:p>
    <w:p w:rsidR="00A51978" w:rsidRDefault="00482951">
      <w:pPr>
        <w:rPr>
          <w:rFonts w:eastAsiaTheme="minorHAnsi" w:cstheme="minorBidi"/>
          <w:szCs w:val="24"/>
          <w:lang w:eastAsia="en-US"/>
        </w:rPr>
      </w:pPr>
      <w:r>
        <w:rPr>
          <w:rFonts w:eastAsiaTheme="minorHAnsi" w:cstheme="minorBidi"/>
          <w:szCs w:val="24"/>
          <w:lang w:eastAsia="en-US"/>
        </w:rPr>
        <w:t xml:space="preserve"> </w:t>
      </w:r>
    </w:p>
    <w:p w:rsidR="00A51978" w:rsidRDefault="00482951">
      <w:pPr>
        <w:rPr>
          <w:rFonts w:eastAsiaTheme="minorHAnsi" w:cstheme="minorBidi"/>
          <w:szCs w:val="24"/>
          <w:lang w:eastAsia="en-US"/>
        </w:rPr>
      </w:pPr>
      <w:r>
        <w:rPr>
          <w:rFonts w:eastAsiaTheme="minorHAnsi" w:cstheme="minorBidi"/>
          <w:szCs w:val="24"/>
          <w:lang w:eastAsia="en-US"/>
        </w:rPr>
        <w:t xml:space="preserve">Por ello, es menester precisar que, si bien se ha excedido el plazo para resolver el presente medio de impugnación, de conformidad con la ley de la materia, </w:t>
      </w:r>
      <w:r>
        <w:rPr>
          <w:rFonts w:eastAsiaTheme="minorHAnsi" w:cstheme="minorBidi"/>
          <w:bCs/>
          <w:szCs w:val="24"/>
          <w:lang w:eastAsia="en-US"/>
        </w:rPr>
        <w:t>el plazo para emitir resolución</w:t>
      </w:r>
      <w:r>
        <w:rPr>
          <w:rFonts w:eastAsiaTheme="minorHAnsi" w:cstheme="minorBidi"/>
          <w:szCs w:val="24"/>
          <w:lang w:eastAsia="en-US"/>
        </w:rPr>
        <w:t xml:space="preserve"> se encuentra justificado en los elementos para medir su razonabilid</w:t>
      </w:r>
      <w:r>
        <w:rPr>
          <w:rFonts w:eastAsiaTheme="minorHAnsi" w:cstheme="minorBidi"/>
          <w:szCs w:val="24"/>
          <w:lang w:eastAsia="en-US"/>
        </w:rPr>
        <w:t>ad de asuntos conforme a los parámetros establecidos por diversos órganos jurisdiccionales federales, aplicables también en procedimientos análogos, como el que nos ocupa.</w:t>
      </w:r>
    </w:p>
    <w:p w:rsidR="00A51978" w:rsidRDefault="00482951">
      <w:pPr>
        <w:rPr>
          <w:rFonts w:eastAsiaTheme="minorHAnsi" w:cstheme="minorBidi"/>
          <w:szCs w:val="24"/>
          <w:lang w:eastAsia="en-US"/>
        </w:rPr>
      </w:pPr>
      <w:r>
        <w:rPr>
          <w:rFonts w:eastAsiaTheme="minorHAnsi" w:cstheme="minorBidi"/>
          <w:szCs w:val="24"/>
          <w:lang w:eastAsia="en-US"/>
        </w:rPr>
        <w:t xml:space="preserve"> </w:t>
      </w:r>
    </w:p>
    <w:p w:rsidR="00A51978" w:rsidRDefault="00482951">
      <w:pPr>
        <w:rPr>
          <w:rFonts w:eastAsiaTheme="minorHAnsi" w:cstheme="minorBidi"/>
          <w:szCs w:val="24"/>
          <w:lang w:eastAsia="en-US"/>
        </w:rPr>
      </w:pPr>
      <w:r>
        <w:rPr>
          <w:rFonts w:eastAsiaTheme="minorHAnsi" w:cstheme="minorBidi"/>
          <w:szCs w:val="24"/>
          <w:lang w:eastAsia="en-US"/>
        </w:rPr>
        <w:t>Así, en términos de lo que establecen los artículos 8.1 y 25 de la Convención Amer</w:t>
      </w:r>
      <w:r>
        <w:rPr>
          <w:rFonts w:eastAsiaTheme="minorHAnsi" w:cstheme="minorBidi"/>
          <w:szCs w:val="24"/>
          <w:lang w:eastAsia="en-US"/>
        </w:rPr>
        <w:t>icana sobre Derechos Humanos, los recursos deben ser sencillos y resolverse en el menor tiempo posible, tomando en consideración la dilación total del procedimiento; esto es, en un plazo razonable.</w:t>
      </w:r>
    </w:p>
    <w:p w:rsidR="00A51978" w:rsidRDefault="00482951">
      <w:pPr>
        <w:rPr>
          <w:rFonts w:eastAsiaTheme="minorHAnsi" w:cstheme="minorBidi"/>
          <w:szCs w:val="24"/>
          <w:lang w:eastAsia="en-US"/>
        </w:rPr>
      </w:pPr>
      <w:r>
        <w:rPr>
          <w:rFonts w:eastAsiaTheme="minorHAnsi" w:cstheme="minorBidi"/>
          <w:szCs w:val="24"/>
          <w:lang w:eastAsia="en-US"/>
        </w:rPr>
        <w:t xml:space="preserve"> </w:t>
      </w:r>
    </w:p>
    <w:p w:rsidR="00A51978" w:rsidRDefault="00482951">
      <w:pPr>
        <w:rPr>
          <w:rFonts w:eastAsiaTheme="minorHAnsi" w:cstheme="minorBidi"/>
          <w:szCs w:val="24"/>
          <w:lang w:eastAsia="en-US"/>
        </w:rPr>
      </w:pPr>
      <w:r>
        <w:rPr>
          <w:rFonts w:eastAsiaTheme="minorHAnsi" w:cstheme="minorBidi"/>
          <w:szCs w:val="24"/>
          <w:lang w:eastAsia="en-US"/>
        </w:rPr>
        <w:t>En ese sentido, el legislador fijó los términos procesal</w:t>
      </w:r>
      <w:r>
        <w:rPr>
          <w:rFonts w:eastAsiaTheme="minorHAnsi" w:cstheme="minorBidi"/>
          <w:szCs w:val="24"/>
          <w:lang w:eastAsia="en-US"/>
        </w:rPr>
        <w:t xml:space="preserve">es en las leyes, de manera general, sin que pudiera prever la variada gama de casos que son resueltos por los órganos </w:t>
      </w:r>
      <w:r>
        <w:rPr>
          <w:rFonts w:eastAsiaTheme="minorHAnsi" w:cstheme="minorBidi"/>
          <w:szCs w:val="24"/>
          <w:lang w:eastAsia="en-US"/>
        </w:rPr>
        <w:lastRenderedPageBreak/>
        <w:t>jurisdiccionales o cuasi jurisdiccionales, tanto por la complejidad de los hechos, como por el número de casos que conocen.</w:t>
      </w:r>
    </w:p>
    <w:p w:rsidR="00A51978" w:rsidRDefault="00482951">
      <w:pPr>
        <w:rPr>
          <w:rFonts w:eastAsiaTheme="minorHAnsi" w:cstheme="minorBidi"/>
          <w:szCs w:val="24"/>
          <w:lang w:eastAsia="en-US"/>
        </w:rPr>
      </w:pPr>
      <w:r>
        <w:rPr>
          <w:rFonts w:eastAsiaTheme="minorHAnsi" w:cstheme="minorBidi"/>
          <w:szCs w:val="24"/>
          <w:lang w:eastAsia="en-US"/>
        </w:rPr>
        <w:t xml:space="preserve"> </w:t>
      </w:r>
    </w:p>
    <w:p w:rsidR="00A51978" w:rsidRDefault="00482951">
      <w:pPr>
        <w:rPr>
          <w:rFonts w:eastAsiaTheme="minorHAnsi" w:cstheme="minorBidi"/>
          <w:szCs w:val="24"/>
          <w:lang w:eastAsia="en-US"/>
        </w:rPr>
      </w:pPr>
      <w:r>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rsidR="00A51978" w:rsidRDefault="00A51978">
      <w:pPr>
        <w:rPr>
          <w:rFonts w:eastAsiaTheme="minorHAnsi" w:cstheme="minorBidi"/>
          <w:szCs w:val="24"/>
          <w:lang w:eastAsia="en-US"/>
        </w:rPr>
      </w:pPr>
    </w:p>
    <w:p w:rsidR="00A51978" w:rsidRDefault="00482951">
      <w:pPr>
        <w:numPr>
          <w:ilvl w:val="0"/>
          <w:numId w:val="1"/>
        </w:numPr>
        <w:rPr>
          <w:rFonts w:eastAsiaTheme="minorHAnsi" w:cstheme="minorBidi"/>
          <w:szCs w:val="24"/>
          <w:lang w:eastAsia="en-US"/>
        </w:rPr>
      </w:pPr>
      <w:r>
        <w:rPr>
          <w:rFonts w:eastAsiaTheme="minorHAnsi" w:cstheme="minorBidi"/>
          <w:szCs w:val="24"/>
          <w:lang w:eastAsia="en-US"/>
        </w:rPr>
        <w:t>Complejidad del asunto: La complejid</w:t>
      </w:r>
      <w:r>
        <w:rPr>
          <w:rFonts w:eastAsiaTheme="minorHAnsi" w:cstheme="minorBidi"/>
          <w:szCs w:val="24"/>
          <w:lang w:eastAsia="en-US"/>
        </w:rPr>
        <w:t>ad de la prueba, la pluralidad de sujetos procesales, el tiempo transcurrido, las características y contexto del recurso.</w:t>
      </w:r>
    </w:p>
    <w:p w:rsidR="00A51978" w:rsidRDefault="00482951">
      <w:pPr>
        <w:numPr>
          <w:ilvl w:val="0"/>
          <w:numId w:val="1"/>
        </w:numPr>
        <w:rPr>
          <w:rFonts w:eastAsiaTheme="minorHAnsi" w:cstheme="minorBidi"/>
          <w:szCs w:val="24"/>
          <w:lang w:eastAsia="en-US"/>
        </w:rPr>
      </w:pPr>
      <w:r>
        <w:rPr>
          <w:rFonts w:eastAsiaTheme="minorHAnsi" w:cstheme="minorBidi"/>
          <w:szCs w:val="24"/>
          <w:lang w:eastAsia="en-US"/>
        </w:rPr>
        <w:t>Actividad Procesal del interesado: Acciones u omisiones del interesado.</w:t>
      </w:r>
    </w:p>
    <w:p w:rsidR="00A51978" w:rsidRDefault="00482951">
      <w:pPr>
        <w:numPr>
          <w:ilvl w:val="0"/>
          <w:numId w:val="1"/>
        </w:numPr>
        <w:rPr>
          <w:rFonts w:eastAsiaTheme="minorHAnsi" w:cstheme="minorBidi"/>
          <w:szCs w:val="24"/>
          <w:lang w:eastAsia="en-US"/>
        </w:rPr>
      </w:pPr>
      <w:r>
        <w:rPr>
          <w:rFonts w:eastAsiaTheme="minorHAnsi" w:cstheme="minorBidi"/>
          <w:szCs w:val="24"/>
          <w:lang w:eastAsia="en-US"/>
        </w:rPr>
        <w:t xml:space="preserve">Conducta de la Autoridad: Las Acciones u omisiones realizadas </w:t>
      </w:r>
      <w:r>
        <w:rPr>
          <w:rFonts w:eastAsiaTheme="minorHAnsi" w:cstheme="minorBidi"/>
          <w:szCs w:val="24"/>
          <w:lang w:eastAsia="en-US"/>
        </w:rPr>
        <w:t>en el procedimiento. Así como si la autoridad actuó con la debida diligencia.</w:t>
      </w:r>
    </w:p>
    <w:p w:rsidR="00A51978" w:rsidRDefault="00482951">
      <w:pPr>
        <w:numPr>
          <w:ilvl w:val="0"/>
          <w:numId w:val="1"/>
        </w:numPr>
        <w:rPr>
          <w:rFonts w:eastAsiaTheme="minorHAnsi" w:cstheme="minorBidi"/>
          <w:szCs w:val="24"/>
          <w:lang w:eastAsia="en-US"/>
        </w:rPr>
      </w:pPr>
      <w:r>
        <w:rPr>
          <w:rFonts w:eastAsiaTheme="minorHAnsi" w:cstheme="minorBidi"/>
          <w:szCs w:val="24"/>
          <w:lang w:eastAsia="en-US"/>
        </w:rPr>
        <w:t>La afectación generada en la situación jurídica de la persona involucrada en el proceso: Violación a sus derechos humanos.</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De modo que, cuando se trate de un asunto excepcional,</w:t>
      </w:r>
      <w:r>
        <w:rPr>
          <w:rFonts w:eastAsiaTheme="minorHAnsi" w:cstheme="minorBidi"/>
          <w:szCs w:val="24"/>
          <w:lang w:eastAsia="en-US"/>
        </w:rPr>
        <w:t xml:space="preserve"> por alguna o todas las características mencionadas o bien, cuando el ingreso de asuntos al órgano jurisdiccional o cuasi jurisdiccional respectivo supere notoriamente al que podría considerarse normal, debe concluirse que es una excluyente de responsabili</w:t>
      </w:r>
      <w:r>
        <w:rPr>
          <w:rFonts w:eastAsiaTheme="minorHAnsi" w:cstheme="minorBidi"/>
          <w:szCs w:val="24"/>
          <w:lang w:eastAsia="en-US"/>
        </w:rPr>
        <w:t>dad en relación con la actuación del funcionario, como ha acontecido en el caso que nos ocupa.</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Argumento que encuentra sustento en la jurisprudencia P./J. 32/92 emitida por el Pleno de la Suprema Corte de Justicia de la Nación de rubro “TÉRMINOS PROCESALE</w:t>
      </w:r>
      <w:r>
        <w:rPr>
          <w:rFonts w:eastAsiaTheme="minorHAnsi" w:cstheme="minorBidi"/>
          <w:szCs w:val="24"/>
          <w:lang w:eastAsia="en-US"/>
        </w:rPr>
        <w:t xml:space="preserve">S. PARA DETERMINAR SI UN FUNCIONARIO JUDICIAL ACTUÓ INDEBIDAMENTE </w:t>
      </w:r>
      <w:r>
        <w:rPr>
          <w:rFonts w:eastAsiaTheme="minorHAnsi" w:cstheme="minorBidi"/>
          <w:szCs w:val="24"/>
          <w:lang w:eastAsia="en-US"/>
        </w:rPr>
        <w:lastRenderedPageBreak/>
        <w:t>POR NO RESPETARLOS SE DEBE ATENDER AL PRESUPUESTO QUE CONSIDERÓ EL LEGISLADOR AL FIJARLOS Y LAS CARACTERÍSTICAS DEL CASO.”, visible en la Gaceta del Seminario Judicial de la Federación con e</w:t>
      </w:r>
      <w:r>
        <w:rPr>
          <w:rFonts w:eastAsiaTheme="minorHAnsi" w:cstheme="minorBidi"/>
          <w:szCs w:val="24"/>
          <w:lang w:eastAsia="en-US"/>
        </w:rPr>
        <w:t>l registro digital 205635.</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w:t>
      </w:r>
      <w:r>
        <w:rPr>
          <w:rFonts w:eastAsiaTheme="minorHAnsi" w:cstheme="minorBidi"/>
          <w:szCs w:val="24"/>
          <w:lang w:eastAsia="en-US"/>
        </w:rPr>
        <w:t>con que cuenta este Instituto para atender la enorme demanda de usuarios que acuden para que se les garantice su Derecho de acceso a la información Pública y Protección de Datos Personales, aunado a la complejidad de los hechos a los que se refieren, así c</w:t>
      </w:r>
      <w:r>
        <w:rPr>
          <w:rFonts w:eastAsiaTheme="minorHAnsi" w:cstheme="minorBidi"/>
          <w:szCs w:val="24"/>
          <w:lang w:eastAsia="en-US"/>
        </w:rPr>
        <w:t xml:space="preserve">omo al volumen del expediente, la extensión de los escritos y pruebas aportadas y desahogadas por las partes; lo que impide la tramitación de los recursos dentro de los términos legales previamente establecidos por la Ley, por tratarse de causas de fuerza </w:t>
      </w:r>
      <w:r>
        <w:rPr>
          <w:rFonts w:eastAsiaTheme="minorHAnsi" w:cstheme="minorBidi"/>
          <w:szCs w:val="24"/>
          <w:lang w:eastAsia="en-US"/>
        </w:rPr>
        <w:t>mayor.</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 xml:space="preserve">“PLAZO RAZONABLE PARA RESOLVER. DIMENSIÓN Y </w:t>
      </w:r>
      <w:r>
        <w:rPr>
          <w:rFonts w:eastAsiaTheme="minorHAnsi" w:cstheme="minorBidi"/>
          <w:szCs w:val="24"/>
          <w:lang w:eastAsia="en-US"/>
        </w:rPr>
        <w:t>EFECTOS DE ESTE CONCEPTO CUANDO SE ADUCE EXCESIVA CARGA DE TRABAJO.” consultable en el Seminario Judicial de la Federación y su gaceta, con el registro digital 2002351.</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szCs w:val="24"/>
          <w:lang w:eastAsia="en-US"/>
        </w:rPr>
        <w:t>“PLAZO RAZONABLE PARA RESOLVER. CONCEPTO Y ELEMENTOS QUE LO INTEGRAN A LA LUZ DEL DERE</w:t>
      </w:r>
      <w:r>
        <w:rPr>
          <w:rFonts w:eastAsiaTheme="minorHAnsi" w:cstheme="minorBidi"/>
          <w:szCs w:val="24"/>
          <w:lang w:eastAsia="en-US"/>
        </w:rPr>
        <w:t xml:space="preserve">CHO INTERNACIONAL DE LOS DERECHOS </w:t>
      </w:r>
      <w:r>
        <w:rPr>
          <w:rFonts w:eastAsiaTheme="minorHAnsi" w:cstheme="minorBidi"/>
          <w:szCs w:val="24"/>
          <w:lang w:eastAsia="en-US"/>
        </w:rPr>
        <w:lastRenderedPageBreak/>
        <w:t>HUMANOS.”, visible en el Seminario Judicial de la Federación y su gaceta, con el registro digital 2002350.</w:t>
      </w:r>
    </w:p>
    <w:p w:rsidR="00A51978" w:rsidRDefault="00A51978">
      <w:pPr>
        <w:rPr>
          <w:rFonts w:eastAsiaTheme="minorHAnsi" w:cstheme="minorBidi"/>
          <w:szCs w:val="24"/>
          <w:lang w:eastAsia="en-US"/>
        </w:rPr>
      </w:pPr>
    </w:p>
    <w:p w:rsidR="00A51978" w:rsidRDefault="00482951">
      <w:pPr>
        <w:rPr>
          <w:rFonts w:eastAsiaTheme="minorHAnsi" w:cstheme="minorBidi"/>
          <w:szCs w:val="24"/>
          <w:lang w:eastAsia="en-US"/>
        </w:rPr>
      </w:pPr>
      <w:r>
        <w:rPr>
          <w:rFonts w:eastAsiaTheme="minorHAnsi" w:cstheme="minorBidi"/>
          <w:bCs/>
          <w:szCs w:val="24"/>
          <w:lang w:eastAsia="en-US"/>
        </w:rPr>
        <w:t>Por ello, este organismo garante comprometido con la tutela de los derechos humanos confiados señala que este exce</w:t>
      </w:r>
      <w:r>
        <w:rPr>
          <w:rFonts w:eastAsiaTheme="minorHAnsi" w:cstheme="minorBidi"/>
          <w:bCs/>
          <w:szCs w:val="24"/>
          <w:lang w:eastAsia="en-US"/>
        </w:rPr>
        <w:t>so del plazo legal para resolver el presente asunto resulta de carácter excepcional.</w:t>
      </w:r>
    </w:p>
    <w:p w:rsidR="00A51978" w:rsidRDefault="00A51978">
      <w:pPr>
        <w:rPr>
          <w:rFonts w:eastAsiaTheme="minorHAnsi" w:cstheme="minorBidi"/>
          <w:szCs w:val="24"/>
          <w:lang w:eastAsia="en-US"/>
        </w:rPr>
      </w:pPr>
    </w:p>
    <w:p w:rsidR="00A51978" w:rsidRDefault="00482951">
      <w:pPr>
        <w:jc w:val="center"/>
        <w:rPr>
          <w:rFonts w:eastAsia="Palatino Linotype" w:cs="Palatino Linotype"/>
          <w:b/>
          <w:color w:val="000000"/>
          <w:sz w:val="28"/>
          <w:szCs w:val="28"/>
        </w:rPr>
      </w:pPr>
      <w:r>
        <w:rPr>
          <w:rFonts w:eastAsia="Palatino Linotype" w:cs="Palatino Linotype"/>
          <w:b/>
          <w:color w:val="000000"/>
          <w:sz w:val="28"/>
          <w:szCs w:val="28"/>
        </w:rPr>
        <w:t>C O N S I D E R A N D O</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PRIMERO. De la competencia.</w:t>
      </w:r>
    </w:p>
    <w:p w:rsidR="00A51978" w:rsidRDefault="00482951">
      <w:pPr>
        <w:rPr>
          <w:rFonts w:eastAsia="Palatino Linotype" w:cs="Palatino Linotype"/>
          <w:color w:val="000000"/>
          <w:szCs w:val="24"/>
        </w:rPr>
      </w:pPr>
      <w:r>
        <w:rPr>
          <w:rFonts w:eastAsia="Palatino Linotype" w:cs="Palatino Linotype"/>
          <w:color w:val="000000"/>
          <w:szCs w:val="24"/>
        </w:rPr>
        <w:t xml:space="preserve">Este Instituto de Transparencia, Acceso a la Información Pública y Protección de Datos Personales del Estado de </w:t>
      </w:r>
      <w:r>
        <w:rPr>
          <w:rFonts w:eastAsia="Palatino Linotype" w:cs="Palatino Linotype"/>
          <w:color w:val="000000"/>
          <w:szCs w:val="24"/>
        </w:rPr>
        <w:t>México, es competente para conocer y resolver el presente recurso de revisión interpuesto por el Recurrente conforme a lo dispuesto en los artículos 6, apartado A, fracción IV de la Constitución Política de los Estados Unidos Mexicanos; 5, párrafos trigési</w:t>
      </w:r>
      <w:r>
        <w:rPr>
          <w:rFonts w:eastAsia="Palatino Linotype" w:cs="Palatino Linotype"/>
          <w:color w:val="000000"/>
          <w:szCs w:val="24"/>
        </w:rPr>
        <w:t>mo, trigésimo primero y trigésimo segundo, fracciones IV y V, de la Constitución Política del Estado Libre y Soberano de México; artículos 1, 2 fracción II, 13, 29, 36 fracciones I y II, 176, 178, 179, 181 párrafo tercero y 185 de la Ley de Transparencia y</w:t>
      </w:r>
      <w:r>
        <w:rPr>
          <w:rFonts w:eastAsia="Palatino Linotype" w:cs="Palatino Linotype"/>
          <w:color w:val="000000"/>
          <w:szCs w:val="24"/>
        </w:rPr>
        <w:t xml:space="preserve"> Acceso a la Información Pública del Estado de México y Municipios; y 10, 7, 9 fracciones I y XXIV, y 11 del Reglamento Interior del Instituto de Transparencia, Acceso a la Información Pública y Protección de Datos Personales del Estado de México y Municip</w:t>
      </w:r>
      <w:r>
        <w:rPr>
          <w:rFonts w:eastAsia="Palatino Linotype" w:cs="Palatino Linotype"/>
          <w:color w:val="000000"/>
          <w:szCs w:val="24"/>
        </w:rPr>
        <w:t>ios.</w:t>
      </w:r>
    </w:p>
    <w:p w:rsidR="00A51978" w:rsidRDefault="00A51978">
      <w:pPr>
        <w:rPr>
          <w:rFonts w:eastAsia="Palatino Linotype" w:cs="Palatino Linotype"/>
          <w:color w:val="000000"/>
          <w:szCs w:val="24"/>
        </w:rPr>
      </w:pP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lastRenderedPageBreak/>
        <w:t xml:space="preserve">SEGUNDO. Sobre los alcances del recurso de revisión. </w:t>
      </w:r>
    </w:p>
    <w:p w:rsidR="00A51978" w:rsidRDefault="00482951">
      <w:pPr>
        <w:rPr>
          <w:rFonts w:eastAsia="Palatino Linotype" w:cs="Palatino Linotype"/>
          <w:color w:val="000000"/>
          <w:szCs w:val="24"/>
        </w:rPr>
      </w:pPr>
      <w:r>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w:t>
      </w:r>
      <w:r>
        <w:rPr>
          <w:rFonts w:eastAsia="Palatino Linotype" w:cs="Palatino Linotype"/>
          <w:color w:val="000000"/>
          <w:szCs w:val="24"/>
        </w:rPr>
        <w:t>, 179, 181 párrafo cuarto, 194 y 195 y demás aplicables de la Ley de Transparencia y Acceso a la Información Pública del Estado de México y Municipios vigente, el cual será analizado conforme a las actuaciones que obren en el expediente electrónico, con la</w:t>
      </w:r>
      <w:r>
        <w:rPr>
          <w:rFonts w:eastAsia="Palatino Linotype" w:cs="Palatino Linotype"/>
          <w:color w:val="000000"/>
          <w:szCs w:val="24"/>
        </w:rPr>
        <w:t xml:space="preserve"> finalidad de reparar cualquier posible afectación al derecho de acceso a la información pública y garantizando el principio rector de máxima publicidad.</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TERCERO. Cuestiones de previo y especial pronunciamiento.</w:t>
      </w:r>
    </w:p>
    <w:p w:rsidR="00A51978" w:rsidRDefault="00482951">
      <w:pPr>
        <w:rPr>
          <w:rFonts w:eastAsia="Palatino Linotype" w:cs="Palatino Linotype"/>
          <w:szCs w:val="24"/>
        </w:rPr>
      </w:pPr>
      <w:r>
        <w:rPr>
          <w:rFonts w:eastAsia="Palatino Linotype" w:cs="Palatino Linotype"/>
          <w:szCs w:val="24"/>
        </w:rPr>
        <w:t xml:space="preserve">El recurso de revisión en estudio contiene </w:t>
      </w:r>
      <w:r>
        <w:rPr>
          <w:rFonts w:eastAsia="Palatino Linotype" w:cs="Palatino Linotype"/>
          <w:szCs w:val="24"/>
        </w:rPr>
        <w:t>los elementos normativos de validez exigidos en la Ley de Transparencia y Acceso a la Información Pública del Estado de México y Municipios, establecidos en el artículo 180 que enuncia:</w:t>
      </w:r>
    </w:p>
    <w:p w:rsidR="00A51978" w:rsidRDefault="00A51978">
      <w:pPr>
        <w:rPr>
          <w:rFonts w:eastAsia="Palatino Linotype" w:cs="Palatino Linotype"/>
          <w:szCs w:val="24"/>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 xml:space="preserve">Artículo 180. </w:t>
      </w:r>
      <w:r>
        <w:rPr>
          <w:rFonts w:eastAsia="Palatino Linotype" w:cs="Palatino Linotype"/>
          <w:i/>
          <w:sz w:val="22"/>
        </w:rPr>
        <w:t>El recurso de revisión contendrá:</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I. El sujeto obligado</w:t>
      </w:r>
      <w:r>
        <w:rPr>
          <w:rFonts w:eastAsia="Palatino Linotype" w:cs="Palatino Linotype"/>
          <w:i/>
          <w:sz w:val="22"/>
        </w:rPr>
        <w:t xml:space="preserve"> ante la cual se presentó la solicitud;</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II. El nombre del solicitante que recurre</w:t>
      </w:r>
      <w:r>
        <w:rPr>
          <w:rFonts w:eastAsia="Palatino Linotype" w:cs="Palatino Linotype"/>
          <w:i/>
          <w:sz w:val="22"/>
        </w:rPr>
        <w:t xml:space="preserve"> o de su representante y, en su caso, del tercero interesado, así como la dirección o medio que señale para recibir notificaciones;</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III. El número de folio de respuesta de la </w:t>
      </w:r>
      <w:r>
        <w:rPr>
          <w:rFonts w:eastAsia="Palatino Linotype" w:cs="Palatino Linotype"/>
          <w:i/>
          <w:sz w:val="22"/>
        </w:rPr>
        <w:t>solicitud de acceso;</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IV. La fecha en que fue notificada la respuesta al solicitante o tuvo conocimiento del acto reclamado, o de presentación de la solicitud, en caso de falta de respuesta;</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V. El acto que se recurre;</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VI. Las razones o motivos de inconformi</w:t>
      </w:r>
      <w:r>
        <w:rPr>
          <w:rFonts w:eastAsia="Palatino Linotype" w:cs="Palatino Linotype"/>
          <w:i/>
          <w:sz w:val="22"/>
        </w:rPr>
        <w:t>dad;</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VII. La copia de la respuesta que se impugna y, en su caso, de la notificación correspondiente, en el caso de respuesta de la solicitud; y</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VIII. Firma del recurrente, en su caso, cuando se presente por escrito, requisito sin el cual se dará trámite al</w:t>
      </w:r>
      <w:r>
        <w:rPr>
          <w:rFonts w:eastAsia="Palatino Linotype" w:cs="Palatino Linotype"/>
          <w:i/>
          <w:sz w:val="22"/>
        </w:rPr>
        <w:t xml:space="preserve"> recurso.</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lastRenderedPageBreak/>
        <w:t>Adicionalmente, se podrán anexar las pruebas y demás elementos que considere procedentes someter a juicio del Instituto.</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En ningún caso será necesario que el particular ratifique el recurso de revisión interpuesto.</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En caso de que el recurso se</w:t>
      </w:r>
      <w:r>
        <w:rPr>
          <w:rFonts w:eastAsia="Palatino Linotype" w:cs="Palatino Linotype"/>
          <w:b/>
          <w:i/>
          <w:sz w:val="22"/>
        </w:rPr>
        <w:t xml:space="preserve"> interponga de manera electrónica no será indispensable que contengan los requisitos establecidos en las fracciones II</w:t>
      </w:r>
      <w:r>
        <w:rPr>
          <w:rFonts w:eastAsia="Palatino Linotype" w:cs="Palatino Linotype"/>
          <w:i/>
          <w:sz w:val="22"/>
        </w:rPr>
        <w:t>, IV, VII y VIII.</w:t>
      </w:r>
    </w:p>
    <w:p w:rsidR="00A51978" w:rsidRDefault="00A51978">
      <w:pPr>
        <w:rPr>
          <w:rFonts w:eastAsia="Palatino Linotype" w:cs="Palatino Linotype"/>
          <w:b/>
          <w:i/>
          <w:szCs w:val="24"/>
        </w:rPr>
      </w:pPr>
    </w:p>
    <w:p w:rsidR="00A51978" w:rsidRDefault="00482951">
      <w:pPr>
        <w:rPr>
          <w:rFonts w:eastAsia="Palatino Linotype" w:cs="Palatino Linotype"/>
          <w:szCs w:val="24"/>
        </w:rPr>
      </w:pPr>
      <w:r>
        <w:rPr>
          <w:rFonts w:eastAsia="Palatino Linotype" w:cs="Palatino Linotype"/>
          <w:szCs w:val="24"/>
        </w:rPr>
        <w:t>Cabe señalar que el hoy Recurrente no se identificó de manera alguna</w:t>
      </w:r>
      <w:r>
        <w:rPr>
          <w:rFonts w:eastAsia="Palatino Linotype" w:cs="Palatino Linotype"/>
          <w:b/>
          <w:szCs w:val="24"/>
        </w:rPr>
        <w:t>.</w:t>
      </w:r>
      <w:r>
        <w:rPr>
          <w:rFonts w:eastAsia="Palatino Linotype" w:cs="Palatino Linotype"/>
          <w:szCs w:val="24"/>
        </w:rPr>
        <w:t xml:space="preserve"> No obstante, presentar solicitudes anónimas, con </w:t>
      </w:r>
      <w:r>
        <w:rPr>
          <w:rFonts w:eastAsia="Palatino Linotype" w:cs="Palatino Linotype"/>
          <w:szCs w:val="24"/>
        </w:rPr>
        <w:t>el nombre incompleto o con un seudónimo no es motivo para desechar las solicitudes de acceso a la información pública conforme a lo previsto en el artículo 155, penúltimo párrafo de la Ley de Transparencia y Acceso a la Información Pública del Estado de Mé</w:t>
      </w:r>
      <w:r>
        <w:rPr>
          <w:rFonts w:eastAsia="Palatino Linotype" w:cs="Palatino Linotype"/>
          <w:szCs w:val="24"/>
        </w:rPr>
        <w:t>xico y Municipios que señala lo siguiente:</w:t>
      </w:r>
    </w:p>
    <w:p w:rsidR="00A51978" w:rsidRDefault="00A51978">
      <w:pPr>
        <w:rPr>
          <w:rFonts w:eastAsia="Palatino Linotype" w:cs="Palatino Linotype"/>
          <w:szCs w:val="24"/>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155.</w:t>
      </w:r>
      <w:r>
        <w:rPr>
          <w:rFonts w:eastAsia="Palatino Linotype" w:cs="Palatino Linotype"/>
          <w:i/>
          <w:sz w:val="22"/>
        </w:rPr>
        <w:t xml:space="preserve"> (…)</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w:t>
      </w:r>
      <w:r>
        <w:rPr>
          <w:rFonts w:eastAsia="Palatino Linotype" w:cs="Palatino Linotype"/>
          <w:i/>
          <w:sz w:val="22"/>
        </w:rPr>
        <w:t xml:space="preserve"> motivo del nombre proporcionado por el solicitante.</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A51978">
      <w:pPr>
        <w:rPr>
          <w:rFonts w:eastAsia="Palatino Linotype" w:cs="Palatino Linotype"/>
          <w:szCs w:val="24"/>
        </w:rPr>
      </w:pPr>
    </w:p>
    <w:p w:rsidR="00A51978" w:rsidRDefault="00482951">
      <w:pPr>
        <w:rPr>
          <w:rFonts w:eastAsia="Palatino Linotype" w:cs="Palatino Linotype"/>
          <w:szCs w:val="24"/>
        </w:rPr>
      </w:pPr>
      <w:r>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w:t>
      </w:r>
      <w:r>
        <w:rPr>
          <w:rFonts w:eastAsia="Palatino Linotype" w:cs="Palatino Linotype"/>
          <w:szCs w:val="24"/>
        </w:rPr>
        <w:t>imero y vigésimo segundo, de la Constitución Política del Estado Libre y Soberano de México, se establece lo siguiente:</w:t>
      </w:r>
    </w:p>
    <w:p w:rsidR="00A51978" w:rsidRDefault="00A51978">
      <w:pPr>
        <w:rPr>
          <w:rFonts w:eastAsia="Palatino Linotype" w:cs="Palatino Linotype"/>
          <w:szCs w:val="24"/>
        </w:rPr>
      </w:pPr>
    </w:p>
    <w:p w:rsidR="00A51978" w:rsidRDefault="00482951">
      <w:pPr>
        <w:spacing w:line="240" w:lineRule="auto"/>
        <w:ind w:left="567" w:right="567"/>
        <w:jc w:val="center"/>
        <w:rPr>
          <w:rFonts w:eastAsia="Palatino Linotype" w:cs="Palatino Linotype"/>
          <w:b/>
          <w:i/>
          <w:sz w:val="22"/>
          <w:u w:val="single"/>
        </w:rPr>
      </w:pPr>
      <w:r>
        <w:rPr>
          <w:rFonts w:eastAsia="Palatino Linotype" w:cs="Palatino Linotype"/>
          <w:b/>
          <w:i/>
          <w:sz w:val="22"/>
          <w:u w:val="single"/>
        </w:rPr>
        <w:t>Constitución Política de los Estados Unidos Mexicanos</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6</w:t>
      </w:r>
      <w:r>
        <w:rPr>
          <w:rFonts w:eastAsia="Palatino Linotype" w:cs="Palatino Linotype"/>
          <w:i/>
          <w:sz w:val="22"/>
        </w:rPr>
        <w:t>°.- La manifestación de las ideas no será objeto de ninguna inquisición</w:t>
      </w:r>
      <w:r>
        <w:rPr>
          <w:rFonts w:eastAsia="Palatino Linotype" w:cs="Palatino Linotype"/>
          <w:i/>
          <w:sz w:val="22"/>
        </w:rPr>
        <w:t xml:space="preserve"> judicial o administrativa, sino en el caso de que ataque a la moral, la vida privada o los derechos de terceros, provoque algún delito, o perturbe el orden público; el derecho de réplica será ejercido </w:t>
      </w:r>
      <w:r>
        <w:rPr>
          <w:rFonts w:eastAsia="Palatino Linotype" w:cs="Palatino Linotype"/>
          <w:i/>
          <w:sz w:val="22"/>
        </w:rPr>
        <w:lastRenderedPageBreak/>
        <w:t>en los términos dispuestos por la ley. El derecho a la</w:t>
      </w:r>
      <w:r>
        <w:rPr>
          <w:rFonts w:eastAsia="Palatino Linotype" w:cs="Palatino Linotype"/>
          <w:i/>
          <w:sz w:val="22"/>
        </w:rPr>
        <w:t xml:space="preserve"> información será garantizado por el Estado.</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Para efectos de lo dispuesto en el presente artículo se observará lo siguiente: </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A. Para el ejercicio del derecho de acceso a la información, la Federación, los Estados y el Distrito Federal, en el ámbito de</w:t>
      </w:r>
      <w:r>
        <w:rPr>
          <w:rFonts w:eastAsia="Palatino Linotype" w:cs="Palatino Linotype"/>
          <w:i/>
          <w:sz w:val="22"/>
        </w:rPr>
        <w:t xml:space="preserve"> sus respectivas competencias, se regirán por los siguientes principios y bases:</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III. Toda persona, sin necesidad de acreditar interés alguno o justificar su utilización, tendrá acceso gratuito a la información pública, a sus datos personales o a la re</w:t>
      </w:r>
      <w:r>
        <w:rPr>
          <w:rFonts w:eastAsia="Palatino Linotype" w:cs="Palatino Linotype"/>
          <w:i/>
          <w:sz w:val="22"/>
        </w:rPr>
        <w:t xml:space="preserve">ctificación de éstos. </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jc w:val="center"/>
        <w:rPr>
          <w:rFonts w:eastAsia="Palatino Linotype" w:cs="Palatino Linotype"/>
          <w:b/>
          <w:i/>
          <w:sz w:val="22"/>
          <w:u w:val="single"/>
        </w:rPr>
      </w:pPr>
      <w:r>
        <w:rPr>
          <w:rFonts w:eastAsia="Palatino Linotype" w:cs="Palatino Linotype"/>
          <w:b/>
          <w:i/>
          <w:sz w:val="22"/>
          <w:u w:val="single"/>
        </w:rPr>
        <w:t>Constitución Política d</w:t>
      </w:r>
      <w:r>
        <w:rPr>
          <w:rFonts w:eastAsia="Palatino Linotype" w:cs="Palatino Linotype"/>
          <w:b/>
          <w:i/>
          <w:sz w:val="22"/>
          <w:u w:val="single"/>
        </w:rPr>
        <w:t>el Estado Libre y Soberano de México</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5</w:t>
      </w:r>
      <w:r>
        <w:rPr>
          <w:rFonts w:eastAsia="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w:t>
      </w:r>
      <w:r>
        <w:rPr>
          <w:rFonts w:eastAsia="Palatino Linotype" w:cs="Palatino Linotype"/>
          <w:i/>
          <w:sz w:val="22"/>
        </w:rPr>
        <w:t>mexicano sea parte, en esta Constitución y en las leyes que de ésta emanen, por lo que gozarán de las garantías para su protección, las cuales no podrán restringirse ni suspenderse salvo en los casos y bajo las condiciones que la Constitución Política de l</w:t>
      </w:r>
      <w:r>
        <w:rPr>
          <w:rFonts w:eastAsia="Palatino Linotype" w:cs="Palatino Linotype"/>
          <w:i/>
          <w:sz w:val="22"/>
        </w:rPr>
        <w:t>os Estados Unidos Mexicanos establece.</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Para garantizar el ejercicio del derecho de transparencia, acceso a la informaci</w:t>
      </w:r>
      <w:r>
        <w:rPr>
          <w:rFonts w:eastAsia="Palatino Linotype" w:cs="Palatino Linotype"/>
          <w:i/>
          <w:sz w:val="22"/>
        </w:rPr>
        <w:t xml:space="preserve">ón pública y protección de datos personales, los poderes públicos y los organismos autónomos, transparentarán sus acciones, en términos de las disposiciones aplicables, la información será oportuna, clara, veraz y de fácil acceso. </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Este derecho se regirá </w:t>
      </w:r>
      <w:r>
        <w:rPr>
          <w:rFonts w:eastAsia="Palatino Linotype" w:cs="Palatino Linotype"/>
          <w:i/>
          <w:sz w:val="22"/>
        </w:rPr>
        <w:t>por los principios y bases siguientes:</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III.</w:t>
      </w:r>
      <w:r>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lastRenderedPageBreak/>
        <w:t>IV.</w:t>
      </w:r>
      <w:r>
        <w:rPr>
          <w:rFonts w:eastAsia="Palatino Linotype" w:cs="Palatino Linotype"/>
          <w:i/>
          <w:sz w:val="22"/>
        </w:rPr>
        <w:t xml:space="preserve"> Se establecerá</w:t>
      </w:r>
      <w:r>
        <w:rPr>
          <w:rFonts w:eastAsia="Palatino Linotype" w:cs="Palatino Linotype"/>
          <w:i/>
          <w:sz w:val="22"/>
        </w:rPr>
        <w:t>n mecanismos de acceso a la información y procedimientos de revisión expeditos que se sustanciarán ante el organismo autónomo especializado e imparcial que establece esta Constitución.</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VIII.</w:t>
      </w:r>
      <w:r>
        <w:rPr>
          <w:rFonts w:eastAsia="Palatino Linotype" w:cs="Palatino Linotype"/>
          <w:i/>
          <w:sz w:val="22"/>
        </w:rPr>
        <w:t xml:space="preserve"> El Estado contará con un organismo autónomo, especializado, i</w:t>
      </w:r>
      <w:r>
        <w:rPr>
          <w:rFonts w:eastAsia="Palatino Linotype" w:cs="Palatino Linotype"/>
          <w:i/>
          <w:sz w:val="22"/>
        </w:rPr>
        <w:t>mparcial, colegiado, con personalidad jurídica y patrimonio propio, con plena autonomía técnica y de gestión, con capacidad para decidir sobre el ejercicio de su presupuesto y determinar su organización interna, responsable de garantizar el cumplimiento de</w:t>
      </w:r>
      <w:r>
        <w:rPr>
          <w:rFonts w:eastAsia="Palatino Linotype" w:cs="Palatino Linotype"/>
          <w:i/>
          <w:sz w:val="22"/>
        </w:rPr>
        <w:t xml:space="preserve">l derecho de transparencia, acceso a la información pública y a la protección de datos personales en posesión de los sujetos obligados en los términos que establezca la ley. </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A51978">
      <w:pPr>
        <w:ind w:left="567" w:right="567"/>
        <w:rPr>
          <w:rFonts w:eastAsia="Palatino Linotype" w:cs="Palatino Linotype"/>
          <w:szCs w:val="24"/>
        </w:rPr>
      </w:pPr>
    </w:p>
    <w:p w:rsidR="00A51978" w:rsidRDefault="00482951">
      <w:pPr>
        <w:rPr>
          <w:rFonts w:eastAsia="Palatino Linotype" w:cs="Palatino Linotype"/>
          <w:szCs w:val="24"/>
        </w:rPr>
      </w:pPr>
      <w:r>
        <w:rPr>
          <w:rFonts w:eastAsia="Palatino Linotype" w:cs="Palatino Linotype"/>
          <w:szCs w:val="24"/>
        </w:rPr>
        <w:t xml:space="preserve">Por otra parte, del contenido del artículo 1 de la Constitución Política de </w:t>
      </w:r>
      <w:r>
        <w:rPr>
          <w:rFonts w:eastAsia="Palatino Linotype" w:cs="Palatino Linotype"/>
          <w:szCs w:val="24"/>
        </w:rPr>
        <w:t>los Estados Unidos Mexicanos, se destaca lo siguiente:</w:t>
      </w:r>
    </w:p>
    <w:p w:rsidR="00A51978" w:rsidRDefault="00A51978">
      <w:pPr>
        <w:spacing w:line="240" w:lineRule="auto"/>
        <w:ind w:left="567" w:right="567"/>
        <w:rPr>
          <w:rFonts w:eastAsia="Palatino Linotype" w:cs="Palatino Linotype"/>
          <w:szCs w:val="24"/>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1o</w:t>
      </w:r>
      <w:r>
        <w:rPr>
          <w:rFonts w:eastAsia="Palatino Linotype" w:cs="Palatino Linotype"/>
          <w:i/>
          <w:sz w:val="22"/>
        </w:rPr>
        <w:t>. En los Estados Unidos Mexicanos todas las personas gozarán de los derechos humanos reconocidos en esta Constitución y en los tratados internacionales de los que el Estado Mexicano sea par</w:t>
      </w:r>
      <w:r>
        <w:rPr>
          <w:rFonts w:eastAsia="Palatino Linotype" w:cs="Palatino Linotype"/>
          <w:i/>
          <w:sz w:val="22"/>
        </w:rPr>
        <w:t>te, así como de las garantías para su protección, cuyo ejercicio no podrá restringirse ni suspenderse, salvo en los casos y bajo las condiciones que esta Constitución establece.</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Las normas relativas a los derechos humanos se interpretarán de conformidad c</w:t>
      </w:r>
      <w:r>
        <w:rPr>
          <w:rFonts w:eastAsia="Palatino Linotype" w:cs="Palatino Linotype"/>
          <w:i/>
          <w:sz w:val="22"/>
        </w:rPr>
        <w:t>on esta Constitución y con los tratados internacionales de la materia favoreciendo en todo tiempo a las personas la protección más amplia.</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Todas las autoridades, en el ámbito de sus competencias, tienen la obligación de promover, respetar, proteger y gara</w:t>
      </w:r>
      <w:r>
        <w:rPr>
          <w:rFonts w:eastAsia="Palatino Linotype" w:cs="Palatino Linotype"/>
          <w:i/>
          <w:sz w:val="22"/>
        </w:rPr>
        <w:t>ntizar los derechos humanos de conformidad con los principios de universalidad, interdependencia, indivisibilidad y progresividad. En consecuencia, el Estado deberá prevenir, investigar, sancionar y reparar las violaciones a los derechos humanos, en los té</w:t>
      </w:r>
      <w:r>
        <w:rPr>
          <w:rFonts w:eastAsia="Palatino Linotype" w:cs="Palatino Linotype"/>
          <w:i/>
          <w:sz w:val="22"/>
        </w:rPr>
        <w:t>rminos que establezca la ley.</w:t>
      </w:r>
    </w:p>
    <w:p w:rsidR="00A51978" w:rsidRDefault="00A51978">
      <w:pPr>
        <w:ind w:left="567" w:right="567"/>
        <w:rPr>
          <w:rFonts w:eastAsia="Palatino Linotype" w:cs="Palatino Linotype"/>
          <w:szCs w:val="24"/>
        </w:rPr>
      </w:pPr>
    </w:p>
    <w:p w:rsidR="00A51978" w:rsidRDefault="00482951">
      <w:pPr>
        <w:rPr>
          <w:rFonts w:eastAsia="Palatino Linotype" w:cs="Palatino Linotype"/>
          <w:szCs w:val="24"/>
        </w:rPr>
      </w:pPr>
      <w:r>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w:t>
      </w:r>
      <w:r>
        <w:rPr>
          <w:rFonts w:eastAsia="Palatino Linotype" w:cs="Palatino Linotype"/>
          <w:szCs w:val="24"/>
        </w:rPr>
        <w:t xml:space="preserve">eberá tener acceso a la información </w:t>
      </w:r>
      <w:r>
        <w:rPr>
          <w:rFonts w:eastAsia="Palatino Linotype" w:cs="Palatino Linotype"/>
          <w:szCs w:val="24"/>
        </w:rPr>
        <w:lastRenderedPageBreak/>
        <w:t>pública, es decir, dicho derecho fundamental exime a quien lo ejerce, de acreditar su legitimación en la causa o su interés en el asunto, lo que permite la posibilidad de que, incluso, la solicitud de acceso a la informa</w:t>
      </w:r>
      <w:r>
        <w:rPr>
          <w:rFonts w:eastAsia="Palatino Linotype" w:cs="Palatino Linotype"/>
          <w:szCs w:val="24"/>
        </w:rPr>
        <w:t>ción pueda ser anónima o no contener un nombre que identifique al solicitante o que permita tener certeza sobre su identidad.</w:t>
      </w:r>
    </w:p>
    <w:p w:rsidR="00A51978" w:rsidRDefault="00A51978">
      <w:pPr>
        <w:rPr>
          <w:rFonts w:eastAsia="Palatino Linotype" w:cs="Palatino Linotype"/>
          <w:szCs w:val="24"/>
        </w:rPr>
      </w:pPr>
    </w:p>
    <w:p w:rsidR="00A51978" w:rsidRDefault="00482951">
      <w:pPr>
        <w:rPr>
          <w:rFonts w:eastAsia="Palatino Linotype" w:cs="Palatino Linotype"/>
          <w:b/>
          <w:color w:val="000000"/>
          <w:szCs w:val="24"/>
        </w:rPr>
      </w:pPr>
      <w:r>
        <w:rPr>
          <w:rFonts w:eastAsia="Palatino Linotype" w:cs="Palatino Linotype"/>
          <w:color w:val="000000"/>
          <w:szCs w:val="24"/>
        </w:rPr>
        <w:t>En conclusión, se cubrieron los requisitos de procedencia y procedibilidad, conforme a las constancias que obran en el expediente</w:t>
      </w:r>
      <w:r>
        <w:rPr>
          <w:rFonts w:eastAsia="Palatino Linotype" w:cs="Palatino Linotype"/>
          <w:color w:val="000000"/>
          <w:szCs w:val="24"/>
        </w:rPr>
        <w:t>.</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 w:val="26"/>
          <w:szCs w:val="26"/>
        </w:rPr>
      </w:pPr>
      <w:r>
        <w:rPr>
          <w:rFonts w:eastAsia="Palatino Linotype" w:cs="Palatino Linotype"/>
          <w:b/>
          <w:color w:val="000000"/>
          <w:sz w:val="26"/>
          <w:szCs w:val="26"/>
        </w:rPr>
        <w:t>CUARTO. De las causas de improcedencia.</w:t>
      </w:r>
    </w:p>
    <w:p w:rsidR="00A51978" w:rsidRDefault="00482951">
      <w:pPr>
        <w:rPr>
          <w:rFonts w:eastAsia="Palatino Linotype" w:cs="Palatino Linotype"/>
          <w:color w:val="000000"/>
          <w:szCs w:val="24"/>
        </w:rPr>
      </w:pPr>
      <w:r>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w:t>
      </w:r>
      <w:r>
        <w:rPr>
          <w:rFonts w:eastAsia="Palatino Linotype" w:cs="Palatino Linotype"/>
          <w:color w:val="000000"/>
          <w:szCs w:val="24"/>
        </w:rPr>
        <w:t>pios de legalidad y objetividad inmersos en el artículo 9 de Ley de Transparencia y Acceso a la Información Pública del Estado de México y Municipios, en correlación con la seguridad jurídica que debe generar lo actuado ante este Organismo garante.</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color w:val="000000"/>
          <w:szCs w:val="24"/>
        </w:rPr>
        <w:t>Por lo</w:t>
      </w:r>
      <w:r>
        <w:rPr>
          <w:rFonts w:eastAsia="Palatino Linotype" w:cs="Palatino Linotype"/>
          <w:color w:val="000000"/>
          <w:szCs w:val="24"/>
        </w:rPr>
        <w:t xml:space="preserve"> anterior, es una facultad legal entrar al estudio de las causas de improcedencia que hagan valer las partes o que se adviertan de oficio por este Resolutor y por ende objeto de análisis previo al estudio de fondo del asunto; presupuestos procesales de ini</w:t>
      </w:r>
      <w:r>
        <w:rPr>
          <w:rFonts w:eastAsia="Palatino Linotype" w:cs="Palatino Linotype"/>
          <w:color w:val="000000"/>
          <w:szCs w:val="24"/>
        </w:rPr>
        <w:t>cio o trámite de un proceso que dotan de seguridad jurídica las resoluciones, máxime que es una figura procesal adoptada en la ley de la materia</w:t>
      </w:r>
      <w:r>
        <w:rPr>
          <w:rFonts w:eastAsia="Palatino Linotype" w:cs="Palatino Linotype"/>
          <w:color w:val="000000"/>
          <w:szCs w:val="24"/>
          <w:vertAlign w:val="superscript"/>
        </w:rPr>
        <w:footnoteReference w:id="1"/>
      </w:r>
      <w:r>
        <w:rPr>
          <w:rFonts w:eastAsia="Palatino Linotype" w:cs="Palatino Linotype"/>
          <w:color w:val="000000"/>
          <w:szCs w:val="24"/>
        </w:rPr>
        <w:t xml:space="preserve">, la cual permite dilucidar alguna </w:t>
      </w:r>
      <w:r>
        <w:rPr>
          <w:rFonts w:eastAsia="Palatino Linotype" w:cs="Palatino Linotype"/>
          <w:color w:val="000000"/>
          <w:szCs w:val="24"/>
        </w:rPr>
        <w:lastRenderedPageBreak/>
        <w:t xml:space="preserve">causal que impida el estudio y resolución, cuando una vez admitido el </w:t>
      </w:r>
      <w:r>
        <w:rPr>
          <w:rFonts w:eastAsia="Palatino Linotype" w:cs="Palatino Linotype"/>
          <w:color w:val="000000"/>
          <w:szCs w:val="24"/>
        </w:rPr>
        <w:t>recurso de revisión se advierta una causa de improcedencia que permita sobreseerlo, sin estudiar el fondo del asunto.</w:t>
      </w:r>
    </w:p>
    <w:p w:rsidR="00A51978" w:rsidRDefault="00A51978">
      <w:pPr>
        <w:rPr>
          <w:rFonts w:eastAsia="Palatino Linotype" w:cs="Palatino Linotype"/>
          <w:color w:val="000000"/>
          <w:sz w:val="21"/>
          <w:szCs w:val="21"/>
        </w:rPr>
      </w:pPr>
    </w:p>
    <w:p w:rsidR="00A51978" w:rsidRDefault="00482951">
      <w:pPr>
        <w:rPr>
          <w:rFonts w:eastAsia="Palatino Linotype" w:cs="Palatino Linotype"/>
          <w:color w:val="000000"/>
          <w:szCs w:val="24"/>
        </w:rPr>
      </w:pPr>
      <w:r>
        <w:rPr>
          <w:rFonts w:eastAsia="Palatino Linotype" w:cs="Palatino Linotype"/>
          <w:color w:val="000000"/>
          <w:szCs w:val="24"/>
        </w:rPr>
        <w:t>Así las cosas, en la especie, no se actualiza ninguna causa de improcedencia de las referidas en el artículo 191 de la Ley de Transparenc</w:t>
      </w:r>
      <w:r>
        <w:rPr>
          <w:rFonts w:eastAsia="Palatino Linotype" w:cs="Palatino Linotype"/>
          <w:color w:val="000000"/>
          <w:szCs w:val="24"/>
        </w:rPr>
        <w:t>ia y Acceso a la Información Pública del Estado de México y Municipios, encontrándose actualizados todos los presupuestos procesales para atender el fondo del asunto, en los términos del considerando posterior.</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 w:val="26"/>
          <w:szCs w:val="26"/>
        </w:rPr>
      </w:pPr>
      <w:r>
        <w:rPr>
          <w:rFonts w:eastAsia="Palatino Linotype" w:cs="Palatino Linotype"/>
          <w:b/>
          <w:color w:val="000000"/>
          <w:sz w:val="26"/>
          <w:szCs w:val="26"/>
        </w:rPr>
        <w:t>QUINTO. Estudio y resolución del asunto.</w:t>
      </w:r>
    </w:p>
    <w:p w:rsidR="00A51978" w:rsidRDefault="00482951">
      <w:pPr>
        <w:contextualSpacing/>
        <w:rPr>
          <w:rFonts w:eastAsia="Palatino Linotype" w:cs="Palatino Linotype"/>
          <w:color w:val="000000"/>
          <w:szCs w:val="24"/>
        </w:rPr>
      </w:pPr>
      <w:r>
        <w:rPr>
          <w:rFonts w:eastAsia="Palatino Linotype" w:cs="Palatino Linotype"/>
          <w:color w:val="000000"/>
          <w:szCs w:val="24"/>
        </w:rPr>
        <w:lastRenderedPageBreak/>
        <w:t xml:space="preserve">El </w:t>
      </w:r>
      <w:r>
        <w:rPr>
          <w:rFonts w:eastAsia="Palatino Linotype" w:cs="Palatino Linotype"/>
          <w:color w:val="000000"/>
          <w:szCs w:val="24"/>
        </w:rPr>
        <w:t>análisis y resolución del presente recurso, se funda en el contenido íntegro de las actuaciones que obran en el expediente electrónico, para así estar en posibilidad este Órgano Colegiado de dictar el fallo correspondiente conforme a derecho, tomando en co</w:t>
      </w:r>
      <w:r>
        <w:rPr>
          <w:rFonts w:eastAsia="Palatino Linotype" w:cs="Palatino Linotype"/>
          <w:color w:val="000000"/>
          <w:szCs w:val="24"/>
        </w:rPr>
        <w:t xml:space="preserve">nsideración los elementos aportados por las partes y respetando en todo momento al principio de máxima publicidad consagrado en nuestra Constitución Federal, Local y demás leyes aplicables en la materia, así como en los tratados internacionales en los que </w:t>
      </w:r>
      <w:r>
        <w:rPr>
          <w:rFonts w:eastAsia="Palatino Linotype" w:cs="Palatino Linotype"/>
          <w:color w:val="000000"/>
          <w:szCs w:val="24"/>
        </w:rPr>
        <w:t>el Estado Mexicano sea parte, en concordancia con el párrafo tercero del artículo 1 de la Constitución Federal y el diverso 8 de la Ley de Transparencia local.</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Por tanto, es conveniente recordar que el hoy Recurrente solicitó al Sujeto Obligado lo siguien</w:t>
      </w:r>
      <w:r>
        <w:rPr>
          <w:rFonts w:eastAsia="Palatino Linotype" w:cs="Palatino Linotype"/>
          <w:color w:val="000000"/>
          <w:szCs w:val="24"/>
        </w:rPr>
        <w:t>te:</w:t>
      </w:r>
    </w:p>
    <w:p w:rsidR="00A51978" w:rsidRDefault="00A51978">
      <w:pPr>
        <w:contextualSpacing/>
        <w:rPr>
          <w:rFonts w:eastAsia="Palatino Linotype" w:cs="Palatino Linotype"/>
          <w:color w:val="000000"/>
          <w:szCs w:val="24"/>
        </w:rPr>
      </w:pPr>
    </w:p>
    <w:p w:rsidR="00A51978" w:rsidRDefault="00482951">
      <w:pPr>
        <w:pStyle w:val="Prrafodelista"/>
        <w:numPr>
          <w:ilvl w:val="0"/>
          <w:numId w:val="2"/>
        </w:numPr>
        <w:contextualSpacing/>
        <w:rPr>
          <w:rFonts w:eastAsia="Palatino Linotype" w:cs="Palatino Linotype"/>
          <w:color w:val="000000"/>
        </w:rPr>
      </w:pPr>
      <w:r>
        <w:rPr>
          <w:rFonts w:eastAsia="Palatino Linotype" w:cs="Palatino Linotype"/>
          <w:color w:val="000000"/>
        </w:rPr>
        <w:t>De la servidora pública de nombre Monserrat Silva Pantoja, que se le informara el grado de estudios y cédula profesional; y copia simple de los oficios firmados por dicha servidora pública en su calidad de titular de los Departamentos de Seguimiento a</w:t>
      </w:r>
      <w:r>
        <w:rPr>
          <w:rFonts w:eastAsia="Palatino Linotype" w:cs="Palatino Linotype"/>
          <w:color w:val="000000"/>
        </w:rPr>
        <w:t xml:space="preserve"> Egresados y Departamento de Servicio Social.</w:t>
      </w:r>
    </w:p>
    <w:p w:rsidR="00A51978" w:rsidRDefault="00482951">
      <w:pPr>
        <w:pStyle w:val="Prrafodelista"/>
        <w:numPr>
          <w:ilvl w:val="0"/>
          <w:numId w:val="2"/>
        </w:numPr>
        <w:contextualSpacing/>
        <w:rPr>
          <w:rFonts w:eastAsia="Palatino Linotype" w:cs="Palatino Linotype"/>
          <w:color w:val="000000"/>
        </w:rPr>
      </w:pPr>
      <w:r>
        <w:rPr>
          <w:rFonts w:eastAsia="Palatino Linotype" w:cs="Palatino Linotype"/>
          <w:color w:val="000000"/>
        </w:rPr>
        <w:t>Del servidor público de nombre Marcelo Flores Bustamante, que se le informara el grado de estudios y cédula profesional; y copia simple de todos los documentos firmados por dicho servidor público durante los ej</w:t>
      </w:r>
      <w:r>
        <w:rPr>
          <w:rFonts w:eastAsia="Palatino Linotype" w:cs="Palatino Linotype"/>
          <w:color w:val="000000"/>
        </w:rPr>
        <w:t>ercicios 2021 y 2022.</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A las solicitudes de información pública, el Sujeto Obligado respondió mediante los siguientes documentos:</w:t>
      </w:r>
    </w:p>
    <w:p w:rsidR="00A51978" w:rsidRDefault="00A51978">
      <w:pPr>
        <w:contextualSpacing/>
        <w:rPr>
          <w:rFonts w:eastAsia="Palatino Linotype" w:cs="Palatino Linotype"/>
          <w:color w:val="000000"/>
          <w:szCs w:val="24"/>
        </w:rPr>
      </w:pPr>
    </w:p>
    <w:p w:rsidR="00A51978" w:rsidRDefault="00482951">
      <w:pPr>
        <w:pStyle w:val="Prrafodelista"/>
        <w:numPr>
          <w:ilvl w:val="0"/>
          <w:numId w:val="3"/>
        </w:numPr>
        <w:contextualSpacing/>
        <w:rPr>
          <w:rFonts w:eastAsia="Palatino Linotype" w:cs="Palatino Linotype"/>
          <w:color w:val="000000"/>
        </w:rPr>
      </w:pPr>
      <w:r>
        <w:rPr>
          <w:rFonts w:eastAsia="Palatino Linotype" w:cs="Palatino Linotype"/>
          <w:b/>
          <w:bCs/>
          <w:color w:val="000000"/>
        </w:rPr>
        <w:lastRenderedPageBreak/>
        <w:t>00007TESCOIP2022</w:t>
      </w:r>
      <w:r>
        <w:rPr>
          <w:rFonts w:eastAsia="Palatino Linotype" w:cs="Palatino Linotype"/>
          <w:color w:val="000000"/>
        </w:rPr>
        <w:t>. Escrito emitido por el Subdirector de Planeación y Apoyos Tecnológicos y Titular de la Unidad de Transparen</w:t>
      </w:r>
      <w:r>
        <w:rPr>
          <w:rFonts w:eastAsia="Palatino Linotype" w:cs="Palatino Linotype"/>
          <w:color w:val="000000"/>
        </w:rPr>
        <w:t xml:space="preserve">cia, mediante el cual informó que la servidora pública referida en la solicitud 00007/TESCO/IP/2022 cuenta con grado de estudios de Licenciada en Derecho, que se comprueba con el acta de grado y título de fechas quince de febrero y catorce de marzo de dos </w:t>
      </w:r>
      <w:r>
        <w:rPr>
          <w:rFonts w:eastAsia="Palatino Linotype" w:cs="Palatino Linotype"/>
          <w:color w:val="000000"/>
        </w:rPr>
        <w:t>mil veintidós, sin que cuenta con registro de cédula profesional. Asimismo, se comunicó al particular que, en la estructura de organización registrada y resguardada en la Dirección General de Innovación, el Sujeto Obligado no cuenta con las unidades admini</w:t>
      </w:r>
      <w:r>
        <w:rPr>
          <w:rFonts w:eastAsia="Palatino Linotype" w:cs="Palatino Linotype"/>
          <w:color w:val="000000"/>
        </w:rPr>
        <w:t>strativas de nombre Departamento de Seguimiento de Egresados y/o Departamento de Servicio Social, por lo que no se cuenta con la documentación de esos departamentos.</w:t>
      </w:r>
    </w:p>
    <w:p w:rsidR="00A51978" w:rsidRDefault="00482951">
      <w:pPr>
        <w:pStyle w:val="Prrafodelista"/>
        <w:numPr>
          <w:ilvl w:val="0"/>
          <w:numId w:val="3"/>
        </w:numPr>
        <w:contextualSpacing/>
        <w:rPr>
          <w:rFonts w:eastAsia="Palatino Linotype" w:cs="Palatino Linotype"/>
          <w:color w:val="000000"/>
        </w:rPr>
      </w:pPr>
      <w:r>
        <w:rPr>
          <w:rFonts w:eastAsia="Palatino Linotype" w:cs="Palatino Linotype"/>
          <w:b/>
          <w:bCs/>
          <w:color w:val="000000"/>
        </w:rPr>
        <w:t>00008TESCOIP2022</w:t>
      </w:r>
      <w:r>
        <w:rPr>
          <w:rFonts w:eastAsia="Palatino Linotype" w:cs="Palatino Linotype"/>
          <w:color w:val="000000"/>
        </w:rPr>
        <w:t xml:space="preserve">. Escrito suscrito por el Subdirector de Planeación y Apoyos Tecnológicos </w:t>
      </w:r>
      <w:r>
        <w:rPr>
          <w:rFonts w:eastAsia="Palatino Linotype" w:cs="Palatino Linotype"/>
          <w:color w:val="000000"/>
        </w:rPr>
        <w:t>y Titular de la Unidad de Transparencia, por medio del cual informó que el servidor público referido en la solicitud 00008/TESCO/IP/2022 no cuenta con el registro de alguna carrera profesional en proceso o concluida. Además, se hizo del conocimiento del pa</w:t>
      </w:r>
      <w:r>
        <w:rPr>
          <w:rFonts w:eastAsia="Palatino Linotype" w:cs="Palatino Linotype"/>
          <w:color w:val="000000"/>
        </w:rPr>
        <w:t>rticular que las funciones de dicho servidor público no ameritan firma alguna o expedición de documentos oficiales, ya que no es titular de ninguna de las áreas administrativas registradas en esa institución, por lo que no se cuenta con documentación algun</w:t>
      </w:r>
      <w:r>
        <w:rPr>
          <w:rFonts w:eastAsia="Palatino Linotype" w:cs="Palatino Linotype"/>
          <w:color w:val="000000"/>
        </w:rPr>
        <w:t>a que incluya la firma del servidor público.</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 xml:space="preserve">Ante la respuesta emitida por el Sujeto Obligado, el Recurrente consideró que su derecho a la información pública había sido conculcado, por lo que interpuso los recursos de revisión al rubro citado, señalando </w:t>
      </w:r>
      <w:r>
        <w:rPr>
          <w:rFonts w:eastAsia="Palatino Linotype" w:cs="Palatino Linotype"/>
          <w:color w:val="000000"/>
          <w:szCs w:val="24"/>
        </w:rPr>
        <w:t xml:space="preserve">como acto impugnado su inconformidad con la </w:t>
      </w:r>
      <w:r>
        <w:rPr>
          <w:rFonts w:eastAsia="Palatino Linotype" w:cs="Palatino Linotype"/>
          <w:color w:val="000000"/>
          <w:szCs w:val="24"/>
        </w:rPr>
        <w:lastRenderedPageBreak/>
        <w:t xml:space="preserve">respuestas proporcionadas por el Sujeto Obligado; dando como razones o motivos de inconformidad en el recurso </w:t>
      </w:r>
      <w:r>
        <w:rPr>
          <w:rFonts w:eastAsia="Palatino Linotype" w:cs="Palatino Linotype"/>
          <w:b/>
          <w:bCs/>
          <w:color w:val="000000"/>
          <w:szCs w:val="24"/>
        </w:rPr>
        <w:t>09765/INFOEM/IP/RR/2022</w:t>
      </w:r>
      <w:r>
        <w:rPr>
          <w:rFonts w:eastAsia="Palatino Linotype" w:cs="Palatino Linotype"/>
          <w:color w:val="000000"/>
          <w:szCs w:val="24"/>
        </w:rPr>
        <w:t xml:space="preserve"> que el Sujeto Obligado no le solicitó aclaración alguna ni lo oriento antes o </w:t>
      </w:r>
      <w:r>
        <w:rPr>
          <w:rFonts w:eastAsia="Palatino Linotype" w:cs="Palatino Linotype"/>
          <w:color w:val="000000"/>
          <w:szCs w:val="24"/>
        </w:rPr>
        <w:t>al momento de dar respuesta respecto del nombre exacto de las unidades administrativas, considerando que con los datos proporcionados se hizo plenamente identificable la información solicitada, además de que en el portal de información pública se observa q</w:t>
      </w:r>
      <w:r>
        <w:rPr>
          <w:rFonts w:eastAsia="Palatino Linotype" w:cs="Palatino Linotype"/>
          <w:color w:val="000000"/>
          <w:szCs w:val="24"/>
        </w:rPr>
        <w:t>ue se cuenta con las áreas referidas, por lo que reitera su petición de que se le haga entrega copia simple de los oficios firmados por la servidora pública como titular de los Departamentos de Seguimiento a Egresados y Vinculación (periodo 2021-2022) y De</w:t>
      </w:r>
      <w:r>
        <w:rPr>
          <w:rFonts w:eastAsia="Palatino Linotype" w:cs="Palatino Linotype"/>
          <w:color w:val="000000"/>
          <w:szCs w:val="24"/>
        </w:rPr>
        <w:t>partamento de Servicio Social y Prácticas Profesionales (periodo 2017 y 2021) mediante el SAIMEX. Se debe mencionar que el Recurrente anexó dos imágenes en las que se observan los nombres de las unidades administrativas referidas y que su titular es la ser</w:t>
      </w:r>
      <w:r>
        <w:rPr>
          <w:rFonts w:eastAsia="Palatino Linotype" w:cs="Palatino Linotype"/>
          <w:color w:val="000000"/>
          <w:szCs w:val="24"/>
        </w:rPr>
        <w:t>vidora pública mencionada.</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 xml:space="preserve">Mientras que en el recurso de revisión </w:t>
      </w:r>
      <w:r>
        <w:rPr>
          <w:rFonts w:eastAsia="Palatino Linotype" w:cs="Palatino Linotype"/>
          <w:b/>
          <w:bCs/>
          <w:color w:val="000000"/>
          <w:szCs w:val="24"/>
        </w:rPr>
        <w:t>09767/INFOEM/IP/RR/2022</w:t>
      </w:r>
      <w:r>
        <w:rPr>
          <w:rFonts w:eastAsia="Palatino Linotype" w:cs="Palatino Linotype"/>
          <w:color w:val="000000"/>
          <w:szCs w:val="24"/>
        </w:rPr>
        <w:t xml:space="preserve"> señaló como razones o motivos de inconformidad que el servidor público referido ocupa el cargo de Secretario Particular de la Dirección General, que ha estado al fre</w:t>
      </w:r>
      <w:r>
        <w:rPr>
          <w:rFonts w:eastAsia="Palatino Linotype" w:cs="Palatino Linotype"/>
          <w:color w:val="000000"/>
          <w:szCs w:val="24"/>
        </w:rPr>
        <w:t>nte de la Unidad Jurídica del Sujeto Obligado y que según el portal de información pública ocupa el cargo de “Profesor Titular A”, por lo que considera que dichos cargos ameritan haber firmado documentos dirigidos a diversas áreas de esa institución; por l</w:t>
      </w:r>
      <w:r>
        <w:rPr>
          <w:rFonts w:eastAsia="Palatino Linotype" w:cs="Palatino Linotype"/>
          <w:color w:val="000000"/>
          <w:szCs w:val="24"/>
        </w:rPr>
        <w:t>o que reiteró su requerimiento de que se le entregaran copias de los documentos firmados por el servidor público en comento durante los ejercicio 2020, 2021 y 2022 mediante el SAIMEX.</w:t>
      </w:r>
    </w:p>
    <w:p w:rsidR="00A51978" w:rsidRDefault="00A51978">
      <w:pPr>
        <w:contextualSpacing/>
        <w:rPr>
          <w:rFonts w:eastAsia="Palatino Linotype" w:cs="Palatino Linotype"/>
          <w:color w:val="000000"/>
          <w:szCs w:val="24"/>
        </w:rPr>
      </w:pPr>
    </w:p>
    <w:p w:rsidR="00A51978" w:rsidRDefault="00482951">
      <w:pPr>
        <w:contextualSpacing/>
        <w:rPr>
          <w:szCs w:val="24"/>
        </w:rPr>
      </w:pPr>
      <w:r>
        <w:rPr>
          <w:szCs w:val="24"/>
        </w:rPr>
        <w:t>Durante la etapa de instrucción, Sujeto Obligado omitió rendir los Info</w:t>
      </w:r>
      <w:r>
        <w:rPr>
          <w:szCs w:val="24"/>
        </w:rPr>
        <w:t xml:space="preserve">rmes Justificados correspondientes. Por otra parte, el Recurrente no realizó manifestaciones en el recurso </w:t>
      </w:r>
      <w:r>
        <w:rPr>
          <w:szCs w:val="24"/>
        </w:rPr>
        <w:lastRenderedPageBreak/>
        <w:t xml:space="preserve">de revisión </w:t>
      </w:r>
      <w:r>
        <w:rPr>
          <w:b/>
          <w:szCs w:val="24"/>
        </w:rPr>
        <w:t>09765/INFOEM/IP/RR/2022</w:t>
      </w:r>
      <w:r>
        <w:rPr>
          <w:szCs w:val="24"/>
        </w:rPr>
        <w:t xml:space="preserve">, mientras que en el recurso de revisión </w:t>
      </w:r>
      <w:r>
        <w:rPr>
          <w:b/>
          <w:szCs w:val="24"/>
        </w:rPr>
        <w:t>09767/INFOEM/IP/RR/2022</w:t>
      </w:r>
      <w:r>
        <w:rPr>
          <w:szCs w:val="24"/>
        </w:rPr>
        <w:t>, presentó el documento “</w:t>
      </w:r>
      <w:r>
        <w:rPr>
          <w:b/>
          <w:bCs/>
          <w:szCs w:val="24"/>
        </w:rPr>
        <w:t>MFB.PNG”</w:t>
      </w:r>
      <w:r>
        <w:rPr>
          <w:szCs w:val="24"/>
        </w:rPr>
        <w:t xml:space="preserve"> que consiste en una captura de pantalla en la que se observa lo siguiente:</w:t>
      </w:r>
    </w:p>
    <w:p w:rsidR="00A51978" w:rsidRDefault="00A51978">
      <w:pPr>
        <w:contextualSpacing/>
        <w:rPr>
          <w:szCs w:val="24"/>
        </w:rPr>
      </w:pPr>
    </w:p>
    <w:p w:rsidR="00A51978" w:rsidRDefault="00482951">
      <w:pPr>
        <w:contextualSpacing/>
        <w:jc w:val="center"/>
        <w:rPr>
          <w:szCs w:val="24"/>
        </w:rPr>
      </w:pPr>
      <w:r>
        <w:rPr>
          <w:noProof/>
          <w:szCs w:val="24"/>
          <w:lang w:val="es-MX"/>
        </w:rPr>
        <w:drawing>
          <wp:inline distT="0" distB="0" distL="0" distR="0">
            <wp:extent cx="5148580" cy="344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4689" cy="3465889"/>
                    </a:xfrm>
                    <a:prstGeom prst="rect">
                      <a:avLst/>
                    </a:prstGeom>
                  </pic:spPr>
                </pic:pic>
              </a:graphicData>
            </a:graphic>
          </wp:inline>
        </w:drawing>
      </w:r>
    </w:p>
    <w:p w:rsidR="00A51978" w:rsidRDefault="00A51978"/>
    <w:p w:rsidR="00A51978" w:rsidRDefault="00482951">
      <w:pPr>
        <w:contextualSpacing/>
        <w:rPr>
          <w:rFonts w:eastAsia="Palatino Linotype" w:cs="Palatino Linotype"/>
          <w:color w:val="000000"/>
          <w:szCs w:val="24"/>
        </w:rPr>
      </w:pPr>
      <w:r>
        <w:rPr>
          <w:rFonts w:eastAsia="Palatino Linotype" w:cs="Palatino Linotype"/>
          <w:color w:val="000000"/>
          <w:szCs w:val="24"/>
        </w:rPr>
        <w:t>Ahora bien, quedando establecido lo anterior, este Órgano Garante considera viable realizar el estudio en aras de establecer si la respuesta del Sujeto Obligado colma la preten</w:t>
      </w:r>
      <w:r>
        <w:rPr>
          <w:rFonts w:eastAsia="Palatino Linotype" w:cs="Palatino Linotype"/>
          <w:color w:val="000000"/>
          <w:szCs w:val="24"/>
        </w:rPr>
        <w:t xml:space="preserve">sión del Recurrente, así como calificar los motivos de inconformidad del particular. </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En este sentido, es pertinente enfatizar lo que, respecto al derecho de acceso a la información pública, refiere el artículo 6° de la Constitución Política de los Estado</w:t>
      </w:r>
      <w:r>
        <w:rPr>
          <w:rFonts w:eastAsia="Palatino Linotype" w:cs="Palatino Linotype"/>
          <w:color w:val="000000"/>
          <w:szCs w:val="24"/>
        </w:rPr>
        <w:t>s Unidos Mexicanos, que en su parte conducente señala:</w:t>
      </w:r>
    </w:p>
    <w:p w:rsidR="00A51978" w:rsidRDefault="00A51978">
      <w:pPr>
        <w:contextualSpacing/>
        <w:rPr>
          <w:rFonts w:eastAsia="Palatino Linotype" w:cs="Palatino Linotype"/>
          <w:color w:val="000000"/>
          <w:szCs w:val="24"/>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b/>
          <w:i/>
          <w:color w:val="000000"/>
          <w:sz w:val="22"/>
        </w:rPr>
        <w:t>Artículo 6o.</w:t>
      </w:r>
      <w:r>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w:t>
      </w:r>
      <w:r>
        <w:rPr>
          <w:rFonts w:eastAsia="Palatino Linotype" w:cs="Palatino Linotype"/>
          <w:i/>
          <w:color w:val="000000"/>
          <w:sz w:val="22"/>
        </w:rPr>
        <w:t xml:space="preserve">será ejercido en los términos dispuestos por la ley. </w:t>
      </w:r>
      <w:r>
        <w:rPr>
          <w:rFonts w:eastAsia="Palatino Linotype" w:cs="Palatino Linotype"/>
          <w:b/>
          <w:i/>
          <w:color w:val="000000"/>
          <w:sz w:val="22"/>
        </w:rPr>
        <w:t>El derecho a la información será garantizado por el Estado.</w:t>
      </w:r>
      <w:r>
        <w:rPr>
          <w:rFonts w:eastAsia="Palatino Linotype" w:cs="Palatino Linotype"/>
          <w:i/>
          <w:color w:val="000000"/>
          <w:sz w:val="22"/>
        </w:rPr>
        <w:t xml:space="preserve"> </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Toda persona tiene derecho al libre acceso a información plural y oportuna, así como a buscar, recibir y difundir información e ideas de toda</w:t>
      </w:r>
      <w:r>
        <w:rPr>
          <w:rFonts w:eastAsia="Palatino Linotype" w:cs="Palatino Linotype"/>
          <w:i/>
          <w:color w:val="000000"/>
          <w:sz w:val="22"/>
        </w:rPr>
        <w:t xml:space="preserve"> índole por cualquier medio de expresión.</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Para efectos de lo dispuesto en el presente artículo se observará lo siguiente:</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A. Para el ejercicio del derecho de acceso a la información, la Federación, los Estados y el Distrito Federal, en el ámbito de sus r</w:t>
      </w:r>
      <w:r>
        <w:rPr>
          <w:rFonts w:eastAsia="Palatino Linotype" w:cs="Palatino Linotype"/>
          <w:i/>
          <w:color w:val="000000"/>
          <w:sz w:val="22"/>
        </w:rPr>
        <w:t>espectivas competencias, se regirán por los siguientes principios y bases:</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b/>
          <w:i/>
          <w:color w:val="000000"/>
          <w:sz w:val="22"/>
        </w:rPr>
        <w:t>I. Toda la información en posesión de</w:t>
      </w:r>
      <w:r>
        <w:rPr>
          <w:rFonts w:eastAsia="Palatino Linotype" w:cs="Palatino Linotype"/>
          <w:i/>
          <w:color w:val="000000"/>
          <w:sz w:val="22"/>
        </w:rPr>
        <w:t xml:space="preserve"> </w:t>
      </w:r>
      <w:r>
        <w:rPr>
          <w:rFonts w:eastAsia="Palatino Linotype" w:cs="Palatino Linotype"/>
          <w:b/>
          <w:i/>
          <w:color w:val="000000"/>
          <w:sz w:val="22"/>
        </w:rPr>
        <w:t>cualquier autoridad</w:t>
      </w:r>
      <w:r>
        <w:rPr>
          <w:rFonts w:eastAsia="Palatino Linotype" w:cs="Palatino Linotype"/>
          <w:i/>
          <w:color w:val="000000"/>
          <w:sz w:val="22"/>
        </w:rPr>
        <w:t>, entidad, órgano y organismo de los Poderes Ejecutivo, Legislativo y Judicial, órganos autónomos, partidos políticos, fide</w:t>
      </w:r>
      <w:r>
        <w:rPr>
          <w:rFonts w:eastAsia="Palatino Linotype" w:cs="Palatino Linotype"/>
          <w:i/>
          <w:color w:val="000000"/>
          <w:sz w:val="22"/>
        </w:rPr>
        <w:t xml:space="preserve">icomisos y fondos públicos, así como de cualquier persona física, moral o sindicato que reciba y ejerza recursos públicos o realice actos de autoridad </w:t>
      </w:r>
      <w:r>
        <w:rPr>
          <w:rFonts w:eastAsia="Palatino Linotype" w:cs="Palatino Linotype"/>
          <w:b/>
          <w:i/>
          <w:color w:val="000000"/>
          <w:sz w:val="22"/>
        </w:rPr>
        <w:t>en el ámbito federal, estatal y municipal, es pública</w:t>
      </w:r>
      <w:r>
        <w:rPr>
          <w:rFonts w:eastAsia="Palatino Linotype" w:cs="Palatino Linotype"/>
          <w:i/>
          <w:color w:val="000000"/>
          <w:sz w:val="22"/>
        </w:rPr>
        <w:t xml:space="preserve"> y sólo podrá ser reservada temporalmente por razone</w:t>
      </w:r>
      <w:r>
        <w:rPr>
          <w:rFonts w:eastAsia="Palatino Linotype" w:cs="Palatino Linotype"/>
          <w:i/>
          <w:color w:val="000000"/>
          <w:sz w:val="22"/>
        </w:rPr>
        <w:t xml:space="preserve">s de interés público y seguridad nacional, en los términos que fijen las leyes. En la interpretación de este derecho deberá prevalecer el principio de máxima publicidad. </w:t>
      </w:r>
      <w:r>
        <w:rPr>
          <w:rFonts w:eastAsia="Palatino Linotype" w:cs="Palatino Linotype"/>
          <w:b/>
          <w:i/>
          <w:color w:val="000000"/>
          <w:sz w:val="22"/>
        </w:rPr>
        <w:t>Los sujetos obligados deberán documentar todo acto que derive del ejercicio de sus fac</w:t>
      </w:r>
      <w:r>
        <w:rPr>
          <w:rFonts w:eastAsia="Palatino Linotype" w:cs="Palatino Linotype"/>
          <w:b/>
          <w:i/>
          <w:color w:val="000000"/>
          <w:sz w:val="22"/>
        </w:rPr>
        <w:t>ultades, competencias o funciones</w:t>
      </w:r>
      <w:r>
        <w:rPr>
          <w:rFonts w:eastAsia="Palatino Linotype" w:cs="Palatino Linotype"/>
          <w:i/>
          <w:color w:val="000000"/>
          <w:sz w:val="22"/>
        </w:rPr>
        <w:t>, la ley determinará los supuestos específicos bajo los cuales procederá la declaración de inexistencia de la información.</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II. La información que se refiere a la vida privada y los datos personales será protegida en los tér</w:t>
      </w:r>
      <w:r>
        <w:rPr>
          <w:rFonts w:eastAsia="Palatino Linotype" w:cs="Palatino Linotype"/>
          <w:i/>
          <w:color w:val="000000"/>
          <w:sz w:val="22"/>
        </w:rPr>
        <w:t>minos y con las excepciones que fijen las leyes.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IV.   Se estab</w:t>
      </w:r>
      <w:r>
        <w:rPr>
          <w:rFonts w:eastAsia="Palatino Linotype" w:cs="Palatino Linotype"/>
          <w:i/>
          <w:color w:val="000000"/>
          <w:sz w:val="22"/>
        </w:rPr>
        <w:t>lecerán mecanismos de acceso a la información y procedimientos de revisión expeditos que se sustanciarán ante los organismos autónomos especializados e imparciales que establece esta Constitución.</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b/>
          <w:i/>
          <w:color w:val="000000"/>
          <w:sz w:val="22"/>
        </w:rPr>
        <w:t>V. Los sujetos obligados deberán preservar sus documentos e</w:t>
      </w:r>
      <w:r>
        <w:rPr>
          <w:rFonts w:eastAsia="Palatino Linotype" w:cs="Palatino Linotype"/>
          <w:b/>
          <w:i/>
          <w:color w:val="000000"/>
          <w:sz w:val="22"/>
        </w:rPr>
        <w:t>n archivos administrativos actualizados y publicarán, a través de los medios electrónicos disponibles</w:t>
      </w:r>
      <w:r>
        <w:rPr>
          <w:rFonts w:eastAsia="Palatino Linotype" w:cs="Palatino Linotype"/>
          <w:i/>
          <w:color w:val="000000"/>
          <w:sz w:val="22"/>
        </w:rPr>
        <w:t xml:space="preserve">, </w:t>
      </w:r>
      <w:r>
        <w:rPr>
          <w:rFonts w:eastAsia="Palatino Linotype" w:cs="Palatino Linotype"/>
          <w:b/>
          <w:i/>
          <w:color w:val="000000"/>
          <w:sz w:val="22"/>
        </w:rPr>
        <w:t xml:space="preserve">la información completa y actualizada sobre el ejercicio de los recursos públicos </w:t>
      </w:r>
      <w:r>
        <w:rPr>
          <w:rFonts w:eastAsia="Palatino Linotype" w:cs="Palatino Linotype"/>
          <w:i/>
          <w:color w:val="000000"/>
          <w:sz w:val="22"/>
        </w:rPr>
        <w:t>y los indicadores que permitan rendir cuenta del cumplimiento de sus ob</w:t>
      </w:r>
      <w:r>
        <w:rPr>
          <w:rFonts w:eastAsia="Palatino Linotype" w:cs="Palatino Linotype"/>
          <w:i/>
          <w:color w:val="000000"/>
          <w:sz w:val="22"/>
        </w:rPr>
        <w:t>jetivos y de los resultados obtenidos.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lastRenderedPageBreak/>
        <w:t>VI. Las leyes determinarán la manera en que los sujetos obligados deberán hacer pública la información relativa a los recursos públicos que entreguen a personas físicas o morales.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VII. La inobservancia a las disposici</w:t>
      </w:r>
      <w:r>
        <w:rPr>
          <w:rFonts w:eastAsia="Palatino Linotype" w:cs="Palatino Linotype"/>
          <w:i/>
          <w:color w:val="000000"/>
          <w:sz w:val="22"/>
        </w:rPr>
        <w:t>ones en materia de acceso a la información pública será sancionada en los términos que dispongan las leyes.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VIII. La Federación contará con un organismo autónomo, especializado, imparcial, colegiado, con personalidad jurídica y patrimonio propio, con plena</w:t>
      </w:r>
      <w:r>
        <w:rPr>
          <w:rFonts w:eastAsia="Palatino Linotype" w:cs="Palatino Linotype"/>
          <w:i/>
          <w:color w:val="000000"/>
          <w:sz w:val="22"/>
        </w:rPr>
        <w:t xml:space="preserve"> autonomía técnica, de gestión, capacidad para decidir sobre el ejercicio de su presupuesto y determinar su organización interna, responsable de garantizar el cumplimiento del derecho de acceso a la información pública y a la protección de datos personales</w:t>
      </w:r>
      <w:r>
        <w:rPr>
          <w:rFonts w:eastAsia="Palatino Linotype" w:cs="Palatino Linotype"/>
          <w:i/>
          <w:color w:val="000000"/>
          <w:sz w:val="22"/>
        </w:rPr>
        <w:t xml:space="preserve"> en posesión de los sujetos obligados en los términos que establezca la ley.</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La ley establecerá aquella información que se considere reservada o confidencial.</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Por su parte, la Constitución Política del Estado Libre y Soberano de México, en su artículo 5</w:t>
      </w:r>
      <w:r>
        <w:rPr>
          <w:rFonts w:eastAsia="Palatino Linotype" w:cs="Palatino Linotype"/>
          <w:color w:val="000000"/>
          <w:szCs w:val="24"/>
        </w:rPr>
        <w:t>°, dispone en su parte conducente, lo siguiente:</w:t>
      </w:r>
    </w:p>
    <w:p w:rsidR="00A51978" w:rsidRDefault="00A51978">
      <w:pPr>
        <w:contextualSpacing/>
        <w:rPr>
          <w:rFonts w:eastAsia="Palatino Linotype" w:cs="Palatino Linotype"/>
          <w:color w:val="000000"/>
          <w:szCs w:val="24"/>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b/>
          <w:i/>
          <w:color w:val="000000"/>
          <w:sz w:val="22"/>
        </w:rPr>
        <w:t>Artículo 5</w:t>
      </w:r>
      <w:r>
        <w:rPr>
          <w:rFonts w:eastAsia="Palatino Linotype" w:cs="Palatino Linotype"/>
          <w:i/>
          <w:color w:val="000000"/>
          <w:sz w:val="22"/>
        </w:rPr>
        <w:t xml:space="preserve">. … </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Para garantizar</w:t>
      </w:r>
      <w:r>
        <w:rPr>
          <w:rFonts w:eastAsia="Palatino Linotype" w:cs="Palatino Linotype"/>
          <w:i/>
          <w:color w:val="000000"/>
          <w:sz w:val="22"/>
        </w:rPr>
        <w:t xml:space="preserve"> el ejercicio del derecho de transparencia, acceso a la información pública y protección de datos personales, los poderes públicos y los organismos autónomos, transparentarán sus acciones, en términos de las disposiciones aplicables, la información será op</w:t>
      </w:r>
      <w:r>
        <w:rPr>
          <w:rFonts w:eastAsia="Palatino Linotype" w:cs="Palatino Linotype"/>
          <w:i/>
          <w:color w:val="000000"/>
          <w:sz w:val="22"/>
        </w:rPr>
        <w:t xml:space="preserve">ortuna, clara, veraz y de fácil acceso. </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Este derecho se regirá por los principios y bases siguientes:</w:t>
      </w:r>
    </w:p>
    <w:p w:rsidR="00A51978" w:rsidRDefault="00A51978">
      <w:pPr>
        <w:spacing w:line="240" w:lineRule="auto"/>
        <w:ind w:left="567" w:right="567"/>
        <w:contextualSpacing/>
        <w:rPr>
          <w:rFonts w:eastAsia="Palatino Linotype" w:cs="Palatino Linotype"/>
          <w:i/>
          <w:color w:val="000000"/>
          <w:sz w:val="22"/>
        </w:rPr>
      </w:pP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 xml:space="preserve">I. Toda la información en posesión de cualquier autoridad, entidad, órgano y organismos de los Poderes Ejecutivo, Legislativo y Judicial, órganos </w:t>
      </w:r>
      <w:r>
        <w:rPr>
          <w:rFonts w:eastAsia="Palatino Linotype" w:cs="Palatino Linotype"/>
          <w:i/>
          <w:color w:val="000000"/>
          <w:sz w:val="22"/>
        </w:rPr>
        <w:t>autónomos, partidos políticos, fideicomisos y fondos públicos estatales y municipales, así como del gobierno y de la administración pública municipal y sus organismos descentralizados, asimismo de cualquier persona física, jurídica colectiva o sindicato qu</w:t>
      </w:r>
      <w:r>
        <w:rPr>
          <w:rFonts w:eastAsia="Palatino Linotype" w:cs="Palatino Linotype"/>
          <w:i/>
          <w:color w:val="000000"/>
          <w:sz w:val="22"/>
        </w:rPr>
        <w:t>e reciba y ejerza recursos públicos o realice actos de autoridad en el ámbito estatal y municipal, es pública y sólo podrá ser reservada temporalmente por razones previstas en la Constitución Política de los Estados Unidos Mexicanos de interés público y se</w:t>
      </w:r>
      <w:r>
        <w:rPr>
          <w:rFonts w:eastAsia="Palatino Linotype" w:cs="Palatino Linotype"/>
          <w:i/>
          <w:color w:val="000000"/>
          <w:sz w:val="22"/>
        </w:rPr>
        <w:t xml:space="preserve">guridad, en los términos que fijen las leyes. En la interpretación de este derecho deberá prevalecer el principio de máxima publicidad. Los sujetos </w:t>
      </w:r>
      <w:r>
        <w:rPr>
          <w:rFonts w:eastAsia="Palatino Linotype" w:cs="Palatino Linotype"/>
          <w:i/>
          <w:color w:val="000000"/>
          <w:sz w:val="22"/>
        </w:rPr>
        <w:lastRenderedPageBreak/>
        <w:t>obligados deberán documentar todo acto que derive del ejercicio de sus facultades, competencias o funciones,</w:t>
      </w:r>
      <w:r>
        <w:rPr>
          <w:rFonts w:eastAsia="Palatino Linotype" w:cs="Palatino Linotype"/>
          <w:i/>
          <w:color w:val="000000"/>
          <w:sz w:val="22"/>
        </w:rPr>
        <w:t xml:space="preserve"> la ley determinará los supuestos específicos bajo los cuales procederá la declaración de inexistencia de la información.</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II. La información referente a la intimidad de la vida privada y la imagen de las personas será protegida a través de un marco jurídic</w:t>
      </w:r>
      <w:r>
        <w:rPr>
          <w:rFonts w:eastAsia="Palatino Linotype" w:cs="Palatino Linotype"/>
          <w:i/>
          <w:color w:val="000000"/>
          <w:sz w:val="22"/>
        </w:rPr>
        <w:t>o rígido de tratamiento y manejo de datos personales, con las excepciones que establezca la ley reglamentaria.</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 xml:space="preserve">III. Toda persona, sin necesidad de acreditar interés alguno o justificar su utilización, tendrá acceso gratuito a la información pública, a sus </w:t>
      </w:r>
      <w:r>
        <w:rPr>
          <w:rFonts w:eastAsia="Palatino Linotype" w:cs="Palatino Linotype"/>
          <w:i/>
          <w:color w:val="000000"/>
          <w:sz w:val="22"/>
        </w:rPr>
        <w:t>datos personales o a la rectificación de éstos.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V. Lo</w:t>
      </w:r>
      <w:r>
        <w:rPr>
          <w:rFonts w:eastAsia="Palatino Linotype" w:cs="Palatino Linotype"/>
          <w:i/>
          <w:color w:val="000000"/>
          <w:sz w:val="22"/>
        </w:rPr>
        <w:t>s procedimientos de acceso a la información pública, de acceso, corrección y supresión de datos personales, así como los recursos de revisión derivados de los mismos, podrán tramitarse por medios electrónicos, a través de un sistema automatizado que para t</w:t>
      </w:r>
      <w:r>
        <w:rPr>
          <w:rFonts w:eastAsia="Palatino Linotype" w:cs="Palatino Linotype"/>
          <w:i/>
          <w:color w:val="000000"/>
          <w:sz w:val="22"/>
        </w:rPr>
        <w:t>al efecto establezca la ley reglamentaria y el organismo autónomo garante en el ámbito de su competencia. Las resoluciones que correspondan a estos procedimientos se sistematizarán para favorecer su consulta.</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VI. Los sujetos obligados deberán preservar sus</w:t>
      </w:r>
      <w:r>
        <w:rPr>
          <w:rFonts w:eastAsia="Palatino Linotype" w:cs="Palatino Linotype"/>
          <w:i/>
          <w:color w:val="000000"/>
          <w:sz w:val="22"/>
        </w:rPr>
        <w:t xml:space="preserve"> documentos en archivos administrativos actualizados y publicarán, a través de los medios electrónicos disponibles, la información completa y actualizada sobre el ejercicio de los recursos públicos y los indicadores que permitan rendir cuenta del cumplimie</w:t>
      </w:r>
      <w:r>
        <w:rPr>
          <w:rFonts w:eastAsia="Palatino Linotype" w:cs="Palatino Linotype"/>
          <w:i/>
          <w:color w:val="000000"/>
          <w:sz w:val="22"/>
        </w:rPr>
        <w:t>nto de sus objetivos y los resultados obtenidos.</w:t>
      </w:r>
    </w:p>
    <w:p w:rsidR="00A51978" w:rsidRDefault="00482951">
      <w:pP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rsidR="00A51978" w:rsidRDefault="00A51978">
      <w:pPr>
        <w:contextualSpacing/>
        <w:rPr>
          <w:rFonts w:eastAsia="Palatino Linotype" w:cs="Palatino Linotype"/>
          <w:color w:val="000000"/>
          <w:szCs w:val="24"/>
        </w:rPr>
      </w:pPr>
    </w:p>
    <w:p w:rsidR="00A51978" w:rsidRDefault="00482951">
      <w:pPr>
        <w:rPr>
          <w:rFonts w:eastAsia="Palatino Linotype" w:cs="Palatino Linotype"/>
          <w:szCs w:val="24"/>
        </w:rPr>
      </w:pPr>
      <w:r>
        <w:rPr>
          <w:rFonts w:eastAsia="Palatino Linotype" w:cs="Palatino Linotype"/>
          <w:szCs w:val="24"/>
        </w:rPr>
        <w:t>E</w:t>
      </w:r>
      <w:r>
        <w:rPr>
          <w:rFonts w:eastAsia="Palatino Linotype" w:cs="Palatino Linotype"/>
          <w:szCs w:val="24"/>
        </w:rPr>
        <w:t>n ese orden de ideas, la Ley de Transparencia y Acceso a la Información Pública del Estado de México y Municipios, prevé en su artículo 23, fracción IV, lo siguiente:</w:t>
      </w:r>
    </w:p>
    <w:p w:rsidR="00A51978" w:rsidRDefault="00A51978">
      <w:pPr>
        <w:rPr>
          <w:rFonts w:eastAsia="Palatino Linotype" w:cs="Palatino Linotype"/>
          <w:szCs w:val="24"/>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23.</w:t>
      </w:r>
      <w:r>
        <w:rPr>
          <w:rFonts w:eastAsia="Palatino Linotype" w:cs="Palatino Linotype"/>
          <w:i/>
          <w:sz w:val="22"/>
        </w:rPr>
        <w:t xml:space="preserve"> Son sujetos obligados a transparentar y permitir el acceso a su información</w:t>
      </w:r>
      <w:r>
        <w:rPr>
          <w:rFonts w:eastAsia="Palatino Linotype" w:cs="Palatino Linotype"/>
          <w:i/>
          <w:sz w:val="22"/>
        </w:rPr>
        <w:t xml:space="preserve"> y proteger los datos personales que obren en su poder:</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b/>
          <w:bCs/>
          <w:i/>
          <w:sz w:val="22"/>
        </w:rPr>
        <w:t>IV.</w:t>
      </w:r>
      <w:r>
        <w:rPr>
          <w:rFonts w:eastAsia="Palatino Linotype" w:cs="Palatino Linotype"/>
          <w:i/>
          <w:sz w:val="22"/>
        </w:rPr>
        <w:t xml:space="preserve"> </w:t>
      </w:r>
      <w:r>
        <w:rPr>
          <w:i/>
          <w:sz w:val="22"/>
        </w:rPr>
        <w:t>Los ayuntamientos y las dependencias, organismos, órganos y entidades de la administración municipal;</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lastRenderedPageBreak/>
        <w:t xml:space="preserve">Es así que, conforme a los preceptos legales citados, se desprende que el derecho de </w:t>
      </w:r>
      <w:r>
        <w:rPr>
          <w:rFonts w:eastAsia="Palatino Linotype" w:cs="Palatino Linotype"/>
          <w:color w:val="000000"/>
          <w:szCs w:val="24"/>
        </w:rPr>
        <w:t xml:space="preserve">acceso a la información pública es un derecho individual que puede ser ejercido ante cualquier autoridad, entidad, órgano u organismo, tanto federales, como estatales, de la Ciudad de México, o Municipales, con el fin de que los particulares conozcan toda </w:t>
      </w:r>
      <w:r>
        <w:rPr>
          <w:rFonts w:eastAsia="Palatino Linotype" w:cs="Palatino Linotype"/>
          <w:color w:val="000000"/>
          <w:szCs w:val="24"/>
        </w:rPr>
        <w:t>aquella información que es considerada como pública.</w:t>
      </w:r>
    </w:p>
    <w:p w:rsidR="00A51978" w:rsidRDefault="00A51978">
      <w:pPr>
        <w:contextualSpacing/>
        <w:rPr>
          <w:rFonts w:eastAsia="Palatino Linotype" w:cs="Palatino Linotype"/>
          <w:color w:val="000000"/>
          <w:szCs w:val="24"/>
        </w:rPr>
      </w:pPr>
    </w:p>
    <w:p w:rsidR="00A51978" w:rsidRDefault="00482951">
      <w:pPr>
        <w:contextualSpacing/>
        <w:rPr>
          <w:rFonts w:eastAsia="Palatino Linotype" w:cs="Palatino Linotype"/>
          <w:szCs w:val="24"/>
        </w:rPr>
      </w:pPr>
      <w:r>
        <w:rPr>
          <w:rFonts w:eastAsia="Palatino Linotype" w:cs="Palatino Linotype"/>
          <w:szCs w:val="24"/>
        </w:rPr>
        <w:t>En segundo término, se advierte que el Sujeto Obligado dio respuesta a lo solicitado por el Recurrente respecto del grado de estudios y cédula profesional de los servidores públicos referidos, lo cual n</w:t>
      </w:r>
      <w:r>
        <w:rPr>
          <w:rFonts w:eastAsia="Palatino Linotype" w:cs="Palatino Linotype"/>
          <w:szCs w:val="24"/>
        </w:rPr>
        <w:t>o fue impugnado por el Recurrente, pues se recuerda que en ambos recursos de revisión reiteró su petición por cuanto hace a los documentos que han firmado dichos servidores públicos.</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En ese sentido, se considera que el Recurrente se encuentra parcialmente</w:t>
      </w:r>
      <w:r>
        <w:rPr>
          <w:rFonts w:eastAsia="Palatino Linotype" w:cs="Palatino Linotype"/>
          <w:szCs w:val="24"/>
        </w:rPr>
        <w:t xml:space="preserve"> conforme con la respuesta otorgada por el Sujeto Obligado. Lo anterior debido a que el particular no expresó inconformidad respecto del pronunciamiento realizado por el Sujeto Obligado con relación al grado de estudios y cédula profesional de ambos servid</w:t>
      </w:r>
      <w:r>
        <w:rPr>
          <w:rFonts w:eastAsia="Palatino Linotype" w:cs="Palatino Linotype"/>
          <w:szCs w:val="24"/>
        </w:rPr>
        <w:t>ores públicos; por lo que</w:t>
      </w:r>
      <w:r>
        <w:rPr>
          <w:rFonts w:eastAsia="Palatino Linotype" w:cs="Palatino Linotype"/>
          <w:color w:val="000000"/>
          <w:szCs w:val="24"/>
        </w:rPr>
        <w:t xml:space="preserve"> </w:t>
      </w:r>
      <w:r>
        <w:rPr>
          <w:rFonts w:eastAsia="Times New Roman" w:cs="Times New Roman"/>
          <w:color w:val="000000"/>
          <w:szCs w:val="24"/>
        </w:rPr>
        <w:t>se debe entender que el Recurrente consintió parcialmente la respuesta. Lo anterior es así debido a que cuando un solicitante no expresa razón o motivo de inconformidad en contra de todos los rubros de la respuesta que pudieran se</w:t>
      </w:r>
      <w:r>
        <w:rPr>
          <w:rFonts w:eastAsia="Times New Roman" w:cs="Times New Roman"/>
          <w:color w:val="000000"/>
          <w:szCs w:val="24"/>
        </w:rPr>
        <w:t xml:space="preserve">r un agravio a su derecho, los mismos deben estimarse atendidos. Sirve de apoyo a lo anterior, por analogía, la Tesis Jurisprudencial Número 3ª./J.7/91, publicada en el Semanario Judicial de la Federación y su Gaceta bajo el número de registro 174177, que </w:t>
      </w:r>
      <w:r>
        <w:rPr>
          <w:rFonts w:eastAsia="Times New Roman" w:cs="Times New Roman"/>
          <w:color w:val="000000"/>
          <w:szCs w:val="24"/>
        </w:rPr>
        <w:t>establece lo siguiente:</w:t>
      </w:r>
    </w:p>
    <w:p w:rsidR="00A51978" w:rsidRDefault="00A51978">
      <w:pPr>
        <w:rPr>
          <w:rFonts w:eastAsia="Times New Roman" w:cs="Times New Roman"/>
          <w:szCs w:val="24"/>
        </w:rPr>
      </w:pPr>
    </w:p>
    <w:p w:rsidR="00A51978" w:rsidRDefault="00482951">
      <w:pPr>
        <w:spacing w:line="240" w:lineRule="auto"/>
        <w:ind w:left="567" w:right="567"/>
        <w:contextualSpacing/>
        <w:rPr>
          <w:rFonts w:eastAsia="Palatino Linotype" w:cs="Palatino Linotype"/>
          <w:b/>
          <w:bCs/>
          <w:i/>
          <w:color w:val="000000"/>
          <w:sz w:val="22"/>
          <w:szCs w:val="24"/>
        </w:rPr>
      </w:pPr>
      <w:r>
        <w:rPr>
          <w:rFonts w:eastAsia="Palatino Linotype" w:cs="Palatino Linotype"/>
          <w:b/>
          <w:bCs/>
          <w:i/>
          <w:color w:val="000000"/>
          <w:sz w:val="22"/>
          <w:szCs w:val="24"/>
        </w:rPr>
        <w:lastRenderedPageBreak/>
        <w:t>REVISIÓN EN AMPARO. LOS RESOLUTIVOS NO COMBATIDOS DEBEN DECLARARSE FIRMES. </w:t>
      </w:r>
    </w:p>
    <w:p w:rsidR="00A51978" w:rsidRDefault="00482951">
      <w:pP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Cuando algún resolutivo de la sentencia impugnada afecta a la recurrente, y ésta no expresa agravio en contra de las consideraciones que le sirven de base,</w:t>
      </w:r>
      <w:r>
        <w:rPr>
          <w:rFonts w:eastAsia="Palatino Linotype" w:cs="Palatino Linotype"/>
          <w:i/>
          <w:color w:val="000000"/>
          <w:sz w:val="22"/>
          <w:szCs w:val="24"/>
        </w:rPr>
        <w:t xml:space="preserve"> dicho resolutivo debe declararse firme. Esto es, en el caso referido, no obstante que la materia de la revisión comprende a todos los resolutivos que afectan a la recurrente, deben declararse firmes aquéllos en contra de los cuales no se formuló agravio y</w:t>
      </w:r>
      <w:r>
        <w:rPr>
          <w:rFonts w:eastAsia="Palatino Linotype" w:cs="Palatino Linotype"/>
          <w:i/>
          <w:color w:val="000000"/>
          <w:sz w:val="22"/>
          <w:szCs w:val="24"/>
        </w:rPr>
        <w:t xml:space="preserve"> dicha declaración de firmeza debe reflejarse en la parte considerativa y en los resolutivos debe confirmarse la sentencia recurrida en la parte correspondiente.</w:t>
      </w:r>
    </w:p>
    <w:p w:rsidR="00A51978" w:rsidRDefault="00A51978">
      <w:pPr>
        <w:rPr>
          <w:rFonts w:eastAsia="Times New Roman" w:cs="Times New Roman"/>
          <w:szCs w:val="24"/>
        </w:rPr>
      </w:pPr>
    </w:p>
    <w:p w:rsidR="00A51978" w:rsidRDefault="00482951">
      <w:pPr>
        <w:rPr>
          <w:rFonts w:eastAsia="Times New Roman" w:cs="Times New Roman"/>
          <w:szCs w:val="24"/>
        </w:rPr>
      </w:pPr>
      <w:r>
        <w:rPr>
          <w:rFonts w:eastAsia="Times New Roman" w:cs="Times New Roman"/>
          <w:color w:val="000000"/>
          <w:szCs w:val="24"/>
        </w:rPr>
        <w:t>Así, la parte de la solicitud sobre la que no se expresó inconformidad, debe declararse conse</w:t>
      </w:r>
      <w:r>
        <w:rPr>
          <w:rFonts w:eastAsia="Times New Roman" w:cs="Times New Roman"/>
          <w:color w:val="000000"/>
          <w:szCs w:val="24"/>
        </w:rPr>
        <w:t>ntida por el hoy Recurrente, ya que no pueden producirse efectos jurídicos tendentes a revocar, confirmar o modificar la parte de la respuesta con relación a la parte de la solicitud que no fue motivo de disenso, ya que se infiere un consentimiento del Rec</w:t>
      </w:r>
      <w:r>
        <w:rPr>
          <w:rFonts w:eastAsia="Times New Roman" w:cs="Times New Roman"/>
          <w:color w:val="000000"/>
          <w:szCs w:val="24"/>
        </w:rPr>
        <w:t>urrente ante la falta de impugnación eficaz. Sirve de sustento a lo anterior, por analogía, la tesis jurisprudencial número VI.3o.C. J/60, publicada en el Semanario Judicial de la Federación y su Gaceta bajo el número de registro 176,608 que a la letra est</w:t>
      </w:r>
      <w:r>
        <w:rPr>
          <w:rFonts w:eastAsia="Times New Roman" w:cs="Times New Roman"/>
          <w:color w:val="000000"/>
          <w:szCs w:val="24"/>
        </w:rPr>
        <w:t>ablece lo siguiente:</w:t>
      </w:r>
    </w:p>
    <w:p w:rsidR="00A51978" w:rsidRDefault="00A51978">
      <w:pPr>
        <w:rPr>
          <w:rFonts w:eastAsia="Times New Roman" w:cs="Times New Roman"/>
          <w:szCs w:val="24"/>
        </w:rPr>
      </w:pPr>
    </w:p>
    <w:p w:rsidR="00A51978" w:rsidRDefault="00482951">
      <w:pPr>
        <w:spacing w:line="240" w:lineRule="auto"/>
        <w:ind w:left="567" w:right="567"/>
        <w:contextualSpacing/>
        <w:rPr>
          <w:rFonts w:eastAsia="Palatino Linotype" w:cs="Palatino Linotype"/>
          <w:b/>
          <w:bCs/>
          <w:i/>
          <w:color w:val="000000"/>
          <w:sz w:val="22"/>
          <w:szCs w:val="24"/>
        </w:rPr>
      </w:pPr>
      <w:r>
        <w:rPr>
          <w:rFonts w:eastAsia="Palatino Linotype" w:cs="Palatino Linotype"/>
          <w:b/>
          <w:bCs/>
          <w:i/>
          <w:color w:val="000000"/>
          <w:sz w:val="22"/>
          <w:szCs w:val="24"/>
        </w:rPr>
        <w:t>ACTOS CONSENTIDOS. SON LOS QUE NO SE IMPUGNAN MEDIANTE EL RECURSO IDÓNEO.</w:t>
      </w:r>
    </w:p>
    <w:p w:rsidR="00A51978" w:rsidRDefault="00482951">
      <w:pP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 xml:space="preserve">Debe reputarse como consentido el acto que no se impugnó por el medio establecido por la ley, ya que si se hizo uso de otro no previsto por ella o si se hace </w:t>
      </w:r>
      <w:r>
        <w:rPr>
          <w:rFonts w:eastAsia="Palatino Linotype" w:cs="Palatino Linotype"/>
          <w:i/>
          <w:color w:val="000000"/>
          <w:sz w:val="22"/>
          <w:szCs w:val="24"/>
        </w:rPr>
        <w:t>una simple manifestación de inconformidad, tales actuaciones no producen efectos jurídicos tendientes a revocar, confirmar o modificar el acto reclamado en amparo, lo que significa consentimiento del mismo por falta de impugnación eficaz.</w:t>
      </w:r>
    </w:p>
    <w:p w:rsidR="00A51978" w:rsidRDefault="00A51978">
      <w:pPr>
        <w:rPr>
          <w:rFonts w:eastAsia="Times New Roman" w:cs="Times New Roman"/>
          <w:szCs w:val="24"/>
        </w:rPr>
      </w:pPr>
    </w:p>
    <w:p w:rsidR="00A51978" w:rsidRDefault="00482951">
      <w:pPr>
        <w:rPr>
          <w:rFonts w:eastAsia="Times New Roman" w:cs="Times New Roman"/>
          <w:szCs w:val="24"/>
        </w:rPr>
      </w:pPr>
      <w:r>
        <w:rPr>
          <w:rFonts w:eastAsia="Times New Roman" w:cs="Times New Roman"/>
          <w:color w:val="000000"/>
          <w:szCs w:val="24"/>
        </w:rPr>
        <w:t>Para mayor abund</w:t>
      </w:r>
      <w:r>
        <w:rPr>
          <w:rFonts w:eastAsia="Times New Roman" w:cs="Times New Roman"/>
          <w:color w:val="000000"/>
          <w:szCs w:val="24"/>
        </w:rPr>
        <w:t>amiento, también resulta aplicable el criterio 01/20 emitido por el Instituto Nacional de Transparencia, Acceso a la Información Pública y Protección de Datos Personales, que a la letra estipula lo siguiente: </w:t>
      </w:r>
    </w:p>
    <w:p w:rsidR="00A51978" w:rsidRDefault="00A51978">
      <w:pPr>
        <w:rPr>
          <w:rFonts w:eastAsia="Times New Roman" w:cs="Times New Roman"/>
          <w:szCs w:val="24"/>
        </w:rPr>
      </w:pPr>
    </w:p>
    <w:p w:rsidR="00A51978" w:rsidRDefault="00482951">
      <w:pPr>
        <w:spacing w:line="240" w:lineRule="auto"/>
        <w:ind w:left="567" w:right="567"/>
        <w:rPr>
          <w:rFonts w:eastAsia="Times New Roman" w:cs="Times New Roman"/>
          <w:sz w:val="22"/>
        </w:rPr>
      </w:pPr>
      <w:r>
        <w:rPr>
          <w:rFonts w:eastAsia="Times New Roman" w:cs="Times New Roman"/>
          <w:b/>
          <w:bCs/>
          <w:i/>
          <w:iCs/>
          <w:color w:val="000000"/>
          <w:sz w:val="22"/>
        </w:rPr>
        <w:t xml:space="preserve">Actos consentidos tácitamente. Improcedencia </w:t>
      </w:r>
      <w:r>
        <w:rPr>
          <w:rFonts w:eastAsia="Times New Roman" w:cs="Times New Roman"/>
          <w:b/>
          <w:bCs/>
          <w:i/>
          <w:iCs/>
          <w:color w:val="000000"/>
          <w:sz w:val="22"/>
        </w:rPr>
        <w:t xml:space="preserve">de su análisis. </w:t>
      </w:r>
      <w:r>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w:t>
      </w:r>
      <w:r>
        <w:rPr>
          <w:rFonts w:eastAsia="Times New Roman" w:cs="Times New Roman"/>
          <w:i/>
          <w:iCs/>
          <w:color w:val="000000"/>
          <w:sz w:val="22"/>
        </w:rPr>
        <w:t xml:space="preserve"> emite el Instituto.</w:t>
      </w:r>
    </w:p>
    <w:p w:rsidR="00A51978" w:rsidRDefault="00A51978">
      <w:pPr>
        <w:rPr>
          <w:rFonts w:eastAsia="Times New Roman" w:cs="Times New Roman"/>
          <w:szCs w:val="24"/>
        </w:rPr>
      </w:pPr>
    </w:p>
    <w:p w:rsidR="00A51978" w:rsidRDefault="00482951">
      <w:pPr>
        <w:contextualSpacing/>
        <w:rPr>
          <w:rFonts w:eastAsia="Palatino Linotype" w:cs="Palatino Linotype"/>
          <w:szCs w:val="24"/>
        </w:rPr>
      </w:pPr>
      <w:r>
        <w:rPr>
          <w:rFonts w:eastAsia="Times New Roman" w:cs="Times New Roman"/>
          <w:color w:val="000000"/>
          <w:szCs w:val="24"/>
        </w:rPr>
        <w:t>Por lo señalado anteriormente, se tiene por consentida la respuesta por lo que respecta al grado de estudios y cédula profesional de los servidores públicos referidos en las solicitudes de información.</w:t>
      </w:r>
      <w:r>
        <w:rPr>
          <w:rFonts w:eastAsia="Palatino Linotype" w:cs="Palatino Linotype"/>
          <w:szCs w:val="24"/>
        </w:rPr>
        <w:t xml:space="preserve"> En consecuencia, el estudio debe</w:t>
      </w:r>
      <w:r>
        <w:rPr>
          <w:rFonts w:eastAsia="Palatino Linotype" w:cs="Palatino Linotype"/>
          <w:szCs w:val="24"/>
        </w:rPr>
        <w:t>rá centrarse respecto de la parte de la respuesta que no fue consentida.</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Ahora bien, se considera conveniente que se analice por separado el planteamiento del Recurrente en sus solicitudes. Así, es necesario señalar que el hoy Recurrente requirió que se l</w:t>
      </w:r>
      <w:r>
        <w:rPr>
          <w:rFonts w:eastAsia="Palatino Linotype" w:cs="Palatino Linotype"/>
          <w:szCs w:val="24"/>
        </w:rPr>
        <w:t xml:space="preserve">e hiciera entrega de copia de los oficios firmados por la servidora pública referida en la solicitud </w:t>
      </w:r>
      <w:r>
        <w:rPr>
          <w:rFonts w:eastAsia="Palatino Linotype" w:cs="Palatino Linotype"/>
          <w:b/>
          <w:szCs w:val="24"/>
        </w:rPr>
        <w:t>00007/TESCO/IP/2022</w:t>
      </w:r>
      <w:r>
        <w:rPr>
          <w:rFonts w:eastAsia="Palatino Linotype" w:cs="Palatino Linotype"/>
          <w:szCs w:val="24"/>
        </w:rPr>
        <w:t xml:space="preserve"> como titular de los Departamentos de Seguimiento de Egresados y Departamento de Servicio Social, a lo que el Sujeto Obligado respondió </w:t>
      </w:r>
      <w:r>
        <w:rPr>
          <w:rFonts w:eastAsia="Palatino Linotype" w:cs="Palatino Linotype"/>
          <w:szCs w:val="24"/>
        </w:rPr>
        <w:t>que en su estructura orgánica no se cuenta con las unidades administrativas que tengan esa denominación, por lo que no se cuenta con documentación de dichos departamentos.</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Ante dicha respuesta, el Recurrente presentó las siguientes imágenes:</w:t>
      </w:r>
    </w:p>
    <w:p w:rsidR="00A51978" w:rsidRDefault="00482951">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extent cx="4515485" cy="2145665"/>
            <wp:effectExtent l="0" t="0" r="571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0"/>
                    <a:stretch>
                      <a:fillRect/>
                    </a:stretch>
                  </pic:blipFill>
                  <pic:spPr>
                    <a:xfrm>
                      <a:off x="0" y="0"/>
                      <a:ext cx="4555412" cy="2164865"/>
                    </a:xfrm>
                    <a:prstGeom prst="rect">
                      <a:avLst/>
                    </a:prstGeom>
                  </pic:spPr>
                </pic:pic>
              </a:graphicData>
            </a:graphic>
          </wp:inline>
        </w:drawing>
      </w:r>
    </w:p>
    <w:p w:rsidR="00A51978" w:rsidRDefault="00A51978">
      <w:pPr>
        <w:contextualSpacing/>
        <w:rPr>
          <w:rFonts w:eastAsia="Palatino Linotype" w:cs="Palatino Linotype"/>
          <w:szCs w:val="24"/>
        </w:rPr>
      </w:pPr>
    </w:p>
    <w:p w:rsidR="00A51978" w:rsidRDefault="00482951">
      <w:pPr>
        <w:contextualSpacing/>
        <w:jc w:val="center"/>
        <w:rPr>
          <w:rFonts w:eastAsia="Palatino Linotype" w:cs="Palatino Linotype"/>
          <w:szCs w:val="24"/>
        </w:rPr>
      </w:pPr>
      <w:r>
        <w:rPr>
          <w:rFonts w:eastAsia="Palatino Linotype" w:cs="Palatino Linotype"/>
          <w:noProof/>
          <w:szCs w:val="24"/>
          <w:lang w:val="es-MX"/>
        </w:rPr>
        <w:drawing>
          <wp:inline distT="0" distB="0" distL="0" distR="0">
            <wp:extent cx="4391025" cy="32950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1"/>
                    <a:stretch>
                      <a:fillRect/>
                    </a:stretch>
                  </pic:blipFill>
                  <pic:spPr>
                    <a:xfrm>
                      <a:off x="0" y="0"/>
                      <a:ext cx="4405869" cy="3306287"/>
                    </a:xfrm>
                    <a:prstGeom prst="rect">
                      <a:avLst/>
                    </a:prstGeom>
                  </pic:spPr>
                </pic:pic>
              </a:graphicData>
            </a:graphic>
          </wp:inline>
        </w:drawing>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lang w:val="es-MX"/>
        </w:rPr>
      </w:pPr>
      <w:r>
        <w:rPr>
          <w:rFonts w:eastAsia="Palatino Linotype" w:cs="Palatino Linotype"/>
          <w:szCs w:val="24"/>
        </w:rPr>
        <w:t>De las imágenes aportadas por el Recurrente se advierte que la servidora pública referida ha ocupado los cargos de Jefa del Departamento de Servicio Social y Prácticas profesionales con fecha de alta del primero de septiembre de dos mil diecisiete y Jefa d</w:t>
      </w:r>
      <w:r>
        <w:rPr>
          <w:rFonts w:eastAsia="Palatino Linotype" w:cs="Palatino Linotype"/>
          <w:szCs w:val="24"/>
        </w:rPr>
        <w:t xml:space="preserve">e </w:t>
      </w:r>
      <w:r>
        <w:rPr>
          <w:rFonts w:eastAsia="Palatino Linotype" w:cs="Palatino Linotype"/>
          <w:szCs w:val="24"/>
        </w:rPr>
        <w:lastRenderedPageBreak/>
        <w:t>Departamento de Seguimiento de Egresados y Vinculación, sin que se logre observar la fecha de alta en el cargo; razón por la cual se consultó  el directorio del Sujeto Obligado en fecha diecisiete de agosto de dos mil veintidós, visible en el portal de I</w:t>
      </w:r>
      <w:r>
        <w:rPr>
          <w:rFonts w:eastAsia="Palatino Linotype" w:cs="Palatino Linotype"/>
          <w:szCs w:val="24"/>
        </w:rPr>
        <w:t xml:space="preserve">nformación Pública de Oficio Mexiquense (IPOMEX) en la página electrónica </w:t>
      </w:r>
      <w:hyperlink r:id="rId12" w:history="1">
        <w:r>
          <w:rPr>
            <w:rStyle w:val="Hipervnculo"/>
            <w:rFonts w:eastAsia="Palatino Linotype" w:cs="Palatino Linotype"/>
            <w:szCs w:val="24"/>
            <w:lang w:val="es-MX"/>
          </w:rPr>
          <w:t>https://www.ipomex.org.mx/ipo3/lgt/indice/TESCO/art_92_vii/4/0/37582.web</w:t>
        </w:r>
      </w:hyperlink>
      <w:r>
        <w:rPr>
          <w:rFonts w:eastAsia="Palatino Linotype" w:cs="Palatino Linotype"/>
          <w:szCs w:val="24"/>
          <w:lang w:val="es-MX"/>
        </w:rPr>
        <w:t>, en la que se observ</w:t>
      </w:r>
      <w:r>
        <w:rPr>
          <w:rFonts w:eastAsia="Palatino Linotype" w:cs="Palatino Linotype"/>
          <w:szCs w:val="24"/>
          <w:lang w:val="es-MX"/>
        </w:rPr>
        <w:t>a la siguiente información:</w:t>
      </w:r>
    </w:p>
    <w:p w:rsidR="00A51978" w:rsidRDefault="00A51978">
      <w:pPr>
        <w:contextualSpacing/>
        <w:rPr>
          <w:rFonts w:eastAsia="Palatino Linotype" w:cs="Palatino Linotype"/>
          <w:szCs w:val="24"/>
          <w:lang w:val="es-MX"/>
        </w:rPr>
      </w:pPr>
    </w:p>
    <w:p w:rsidR="00A51978" w:rsidRDefault="00482951">
      <w:pPr>
        <w:contextualSpacing/>
        <w:rPr>
          <w:rFonts w:eastAsia="Palatino Linotype" w:cs="Palatino Linotype"/>
          <w:szCs w:val="24"/>
          <w:lang w:val="es-MX"/>
        </w:rPr>
      </w:pPr>
      <w:r>
        <w:rPr>
          <w:rFonts w:eastAsia="Palatino Linotype" w:cs="Palatino Linotype"/>
          <w:noProof/>
          <w:szCs w:val="24"/>
          <w:lang w:val="es-MX"/>
        </w:rPr>
        <w:lastRenderedPageBreak/>
        <w:drawing>
          <wp:inline distT="0" distB="0" distL="0" distR="0">
            <wp:extent cx="5935980" cy="614997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3"/>
                    <a:stretch>
                      <a:fillRect/>
                    </a:stretch>
                  </pic:blipFill>
                  <pic:spPr>
                    <a:xfrm>
                      <a:off x="0" y="0"/>
                      <a:ext cx="5935980" cy="6149975"/>
                    </a:xfrm>
                    <a:prstGeom prst="rect">
                      <a:avLst/>
                    </a:prstGeom>
                  </pic:spPr>
                </pic:pic>
              </a:graphicData>
            </a:graphic>
          </wp:inline>
        </w:drawing>
      </w:r>
    </w:p>
    <w:p w:rsidR="00A51978" w:rsidRDefault="00A51978">
      <w:pPr>
        <w:contextualSpacing/>
        <w:rPr>
          <w:rFonts w:eastAsia="Palatino Linotype" w:cs="Palatino Linotype"/>
          <w:szCs w:val="24"/>
          <w:lang w:val="es-MX"/>
        </w:rPr>
      </w:pPr>
    </w:p>
    <w:p w:rsidR="00A51978" w:rsidRDefault="00482951">
      <w:pPr>
        <w:contextualSpacing/>
        <w:rPr>
          <w:rFonts w:eastAsia="Palatino Linotype" w:cs="Palatino Linotype"/>
          <w:szCs w:val="24"/>
        </w:rPr>
      </w:pPr>
      <w:r>
        <w:rPr>
          <w:rFonts w:eastAsia="Palatino Linotype" w:cs="Palatino Linotype"/>
          <w:szCs w:val="24"/>
        </w:rPr>
        <w:t xml:space="preserve">De tal forma que actualmente el registro que se encuentra visible en el portal IPOMEX señala que la servidora pública referida tiene el cargo de Jefa del Departamento de </w:t>
      </w:r>
      <w:r>
        <w:rPr>
          <w:rFonts w:eastAsia="Palatino Linotype" w:cs="Palatino Linotype"/>
          <w:szCs w:val="24"/>
        </w:rPr>
        <w:lastRenderedPageBreak/>
        <w:t>Seguimiento de Egresados y Vinculación, con fecha de a</w:t>
      </w:r>
      <w:r>
        <w:rPr>
          <w:rFonts w:eastAsia="Palatino Linotype" w:cs="Palatino Linotype"/>
          <w:szCs w:val="24"/>
        </w:rPr>
        <w:t>lta en el cargo de primero de septiembre de dos mil diecisiete.</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En esa tesitura, no pasa desapercibido que el Sujeto Obligado manifestó en su respuesta que en la estructura orgánica de esa institución no se cuenta con las unidades administrativas señalada</w:t>
      </w:r>
      <w:r>
        <w:rPr>
          <w:rFonts w:eastAsia="Palatino Linotype" w:cs="Palatino Linotype"/>
          <w:szCs w:val="24"/>
        </w:rPr>
        <w:t>s por el Recurrente; no obstante, si bien es cierto que el particular no proporcionó el nombre completo de las áreas referidas, también lo es que con lo expresado por el solicitante basta para hacer identificable las áreas a las que se hace alusión en la s</w:t>
      </w:r>
      <w:r>
        <w:rPr>
          <w:rFonts w:eastAsia="Palatino Linotype" w:cs="Palatino Linotype"/>
          <w:szCs w:val="24"/>
        </w:rPr>
        <w:t>olicitud, como puede observarse en la siguiente tabla:</w:t>
      </w:r>
    </w:p>
    <w:p w:rsidR="00A51978" w:rsidRDefault="00A51978">
      <w:pPr>
        <w:contextualSpacing/>
        <w:rPr>
          <w:rFonts w:eastAsia="Palatino Linotype" w:cs="Palatino Linotype"/>
          <w:szCs w:val="24"/>
        </w:rPr>
      </w:pPr>
    </w:p>
    <w:tbl>
      <w:tblPr>
        <w:tblStyle w:val="Tablaconcuadrcula"/>
        <w:tblW w:w="0" w:type="auto"/>
        <w:tblLook w:val="04A0" w:firstRow="1" w:lastRow="0" w:firstColumn="1" w:lastColumn="0" w:noHBand="0" w:noVBand="1"/>
      </w:tblPr>
      <w:tblGrid>
        <w:gridCol w:w="4669"/>
        <w:gridCol w:w="4669"/>
      </w:tblGrid>
      <w:tr w:rsidR="00A51978">
        <w:trPr>
          <w:trHeight w:val="454"/>
        </w:trPr>
        <w:tc>
          <w:tcPr>
            <w:tcW w:w="4669" w:type="dxa"/>
            <w:shd w:val="clear" w:color="auto" w:fill="BFBFBF" w:themeFill="background1" w:themeFillShade="BF"/>
            <w:vAlign w:val="center"/>
          </w:tcPr>
          <w:p w:rsidR="00A51978" w:rsidRDefault="00482951">
            <w:pPr>
              <w:spacing w:line="240" w:lineRule="auto"/>
              <w:jc w:val="center"/>
              <w:rPr>
                <w:b/>
                <w:sz w:val="22"/>
              </w:rPr>
            </w:pPr>
            <w:r>
              <w:rPr>
                <w:b/>
                <w:sz w:val="22"/>
              </w:rPr>
              <w:t>Área referida por el solicitante</w:t>
            </w:r>
          </w:p>
        </w:tc>
        <w:tc>
          <w:tcPr>
            <w:tcW w:w="4669" w:type="dxa"/>
            <w:shd w:val="clear" w:color="auto" w:fill="BFBFBF" w:themeFill="background1" w:themeFillShade="BF"/>
            <w:vAlign w:val="center"/>
          </w:tcPr>
          <w:p w:rsidR="00A51978" w:rsidRDefault="00482951">
            <w:pPr>
              <w:spacing w:line="240" w:lineRule="auto"/>
              <w:jc w:val="center"/>
              <w:rPr>
                <w:b/>
                <w:sz w:val="22"/>
              </w:rPr>
            </w:pPr>
            <w:r>
              <w:rPr>
                <w:b/>
                <w:sz w:val="22"/>
              </w:rPr>
              <w:t>Denominación correcta del área</w:t>
            </w:r>
          </w:p>
        </w:tc>
      </w:tr>
      <w:tr w:rsidR="00A51978">
        <w:trPr>
          <w:trHeight w:val="454"/>
        </w:trPr>
        <w:tc>
          <w:tcPr>
            <w:tcW w:w="4669" w:type="dxa"/>
            <w:vAlign w:val="center"/>
          </w:tcPr>
          <w:p w:rsidR="00A51978" w:rsidRDefault="00482951">
            <w:pPr>
              <w:spacing w:line="240" w:lineRule="auto"/>
              <w:rPr>
                <w:sz w:val="22"/>
              </w:rPr>
            </w:pPr>
            <w:r>
              <w:rPr>
                <w:sz w:val="22"/>
              </w:rPr>
              <w:t>Departamento de Seguimiento de Egresados</w:t>
            </w:r>
          </w:p>
        </w:tc>
        <w:tc>
          <w:tcPr>
            <w:tcW w:w="4669" w:type="dxa"/>
            <w:vAlign w:val="center"/>
          </w:tcPr>
          <w:p w:rsidR="00A51978" w:rsidRDefault="00482951">
            <w:pPr>
              <w:spacing w:line="240" w:lineRule="auto"/>
              <w:rPr>
                <w:sz w:val="22"/>
              </w:rPr>
            </w:pPr>
            <w:r>
              <w:rPr>
                <w:sz w:val="22"/>
              </w:rPr>
              <w:t xml:space="preserve">Departamento de Seguimiento de Egresados y Vinculación </w:t>
            </w:r>
          </w:p>
        </w:tc>
      </w:tr>
      <w:tr w:rsidR="00A51978">
        <w:trPr>
          <w:trHeight w:val="454"/>
        </w:trPr>
        <w:tc>
          <w:tcPr>
            <w:tcW w:w="4669" w:type="dxa"/>
            <w:vAlign w:val="center"/>
          </w:tcPr>
          <w:p w:rsidR="00A51978" w:rsidRDefault="00482951">
            <w:pPr>
              <w:spacing w:line="240" w:lineRule="auto"/>
              <w:rPr>
                <w:sz w:val="22"/>
              </w:rPr>
            </w:pPr>
            <w:r>
              <w:rPr>
                <w:sz w:val="22"/>
              </w:rPr>
              <w:t>Departamento de Servicio Social</w:t>
            </w:r>
          </w:p>
        </w:tc>
        <w:tc>
          <w:tcPr>
            <w:tcW w:w="4669" w:type="dxa"/>
            <w:vAlign w:val="center"/>
          </w:tcPr>
          <w:p w:rsidR="00A51978" w:rsidRDefault="00482951">
            <w:pPr>
              <w:spacing w:line="240" w:lineRule="auto"/>
              <w:rPr>
                <w:sz w:val="22"/>
              </w:rPr>
            </w:pPr>
            <w:r>
              <w:rPr>
                <w:sz w:val="22"/>
              </w:rPr>
              <w:t>Departamento de Servicio Social y Prácticas Profesionales</w:t>
            </w:r>
          </w:p>
        </w:tc>
      </w:tr>
    </w:tbl>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Ambas denominaciones correctas conforme a lo publicado por el Sujeto Obligado en el portal IPOMEX</w:t>
      </w:r>
      <w:r>
        <w:rPr>
          <w:rStyle w:val="Refdenotaalpie"/>
          <w:rFonts w:eastAsia="Palatino Linotype" w:cs="Palatino Linotype"/>
          <w:szCs w:val="24"/>
        </w:rPr>
        <w:footnoteReference w:id="2"/>
      </w:r>
      <w:r>
        <w:rPr>
          <w:rFonts w:eastAsia="Palatino Linotype" w:cs="Palatino Linotype"/>
          <w:szCs w:val="24"/>
        </w:rPr>
        <w:t>, como se observa a continuación:</w:t>
      </w:r>
    </w:p>
    <w:p w:rsidR="00A51978" w:rsidRDefault="00482951">
      <w:pPr>
        <w:contextualSpacing/>
        <w:jc w:val="center"/>
        <w:rPr>
          <w:rFonts w:eastAsia="Palatino Linotype" w:cs="Palatino Linotype"/>
          <w:szCs w:val="24"/>
        </w:rPr>
      </w:pPr>
      <w:r>
        <w:rPr>
          <w:rFonts w:eastAsia="Palatino Linotype" w:cs="Palatino Linotype"/>
          <w:noProof/>
          <w:szCs w:val="24"/>
          <w:lang w:val="es-MX"/>
        </w:rPr>
        <w:drawing>
          <wp:inline distT="0" distB="0" distL="0" distR="0">
            <wp:extent cx="4928235" cy="15875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4"/>
                    <a:stretch>
                      <a:fillRect/>
                    </a:stretch>
                  </pic:blipFill>
                  <pic:spPr>
                    <a:xfrm>
                      <a:off x="0" y="0"/>
                      <a:ext cx="4946119" cy="1593846"/>
                    </a:xfrm>
                    <a:prstGeom prst="rect">
                      <a:avLst/>
                    </a:prstGeom>
                  </pic:spPr>
                </pic:pic>
              </a:graphicData>
            </a:graphic>
          </wp:inline>
        </w:drawing>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Por tanto, este Instituto estima que el Sujeto Obligado conta</w:t>
      </w:r>
      <w:r>
        <w:rPr>
          <w:rFonts w:eastAsia="Palatino Linotype" w:cs="Palatino Linotype"/>
          <w:szCs w:val="24"/>
        </w:rPr>
        <w:t>ba con los indicios suficientes para suplir la posible deficiencia del Recurrente y atender la solicitud, conforme está estipulado en el artículo 160 de Ley de Transparencia estatal, que a la letra dispone lo siguiente:</w:t>
      </w:r>
    </w:p>
    <w:p w:rsidR="00A51978" w:rsidRDefault="00A51978">
      <w:pPr>
        <w:contextualSpacing/>
        <w:rPr>
          <w:rFonts w:eastAsia="Palatino Linotype" w:cs="Palatino Linotype"/>
          <w:szCs w:val="24"/>
        </w:rPr>
      </w:pPr>
    </w:p>
    <w:p w:rsidR="00A51978" w:rsidRDefault="00482951">
      <w:pPr>
        <w:pStyle w:val="Sinespaciado"/>
        <w:rPr>
          <w:rFonts w:eastAsia="Palatino Linotype"/>
        </w:rPr>
      </w:pPr>
      <w:r>
        <w:rPr>
          <w:rFonts w:eastAsia="Palatino Linotype"/>
          <w:b/>
        </w:rPr>
        <w:t xml:space="preserve">Artículo 160. </w:t>
      </w:r>
      <w:r>
        <w:rPr>
          <w:rFonts w:eastAsia="Palatino Linotype"/>
        </w:rPr>
        <w:t>Los sujetos obligados</w:t>
      </w:r>
      <w:r>
        <w:rPr>
          <w:rFonts w:eastAsia="Palatino Linotype"/>
        </w:rPr>
        <w:t xml:space="preserve"> deberán otorgar acceso a los documentos que se encuentren en sus archivos o que estén obligados a documentar de acuerdo con sus facultades, competencias o funciones en el formato que el solicitante manifieste, de entre aquellos formatos existentes, confor</w:t>
      </w:r>
      <w:r>
        <w:rPr>
          <w:rFonts w:eastAsia="Palatino Linotype"/>
        </w:rPr>
        <w:t>me a las características físicas de la información o del lugar donde se encuentre así lo permita.</w:t>
      </w:r>
    </w:p>
    <w:p w:rsidR="00A51978" w:rsidRDefault="00A51978">
      <w:pPr>
        <w:pStyle w:val="Sinespaciado"/>
        <w:rPr>
          <w:rFonts w:eastAsia="Palatino Linotype"/>
        </w:rPr>
      </w:pPr>
    </w:p>
    <w:p w:rsidR="00A51978" w:rsidRDefault="00482951">
      <w:pPr>
        <w:pStyle w:val="Sinespaciado"/>
        <w:rPr>
          <w:rFonts w:eastAsia="Palatino Linotype"/>
        </w:rPr>
      </w:pPr>
      <w:r>
        <w:rPr>
          <w:rFonts w:eastAsia="Palatino Linotype"/>
        </w:rPr>
        <w:t>En caso que la información solicitada consista en bases de datos se deberá privilegiar la entrega de la misma en formatos abiertos.</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En ese orden de ideas, n</w:t>
      </w:r>
      <w:r>
        <w:rPr>
          <w:rFonts w:eastAsia="Palatino Linotype" w:cs="Palatino Linotype"/>
          <w:szCs w:val="24"/>
        </w:rPr>
        <w:t>o se soslaya que el Recurrente señaló en su solicitud de información que requiere todos los documentos firmados por la servidora pública en su calidad de titular de las áreas referidas; mientras que en el recurso de revisión correspondiente especificó la t</w:t>
      </w:r>
      <w:r>
        <w:rPr>
          <w:rFonts w:eastAsia="Palatino Linotype" w:cs="Palatino Linotype"/>
          <w:szCs w:val="24"/>
        </w:rPr>
        <w:t xml:space="preserve">emporalidad que solicita. Así, este Órgano Garante no considera que lo anterior consista en una ampliación a su solicitud original, pues, se reitera, se señaló que se solicitaban </w:t>
      </w:r>
      <w:r>
        <w:rPr>
          <w:rFonts w:eastAsia="Palatino Linotype" w:cs="Palatino Linotype"/>
          <w:b/>
          <w:szCs w:val="24"/>
        </w:rPr>
        <w:t xml:space="preserve">todos los oficios que dicha servidora pública ha firmado como titular de las </w:t>
      </w:r>
      <w:r>
        <w:rPr>
          <w:rFonts w:eastAsia="Palatino Linotype" w:cs="Palatino Linotype"/>
          <w:b/>
          <w:szCs w:val="24"/>
        </w:rPr>
        <w:t>áreas referidas</w:t>
      </w:r>
      <w:r>
        <w:rPr>
          <w:rFonts w:eastAsia="Palatino Linotype" w:cs="Palatino Linotype"/>
          <w:szCs w:val="24"/>
        </w:rPr>
        <w:t>; por lo que se debe entender que la información peticionada comprenden desde la fecha de alta en el cargo, es decir, desde el primero de septiembre de dos mil diecisiete a la fecha de ingreso de la solicitud.</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Por lo anterior, se considera que los motivos de inconformidad planteados en el recurso de revisión </w:t>
      </w:r>
      <w:r>
        <w:rPr>
          <w:rFonts w:eastAsia="Palatino Linotype" w:cs="Palatino Linotype"/>
          <w:b/>
          <w:szCs w:val="24"/>
        </w:rPr>
        <w:t>09765/INFOEM/IP/RR/2022</w:t>
      </w:r>
      <w:r>
        <w:rPr>
          <w:rFonts w:eastAsia="Palatino Linotype" w:cs="Palatino Linotype"/>
          <w:szCs w:val="24"/>
        </w:rPr>
        <w:t xml:space="preserve"> son fundados, por lo que es procedente </w:t>
      </w:r>
      <w:r>
        <w:rPr>
          <w:rFonts w:eastAsia="Palatino Linotype" w:cs="Palatino Linotype"/>
          <w:szCs w:val="24"/>
        </w:rPr>
        <w:lastRenderedPageBreak/>
        <w:t>modificar la respuesta del Sujeto Obligado y hacer entrega de los oficios que la servidora pú</w:t>
      </w:r>
      <w:r>
        <w:rPr>
          <w:rFonts w:eastAsia="Palatino Linotype" w:cs="Palatino Linotype"/>
          <w:szCs w:val="24"/>
        </w:rPr>
        <w:t>blica referida en la solicitud de mérito haya firmado en su carácter de titular del Departamento de Seguimiento de Egresados y Vinculación y/o Departamento de Servicio Social y Prácticas Profesionales, durante el periodo comprendido del primero de septiemb</w:t>
      </w:r>
      <w:r>
        <w:rPr>
          <w:rFonts w:eastAsia="Palatino Linotype" w:cs="Palatino Linotype"/>
          <w:szCs w:val="24"/>
        </w:rPr>
        <w:t>re de dos mil diecisiete al dos de mayo de dos mil veintidós, en versión pública de ser procedente.</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Por otra parte, respecto de la solicitud de información </w:t>
      </w:r>
      <w:r>
        <w:rPr>
          <w:rFonts w:eastAsia="Palatino Linotype" w:cs="Palatino Linotype"/>
          <w:b/>
          <w:szCs w:val="24"/>
        </w:rPr>
        <w:t>00008/TESCO/IP/2022</w:t>
      </w:r>
      <w:r>
        <w:rPr>
          <w:rFonts w:eastAsia="Palatino Linotype" w:cs="Palatino Linotype"/>
          <w:szCs w:val="24"/>
        </w:rPr>
        <w:t xml:space="preserve"> por lo que toca a los documentos firmados por el servidor público mencionado en</w:t>
      </w:r>
      <w:r>
        <w:rPr>
          <w:rFonts w:eastAsia="Palatino Linotype" w:cs="Palatino Linotype"/>
          <w:szCs w:val="24"/>
        </w:rPr>
        <w:t xml:space="preserve"> dicha solicitud durante el periodo del primero de enero de dos mil veintiuno al dos de mayo de dos mil veintidós, se observa que el Sujeto Obligado respondió que, de acuerdo con el cargo que ostenta el servidor público, al no ser titular de ninguna de las</w:t>
      </w:r>
      <w:r>
        <w:rPr>
          <w:rFonts w:eastAsia="Palatino Linotype" w:cs="Palatino Linotype"/>
          <w:szCs w:val="24"/>
        </w:rPr>
        <w:t xml:space="preserve"> áreas administrativas registradas en el Instituto, </w:t>
      </w:r>
      <w:r>
        <w:rPr>
          <w:rFonts w:eastAsia="Palatino Linotype" w:cs="Palatino Linotype"/>
          <w:b/>
          <w:szCs w:val="24"/>
        </w:rPr>
        <w:t>no se cuenta con documentación alguna que incluya su firma</w:t>
      </w:r>
      <w:r>
        <w:rPr>
          <w:rFonts w:eastAsia="Palatino Linotype" w:cs="Palatino Linotype"/>
          <w:szCs w:val="24"/>
        </w:rPr>
        <w:t>.</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Así es como el particular, al momento de interponer el recurso de revisión </w:t>
      </w:r>
      <w:r>
        <w:rPr>
          <w:rFonts w:eastAsia="Palatino Linotype" w:cs="Palatino Linotype"/>
          <w:b/>
          <w:szCs w:val="24"/>
        </w:rPr>
        <w:t>09767/INFOEM/IP/RR/2022</w:t>
      </w:r>
      <w:r>
        <w:rPr>
          <w:rFonts w:eastAsia="Palatino Linotype" w:cs="Palatino Linotype"/>
          <w:szCs w:val="24"/>
        </w:rPr>
        <w:t>, manifestó que el servidor público aludido o</w:t>
      </w:r>
      <w:r>
        <w:rPr>
          <w:rFonts w:eastAsia="Palatino Linotype" w:cs="Palatino Linotype"/>
          <w:szCs w:val="24"/>
        </w:rPr>
        <w:t xml:space="preserve">cupa el puesto de “Profesor Titular A” (de lo que aportó evidencia en su escrito de manifestaciones), así como que ocupa el cargo de Secretario Particular de la Dirección General y ha estado al frente de la Unidad Jurídica del Sujeto Obligado, </w:t>
      </w:r>
      <w:r>
        <w:rPr>
          <w:rFonts w:eastAsia="Palatino Linotype" w:cs="Palatino Linotype"/>
          <w:b/>
          <w:szCs w:val="24"/>
        </w:rPr>
        <w:t>por lo que c</w:t>
      </w:r>
      <w:r>
        <w:rPr>
          <w:rFonts w:eastAsia="Palatino Linotype" w:cs="Palatino Linotype"/>
          <w:b/>
          <w:szCs w:val="24"/>
        </w:rPr>
        <w:t>onsidera que dichos puestos ameritan haber firmado documentos dirigidos a diversas unidades administrativas del Sujeto Obligado</w:t>
      </w:r>
      <w:r>
        <w:rPr>
          <w:rFonts w:eastAsia="Palatino Linotype" w:cs="Palatino Linotype"/>
          <w:szCs w:val="24"/>
        </w:rPr>
        <w:t>, por lo que al negarle la información se violentó su derecho de acceso a la información, y reiteró que se solicitaba copia simpl</w:t>
      </w:r>
      <w:r>
        <w:rPr>
          <w:rFonts w:eastAsia="Palatino Linotype" w:cs="Palatino Linotype"/>
          <w:szCs w:val="24"/>
        </w:rPr>
        <w:t>e en versión pública de los documentos firmados por el servidor público en comento, durante los ejercicios 2020, 2021 y 2022.</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No se soslaya que el Recurrente, durante la etapa de instrucción, remitió una imagen en la que se observa que el servidor público</w:t>
      </w:r>
      <w:r>
        <w:rPr>
          <w:rFonts w:eastAsia="Palatino Linotype" w:cs="Palatino Linotype"/>
          <w:szCs w:val="24"/>
        </w:rPr>
        <w:t xml:space="preserve"> referido ocupa el cargo de Profesor titular “A” desde el primero de febrero de dos mil diecisiete; asimismo, se realizó la consulta en el portal de IPOMEX del Sujeto Obligado correspondiente a las remuneraciones de los servidores públicos, encontrando la </w:t>
      </w:r>
      <w:r>
        <w:rPr>
          <w:rFonts w:eastAsia="Palatino Linotype" w:cs="Palatino Linotype"/>
          <w:szCs w:val="24"/>
        </w:rPr>
        <w:t>siguiente información:</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noProof/>
          <w:szCs w:val="24"/>
          <w:lang w:val="es-MX"/>
        </w:rPr>
        <w:drawing>
          <wp:inline distT="0" distB="0" distL="0" distR="0">
            <wp:extent cx="5935980" cy="11715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5"/>
                    <a:stretch>
                      <a:fillRect/>
                    </a:stretch>
                  </pic:blipFill>
                  <pic:spPr>
                    <a:xfrm>
                      <a:off x="0" y="0"/>
                      <a:ext cx="5935980" cy="1171575"/>
                    </a:xfrm>
                    <a:prstGeom prst="rect">
                      <a:avLst/>
                    </a:prstGeom>
                  </pic:spPr>
                </pic:pic>
              </a:graphicData>
            </a:graphic>
          </wp:inline>
        </w:drawing>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Como se puede observar, el servidor público en referencia no ostenta ningún cargo considerado de mando superior o medio, ni como titular de alguna de las áreas que conforman al Sujeto Obligado, por lo que lo manifestado por la au</w:t>
      </w:r>
      <w:r>
        <w:rPr>
          <w:rFonts w:eastAsia="Palatino Linotype" w:cs="Palatino Linotype"/>
          <w:szCs w:val="24"/>
        </w:rPr>
        <w:t>toridad en respuesta concuerda con el puesto que ocupa el referido servidor público.</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Además, se tiene que el Recurrente manifestó en su recurso de revisión que </w:t>
      </w:r>
      <w:r>
        <w:rPr>
          <w:rFonts w:eastAsia="Palatino Linotype" w:cs="Palatino Linotype"/>
          <w:b/>
          <w:szCs w:val="24"/>
        </w:rPr>
        <w:t>él considera que los puestos que hace referencia en su medio de impugnación amerita que el serv</w:t>
      </w:r>
      <w:r>
        <w:rPr>
          <w:rFonts w:eastAsia="Palatino Linotype" w:cs="Palatino Linotype"/>
          <w:b/>
          <w:szCs w:val="24"/>
        </w:rPr>
        <w:t>idor público haya firmado documentos dirigidos a diversas áreas del Sujeto Obligado</w:t>
      </w:r>
      <w:r>
        <w:rPr>
          <w:rFonts w:eastAsia="Palatino Linotype" w:cs="Palatino Linotype"/>
          <w:szCs w:val="24"/>
        </w:rPr>
        <w:t>, por lo que este Instituto estima que con la suposición del Recurrente constituyen manifestaciones subjetivas con las que se duda de la veracidad de la respuesta del Sujeto</w:t>
      </w:r>
      <w:r>
        <w:rPr>
          <w:rFonts w:eastAsia="Palatino Linotype" w:cs="Palatino Linotype"/>
          <w:szCs w:val="24"/>
        </w:rPr>
        <w:t xml:space="preserve"> Obligado.</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De tal forma que el pronunciamiento del Sujeto Obligado en el sentido de que no se cuenta con documentos firmados por el servidor público en referencia se traduce como </w:t>
      </w:r>
      <w:r>
        <w:rPr>
          <w:rFonts w:eastAsiaTheme="minorHAnsi" w:cstheme="minorHAnsi"/>
          <w:szCs w:val="24"/>
          <w:lang w:val="es-MX" w:eastAsia="en-US"/>
        </w:rPr>
        <w:t xml:space="preserve">un pronunciamiento en sentido negativo; es decir, </w:t>
      </w:r>
      <w:r>
        <w:rPr>
          <w:rFonts w:eastAsiaTheme="minorHAnsi" w:cstheme="minorBidi"/>
          <w:szCs w:val="24"/>
          <w:lang w:val="es-MX" w:eastAsia="en-US"/>
        </w:rPr>
        <w:t>se concluye que la respues</w:t>
      </w:r>
      <w:r>
        <w:rPr>
          <w:rFonts w:eastAsiaTheme="minorHAnsi" w:cstheme="minorBidi"/>
          <w:szCs w:val="24"/>
          <w:lang w:val="es-MX" w:eastAsia="en-US"/>
        </w:rPr>
        <w:t xml:space="preserve">ta constituye hechos negativos, pues no se han generado, poseído o administrado la documentación solicitada en virtud de que no existe precepto jurídico alguno que constriña al servidor público aludido a generar documentos con su firma. </w:t>
      </w:r>
      <w:r>
        <w:rPr>
          <w:rFonts w:eastAsiaTheme="minorHAnsi" w:cs="Arial"/>
          <w:szCs w:val="24"/>
          <w:lang w:val="es-MX" w:eastAsia="es-ES"/>
        </w:rPr>
        <w:t>Así, el Pleno de es</w:t>
      </w:r>
      <w:r>
        <w:rPr>
          <w:rFonts w:eastAsiaTheme="minorHAnsi" w:cs="Arial"/>
          <w:szCs w:val="24"/>
          <w:lang w:val="es-MX" w:eastAsia="es-ES"/>
        </w:rPr>
        <w:t>te Órgano Garante ha sostenido que ante un hecho negativo resulta innecesaria una declaratoria de inexistencia en términos de los artículos 19, 169 y 170 de la Ley de Transparencia y Acceso a la Información Pública del Estado de México y Municipios, result</w:t>
      </w:r>
      <w:r>
        <w:rPr>
          <w:rFonts w:eastAsiaTheme="minorHAnsi" w:cs="Arial"/>
          <w:szCs w:val="24"/>
          <w:lang w:val="es-MX" w:eastAsia="es-ES"/>
        </w:rPr>
        <w:t>ando aplicable la siguiente tesis:</w:t>
      </w:r>
    </w:p>
    <w:p w:rsidR="00A51978" w:rsidRDefault="00482951">
      <w:pPr>
        <w:tabs>
          <w:tab w:val="left" w:pos="8372"/>
        </w:tabs>
        <w:jc w:val="left"/>
        <w:rPr>
          <w:rFonts w:eastAsiaTheme="minorHAnsi" w:cstheme="minorBidi"/>
          <w:szCs w:val="24"/>
          <w:lang w:val="es-MX"/>
        </w:rPr>
      </w:pPr>
      <w:r>
        <w:rPr>
          <w:rFonts w:eastAsiaTheme="minorHAnsi" w:cstheme="minorBidi"/>
          <w:szCs w:val="24"/>
          <w:lang w:val="es-MX"/>
        </w:rPr>
        <w:tab/>
      </w:r>
    </w:p>
    <w:p w:rsidR="00A51978" w:rsidRDefault="00482951">
      <w:pPr>
        <w:spacing w:line="240" w:lineRule="auto"/>
        <w:ind w:left="567" w:right="567"/>
        <w:rPr>
          <w:rFonts w:eastAsiaTheme="minorHAnsi" w:cstheme="minorBidi"/>
          <w:b/>
          <w:i/>
          <w:sz w:val="22"/>
          <w:lang w:val="es-MX"/>
        </w:rPr>
      </w:pPr>
      <w:r>
        <w:rPr>
          <w:rFonts w:eastAsiaTheme="minorHAnsi" w:cstheme="minorBidi"/>
          <w:b/>
          <w:i/>
          <w:sz w:val="22"/>
          <w:lang w:val="es-MX"/>
        </w:rPr>
        <w:t xml:space="preserve">HECHOS NEGATIVOS, NO SON SUSCEPTIBLES DE DEMOSTRACIÓN. </w:t>
      </w:r>
    </w:p>
    <w:p w:rsidR="00A51978" w:rsidRDefault="00482951">
      <w:pPr>
        <w:spacing w:line="240" w:lineRule="auto"/>
        <w:ind w:left="567" w:right="567"/>
        <w:rPr>
          <w:rFonts w:eastAsiaTheme="minorHAnsi" w:cstheme="minorBidi"/>
          <w:i/>
          <w:sz w:val="22"/>
          <w:lang w:val="es-MX"/>
        </w:rPr>
      </w:pPr>
      <w:r>
        <w:rPr>
          <w:rFonts w:eastAsiaTheme="minorHAnsi" w:cstheme="minorBidi"/>
          <w:i/>
          <w:sz w:val="22"/>
          <w:lang w:val="es-MX"/>
        </w:rPr>
        <w:t>Tratándose de un hecho negativo, el Juez no tiene por qué invocar prueba alguna de la que se desprenda, ya que es bien sabido que esta clase de hechos no son susce</w:t>
      </w:r>
      <w:r>
        <w:rPr>
          <w:rFonts w:eastAsiaTheme="minorHAnsi" w:cstheme="minorBidi"/>
          <w:i/>
          <w:sz w:val="22"/>
          <w:lang w:val="es-MX"/>
        </w:rPr>
        <w:t>ptibles de demostración.</w:t>
      </w:r>
    </w:p>
    <w:p w:rsidR="00A51978" w:rsidRDefault="00A51978">
      <w:pPr>
        <w:ind w:left="567" w:right="567"/>
        <w:rPr>
          <w:rFonts w:eastAsiaTheme="minorHAnsi" w:cstheme="minorBidi"/>
          <w:i/>
          <w:szCs w:val="24"/>
          <w:lang w:val="es-MX"/>
        </w:rPr>
      </w:pPr>
    </w:p>
    <w:p w:rsidR="00A51978" w:rsidRDefault="00482951">
      <w:pPr>
        <w:contextualSpacing/>
        <w:rPr>
          <w:rFonts w:eastAsia="Palatino Linotype" w:cs="Palatino Linotype"/>
          <w:bCs/>
          <w:color w:val="000000"/>
        </w:rPr>
      </w:pPr>
      <w:r>
        <w:rPr>
          <w:rFonts w:eastAsiaTheme="minorHAnsi" w:cstheme="minorBidi"/>
          <w:szCs w:val="24"/>
          <w:lang w:val="es-MX"/>
        </w:rPr>
        <w:t xml:space="preserve">Además, de conformidad con lo establecido en el artículo 12 de la Ley de la materia, el Sujeto Obligado sólo proporcionará la información que obra en sus archivos, lo que </w:t>
      </w:r>
      <w:r>
        <w:rPr>
          <w:rFonts w:eastAsiaTheme="minorHAnsi" w:cstheme="minorBidi"/>
          <w:i/>
          <w:szCs w:val="24"/>
          <w:lang w:val="es-MX"/>
        </w:rPr>
        <w:t>a contrario sensu</w:t>
      </w:r>
      <w:r>
        <w:rPr>
          <w:rFonts w:eastAsiaTheme="minorHAnsi" w:cstheme="minorBidi"/>
          <w:szCs w:val="24"/>
          <w:lang w:val="es-MX"/>
        </w:rPr>
        <w:t xml:space="preserve"> significa que no está obligado a proporcionar lo que no obre en sus archivos.</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Asimismo, derivado del pronunciamiento emitido por el Sujeto Obligado, inclusive cuando éste se realiza en sentido negativo, este Órgano Garante estima conveniente señalar que </w:t>
      </w:r>
      <w:r>
        <w:rPr>
          <w:rFonts w:eastAsia="Palatino Linotype" w:cs="Palatino Linotype"/>
          <w:szCs w:val="24"/>
        </w:rPr>
        <w:t xml:space="preserve">no está facultado para manifestarse sobre la veracidad de la información proporcionada, ya que no existe precepto legal alguna en la Ley de la Materia que </w:t>
      </w:r>
      <w:r>
        <w:rPr>
          <w:rFonts w:eastAsia="Palatino Linotype" w:cs="Palatino Linotype"/>
          <w:szCs w:val="24"/>
        </w:rPr>
        <w:lastRenderedPageBreak/>
        <w:t>permita, vía recurso de revisión, que se pronuncie al respecto. Por analogía, sirve de apoyo a lo ant</w:t>
      </w:r>
      <w:r>
        <w:rPr>
          <w:rFonts w:eastAsia="Palatino Linotype" w:cs="Palatino Linotype"/>
          <w:szCs w:val="24"/>
        </w:rPr>
        <w:t>erior el Criterio 31/10 emitido por el entonces Instituto Federal de Accesos a la Información y Protección de Datos, que a la letra establece lo siguiente:</w:t>
      </w:r>
    </w:p>
    <w:p w:rsidR="00A51978" w:rsidRDefault="00A51978">
      <w:pPr>
        <w:contextualSpacing/>
        <w:rPr>
          <w:rFonts w:eastAsia="Palatino Linotype" w:cs="Palatino Linotype"/>
          <w:szCs w:val="24"/>
        </w:rPr>
      </w:pPr>
    </w:p>
    <w:p w:rsidR="00A51978" w:rsidRDefault="00482951">
      <w:pPr>
        <w:pStyle w:val="Sinespaciado"/>
        <w:rPr>
          <w:rFonts w:eastAsia="Palatino Linotype"/>
        </w:rPr>
      </w:pPr>
      <w:r>
        <w:rPr>
          <w:rFonts w:eastAsia="Palatino Linotype"/>
          <w:b/>
        </w:rPr>
        <w:t>El Instituto Federal de Acceso a la Información y Protección de Datos no cuenta con facultades para</w:t>
      </w:r>
      <w:r>
        <w:rPr>
          <w:rFonts w:eastAsia="Palatino Linotype"/>
          <w:b/>
        </w:rPr>
        <w:t xml:space="preserve"> pronunciarse respecto de la veracidad de los documentos proporcionados por los sujetos obligados. </w:t>
      </w:r>
      <w:r>
        <w:rPr>
          <w:rFonts w:eastAsia="Palatino Linotype"/>
        </w:rPr>
        <w:t>El Instituto Federal de Acceso a la Información y Protección de Datos es un órgano de la Administración Pública Federal con autonomía operativa, presupuestar</w:t>
      </w:r>
      <w:r>
        <w:rPr>
          <w:rFonts w:eastAsia="Palatino Linotype"/>
        </w:rPr>
        <w:t xml:space="preserve">ia y de decisión, encargado de promover y difundir el ejercicio del derecho de acceso a la información; resolver sobre la negativa de las solicitudes de acceso a la información; y proteger los datos personales en poder de las dependencias y entidades. Sin </w:t>
      </w:r>
      <w:r>
        <w:rPr>
          <w:rFonts w:eastAsia="Palatino Linotype"/>
        </w:rPr>
        <w:t>embargo, no está facultado para pronunciarse sobre la veracidad de la información proporcionada por las autoridades en respuesta a las solicitudes de información que les presentan los particulares, en virtud de que en los artículos 49 y 50 de la ley Federa</w:t>
      </w:r>
      <w:r>
        <w:rPr>
          <w:rFonts w:eastAsia="Palatino Linotype"/>
        </w:rPr>
        <w:t>l de Transparencia y Accesos a la Información Pública Gubernamental no se prevé una causal que permita al Instituto Federal de Acceso a la Información y Protección de Datos conocer, vía recurso de revisión, al respecto.</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En ese tenor, no se omite subrayar </w:t>
      </w:r>
      <w:r>
        <w:rPr>
          <w:rFonts w:eastAsia="Palatino Linotype" w:cs="Palatino Linotype"/>
          <w:szCs w:val="24"/>
        </w:rPr>
        <w:t>que el artículo 191 de la Ley de Transparencia local, en sus fracciones V y VII establece lo siguiente:</w:t>
      </w:r>
    </w:p>
    <w:p w:rsidR="00A51978" w:rsidRDefault="00A51978">
      <w:pPr>
        <w:contextualSpacing/>
        <w:rPr>
          <w:rFonts w:eastAsia="Palatino Linotype" w:cs="Palatino Linotype"/>
          <w:szCs w:val="24"/>
        </w:rPr>
      </w:pPr>
    </w:p>
    <w:p w:rsidR="00A51978" w:rsidRDefault="00482951">
      <w:pPr>
        <w:pStyle w:val="Sinespaciado"/>
        <w:rPr>
          <w:rFonts w:eastAsia="Palatino Linotype"/>
        </w:rPr>
      </w:pPr>
      <w:r>
        <w:rPr>
          <w:rFonts w:eastAsia="Palatino Linotype"/>
          <w:b/>
        </w:rPr>
        <w:t xml:space="preserve">Artículo 191. </w:t>
      </w:r>
      <w:r>
        <w:rPr>
          <w:rFonts w:eastAsia="Palatino Linotype"/>
        </w:rPr>
        <w:t>El recurso será desechado por improcedente cuando:</w:t>
      </w:r>
    </w:p>
    <w:p w:rsidR="00A51978" w:rsidRDefault="00482951">
      <w:pPr>
        <w:pStyle w:val="Sinespaciado"/>
        <w:rPr>
          <w:rFonts w:eastAsia="Palatino Linotype"/>
        </w:rPr>
      </w:pPr>
      <w:r>
        <w:rPr>
          <w:rFonts w:eastAsia="Palatino Linotype"/>
        </w:rPr>
        <w:t>(…)</w:t>
      </w:r>
    </w:p>
    <w:p w:rsidR="00A51978" w:rsidRDefault="00482951">
      <w:pPr>
        <w:pStyle w:val="Sinespaciado"/>
        <w:rPr>
          <w:rFonts w:eastAsia="Palatino Linotype"/>
        </w:rPr>
      </w:pPr>
      <w:r>
        <w:rPr>
          <w:rFonts w:eastAsia="Palatino Linotype"/>
          <w:b/>
        </w:rPr>
        <w:t>V.</w:t>
      </w:r>
      <w:r>
        <w:rPr>
          <w:rFonts w:eastAsia="Palatino Linotype"/>
        </w:rPr>
        <w:t xml:space="preserve"> Se impugne la veracidad de la información proporcionada;</w:t>
      </w:r>
    </w:p>
    <w:p w:rsidR="00A51978" w:rsidRDefault="00482951">
      <w:pPr>
        <w:pStyle w:val="Sinespaciado"/>
        <w:rPr>
          <w:rFonts w:eastAsia="Palatino Linotype"/>
        </w:rPr>
      </w:pPr>
      <w:r>
        <w:rPr>
          <w:rFonts w:eastAsia="Palatino Linotype"/>
        </w:rPr>
        <w:t>(…)</w:t>
      </w:r>
    </w:p>
    <w:p w:rsidR="00A51978" w:rsidRDefault="00482951">
      <w:pPr>
        <w:pStyle w:val="Sinespaciado"/>
        <w:rPr>
          <w:rFonts w:eastAsia="Palatino Linotype"/>
        </w:rPr>
      </w:pPr>
      <w:r>
        <w:rPr>
          <w:rFonts w:eastAsia="Palatino Linotype"/>
          <w:b/>
        </w:rPr>
        <w:t>VII.</w:t>
      </w:r>
      <w:r>
        <w:rPr>
          <w:rFonts w:eastAsia="Palatino Linotype"/>
        </w:rPr>
        <w:t xml:space="preserve"> El recurrente</w:t>
      </w:r>
      <w:r>
        <w:rPr>
          <w:rFonts w:eastAsia="Palatino Linotype"/>
        </w:rPr>
        <w:t xml:space="preserve"> amplíe su solicitud en el recurso de revisión, únicamente respecto de los nuevos contenidos.</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Consecuentemente, este Órgano Garante considera que el Recurrente, al expresar su suposición relativa a que el servidor público referido en su solicitud de infor</w:t>
      </w:r>
      <w:r>
        <w:rPr>
          <w:rFonts w:eastAsia="Palatino Linotype" w:cs="Palatino Linotype"/>
          <w:szCs w:val="24"/>
        </w:rPr>
        <w:t xml:space="preserve">mación en ejercicio de las atribuciones de su cargo amerita haber firmado documentos, impugna la </w:t>
      </w:r>
      <w:r>
        <w:rPr>
          <w:rFonts w:eastAsia="Palatino Linotype" w:cs="Palatino Linotype"/>
          <w:szCs w:val="24"/>
        </w:rPr>
        <w:lastRenderedPageBreak/>
        <w:t>veracidad de la respuesta del Sujeto Obligado, actualizando así la hipótesis prevista en la fracción V del precepto jurídico en comento.</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lang w:val="es-MX"/>
        </w:rPr>
      </w:pPr>
      <w:r>
        <w:rPr>
          <w:rFonts w:eastAsia="Palatino Linotype" w:cs="Palatino Linotype"/>
          <w:szCs w:val="24"/>
        </w:rPr>
        <w:t>Aunado a lo anterior,</w:t>
      </w:r>
      <w:r>
        <w:rPr>
          <w:rFonts w:eastAsia="Palatino Linotype" w:cs="Palatino Linotype"/>
          <w:szCs w:val="24"/>
        </w:rPr>
        <w:t xml:space="preserve"> se tiene que el Recurrente amplió su solicitud de información al solicitar los documentos firmados durante el ejercicio 2020, el cual no fue contemplado en su solicitud original, por lo que se considera que esto es una ampliación a su solicitud de informa</w:t>
      </w:r>
      <w:r>
        <w:rPr>
          <w:rFonts w:eastAsia="Palatino Linotype" w:cs="Palatino Linotype"/>
          <w:szCs w:val="24"/>
        </w:rPr>
        <w:t xml:space="preserve">ción o </w:t>
      </w:r>
      <w:r>
        <w:rPr>
          <w:rFonts w:eastAsia="Palatino Linotype" w:cs="Palatino Linotype"/>
          <w:i/>
          <w:szCs w:val="24"/>
        </w:rPr>
        <w:t>plus petitio</w:t>
      </w:r>
      <w:r>
        <w:rPr>
          <w:rFonts w:eastAsia="Palatino Linotype" w:cs="Palatino Linotype"/>
          <w:szCs w:val="24"/>
        </w:rPr>
        <w:t>; esto es, que se adhirió información que no había sido solicitada; por tanto, dichas manifestaciones, al haber sido realizadas en un momento posterior al ingreso de la solicitud original, devienen infundadas, debido a que al ser requeri</w:t>
      </w:r>
      <w:r>
        <w:rPr>
          <w:rFonts w:eastAsia="Palatino Linotype" w:cs="Palatino Linotype"/>
          <w:szCs w:val="24"/>
        </w:rPr>
        <w:t xml:space="preserve">mientos que no se plantearon ante el Sujeto Obligado al momento de realizar su solicitud de información, resulta injustificado examinar tales peticiones pues éstas no fueron del conocimiento del Sujeto Obligado, por lo que, no tuvo la oportunidad legal de </w:t>
      </w:r>
      <w:r>
        <w:rPr>
          <w:rFonts w:eastAsia="Palatino Linotype" w:cs="Palatino Linotype"/>
          <w:szCs w:val="24"/>
        </w:rPr>
        <w:t xml:space="preserve">analizarlas ni de pronunciarse sobre ellas. </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Sirve de apoyo por analogía la siguiente tesis jurisprudencial número VI. 2º. A. J/7, publicada en el Semanario Judicial de la Federación y su gaceta, bajo el número de registro digital 178788, en la que se est</w:t>
      </w:r>
      <w:r>
        <w:rPr>
          <w:rFonts w:eastAsia="Palatino Linotype" w:cs="Palatino Linotype"/>
          <w:szCs w:val="24"/>
        </w:rPr>
        <w:t>ablece lo siguiente:</w:t>
      </w:r>
    </w:p>
    <w:p w:rsidR="00A51978" w:rsidRDefault="00A51978">
      <w:pPr>
        <w:contextualSpacing/>
        <w:rPr>
          <w:rFonts w:eastAsia="Palatino Linotype" w:cs="Palatino Linotype"/>
          <w:szCs w:val="24"/>
        </w:rPr>
      </w:pPr>
    </w:p>
    <w:p w:rsidR="00A51978" w:rsidRDefault="00482951">
      <w:pPr>
        <w:pStyle w:val="Sinespaciado"/>
        <w:rPr>
          <w:rFonts w:eastAsia="Palatino Linotype"/>
          <w:b/>
          <w:szCs w:val="22"/>
        </w:rPr>
      </w:pPr>
      <w:r>
        <w:rPr>
          <w:rFonts w:eastAsia="Palatino Linotype"/>
          <w:b/>
        </w:rPr>
        <w:t xml:space="preserve">CONCEPTOS DE VIOLACIÓN EN EL AMPARO DIRECTO. INOPERANCIA DE LOS QUE INTRODUCEN CUESTIONAMIENTOS NOVEDOSOS QUE NO FUERON PLANTEADOS EN EL JUICIO NATURAL. </w:t>
      </w:r>
    </w:p>
    <w:p w:rsidR="00A51978" w:rsidRDefault="00482951">
      <w:pPr>
        <w:pStyle w:val="Sinespaciado"/>
        <w:rPr>
          <w:rFonts w:eastAsia="Palatino Linotype"/>
        </w:rPr>
      </w:pPr>
      <w:r>
        <w:rPr>
          <w:rFonts w:eastAsia="Palatino Linotype"/>
        </w:rPr>
        <w:t>Si en los conceptos de violación se formulan argumentos que no se plantearon ant</w:t>
      </w:r>
      <w:r>
        <w:rPr>
          <w:rFonts w:eastAsia="Palatino Linotype"/>
        </w:rPr>
        <w:t>e la Sala Fiscal que dictó la sentencia que constituye el acto reclamado, los mismos son inoperantes, toda vez que resultaría injustificado examinar la constitucionalidad de la sentencia combatida a la luz de razonamientos que no conoció la autoridad respo</w:t>
      </w:r>
      <w:r>
        <w:rPr>
          <w:rFonts w:eastAsia="Palatino Linotype"/>
        </w:rPr>
        <w:t>nsable, pues como tales manifestaciones no formaron parte de la litis natural, la Sala no tuvo la oportunidad legal de analizarlas ni de pronunciarse sobre ellas.</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De tal forma que en el recurso de revisión </w:t>
      </w:r>
      <w:r>
        <w:rPr>
          <w:rFonts w:eastAsia="Palatino Linotype" w:cs="Palatino Linotype"/>
          <w:b/>
          <w:szCs w:val="24"/>
        </w:rPr>
        <w:t>09767/INFOEM/IP/RR/2022</w:t>
      </w:r>
      <w:r>
        <w:rPr>
          <w:rFonts w:eastAsia="Palatino Linotype" w:cs="Palatino Linotype"/>
          <w:szCs w:val="24"/>
        </w:rPr>
        <w:t xml:space="preserve"> se actualizan las causale</w:t>
      </w:r>
      <w:r>
        <w:rPr>
          <w:rFonts w:eastAsia="Palatino Linotype" w:cs="Palatino Linotype"/>
          <w:szCs w:val="24"/>
        </w:rPr>
        <w:t>s de improcedencia previstas en las fracciones V y VII del artículo 191 de la Ley de la materia; por lo que al relacionarlo con lo dispuesto en el artículo 192 fracción IV de la Ley en cita se concluye que es procedente el sobreseimiento del recurso de rev</w:t>
      </w:r>
      <w:r>
        <w:rPr>
          <w:rFonts w:eastAsia="Palatino Linotype" w:cs="Palatino Linotype"/>
          <w:szCs w:val="24"/>
        </w:rPr>
        <w:t>isión, como se lo dispone el artículo referido y se observa a continuación:</w:t>
      </w:r>
    </w:p>
    <w:p w:rsidR="00A51978" w:rsidRDefault="00A51978">
      <w:pPr>
        <w:contextualSpacing/>
        <w:rPr>
          <w:rFonts w:eastAsia="Palatino Linotype" w:cs="Palatino Linotype"/>
          <w:szCs w:val="24"/>
        </w:rPr>
      </w:pPr>
    </w:p>
    <w:p w:rsidR="00A51978" w:rsidRDefault="00482951">
      <w:pPr>
        <w:pStyle w:val="Sinespaciado"/>
        <w:rPr>
          <w:rFonts w:eastAsia="Palatino Linotype"/>
        </w:rPr>
      </w:pPr>
      <w:r>
        <w:rPr>
          <w:rFonts w:eastAsia="Palatino Linotype"/>
          <w:b/>
        </w:rPr>
        <w:t xml:space="preserve">Artículo 192. </w:t>
      </w:r>
      <w:r>
        <w:rPr>
          <w:rFonts w:eastAsia="Palatino Linotype"/>
        </w:rPr>
        <w:t>El recurso será sobreseído, en todo o en parte, cuando una vez admitido, se actualicen alguno de los siguientes supuestos:</w:t>
      </w:r>
    </w:p>
    <w:p w:rsidR="00A51978" w:rsidRDefault="00482951">
      <w:pPr>
        <w:pStyle w:val="Sinespaciado"/>
        <w:rPr>
          <w:rFonts w:eastAsia="Palatino Linotype"/>
        </w:rPr>
      </w:pPr>
      <w:r>
        <w:rPr>
          <w:rFonts w:eastAsia="Palatino Linotype"/>
        </w:rPr>
        <w:t>(…)</w:t>
      </w:r>
    </w:p>
    <w:p w:rsidR="00A51978" w:rsidRDefault="00482951">
      <w:pPr>
        <w:pStyle w:val="Sinespaciado"/>
        <w:rPr>
          <w:rFonts w:eastAsia="Palatino Linotype"/>
        </w:rPr>
      </w:pPr>
      <w:r>
        <w:rPr>
          <w:rFonts w:eastAsia="Palatino Linotype"/>
          <w:b/>
        </w:rPr>
        <w:t>IV.</w:t>
      </w:r>
      <w:r>
        <w:rPr>
          <w:rFonts w:eastAsia="Palatino Linotype"/>
        </w:rPr>
        <w:t xml:space="preserve"> Admitido el recurso de revisión, a</w:t>
      </w:r>
      <w:r>
        <w:rPr>
          <w:rFonts w:eastAsia="Palatino Linotype"/>
        </w:rPr>
        <w:t>parezca alguna causal de improcedencia en los términos de la presente Ley; y</w:t>
      </w:r>
    </w:p>
    <w:p w:rsidR="00A51978" w:rsidRDefault="00482951">
      <w:pPr>
        <w:pStyle w:val="Sinespaciado"/>
        <w:rPr>
          <w:rFonts w:eastAsia="Palatino Linotype"/>
        </w:rPr>
      </w:pPr>
      <w:r>
        <w:rPr>
          <w:rFonts w:eastAsia="Palatino Linotype"/>
        </w:rPr>
        <w:t>(…)</w:t>
      </w:r>
    </w:p>
    <w:p w:rsidR="00A51978" w:rsidRDefault="00A51978">
      <w:pPr>
        <w:contextualSpacing/>
        <w:rPr>
          <w:rFonts w:eastAsia="Palatino Linotype" w:cs="Palatino Linotype"/>
          <w:szCs w:val="24"/>
        </w:rPr>
      </w:pPr>
    </w:p>
    <w:p w:rsidR="00A51978" w:rsidRDefault="00482951">
      <w:pPr>
        <w:contextualSpacing/>
        <w:rPr>
          <w:rFonts w:eastAsia="Palatino Linotype" w:cs="Palatino Linotype"/>
          <w:szCs w:val="24"/>
        </w:rPr>
      </w:pPr>
      <w:r>
        <w:rPr>
          <w:rFonts w:eastAsia="Palatino Linotype" w:cs="Palatino Linotype"/>
          <w:szCs w:val="24"/>
        </w:rPr>
        <w:t xml:space="preserve">Por tanto, al resultar improcedente el recurso de revisión y una vez admitido, es procedente dictar el sobreseimiento del recurso de revisión </w:t>
      </w:r>
      <w:r>
        <w:rPr>
          <w:rFonts w:eastAsia="Palatino Linotype" w:cs="Palatino Linotype"/>
          <w:b/>
          <w:szCs w:val="24"/>
        </w:rPr>
        <w:t>09767/INFOEM/IP/RR/2022</w:t>
      </w:r>
      <w:r>
        <w:rPr>
          <w:rFonts w:eastAsia="Palatino Linotype" w:cs="Palatino Linotype"/>
          <w:szCs w:val="24"/>
        </w:rPr>
        <w:t xml:space="preserve"> dados los argumentos planteados en párrafos anteriores.</w:t>
      </w:r>
    </w:p>
    <w:p w:rsidR="00A51978" w:rsidRDefault="00A51978">
      <w:pPr>
        <w:contextualSpacing/>
        <w:rPr>
          <w:rFonts w:eastAsia="Palatino Linotype" w:cs="Palatino Linotype"/>
          <w:szCs w:val="24"/>
        </w:rPr>
      </w:pPr>
    </w:p>
    <w:p w:rsidR="00A51978" w:rsidRDefault="00482951">
      <w:pPr>
        <w:rPr>
          <w:rFonts w:eastAsia="Times New Roman" w:cs="Times New Roman"/>
          <w:color w:val="000000"/>
          <w:szCs w:val="24"/>
          <w:lang w:val="es-MX"/>
        </w:rPr>
      </w:pPr>
      <w:r>
        <w:rPr>
          <w:rFonts w:eastAsia="Times New Roman" w:cs="Times New Roman"/>
          <w:color w:val="000000"/>
          <w:szCs w:val="24"/>
        </w:rPr>
        <w:t xml:space="preserve">En conclusión, este Instituto estima que los motivos de inconformidad planteados en el recurso de revisión </w:t>
      </w:r>
      <w:r>
        <w:rPr>
          <w:rFonts w:eastAsia="Times New Roman" w:cs="Times New Roman"/>
          <w:b/>
          <w:color w:val="000000"/>
          <w:szCs w:val="24"/>
        </w:rPr>
        <w:t>09765/INFOEM/IP/RR/2022</w:t>
      </w:r>
      <w:r>
        <w:rPr>
          <w:rFonts w:eastAsia="Times New Roman" w:cs="Times New Roman"/>
          <w:color w:val="000000"/>
          <w:szCs w:val="24"/>
        </w:rPr>
        <w:t xml:space="preserve"> son</w:t>
      </w:r>
      <w:r>
        <w:rPr>
          <w:rFonts w:eastAsia="Palatino Linotype" w:cs="Palatino Linotype"/>
          <w:szCs w:val="24"/>
        </w:rPr>
        <w:t xml:space="preserve"> fundados, por lo que es procedente modificar la respuesta del S</w:t>
      </w:r>
      <w:r>
        <w:rPr>
          <w:rFonts w:eastAsia="Palatino Linotype" w:cs="Palatino Linotype"/>
          <w:szCs w:val="24"/>
        </w:rPr>
        <w:t>ujeto Obligado y ordenar que se haga entrega de los oficios que la servidora pública referida en la solicitud de información 00007/TESCO/IP/2022 haya firmado en su carácter de titular del Departamento de Seguimiento de Egresados y Vinculación y/o Departame</w:t>
      </w:r>
      <w:r>
        <w:rPr>
          <w:rFonts w:eastAsia="Palatino Linotype" w:cs="Palatino Linotype"/>
          <w:szCs w:val="24"/>
        </w:rPr>
        <w:t xml:space="preserve">nto de Servicio Social y Prácticas Profesionales, durante el periodo comprendido del primero de septiembre de dos mil diecisiete al dos de mayo de dos mil veintidós, en versión pública de ser procedente. Por otra parte, es procedente </w:t>
      </w:r>
      <w:r>
        <w:rPr>
          <w:rFonts w:eastAsia="Palatino Linotype" w:cs="Palatino Linotype"/>
          <w:szCs w:val="24"/>
        </w:rPr>
        <w:lastRenderedPageBreak/>
        <w:t>sobreseer el recurso d</w:t>
      </w:r>
      <w:r>
        <w:rPr>
          <w:rFonts w:eastAsia="Palatino Linotype" w:cs="Palatino Linotype"/>
          <w:szCs w:val="24"/>
        </w:rPr>
        <w:t xml:space="preserve">e revisión </w:t>
      </w:r>
      <w:r>
        <w:rPr>
          <w:rFonts w:eastAsia="Times New Roman" w:cs="Times New Roman"/>
          <w:b/>
          <w:color w:val="000000"/>
          <w:szCs w:val="24"/>
        </w:rPr>
        <w:t>09767/INFOEM/IP/RR/2022</w:t>
      </w:r>
      <w:r>
        <w:rPr>
          <w:rFonts w:eastAsia="Times New Roman" w:cs="Times New Roman"/>
          <w:color w:val="000000"/>
          <w:szCs w:val="24"/>
        </w:rPr>
        <w:t xml:space="preserve"> por resultar improcedente al actualizar lo dispuesto en el artículo 192 fracción IV, con relación al artículo 191 fracciones V y VII de la Ley de Transparencia local.</w:t>
      </w:r>
    </w:p>
    <w:p w:rsidR="00A51978" w:rsidRDefault="00A51978">
      <w:pPr>
        <w:rPr>
          <w:rFonts w:eastAsia="Times New Roman" w:cs="Times New Roman"/>
          <w:color w:val="000000"/>
          <w:szCs w:val="24"/>
        </w:rPr>
      </w:pPr>
    </w:p>
    <w:p w:rsidR="00A51978" w:rsidRDefault="00482951">
      <w:pPr>
        <w:rPr>
          <w:rFonts w:eastAsia="Palatino Linotype" w:cs="Palatino Linotype"/>
          <w:b/>
          <w:i/>
          <w:szCs w:val="24"/>
          <w:u w:val="single"/>
        </w:rPr>
      </w:pPr>
      <w:r>
        <w:rPr>
          <w:rFonts w:eastAsia="Palatino Linotype" w:cs="Palatino Linotype"/>
          <w:b/>
          <w:i/>
          <w:szCs w:val="24"/>
          <w:u w:val="single"/>
        </w:rPr>
        <w:t>DE LA VERSIÓN PÚBLICA.</w:t>
      </w:r>
    </w:p>
    <w:p w:rsidR="00A51978" w:rsidRDefault="00482951">
      <w:pPr>
        <w:rPr>
          <w:rFonts w:eastAsia="Palatino Linotype" w:cs="Palatino Linotype"/>
          <w:szCs w:val="24"/>
        </w:rPr>
      </w:pPr>
      <w:r>
        <w:rPr>
          <w:rFonts w:eastAsia="Palatino Linotype" w:cs="Palatino Linotype"/>
          <w:szCs w:val="24"/>
        </w:rPr>
        <w:t>En la elaboración de la versió</w:t>
      </w:r>
      <w:r>
        <w:rPr>
          <w:rFonts w:eastAsia="Palatino Linotype" w:cs="Palatino Linotype"/>
          <w:szCs w:val="24"/>
        </w:rPr>
        <w:t>n pública se deberá considera lo dispuesto en los artículos 3 fracciones IX, XX, XXI y XLV, 91 y 132 fracciones II y III de la Ley de Transparencia y Acceso a la Información Pública del Estado de México y Municipios que establecen lo siguiente:</w:t>
      </w:r>
    </w:p>
    <w:p w:rsidR="00A51978" w:rsidRDefault="00A51978">
      <w:pPr>
        <w:rPr>
          <w:rFonts w:eastAsia="Palatino Linotype" w:cs="Palatino Linotype"/>
          <w:szCs w:val="24"/>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3</w:t>
      </w:r>
      <w:r>
        <w:rPr>
          <w:rFonts w:eastAsia="Palatino Linotype" w:cs="Palatino Linotype"/>
          <w:b/>
          <w:i/>
          <w:sz w:val="22"/>
        </w:rPr>
        <w:t>.</w:t>
      </w:r>
      <w:r>
        <w:rPr>
          <w:rFonts w:eastAsia="Palatino Linotype" w:cs="Palatino Linotype"/>
          <w:i/>
          <w:sz w:val="22"/>
        </w:rPr>
        <w:t xml:space="preserve"> Para los efectos de la presente Ley se entenderá por:</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IX. Datos personales:</w:t>
      </w:r>
      <w:r>
        <w:rPr>
          <w:rFonts w:eastAsia="Palatino Linotype" w:cs="Palatino Linotype"/>
          <w:i/>
          <w:sz w:val="22"/>
        </w:rPr>
        <w:t xml:space="preserve"> La información concerniente a una persona, identificada o identificable según lo dispuesto por la Ley de Protección de Datos Personales del Estado de México; </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XX.</w:t>
      </w:r>
      <w:r>
        <w:rPr>
          <w:rFonts w:eastAsia="Palatino Linotype" w:cs="Palatino Linotype"/>
          <w:i/>
          <w:sz w:val="22"/>
        </w:rPr>
        <w:t xml:space="preserve"> </w:t>
      </w:r>
      <w:r>
        <w:rPr>
          <w:rFonts w:eastAsia="Palatino Linotype" w:cs="Palatino Linotype"/>
          <w:b/>
          <w:i/>
          <w:sz w:val="22"/>
        </w:rPr>
        <w:t>Información</w:t>
      </w:r>
      <w:r>
        <w:rPr>
          <w:rFonts w:eastAsia="Palatino Linotype" w:cs="Palatino Linotype"/>
          <w:b/>
          <w:i/>
          <w:sz w:val="22"/>
        </w:rPr>
        <w:t xml:space="preserve"> clasificada:</w:t>
      </w:r>
      <w:r>
        <w:rPr>
          <w:rFonts w:eastAsia="Palatino Linotype" w:cs="Palatino Linotype"/>
          <w:i/>
          <w:sz w:val="22"/>
        </w:rPr>
        <w:t xml:space="preserve"> Aquella considerada por la presente Ley como reservada o confidencial;</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XXI.</w:t>
      </w:r>
      <w:r>
        <w:rPr>
          <w:rFonts w:eastAsia="Palatino Linotype" w:cs="Palatino Linotype"/>
          <w:i/>
          <w:sz w:val="22"/>
        </w:rPr>
        <w:t xml:space="preserve"> </w:t>
      </w:r>
      <w:r>
        <w:rPr>
          <w:rFonts w:eastAsia="Palatino Linotype" w:cs="Palatino Linotype"/>
          <w:b/>
          <w:i/>
          <w:sz w:val="22"/>
        </w:rPr>
        <w:t>Información confidencial:</w:t>
      </w:r>
      <w:r>
        <w:rPr>
          <w:rFonts w:eastAsia="Palatino Linotype" w:cs="Palatino Linotype"/>
          <w:i/>
          <w:sz w:val="22"/>
        </w:rPr>
        <w:t xml:space="preserve"> Se considera como información confidencial los secretos bancario, fiduciario, industrial, comercial, fiscal, bursátil y postal, cuya titular</w:t>
      </w:r>
      <w:r>
        <w:rPr>
          <w:rFonts w:eastAsia="Palatino Linotype" w:cs="Palatino Linotype"/>
          <w:i/>
          <w:sz w:val="22"/>
        </w:rPr>
        <w:t>idad corresponda a particulares, sujetos de derecho internacional o a sujetos obligados cuando no involucren el ejercicio de recursos públicos;</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XLV.</w:t>
      </w:r>
      <w:r>
        <w:rPr>
          <w:rFonts w:eastAsia="Palatino Linotype" w:cs="Palatino Linotype"/>
          <w:i/>
          <w:sz w:val="22"/>
        </w:rPr>
        <w:t xml:space="preserve"> </w:t>
      </w:r>
      <w:r>
        <w:rPr>
          <w:rFonts w:eastAsia="Palatino Linotype" w:cs="Palatino Linotype"/>
          <w:b/>
          <w:i/>
          <w:sz w:val="22"/>
        </w:rPr>
        <w:t>Versión pública:</w:t>
      </w:r>
      <w:r>
        <w:rPr>
          <w:rFonts w:eastAsia="Palatino Linotype" w:cs="Palatino Linotype"/>
          <w:i/>
          <w:sz w:val="22"/>
        </w:rPr>
        <w:t xml:space="preserve"> Documento en el que se elimine, suprime o borra la información clasificada como reserv</w:t>
      </w:r>
      <w:r>
        <w:rPr>
          <w:rFonts w:eastAsia="Palatino Linotype" w:cs="Palatino Linotype"/>
          <w:i/>
          <w:sz w:val="22"/>
        </w:rPr>
        <w:t>ada o confidencial para permitir su acceso.</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 xml:space="preserve">Artículo 91. </w:t>
      </w:r>
      <w:r>
        <w:rPr>
          <w:rFonts w:eastAsia="Palatino Linotype" w:cs="Palatino Linotype"/>
          <w:i/>
          <w:sz w:val="22"/>
        </w:rPr>
        <w:t>El acceso a la información pública será restringido excepcionalmente, cuando ésta sea clasificada como reservada o confidencial.</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Artículo 132.</w:t>
      </w:r>
      <w:r>
        <w:rPr>
          <w:rFonts w:eastAsia="Palatino Linotype" w:cs="Palatino Linotype"/>
          <w:i/>
          <w:sz w:val="22"/>
        </w:rPr>
        <w:t xml:space="preserve"> </w:t>
      </w:r>
      <w:r>
        <w:rPr>
          <w:rFonts w:eastAsia="Palatino Linotype" w:cs="Palatino Linotype"/>
          <w:i/>
          <w:sz w:val="22"/>
          <w:u w:val="single"/>
        </w:rPr>
        <w:t xml:space="preserve">La clasificación de la información se llevará a </w:t>
      </w:r>
      <w:r>
        <w:rPr>
          <w:rFonts w:eastAsia="Palatino Linotype" w:cs="Palatino Linotype"/>
          <w:i/>
          <w:sz w:val="22"/>
          <w:u w:val="single"/>
        </w:rPr>
        <w:t>cabo en el momento en que</w:t>
      </w:r>
      <w:r>
        <w:rPr>
          <w:rFonts w:eastAsia="Palatino Linotype" w:cs="Palatino Linotype"/>
          <w:i/>
          <w:sz w:val="22"/>
        </w:rPr>
        <w:t>:</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I.</w:t>
      </w:r>
      <w:r>
        <w:rPr>
          <w:rFonts w:eastAsia="Palatino Linotype" w:cs="Palatino Linotype"/>
          <w:i/>
          <w:sz w:val="22"/>
        </w:rPr>
        <w:t xml:space="preserve"> Se reciba una solicitud de acceso a la información;</w:t>
      </w:r>
    </w:p>
    <w:p w:rsidR="00A51978" w:rsidRDefault="00482951">
      <w:pPr>
        <w:spacing w:line="240" w:lineRule="auto"/>
        <w:ind w:left="567" w:right="567"/>
        <w:rPr>
          <w:rFonts w:eastAsia="Palatino Linotype" w:cs="Palatino Linotype"/>
          <w:i/>
          <w:sz w:val="22"/>
        </w:rPr>
      </w:pPr>
      <w:r>
        <w:rPr>
          <w:rFonts w:eastAsia="Palatino Linotype" w:cs="Palatino Linotype"/>
          <w:b/>
          <w:i/>
          <w:sz w:val="22"/>
        </w:rPr>
        <w:t>II.</w:t>
      </w:r>
      <w:r>
        <w:rPr>
          <w:rFonts w:eastAsia="Palatino Linotype" w:cs="Palatino Linotype"/>
          <w:i/>
          <w:sz w:val="22"/>
        </w:rPr>
        <w:t xml:space="preserve"> </w:t>
      </w:r>
      <w:r>
        <w:rPr>
          <w:rFonts w:eastAsia="Palatino Linotype" w:cs="Palatino Linotype"/>
          <w:i/>
          <w:sz w:val="22"/>
          <w:u w:val="single"/>
        </w:rPr>
        <w:t>Se determine mediante resolución de autoridad competente; o</w:t>
      </w:r>
    </w:p>
    <w:p w:rsidR="00A51978" w:rsidRDefault="00482951">
      <w:pPr>
        <w:spacing w:line="240" w:lineRule="auto"/>
        <w:ind w:left="567" w:right="567"/>
        <w:rPr>
          <w:rFonts w:eastAsia="Palatino Linotype" w:cs="Palatino Linotype"/>
          <w:i/>
          <w:sz w:val="22"/>
          <w:u w:val="single"/>
        </w:rPr>
      </w:pPr>
      <w:r>
        <w:rPr>
          <w:rFonts w:eastAsia="Palatino Linotype" w:cs="Palatino Linotype"/>
          <w:b/>
          <w:i/>
          <w:sz w:val="22"/>
        </w:rPr>
        <w:lastRenderedPageBreak/>
        <w:t>III.</w:t>
      </w:r>
      <w:r>
        <w:rPr>
          <w:rFonts w:eastAsia="Palatino Linotype" w:cs="Palatino Linotype"/>
          <w:i/>
          <w:sz w:val="22"/>
        </w:rPr>
        <w:t xml:space="preserve"> </w:t>
      </w:r>
      <w:r>
        <w:rPr>
          <w:rFonts w:eastAsia="Palatino Linotype" w:cs="Palatino Linotype"/>
          <w:i/>
          <w:sz w:val="22"/>
          <w:u w:val="single"/>
        </w:rPr>
        <w:t>Se generen versiones públicas para dar cumplimiento a las obligaciones de transparencia previstas en esta</w:t>
      </w:r>
      <w:r>
        <w:rPr>
          <w:rFonts w:eastAsia="Palatino Linotype" w:cs="Palatino Linotype"/>
          <w:i/>
          <w:sz w:val="22"/>
          <w:u w:val="single"/>
        </w:rPr>
        <w:t xml:space="preserve"> Ley.</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w:t>
      </w:r>
    </w:p>
    <w:p w:rsidR="00A51978" w:rsidRDefault="00A51978">
      <w:pPr>
        <w:rPr>
          <w:rFonts w:eastAsia="Palatino Linotype" w:cs="Palatino Linotype"/>
          <w:i/>
          <w:szCs w:val="24"/>
        </w:rPr>
      </w:pPr>
    </w:p>
    <w:p w:rsidR="00A51978" w:rsidRDefault="00482951">
      <w:pPr>
        <w:rPr>
          <w:rFonts w:eastAsia="Palatino Linotype" w:cs="Palatino Linotype"/>
          <w:szCs w:val="24"/>
        </w:rPr>
      </w:pPr>
      <w:r>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w:t>
      </w:r>
      <w:r>
        <w:rPr>
          <w:rFonts w:eastAsia="Palatino Linotype" w:cs="Palatino Linotype"/>
          <w:szCs w:val="24"/>
        </w:rPr>
        <w:t>a de los particulares.</w:t>
      </w:r>
    </w:p>
    <w:p w:rsidR="00A51978" w:rsidRDefault="00A51978">
      <w:pPr>
        <w:rPr>
          <w:rFonts w:eastAsia="Palatino Linotype" w:cs="Palatino Linotype"/>
          <w:szCs w:val="24"/>
        </w:rPr>
      </w:pPr>
    </w:p>
    <w:p w:rsidR="00A51978" w:rsidRDefault="00482951">
      <w:pPr>
        <w:rPr>
          <w:rFonts w:eastAsia="Palatino Linotype" w:cs="Palatino Linotype"/>
          <w:szCs w:val="24"/>
        </w:rPr>
      </w:pPr>
      <w:r>
        <w:rPr>
          <w:rFonts w:eastAsia="Palatino Linotype" w:cs="Palatino Linotype"/>
          <w:szCs w:val="24"/>
        </w:rPr>
        <w:t xml:space="preserve">Por otro lado, los Lineamientos Generales en Materia de Clasificación y Desclasificación de la Información, así como para la elaboración de Versiones Públicas, emitidos por el Consejo Nacional del Sistema Nacional de Transparencia, </w:t>
      </w:r>
      <w:r>
        <w:rPr>
          <w:rFonts w:eastAsia="Palatino Linotype" w:cs="Palatino Linotype"/>
          <w:szCs w:val="24"/>
        </w:rPr>
        <w:t>Acceso a la Información Pública y Protección de Datos Personales, publicados en el Diario Oficial de la Federación el día quince de abril de dos mil dieciséis, tienen por objeto establecer los criterios con base en los cuales los sujetos obligados clasific</w:t>
      </w:r>
      <w:r>
        <w:rPr>
          <w:rFonts w:eastAsia="Palatino Linotype" w:cs="Palatino Linotype"/>
          <w:szCs w:val="24"/>
        </w:rPr>
        <w:t>arán como reservada o confidencial la información que posean, desclasificarán y generarán, en su caso, versiones públicas de expedientes o documentos que contengan partes o secciones clasificadas.</w:t>
      </w:r>
    </w:p>
    <w:p w:rsidR="00A51978" w:rsidRDefault="00A51978">
      <w:pPr>
        <w:rPr>
          <w:rFonts w:eastAsia="Palatino Linotype" w:cs="Palatino Linotype"/>
          <w:szCs w:val="24"/>
        </w:rPr>
      </w:pPr>
    </w:p>
    <w:p w:rsidR="00A51978" w:rsidRDefault="00482951">
      <w:pPr>
        <w:rPr>
          <w:rFonts w:eastAsia="Palatino Linotype" w:cs="Palatino Linotype"/>
          <w:szCs w:val="24"/>
        </w:rPr>
      </w:pPr>
      <w:r>
        <w:rPr>
          <w:rFonts w:eastAsia="Palatino Linotype" w:cs="Palatino Linotype"/>
          <w:szCs w:val="24"/>
        </w:rPr>
        <w:t>Entorno a lo que aquí nos interesa, los Lineamientos Quinc</w:t>
      </w:r>
      <w:r>
        <w:rPr>
          <w:rFonts w:eastAsia="Palatino Linotype" w:cs="Palatino Linotype"/>
          <w:szCs w:val="24"/>
        </w:rPr>
        <w:t>uagésimo sexto, Quincuagésimo séptimo y Quincuagésimo octavo, establecen lo siguiente:</w:t>
      </w:r>
    </w:p>
    <w:p w:rsidR="00A51978" w:rsidRDefault="00A51978">
      <w:pPr>
        <w:rPr>
          <w:rFonts w:eastAsia="Palatino Linotype" w:cs="Palatino Linotype"/>
          <w:szCs w:val="24"/>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Quincuagésimo sexto.</w:t>
      </w:r>
      <w:r>
        <w:rPr>
          <w:rFonts w:eastAsia="Palatino Linotype" w:cs="Palatino Linotype"/>
          <w:i/>
          <w:sz w:val="22"/>
        </w:rPr>
        <w:t xml:space="preserve"> La versión pública del documento o expediente que contenga partes o secciones reservadas o confidenciales, será elaborada por los sujetos obligados</w:t>
      </w:r>
      <w:r>
        <w:rPr>
          <w:rFonts w:eastAsia="Palatino Linotype" w:cs="Palatino Linotype"/>
          <w:i/>
          <w:sz w:val="22"/>
        </w:rPr>
        <w:t>, previo pago de los costos de reproducción, a través de sus áreas y deberá ser aprobada por su Comité de Transparencia.</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lastRenderedPageBreak/>
        <w:t>Quincuagésimo séptimo.</w:t>
      </w:r>
      <w:r>
        <w:rPr>
          <w:rFonts w:eastAsia="Palatino Linotype" w:cs="Palatino Linotype"/>
          <w:i/>
          <w:sz w:val="22"/>
        </w:rPr>
        <w:t xml:space="preserve"> Se considera, en principio, como información pública y no podrá omitirse de las versiones públicas la siguiente</w:t>
      </w:r>
      <w:r>
        <w:rPr>
          <w:rFonts w:eastAsia="Palatino Linotype" w:cs="Palatino Linotype"/>
          <w:i/>
          <w:sz w:val="22"/>
        </w:rPr>
        <w:t>:</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I. La relativa a las Obligaciones de Transparencia que contempla el Título V de la Ley General y las demás disposiciones legales aplicables; </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II. El nombre de los servidores públicos en los documentos, y sus firmas autógrafas, cuando sean utilizados en </w:t>
      </w:r>
      <w:r>
        <w:rPr>
          <w:rFonts w:eastAsia="Palatino Linotype" w:cs="Palatino Linotype"/>
          <w:i/>
          <w:sz w:val="22"/>
        </w:rPr>
        <w:t xml:space="preserve">el ejercicio de las facultades conferidas para el desempeño del servicio público, y </w:t>
      </w:r>
    </w:p>
    <w:p w:rsidR="00A51978" w:rsidRDefault="00482951">
      <w:pPr>
        <w:spacing w:line="240" w:lineRule="auto"/>
        <w:ind w:left="567" w:right="567"/>
        <w:rPr>
          <w:rFonts w:eastAsia="Palatino Linotype" w:cs="Palatino Linotype"/>
          <w:i/>
          <w:sz w:val="22"/>
        </w:rPr>
      </w:pPr>
      <w:r>
        <w:rPr>
          <w:rFonts w:eastAsia="Palatino Linotype" w:cs="Palatino Linotype"/>
          <w:i/>
          <w:sz w:val="22"/>
        </w:rPr>
        <w:t>III. La información que documente decisiones y los actos de autoridad concluidos de los sujetos obligados, así como el ejercicio de las facultades o actividades de los ser</w:t>
      </w:r>
      <w:r>
        <w:rPr>
          <w:rFonts w:eastAsia="Palatino Linotype" w:cs="Palatino Linotype"/>
          <w:i/>
          <w:sz w:val="22"/>
        </w:rPr>
        <w:t xml:space="preserve">vidores públicos, de manera que se pueda valorar el desempeño de los mismos. </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i/>
          <w:sz w:val="22"/>
        </w:rPr>
        <w:t xml:space="preserve">Lo anterior, siempre y cuando no se acredite alguna causal de clasificación, prevista en las leyes o en los tratados internaciones suscritos por el Estado mexicano. </w:t>
      </w:r>
    </w:p>
    <w:p w:rsidR="00A51978" w:rsidRDefault="00A51978">
      <w:pPr>
        <w:spacing w:line="240" w:lineRule="auto"/>
        <w:ind w:left="567" w:right="567"/>
        <w:rPr>
          <w:rFonts w:eastAsia="Palatino Linotype" w:cs="Palatino Linotype"/>
          <w:i/>
          <w:sz w:val="22"/>
        </w:rPr>
      </w:pPr>
    </w:p>
    <w:p w:rsidR="00A51978" w:rsidRDefault="00482951">
      <w:pPr>
        <w:spacing w:line="240" w:lineRule="auto"/>
        <w:ind w:left="567" w:right="567"/>
        <w:rPr>
          <w:rFonts w:eastAsia="Palatino Linotype" w:cs="Palatino Linotype"/>
          <w:i/>
          <w:sz w:val="22"/>
        </w:rPr>
      </w:pPr>
      <w:r>
        <w:rPr>
          <w:rFonts w:eastAsia="Palatino Linotype" w:cs="Palatino Linotype"/>
          <w:b/>
          <w:i/>
          <w:sz w:val="22"/>
        </w:rPr>
        <w:t>Quincuagés</w:t>
      </w:r>
      <w:r>
        <w:rPr>
          <w:rFonts w:eastAsia="Palatino Linotype" w:cs="Palatino Linotype"/>
          <w:b/>
          <w:i/>
          <w:sz w:val="22"/>
        </w:rPr>
        <w:t>imo octavo.</w:t>
      </w:r>
      <w:r>
        <w:rPr>
          <w:rFonts w:eastAsia="Palatino Linotype" w:cs="Palatino Linotype"/>
          <w:i/>
          <w:sz w:val="22"/>
        </w:rPr>
        <w:t xml:space="preserve"> Los sujetos obligados garantizarán que los sistemas o medios empleados para eliminar la información en las versiones públicas no permitan la recuperación o visualización de la misma.</w:t>
      </w:r>
    </w:p>
    <w:p w:rsidR="00A51978" w:rsidRDefault="00A51978">
      <w:pPr>
        <w:rPr>
          <w:rFonts w:eastAsia="Palatino Linotype" w:cs="Palatino Linotype"/>
          <w:i/>
          <w:szCs w:val="24"/>
        </w:rPr>
      </w:pPr>
    </w:p>
    <w:p w:rsidR="00A51978" w:rsidRDefault="00482951">
      <w:pPr>
        <w:rPr>
          <w:rFonts w:eastAsia="Palatino Linotype" w:cs="Palatino Linotype"/>
          <w:szCs w:val="24"/>
        </w:rPr>
      </w:pPr>
      <w:r>
        <w:rPr>
          <w:rFonts w:eastAsia="Palatino Linotype" w:cs="Palatino Linotype"/>
          <w:szCs w:val="24"/>
        </w:rPr>
        <w:t>Por lo tanto, la entrega de documentos en su versión pública</w:t>
      </w:r>
      <w:r>
        <w:rPr>
          <w:rFonts w:eastAsia="Palatino Linotype" w:cs="Palatino Linotype"/>
          <w:szCs w:val="24"/>
        </w:rPr>
        <w:t xml:space="preserve"> debe acompañarse necesariamente del Acuerdo del Comité de Transparencia que la sustente el cual debe estar debidamente fundado y motivado, en el que se expongan los fundamentos y razonamientos que llevaron al Sujeto Obligado a testar, suprimir o eliminar </w:t>
      </w:r>
      <w:r>
        <w:rPr>
          <w:rFonts w:eastAsia="Palatino Linotype" w:cs="Palatino Linotype"/>
          <w:szCs w:val="24"/>
        </w:rPr>
        <w:t>datos de dicho soporte documental, ya que no hacerlo, se reitera que lo entregado no tendría un sustento jurídico ni resultaría ser una versión pública, sino más bien una documentación ilegible, incompleta o tachada; ya que el no justificar las causas o mo</w:t>
      </w:r>
      <w:r>
        <w:rPr>
          <w:rFonts w:eastAsia="Palatino Linotype" w:cs="Palatino Linotype"/>
          <w:szCs w:val="24"/>
        </w:rPr>
        <w:t>tivos por las que no se aprecian determinados datos -ya sea porque se testan o suprimen- deja a la solicitante en estado de incertidumbre, al no conocer o comprender porque no aparecen en la documentación respectiva.</w:t>
      </w:r>
    </w:p>
    <w:p w:rsidR="00A51978" w:rsidRDefault="00A51978">
      <w:pPr>
        <w:rPr>
          <w:rFonts w:eastAsia="Palatino Linotype" w:cs="Palatino Linotype"/>
          <w:szCs w:val="24"/>
        </w:rPr>
      </w:pPr>
    </w:p>
    <w:p w:rsidR="00A51978" w:rsidRDefault="00482951">
      <w:pPr>
        <w:rPr>
          <w:rFonts w:eastAsia="Palatino Linotype" w:cs="Palatino Linotype"/>
          <w:szCs w:val="24"/>
        </w:rPr>
      </w:pPr>
      <w:r>
        <w:rPr>
          <w:rFonts w:eastAsia="Palatino Linotype" w:cs="Palatino Linotype"/>
          <w:szCs w:val="24"/>
        </w:rPr>
        <w:lastRenderedPageBreak/>
        <w:t>Por lo que respecta al Acuerdo del Com</w:t>
      </w:r>
      <w:r>
        <w:rPr>
          <w:rFonts w:eastAsia="Palatino Linotype" w:cs="Palatino Linotype"/>
          <w:szCs w:val="24"/>
        </w:rPr>
        <w:t>ité de Transparencia que la sustente la versión pública, de la documentación a entregar, deberá ser notificado mediante el SAIMEX.</w:t>
      </w:r>
    </w:p>
    <w:p w:rsidR="00A51978" w:rsidRDefault="00A51978">
      <w:pPr>
        <w:rPr>
          <w:rFonts w:eastAsia="Palatino Linotype" w:cs="Palatino Linotype"/>
          <w:szCs w:val="24"/>
        </w:rPr>
      </w:pPr>
    </w:p>
    <w:p w:rsidR="00A51978" w:rsidRDefault="00482951">
      <w:pPr>
        <w:rPr>
          <w:rFonts w:eastAsia="Palatino Linotype" w:cs="Palatino Linotype"/>
          <w:color w:val="000000"/>
          <w:szCs w:val="24"/>
        </w:rPr>
      </w:pPr>
      <w:r>
        <w:rPr>
          <w:rFonts w:eastAsia="Palatino Linotype" w:cs="Palatino Linotype"/>
          <w:color w:val="000000"/>
          <w:szCs w:val="24"/>
        </w:rPr>
        <w:t>En ese tenor y de acuerdo a la interpretación en el orden administrativo que le da la Ley de la materia a este Instituto esp</w:t>
      </w:r>
      <w:r>
        <w:rPr>
          <w:rFonts w:eastAsia="Palatino Linotype" w:cs="Palatino Linotype"/>
          <w:color w:val="000000"/>
          <w:szCs w:val="24"/>
        </w:rPr>
        <w:t>ecíficamente, en términos de su artículo 36, fracción I, de la Ley de Transparencia y Acceso a la Información Pública del Estado de México y Municipios, a efecto de salvaguardar el derecho de acceso a la información pública consignado a favor de la Recurre</w:t>
      </w:r>
      <w:r>
        <w:rPr>
          <w:rFonts w:eastAsia="Palatino Linotype" w:cs="Palatino Linotype"/>
          <w:color w:val="000000"/>
          <w:szCs w:val="24"/>
        </w:rPr>
        <w:t>nte.</w:t>
      </w:r>
    </w:p>
    <w:p w:rsidR="00A51978" w:rsidRDefault="00A51978">
      <w:pPr>
        <w:rPr>
          <w:rFonts w:eastAsia="Palatino Linotype" w:cs="Palatino Linotype"/>
          <w:color w:val="000000"/>
          <w:szCs w:val="24"/>
        </w:rPr>
      </w:pPr>
    </w:p>
    <w:p w:rsidR="00A51978" w:rsidRDefault="00482951">
      <w:pPr>
        <w:rPr>
          <w:rFonts w:eastAsia="Times New Roman" w:cs="Times New Roman"/>
          <w:color w:val="000000"/>
          <w:szCs w:val="24"/>
        </w:rPr>
      </w:pPr>
      <w:r>
        <w:rPr>
          <w:rFonts w:eastAsia="Times New Roman" w:cs="Times New Roman"/>
          <w:color w:val="000000"/>
          <w:szCs w:val="24"/>
        </w:rPr>
        <w:t xml:space="preserve">Por lo argumentado en párrafos anteriores, con fundamento en el artículo 186 fracciones I y III de la Ley de Transparencia y Acceso a la Información Pública del Estado de México y Municipios, </w:t>
      </w:r>
      <w:r>
        <w:rPr>
          <w:rFonts w:eastAsia="Palatino Linotype" w:cs="Palatino Linotype"/>
          <w:color w:val="000000"/>
          <w:szCs w:val="24"/>
        </w:rPr>
        <w:t xml:space="preserve">este Instituto considera que los motivos de inconformidad planteados en el recurso de revisión </w:t>
      </w:r>
      <w:r>
        <w:rPr>
          <w:rFonts w:eastAsia="Palatino Linotype" w:cs="Palatino Linotype"/>
          <w:b/>
          <w:color w:val="000000"/>
          <w:szCs w:val="24"/>
        </w:rPr>
        <w:t xml:space="preserve">09765/INFOEM/IP/RR/2022 </w:t>
      </w:r>
      <w:r>
        <w:rPr>
          <w:rFonts w:eastAsia="Palatino Linotype" w:cs="Palatino Linotype"/>
          <w:color w:val="000000"/>
          <w:szCs w:val="24"/>
        </w:rPr>
        <w:t xml:space="preserve">devienen fundados, por lo que es procedente </w:t>
      </w:r>
      <w:r>
        <w:rPr>
          <w:rFonts w:eastAsia="Palatino Linotype" w:cs="Palatino Linotype"/>
          <w:b/>
          <w:color w:val="000000"/>
          <w:szCs w:val="24"/>
        </w:rPr>
        <w:t>MODIFICAR</w:t>
      </w:r>
      <w:r>
        <w:rPr>
          <w:rFonts w:eastAsia="Palatino Linotype" w:cs="Palatino Linotype"/>
          <w:color w:val="000000"/>
          <w:szCs w:val="24"/>
        </w:rPr>
        <w:t xml:space="preserve"> la respuesta a la solicitud de información número</w:t>
      </w:r>
      <w:r>
        <w:rPr>
          <w:rFonts w:eastAsia="Palatino Linotype" w:cs="Palatino Linotype"/>
          <w:b/>
          <w:color w:val="000000"/>
          <w:szCs w:val="24"/>
        </w:rPr>
        <w:t xml:space="preserve"> 00007/TESCO/IP/2022</w:t>
      </w:r>
      <w:r>
        <w:rPr>
          <w:rFonts w:eastAsia="Palatino Linotype" w:cs="Palatino Linotype"/>
          <w:color w:val="000000"/>
          <w:szCs w:val="24"/>
        </w:rPr>
        <w:t xml:space="preserve"> y ordenar al </w:t>
      </w:r>
      <w:r>
        <w:rPr>
          <w:rFonts w:eastAsia="Palatino Linotype" w:cs="Palatino Linotype"/>
          <w:color w:val="000000"/>
          <w:szCs w:val="24"/>
        </w:rPr>
        <w:t xml:space="preserve">Sujeto Obligado que haga entrega </w:t>
      </w:r>
      <w:r>
        <w:rPr>
          <w:rFonts w:eastAsia="Palatino Linotype" w:cs="Palatino Linotype"/>
          <w:szCs w:val="24"/>
        </w:rPr>
        <w:t>de los oficios que la servidora pública referida en dicha solicitud de información haya firmado en su carácter de titular del Departamento de Seguimiento de Egresados y Vinculación y/o Departamento de Servicio Social y Prác</w:t>
      </w:r>
      <w:r>
        <w:rPr>
          <w:rFonts w:eastAsia="Palatino Linotype" w:cs="Palatino Linotype"/>
          <w:szCs w:val="24"/>
        </w:rPr>
        <w:t>ticas Profesionales, durante el periodo comprendido del primero de septiembre de dos mil diecisiete al dos de mayo de dos mil veintidós, en versión pública de ser procedente.</w:t>
      </w:r>
      <w:r>
        <w:rPr>
          <w:rFonts w:eastAsia="Palatino Linotype" w:cs="Palatino Linotype"/>
          <w:color w:val="000000"/>
          <w:szCs w:val="24"/>
        </w:rPr>
        <w:t xml:space="preserve">, en términos del </w:t>
      </w:r>
      <w:r>
        <w:rPr>
          <w:rFonts w:eastAsia="Palatino Linotype" w:cs="Palatino Linotype"/>
          <w:b/>
          <w:color w:val="000000"/>
          <w:szCs w:val="24"/>
        </w:rPr>
        <w:t>Considerando QUINTO</w:t>
      </w:r>
      <w:r>
        <w:rPr>
          <w:rFonts w:eastAsia="Palatino Linotype" w:cs="Palatino Linotype"/>
          <w:color w:val="000000"/>
          <w:szCs w:val="24"/>
        </w:rPr>
        <w:t xml:space="preserve">; por otra parte, se </w:t>
      </w:r>
      <w:r>
        <w:rPr>
          <w:rFonts w:eastAsia="Palatino Linotype" w:cs="Palatino Linotype"/>
          <w:b/>
          <w:color w:val="000000"/>
          <w:szCs w:val="24"/>
        </w:rPr>
        <w:t>SOBRESEE</w:t>
      </w:r>
      <w:r>
        <w:rPr>
          <w:rFonts w:eastAsia="Palatino Linotype" w:cs="Palatino Linotype"/>
          <w:color w:val="000000"/>
          <w:szCs w:val="24"/>
        </w:rPr>
        <w:t xml:space="preserve"> el recurso de r</w:t>
      </w:r>
      <w:r>
        <w:rPr>
          <w:rFonts w:eastAsia="Palatino Linotype" w:cs="Palatino Linotype"/>
          <w:color w:val="000000"/>
          <w:szCs w:val="24"/>
        </w:rPr>
        <w:t xml:space="preserve">evisión </w:t>
      </w:r>
      <w:r>
        <w:rPr>
          <w:rFonts w:eastAsia="Palatino Linotype" w:cs="Palatino Linotype"/>
          <w:b/>
          <w:color w:val="000000"/>
          <w:szCs w:val="24"/>
        </w:rPr>
        <w:t xml:space="preserve">09767/INFOEM/IP/RR/2022 </w:t>
      </w:r>
      <w:r>
        <w:rPr>
          <w:rFonts w:eastAsia="Palatino Linotype" w:cs="Palatino Linotype"/>
          <w:color w:val="000000"/>
          <w:szCs w:val="24"/>
        </w:rPr>
        <w:t>por actualizarse la hipótesis prevista en la fracción IV del artículo 192 con relación al 191 fracciones V y VII de la Ley de Transparencia estatal.</w:t>
      </w:r>
    </w:p>
    <w:p w:rsidR="00A51978" w:rsidRDefault="00A51978">
      <w:pPr>
        <w:rPr>
          <w:rFonts w:eastAsia="Times New Roman" w:cs="Times New Roman"/>
          <w:color w:val="000000"/>
          <w:szCs w:val="24"/>
        </w:rPr>
      </w:pPr>
    </w:p>
    <w:p w:rsidR="00A51978" w:rsidRDefault="00482951">
      <w:pPr>
        <w:rPr>
          <w:rFonts w:eastAsia="Palatino Linotype" w:cs="Palatino Linotype"/>
          <w:color w:val="000000"/>
          <w:szCs w:val="24"/>
        </w:rPr>
      </w:pPr>
      <w:r>
        <w:rPr>
          <w:rFonts w:eastAsia="Palatino Linotype" w:cs="Palatino Linotype"/>
          <w:color w:val="000000"/>
          <w:szCs w:val="24"/>
        </w:rPr>
        <w:lastRenderedPageBreak/>
        <w:t>Por lo antes expuesto y fundado es de resolverse y,</w:t>
      </w:r>
    </w:p>
    <w:p w:rsidR="00A51978" w:rsidRDefault="00A51978">
      <w:pPr>
        <w:rPr>
          <w:rFonts w:eastAsia="Palatino Linotype" w:cs="Palatino Linotype"/>
          <w:color w:val="000000"/>
          <w:szCs w:val="24"/>
        </w:rPr>
      </w:pPr>
    </w:p>
    <w:p w:rsidR="00A51978" w:rsidRDefault="00482951">
      <w:pPr>
        <w:jc w:val="center"/>
        <w:rPr>
          <w:rFonts w:eastAsia="Palatino Linotype" w:cs="Palatino Linotype"/>
          <w:b/>
          <w:color w:val="000000"/>
          <w:sz w:val="28"/>
          <w:szCs w:val="28"/>
        </w:rPr>
      </w:pPr>
      <w:r>
        <w:rPr>
          <w:rFonts w:eastAsia="Palatino Linotype" w:cs="Palatino Linotype"/>
          <w:b/>
          <w:color w:val="000000"/>
          <w:sz w:val="28"/>
          <w:szCs w:val="28"/>
        </w:rPr>
        <w:t xml:space="preserve">S E    R E S U E L V </w:t>
      </w:r>
      <w:r>
        <w:rPr>
          <w:rFonts w:eastAsia="Palatino Linotype" w:cs="Palatino Linotype"/>
          <w:b/>
          <w:color w:val="000000"/>
          <w:sz w:val="28"/>
          <w:szCs w:val="28"/>
        </w:rPr>
        <w:t>E</w:t>
      </w:r>
    </w:p>
    <w:p w:rsidR="00A51978" w:rsidRDefault="00A51978">
      <w:pPr>
        <w:rPr>
          <w:rFonts w:eastAsia="Palatino Linotype" w:cs="Palatino Linotype"/>
          <w:b/>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Cs w:val="24"/>
        </w:rPr>
        <w:t>PRIMERO.</w:t>
      </w:r>
      <w:r>
        <w:rPr>
          <w:rFonts w:eastAsia="Palatino Linotype" w:cs="Palatino Linotype"/>
          <w:color w:val="000000"/>
          <w:szCs w:val="24"/>
        </w:rPr>
        <w:t xml:space="preserve"> Se </w:t>
      </w:r>
      <w:r>
        <w:rPr>
          <w:rFonts w:eastAsia="Palatino Linotype" w:cs="Palatino Linotype"/>
          <w:b/>
          <w:color w:val="000000"/>
          <w:szCs w:val="24"/>
        </w:rPr>
        <w:t>MODIFICA</w:t>
      </w:r>
      <w:r>
        <w:rPr>
          <w:rFonts w:eastAsia="Palatino Linotype" w:cs="Palatino Linotype"/>
          <w:color w:val="000000"/>
          <w:szCs w:val="24"/>
        </w:rPr>
        <w:t xml:space="preserve"> la respuesta entregada por el Sujeto Obligado</w:t>
      </w:r>
      <w:r>
        <w:rPr>
          <w:rFonts w:eastAsia="Palatino Linotype" w:cs="Palatino Linotype"/>
          <w:b/>
          <w:color w:val="000000"/>
          <w:szCs w:val="24"/>
        </w:rPr>
        <w:t xml:space="preserve"> </w:t>
      </w:r>
      <w:r>
        <w:rPr>
          <w:rFonts w:eastAsia="Palatino Linotype" w:cs="Palatino Linotype"/>
          <w:color w:val="000000"/>
          <w:szCs w:val="24"/>
        </w:rPr>
        <w:t xml:space="preserve">a la solicitud de información </w:t>
      </w:r>
      <w:r>
        <w:rPr>
          <w:rFonts w:eastAsia="Palatino Linotype" w:cs="Palatino Linotype"/>
          <w:b/>
          <w:color w:val="000000"/>
          <w:szCs w:val="24"/>
        </w:rPr>
        <w:t xml:space="preserve">00007/TESCO/IP/2022 </w:t>
      </w:r>
      <w:r>
        <w:rPr>
          <w:rFonts w:eastAsia="Palatino Linotype" w:cs="Palatino Linotype"/>
          <w:color w:val="000000"/>
          <w:szCs w:val="24"/>
        </w:rPr>
        <w:t>que dio origen al recurso de revisión</w:t>
      </w:r>
      <w:r>
        <w:rPr>
          <w:rFonts w:eastAsia="Palatino Linotype" w:cs="Palatino Linotype"/>
          <w:b/>
          <w:color w:val="000000"/>
          <w:szCs w:val="24"/>
        </w:rPr>
        <w:t xml:space="preserve"> 09765/INFOEM/IP/RR/2022</w:t>
      </w:r>
      <w:r>
        <w:rPr>
          <w:rFonts w:eastAsia="Palatino Linotype" w:cs="Palatino Linotype"/>
          <w:color w:val="000000"/>
          <w:szCs w:val="24"/>
        </w:rPr>
        <w:t xml:space="preserve">, por resultar fundados los motivos de inconformidad expuestos por el </w:t>
      </w:r>
      <w:r>
        <w:rPr>
          <w:rFonts w:eastAsia="Palatino Linotype" w:cs="Palatino Linotype"/>
          <w:color w:val="000000"/>
          <w:szCs w:val="24"/>
        </w:rPr>
        <w:t>Recurrente, en términos del</w:t>
      </w:r>
      <w:r>
        <w:rPr>
          <w:rFonts w:eastAsia="Palatino Linotype" w:cs="Palatino Linotype"/>
          <w:b/>
          <w:color w:val="000000"/>
          <w:szCs w:val="24"/>
        </w:rPr>
        <w:t xml:space="preserve"> Considerando QUINTO</w:t>
      </w:r>
      <w:r>
        <w:rPr>
          <w:rFonts w:eastAsia="Palatino Linotype" w:cs="Palatino Linotype"/>
          <w:color w:val="000000"/>
          <w:szCs w:val="24"/>
        </w:rPr>
        <w:t xml:space="preserve"> de la presente resolución. </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Cs w:val="24"/>
        </w:rPr>
        <w:t>SEGUNDO.</w:t>
      </w:r>
      <w:r>
        <w:rPr>
          <w:rFonts w:eastAsia="Palatino Linotype" w:cs="Palatino Linotype"/>
          <w:color w:val="000000"/>
          <w:szCs w:val="24"/>
        </w:rPr>
        <w:t xml:space="preserve"> Se </w:t>
      </w:r>
      <w:r>
        <w:rPr>
          <w:rFonts w:eastAsia="Palatino Linotype" w:cs="Palatino Linotype"/>
          <w:b/>
          <w:color w:val="000000"/>
          <w:szCs w:val="24"/>
        </w:rPr>
        <w:t>ORDENA</w:t>
      </w:r>
      <w:r>
        <w:rPr>
          <w:rFonts w:eastAsia="Palatino Linotype" w:cs="Palatino Linotype"/>
          <w:color w:val="000000"/>
          <w:szCs w:val="24"/>
        </w:rPr>
        <w:t xml:space="preserve"> al Sujeto Obligado que haga entrega al Recurrente en términos del </w:t>
      </w:r>
      <w:r>
        <w:rPr>
          <w:rFonts w:eastAsia="Palatino Linotype" w:cs="Palatino Linotype"/>
          <w:b/>
          <w:color w:val="000000"/>
          <w:szCs w:val="24"/>
        </w:rPr>
        <w:t>Considerando QUINTO</w:t>
      </w:r>
      <w:r>
        <w:rPr>
          <w:rFonts w:eastAsia="Palatino Linotype" w:cs="Palatino Linotype"/>
          <w:color w:val="000000"/>
          <w:szCs w:val="24"/>
        </w:rPr>
        <w:t>, en versión pública de ser procedente y mediante el Sistema de Acceso a la</w:t>
      </w:r>
      <w:r>
        <w:rPr>
          <w:rFonts w:eastAsia="Palatino Linotype" w:cs="Palatino Linotype"/>
          <w:color w:val="000000"/>
          <w:szCs w:val="24"/>
        </w:rPr>
        <w:t xml:space="preserve"> Información Mexiquense (SAIMEX) de lo siguiente:</w:t>
      </w:r>
    </w:p>
    <w:p w:rsidR="00A51978" w:rsidRDefault="00A51978">
      <w:pPr>
        <w:rPr>
          <w:rFonts w:eastAsia="Palatino Linotype" w:cs="Palatino Linotype"/>
          <w:color w:val="000000"/>
          <w:szCs w:val="24"/>
        </w:rPr>
      </w:pPr>
    </w:p>
    <w:p w:rsidR="00A51978" w:rsidRDefault="00482951">
      <w:pPr>
        <w:numPr>
          <w:ilvl w:val="0"/>
          <w:numId w:val="4"/>
        </w:numPr>
        <w:spacing w:line="240" w:lineRule="auto"/>
        <w:rPr>
          <w:rFonts w:eastAsia="Palatino Linotype" w:cs="Palatino Linotype"/>
          <w:color w:val="000000"/>
          <w:szCs w:val="24"/>
          <w:lang w:eastAsia="es-ES"/>
        </w:rPr>
      </w:pPr>
      <w:r>
        <w:rPr>
          <w:rFonts w:eastAsia="Palatino Linotype" w:cs="Palatino Linotype"/>
          <w:i/>
          <w:color w:val="000000"/>
          <w:szCs w:val="24"/>
          <w:lang w:eastAsia="es-ES"/>
        </w:rPr>
        <w:t>Oficios que la servidora pública referida en la solicitud de información haya firmado en su carácter de titular del Departamento de Seguimiento de Egresados y Vinculación y/o Departamento de Servicio Socia</w:t>
      </w:r>
      <w:r>
        <w:rPr>
          <w:rFonts w:eastAsia="Palatino Linotype" w:cs="Palatino Linotype"/>
          <w:i/>
          <w:color w:val="000000"/>
          <w:szCs w:val="24"/>
          <w:lang w:eastAsia="es-ES"/>
        </w:rPr>
        <w:t>l y Prácticas Profesionales, durante el periodo comprendido del primero de septiembre de dos mil diecisiete al dos de mayo de dos mil veintidós.</w:t>
      </w:r>
    </w:p>
    <w:p w:rsidR="00A51978" w:rsidRDefault="00A51978">
      <w:pPr>
        <w:rPr>
          <w:rFonts w:eastAsia="Palatino Linotype" w:cs="Palatino Linotype"/>
          <w:color w:val="000000"/>
          <w:szCs w:val="24"/>
          <w:lang w:val="es-MX"/>
        </w:rPr>
      </w:pPr>
    </w:p>
    <w:p w:rsidR="00A51978" w:rsidRDefault="00482951">
      <w:pPr>
        <w:rPr>
          <w:rFonts w:eastAsia="Palatino Linotype" w:cs="Palatino Linotype"/>
          <w:color w:val="000000"/>
          <w:szCs w:val="24"/>
        </w:rPr>
      </w:pPr>
      <w:r>
        <w:rPr>
          <w:rFonts w:eastAsia="Palatino Linotype" w:cs="Palatino Linotype"/>
          <w:color w:val="000000"/>
          <w:szCs w:val="24"/>
        </w:rPr>
        <w:t xml:space="preserve">Como sustento de la versión pública, se deberá emitir Acuerdo del Comité de Transparencia correspondiente, en </w:t>
      </w:r>
      <w:r>
        <w:rPr>
          <w:rFonts w:eastAsia="Palatino Linotype" w:cs="Palatino Linotype"/>
          <w:color w:val="000000"/>
          <w:szCs w:val="24"/>
        </w:rPr>
        <w:t>términos del artículo 49 fracción VIII y 132 fracción II de la Ley de Transparencia y Acceso a la Información Pública del Estado de México y Municipios, en el que funde y motive las razones sobre los datos que se supriman o eliminen dentro del soporte docu</w:t>
      </w:r>
      <w:r>
        <w:rPr>
          <w:rFonts w:eastAsia="Palatino Linotype" w:cs="Palatino Linotype"/>
          <w:color w:val="000000"/>
          <w:szCs w:val="24"/>
        </w:rPr>
        <w:t>mental respectivo.</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Cs w:val="24"/>
        </w:rPr>
        <w:lastRenderedPageBreak/>
        <w:t>TERCERO.</w:t>
      </w:r>
      <w:r>
        <w:rPr>
          <w:rFonts w:eastAsia="Palatino Linotype" w:cs="Palatino Linotype"/>
          <w:color w:val="000000"/>
          <w:szCs w:val="24"/>
        </w:rPr>
        <w:t xml:space="preserve"> Se</w:t>
      </w:r>
      <w:r>
        <w:rPr>
          <w:rFonts w:eastAsia="Palatino Linotype" w:cs="Palatino Linotype"/>
          <w:b/>
          <w:color w:val="000000"/>
          <w:szCs w:val="24"/>
        </w:rPr>
        <w:t xml:space="preserve"> SOBRESEE </w:t>
      </w:r>
      <w:r>
        <w:rPr>
          <w:rFonts w:eastAsia="Palatino Linotype" w:cs="Palatino Linotype"/>
          <w:color w:val="000000"/>
          <w:szCs w:val="24"/>
        </w:rPr>
        <w:t xml:space="preserve">el recurso de revisión número </w:t>
      </w:r>
      <w:r>
        <w:rPr>
          <w:rFonts w:eastAsia="Palatino Linotype" w:cs="Palatino Linotype"/>
          <w:b/>
          <w:color w:val="000000"/>
          <w:szCs w:val="24"/>
        </w:rPr>
        <w:t>09767/INFOEM/IP/RR/2022</w:t>
      </w:r>
      <w:r>
        <w:rPr>
          <w:rFonts w:eastAsia="Palatino Linotype" w:cs="Palatino Linotype"/>
          <w:color w:val="000000"/>
          <w:szCs w:val="24"/>
        </w:rPr>
        <w:t>, por improcedente conforme lo dispuesto en el artículo 192 fracción IV de la Ley de Transparencia y Acceso a la Información Pública del Estado de México y Munici</w:t>
      </w:r>
      <w:r>
        <w:rPr>
          <w:rFonts w:eastAsia="Palatino Linotype" w:cs="Palatino Linotype"/>
          <w:color w:val="000000"/>
          <w:szCs w:val="24"/>
        </w:rPr>
        <w:t xml:space="preserve">pios, en términos del </w:t>
      </w:r>
      <w:r>
        <w:rPr>
          <w:rFonts w:eastAsia="Palatino Linotype" w:cs="Palatino Linotype"/>
          <w:b/>
          <w:color w:val="000000"/>
          <w:szCs w:val="24"/>
        </w:rPr>
        <w:t>Considerando QUINTO</w:t>
      </w:r>
      <w:r>
        <w:rPr>
          <w:rFonts w:eastAsia="Palatino Linotype" w:cs="Palatino Linotype"/>
          <w:color w:val="000000"/>
          <w:szCs w:val="24"/>
        </w:rPr>
        <w:t xml:space="preserve"> de la presente resolución.</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Cs w:val="24"/>
        </w:rPr>
        <w:t>CUARTO. Notifíquese</w:t>
      </w:r>
      <w:r>
        <w:rPr>
          <w:rFonts w:eastAsia="Palatino Linotype" w:cs="Palatino Linotype"/>
          <w:b/>
          <w:i/>
          <w:color w:val="000000"/>
          <w:szCs w:val="24"/>
        </w:rPr>
        <w:t xml:space="preserve"> </w:t>
      </w:r>
      <w:r>
        <w:rPr>
          <w:rFonts w:eastAsia="Palatino Linotype" w:cs="Palatino Linotype"/>
          <w:color w:val="000000"/>
          <w:szCs w:val="24"/>
        </w:rPr>
        <w:t>al Titular de la Unidad de Transparencia del</w:t>
      </w:r>
      <w:r>
        <w:rPr>
          <w:rFonts w:eastAsia="Palatino Linotype" w:cs="Palatino Linotype"/>
          <w:b/>
          <w:color w:val="000000"/>
          <w:szCs w:val="24"/>
        </w:rPr>
        <w:t xml:space="preserve"> </w:t>
      </w:r>
      <w:r>
        <w:rPr>
          <w:rFonts w:eastAsia="Palatino Linotype" w:cs="Palatino Linotype"/>
          <w:color w:val="000000"/>
          <w:szCs w:val="24"/>
        </w:rPr>
        <w:t>Sujeto Obligado mediante el Sistema de Acceso a la Información Mexiquense (SAIMEX), para que conforme al artículo 186 últ</w:t>
      </w:r>
      <w:r>
        <w:rPr>
          <w:rFonts w:eastAsia="Palatino Linotype" w:cs="Palatino Linotype"/>
          <w:color w:val="000000"/>
          <w:szCs w:val="24"/>
        </w:rPr>
        <w:t>imo párrafo, 189 segundo párrafo y 194 de la Ley de Transparencia y Acceso a la Información Pública del Estado de México y Municipios; dé cumplimiento a lo ordenado dentro del plazo de diez días hábiles, debiendo informar a este Instituto en un plazo de tr</w:t>
      </w:r>
      <w:r>
        <w:rPr>
          <w:rFonts w:eastAsia="Palatino Linotype" w:cs="Palatino Linotype"/>
          <w:color w:val="000000"/>
          <w:szCs w:val="24"/>
        </w:rPr>
        <w:t>es días hábiles siguientes sobre el cumplimiento dado a la presente resolución.</w:t>
      </w:r>
    </w:p>
    <w:p w:rsidR="00A51978" w:rsidRDefault="00A51978">
      <w:pPr>
        <w:rPr>
          <w:rFonts w:eastAsia="Palatino Linotype" w:cs="Palatino Linotype"/>
          <w:color w:val="000000"/>
          <w:szCs w:val="24"/>
        </w:rPr>
      </w:pPr>
    </w:p>
    <w:p w:rsidR="00A51978" w:rsidRDefault="00482951">
      <w:pPr>
        <w:rPr>
          <w:rFonts w:eastAsia="Palatino Linotype" w:cs="Palatino Linotype"/>
          <w:b/>
          <w:color w:val="000000"/>
          <w:szCs w:val="24"/>
        </w:rPr>
      </w:pPr>
      <w:r>
        <w:rPr>
          <w:rFonts w:eastAsia="Palatino Linotype" w:cs="Palatino Linotype"/>
          <w:b/>
          <w:color w:val="000000"/>
          <w:szCs w:val="24"/>
        </w:rPr>
        <w:t xml:space="preserve">QUINTO. </w:t>
      </w:r>
      <w:r>
        <w:rPr>
          <w:rFonts w:eastAsia="Palatino Linotype" w:cs="Palatino Linotype"/>
          <w:color w:val="000000"/>
          <w:szCs w:val="24"/>
        </w:rPr>
        <w:t>De conformidad con el artículo 198 de la Ley de Transparencia y Acceso a la Información Pública del Estado de México y Municipios, de considerarlo procedente, el Sujet</w:t>
      </w:r>
      <w:r>
        <w:rPr>
          <w:rFonts w:eastAsia="Palatino Linotype" w:cs="Palatino Linotype"/>
          <w:color w:val="000000"/>
          <w:szCs w:val="24"/>
        </w:rPr>
        <w:t>o Obligado, de manera fundada y motivada, podrá solicitar una ampliación de plazo para el cumplimiento de la presente resolución.</w:t>
      </w:r>
    </w:p>
    <w:p w:rsidR="00A51978" w:rsidRDefault="00A51978">
      <w:pPr>
        <w:rPr>
          <w:rFonts w:eastAsia="Palatino Linotype" w:cs="Palatino Linotype"/>
          <w:color w:val="000000"/>
          <w:szCs w:val="24"/>
        </w:rPr>
      </w:pPr>
    </w:p>
    <w:p w:rsidR="00A51978" w:rsidRDefault="00482951">
      <w:pPr>
        <w:rPr>
          <w:rFonts w:eastAsia="Palatino Linotype" w:cs="Palatino Linotype"/>
          <w:color w:val="000000"/>
          <w:szCs w:val="24"/>
        </w:rPr>
      </w:pPr>
      <w:r>
        <w:rPr>
          <w:rFonts w:eastAsia="Palatino Linotype" w:cs="Palatino Linotype"/>
          <w:b/>
          <w:color w:val="000000"/>
          <w:szCs w:val="24"/>
        </w:rPr>
        <w:t xml:space="preserve">SEXTO. Notifíquese </w:t>
      </w:r>
      <w:r>
        <w:rPr>
          <w:rFonts w:eastAsia="Palatino Linotype" w:cs="Palatino Linotype"/>
          <w:color w:val="000000"/>
          <w:szCs w:val="24"/>
        </w:rPr>
        <w:t xml:space="preserve">la presente resolución al Recurrente por medio del Sistema de Acceso a la Información Mexiquense (SAIMEX) </w:t>
      </w:r>
      <w:r>
        <w:rPr>
          <w:rFonts w:eastAsia="Palatino Linotype" w:cs="Palatino Linotype"/>
          <w:color w:val="000000"/>
          <w:szCs w:val="24"/>
        </w:rPr>
        <w:t>y hágase de su conocimiento que, en caso de considerar que la presente resolución le causa algún perjuicio, podrá promover el Juicio de Amparo en los términos de las leyes aplicables, de acuerdo a lo estipulado por el artículo 196 de la Ley de Transparenci</w:t>
      </w:r>
      <w:r>
        <w:rPr>
          <w:rFonts w:eastAsia="Palatino Linotype" w:cs="Palatino Linotype"/>
          <w:color w:val="000000"/>
          <w:szCs w:val="24"/>
        </w:rPr>
        <w:t>a y Acceso a la Información Pública del Estado de México y Municipios.</w:t>
      </w:r>
    </w:p>
    <w:p w:rsidR="00A51978" w:rsidRDefault="00A51978">
      <w:pPr>
        <w:contextualSpacing/>
        <w:rPr>
          <w:lang w:val="es-MX"/>
        </w:rPr>
      </w:pPr>
    </w:p>
    <w:p w:rsidR="00A51978" w:rsidRDefault="00482951">
      <w:pPr>
        <w:contextualSpacing/>
        <w:rPr>
          <w:rFonts w:eastAsia="Palatino Linotype" w:cs="Palatino Linotype"/>
          <w:color w:val="000000"/>
          <w:szCs w:val="24"/>
        </w:rPr>
      </w:pPr>
      <w:r>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w:t>
      </w:r>
      <w:r>
        <w:rPr>
          <w:rFonts w:eastAsia="Palatino Linotype" w:cs="Palatino Linotype"/>
          <w:color w:val="000000"/>
          <w:szCs w:val="24"/>
        </w:rPr>
        <w:t>ONFORMADO POR LOS COMISIONADOS JOSÉ MARTÍNEZ VILCHIS EMITIENDO VOTO PARTICULAR, MARÍA DEL ROSARIO MEJÍA AYALA, SHARON CRISTINA MORALES MARTÍNEZ, LUIS GUSTAVO PARRA NORIEGA Y GUADALUPE RAMÍREZ PEÑA, EN LA TRIGÉSIMA SEGUNDA SESIÓN ORDINARIA CELEBRADA EL SIET</w:t>
      </w:r>
      <w:r>
        <w:rPr>
          <w:rFonts w:eastAsia="Palatino Linotype" w:cs="Palatino Linotype"/>
          <w:color w:val="000000"/>
          <w:szCs w:val="24"/>
        </w:rPr>
        <w:t>E DE SEPTIEMBRE DE DOS MIL VEINTIDÓS, ANTE EL SECRETARIO TÉCNICO DEL PLENO, ALEXIS TAPIA RAMÍREZ.---------------------------------------------------------------------------------------------------------------------------------------------------------------</w:t>
      </w:r>
      <w:r>
        <w:rPr>
          <w:rFonts w:eastAsia="Palatino Linotype" w:cs="Palatino Linotype"/>
          <w:color w:val="000000"/>
          <w:szCs w:val="24"/>
        </w:rPr>
        <w:t>----------------------------------------------------------------------------------------------------------------------------------------------------------------------------------------------------------------------------------------------------------------</w:t>
      </w:r>
      <w:r>
        <w:rPr>
          <w:rFonts w:eastAsia="Palatino Linotype" w:cs="Palatino Linotype"/>
          <w:color w:val="000000"/>
          <w:szCs w:val="24"/>
        </w:rPr>
        <w:t>----------------------------------------------------------------------------------------------------------------------------------------------------------------------------------------------------------------------------------------------------------------</w:t>
      </w:r>
      <w:r>
        <w:rPr>
          <w:rFonts w:eastAsia="Palatino Linotype" w:cs="Palatino Linotype"/>
          <w:color w:val="000000"/>
          <w:szCs w:val="24"/>
        </w:rPr>
        <w:t>----------------------------------------------------------------------------------------------------------------------------------------------------------------------------------------------------------------------------------------------------------------</w:t>
      </w:r>
      <w:r>
        <w:rPr>
          <w:rFonts w:eastAsia="Palatino Linotype" w:cs="Palatino Linotype"/>
          <w:color w:val="000000"/>
          <w:szCs w:val="24"/>
        </w:rPr>
        <w:t>----------------------------------------------------------------------------------------------------------------------------------------------------------------------------------------------------------------------------------------------------------------</w:t>
      </w:r>
      <w:r>
        <w:rPr>
          <w:rFonts w:eastAsia="Palatino Linotype" w:cs="Palatino Linotype"/>
          <w:color w:val="000000"/>
          <w:szCs w:val="24"/>
        </w:rPr>
        <w:t>------------------------</w:t>
      </w:r>
    </w:p>
    <w:p w:rsidR="00A51978" w:rsidRDefault="00482951">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JMV/CCR/fzh</w:t>
      </w: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p w:rsidR="00A51978" w:rsidRDefault="00A51978">
      <w:pPr>
        <w:rPr>
          <w:sz w:val="20"/>
          <w:szCs w:val="20"/>
        </w:rPr>
      </w:pPr>
    </w:p>
    <w:sectPr w:rsidR="00A51978">
      <w:headerReference w:type="even" r:id="rId16"/>
      <w:headerReference w:type="default" r:id="rId17"/>
      <w:footerReference w:type="default" r:id="rId18"/>
      <w:headerReference w:type="first" r:id="rId19"/>
      <w:footerReference w:type="first" r:id="rId20"/>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978" w:rsidRDefault="00482951">
      <w:pPr>
        <w:spacing w:line="240" w:lineRule="auto"/>
      </w:pPr>
      <w:r>
        <w:separator/>
      </w:r>
    </w:p>
  </w:endnote>
  <w:endnote w:type="continuationSeparator" w:id="0">
    <w:p w:rsidR="00A51978" w:rsidRDefault="00482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978" w:rsidRDefault="00482951">
    <w:pPr>
      <w:pStyle w:val="Piedepgina"/>
      <w:jc w:val="right"/>
      <w:rPr>
        <w:rFonts w:ascii="Palatino Linotype" w:hAnsi="Palatino Linotype"/>
        <w:bCs/>
        <w:sz w:val="20"/>
      </w:rPr>
    </w:pPr>
    <w:r>
      <w:rPr>
        <w:rFonts w:ascii="Palatino Linotype" w:hAnsi="Palatino Linotype"/>
        <w:sz w:val="20"/>
      </w:rPr>
      <w:t xml:space="preserve">Página </w:t>
    </w:r>
    <w:r>
      <w:rPr>
        <w:rFonts w:ascii="Palatino Linotype" w:hAnsi="Palatino Linotype"/>
        <w:b/>
        <w:bCs/>
        <w:sz w:val="20"/>
      </w:rPr>
      <w:fldChar w:fldCharType="begin"/>
    </w:r>
    <w:r>
      <w:rPr>
        <w:rFonts w:ascii="Palatino Linotype" w:hAnsi="Palatino Linotype"/>
        <w:b/>
        <w:bCs/>
        <w:sz w:val="20"/>
      </w:rPr>
      <w:instrText>PAGE  \* Arabic  \* MERGEFORMAT</w:instrText>
    </w:r>
    <w:r>
      <w:rPr>
        <w:rFonts w:ascii="Palatino Linotype" w:hAnsi="Palatino Linotype"/>
        <w:b/>
        <w:bCs/>
        <w:sz w:val="20"/>
      </w:rPr>
      <w:fldChar w:fldCharType="separate"/>
    </w:r>
    <w:r>
      <w:rPr>
        <w:rFonts w:ascii="Palatino Linotype" w:hAnsi="Palatino Linotype"/>
        <w:b/>
        <w:bCs/>
        <w:noProof/>
        <w:sz w:val="20"/>
      </w:rPr>
      <w:t>31</w:t>
    </w:r>
    <w:r>
      <w:rPr>
        <w:rFonts w:ascii="Palatino Linotype" w:hAnsi="Palatino Linotype"/>
        <w:b/>
        <w:bCs/>
        <w:sz w:val="20"/>
      </w:rPr>
      <w:fldChar w:fldCharType="end"/>
    </w:r>
    <w:r>
      <w:rPr>
        <w:rFonts w:ascii="Palatino Linotype" w:hAnsi="Palatino Linotype"/>
        <w:sz w:val="20"/>
      </w:rPr>
      <w:t xml:space="preserve"> de </w:t>
    </w:r>
    <w:r>
      <w:rPr>
        <w:rFonts w:ascii="Palatino Linotype" w:hAnsi="Palatino Linotype"/>
        <w:b/>
        <w:bCs/>
        <w:sz w:val="20"/>
      </w:rPr>
      <w:fldChar w:fldCharType="begin"/>
    </w:r>
    <w:r>
      <w:rPr>
        <w:rFonts w:ascii="Palatino Linotype" w:hAnsi="Palatino Linotype"/>
        <w:b/>
        <w:bCs/>
        <w:sz w:val="20"/>
      </w:rPr>
      <w:instrText>NUMPAGES  \* Arabic  \* MERGEFORMAT</w:instrText>
    </w:r>
    <w:r>
      <w:rPr>
        <w:rFonts w:ascii="Palatino Linotype" w:hAnsi="Palatino Linotype"/>
        <w:b/>
        <w:bCs/>
        <w:sz w:val="20"/>
      </w:rPr>
      <w:fldChar w:fldCharType="separate"/>
    </w:r>
    <w:r>
      <w:rPr>
        <w:rFonts w:ascii="Palatino Linotype" w:hAnsi="Palatino Linotype"/>
        <w:b/>
        <w:bCs/>
        <w:noProof/>
        <w:sz w:val="20"/>
      </w:rPr>
      <w:t>45</w:t>
    </w:r>
    <w:r>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978" w:rsidRDefault="00482951">
    <w:pPr>
      <w:pStyle w:val="Piedepgina"/>
      <w:jc w:val="right"/>
      <w:rPr>
        <w:rFonts w:ascii="Palatino Linotype" w:hAnsi="Palatino Linotype"/>
        <w:bCs/>
        <w:sz w:val="20"/>
      </w:rPr>
    </w:pPr>
    <w:r>
      <w:rPr>
        <w:rFonts w:ascii="Palatino Linotype" w:hAnsi="Palatino Linotype"/>
        <w:sz w:val="20"/>
      </w:rPr>
      <w:t xml:space="preserve">Página </w:t>
    </w:r>
    <w:r>
      <w:rPr>
        <w:rFonts w:ascii="Palatino Linotype" w:hAnsi="Palatino Linotype"/>
        <w:b/>
        <w:bCs/>
        <w:sz w:val="20"/>
      </w:rPr>
      <w:fldChar w:fldCharType="begin"/>
    </w:r>
    <w:r>
      <w:rPr>
        <w:rFonts w:ascii="Palatino Linotype" w:hAnsi="Palatino Linotype"/>
        <w:b/>
        <w:bCs/>
        <w:sz w:val="20"/>
      </w:rPr>
      <w:instrText>PAGE  \* Arabic  \* MERGEFORMAT</w:instrText>
    </w:r>
    <w:r>
      <w:rPr>
        <w:rFonts w:ascii="Palatino Linotype" w:hAnsi="Palatino Linotype"/>
        <w:b/>
        <w:bCs/>
        <w:sz w:val="20"/>
      </w:rPr>
      <w:fldChar w:fldCharType="separate"/>
    </w:r>
    <w:r>
      <w:rPr>
        <w:rFonts w:ascii="Palatino Linotype" w:hAnsi="Palatino Linotype"/>
        <w:b/>
        <w:bCs/>
        <w:noProof/>
        <w:sz w:val="20"/>
      </w:rPr>
      <w:t>1</w:t>
    </w:r>
    <w:r>
      <w:rPr>
        <w:rFonts w:ascii="Palatino Linotype" w:hAnsi="Palatino Linotype"/>
        <w:b/>
        <w:bCs/>
        <w:sz w:val="20"/>
      </w:rPr>
      <w:fldChar w:fldCharType="end"/>
    </w:r>
    <w:r>
      <w:rPr>
        <w:rFonts w:ascii="Palatino Linotype" w:hAnsi="Palatino Linotype"/>
        <w:sz w:val="20"/>
      </w:rPr>
      <w:t xml:space="preserve"> de </w:t>
    </w:r>
    <w:r>
      <w:rPr>
        <w:rFonts w:ascii="Palatino Linotype" w:hAnsi="Palatino Linotype"/>
        <w:b/>
        <w:bCs/>
        <w:sz w:val="20"/>
      </w:rPr>
      <w:fldChar w:fldCharType="begin"/>
    </w:r>
    <w:r>
      <w:rPr>
        <w:rFonts w:ascii="Palatino Linotype" w:hAnsi="Palatino Linotype"/>
        <w:b/>
        <w:bCs/>
        <w:sz w:val="20"/>
      </w:rPr>
      <w:instrText>NUMPAGES  \* Arabic  \* MERGEFORMAT</w:instrText>
    </w:r>
    <w:r>
      <w:rPr>
        <w:rFonts w:ascii="Palatino Linotype" w:hAnsi="Palatino Linotype"/>
        <w:b/>
        <w:bCs/>
        <w:sz w:val="20"/>
      </w:rPr>
      <w:fldChar w:fldCharType="separate"/>
    </w:r>
    <w:r>
      <w:rPr>
        <w:rFonts w:ascii="Palatino Linotype" w:hAnsi="Palatino Linotype"/>
        <w:b/>
        <w:bCs/>
        <w:noProof/>
        <w:sz w:val="20"/>
      </w:rPr>
      <w:t>45</w:t>
    </w:r>
    <w:r>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978" w:rsidRDefault="00482951">
      <w:r>
        <w:separator/>
      </w:r>
    </w:p>
  </w:footnote>
  <w:footnote w:type="continuationSeparator" w:id="0">
    <w:p w:rsidR="00A51978" w:rsidRDefault="00482951">
      <w:r>
        <w:continuationSeparator/>
      </w:r>
    </w:p>
  </w:footnote>
  <w:footnote w:id="1">
    <w:p w:rsidR="00A51978" w:rsidRDefault="00482951">
      <w:pPr>
        <w:spacing w:line="240" w:lineRule="auto"/>
        <w:rPr>
          <w:rFonts w:eastAsia="Palatino Linotype" w:cs="Palatino Linotype"/>
          <w:color w:val="000000" w:themeColor="text1"/>
          <w:sz w:val="20"/>
          <w:szCs w:val="20"/>
        </w:rPr>
      </w:pPr>
      <w:r>
        <w:rPr>
          <w:color w:val="000000" w:themeColor="text1"/>
          <w:sz w:val="20"/>
          <w:szCs w:val="20"/>
          <w:vertAlign w:val="superscript"/>
        </w:rPr>
        <w:footnoteRef/>
      </w:r>
      <w:r>
        <w:rPr>
          <w:color w:val="000000" w:themeColor="text1"/>
          <w:sz w:val="20"/>
          <w:szCs w:val="20"/>
        </w:rPr>
        <w:t xml:space="preserve"> </w:t>
      </w:r>
      <w:r>
        <w:rPr>
          <w:rFonts w:eastAsia="Palatino Linotype" w:cs="Palatino Linotype"/>
          <w:color w:val="000000" w:themeColor="text1"/>
          <w:sz w:val="20"/>
          <w:szCs w:val="20"/>
        </w:rPr>
        <w:t xml:space="preserve">Estudio oficioso o a petición de parte que no son incompatibles con el derecho de acceso a la justicia, ya que éste no se coarta por regular causas de </w:t>
      </w:r>
      <w:r>
        <w:rPr>
          <w:rFonts w:eastAsia="Palatino Linotype" w:cs="Palatino Linotype"/>
          <w:color w:val="000000" w:themeColor="text1"/>
          <w:sz w:val="20"/>
          <w:szCs w:val="20"/>
        </w:rPr>
        <w:t>improcedencia y sobreseimiento con tales fines, sirviendo de sustento la tesis aislada XVI.1o.A.T.2 K visible en el Semanario Judicial de la Federación bajo el número de registro 2000365 cuyo rubro y texto establece lo siguiente:</w:t>
      </w:r>
    </w:p>
    <w:p w:rsidR="00A51978" w:rsidRDefault="00A51978">
      <w:pPr>
        <w:spacing w:line="240" w:lineRule="auto"/>
        <w:rPr>
          <w:rFonts w:eastAsia="Palatino Linotype" w:cs="Palatino Linotype"/>
          <w:color w:val="000000" w:themeColor="text1"/>
          <w:sz w:val="20"/>
          <w:szCs w:val="20"/>
        </w:rPr>
      </w:pPr>
    </w:p>
    <w:p w:rsidR="00A51978" w:rsidRDefault="00482951">
      <w:pPr>
        <w:spacing w:line="240" w:lineRule="auto"/>
        <w:rPr>
          <w:rFonts w:eastAsia="Palatino Linotype" w:cs="Palatino Linotype"/>
          <w:i/>
          <w:color w:val="000000" w:themeColor="text1"/>
          <w:sz w:val="20"/>
          <w:szCs w:val="20"/>
        </w:rPr>
      </w:pPr>
      <w:r>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eastAsia="Palatino Linotype" w:cs="Palatino Linotype"/>
          <w:i/>
          <w:color w:val="000000" w:themeColor="text1"/>
          <w:sz w:val="20"/>
          <w:szCs w:val="20"/>
        </w:rPr>
        <w:t>Del examen de compat</w:t>
      </w:r>
      <w:r>
        <w:rPr>
          <w:rFonts w:eastAsia="Palatino Linotype" w:cs="Palatino Linotype"/>
          <w:i/>
          <w:color w:val="000000" w:themeColor="text1"/>
          <w:sz w:val="20"/>
          <w:szCs w:val="20"/>
        </w:rPr>
        <w:t xml:space="preserve">ibilidad de los artículos </w:t>
      </w:r>
      <w:hyperlink r:id="rId1">
        <w:r>
          <w:rPr>
            <w:rFonts w:eastAsia="Palatino Linotype" w:cs="Palatino Linotype"/>
            <w:i/>
            <w:color w:val="000000" w:themeColor="text1"/>
            <w:sz w:val="20"/>
            <w:szCs w:val="20"/>
            <w:u w:val="single"/>
          </w:rPr>
          <w:t>73 y 74 de la Ley de Amparo</w:t>
        </w:r>
      </w:hyperlink>
      <w:r>
        <w:rPr>
          <w:rFonts w:eastAsia="Palatino Linotype" w:cs="Palatino Linotype"/>
          <w:i/>
          <w:color w:val="000000" w:themeColor="text1"/>
          <w:sz w:val="20"/>
          <w:szCs w:val="20"/>
        </w:rPr>
        <w:t xml:space="preserve"> con el artículo </w:t>
      </w:r>
      <w:hyperlink r:id="rId2">
        <w:r>
          <w:rPr>
            <w:rFonts w:eastAsia="Palatino Linotype" w:cs="Palatino Linotype"/>
            <w:i/>
            <w:color w:val="000000" w:themeColor="text1"/>
            <w:sz w:val="20"/>
            <w:szCs w:val="20"/>
            <w:u w:val="single"/>
          </w:rPr>
          <w:t>25.1 de la Convención Americana sobre Derechos Humanos</w:t>
        </w:r>
      </w:hyperlink>
      <w:r>
        <w:rPr>
          <w:rFonts w:eastAsia="Palatino Linotype" w:cs="Palatino Linotype"/>
          <w:i/>
          <w:color w:val="000000" w:themeColor="text1"/>
          <w:sz w:val="20"/>
          <w:szCs w:val="20"/>
        </w:rPr>
        <w:t> </w:t>
      </w:r>
      <w:r>
        <w:rPr>
          <w:rFonts w:eastAsia="Palatino Linotype" w:cs="Palatino Linotype"/>
          <w:b/>
          <w:i/>
          <w:color w:val="000000" w:themeColor="text1"/>
          <w:sz w:val="20"/>
          <w:szCs w:val="20"/>
          <w:u w:val="single"/>
        </w:rPr>
        <w:t xml:space="preserve">no se advierte que el derecho interno desatienda los estándares que </w:t>
      </w:r>
      <w:r>
        <w:rPr>
          <w:rFonts w:eastAsia="Palatino Linotype" w:cs="Palatino Linotype"/>
          <w:b/>
          <w:i/>
          <w:color w:val="000000" w:themeColor="text1"/>
          <w:sz w:val="20"/>
          <w:szCs w:val="20"/>
          <w:u w:val="single"/>
        </w:rPr>
        <w:t>pretenden proteger los derechos humanos en dicho tratado, por regular causas de improcedencia y sobreseimiento que impiden abordar el estudio de fondo del asunto en el juicio de amparo,</w:t>
      </w:r>
      <w:r>
        <w:rPr>
          <w:rFonts w:eastAsia="Palatino Linotype" w:cs="Palatino Linotype"/>
          <w:i/>
          <w:color w:val="000000" w:themeColor="text1"/>
          <w:sz w:val="20"/>
          <w:szCs w:val="20"/>
        </w:rPr>
        <w:t xml:space="preserve"> en virtud de que el propósito de condicionar el acceso a los tribunale</w:t>
      </w:r>
      <w:r>
        <w:rPr>
          <w:rFonts w:eastAsia="Palatino Linotype" w:cs="Palatino Linotype"/>
          <w:i/>
          <w:color w:val="000000" w:themeColor="text1"/>
          <w:sz w:val="20"/>
          <w:szCs w:val="20"/>
        </w:rPr>
        <w:t>s para evitar un sobrecargo de casos sin mérito, es en sí legítimo, por lo que esa compatibilidad, en cuanto a los requisitos para la admisibilidad de los recursos dependerá, en principio, de los siguientes criterios: no pueden ser irracionales ni de tal n</w:t>
      </w:r>
      <w:r>
        <w:rPr>
          <w:rFonts w:eastAsia="Palatino Linotype" w:cs="Palatino Linotype"/>
          <w:i/>
          <w:color w:val="000000" w:themeColor="text1"/>
          <w:sz w:val="20"/>
          <w:szCs w:val="20"/>
        </w:rPr>
        <w:t>aturaleza que despojen al derecho de su esencia, ni discriminatorios y, en el caso, la razonabilidad de esas causas se justifica por la viabilidad de que una eventual sentencia concesoria tenga un ámbito de protección concreto y no entre en conflicto con e</w:t>
      </w:r>
      <w:r>
        <w:rPr>
          <w:rFonts w:eastAsia="Palatino Linotype" w:cs="Palatino Linotype"/>
          <w:i/>
          <w:color w:val="000000" w:themeColor="text1"/>
          <w:sz w:val="20"/>
          <w:szCs w:val="20"/>
        </w:rPr>
        <w:t>l orden jurídico, no son de tal naturaleza que despojen al derecho de su esencia ni tampoco son discriminatorias, pues no existe alguna condicionante para su aplicabilidad, en función de cuestiones personales o particulares del quejoso. Por tanto, las indi</w:t>
      </w:r>
      <w:r>
        <w:rPr>
          <w:rFonts w:eastAsia="Palatino Linotype" w:cs="Palatino Linotype"/>
          <w:i/>
          <w:color w:val="000000" w:themeColor="text1"/>
          <w:sz w:val="20"/>
          <w:szCs w:val="20"/>
        </w:rPr>
        <w:t>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51978" w:rsidRDefault="00482951">
      <w:pPr>
        <w:pStyle w:val="Textonotapie"/>
        <w:rPr>
          <w:i/>
          <w:lang w:val="es-MX"/>
        </w:rPr>
      </w:pPr>
      <w:r>
        <w:rPr>
          <w:rStyle w:val="Refdenotaalpie"/>
          <w:i/>
        </w:rPr>
        <w:footnoteRef/>
      </w:r>
      <w:r>
        <w:rPr>
          <w:i/>
        </w:rPr>
        <w:t xml:space="preserve"> </w:t>
      </w:r>
      <w:hyperlink r:id="rId3" w:history="1">
        <w:r>
          <w:rPr>
            <w:rStyle w:val="Hipervnculo"/>
            <w:i/>
          </w:rPr>
          <w:t>https://www.ipomex.org.mx/ipo3/lgt/indice/TESCO/art_92_vii/4.web</w:t>
        </w:r>
      </w:hyperlink>
      <w:r>
        <w:rPr>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978" w:rsidRDefault="00482951">
    <w:pPr>
      <w:pStyle w:val="Encabezado"/>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6192;mso-position-horizontal:center;mso-position-horizontal-relative:margin;mso-position-vertical:center;mso-position-vertical-relative:margin;mso-width-relative:page;mso-height-relative:page"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A51978">
      <w:trPr>
        <w:trHeight w:val="227"/>
      </w:trPr>
      <w:tc>
        <w:tcPr>
          <w:tcW w:w="5245" w:type="dxa"/>
        </w:tcPr>
        <w:p w:rsidR="00A51978" w:rsidRDefault="00482951">
          <w:pPr>
            <w:spacing w:line="240" w:lineRule="auto"/>
            <w:ind w:right="69"/>
            <w:jc w:val="right"/>
            <w:rPr>
              <w:rFonts w:cs="Arial"/>
              <w:b/>
              <w:szCs w:val="24"/>
            </w:rPr>
          </w:pPr>
          <w:r>
            <w:rPr>
              <w:rFonts w:cs="Arial"/>
              <w:b/>
              <w:szCs w:val="24"/>
            </w:rPr>
            <w:t>Recurso de Revisión:</w:t>
          </w:r>
        </w:p>
      </w:tc>
      <w:tc>
        <w:tcPr>
          <w:tcW w:w="4395" w:type="dxa"/>
        </w:tcPr>
        <w:p w:rsidR="00A51978" w:rsidRDefault="00482951">
          <w:pPr>
            <w:spacing w:after="120" w:line="240" w:lineRule="auto"/>
            <w:ind w:right="82"/>
            <w:jc w:val="right"/>
            <w:rPr>
              <w:rFonts w:cs="Arial"/>
              <w:b/>
              <w:szCs w:val="24"/>
            </w:rPr>
          </w:pPr>
          <w:r>
            <w:rPr>
              <w:rFonts w:cs="Arial"/>
              <w:b/>
              <w:bCs/>
              <w:szCs w:val="24"/>
            </w:rPr>
            <w:t>09765/INFOEM/IP/RR/2022 y Acumulados</w:t>
          </w:r>
        </w:p>
      </w:tc>
    </w:tr>
    <w:tr w:rsidR="00A51978">
      <w:trPr>
        <w:trHeight w:val="242"/>
      </w:trPr>
      <w:tc>
        <w:tcPr>
          <w:tcW w:w="5245" w:type="dxa"/>
        </w:tcPr>
        <w:p w:rsidR="00A51978" w:rsidRDefault="00482951">
          <w:pPr>
            <w:spacing w:line="240" w:lineRule="auto"/>
            <w:ind w:right="69"/>
            <w:jc w:val="right"/>
            <w:rPr>
              <w:rFonts w:cs="Arial"/>
              <w:b/>
              <w:szCs w:val="24"/>
            </w:rPr>
          </w:pPr>
          <w:r>
            <w:rPr>
              <w:rFonts w:cs="Arial"/>
              <w:b/>
              <w:szCs w:val="24"/>
            </w:rPr>
            <w:t>Sujeto Obligado:</w:t>
          </w:r>
        </w:p>
      </w:tc>
      <w:tc>
        <w:tcPr>
          <w:tcW w:w="4395" w:type="dxa"/>
        </w:tcPr>
        <w:p w:rsidR="00A51978" w:rsidRDefault="00482951">
          <w:pPr>
            <w:spacing w:after="120" w:line="240" w:lineRule="auto"/>
            <w:ind w:left="-68" w:right="74"/>
            <w:jc w:val="right"/>
            <w:rPr>
              <w:rFonts w:cs="Arial"/>
              <w:szCs w:val="24"/>
            </w:rPr>
          </w:pPr>
          <w:r>
            <w:rPr>
              <w:rFonts w:cs="Arial"/>
              <w:szCs w:val="24"/>
            </w:rPr>
            <w:t>Tecnológico de Estudios Superiores de Coacalco</w:t>
          </w:r>
        </w:p>
      </w:tc>
    </w:tr>
    <w:tr w:rsidR="00A51978">
      <w:trPr>
        <w:trHeight w:val="342"/>
      </w:trPr>
      <w:tc>
        <w:tcPr>
          <w:tcW w:w="5245" w:type="dxa"/>
        </w:tcPr>
        <w:p w:rsidR="00A51978" w:rsidRDefault="00482951">
          <w:pPr>
            <w:tabs>
              <w:tab w:val="left" w:pos="4892"/>
            </w:tabs>
            <w:spacing w:line="240" w:lineRule="auto"/>
            <w:ind w:right="69"/>
            <w:jc w:val="right"/>
            <w:rPr>
              <w:rFonts w:cs="Arial"/>
              <w:b/>
              <w:szCs w:val="24"/>
            </w:rPr>
          </w:pPr>
          <w:r>
            <w:rPr>
              <w:rFonts w:cs="Arial"/>
              <w:b/>
              <w:szCs w:val="24"/>
            </w:rPr>
            <w:t>Comisionado Ponente:</w:t>
          </w:r>
        </w:p>
      </w:tc>
      <w:tc>
        <w:tcPr>
          <w:tcW w:w="4395" w:type="dxa"/>
        </w:tcPr>
        <w:p w:rsidR="00A51978" w:rsidRDefault="00482951">
          <w:pPr>
            <w:spacing w:after="120" w:line="240" w:lineRule="auto"/>
            <w:ind w:left="-488" w:right="74" w:firstLine="567"/>
            <w:jc w:val="right"/>
            <w:rPr>
              <w:rFonts w:cs="Arial"/>
              <w:szCs w:val="24"/>
            </w:rPr>
          </w:pPr>
          <w:r>
            <w:rPr>
              <w:rFonts w:cs="Arial"/>
              <w:szCs w:val="24"/>
            </w:rPr>
            <w:t>José Martínez Vilchis</w:t>
          </w:r>
        </w:p>
      </w:tc>
    </w:tr>
  </w:tbl>
  <w:p w:rsidR="00A51978" w:rsidRDefault="00482951">
    <w:pPr>
      <w:pStyle w:val="Encabezado"/>
      <w:rPr>
        <w:sz w:val="2"/>
        <w:szCs w:val="2"/>
      </w:rPr>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45pt;margin-top:-146.35pt;width:609.4pt;height:793.75pt;z-index:-251655168;mso-position-horizontal-relative:margin;mso-position-vertical-relative:margin;mso-width-relative:page;mso-height-relative:page" o:allowincell="f">
          <v:imagedata r:id="rId1" o:title="infoem"/>
          <w10:wrap anchorx="margin" anchory="margin"/>
        </v:shape>
      </w:pic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A51978">
      <w:trPr>
        <w:trHeight w:val="227"/>
      </w:trPr>
      <w:tc>
        <w:tcPr>
          <w:tcW w:w="5245" w:type="dxa"/>
        </w:tcPr>
        <w:p w:rsidR="00A51978" w:rsidRDefault="00482951">
          <w:pPr>
            <w:spacing w:line="240" w:lineRule="auto"/>
            <w:ind w:right="68"/>
            <w:jc w:val="right"/>
            <w:rPr>
              <w:rFonts w:cs="Arial"/>
              <w:b/>
              <w:szCs w:val="24"/>
            </w:rPr>
          </w:pPr>
          <w:r>
            <w:rPr>
              <w:rFonts w:cs="Arial"/>
              <w:b/>
              <w:szCs w:val="24"/>
            </w:rPr>
            <w:t>Recurso de Revisión:</w:t>
          </w:r>
        </w:p>
      </w:tc>
      <w:tc>
        <w:tcPr>
          <w:tcW w:w="4395" w:type="dxa"/>
        </w:tcPr>
        <w:p w:rsidR="00A51978" w:rsidRDefault="00482951">
          <w:pPr>
            <w:spacing w:after="120" w:line="240" w:lineRule="auto"/>
            <w:ind w:left="-488" w:right="68" w:firstLine="556"/>
            <w:jc w:val="right"/>
            <w:rPr>
              <w:rFonts w:cs="Arial"/>
              <w:b/>
              <w:szCs w:val="24"/>
            </w:rPr>
          </w:pPr>
          <w:r>
            <w:rPr>
              <w:rFonts w:cs="Arial"/>
              <w:b/>
              <w:bCs/>
              <w:szCs w:val="24"/>
            </w:rPr>
            <w:t>09765/INFOEM/IP/RR/2022 y acumulado</w:t>
          </w:r>
        </w:p>
      </w:tc>
    </w:tr>
    <w:tr w:rsidR="00A51978">
      <w:trPr>
        <w:trHeight w:val="196"/>
      </w:trPr>
      <w:tc>
        <w:tcPr>
          <w:tcW w:w="5245" w:type="dxa"/>
        </w:tcPr>
        <w:p w:rsidR="00A51978" w:rsidRDefault="00482951">
          <w:pPr>
            <w:spacing w:line="240" w:lineRule="auto"/>
            <w:ind w:right="68"/>
            <w:jc w:val="right"/>
            <w:rPr>
              <w:rFonts w:cs="Arial"/>
              <w:b/>
              <w:szCs w:val="24"/>
            </w:rPr>
          </w:pPr>
          <w:r>
            <w:rPr>
              <w:rFonts w:cs="Arial"/>
              <w:b/>
              <w:szCs w:val="24"/>
            </w:rPr>
            <w:t>Recurrente:</w:t>
          </w:r>
        </w:p>
      </w:tc>
      <w:tc>
        <w:tcPr>
          <w:tcW w:w="4395" w:type="dxa"/>
        </w:tcPr>
        <w:p w:rsidR="00A51978" w:rsidRDefault="00482951">
          <w:pPr>
            <w:pStyle w:val="Prrafodelista"/>
            <w:spacing w:after="120" w:line="240" w:lineRule="auto"/>
            <w:ind w:left="720" w:right="68"/>
            <w:jc w:val="right"/>
            <w:rPr>
              <w:rFonts w:cs="Arial"/>
            </w:rPr>
          </w:pPr>
          <w:r>
            <w:rPr>
              <w:rFonts w:cs="Arial"/>
            </w:rPr>
            <w:t>xxxx</w:t>
          </w:r>
        </w:p>
      </w:tc>
    </w:tr>
    <w:tr w:rsidR="00A51978">
      <w:trPr>
        <w:trHeight w:val="242"/>
      </w:trPr>
      <w:tc>
        <w:tcPr>
          <w:tcW w:w="5245" w:type="dxa"/>
        </w:tcPr>
        <w:p w:rsidR="00A51978" w:rsidRDefault="00482951">
          <w:pPr>
            <w:spacing w:line="240" w:lineRule="auto"/>
            <w:ind w:right="68"/>
            <w:jc w:val="right"/>
            <w:rPr>
              <w:rFonts w:cs="Arial"/>
              <w:b/>
              <w:szCs w:val="24"/>
            </w:rPr>
          </w:pPr>
          <w:r>
            <w:rPr>
              <w:rFonts w:cs="Arial"/>
              <w:b/>
              <w:szCs w:val="24"/>
            </w:rPr>
            <w:t>Sujeto Obligado:</w:t>
          </w:r>
        </w:p>
      </w:tc>
      <w:tc>
        <w:tcPr>
          <w:tcW w:w="4395" w:type="dxa"/>
        </w:tcPr>
        <w:p w:rsidR="00A51978" w:rsidRDefault="00482951">
          <w:pPr>
            <w:spacing w:after="120" w:line="240" w:lineRule="auto"/>
            <w:ind w:left="-68" w:right="68"/>
            <w:jc w:val="right"/>
            <w:rPr>
              <w:rFonts w:cs="Arial"/>
              <w:szCs w:val="24"/>
            </w:rPr>
          </w:pPr>
          <w:r>
            <w:rPr>
              <w:rFonts w:cs="Arial"/>
              <w:szCs w:val="24"/>
            </w:rPr>
            <w:t>Tecnológico de Estudios Superiores de Coacalco</w:t>
          </w:r>
        </w:p>
      </w:tc>
    </w:tr>
    <w:tr w:rsidR="00A51978">
      <w:trPr>
        <w:trHeight w:val="342"/>
      </w:trPr>
      <w:tc>
        <w:tcPr>
          <w:tcW w:w="5245" w:type="dxa"/>
        </w:tcPr>
        <w:p w:rsidR="00A51978" w:rsidRDefault="00482951">
          <w:pPr>
            <w:tabs>
              <w:tab w:val="left" w:pos="4892"/>
            </w:tabs>
            <w:spacing w:line="240" w:lineRule="auto"/>
            <w:ind w:right="68"/>
            <w:jc w:val="right"/>
            <w:rPr>
              <w:rFonts w:cs="Arial"/>
              <w:b/>
              <w:szCs w:val="24"/>
            </w:rPr>
          </w:pPr>
          <w:r>
            <w:rPr>
              <w:rFonts w:cs="Arial"/>
              <w:b/>
              <w:szCs w:val="24"/>
            </w:rPr>
            <w:t>Comisionado Ponente:</w:t>
          </w:r>
        </w:p>
      </w:tc>
      <w:tc>
        <w:tcPr>
          <w:tcW w:w="4395" w:type="dxa"/>
        </w:tcPr>
        <w:p w:rsidR="00A51978" w:rsidRDefault="00482951">
          <w:pPr>
            <w:spacing w:after="120" w:line="240" w:lineRule="auto"/>
            <w:ind w:left="-488" w:right="68" w:firstLine="567"/>
            <w:jc w:val="right"/>
            <w:rPr>
              <w:rFonts w:cs="Arial"/>
              <w:szCs w:val="24"/>
            </w:rPr>
          </w:pPr>
          <w:r>
            <w:rPr>
              <w:rFonts w:cs="Arial"/>
              <w:szCs w:val="24"/>
            </w:rPr>
            <w:t>José Martínez Vilchis</w:t>
          </w:r>
        </w:p>
      </w:tc>
    </w:tr>
  </w:tbl>
  <w:p w:rsidR="00A51978" w:rsidRDefault="00482951">
    <w:pPr>
      <w:pStyle w:val="Encabezado"/>
      <w:rPr>
        <w:sz w:val="2"/>
        <w:szCs w:val="2"/>
      </w:rPr>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51" type="#_x0000_t75" style="position:absolute;left:0;text-align:left;margin-left:-81.05pt;margin-top:-151.45pt;width:609.4pt;height:793.75pt;z-index:-251657216;mso-position-horizontal-relative:margin;mso-position-vertical-relative:margin;mso-width-relative:page;mso-height-relative:page" o:allowincell="f">
          <v:imagedata r:id="rId1" o:title="infoem"/>
          <w10:wrap anchorx="margin" anchory="margin"/>
        </v:shape>
      </w:pict>
    </w:r>
    <w:r>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D1EEA"/>
    <w:multiLevelType w:val="multilevel"/>
    <w:tmpl w:val="0ACD1EEA"/>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AA0EA7"/>
    <w:multiLevelType w:val="multilevel"/>
    <w:tmpl w:val="29AA0EA7"/>
    <w:lvl w:ilvl="0">
      <w:start w:val="1"/>
      <w:numFmt w:val="lowerLetter"/>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9B1248"/>
    <w:multiLevelType w:val="multilevel"/>
    <w:tmpl w:val="669B1248"/>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B15DEC"/>
    <w:multiLevelType w:val="multilevel"/>
    <w:tmpl w:val="6AB15DEC"/>
    <w:lvl w:ilvl="0">
      <w:start w:val="1"/>
      <w:numFmt w:val="decimal"/>
      <w:lvlText w:val="%1."/>
      <w:lvlJc w:val="left"/>
      <w:pPr>
        <w:ind w:left="709" w:hanging="425"/>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3C78"/>
    <w:rsid w:val="00007857"/>
    <w:rsid w:val="00010E64"/>
    <w:rsid w:val="0001151F"/>
    <w:rsid w:val="00011CCA"/>
    <w:rsid w:val="00012BEE"/>
    <w:rsid w:val="00012D78"/>
    <w:rsid w:val="00015487"/>
    <w:rsid w:val="000160BB"/>
    <w:rsid w:val="000171BE"/>
    <w:rsid w:val="00021122"/>
    <w:rsid w:val="00021165"/>
    <w:rsid w:val="0002179A"/>
    <w:rsid w:val="00022282"/>
    <w:rsid w:val="00024A6D"/>
    <w:rsid w:val="00026582"/>
    <w:rsid w:val="00026B3F"/>
    <w:rsid w:val="00027BED"/>
    <w:rsid w:val="00031BA3"/>
    <w:rsid w:val="00032093"/>
    <w:rsid w:val="00032626"/>
    <w:rsid w:val="00033479"/>
    <w:rsid w:val="00033562"/>
    <w:rsid w:val="00033C77"/>
    <w:rsid w:val="0003430B"/>
    <w:rsid w:val="0003461C"/>
    <w:rsid w:val="00035A30"/>
    <w:rsid w:val="00036AA3"/>
    <w:rsid w:val="00036D5F"/>
    <w:rsid w:val="00036EFC"/>
    <w:rsid w:val="00040A10"/>
    <w:rsid w:val="00041670"/>
    <w:rsid w:val="000417BE"/>
    <w:rsid w:val="00041AE7"/>
    <w:rsid w:val="00041DEA"/>
    <w:rsid w:val="00042C95"/>
    <w:rsid w:val="0004406E"/>
    <w:rsid w:val="00045F86"/>
    <w:rsid w:val="00046111"/>
    <w:rsid w:val="000510A4"/>
    <w:rsid w:val="00051732"/>
    <w:rsid w:val="00054681"/>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36F"/>
    <w:rsid w:val="0007107B"/>
    <w:rsid w:val="000739AF"/>
    <w:rsid w:val="000744AF"/>
    <w:rsid w:val="00075586"/>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20"/>
    <w:rsid w:val="00096248"/>
    <w:rsid w:val="0009782B"/>
    <w:rsid w:val="000A110B"/>
    <w:rsid w:val="000A2F65"/>
    <w:rsid w:val="000A3F41"/>
    <w:rsid w:val="000A417F"/>
    <w:rsid w:val="000A4A92"/>
    <w:rsid w:val="000A50D0"/>
    <w:rsid w:val="000A5BE7"/>
    <w:rsid w:val="000A5EAB"/>
    <w:rsid w:val="000A6905"/>
    <w:rsid w:val="000B0404"/>
    <w:rsid w:val="000B1F27"/>
    <w:rsid w:val="000B28CF"/>
    <w:rsid w:val="000B33A0"/>
    <w:rsid w:val="000B37F4"/>
    <w:rsid w:val="000B51CE"/>
    <w:rsid w:val="000B5608"/>
    <w:rsid w:val="000B65C3"/>
    <w:rsid w:val="000C0203"/>
    <w:rsid w:val="000C066A"/>
    <w:rsid w:val="000C0E5D"/>
    <w:rsid w:val="000C19D9"/>
    <w:rsid w:val="000C2D59"/>
    <w:rsid w:val="000C34D9"/>
    <w:rsid w:val="000C416A"/>
    <w:rsid w:val="000C472C"/>
    <w:rsid w:val="000C4751"/>
    <w:rsid w:val="000C51AF"/>
    <w:rsid w:val="000C661C"/>
    <w:rsid w:val="000C7F8F"/>
    <w:rsid w:val="000D0E25"/>
    <w:rsid w:val="000D14DA"/>
    <w:rsid w:val="000D34CF"/>
    <w:rsid w:val="000D55D2"/>
    <w:rsid w:val="000D5634"/>
    <w:rsid w:val="000D5C00"/>
    <w:rsid w:val="000D772A"/>
    <w:rsid w:val="000E06A3"/>
    <w:rsid w:val="000E0D32"/>
    <w:rsid w:val="000E139E"/>
    <w:rsid w:val="000E1684"/>
    <w:rsid w:val="000E1FD4"/>
    <w:rsid w:val="000E3414"/>
    <w:rsid w:val="000E37D0"/>
    <w:rsid w:val="000E4AFE"/>
    <w:rsid w:val="000E4DB7"/>
    <w:rsid w:val="000E4EBC"/>
    <w:rsid w:val="000E5771"/>
    <w:rsid w:val="000E74D7"/>
    <w:rsid w:val="000F114E"/>
    <w:rsid w:val="000F146C"/>
    <w:rsid w:val="000F196A"/>
    <w:rsid w:val="000F474F"/>
    <w:rsid w:val="000F5B0B"/>
    <w:rsid w:val="000F693C"/>
    <w:rsid w:val="00100584"/>
    <w:rsid w:val="0010147E"/>
    <w:rsid w:val="0010183E"/>
    <w:rsid w:val="00103C89"/>
    <w:rsid w:val="001050A9"/>
    <w:rsid w:val="001057DD"/>
    <w:rsid w:val="00107256"/>
    <w:rsid w:val="001116B7"/>
    <w:rsid w:val="00111ECD"/>
    <w:rsid w:val="0011523B"/>
    <w:rsid w:val="00115495"/>
    <w:rsid w:val="00115597"/>
    <w:rsid w:val="001155D5"/>
    <w:rsid w:val="00116BAA"/>
    <w:rsid w:val="00116E4B"/>
    <w:rsid w:val="00116F6B"/>
    <w:rsid w:val="00120DD7"/>
    <w:rsid w:val="00121648"/>
    <w:rsid w:val="001227D7"/>
    <w:rsid w:val="001235A0"/>
    <w:rsid w:val="00123D0B"/>
    <w:rsid w:val="00130C18"/>
    <w:rsid w:val="00130EA9"/>
    <w:rsid w:val="00131C6C"/>
    <w:rsid w:val="00131F2D"/>
    <w:rsid w:val="00134EAB"/>
    <w:rsid w:val="0013599E"/>
    <w:rsid w:val="00135CF5"/>
    <w:rsid w:val="0013657B"/>
    <w:rsid w:val="00136A94"/>
    <w:rsid w:val="00137EFD"/>
    <w:rsid w:val="001426A5"/>
    <w:rsid w:val="001428F5"/>
    <w:rsid w:val="00142D35"/>
    <w:rsid w:val="00144A6E"/>
    <w:rsid w:val="00144BA8"/>
    <w:rsid w:val="001464CD"/>
    <w:rsid w:val="00147908"/>
    <w:rsid w:val="00147FF4"/>
    <w:rsid w:val="00150293"/>
    <w:rsid w:val="001502AD"/>
    <w:rsid w:val="001506EA"/>
    <w:rsid w:val="001509C0"/>
    <w:rsid w:val="00151431"/>
    <w:rsid w:val="00151FF5"/>
    <w:rsid w:val="00152A5B"/>
    <w:rsid w:val="00152F94"/>
    <w:rsid w:val="00154F75"/>
    <w:rsid w:val="00155CC6"/>
    <w:rsid w:val="00155F53"/>
    <w:rsid w:val="001564E3"/>
    <w:rsid w:val="001568D5"/>
    <w:rsid w:val="001624E8"/>
    <w:rsid w:val="0016299D"/>
    <w:rsid w:val="0016322B"/>
    <w:rsid w:val="0016334D"/>
    <w:rsid w:val="0016339A"/>
    <w:rsid w:val="00165898"/>
    <w:rsid w:val="00166171"/>
    <w:rsid w:val="001702D8"/>
    <w:rsid w:val="00171192"/>
    <w:rsid w:val="00171BBC"/>
    <w:rsid w:val="00172B61"/>
    <w:rsid w:val="001730B1"/>
    <w:rsid w:val="0017523B"/>
    <w:rsid w:val="00175B42"/>
    <w:rsid w:val="00176522"/>
    <w:rsid w:val="00177EE5"/>
    <w:rsid w:val="001809A8"/>
    <w:rsid w:val="00181A9D"/>
    <w:rsid w:val="00182FC0"/>
    <w:rsid w:val="0018345A"/>
    <w:rsid w:val="0018466B"/>
    <w:rsid w:val="00184AEA"/>
    <w:rsid w:val="00185C61"/>
    <w:rsid w:val="00187551"/>
    <w:rsid w:val="00190519"/>
    <w:rsid w:val="00192D02"/>
    <w:rsid w:val="001957E6"/>
    <w:rsid w:val="00195845"/>
    <w:rsid w:val="0019584A"/>
    <w:rsid w:val="001960AD"/>
    <w:rsid w:val="001A057E"/>
    <w:rsid w:val="001A0AFD"/>
    <w:rsid w:val="001A0E96"/>
    <w:rsid w:val="001A1BDB"/>
    <w:rsid w:val="001A316F"/>
    <w:rsid w:val="001A3C5F"/>
    <w:rsid w:val="001A4BDF"/>
    <w:rsid w:val="001A6212"/>
    <w:rsid w:val="001A6849"/>
    <w:rsid w:val="001A6A5B"/>
    <w:rsid w:val="001A773B"/>
    <w:rsid w:val="001B0486"/>
    <w:rsid w:val="001B132A"/>
    <w:rsid w:val="001B28D1"/>
    <w:rsid w:val="001B3FD2"/>
    <w:rsid w:val="001B6C2D"/>
    <w:rsid w:val="001B6F30"/>
    <w:rsid w:val="001C087E"/>
    <w:rsid w:val="001C0F32"/>
    <w:rsid w:val="001C2C72"/>
    <w:rsid w:val="001C3387"/>
    <w:rsid w:val="001C41BB"/>
    <w:rsid w:val="001C48FD"/>
    <w:rsid w:val="001C54A1"/>
    <w:rsid w:val="001C5852"/>
    <w:rsid w:val="001C5CD0"/>
    <w:rsid w:val="001C72C0"/>
    <w:rsid w:val="001C7697"/>
    <w:rsid w:val="001C796D"/>
    <w:rsid w:val="001C7C31"/>
    <w:rsid w:val="001D1B77"/>
    <w:rsid w:val="001D225B"/>
    <w:rsid w:val="001D3563"/>
    <w:rsid w:val="001D3EE2"/>
    <w:rsid w:val="001D41E0"/>
    <w:rsid w:val="001D60E0"/>
    <w:rsid w:val="001D6CA8"/>
    <w:rsid w:val="001E04CC"/>
    <w:rsid w:val="001E10A8"/>
    <w:rsid w:val="001E2186"/>
    <w:rsid w:val="001E35AE"/>
    <w:rsid w:val="001E5453"/>
    <w:rsid w:val="001E5B3F"/>
    <w:rsid w:val="001E5C3D"/>
    <w:rsid w:val="001E678B"/>
    <w:rsid w:val="001F2BC9"/>
    <w:rsid w:val="001F408E"/>
    <w:rsid w:val="001F4860"/>
    <w:rsid w:val="001F4EDD"/>
    <w:rsid w:val="001F57CD"/>
    <w:rsid w:val="001F5A09"/>
    <w:rsid w:val="001F5E58"/>
    <w:rsid w:val="001F7890"/>
    <w:rsid w:val="00200FAD"/>
    <w:rsid w:val="00201765"/>
    <w:rsid w:val="00202986"/>
    <w:rsid w:val="002038B1"/>
    <w:rsid w:val="00203C81"/>
    <w:rsid w:val="00203F5C"/>
    <w:rsid w:val="00205F52"/>
    <w:rsid w:val="00205FAC"/>
    <w:rsid w:val="0020763C"/>
    <w:rsid w:val="00207E11"/>
    <w:rsid w:val="0021063D"/>
    <w:rsid w:val="00210714"/>
    <w:rsid w:val="0021327B"/>
    <w:rsid w:val="00214B09"/>
    <w:rsid w:val="002155ED"/>
    <w:rsid w:val="0021627B"/>
    <w:rsid w:val="0021698E"/>
    <w:rsid w:val="00216D13"/>
    <w:rsid w:val="00222090"/>
    <w:rsid w:val="0022245F"/>
    <w:rsid w:val="00222FB8"/>
    <w:rsid w:val="00224FEA"/>
    <w:rsid w:val="002264AE"/>
    <w:rsid w:val="00227DBC"/>
    <w:rsid w:val="0023118D"/>
    <w:rsid w:val="002317B1"/>
    <w:rsid w:val="00232621"/>
    <w:rsid w:val="0023293E"/>
    <w:rsid w:val="00232A7A"/>
    <w:rsid w:val="00232DA5"/>
    <w:rsid w:val="002338B9"/>
    <w:rsid w:val="00234061"/>
    <w:rsid w:val="002341CD"/>
    <w:rsid w:val="0023573F"/>
    <w:rsid w:val="00236B9A"/>
    <w:rsid w:val="0024000C"/>
    <w:rsid w:val="00240046"/>
    <w:rsid w:val="00241429"/>
    <w:rsid w:val="0024157E"/>
    <w:rsid w:val="002418D7"/>
    <w:rsid w:val="002432E1"/>
    <w:rsid w:val="00245AC1"/>
    <w:rsid w:val="002462CA"/>
    <w:rsid w:val="00246FAB"/>
    <w:rsid w:val="002513B5"/>
    <w:rsid w:val="00252443"/>
    <w:rsid w:val="0025255F"/>
    <w:rsid w:val="002547B2"/>
    <w:rsid w:val="0025565C"/>
    <w:rsid w:val="00255FD1"/>
    <w:rsid w:val="00256CE0"/>
    <w:rsid w:val="00261A13"/>
    <w:rsid w:val="0026200A"/>
    <w:rsid w:val="002632DB"/>
    <w:rsid w:val="00264CA1"/>
    <w:rsid w:val="0026506A"/>
    <w:rsid w:val="00267100"/>
    <w:rsid w:val="002704DF"/>
    <w:rsid w:val="00270DB0"/>
    <w:rsid w:val="00270F03"/>
    <w:rsid w:val="002710B5"/>
    <w:rsid w:val="0027116F"/>
    <w:rsid w:val="002729A0"/>
    <w:rsid w:val="00272C9B"/>
    <w:rsid w:val="00272E59"/>
    <w:rsid w:val="00273F5F"/>
    <w:rsid w:val="00273F7C"/>
    <w:rsid w:val="0027555F"/>
    <w:rsid w:val="00275719"/>
    <w:rsid w:val="00276D65"/>
    <w:rsid w:val="00280398"/>
    <w:rsid w:val="002811E3"/>
    <w:rsid w:val="00282431"/>
    <w:rsid w:val="00282E9E"/>
    <w:rsid w:val="002834C7"/>
    <w:rsid w:val="00283D5E"/>
    <w:rsid w:val="00284245"/>
    <w:rsid w:val="00285034"/>
    <w:rsid w:val="0028504C"/>
    <w:rsid w:val="00285EA0"/>
    <w:rsid w:val="002913C5"/>
    <w:rsid w:val="002916D6"/>
    <w:rsid w:val="00291DE2"/>
    <w:rsid w:val="0029208D"/>
    <w:rsid w:val="0029225E"/>
    <w:rsid w:val="002937DD"/>
    <w:rsid w:val="00293F85"/>
    <w:rsid w:val="0029482F"/>
    <w:rsid w:val="00294892"/>
    <w:rsid w:val="00296073"/>
    <w:rsid w:val="00296626"/>
    <w:rsid w:val="00296E92"/>
    <w:rsid w:val="00297212"/>
    <w:rsid w:val="00297637"/>
    <w:rsid w:val="002A02E8"/>
    <w:rsid w:val="002A0E61"/>
    <w:rsid w:val="002A1797"/>
    <w:rsid w:val="002A51B8"/>
    <w:rsid w:val="002A5ADD"/>
    <w:rsid w:val="002A5FDF"/>
    <w:rsid w:val="002A6FCE"/>
    <w:rsid w:val="002A7501"/>
    <w:rsid w:val="002B04CA"/>
    <w:rsid w:val="002B0EA1"/>
    <w:rsid w:val="002B317E"/>
    <w:rsid w:val="002B3CE2"/>
    <w:rsid w:val="002B40FF"/>
    <w:rsid w:val="002B508A"/>
    <w:rsid w:val="002B5F48"/>
    <w:rsid w:val="002B6DF7"/>
    <w:rsid w:val="002B7549"/>
    <w:rsid w:val="002B7E9F"/>
    <w:rsid w:val="002C0E65"/>
    <w:rsid w:val="002C15CA"/>
    <w:rsid w:val="002C1DAF"/>
    <w:rsid w:val="002C26CD"/>
    <w:rsid w:val="002C2C08"/>
    <w:rsid w:val="002C42A2"/>
    <w:rsid w:val="002C4718"/>
    <w:rsid w:val="002C4B31"/>
    <w:rsid w:val="002C6010"/>
    <w:rsid w:val="002C7329"/>
    <w:rsid w:val="002C7EC4"/>
    <w:rsid w:val="002D15F2"/>
    <w:rsid w:val="002D2F05"/>
    <w:rsid w:val="002D3232"/>
    <w:rsid w:val="002D428B"/>
    <w:rsid w:val="002D4953"/>
    <w:rsid w:val="002D5CCE"/>
    <w:rsid w:val="002D73C6"/>
    <w:rsid w:val="002E1484"/>
    <w:rsid w:val="002E2BE0"/>
    <w:rsid w:val="002E37DA"/>
    <w:rsid w:val="002E40AD"/>
    <w:rsid w:val="002E5790"/>
    <w:rsid w:val="002E5934"/>
    <w:rsid w:val="002E72F0"/>
    <w:rsid w:val="002E7843"/>
    <w:rsid w:val="002E7EB8"/>
    <w:rsid w:val="002F368E"/>
    <w:rsid w:val="002F3AAF"/>
    <w:rsid w:val="002F40FF"/>
    <w:rsid w:val="002F5101"/>
    <w:rsid w:val="002F713F"/>
    <w:rsid w:val="00300919"/>
    <w:rsid w:val="00300C95"/>
    <w:rsid w:val="00302BF3"/>
    <w:rsid w:val="00302D8C"/>
    <w:rsid w:val="00303F92"/>
    <w:rsid w:val="00304386"/>
    <w:rsid w:val="00310825"/>
    <w:rsid w:val="00312106"/>
    <w:rsid w:val="003126FB"/>
    <w:rsid w:val="00314B75"/>
    <w:rsid w:val="00315A53"/>
    <w:rsid w:val="00315AE3"/>
    <w:rsid w:val="00315CA2"/>
    <w:rsid w:val="00316A7B"/>
    <w:rsid w:val="0031713D"/>
    <w:rsid w:val="00324F09"/>
    <w:rsid w:val="0033070B"/>
    <w:rsid w:val="00331513"/>
    <w:rsid w:val="00334724"/>
    <w:rsid w:val="0033491A"/>
    <w:rsid w:val="00337088"/>
    <w:rsid w:val="00337638"/>
    <w:rsid w:val="003401B0"/>
    <w:rsid w:val="00340ADD"/>
    <w:rsid w:val="00341178"/>
    <w:rsid w:val="00341B42"/>
    <w:rsid w:val="003423FC"/>
    <w:rsid w:val="00342A09"/>
    <w:rsid w:val="00342C57"/>
    <w:rsid w:val="00344766"/>
    <w:rsid w:val="00344AD3"/>
    <w:rsid w:val="00345687"/>
    <w:rsid w:val="00345708"/>
    <w:rsid w:val="00346373"/>
    <w:rsid w:val="003467CD"/>
    <w:rsid w:val="003472AA"/>
    <w:rsid w:val="00347C11"/>
    <w:rsid w:val="003505B2"/>
    <w:rsid w:val="0035063B"/>
    <w:rsid w:val="00352677"/>
    <w:rsid w:val="00353DE7"/>
    <w:rsid w:val="0036188D"/>
    <w:rsid w:val="00362013"/>
    <w:rsid w:val="00364C0A"/>
    <w:rsid w:val="003666FC"/>
    <w:rsid w:val="00367D62"/>
    <w:rsid w:val="003713C2"/>
    <w:rsid w:val="0037172A"/>
    <w:rsid w:val="0037269A"/>
    <w:rsid w:val="003735AE"/>
    <w:rsid w:val="0037526D"/>
    <w:rsid w:val="0037722A"/>
    <w:rsid w:val="00377FA1"/>
    <w:rsid w:val="003839F9"/>
    <w:rsid w:val="00385421"/>
    <w:rsid w:val="00386A48"/>
    <w:rsid w:val="003875FE"/>
    <w:rsid w:val="00387CF3"/>
    <w:rsid w:val="003916F4"/>
    <w:rsid w:val="00392022"/>
    <w:rsid w:val="0039214E"/>
    <w:rsid w:val="0039256B"/>
    <w:rsid w:val="0039393F"/>
    <w:rsid w:val="00396CF7"/>
    <w:rsid w:val="003971A2"/>
    <w:rsid w:val="00397677"/>
    <w:rsid w:val="003A0B24"/>
    <w:rsid w:val="003A0BF2"/>
    <w:rsid w:val="003A2762"/>
    <w:rsid w:val="003A2B8C"/>
    <w:rsid w:val="003A3A32"/>
    <w:rsid w:val="003A459D"/>
    <w:rsid w:val="003A59A6"/>
    <w:rsid w:val="003A6D5C"/>
    <w:rsid w:val="003A7ED9"/>
    <w:rsid w:val="003B01ED"/>
    <w:rsid w:val="003B10FB"/>
    <w:rsid w:val="003B1154"/>
    <w:rsid w:val="003B16BC"/>
    <w:rsid w:val="003B1752"/>
    <w:rsid w:val="003B3252"/>
    <w:rsid w:val="003B328A"/>
    <w:rsid w:val="003B3474"/>
    <w:rsid w:val="003B431B"/>
    <w:rsid w:val="003B5474"/>
    <w:rsid w:val="003B5841"/>
    <w:rsid w:val="003B595A"/>
    <w:rsid w:val="003B7208"/>
    <w:rsid w:val="003B7403"/>
    <w:rsid w:val="003B7A9D"/>
    <w:rsid w:val="003C1100"/>
    <w:rsid w:val="003C1A3B"/>
    <w:rsid w:val="003C1CFB"/>
    <w:rsid w:val="003C1DE6"/>
    <w:rsid w:val="003C4FF5"/>
    <w:rsid w:val="003C5056"/>
    <w:rsid w:val="003D06C8"/>
    <w:rsid w:val="003D0AE2"/>
    <w:rsid w:val="003D3477"/>
    <w:rsid w:val="003D4518"/>
    <w:rsid w:val="003D5450"/>
    <w:rsid w:val="003D6A18"/>
    <w:rsid w:val="003D6A96"/>
    <w:rsid w:val="003D7760"/>
    <w:rsid w:val="003E0BBD"/>
    <w:rsid w:val="003E13A1"/>
    <w:rsid w:val="003E2955"/>
    <w:rsid w:val="003E44DA"/>
    <w:rsid w:val="003E468A"/>
    <w:rsid w:val="003E6E17"/>
    <w:rsid w:val="003F2491"/>
    <w:rsid w:val="003F308A"/>
    <w:rsid w:val="003F598D"/>
    <w:rsid w:val="003F5D5C"/>
    <w:rsid w:val="003F6192"/>
    <w:rsid w:val="003F6B55"/>
    <w:rsid w:val="003F78BE"/>
    <w:rsid w:val="00400915"/>
    <w:rsid w:val="00400AFE"/>
    <w:rsid w:val="00401ADF"/>
    <w:rsid w:val="00401B2E"/>
    <w:rsid w:val="00401D6E"/>
    <w:rsid w:val="00403319"/>
    <w:rsid w:val="00404426"/>
    <w:rsid w:val="00406793"/>
    <w:rsid w:val="00411F8F"/>
    <w:rsid w:val="004135D8"/>
    <w:rsid w:val="00414020"/>
    <w:rsid w:val="0041428D"/>
    <w:rsid w:val="004154DB"/>
    <w:rsid w:val="00415F13"/>
    <w:rsid w:val="00417379"/>
    <w:rsid w:val="004176BF"/>
    <w:rsid w:val="004204D0"/>
    <w:rsid w:val="00420AC4"/>
    <w:rsid w:val="00422501"/>
    <w:rsid w:val="004232C6"/>
    <w:rsid w:val="00426124"/>
    <w:rsid w:val="00426D77"/>
    <w:rsid w:val="00426F24"/>
    <w:rsid w:val="004310BB"/>
    <w:rsid w:val="0043241F"/>
    <w:rsid w:val="004338C7"/>
    <w:rsid w:val="00433E65"/>
    <w:rsid w:val="00434C3F"/>
    <w:rsid w:val="004406B5"/>
    <w:rsid w:val="00440BDC"/>
    <w:rsid w:val="00444E7F"/>
    <w:rsid w:val="00445378"/>
    <w:rsid w:val="00445514"/>
    <w:rsid w:val="00445853"/>
    <w:rsid w:val="00447748"/>
    <w:rsid w:val="00447A90"/>
    <w:rsid w:val="0045354B"/>
    <w:rsid w:val="00453687"/>
    <w:rsid w:val="004536F3"/>
    <w:rsid w:val="004558BD"/>
    <w:rsid w:val="00457C91"/>
    <w:rsid w:val="00460C5B"/>
    <w:rsid w:val="004615D3"/>
    <w:rsid w:val="0046281E"/>
    <w:rsid w:val="00463909"/>
    <w:rsid w:val="00464049"/>
    <w:rsid w:val="004643B6"/>
    <w:rsid w:val="00464D6B"/>
    <w:rsid w:val="00465812"/>
    <w:rsid w:val="00467C83"/>
    <w:rsid w:val="00471533"/>
    <w:rsid w:val="00471E09"/>
    <w:rsid w:val="004728C4"/>
    <w:rsid w:val="00473C7A"/>
    <w:rsid w:val="00474C35"/>
    <w:rsid w:val="004750A1"/>
    <w:rsid w:val="004769A4"/>
    <w:rsid w:val="00476B83"/>
    <w:rsid w:val="00480212"/>
    <w:rsid w:val="00480D99"/>
    <w:rsid w:val="00482951"/>
    <w:rsid w:val="00483EC9"/>
    <w:rsid w:val="004841AE"/>
    <w:rsid w:val="00484C7F"/>
    <w:rsid w:val="00485194"/>
    <w:rsid w:val="0049095E"/>
    <w:rsid w:val="004914F8"/>
    <w:rsid w:val="004923EB"/>
    <w:rsid w:val="004933FC"/>
    <w:rsid w:val="00494029"/>
    <w:rsid w:val="00497898"/>
    <w:rsid w:val="004A0AF5"/>
    <w:rsid w:val="004A0ED0"/>
    <w:rsid w:val="004A1FFC"/>
    <w:rsid w:val="004A212C"/>
    <w:rsid w:val="004A6D54"/>
    <w:rsid w:val="004B0090"/>
    <w:rsid w:val="004B05C6"/>
    <w:rsid w:val="004B0B9E"/>
    <w:rsid w:val="004B1A74"/>
    <w:rsid w:val="004B1D97"/>
    <w:rsid w:val="004B3514"/>
    <w:rsid w:val="004B3867"/>
    <w:rsid w:val="004B4283"/>
    <w:rsid w:val="004C0799"/>
    <w:rsid w:val="004C09C8"/>
    <w:rsid w:val="004C0D2E"/>
    <w:rsid w:val="004C11B9"/>
    <w:rsid w:val="004C1525"/>
    <w:rsid w:val="004C2973"/>
    <w:rsid w:val="004C2BB4"/>
    <w:rsid w:val="004C3C06"/>
    <w:rsid w:val="004C3C1C"/>
    <w:rsid w:val="004C43C9"/>
    <w:rsid w:val="004C45FA"/>
    <w:rsid w:val="004C4707"/>
    <w:rsid w:val="004C4BB7"/>
    <w:rsid w:val="004C6779"/>
    <w:rsid w:val="004C6F39"/>
    <w:rsid w:val="004C7D54"/>
    <w:rsid w:val="004D0CC4"/>
    <w:rsid w:val="004D1079"/>
    <w:rsid w:val="004D571F"/>
    <w:rsid w:val="004D6095"/>
    <w:rsid w:val="004D66AD"/>
    <w:rsid w:val="004E07A1"/>
    <w:rsid w:val="004E1729"/>
    <w:rsid w:val="004E1B3C"/>
    <w:rsid w:val="004E3959"/>
    <w:rsid w:val="004E3F86"/>
    <w:rsid w:val="004E4AD1"/>
    <w:rsid w:val="004E5659"/>
    <w:rsid w:val="004E5E43"/>
    <w:rsid w:val="004E77E1"/>
    <w:rsid w:val="004F0AB7"/>
    <w:rsid w:val="004F1DBA"/>
    <w:rsid w:val="004F3291"/>
    <w:rsid w:val="004F32D0"/>
    <w:rsid w:val="004F483D"/>
    <w:rsid w:val="004F6671"/>
    <w:rsid w:val="004F6A97"/>
    <w:rsid w:val="004F78C4"/>
    <w:rsid w:val="00500E29"/>
    <w:rsid w:val="005025C7"/>
    <w:rsid w:val="00504B42"/>
    <w:rsid w:val="005064AE"/>
    <w:rsid w:val="00506DB2"/>
    <w:rsid w:val="00510870"/>
    <w:rsid w:val="00510A94"/>
    <w:rsid w:val="00511A88"/>
    <w:rsid w:val="00511AE4"/>
    <w:rsid w:val="00512A53"/>
    <w:rsid w:val="00513D8C"/>
    <w:rsid w:val="0051421A"/>
    <w:rsid w:val="005159EC"/>
    <w:rsid w:val="00515E8C"/>
    <w:rsid w:val="00516A4D"/>
    <w:rsid w:val="00521628"/>
    <w:rsid w:val="0052214D"/>
    <w:rsid w:val="005230F2"/>
    <w:rsid w:val="00525F6D"/>
    <w:rsid w:val="0052661E"/>
    <w:rsid w:val="00526627"/>
    <w:rsid w:val="00527EF6"/>
    <w:rsid w:val="00531016"/>
    <w:rsid w:val="005310FD"/>
    <w:rsid w:val="00531474"/>
    <w:rsid w:val="00532218"/>
    <w:rsid w:val="00533D56"/>
    <w:rsid w:val="00535912"/>
    <w:rsid w:val="005367E7"/>
    <w:rsid w:val="00537098"/>
    <w:rsid w:val="00542B22"/>
    <w:rsid w:val="00542CDB"/>
    <w:rsid w:val="00543B75"/>
    <w:rsid w:val="00544041"/>
    <w:rsid w:val="005449D0"/>
    <w:rsid w:val="00546926"/>
    <w:rsid w:val="00547A18"/>
    <w:rsid w:val="00550ECE"/>
    <w:rsid w:val="005515F8"/>
    <w:rsid w:val="00553B9B"/>
    <w:rsid w:val="005543AF"/>
    <w:rsid w:val="00554BD4"/>
    <w:rsid w:val="00555CE3"/>
    <w:rsid w:val="0055603D"/>
    <w:rsid w:val="00560E60"/>
    <w:rsid w:val="00561EA7"/>
    <w:rsid w:val="00562117"/>
    <w:rsid w:val="0056402C"/>
    <w:rsid w:val="00564672"/>
    <w:rsid w:val="00564DDB"/>
    <w:rsid w:val="00565921"/>
    <w:rsid w:val="005660D0"/>
    <w:rsid w:val="00566380"/>
    <w:rsid w:val="00566BC8"/>
    <w:rsid w:val="005701EF"/>
    <w:rsid w:val="00571527"/>
    <w:rsid w:val="005723A4"/>
    <w:rsid w:val="005727FC"/>
    <w:rsid w:val="00572C2A"/>
    <w:rsid w:val="00572F6A"/>
    <w:rsid w:val="00573B2C"/>
    <w:rsid w:val="00573B96"/>
    <w:rsid w:val="005743B8"/>
    <w:rsid w:val="005749DF"/>
    <w:rsid w:val="00574AA5"/>
    <w:rsid w:val="00574D31"/>
    <w:rsid w:val="005807A8"/>
    <w:rsid w:val="00580D15"/>
    <w:rsid w:val="00584C51"/>
    <w:rsid w:val="0058529D"/>
    <w:rsid w:val="00587B1E"/>
    <w:rsid w:val="00587E84"/>
    <w:rsid w:val="0059062F"/>
    <w:rsid w:val="005913E6"/>
    <w:rsid w:val="005944ED"/>
    <w:rsid w:val="00594C9E"/>
    <w:rsid w:val="005964D7"/>
    <w:rsid w:val="00596D61"/>
    <w:rsid w:val="00597018"/>
    <w:rsid w:val="005A0521"/>
    <w:rsid w:val="005A05C0"/>
    <w:rsid w:val="005A2F92"/>
    <w:rsid w:val="005A3A80"/>
    <w:rsid w:val="005A43E7"/>
    <w:rsid w:val="005A4480"/>
    <w:rsid w:val="005A5CE0"/>
    <w:rsid w:val="005A60E9"/>
    <w:rsid w:val="005A63D7"/>
    <w:rsid w:val="005A7E33"/>
    <w:rsid w:val="005B0C33"/>
    <w:rsid w:val="005B10B2"/>
    <w:rsid w:val="005B10CC"/>
    <w:rsid w:val="005B24F2"/>
    <w:rsid w:val="005B4184"/>
    <w:rsid w:val="005B52A0"/>
    <w:rsid w:val="005B6FFD"/>
    <w:rsid w:val="005B72D5"/>
    <w:rsid w:val="005C196C"/>
    <w:rsid w:val="005C26D1"/>
    <w:rsid w:val="005C3127"/>
    <w:rsid w:val="005C3DF3"/>
    <w:rsid w:val="005C4FFC"/>
    <w:rsid w:val="005C5501"/>
    <w:rsid w:val="005C7AFE"/>
    <w:rsid w:val="005D01B4"/>
    <w:rsid w:val="005D10B3"/>
    <w:rsid w:val="005D158D"/>
    <w:rsid w:val="005D22BC"/>
    <w:rsid w:val="005D3A5F"/>
    <w:rsid w:val="005D6310"/>
    <w:rsid w:val="005D6CE0"/>
    <w:rsid w:val="005E10A5"/>
    <w:rsid w:val="005E1AEC"/>
    <w:rsid w:val="005E21DE"/>
    <w:rsid w:val="005E24C2"/>
    <w:rsid w:val="005E34E9"/>
    <w:rsid w:val="005E35AB"/>
    <w:rsid w:val="005E3927"/>
    <w:rsid w:val="005E5216"/>
    <w:rsid w:val="005E6853"/>
    <w:rsid w:val="005E7588"/>
    <w:rsid w:val="005F1439"/>
    <w:rsid w:val="005F1EEA"/>
    <w:rsid w:val="005F21B0"/>
    <w:rsid w:val="005F28A3"/>
    <w:rsid w:val="005F48C8"/>
    <w:rsid w:val="005F4D3D"/>
    <w:rsid w:val="005F5B10"/>
    <w:rsid w:val="005F6CAB"/>
    <w:rsid w:val="006010B5"/>
    <w:rsid w:val="0060244C"/>
    <w:rsid w:val="00602F20"/>
    <w:rsid w:val="00610A95"/>
    <w:rsid w:val="00613401"/>
    <w:rsid w:val="00613CC8"/>
    <w:rsid w:val="0061516D"/>
    <w:rsid w:val="00615B10"/>
    <w:rsid w:val="006168EB"/>
    <w:rsid w:val="00616DEB"/>
    <w:rsid w:val="00620DE2"/>
    <w:rsid w:val="006216AE"/>
    <w:rsid w:val="00621E30"/>
    <w:rsid w:val="00624E9E"/>
    <w:rsid w:val="00625D54"/>
    <w:rsid w:val="006263D3"/>
    <w:rsid w:val="0062694E"/>
    <w:rsid w:val="00630030"/>
    <w:rsid w:val="006301FE"/>
    <w:rsid w:val="00630426"/>
    <w:rsid w:val="00631753"/>
    <w:rsid w:val="00635C2F"/>
    <w:rsid w:val="00636EB3"/>
    <w:rsid w:val="0063754D"/>
    <w:rsid w:val="006377A9"/>
    <w:rsid w:val="0063788D"/>
    <w:rsid w:val="00637F6F"/>
    <w:rsid w:val="00640CDD"/>
    <w:rsid w:val="00640E61"/>
    <w:rsid w:val="00641780"/>
    <w:rsid w:val="00642A8B"/>
    <w:rsid w:val="006468ED"/>
    <w:rsid w:val="0065059A"/>
    <w:rsid w:val="00650D84"/>
    <w:rsid w:val="006512F6"/>
    <w:rsid w:val="00653220"/>
    <w:rsid w:val="00653B0F"/>
    <w:rsid w:val="0065599C"/>
    <w:rsid w:val="006609B3"/>
    <w:rsid w:val="00660E52"/>
    <w:rsid w:val="0066148E"/>
    <w:rsid w:val="00661B3F"/>
    <w:rsid w:val="006621E6"/>
    <w:rsid w:val="006625F9"/>
    <w:rsid w:val="00662E3D"/>
    <w:rsid w:val="00663A37"/>
    <w:rsid w:val="00664BB4"/>
    <w:rsid w:val="00664E3D"/>
    <w:rsid w:val="00665A8F"/>
    <w:rsid w:val="00667860"/>
    <w:rsid w:val="0067157E"/>
    <w:rsid w:val="006725D1"/>
    <w:rsid w:val="00674A23"/>
    <w:rsid w:val="00675D66"/>
    <w:rsid w:val="00676053"/>
    <w:rsid w:val="006763AD"/>
    <w:rsid w:val="00676CF0"/>
    <w:rsid w:val="00676D1D"/>
    <w:rsid w:val="00680D15"/>
    <w:rsid w:val="006818D9"/>
    <w:rsid w:val="006834AD"/>
    <w:rsid w:val="006838C7"/>
    <w:rsid w:val="0068643A"/>
    <w:rsid w:val="00687F16"/>
    <w:rsid w:val="00690405"/>
    <w:rsid w:val="00690944"/>
    <w:rsid w:val="006914D2"/>
    <w:rsid w:val="00691A36"/>
    <w:rsid w:val="00691C06"/>
    <w:rsid w:val="0069448A"/>
    <w:rsid w:val="00696FD6"/>
    <w:rsid w:val="006A0A5C"/>
    <w:rsid w:val="006A3459"/>
    <w:rsid w:val="006A4224"/>
    <w:rsid w:val="006A56F0"/>
    <w:rsid w:val="006A585F"/>
    <w:rsid w:val="006A5A66"/>
    <w:rsid w:val="006A7CE2"/>
    <w:rsid w:val="006A7E3C"/>
    <w:rsid w:val="006B4CA4"/>
    <w:rsid w:val="006B6498"/>
    <w:rsid w:val="006B64AA"/>
    <w:rsid w:val="006B6616"/>
    <w:rsid w:val="006B6868"/>
    <w:rsid w:val="006B7074"/>
    <w:rsid w:val="006C2214"/>
    <w:rsid w:val="006C34FC"/>
    <w:rsid w:val="006C372D"/>
    <w:rsid w:val="006C410C"/>
    <w:rsid w:val="006C52D3"/>
    <w:rsid w:val="006C55C2"/>
    <w:rsid w:val="006C6C41"/>
    <w:rsid w:val="006C7486"/>
    <w:rsid w:val="006C7A28"/>
    <w:rsid w:val="006D1EC8"/>
    <w:rsid w:val="006D3F59"/>
    <w:rsid w:val="006D611D"/>
    <w:rsid w:val="006D6830"/>
    <w:rsid w:val="006D719C"/>
    <w:rsid w:val="006D7DF3"/>
    <w:rsid w:val="006E15A2"/>
    <w:rsid w:val="006E20F9"/>
    <w:rsid w:val="006E3F38"/>
    <w:rsid w:val="006E492B"/>
    <w:rsid w:val="006E4C8D"/>
    <w:rsid w:val="006E6076"/>
    <w:rsid w:val="006E6DD7"/>
    <w:rsid w:val="006F0222"/>
    <w:rsid w:val="006F045D"/>
    <w:rsid w:val="006F04A3"/>
    <w:rsid w:val="006F0DBB"/>
    <w:rsid w:val="006F114C"/>
    <w:rsid w:val="006F1A99"/>
    <w:rsid w:val="006F25AA"/>
    <w:rsid w:val="006F40B1"/>
    <w:rsid w:val="006F4CB2"/>
    <w:rsid w:val="006F5D3C"/>
    <w:rsid w:val="006F676C"/>
    <w:rsid w:val="00700C90"/>
    <w:rsid w:val="00701F34"/>
    <w:rsid w:val="007031A2"/>
    <w:rsid w:val="00704508"/>
    <w:rsid w:val="00704693"/>
    <w:rsid w:val="00704AB9"/>
    <w:rsid w:val="007054D8"/>
    <w:rsid w:val="00706D47"/>
    <w:rsid w:val="007074FC"/>
    <w:rsid w:val="00707A67"/>
    <w:rsid w:val="00707DE5"/>
    <w:rsid w:val="00711EE2"/>
    <w:rsid w:val="007130DA"/>
    <w:rsid w:val="00713DD5"/>
    <w:rsid w:val="00714BF9"/>
    <w:rsid w:val="0071601C"/>
    <w:rsid w:val="00720D8F"/>
    <w:rsid w:val="0072149D"/>
    <w:rsid w:val="007214D9"/>
    <w:rsid w:val="00723C6D"/>
    <w:rsid w:val="007243B7"/>
    <w:rsid w:val="0072514D"/>
    <w:rsid w:val="00725C5A"/>
    <w:rsid w:val="007263E6"/>
    <w:rsid w:val="007264EA"/>
    <w:rsid w:val="00726F49"/>
    <w:rsid w:val="00732AB3"/>
    <w:rsid w:val="007332CF"/>
    <w:rsid w:val="00736F47"/>
    <w:rsid w:val="00737773"/>
    <w:rsid w:val="00740DFE"/>
    <w:rsid w:val="007410C2"/>
    <w:rsid w:val="007411F0"/>
    <w:rsid w:val="0074208A"/>
    <w:rsid w:val="007438C0"/>
    <w:rsid w:val="007443BA"/>
    <w:rsid w:val="00745A22"/>
    <w:rsid w:val="00746DD6"/>
    <w:rsid w:val="00746E60"/>
    <w:rsid w:val="00746FA8"/>
    <w:rsid w:val="007479B5"/>
    <w:rsid w:val="00750009"/>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556D"/>
    <w:rsid w:val="00766A73"/>
    <w:rsid w:val="00766F19"/>
    <w:rsid w:val="007712C7"/>
    <w:rsid w:val="0077455A"/>
    <w:rsid w:val="00775BBD"/>
    <w:rsid w:val="00777372"/>
    <w:rsid w:val="00777527"/>
    <w:rsid w:val="00781849"/>
    <w:rsid w:val="00781B6F"/>
    <w:rsid w:val="00782890"/>
    <w:rsid w:val="007833CB"/>
    <w:rsid w:val="00783B56"/>
    <w:rsid w:val="00786CFF"/>
    <w:rsid w:val="00786F11"/>
    <w:rsid w:val="007874B4"/>
    <w:rsid w:val="00791490"/>
    <w:rsid w:val="00791C7A"/>
    <w:rsid w:val="00791D59"/>
    <w:rsid w:val="00792D4C"/>
    <w:rsid w:val="007938AE"/>
    <w:rsid w:val="00793B7C"/>
    <w:rsid w:val="00794331"/>
    <w:rsid w:val="00794EC8"/>
    <w:rsid w:val="007A0DC1"/>
    <w:rsid w:val="007A19E0"/>
    <w:rsid w:val="007A1AB6"/>
    <w:rsid w:val="007A23F8"/>
    <w:rsid w:val="007A2D52"/>
    <w:rsid w:val="007A3B79"/>
    <w:rsid w:val="007A550A"/>
    <w:rsid w:val="007A5B2E"/>
    <w:rsid w:val="007A5C18"/>
    <w:rsid w:val="007B28CF"/>
    <w:rsid w:val="007B4416"/>
    <w:rsid w:val="007B46BF"/>
    <w:rsid w:val="007B6DD8"/>
    <w:rsid w:val="007C05DC"/>
    <w:rsid w:val="007C0FF7"/>
    <w:rsid w:val="007C1108"/>
    <w:rsid w:val="007C14EE"/>
    <w:rsid w:val="007C3040"/>
    <w:rsid w:val="007C3BA4"/>
    <w:rsid w:val="007C5FD7"/>
    <w:rsid w:val="007D07B3"/>
    <w:rsid w:val="007D1B1E"/>
    <w:rsid w:val="007D4712"/>
    <w:rsid w:val="007D53C3"/>
    <w:rsid w:val="007D5D30"/>
    <w:rsid w:val="007D6051"/>
    <w:rsid w:val="007E09F5"/>
    <w:rsid w:val="007E10E6"/>
    <w:rsid w:val="007E18F8"/>
    <w:rsid w:val="007E38F1"/>
    <w:rsid w:val="007E3C2E"/>
    <w:rsid w:val="007E3C9B"/>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3E31"/>
    <w:rsid w:val="00807B2A"/>
    <w:rsid w:val="00807E5E"/>
    <w:rsid w:val="00810BC8"/>
    <w:rsid w:val="00810E97"/>
    <w:rsid w:val="0081123B"/>
    <w:rsid w:val="00811393"/>
    <w:rsid w:val="00814953"/>
    <w:rsid w:val="00814E4C"/>
    <w:rsid w:val="00816C5A"/>
    <w:rsid w:val="00817678"/>
    <w:rsid w:val="0082049D"/>
    <w:rsid w:val="008217BC"/>
    <w:rsid w:val="00822BA1"/>
    <w:rsid w:val="008239A5"/>
    <w:rsid w:val="00824096"/>
    <w:rsid w:val="00824E58"/>
    <w:rsid w:val="008270AA"/>
    <w:rsid w:val="00827D60"/>
    <w:rsid w:val="00831D6C"/>
    <w:rsid w:val="00832F6C"/>
    <w:rsid w:val="008341ED"/>
    <w:rsid w:val="00836D7C"/>
    <w:rsid w:val="00836E58"/>
    <w:rsid w:val="00837584"/>
    <w:rsid w:val="0084067B"/>
    <w:rsid w:val="00840AA2"/>
    <w:rsid w:val="00841673"/>
    <w:rsid w:val="00841963"/>
    <w:rsid w:val="00844877"/>
    <w:rsid w:val="00845B52"/>
    <w:rsid w:val="00846146"/>
    <w:rsid w:val="00846D3E"/>
    <w:rsid w:val="00846DE7"/>
    <w:rsid w:val="008477B9"/>
    <w:rsid w:val="008523FA"/>
    <w:rsid w:val="008529E6"/>
    <w:rsid w:val="00852CDD"/>
    <w:rsid w:val="008552B2"/>
    <w:rsid w:val="00855772"/>
    <w:rsid w:val="00855BFD"/>
    <w:rsid w:val="00855E11"/>
    <w:rsid w:val="008575E1"/>
    <w:rsid w:val="0085760A"/>
    <w:rsid w:val="0086170A"/>
    <w:rsid w:val="00861F1D"/>
    <w:rsid w:val="00863328"/>
    <w:rsid w:val="0086448F"/>
    <w:rsid w:val="008649CB"/>
    <w:rsid w:val="00864D6E"/>
    <w:rsid w:val="008659A2"/>
    <w:rsid w:val="0086690B"/>
    <w:rsid w:val="00866973"/>
    <w:rsid w:val="00867AA1"/>
    <w:rsid w:val="00867AAA"/>
    <w:rsid w:val="008710F8"/>
    <w:rsid w:val="00871B94"/>
    <w:rsid w:val="008739A2"/>
    <w:rsid w:val="008751BA"/>
    <w:rsid w:val="008755C2"/>
    <w:rsid w:val="00875A6F"/>
    <w:rsid w:val="00876CC2"/>
    <w:rsid w:val="0088088C"/>
    <w:rsid w:val="00881947"/>
    <w:rsid w:val="00881D64"/>
    <w:rsid w:val="00882C01"/>
    <w:rsid w:val="00882E02"/>
    <w:rsid w:val="00883C16"/>
    <w:rsid w:val="0088477E"/>
    <w:rsid w:val="008853EC"/>
    <w:rsid w:val="008854CF"/>
    <w:rsid w:val="00891CFC"/>
    <w:rsid w:val="008921AE"/>
    <w:rsid w:val="00895187"/>
    <w:rsid w:val="00895BD3"/>
    <w:rsid w:val="00896160"/>
    <w:rsid w:val="00896EDC"/>
    <w:rsid w:val="008A0C9F"/>
    <w:rsid w:val="008A14F6"/>
    <w:rsid w:val="008A1645"/>
    <w:rsid w:val="008A31B4"/>
    <w:rsid w:val="008A3E6F"/>
    <w:rsid w:val="008A7EF2"/>
    <w:rsid w:val="008B0DFB"/>
    <w:rsid w:val="008B11F2"/>
    <w:rsid w:val="008B4F3C"/>
    <w:rsid w:val="008B646D"/>
    <w:rsid w:val="008B6842"/>
    <w:rsid w:val="008B70C4"/>
    <w:rsid w:val="008B7F11"/>
    <w:rsid w:val="008C18C1"/>
    <w:rsid w:val="008C3DC2"/>
    <w:rsid w:val="008C442E"/>
    <w:rsid w:val="008C4943"/>
    <w:rsid w:val="008C509B"/>
    <w:rsid w:val="008C5658"/>
    <w:rsid w:val="008C5DCA"/>
    <w:rsid w:val="008C65A9"/>
    <w:rsid w:val="008D0ADE"/>
    <w:rsid w:val="008D344B"/>
    <w:rsid w:val="008D346A"/>
    <w:rsid w:val="008D370B"/>
    <w:rsid w:val="008D3BAB"/>
    <w:rsid w:val="008D41FC"/>
    <w:rsid w:val="008D4DAB"/>
    <w:rsid w:val="008D4ED9"/>
    <w:rsid w:val="008D4F57"/>
    <w:rsid w:val="008D5B80"/>
    <w:rsid w:val="008D6B04"/>
    <w:rsid w:val="008D6FBA"/>
    <w:rsid w:val="008E2654"/>
    <w:rsid w:val="008E4EF2"/>
    <w:rsid w:val="008E7C9A"/>
    <w:rsid w:val="008F1C22"/>
    <w:rsid w:val="008F2554"/>
    <w:rsid w:val="008F45CF"/>
    <w:rsid w:val="008F47DC"/>
    <w:rsid w:val="008F4B33"/>
    <w:rsid w:val="008F4E63"/>
    <w:rsid w:val="008F719D"/>
    <w:rsid w:val="008F740A"/>
    <w:rsid w:val="009025FB"/>
    <w:rsid w:val="009029DB"/>
    <w:rsid w:val="009038A8"/>
    <w:rsid w:val="00904E5E"/>
    <w:rsid w:val="0090753F"/>
    <w:rsid w:val="0090798A"/>
    <w:rsid w:val="00913E51"/>
    <w:rsid w:val="00914986"/>
    <w:rsid w:val="00914DFE"/>
    <w:rsid w:val="009151C5"/>
    <w:rsid w:val="0091614B"/>
    <w:rsid w:val="0091737E"/>
    <w:rsid w:val="009176C2"/>
    <w:rsid w:val="0092131F"/>
    <w:rsid w:val="009218CC"/>
    <w:rsid w:val="00925D59"/>
    <w:rsid w:val="00926716"/>
    <w:rsid w:val="009269BA"/>
    <w:rsid w:val="0093236E"/>
    <w:rsid w:val="00932A82"/>
    <w:rsid w:val="0093319A"/>
    <w:rsid w:val="00933540"/>
    <w:rsid w:val="00933E6E"/>
    <w:rsid w:val="009345B7"/>
    <w:rsid w:val="00934877"/>
    <w:rsid w:val="00935439"/>
    <w:rsid w:val="009357D5"/>
    <w:rsid w:val="00935CD9"/>
    <w:rsid w:val="00935D32"/>
    <w:rsid w:val="009366B0"/>
    <w:rsid w:val="009417C6"/>
    <w:rsid w:val="00941D0E"/>
    <w:rsid w:val="00942EE6"/>
    <w:rsid w:val="009453A6"/>
    <w:rsid w:val="009464A3"/>
    <w:rsid w:val="00946522"/>
    <w:rsid w:val="00946796"/>
    <w:rsid w:val="0095183B"/>
    <w:rsid w:val="0095204C"/>
    <w:rsid w:val="009520FE"/>
    <w:rsid w:val="00953424"/>
    <w:rsid w:val="00953B2B"/>
    <w:rsid w:val="00953B51"/>
    <w:rsid w:val="00953B7B"/>
    <w:rsid w:val="00954528"/>
    <w:rsid w:val="009558AA"/>
    <w:rsid w:val="00957F9F"/>
    <w:rsid w:val="009603E5"/>
    <w:rsid w:val="0096071A"/>
    <w:rsid w:val="00960C91"/>
    <w:rsid w:val="00961AEB"/>
    <w:rsid w:val="00961B6D"/>
    <w:rsid w:val="00963717"/>
    <w:rsid w:val="00965CC4"/>
    <w:rsid w:val="0096624D"/>
    <w:rsid w:val="00970143"/>
    <w:rsid w:val="00970B7F"/>
    <w:rsid w:val="00970C38"/>
    <w:rsid w:val="00971614"/>
    <w:rsid w:val="00971772"/>
    <w:rsid w:val="00972340"/>
    <w:rsid w:val="00973615"/>
    <w:rsid w:val="009752FA"/>
    <w:rsid w:val="00977693"/>
    <w:rsid w:val="00980F4F"/>
    <w:rsid w:val="00982494"/>
    <w:rsid w:val="009845F3"/>
    <w:rsid w:val="009845FD"/>
    <w:rsid w:val="009860D8"/>
    <w:rsid w:val="009860EB"/>
    <w:rsid w:val="00990935"/>
    <w:rsid w:val="00990AEC"/>
    <w:rsid w:val="00990AFD"/>
    <w:rsid w:val="00991069"/>
    <w:rsid w:val="0099397C"/>
    <w:rsid w:val="00996257"/>
    <w:rsid w:val="00996277"/>
    <w:rsid w:val="00996BCA"/>
    <w:rsid w:val="009A0E79"/>
    <w:rsid w:val="009A216A"/>
    <w:rsid w:val="009A23B0"/>
    <w:rsid w:val="009A35C9"/>
    <w:rsid w:val="009A3604"/>
    <w:rsid w:val="009A473C"/>
    <w:rsid w:val="009A640D"/>
    <w:rsid w:val="009A77A4"/>
    <w:rsid w:val="009A7F00"/>
    <w:rsid w:val="009B0952"/>
    <w:rsid w:val="009B1548"/>
    <w:rsid w:val="009B3A1D"/>
    <w:rsid w:val="009B41F0"/>
    <w:rsid w:val="009B480A"/>
    <w:rsid w:val="009B7FFD"/>
    <w:rsid w:val="009C01EC"/>
    <w:rsid w:val="009C3225"/>
    <w:rsid w:val="009C4284"/>
    <w:rsid w:val="009C5DC4"/>
    <w:rsid w:val="009C61A3"/>
    <w:rsid w:val="009C6B84"/>
    <w:rsid w:val="009D0BC2"/>
    <w:rsid w:val="009D38C9"/>
    <w:rsid w:val="009D5A24"/>
    <w:rsid w:val="009D5B2E"/>
    <w:rsid w:val="009D636F"/>
    <w:rsid w:val="009D6A26"/>
    <w:rsid w:val="009D7457"/>
    <w:rsid w:val="009D758F"/>
    <w:rsid w:val="009D7BF2"/>
    <w:rsid w:val="009D7D83"/>
    <w:rsid w:val="009E153E"/>
    <w:rsid w:val="009E19CB"/>
    <w:rsid w:val="009E36FC"/>
    <w:rsid w:val="009E426E"/>
    <w:rsid w:val="009E439C"/>
    <w:rsid w:val="009E620D"/>
    <w:rsid w:val="009E7424"/>
    <w:rsid w:val="009E7F49"/>
    <w:rsid w:val="009F03D1"/>
    <w:rsid w:val="009F0B98"/>
    <w:rsid w:val="009F1C46"/>
    <w:rsid w:val="009F2079"/>
    <w:rsid w:val="009F4922"/>
    <w:rsid w:val="009F4BE1"/>
    <w:rsid w:val="009F5087"/>
    <w:rsid w:val="009F69B5"/>
    <w:rsid w:val="00A004D3"/>
    <w:rsid w:val="00A07CA6"/>
    <w:rsid w:val="00A12981"/>
    <w:rsid w:val="00A12C49"/>
    <w:rsid w:val="00A14320"/>
    <w:rsid w:val="00A151A5"/>
    <w:rsid w:val="00A15263"/>
    <w:rsid w:val="00A15E74"/>
    <w:rsid w:val="00A164FB"/>
    <w:rsid w:val="00A16637"/>
    <w:rsid w:val="00A16BEA"/>
    <w:rsid w:val="00A175E5"/>
    <w:rsid w:val="00A1768D"/>
    <w:rsid w:val="00A17EA1"/>
    <w:rsid w:val="00A17EDF"/>
    <w:rsid w:val="00A211A7"/>
    <w:rsid w:val="00A22E96"/>
    <w:rsid w:val="00A24F60"/>
    <w:rsid w:val="00A254EA"/>
    <w:rsid w:val="00A27FD0"/>
    <w:rsid w:val="00A30DB1"/>
    <w:rsid w:val="00A31101"/>
    <w:rsid w:val="00A34451"/>
    <w:rsid w:val="00A35811"/>
    <w:rsid w:val="00A35D0A"/>
    <w:rsid w:val="00A400A9"/>
    <w:rsid w:val="00A41B20"/>
    <w:rsid w:val="00A42629"/>
    <w:rsid w:val="00A4354F"/>
    <w:rsid w:val="00A43944"/>
    <w:rsid w:val="00A43A45"/>
    <w:rsid w:val="00A43D2B"/>
    <w:rsid w:val="00A4524B"/>
    <w:rsid w:val="00A45454"/>
    <w:rsid w:val="00A4637B"/>
    <w:rsid w:val="00A470D9"/>
    <w:rsid w:val="00A476D0"/>
    <w:rsid w:val="00A50D2F"/>
    <w:rsid w:val="00A50EE4"/>
    <w:rsid w:val="00A51978"/>
    <w:rsid w:val="00A521D4"/>
    <w:rsid w:val="00A53511"/>
    <w:rsid w:val="00A541FE"/>
    <w:rsid w:val="00A54FFC"/>
    <w:rsid w:val="00A60841"/>
    <w:rsid w:val="00A61A4E"/>
    <w:rsid w:val="00A63700"/>
    <w:rsid w:val="00A64575"/>
    <w:rsid w:val="00A65A26"/>
    <w:rsid w:val="00A660DD"/>
    <w:rsid w:val="00A67625"/>
    <w:rsid w:val="00A67EF4"/>
    <w:rsid w:val="00A71984"/>
    <w:rsid w:val="00A71AB4"/>
    <w:rsid w:val="00A72735"/>
    <w:rsid w:val="00A73EF9"/>
    <w:rsid w:val="00A754BC"/>
    <w:rsid w:val="00A756C6"/>
    <w:rsid w:val="00A7587C"/>
    <w:rsid w:val="00A75925"/>
    <w:rsid w:val="00A771AB"/>
    <w:rsid w:val="00A77200"/>
    <w:rsid w:val="00A77595"/>
    <w:rsid w:val="00A80BB6"/>
    <w:rsid w:val="00A80C68"/>
    <w:rsid w:val="00A821AF"/>
    <w:rsid w:val="00A844B8"/>
    <w:rsid w:val="00A855BE"/>
    <w:rsid w:val="00A86406"/>
    <w:rsid w:val="00A86E74"/>
    <w:rsid w:val="00A87937"/>
    <w:rsid w:val="00A9014B"/>
    <w:rsid w:val="00A915AB"/>
    <w:rsid w:val="00A9222E"/>
    <w:rsid w:val="00A92C7A"/>
    <w:rsid w:val="00A92DD2"/>
    <w:rsid w:val="00A93911"/>
    <w:rsid w:val="00A9454C"/>
    <w:rsid w:val="00A94751"/>
    <w:rsid w:val="00A95B2A"/>
    <w:rsid w:val="00A96228"/>
    <w:rsid w:val="00A96638"/>
    <w:rsid w:val="00AA05E0"/>
    <w:rsid w:val="00AA0B4E"/>
    <w:rsid w:val="00AA1BBB"/>
    <w:rsid w:val="00AA1E74"/>
    <w:rsid w:val="00AA24D2"/>
    <w:rsid w:val="00AA423E"/>
    <w:rsid w:val="00AA44CF"/>
    <w:rsid w:val="00AA4946"/>
    <w:rsid w:val="00AA7316"/>
    <w:rsid w:val="00AA78CE"/>
    <w:rsid w:val="00AA7F42"/>
    <w:rsid w:val="00AB0C12"/>
    <w:rsid w:val="00AB0FA7"/>
    <w:rsid w:val="00AB26D5"/>
    <w:rsid w:val="00AB2A22"/>
    <w:rsid w:val="00AB3885"/>
    <w:rsid w:val="00AB3C8D"/>
    <w:rsid w:val="00AB476A"/>
    <w:rsid w:val="00AB5F3B"/>
    <w:rsid w:val="00AC004D"/>
    <w:rsid w:val="00AC2F0C"/>
    <w:rsid w:val="00AC38A9"/>
    <w:rsid w:val="00AC4BF6"/>
    <w:rsid w:val="00AC6797"/>
    <w:rsid w:val="00AC6A7A"/>
    <w:rsid w:val="00AC6F68"/>
    <w:rsid w:val="00AD124D"/>
    <w:rsid w:val="00AD1499"/>
    <w:rsid w:val="00AD1EAE"/>
    <w:rsid w:val="00AD2280"/>
    <w:rsid w:val="00AD2571"/>
    <w:rsid w:val="00AD4839"/>
    <w:rsid w:val="00AD5BCB"/>
    <w:rsid w:val="00AD76EF"/>
    <w:rsid w:val="00AE19D1"/>
    <w:rsid w:val="00AE25BF"/>
    <w:rsid w:val="00AE2666"/>
    <w:rsid w:val="00AE29BE"/>
    <w:rsid w:val="00AE5D09"/>
    <w:rsid w:val="00AE6407"/>
    <w:rsid w:val="00AE7EEF"/>
    <w:rsid w:val="00AF13E8"/>
    <w:rsid w:val="00AF1662"/>
    <w:rsid w:val="00AF42AC"/>
    <w:rsid w:val="00AF4EE4"/>
    <w:rsid w:val="00B0036F"/>
    <w:rsid w:val="00B00C8E"/>
    <w:rsid w:val="00B017BD"/>
    <w:rsid w:val="00B02AA5"/>
    <w:rsid w:val="00B0323E"/>
    <w:rsid w:val="00B04743"/>
    <w:rsid w:val="00B04F50"/>
    <w:rsid w:val="00B05C58"/>
    <w:rsid w:val="00B1073D"/>
    <w:rsid w:val="00B1079E"/>
    <w:rsid w:val="00B114D8"/>
    <w:rsid w:val="00B11CD7"/>
    <w:rsid w:val="00B1205D"/>
    <w:rsid w:val="00B13307"/>
    <w:rsid w:val="00B1476F"/>
    <w:rsid w:val="00B15202"/>
    <w:rsid w:val="00B1553A"/>
    <w:rsid w:val="00B162BA"/>
    <w:rsid w:val="00B17577"/>
    <w:rsid w:val="00B21CD1"/>
    <w:rsid w:val="00B23256"/>
    <w:rsid w:val="00B24CF5"/>
    <w:rsid w:val="00B26507"/>
    <w:rsid w:val="00B269CE"/>
    <w:rsid w:val="00B27339"/>
    <w:rsid w:val="00B316EC"/>
    <w:rsid w:val="00B31CD8"/>
    <w:rsid w:val="00B32B21"/>
    <w:rsid w:val="00B37176"/>
    <w:rsid w:val="00B373AA"/>
    <w:rsid w:val="00B40823"/>
    <w:rsid w:val="00B40DF9"/>
    <w:rsid w:val="00B42083"/>
    <w:rsid w:val="00B43455"/>
    <w:rsid w:val="00B435F8"/>
    <w:rsid w:val="00B4620E"/>
    <w:rsid w:val="00B46CB0"/>
    <w:rsid w:val="00B4737B"/>
    <w:rsid w:val="00B5157B"/>
    <w:rsid w:val="00B5462A"/>
    <w:rsid w:val="00B554E8"/>
    <w:rsid w:val="00B57348"/>
    <w:rsid w:val="00B618AF"/>
    <w:rsid w:val="00B61962"/>
    <w:rsid w:val="00B61E5E"/>
    <w:rsid w:val="00B62D2B"/>
    <w:rsid w:val="00B62F97"/>
    <w:rsid w:val="00B63807"/>
    <w:rsid w:val="00B63F95"/>
    <w:rsid w:val="00B64C91"/>
    <w:rsid w:val="00B65D4D"/>
    <w:rsid w:val="00B66649"/>
    <w:rsid w:val="00B67741"/>
    <w:rsid w:val="00B75683"/>
    <w:rsid w:val="00B7667D"/>
    <w:rsid w:val="00B77FDA"/>
    <w:rsid w:val="00B80FA1"/>
    <w:rsid w:val="00B8179C"/>
    <w:rsid w:val="00B822DB"/>
    <w:rsid w:val="00B84A8A"/>
    <w:rsid w:val="00B91F50"/>
    <w:rsid w:val="00B9279C"/>
    <w:rsid w:val="00B92D61"/>
    <w:rsid w:val="00B934BE"/>
    <w:rsid w:val="00B9576A"/>
    <w:rsid w:val="00B962BB"/>
    <w:rsid w:val="00BA2861"/>
    <w:rsid w:val="00BA6707"/>
    <w:rsid w:val="00BA70C6"/>
    <w:rsid w:val="00BA7C0B"/>
    <w:rsid w:val="00BB0C10"/>
    <w:rsid w:val="00BB0F85"/>
    <w:rsid w:val="00BB1940"/>
    <w:rsid w:val="00BB1DF7"/>
    <w:rsid w:val="00BB229B"/>
    <w:rsid w:val="00BB280A"/>
    <w:rsid w:val="00BB5301"/>
    <w:rsid w:val="00BB57E8"/>
    <w:rsid w:val="00BB7349"/>
    <w:rsid w:val="00BC0196"/>
    <w:rsid w:val="00BC0367"/>
    <w:rsid w:val="00BC219A"/>
    <w:rsid w:val="00BC24C1"/>
    <w:rsid w:val="00BC42A8"/>
    <w:rsid w:val="00BC66EE"/>
    <w:rsid w:val="00BC69F2"/>
    <w:rsid w:val="00BC72B8"/>
    <w:rsid w:val="00BC7FFB"/>
    <w:rsid w:val="00BD034D"/>
    <w:rsid w:val="00BD07E7"/>
    <w:rsid w:val="00BD2EB5"/>
    <w:rsid w:val="00BD3ECE"/>
    <w:rsid w:val="00BD5782"/>
    <w:rsid w:val="00BD5F55"/>
    <w:rsid w:val="00BD780A"/>
    <w:rsid w:val="00BE0CEB"/>
    <w:rsid w:val="00BE1E12"/>
    <w:rsid w:val="00BE232A"/>
    <w:rsid w:val="00BE346A"/>
    <w:rsid w:val="00BE3E97"/>
    <w:rsid w:val="00BE46DF"/>
    <w:rsid w:val="00BE635E"/>
    <w:rsid w:val="00BE6364"/>
    <w:rsid w:val="00BE6D71"/>
    <w:rsid w:val="00BE718D"/>
    <w:rsid w:val="00BE7A12"/>
    <w:rsid w:val="00BE7CAE"/>
    <w:rsid w:val="00BE7CD4"/>
    <w:rsid w:val="00BE7F8D"/>
    <w:rsid w:val="00BF1A4A"/>
    <w:rsid w:val="00BF5042"/>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17F27"/>
    <w:rsid w:val="00C2009E"/>
    <w:rsid w:val="00C2027F"/>
    <w:rsid w:val="00C20B16"/>
    <w:rsid w:val="00C233B3"/>
    <w:rsid w:val="00C235D5"/>
    <w:rsid w:val="00C238FB"/>
    <w:rsid w:val="00C25B3F"/>
    <w:rsid w:val="00C2627B"/>
    <w:rsid w:val="00C27E23"/>
    <w:rsid w:val="00C3227B"/>
    <w:rsid w:val="00C32ACE"/>
    <w:rsid w:val="00C32F37"/>
    <w:rsid w:val="00C33352"/>
    <w:rsid w:val="00C33422"/>
    <w:rsid w:val="00C34DB4"/>
    <w:rsid w:val="00C35A64"/>
    <w:rsid w:val="00C35E7C"/>
    <w:rsid w:val="00C36B0D"/>
    <w:rsid w:val="00C37839"/>
    <w:rsid w:val="00C37EA0"/>
    <w:rsid w:val="00C409F6"/>
    <w:rsid w:val="00C410D2"/>
    <w:rsid w:val="00C41479"/>
    <w:rsid w:val="00C41814"/>
    <w:rsid w:val="00C42368"/>
    <w:rsid w:val="00C43810"/>
    <w:rsid w:val="00C439F1"/>
    <w:rsid w:val="00C44081"/>
    <w:rsid w:val="00C47808"/>
    <w:rsid w:val="00C50112"/>
    <w:rsid w:val="00C50FCD"/>
    <w:rsid w:val="00C510A6"/>
    <w:rsid w:val="00C536D2"/>
    <w:rsid w:val="00C54558"/>
    <w:rsid w:val="00C558A4"/>
    <w:rsid w:val="00C559CD"/>
    <w:rsid w:val="00C55FFD"/>
    <w:rsid w:val="00C57E04"/>
    <w:rsid w:val="00C61440"/>
    <w:rsid w:val="00C61C2B"/>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35B0"/>
    <w:rsid w:val="00C9443B"/>
    <w:rsid w:val="00C94C46"/>
    <w:rsid w:val="00C96E34"/>
    <w:rsid w:val="00C9717B"/>
    <w:rsid w:val="00C9733F"/>
    <w:rsid w:val="00C97586"/>
    <w:rsid w:val="00CA1AD6"/>
    <w:rsid w:val="00CA39B7"/>
    <w:rsid w:val="00CA5A88"/>
    <w:rsid w:val="00CA5AF6"/>
    <w:rsid w:val="00CA7C95"/>
    <w:rsid w:val="00CB2149"/>
    <w:rsid w:val="00CB2159"/>
    <w:rsid w:val="00CB4BBD"/>
    <w:rsid w:val="00CB4C86"/>
    <w:rsid w:val="00CB5B7B"/>
    <w:rsid w:val="00CB6418"/>
    <w:rsid w:val="00CC0C48"/>
    <w:rsid w:val="00CC39E0"/>
    <w:rsid w:val="00CC3DCA"/>
    <w:rsid w:val="00CC4F1E"/>
    <w:rsid w:val="00CC5FBE"/>
    <w:rsid w:val="00CC6BC0"/>
    <w:rsid w:val="00CC7706"/>
    <w:rsid w:val="00CD19A8"/>
    <w:rsid w:val="00CD19DB"/>
    <w:rsid w:val="00CD30FC"/>
    <w:rsid w:val="00CD39A2"/>
    <w:rsid w:val="00CD4B87"/>
    <w:rsid w:val="00CD55DB"/>
    <w:rsid w:val="00CD5F4A"/>
    <w:rsid w:val="00CD63AD"/>
    <w:rsid w:val="00CD7995"/>
    <w:rsid w:val="00CE0FB6"/>
    <w:rsid w:val="00CE1E88"/>
    <w:rsid w:val="00CE26E6"/>
    <w:rsid w:val="00CE30BD"/>
    <w:rsid w:val="00CE3AE3"/>
    <w:rsid w:val="00CE4450"/>
    <w:rsid w:val="00CE4772"/>
    <w:rsid w:val="00CE49B6"/>
    <w:rsid w:val="00CE4A28"/>
    <w:rsid w:val="00CE56C5"/>
    <w:rsid w:val="00CE5C3A"/>
    <w:rsid w:val="00CF0972"/>
    <w:rsid w:val="00CF0AE0"/>
    <w:rsid w:val="00CF26F8"/>
    <w:rsid w:val="00CF31B4"/>
    <w:rsid w:val="00CF4CEF"/>
    <w:rsid w:val="00CF6431"/>
    <w:rsid w:val="00CF6E52"/>
    <w:rsid w:val="00D01DCF"/>
    <w:rsid w:val="00D04514"/>
    <w:rsid w:val="00D049F4"/>
    <w:rsid w:val="00D076D9"/>
    <w:rsid w:val="00D11A35"/>
    <w:rsid w:val="00D11E06"/>
    <w:rsid w:val="00D1224D"/>
    <w:rsid w:val="00D1259C"/>
    <w:rsid w:val="00D13846"/>
    <w:rsid w:val="00D17997"/>
    <w:rsid w:val="00D207AC"/>
    <w:rsid w:val="00D20835"/>
    <w:rsid w:val="00D20D52"/>
    <w:rsid w:val="00D20EF6"/>
    <w:rsid w:val="00D219AA"/>
    <w:rsid w:val="00D21C74"/>
    <w:rsid w:val="00D21D01"/>
    <w:rsid w:val="00D2237A"/>
    <w:rsid w:val="00D24BD1"/>
    <w:rsid w:val="00D2588A"/>
    <w:rsid w:val="00D25B60"/>
    <w:rsid w:val="00D26217"/>
    <w:rsid w:val="00D26522"/>
    <w:rsid w:val="00D269BD"/>
    <w:rsid w:val="00D278F0"/>
    <w:rsid w:val="00D338DB"/>
    <w:rsid w:val="00D34240"/>
    <w:rsid w:val="00D3511F"/>
    <w:rsid w:val="00D36368"/>
    <w:rsid w:val="00D36BE0"/>
    <w:rsid w:val="00D36DB6"/>
    <w:rsid w:val="00D3752B"/>
    <w:rsid w:val="00D40470"/>
    <w:rsid w:val="00D41147"/>
    <w:rsid w:val="00D427A3"/>
    <w:rsid w:val="00D4515E"/>
    <w:rsid w:val="00D4521D"/>
    <w:rsid w:val="00D45819"/>
    <w:rsid w:val="00D46397"/>
    <w:rsid w:val="00D52933"/>
    <w:rsid w:val="00D52FF0"/>
    <w:rsid w:val="00D542B6"/>
    <w:rsid w:val="00D54FA1"/>
    <w:rsid w:val="00D56683"/>
    <w:rsid w:val="00D568AB"/>
    <w:rsid w:val="00D6001A"/>
    <w:rsid w:val="00D6030C"/>
    <w:rsid w:val="00D6189E"/>
    <w:rsid w:val="00D61E4F"/>
    <w:rsid w:val="00D62E71"/>
    <w:rsid w:val="00D6314C"/>
    <w:rsid w:val="00D646F9"/>
    <w:rsid w:val="00D65159"/>
    <w:rsid w:val="00D65C56"/>
    <w:rsid w:val="00D66CBB"/>
    <w:rsid w:val="00D70514"/>
    <w:rsid w:val="00D71305"/>
    <w:rsid w:val="00D718B8"/>
    <w:rsid w:val="00D71BF7"/>
    <w:rsid w:val="00D731D0"/>
    <w:rsid w:val="00D738D2"/>
    <w:rsid w:val="00D73CDD"/>
    <w:rsid w:val="00D74E94"/>
    <w:rsid w:val="00D75200"/>
    <w:rsid w:val="00D75DE5"/>
    <w:rsid w:val="00D766B4"/>
    <w:rsid w:val="00D7670A"/>
    <w:rsid w:val="00D76A09"/>
    <w:rsid w:val="00D7735B"/>
    <w:rsid w:val="00D800C1"/>
    <w:rsid w:val="00D808AE"/>
    <w:rsid w:val="00D809E4"/>
    <w:rsid w:val="00D817A3"/>
    <w:rsid w:val="00D81B85"/>
    <w:rsid w:val="00D83DFA"/>
    <w:rsid w:val="00D8486E"/>
    <w:rsid w:val="00D8663B"/>
    <w:rsid w:val="00D878B6"/>
    <w:rsid w:val="00D87FC0"/>
    <w:rsid w:val="00D90C1B"/>
    <w:rsid w:val="00D90FB3"/>
    <w:rsid w:val="00D91C87"/>
    <w:rsid w:val="00D925D1"/>
    <w:rsid w:val="00D92668"/>
    <w:rsid w:val="00D93310"/>
    <w:rsid w:val="00D94F27"/>
    <w:rsid w:val="00D9504F"/>
    <w:rsid w:val="00D95B37"/>
    <w:rsid w:val="00D96351"/>
    <w:rsid w:val="00D979CF"/>
    <w:rsid w:val="00D97F78"/>
    <w:rsid w:val="00DA0B8F"/>
    <w:rsid w:val="00DA1F2A"/>
    <w:rsid w:val="00DA432C"/>
    <w:rsid w:val="00DA4BFB"/>
    <w:rsid w:val="00DA50D4"/>
    <w:rsid w:val="00DB08A2"/>
    <w:rsid w:val="00DB0D6D"/>
    <w:rsid w:val="00DB1035"/>
    <w:rsid w:val="00DB1F84"/>
    <w:rsid w:val="00DB44A1"/>
    <w:rsid w:val="00DB5048"/>
    <w:rsid w:val="00DB5CD7"/>
    <w:rsid w:val="00DB6647"/>
    <w:rsid w:val="00DB7458"/>
    <w:rsid w:val="00DB7C1F"/>
    <w:rsid w:val="00DC0C9F"/>
    <w:rsid w:val="00DC20DF"/>
    <w:rsid w:val="00DC33BA"/>
    <w:rsid w:val="00DC4957"/>
    <w:rsid w:val="00DC4AE2"/>
    <w:rsid w:val="00DC50CC"/>
    <w:rsid w:val="00DC63B3"/>
    <w:rsid w:val="00DC6B6C"/>
    <w:rsid w:val="00DD1BC7"/>
    <w:rsid w:val="00DD2877"/>
    <w:rsid w:val="00DD2EDE"/>
    <w:rsid w:val="00DD3144"/>
    <w:rsid w:val="00DD5323"/>
    <w:rsid w:val="00DD7FD2"/>
    <w:rsid w:val="00DE0E0F"/>
    <w:rsid w:val="00DE0F3E"/>
    <w:rsid w:val="00DE1DEE"/>
    <w:rsid w:val="00DE3218"/>
    <w:rsid w:val="00DE33F9"/>
    <w:rsid w:val="00DE3512"/>
    <w:rsid w:val="00DE5232"/>
    <w:rsid w:val="00DF06C4"/>
    <w:rsid w:val="00DF0B69"/>
    <w:rsid w:val="00DF0BD1"/>
    <w:rsid w:val="00DF1156"/>
    <w:rsid w:val="00DF1173"/>
    <w:rsid w:val="00DF1F1F"/>
    <w:rsid w:val="00DF2CB0"/>
    <w:rsid w:val="00DF383C"/>
    <w:rsid w:val="00DF4465"/>
    <w:rsid w:val="00DF451B"/>
    <w:rsid w:val="00DF5D03"/>
    <w:rsid w:val="00DF6006"/>
    <w:rsid w:val="00DF6955"/>
    <w:rsid w:val="00DF7B01"/>
    <w:rsid w:val="00E0441D"/>
    <w:rsid w:val="00E0443E"/>
    <w:rsid w:val="00E04EF6"/>
    <w:rsid w:val="00E05FCE"/>
    <w:rsid w:val="00E076EA"/>
    <w:rsid w:val="00E120FC"/>
    <w:rsid w:val="00E12D07"/>
    <w:rsid w:val="00E14BA9"/>
    <w:rsid w:val="00E1701F"/>
    <w:rsid w:val="00E20BE4"/>
    <w:rsid w:val="00E2168A"/>
    <w:rsid w:val="00E22FD4"/>
    <w:rsid w:val="00E23EE3"/>
    <w:rsid w:val="00E245A1"/>
    <w:rsid w:val="00E24831"/>
    <w:rsid w:val="00E27543"/>
    <w:rsid w:val="00E31001"/>
    <w:rsid w:val="00E3336C"/>
    <w:rsid w:val="00E34A4E"/>
    <w:rsid w:val="00E362DC"/>
    <w:rsid w:val="00E41D0D"/>
    <w:rsid w:val="00E4397D"/>
    <w:rsid w:val="00E44190"/>
    <w:rsid w:val="00E4490B"/>
    <w:rsid w:val="00E4510E"/>
    <w:rsid w:val="00E46685"/>
    <w:rsid w:val="00E503D4"/>
    <w:rsid w:val="00E507BE"/>
    <w:rsid w:val="00E50A06"/>
    <w:rsid w:val="00E51D63"/>
    <w:rsid w:val="00E5265D"/>
    <w:rsid w:val="00E546D8"/>
    <w:rsid w:val="00E55C26"/>
    <w:rsid w:val="00E55EA0"/>
    <w:rsid w:val="00E562FA"/>
    <w:rsid w:val="00E600CD"/>
    <w:rsid w:val="00E627A5"/>
    <w:rsid w:val="00E62EF4"/>
    <w:rsid w:val="00E65521"/>
    <w:rsid w:val="00E6674B"/>
    <w:rsid w:val="00E67455"/>
    <w:rsid w:val="00E701AC"/>
    <w:rsid w:val="00E719E2"/>
    <w:rsid w:val="00E730F3"/>
    <w:rsid w:val="00E75386"/>
    <w:rsid w:val="00E75641"/>
    <w:rsid w:val="00E758A1"/>
    <w:rsid w:val="00E76832"/>
    <w:rsid w:val="00E77015"/>
    <w:rsid w:val="00E77017"/>
    <w:rsid w:val="00E807E8"/>
    <w:rsid w:val="00E80AD6"/>
    <w:rsid w:val="00E80E71"/>
    <w:rsid w:val="00E8267D"/>
    <w:rsid w:val="00E828DD"/>
    <w:rsid w:val="00E83C17"/>
    <w:rsid w:val="00E844ED"/>
    <w:rsid w:val="00E84B9A"/>
    <w:rsid w:val="00E8653F"/>
    <w:rsid w:val="00E86C05"/>
    <w:rsid w:val="00E90C8F"/>
    <w:rsid w:val="00E91006"/>
    <w:rsid w:val="00E92106"/>
    <w:rsid w:val="00E92204"/>
    <w:rsid w:val="00E926F5"/>
    <w:rsid w:val="00E93EAE"/>
    <w:rsid w:val="00E93F35"/>
    <w:rsid w:val="00E95F78"/>
    <w:rsid w:val="00E96194"/>
    <w:rsid w:val="00EA4C1F"/>
    <w:rsid w:val="00EA5B2B"/>
    <w:rsid w:val="00EA7EA7"/>
    <w:rsid w:val="00EB09B7"/>
    <w:rsid w:val="00EB0AFA"/>
    <w:rsid w:val="00EB2BE8"/>
    <w:rsid w:val="00EB3EC7"/>
    <w:rsid w:val="00EB3FD5"/>
    <w:rsid w:val="00EB4897"/>
    <w:rsid w:val="00EB5F05"/>
    <w:rsid w:val="00EB65D1"/>
    <w:rsid w:val="00EC00E9"/>
    <w:rsid w:val="00EC127B"/>
    <w:rsid w:val="00EC1362"/>
    <w:rsid w:val="00EC238F"/>
    <w:rsid w:val="00EC291E"/>
    <w:rsid w:val="00EC2EEA"/>
    <w:rsid w:val="00EC6549"/>
    <w:rsid w:val="00EC6ABB"/>
    <w:rsid w:val="00EC7B44"/>
    <w:rsid w:val="00ED10D9"/>
    <w:rsid w:val="00ED28F4"/>
    <w:rsid w:val="00ED30A9"/>
    <w:rsid w:val="00ED3D26"/>
    <w:rsid w:val="00ED43C6"/>
    <w:rsid w:val="00ED49B5"/>
    <w:rsid w:val="00ED5476"/>
    <w:rsid w:val="00ED6821"/>
    <w:rsid w:val="00ED7864"/>
    <w:rsid w:val="00ED7D67"/>
    <w:rsid w:val="00EE0200"/>
    <w:rsid w:val="00EE0BB0"/>
    <w:rsid w:val="00EE0F6C"/>
    <w:rsid w:val="00EE1465"/>
    <w:rsid w:val="00EE2C69"/>
    <w:rsid w:val="00EE34DD"/>
    <w:rsid w:val="00EE3C92"/>
    <w:rsid w:val="00EE447F"/>
    <w:rsid w:val="00EE47C6"/>
    <w:rsid w:val="00EE4D84"/>
    <w:rsid w:val="00EE76B1"/>
    <w:rsid w:val="00EF0F59"/>
    <w:rsid w:val="00EF1196"/>
    <w:rsid w:val="00EF1870"/>
    <w:rsid w:val="00EF2B23"/>
    <w:rsid w:val="00EF3A01"/>
    <w:rsid w:val="00EF52F1"/>
    <w:rsid w:val="00EF5698"/>
    <w:rsid w:val="00EF6F58"/>
    <w:rsid w:val="00EF7935"/>
    <w:rsid w:val="00F01526"/>
    <w:rsid w:val="00F023A7"/>
    <w:rsid w:val="00F039E2"/>
    <w:rsid w:val="00F04A95"/>
    <w:rsid w:val="00F058D3"/>
    <w:rsid w:val="00F059FB"/>
    <w:rsid w:val="00F10567"/>
    <w:rsid w:val="00F11FF3"/>
    <w:rsid w:val="00F12F4D"/>
    <w:rsid w:val="00F12FB0"/>
    <w:rsid w:val="00F12FDB"/>
    <w:rsid w:val="00F16039"/>
    <w:rsid w:val="00F171DB"/>
    <w:rsid w:val="00F2081D"/>
    <w:rsid w:val="00F20DCF"/>
    <w:rsid w:val="00F211C7"/>
    <w:rsid w:val="00F2159C"/>
    <w:rsid w:val="00F2498E"/>
    <w:rsid w:val="00F24C87"/>
    <w:rsid w:val="00F26640"/>
    <w:rsid w:val="00F3332A"/>
    <w:rsid w:val="00F34068"/>
    <w:rsid w:val="00F3421F"/>
    <w:rsid w:val="00F35777"/>
    <w:rsid w:val="00F35ED7"/>
    <w:rsid w:val="00F3743A"/>
    <w:rsid w:val="00F40211"/>
    <w:rsid w:val="00F40444"/>
    <w:rsid w:val="00F43916"/>
    <w:rsid w:val="00F44AF7"/>
    <w:rsid w:val="00F44C63"/>
    <w:rsid w:val="00F44F84"/>
    <w:rsid w:val="00F466E6"/>
    <w:rsid w:val="00F47EA7"/>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309B"/>
    <w:rsid w:val="00F7419D"/>
    <w:rsid w:val="00F74A3D"/>
    <w:rsid w:val="00F74FB9"/>
    <w:rsid w:val="00F75E2E"/>
    <w:rsid w:val="00F77D38"/>
    <w:rsid w:val="00F816BB"/>
    <w:rsid w:val="00F81E72"/>
    <w:rsid w:val="00F82C9A"/>
    <w:rsid w:val="00F86C5F"/>
    <w:rsid w:val="00F86D62"/>
    <w:rsid w:val="00F874BB"/>
    <w:rsid w:val="00F90462"/>
    <w:rsid w:val="00F90DA5"/>
    <w:rsid w:val="00F9118F"/>
    <w:rsid w:val="00F914C6"/>
    <w:rsid w:val="00F92B59"/>
    <w:rsid w:val="00F97115"/>
    <w:rsid w:val="00F971BE"/>
    <w:rsid w:val="00F97289"/>
    <w:rsid w:val="00F9751F"/>
    <w:rsid w:val="00F97B3C"/>
    <w:rsid w:val="00F97DE7"/>
    <w:rsid w:val="00FA00A8"/>
    <w:rsid w:val="00FA0512"/>
    <w:rsid w:val="00FA1F4B"/>
    <w:rsid w:val="00FA3644"/>
    <w:rsid w:val="00FA4A6C"/>
    <w:rsid w:val="00FA4CAD"/>
    <w:rsid w:val="00FA4DC7"/>
    <w:rsid w:val="00FA5D15"/>
    <w:rsid w:val="00FB106D"/>
    <w:rsid w:val="00FB4E64"/>
    <w:rsid w:val="00FB6398"/>
    <w:rsid w:val="00FC16AB"/>
    <w:rsid w:val="00FC3FBD"/>
    <w:rsid w:val="00FC54A4"/>
    <w:rsid w:val="00FC5CDF"/>
    <w:rsid w:val="00FD0695"/>
    <w:rsid w:val="00FD0A58"/>
    <w:rsid w:val="00FD160B"/>
    <w:rsid w:val="00FD19B7"/>
    <w:rsid w:val="00FD3800"/>
    <w:rsid w:val="00FD39C9"/>
    <w:rsid w:val="00FD3CDC"/>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 w:val="0AC51893"/>
    <w:rsid w:val="311E896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241C39C6-66D0-4389-9B85-EE2F0F33B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rFonts w:ascii="Palatino Linotype" w:eastAsia="Calibri" w:hAnsi="Palatino Linotype" w:cs="Calibri"/>
      <w:sz w:val="24"/>
      <w:szCs w:val="22"/>
      <w:lang w:val="es-ES"/>
    </w:rPr>
  </w:style>
  <w:style w:type="paragraph" w:styleId="Ttulo1">
    <w:name w:val="heading 1"/>
    <w:basedOn w:val="Normal"/>
    <w:next w:val="Normal"/>
    <w:link w:val="Ttulo1Car"/>
    <w:uiPriority w:val="9"/>
    <w:qFormat/>
    <w:pPr>
      <w:keepNext/>
      <w:keepLines/>
      <w:spacing w:before="24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qFormat/>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styleId="Textoennegrita">
    <w:name w:val="Strong"/>
    <w:uiPriority w:val="22"/>
    <w:qFormat/>
    <w:rPr>
      <w:b/>
      <w:bCs/>
    </w:rPr>
  </w:style>
  <w:style w:type="paragraph" w:styleId="Textonotapie">
    <w:name w:val="footnote text"/>
    <w:basedOn w:val="Normal"/>
    <w:link w:val="TextonotapieCar"/>
    <w:uiPriority w:val="99"/>
    <w:unhideWhenUsed/>
    <w:qFormat/>
    <w:pPr>
      <w:spacing w:line="240" w:lineRule="auto"/>
    </w:pPr>
    <w:rPr>
      <w:sz w:val="20"/>
      <w:szCs w:val="20"/>
    </w:rPr>
  </w:style>
  <w:style w:type="paragraph" w:styleId="Textonotaalfinal">
    <w:name w:val="endnote text"/>
    <w:basedOn w:val="Normal"/>
    <w:link w:val="TextonotaalfinalCar"/>
    <w:uiPriority w:val="99"/>
    <w:semiHidden/>
    <w:unhideWhenUsed/>
    <w:qFormat/>
    <w:pPr>
      <w:spacing w:line="240" w:lineRule="auto"/>
      <w:jc w:val="left"/>
    </w:pPr>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paragraph" w:styleId="Encabezado">
    <w:name w:val="header"/>
    <w:basedOn w:val="Normal"/>
    <w:link w:val="EncabezadoCar"/>
    <w:uiPriority w:val="99"/>
    <w:unhideWhenUsed/>
    <w:pPr>
      <w:tabs>
        <w:tab w:val="center" w:pos="4419"/>
        <w:tab w:val="right" w:pos="8838"/>
      </w:tabs>
      <w:spacing w:line="240" w:lineRule="auto"/>
    </w:pPr>
    <w:rPr>
      <w:rFonts w:ascii="Times New Roman" w:hAnsi="Times New Roman" w:cs="Times New Roman"/>
      <w:szCs w:val="24"/>
      <w:lang w:eastAsia="es-ES"/>
    </w:rPr>
  </w:style>
  <w:style w:type="paragraph" w:styleId="Sangradetextonormal">
    <w:name w:val="Body Text Indent"/>
    <w:basedOn w:val="Normal"/>
    <w:link w:val="SangradetextonormalCar"/>
    <w:uiPriority w:val="99"/>
    <w:unhideWhenUsed/>
    <w:pPr>
      <w:spacing w:after="120" w:line="276" w:lineRule="auto"/>
      <w:ind w:left="283"/>
      <w:jc w:val="left"/>
    </w:pPr>
    <w:rPr>
      <w:rFonts w:ascii="Calibri" w:hAnsi="Calibri" w:cs="Times New Roman"/>
      <w:sz w:val="22"/>
      <w:lang w:val="es-MX"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Cs w:val="24"/>
    </w:rPr>
  </w:style>
  <w:style w:type="paragraph" w:styleId="Piedepgina">
    <w:name w:val="footer"/>
    <w:basedOn w:val="Normal"/>
    <w:link w:val="PiedepginaCar"/>
    <w:uiPriority w:val="99"/>
    <w:unhideWhenUsed/>
    <w:pPr>
      <w:tabs>
        <w:tab w:val="center" w:pos="4419"/>
        <w:tab w:val="right" w:pos="8838"/>
      </w:tabs>
      <w:spacing w:line="240" w:lineRule="auto"/>
    </w:pPr>
    <w:rPr>
      <w:rFonts w:ascii="Times New Roman" w:hAnsi="Times New Roman" w:cs="Times New Roman"/>
      <w:szCs w:val="24"/>
      <w:lang w:eastAsia="es-ES"/>
    </w:rPr>
  </w:style>
  <w:style w:type="paragraph" w:styleId="Textoindependiente">
    <w:name w:val="Body Text"/>
    <w:basedOn w:val="Normal"/>
    <w:link w:val="TextoindependienteCar"/>
    <w:uiPriority w:val="1"/>
    <w:unhideWhenUsed/>
    <w:qFormat/>
    <w:pPr>
      <w:spacing w:before="100" w:beforeAutospacing="1" w:after="100" w:afterAutospacing="1" w:line="240" w:lineRule="auto"/>
    </w:pPr>
    <w:rPr>
      <w:rFonts w:ascii="Times New Roman" w:eastAsia="Times New Roman" w:hAnsi="Times New Roman" w:cs="Times New Roman"/>
      <w:szCs w:val="24"/>
    </w:rPr>
  </w:style>
  <w:style w:type="paragraph" w:styleId="Textosinformato">
    <w:name w:val="Plain Text"/>
    <w:basedOn w:val="Normal"/>
    <w:link w:val="TextosinformatoCar"/>
    <w:qFormat/>
    <w:pPr>
      <w:spacing w:line="240" w:lineRule="auto"/>
      <w:jc w:val="left"/>
    </w:pPr>
    <w:rPr>
      <w:rFonts w:ascii="Courier New" w:eastAsia="Times New Roman" w:hAnsi="Courier New" w:cs="Times New Roman"/>
      <w:sz w:val="20"/>
      <w:szCs w:val="20"/>
      <w:lang w:eastAsia="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pPr>
      <w:ind w:left="708"/>
    </w:pPr>
    <w:rPr>
      <w:rFonts w:eastAsia="Times New Roman" w:cs="Times New Roman"/>
      <w:szCs w:val="24"/>
      <w:lang w:eastAsia="es-ES"/>
    </w:rPr>
  </w:style>
  <w:style w:type="character" w:customStyle="1" w:styleId="PrrafodelistaCar">
    <w:name w:val="Párrafo de lista Car"/>
    <w:link w:val="Prrafodelista"/>
    <w:uiPriority w:val="72"/>
    <w:qFormat/>
    <w:locked/>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style>
  <w:style w:type="character" w:customStyle="1" w:styleId="TextonotapieCar">
    <w:name w:val="Texto nota pie Car"/>
    <w:basedOn w:val="Fuentedeprrafopredeter"/>
    <w:link w:val="Textonotapie"/>
    <w:uiPriority w:val="99"/>
    <w:qFormat/>
    <w:rPr>
      <w:sz w:val="20"/>
      <w:szCs w:val="20"/>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paragraph" w:styleId="Sinespaciado">
    <w:name w:val="No Spacing"/>
    <w:next w:val="Normal"/>
    <w:link w:val="SinespaciadoCar"/>
    <w:uiPriority w:val="1"/>
    <w:qFormat/>
    <w:pPr>
      <w:ind w:left="567" w:right="567"/>
      <w:jc w:val="both"/>
    </w:pPr>
    <w:rPr>
      <w:rFonts w:ascii="Palatino Linotype" w:eastAsia="Times New Roman" w:hAnsi="Palatino Linotype" w:cs="Times New Roman"/>
      <w:i/>
      <w:sz w:val="22"/>
      <w:szCs w:val="24"/>
      <w:lang w:eastAsia="es-ES"/>
    </w:rPr>
  </w:style>
  <w:style w:type="character" w:customStyle="1" w:styleId="SinespaciadoCar">
    <w:name w:val="Sin espaciado Car"/>
    <w:link w:val="Sinespaciado"/>
    <w:uiPriority w:val="1"/>
    <w:locked/>
    <w:rPr>
      <w:rFonts w:ascii="Palatino Linotype" w:eastAsia="Times New Roman" w:hAnsi="Palatino Linotype" w:cs="Times New Roman"/>
      <w:i/>
      <w:szCs w:val="24"/>
      <w:lang w:eastAsia="es-ES"/>
    </w:r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2E74B5" w:themeColor="accent1" w:themeShade="BF"/>
      <w:sz w:val="26"/>
      <w:szCs w:val="26"/>
    </w:rPr>
  </w:style>
  <w:style w:type="character" w:customStyle="1" w:styleId="TextoindependienteCar">
    <w:name w:val="Texto independiente Car"/>
    <w:basedOn w:val="Fuentedeprrafopredeter"/>
    <w:link w:val="Textoindependiente"/>
    <w:uiPriority w:val="1"/>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customStyle="1" w:styleId="j">
    <w:name w:val="j"/>
    <w:basedOn w:val="Normal"/>
    <w:qFormat/>
    <w:pPr>
      <w:spacing w:before="100" w:beforeAutospacing="1" w:after="100" w:afterAutospacing="1" w:line="240" w:lineRule="auto"/>
    </w:pPr>
    <w:rPr>
      <w:rFonts w:ascii="Times New Roman" w:hAnsi="Times New Roman" w:cs="Times New Roman"/>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4Car">
    <w:name w:val="Título 4 Car"/>
    <w:basedOn w:val="Fuentedeprrafopredeter"/>
    <w:link w:val="Ttulo4"/>
    <w:uiPriority w:val="9"/>
    <w:qFormat/>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qFormat/>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Pr>
      <w:rFonts w:ascii="Palatino Linotype" w:eastAsia="Calibri" w:hAnsi="Palatino Linotype" w:cs="Calibri"/>
      <w:sz w:val="20"/>
      <w:szCs w:val="20"/>
      <w:lang w:val="es-ES" w:eastAsia="es-MX"/>
    </w:rPr>
  </w:style>
  <w:style w:type="character" w:customStyle="1" w:styleId="il">
    <w:name w:val="il"/>
    <w:basedOn w:val="Fuentedeprrafopredeter"/>
  </w:style>
  <w:style w:type="paragraph" w:customStyle="1" w:styleId="n2">
    <w:name w:val="n2"/>
    <w:basedOn w:val="Normal"/>
    <w:qFormat/>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acep">
    <w:name w:val="n_acep"/>
    <w:basedOn w:val="Fuentedeprrafopredeter"/>
    <w:qFormat/>
  </w:style>
  <w:style w:type="character" w:customStyle="1" w:styleId="notranslate">
    <w:name w:val="notranslate"/>
    <w:basedOn w:val="Fuentedeprrafopredeter"/>
    <w:qFormat/>
  </w:style>
  <w:style w:type="character" w:customStyle="1" w:styleId="apple-style-span">
    <w:name w:val="apple-style-span"/>
    <w:qFormat/>
  </w:style>
  <w:style w:type="paragraph" w:customStyle="1" w:styleId="paragraph">
    <w:name w:val="paragraph"/>
    <w:basedOn w:val="Normal"/>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qFormat/>
  </w:style>
  <w:style w:type="paragraph" w:customStyle="1" w:styleId="Body1">
    <w:name w:val="Body 1"/>
    <w:pPr>
      <w:spacing w:after="200" w:line="276" w:lineRule="auto"/>
      <w:outlineLvl w:val="0"/>
    </w:pPr>
    <w:rPr>
      <w:rFonts w:ascii="Helvetica" w:eastAsia="Arial Unicode MS" w:hAnsi="Helvetica" w:cs="Times New Roman"/>
      <w:color w:val="000000"/>
      <w:sz w:val="22"/>
      <w:u w:color="000000"/>
    </w:rPr>
  </w:style>
  <w:style w:type="character" w:customStyle="1" w:styleId="TextosinformatoCar">
    <w:name w:val="Texto sin formato Car"/>
    <w:basedOn w:val="Fuentedeprrafopredeter"/>
    <w:link w:val="Textosinformato"/>
    <w:qFormat/>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style>
  <w:style w:type="character" w:customStyle="1" w:styleId="red">
    <w:name w:val="red"/>
    <w:basedOn w:val="Fuentedeprrafopredeter"/>
    <w:qFormat/>
  </w:style>
  <w:style w:type="paragraph" w:customStyle="1" w:styleId="francesa">
    <w:name w:val="francesa"/>
    <w:basedOn w:val="Normal"/>
    <w:qFormat/>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qFormat/>
    <w:pPr>
      <w:spacing w:line="221" w:lineRule="atLeast"/>
    </w:pPr>
    <w:rPr>
      <w:color w:val="auto"/>
    </w:rPr>
  </w:style>
  <w:style w:type="paragraph" w:customStyle="1" w:styleId="j2">
    <w:name w:val="j2"/>
    <w:basedOn w:val="Normal"/>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qFormat/>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style>
  <w:style w:type="character" w:customStyle="1" w:styleId="i1">
    <w:name w:val="i1"/>
    <w:basedOn w:val="Fuentedeprrafopredeter"/>
  </w:style>
  <w:style w:type="character" w:customStyle="1" w:styleId="SangradetextonormalCar">
    <w:name w:val="Sangría de texto normal Car"/>
    <w:basedOn w:val="Fuentedeprrafopredeter"/>
    <w:link w:val="Sangradetextonormal"/>
    <w:uiPriority w:val="9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pomex.org.mx/ipo3/lgt/indice/TESCO/art_92_vii/4/0/37582.web"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TESCO/art_92_vii/4.web"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28E66D-5502-4123-9B45-5FAC958BA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45</Pages>
  <Words>10603</Words>
  <Characters>58321</Characters>
  <Application>Microsoft Office Word</Application>
  <DocSecurity>0</DocSecurity>
  <Lines>486</Lines>
  <Paragraphs>137</Paragraphs>
  <ScaleCrop>false</ScaleCrop>
  <Company/>
  <LinksUpToDate>false</LinksUpToDate>
  <CharactersWithSpaces>68787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2019-06-13T15:30:00Z</cp:lastPrinted>
  <dcterms:created xsi:type="dcterms:W3CDTF">2022-08-16T23:16:00Z</dcterms:created>
  <dcterms:modified xsi:type="dcterms:W3CDTF">2022-10-10T02:05:00Z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2058-11.2.0.11306</vt:lpwstr>
  </property>
  <property fmtid="{D5CDD505-2E9C-101B-9397-08002B2CF9AE}" pid="3" name="ICV">
    <vt:lpwstr>334E830127BA4A8F815DDE15F9269E7E</vt:lpwstr>
  </property>
</Properties>
</file>