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C05" w:rsidRPr="003641C9" w:rsidRDefault="00CE07DA">
      <w:pPr>
        <w:spacing w:before="240" w:after="240" w:line="360" w:lineRule="auto"/>
        <w:jc w:val="both"/>
        <w:rPr>
          <w:rFonts w:ascii="Palatino Linotype" w:eastAsia="Palatino Linotype" w:hAnsi="Palatino Linotype" w:cs="Palatino Linotype"/>
        </w:rPr>
      </w:pPr>
      <w:bookmarkStart w:id="0" w:name="_heading=h.30j0zll" w:colFirst="0" w:colLast="0"/>
      <w:bookmarkStart w:id="1" w:name="_GoBack"/>
      <w:bookmarkEnd w:id="0"/>
      <w:bookmarkEnd w:id="1"/>
      <w:r w:rsidRPr="003641C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once de mayo de dos mil veintidós. </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VISTO</w:t>
      </w:r>
      <w:r w:rsidRPr="003641C9">
        <w:rPr>
          <w:rFonts w:ascii="Palatino Linotype" w:eastAsia="Palatino Linotype" w:hAnsi="Palatino Linotype" w:cs="Palatino Linotype"/>
        </w:rPr>
        <w:t xml:space="preserve"> el expediente formado con motivo del recurso de revisión </w:t>
      </w:r>
      <w:r w:rsidRPr="003641C9">
        <w:rPr>
          <w:rFonts w:ascii="Palatino Linotype" w:eastAsia="Palatino Linotype" w:hAnsi="Palatino Linotype" w:cs="Palatino Linotype"/>
          <w:b/>
        </w:rPr>
        <w:t>01589/INFOEM/IP/RR/2022</w:t>
      </w:r>
      <w:r w:rsidRPr="003641C9">
        <w:rPr>
          <w:rFonts w:ascii="Palatino Linotype" w:eastAsia="Palatino Linotype" w:hAnsi="Palatino Linotype" w:cs="Palatino Linotype"/>
        </w:rPr>
        <w:t>, interpuesto por una persona usuario del Sistema de Acceso a la Información Mexiquense (SAIMEX) que no proporcionó nombre o seudónimo y quien en lo sucesivo</w:t>
      </w:r>
      <w:r w:rsidRPr="003641C9">
        <w:rPr>
          <w:rFonts w:ascii="Palatino Linotype" w:eastAsia="Palatino Linotype" w:hAnsi="Palatino Linotype" w:cs="Palatino Linotype"/>
          <w:b/>
        </w:rPr>
        <w:t xml:space="preserve"> </w:t>
      </w:r>
      <w:r w:rsidRPr="003641C9">
        <w:rPr>
          <w:rFonts w:ascii="Palatino Linotype" w:eastAsia="Palatino Linotype" w:hAnsi="Palatino Linotype" w:cs="Palatino Linotype"/>
        </w:rPr>
        <w:t xml:space="preserve">será identificado en su calidad de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xml:space="preserve"> en contra de la respuesta del </w:t>
      </w:r>
      <w:r w:rsidRPr="003641C9">
        <w:rPr>
          <w:rFonts w:ascii="Palatino Linotype" w:eastAsia="Palatino Linotype" w:hAnsi="Palatino Linotype" w:cs="Palatino Linotype"/>
          <w:b/>
        </w:rPr>
        <w:t xml:space="preserve">Ayuntamiento de Tlalnepantla de Baz, </w:t>
      </w:r>
      <w:r w:rsidRPr="003641C9">
        <w:rPr>
          <w:rFonts w:ascii="Palatino Linotype" w:eastAsia="Palatino Linotype" w:hAnsi="Palatino Linotype" w:cs="Palatino Linotype"/>
        </w:rPr>
        <w:t xml:space="preserve">en lo sucesivo el </w:t>
      </w:r>
      <w:r w:rsidRPr="003641C9">
        <w:rPr>
          <w:rFonts w:ascii="Palatino Linotype" w:eastAsia="Palatino Linotype" w:hAnsi="Palatino Linotype" w:cs="Palatino Linotype"/>
          <w:b/>
        </w:rPr>
        <w:t xml:space="preserve">SUJETO OBLIGADO, </w:t>
      </w:r>
      <w:r w:rsidRPr="003641C9">
        <w:rPr>
          <w:rFonts w:ascii="Palatino Linotype" w:eastAsia="Palatino Linotype" w:hAnsi="Palatino Linotype" w:cs="Palatino Linotype"/>
        </w:rPr>
        <w:t xml:space="preserve">se procede a dictar la presente resolución con base en los siguientes: </w:t>
      </w:r>
    </w:p>
    <w:p w:rsidR="006A2C05" w:rsidRPr="003641C9" w:rsidRDefault="00CE07DA">
      <w:pPr>
        <w:spacing w:before="240" w:after="240" w:line="360" w:lineRule="auto"/>
        <w:jc w:val="center"/>
        <w:rPr>
          <w:rFonts w:ascii="Palatino Linotype" w:eastAsia="Palatino Linotype" w:hAnsi="Palatino Linotype" w:cs="Palatino Linotype"/>
          <w:b/>
          <w:sz w:val="28"/>
          <w:szCs w:val="28"/>
        </w:rPr>
      </w:pPr>
      <w:r w:rsidRPr="003641C9">
        <w:rPr>
          <w:rFonts w:ascii="Palatino Linotype" w:eastAsia="Palatino Linotype" w:hAnsi="Palatino Linotype" w:cs="Palatino Linotype"/>
          <w:b/>
        </w:rPr>
        <w:t>I. A N T E C E D E N T E S</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1. Solicitud de acceso a la información.</w:t>
      </w:r>
      <w:r w:rsidRPr="003641C9">
        <w:rPr>
          <w:rFonts w:ascii="Palatino Linotype" w:eastAsia="Palatino Linotype" w:hAnsi="Palatino Linotype" w:cs="Palatino Linotype"/>
        </w:rPr>
        <w:t xml:space="preserve"> El </w:t>
      </w:r>
      <w:r w:rsidRPr="003641C9">
        <w:rPr>
          <w:rFonts w:ascii="Palatino Linotype" w:eastAsia="Palatino Linotype" w:hAnsi="Palatino Linotype" w:cs="Palatino Linotype"/>
          <w:b/>
        </w:rPr>
        <w:t>catorce de enero de dos mil veintidós,</w:t>
      </w:r>
      <w:r w:rsidRPr="003641C9">
        <w:rPr>
          <w:rFonts w:ascii="Palatino Linotype" w:eastAsia="Palatino Linotype" w:hAnsi="Palatino Linotype" w:cs="Palatino Linotype"/>
        </w:rPr>
        <w:t xml:space="preserve"> el </w:t>
      </w:r>
      <w:r w:rsidRPr="003641C9">
        <w:rPr>
          <w:rFonts w:ascii="Palatino Linotype" w:eastAsia="Palatino Linotype" w:hAnsi="Palatino Linotype" w:cs="Palatino Linotype"/>
          <w:b/>
        </w:rPr>
        <w:t xml:space="preserve">RECURRENTE </w:t>
      </w:r>
      <w:r w:rsidRPr="003641C9">
        <w:rPr>
          <w:rFonts w:ascii="Palatino Linotype" w:eastAsia="Palatino Linotype" w:hAnsi="Palatino Linotype" w:cs="Palatino Linotype"/>
        </w:rPr>
        <w:t>presentó a través del Sistema de Acceso a la Información Mexiquense (</w:t>
      </w:r>
      <w:r w:rsidRPr="003641C9">
        <w:rPr>
          <w:rFonts w:ascii="Palatino Linotype" w:eastAsia="Palatino Linotype" w:hAnsi="Palatino Linotype" w:cs="Palatino Linotype"/>
          <w:b/>
        </w:rPr>
        <w:t>SAIMEX),</w:t>
      </w:r>
      <w:r w:rsidRPr="003641C9">
        <w:rPr>
          <w:rFonts w:ascii="Palatino Linotype" w:eastAsia="Palatino Linotype" w:hAnsi="Palatino Linotype" w:cs="Palatino Linotype"/>
        </w:rPr>
        <w:t xml:space="preserve"> la solicitud de acceso a la información pública registrada con el número </w:t>
      </w:r>
      <w:r w:rsidRPr="003641C9">
        <w:rPr>
          <w:rFonts w:ascii="Palatino Linotype" w:eastAsia="Palatino Linotype" w:hAnsi="Palatino Linotype" w:cs="Palatino Linotype"/>
          <w:b/>
        </w:rPr>
        <w:t xml:space="preserve">00051/TLALNEPA/IP/2022, </w:t>
      </w:r>
      <w:r w:rsidRPr="003641C9">
        <w:rPr>
          <w:rFonts w:ascii="Palatino Linotype" w:eastAsia="Palatino Linotype" w:hAnsi="Palatino Linotype" w:cs="Palatino Linotype"/>
        </w:rPr>
        <w:t xml:space="preserve">mediante la cual requirió la información siguiente: </w:t>
      </w:r>
    </w:p>
    <w:p w:rsidR="006A2C05" w:rsidRPr="003641C9" w:rsidRDefault="00CE07DA">
      <w:pPr>
        <w:spacing w:line="276" w:lineRule="auto"/>
        <w:ind w:left="851" w:right="616"/>
        <w:jc w:val="both"/>
        <w:rPr>
          <w:rFonts w:ascii="Palatino Linotype" w:eastAsia="Palatino Linotype" w:hAnsi="Palatino Linotype" w:cs="Palatino Linotype"/>
          <w:b/>
          <w:i/>
          <w:sz w:val="22"/>
          <w:szCs w:val="22"/>
        </w:rPr>
      </w:pPr>
      <w:bookmarkStart w:id="2" w:name="_heading=h.gjdgxs" w:colFirst="0" w:colLast="0"/>
      <w:bookmarkEnd w:id="2"/>
      <w:r w:rsidRPr="003641C9">
        <w:rPr>
          <w:rFonts w:ascii="Palatino Linotype" w:eastAsia="Palatino Linotype" w:hAnsi="Palatino Linotype" w:cs="Palatino Linotype"/>
          <w:i/>
          <w:sz w:val="22"/>
          <w:szCs w:val="22"/>
        </w:rPr>
        <w:t xml:space="preserve">“Con fundamento en el artículo primero de la Ley de Transparencia y Acceso a la Información Pública del Estado de México y Municipios, requiero la siguiente información pública del Ayuntamiento de Tlalnepantla de Baz: 1. </w:t>
      </w:r>
      <w:r w:rsidRPr="003641C9">
        <w:t>Cargo que desempeña dentro del Instituto de Cultura Física y Deporte de Tlalnepantla de Baz</w:t>
      </w:r>
      <w:r w:rsidRPr="003641C9">
        <w:rPr>
          <w:rFonts w:ascii="Palatino Linotype" w:eastAsia="Palatino Linotype" w:hAnsi="Palatino Linotype" w:cs="Palatino Linotype"/>
          <w:i/>
          <w:sz w:val="22"/>
          <w:szCs w:val="22"/>
        </w:rPr>
        <w:t xml:space="preserve">, el Sr. Ricardo Díaz Hernández; así como categoría laboral, área de adscripción, sueldo quincenal bruto y neto. Ello lo requiero del mes en curso. 2. Marco jurídico que regula las actividades desarrolladas por el empleado en mención, </w:t>
      </w:r>
      <w:r w:rsidRPr="003641C9">
        <w:rPr>
          <w:rFonts w:ascii="Palatino Linotype" w:eastAsia="Palatino Linotype" w:hAnsi="Palatino Linotype" w:cs="Palatino Linotype"/>
          <w:i/>
          <w:sz w:val="22"/>
          <w:szCs w:val="22"/>
        </w:rPr>
        <w:lastRenderedPageBreak/>
        <w:t>asimismo requiero las responsabilidades que de acuerdo con el marco jurídico de actuación debe de cumplir el Sr. Ricardo Díaz Hernández, dentro del propio Instituto. 3. Requiero saber si ¿El Sr. Ricardo Díaz Hernández está autorizado y por quien, para cobrar cuotas u otro tipo de prestaciones económicas a los usuarios del Instituto Municipal de Cultura Física y Deporte? 4. Saber si ¿El Sr. Ricardo Díaz Hernández tiene dentro de facultades incrementar las tarifas que establece el Instituto Municipal de Cultura Física y Deporte y la propia Tesorería Municipal, para el uso y aprovechamiento de instalaciones deportivas y/o cualquier tarifa establecida en por las dependencias antes mencionadas?. 5. Saber si ¿El Sr. Ricardo Díaz Hernández está autorizado o facultado para despedir sin justificación a personal adscrito al Instituto Municipal de Cultura Física y Deporte?. 6. Si la repuesta al punto cinco es, que sí está autorizado. Requiero saber el nombre del Servidor Público que le otorgo dicha autorización. 7. Que la Tesorería Municipal indique al solicitante el monto, fechas de los recursos económicos y el concepto de éstos que ha ingresado a esta dependencia por parte del Instituto Municipal de Cultura Física y Deporte, durante los años 2019, 2020, 2021 y 2022..”(sic)</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Modalidad de Entrega:</w:t>
      </w:r>
      <w:r w:rsidRPr="003641C9">
        <w:rPr>
          <w:rFonts w:ascii="Palatino Linotype" w:eastAsia="Palatino Linotype" w:hAnsi="Palatino Linotype" w:cs="Palatino Linotype"/>
        </w:rPr>
        <w:t xml:space="preserve"> A través del Sistema de Acceso a la Información Mexiquense (SAIMEX).</w:t>
      </w: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2. Respuesta. </w:t>
      </w:r>
      <w:r w:rsidRPr="003641C9">
        <w:rPr>
          <w:rFonts w:ascii="Palatino Linotype" w:eastAsia="Palatino Linotype" w:hAnsi="Palatino Linotype" w:cs="Palatino Linotype"/>
        </w:rPr>
        <w:t xml:space="preserve"> El </w:t>
      </w:r>
      <w:r w:rsidRPr="003641C9">
        <w:rPr>
          <w:rFonts w:ascii="Palatino Linotype" w:eastAsia="Palatino Linotype" w:hAnsi="Palatino Linotype" w:cs="Palatino Linotype"/>
          <w:b/>
        </w:rPr>
        <w:t>tres de febrero de dos mil veintidós</w:t>
      </w:r>
      <w:r w:rsidRPr="003641C9">
        <w:rPr>
          <w:rFonts w:ascii="Palatino Linotype" w:eastAsia="Palatino Linotype" w:hAnsi="Palatino Linotype" w:cs="Palatino Linotype"/>
        </w:rPr>
        <w:t xml:space="preserve">, 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respondió a la solicitud de información en los términos siguientes:</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“Se anexa respuesta respectiva.”(Sic)</w:t>
      </w:r>
    </w:p>
    <w:p w:rsidR="006A2C05" w:rsidRPr="003641C9" w:rsidRDefault="006A2C05">
      <w:pPr>
        <w:spacing w:line="360" w:lineRule="auto"/>
        <w:ind w:right="49"/>
        <w:jc w:val="both"/>
        <w:rPr>
          <w:rFonts w:ascii="Palatino Linotype" w:eastAsia="Palatino Linotype" w:hAnsi="Palatino Linotype" w:cs="Palatino Linotype"/>
        </w:rPr>
      </w:pPr>
    </w:p>
    <w:p w:rsidR="006A2C05" w:rsidRPr="003641C9" w:rsidRDefault="00CE07DA">
      <w:pPr>
        <w:spacing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Pronunciamiento al que el </w:t>
      </w:r>
      <w:r w:rsidRPr="003641C9">
        <w:rPr>
          <w:rFonts w:ascii="Palatino Linotype" w:eastAsia="Palatino Linotype" w:hAnsi="Palatino Linotype" w:cs="Palatino Linotype"/>
          <w:b/>
        </w:rPr>
        <w:t xml:space="preserve">SUJETO OBLIGADO </w:t>
      </w:r>
      <w:r w:rsidRPr="003641C9">
        <w:rPr>
          <w:rFonts w:ascii="Palatino Linotype" w:eastAsia="Palatino Linotype" w:hAnsi="Palatino Linotype" w:cs="Palatino Linotype"/>
        </w:rPr>
        <w:t xml:space="preserve">adjuntó la carpeta comprimida identificada como </w:t>
      </w:r>
      <w:r w:rsidRPr="003641C9">
        <w:rPr>
          <w:rFonts w:ascii="Palatino Linotype" w:eastAsia="Palatino Linotype" w:hAnsi="Palatino Linotype" w:cs="Palatino Linotype"/>
          <w:b/>
          <w:i/>
        </w:rPr>
        <w:t xml:space="preserve">“RESP_SAIMEX_00051.zip” </w:t>
      </w:r>
      <w:r w:rsidRPr="003641C9">
        <w:rPr>
          <w:rFonts w:ascii="Palatino Linotype" w:eastAsia="Palatino Linotype" w:hAnsi="Palatino Linotype" w:cs="Palatino Linotype"/>
        </w:rPr>
        <w:t xml:space="preserve">integrada por los archivos electrónicos que se describen en el siguiente orden: </w:t>
      </w:r>
    </w:p>
    <w:p w:rsidR="006A2C05" w:rsidRPr="003641C9" w:rsidRDefault="006A2C05">
      <w:pPr>
        <w:spacing w:line="360" w:lineRule="auto"/>
        <w:ind w:right="49"/>
        <w:jc w:val="both"/>
        <w:rPr>
          <w:rFonts w:ascii="Palatino Linotype" w:eastAsia="Palatino Linotype" w:hAnsi="Palatino Linotype" w:cs="Palatino Linotype"/>
        </w:rPr>
      </w:pPr>
    </w:p>
    <w:p w:rsidR="006A2C05" w:rsidRPr="003641C9" w:rsidRDefault="00CE07D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lastRenderedPageBreak/>
        <w:t>“RESP_SAIMEX_00051_D_ADMINISTRACION.pdf”:</w:t>
      </w:r>
      <w:r w:rsidRPr="003641C9">
        <w:rPr>
          <w:rFonts w:ascii="Palatino Linotype" w:eastAsia="Palatino Linotype" w:hAnsi="Palatino Linotype" w:cs="Palatino Linotype"/>
          <w:color w:val="000000"/>
        </w:rPr>
        <w:t xml:space="preserve"> Escrito de fecha tres de enero de dos mil veintidós, dirigido a la Titular de la Unidad de Transparencia, suscrito y signado por el Director de Administración, por medio del cual remitió respuesta a los numerales 1, 2, y 5; asimismo contiene el oficio DA/SCH/0284/2022 de fecha dirigido al Director de Administración, suscrito y signado por el Subdirector de Capital Humano por medio del cual se pronunció sobre el cargo que desempeña, y  marco jurídico de las actividades desarrolladas por el servidor público referido en la solicitud; asimismo, en relación al numeral 5 informó que esa dependencia solo es aplicable la renuncia voluntaria como causa de la relación laboral, de conformidad al artículo 89, fracción I de la Ley del Trabajo de los Servidores Públicos del Estado de México y Municipios. </w:t>
      </w:r>
    </w:p>
    <w:p w:rsidR="006A2C05" w:rsidRPr="003641C9" w:rsidRDefault="006A2C05">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rsidR="006A2C05" w:rsidRPr="003641C9" w:rsidRDefault="00CE07D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t xml:space="preserve">“RESP_SAIMEX_0005_DEPORTE.pdf” </w:t>
      </w:r>
      <w:r w:rsidRPr="003641C9">
        <w:rPr>
          <w:rFonts w:ascii="Palatino Linotype" w:eastAsia="Palatino Linotype" w:hAnsi="Palatino Linotype" w:cs="Palatino Linotype"/>
          <w:color w:val="000000"/>
        </w:rPr>
        <w:t>Oficio número IMCFYD/01/0104/2022, de fecha veintiséis de enero de dos mil veintidós, dirigido a la Titular de la Unidad de Transparencia, suscrito y signado por la Directora del Instituto Municipal de Cultura Física y Deporte, mediante el cual respondió a los planteamientos formulados en los puntos 2, 3, 4, 5 y 6.</w:t>
      </w:r>
    </w:p>
    <w:p w:rsidR="006A2C05" w:rsidRPr="003641C9" w:rsidRDefault="006A2C05">
      <w:pPr>
        <w:pBdr>
          <w:top w:val="nil"/>
          <w:left w:val="nil"/>
          <w:bottom w:val="nil"/>
          <w:right w:val="nil"/>
          <w:between w:val="nil"/>
        </w:pBdr>
        <w:ind w:left="720"/>
        <w:rPr>
          <w:rFonts w:ascii="Palatino Linotype" w:eastAsia="Palatino Linotype" w:hAnsi="Palatino Linotype" w:cs="Palatino Linotype"/>
          <w:color w:val="000000"/>
        </w:rPr>
      </w:pPr>
    </w:p>
    <w:p w:rsidR="006A2C05" w:rsidRPr="003641C9" w:rsidRDefault="00CE07DA">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t xml:space="preserve">“RESP_SAIMEX_00051_TESORERIA_MUNICIPAL.pdf”: </w:t>
      </w:r>
      <w:r w:rsidRPr="003641C9">
        <w:rPr>
          <w:rFonts w:ascii="Palatino Linotype" w:eastAsia="Palatino Linotype" w:hAnsi="Palatino Linotype" w:cs="Palatino Linotype"/>
          <w:color w:val="000000"/>
        </w:rPr>
        <w:t xml:space="preserve">Oficio número TM/247/2022 dirigido al Titular de la Unidad de Transparencia y Acceso a la Información Pública Municipal, suscrito y firmado por el Tesorero Municipal por medio del cual respondió que en relación a los numerales 3 y 4, la persona referida en la solicitud no se encuentra adscrita a esa dependencia; así </w:t>
      </w:r>
      <w:r w:rsidRPr="003641C9">
        <w:rPr>
          <w:rFonts w:ascii="Palatino Linotype" w:eastAsia="Palatino Linotype" w:hAnsi="Palatino Linotype" w:cs="Palatino Linotype"/>
          <w:color w:val="000000"/>
        </w:rPr>
        <w:lastRenderedPageBreak/>
        <w:t xml:space="preserve">mismo, respecto a la información requerida en el numeral 7 manifestó que los ingresos recaudados en la Tesorería Municipal, por parte del Instituto Municipal de Cultura Física y del Deporte, durante los periodos 2019, 2020 y 2021 son los siguientes: </w:t>
      </w:r>
    </w:p>
    <w:p w:rsidR="006A2C05" w:rsidRPr="003641C9" w:rsidRDefault="00CE07DA">
      <w:pPr>
        <w:spacing w:line="360" w:lineRule="auto"/>
        <w:ind w:right="49" w:firstLine="851"/>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5067862" cy="906135"/>
            <wp:effectExtent l="12700" t="12700" r="12700" b="1270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67862" cy="906135"/>
                    </a:xfrm>
                    <a:prstGeom prst="rect">
                      <a:avLst/>
                    </a:prstGeom>
                    <a:ln w="12700">
                      <a:solidFill>
                        <a:srgbClr val="000000"/>
                      </a:solidFill>
                      <a:prstDash val="solid"/>
                    </a:ln>
                  </pic:spPr>
                </pic:pic>
              </a:graphicData>
            </a:graphic>
          </wp:inline>
        </w:drawing>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3. Interposición del recurso de revisión. </w:t>
      </w:r>
      <w:r w:rsidRPr="003641C9">
        <w:rPr>
          <w:rFonts w:ascii="Palatino Linotype" w:eastAsia="Palatino Linotype" w:hAnsi="Palatino Linotype" w:cs="Palatino Linotype"/>
        </w:rPr>
        <w:t xml:space="preserve">El </w:t>
      </w:r>
      <w:r w:rsidRPr="003641C9">
        <w:rPr>
          <w:rFonts w:ascii="Palatino Linotype" w:eastAsia="Palatino Linotype" w:hAnsi="Palatino Linotype" w:cs="Palatino Linotype"/>
          <w:b/>
        </w:rPr>
        <w:t xml:space="preserve">veintitrés de febrero de dos mil veintidós </w:t>
      </w:r>
      <w:r w:rsidRPr="003641C9">
        <w:rPr>
          <w:rFonts w:ascii="Palatino Linotype" w:eastAsia="Palatino Linotype" w:hAnsi="Palatino Linotype" w:cs="Palatino Linotype"/>
        </w:rPr>
        <w:t xml:space="preserve">el </w:t>
      </w:r>
      <w:r w:rsidRPr="003641C9">
        <w:rPr>
          <w:rFonts w:ascii="Palatino Linotype" w:eastAsia="Palatino Linotype" w:hAnsi="Palatino Linotype" w:cs="Palatino Linotype"/>
          <w:b/>
        </w:rPr>
        <w:t xml:space="preserve">RECURRENTE, </w:t>
      </w:r>
      <w:r w:rsidRPr="003641C9">
        <w:rPr>
          <w:rFonts w:ascii="Palatino Linotype" w:eastAsia="Palatino Linotype" w:hAnsi="Palatino Linotype" w:cs="Palatino Linotype"/>
        </w:rPr>
        <w:t>inconforme con la respuesta, presentó el recurso de revisión en el que manifestó lo siguiente:</w:t>
      </w:r>
    </w:p>
    <w:p w:rsidR="006A2C05" w:rsidRPr="003641C9" w:rsidRDefault="00CE07DA">
      <w:pPr>
        <w:spacing w:before="240" w:after="240" w:line="360" w:lineRule="auto"/>
        <w:ind w:right="49"/>
        <w:jc w:val="both"/>
        <w:rPr>
          <w:rFonts w:ascii="Palatino Linotype" w:eastAsia="Palatino Linotype" w:hAnsi="Palatino Linotype" w:cs="Palatino Linotype"/>
          <w:b/>
        </w:rPr>
      </w:pPr>
      <w:r w:rsidRPr="003641C9">
        <w:rPr>
          <w:rFonts w:ascii="Palatino Linotype" w:eastAsia="Palatino Linotype" w:hAnsi="Palatino Linotype" w:cs="Palatino Linotype"/>
          <w:b/>
        </w:rPr>
        <w:t xml:space="preserve">Acto impugnado: </w:t>
      </w:r>
    </w:p>
    <w:p w:rsidR="006A2C05" w:rsidRPr="003641C9" w:rsidRDefault="006A2C05">
      <w:pPr>
        <w:spacing w:line="360" w:lineRule="auto"/>
        <w:ind w:left="851" w:right="900"/>
        <w:jc w:val="both"/>
        <w:rPr>
          <w:rFonts w:ascii="Palatino Linotype" w:eastAsia="Palatino Linotype" w:hAnsi="Palatino Linotype" w:cs="Palatino Linotype"/>
          <w:i/>
          <w:sz w:val="2"/>
          <w:szCs w:val="2"/>
        </w:rPr>
      </w:pPr>
    </w:p>
    <w:p w:rsidR="006A2C05" w:rsidRPr="003641C9" w:rsidRDefault="00CE07DA">
      <w:pPr>
        <w:spacing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“La unidad de Transparencia proporciono incompleta la información. Debido a que no atendió puntualmente la preguntas hechas en la solicitud de información." (Sic)</w:t>
      </w:r>
    </w:p>
    <w:p w:rsidR="006A2C05" w:rsidRPr="003641C9" w:rsidRDefault="00CE07DA">
      <w:pPr>
        <w:spacing w:before="240" w:after="240" w:line="360" w:lineRule="auto"/>
        <w:ind w:right="49"/>
        <w:jc w:val="both"/>
        <w:rPr>
          <w:rFonts w:ascii="Palatino Linotype" w:eastAsia="Palatino Linotype" w:hAnsi="Palatino Linotype" w:cs="Palatino Linotype"/>
          <w:b/>
        </w:rPr>
      </w:pPr>
      <w:r w:rsidRPr="003641C9">
        <w:rPr>
          <w:rFonts w:ascii="Palatino Linotype" w:eastAsia="Palatino Linotype" w:hAnsi="Palatino Linotype" w:cs="Palatino Linotype"/>
          <w:b/>
        </w:rPr>
        <w:t xml:space="preserve">Razones o motivos de la inconformidad: </w:t>
      </w:r>
    </w:p>
    <w:p w:rsidR="006A2C05" w:rsidRPr="003641C9" w:rsidRDefault="00CE07DA">
      <w:pPr>
        <w:spacing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“Se entrego de manera incompleta la información, por ello manifiesto ejercer mi propio derecho para inconformarme en relación a la solicitud de información presentada y que es materia de esta inconformidad.." (Sic)</w:t>
      </w:r>
    </w:p>
    <w:p w:rsidR="006A2C05" w:rsidRPr="003641C9" w:rsidRDefault="006A2C05">
      <w:pPr>
        <w:spacing w:line="360" w:lineRule="auto"/>
        <w:jc w:val="both"/>
        <w:rPr>
          <w:rFonts w:ascii="Palatino Linotype" w:eastAsia="Palatino Linotype" w:hAnsi="Palatino Linotype" w:cs="Palatino Linotype"/>
          <w:sz w:val="2"/>
          <w:szCs w:val="2"/>
        </w:rPr>
      </w:pP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4. Turno.</w:t>
      </w:r>
      <w:r w:rsidRPr="003641C9">
        <w:rPr>
          <w:rFonts w:ascii="Palatino Linotype" w:eastAsia="Palatino Linotype" w:hAnsi="Palatino Linotype" w:cs="Palatino Linotype"/>
          <w:b/>
          <w:sz w:val="28"/>
          <w:szCs w:val="28"/>
        </w:rPr>
        <w:t xml:space="preserve"> </w:t>
      </w:r>
      <w:r w:rsidRPr="003641C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3641C9">
        <w:rPr>
          <w:rFonts w:ascii="Palatino Linotype" w:eastAsia="Palatino Linotype" w:hAnsi="Palatino Linotype" w:cs="Palatino Linotype"/>
        </w:rPr>
        <w:lastRenderedPageBreak/>
        <w:t xml:space="preserve">del Estado de México y Municipios, a la Comisionada </w:t>
      </w:r>
      <w:r w:rsidRPr="003641C9">
        <w:rPr>
          <w:rFonts w:ascii="Palatino Linotype" w:eastAsia="Palatino Linotype" w:hAnsi="Palatino Linotype" w:cs="Palatino Linotype"/>
          <w:b/>
        </w:rPr>
        <w:t xml:space="preserve">Guadalupe Ramírez Peña, </w:t>
      </w:r>
      <w:r w:rsidRPr="003641C9">
        <w:rPr>
          <w:rFonts w:ascii="Palatino Linotype" w:eastAsia="Palatino Linotype" w:hAnsi="Palatino Linotype" w:cs="Palatino Linotype"/>
        </w:rPr>
        <w:t>a efecto de que analizara sobre su admisión o su desechamiento.</w:t>
      </w:r>
    </w:p>
    <w:p w:rsidR="006A2C05" w:rsidRPr="003641C9" w:rsidRDefault="00CE07DA">
      <w:pPr>
        <w:spacing w:before="240" w:after="240" w:line="360" w:lineRule="auto"/>
        <w:jc w:val="both"/>
        <w:rPr>
          <w:rFonts w:ascii="Palatino Linotype" w:eastAsia="Palatino Linotype" w:hAnsi="Palatino Linotype" w:cs="Palatino Linotype"/>
          <w:b/>
        </w:rPr>
      </w:pPr>
      <w:r w:rsidRPr="003641C9">
        <w:rPr>
          <w:rFonts w:ascii="Palatino Linotype" w:eastAsia="Palatino Linotype" w:hAnsi="Palatino Linotype" w:cs="Palatino Linotype"/>
          <w:b/>
        </w:rPr>
        <w:t>5.</w:t>
      </w:r>
      <w:r w:rsidRPr="003641C9">
        <w:rPr>
          <w:rFonts w:ascii="Palatino Linotype" w:eastAsia="Palatino Linotype" w:hAnsi="Palatino Linotype" w:cs="Palatino Linotype"/>
          <w:b/>
          <w:i/>
        </w:rPr>
        <w:t xml:space="preserve"> </w:t>
      </w:r>
      <w:r w:rsidRPr="003641C9">
        <w:rPr>
          <w:rFonts w:ascii="Palatino Linotype" w:eastAsia="Palatino Linotype" w:hAnsi="Palatino Linotype" w:cs="Palatino Linotype"/>
          <w:b/>
        </w:rPr>
        <w:t>Admisión del Recurso de revisión.</w:t>
      </w:r>
      <w:r w:rsidRPr="003641C9">
        <w:rPr>
          <w:rFonts w:ascii="Palatino Linotype" w:eastAsia="Palatino Linotype" w:hAnsi="Palatino Linotype" w:cs="Palatino Linotype"/>
          <w:sz w:val="28"/>
          <w:szCs w:val="28"/>
        </w:rPr>
        <w:t xml:space="preserve"> El</w:t>
      </w:r>
      <w:r w:rsidRPr="003641C9">
        <w:rPr>
          <w:rFonts w:ascii="Palatino Linotype" w:eastAsia="Palatino Linotype" w:hAnsi="Palatino Linotype" w:cs="Palatino Linotype"/>
          <w:b/>
        </w:rPr>
        <w:t xml:space="preserve"> uno de marzo de dos mil veintidós, </w:t>
      </w:r>
      <w:r w:rsidRPr="003641C9">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6. Manifestaciones</w:t>
      </w:r>
      <w:r w:rsidRPr="003641C9">
        <w:rPr>
          <w:rFonts w:ascii="Palatino Linotype" w:eastAsia="Palatino Linotype" w:hAnsi="Palatino Linotype" w:cs="Palatino Linotype"/>
        </w:rPr>
        <w:t xml:space="preserve">. El </w:t>
      </w:r>
      <w:r w:rsidRPr="003641C9">
        <w:rPr>
          <w:rFonts w:ascii="Palatino Linotype" w:eastAsia="Palatino Linotype" w:hAnsi="Palatino Linotype" w:cs="Palatino Linotype"/>
          <w:b/>
        </w:rPr>
        <w:t xml:space="preserve">nueve de marzo de dos mil veintidós, </w:t>
      </w:r>
      <w:r w:rsidRPr="003641C9">
        <w:rPr>
          <w:rFonts w:ascii="Palatino Linotype" w:eastAsia="Palatino Linotype" w:hAnsi="Palatino Linotype" w:cs="Palatino Linotype"/>
        </w:rPr>
        <w:t xml:space="preserve">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remitió en informe justificado la carpeta denominada  “</w:t>
      </w:r>
      <w:r w:rsidRPr="003641C9">
        <w:rPr>
          <w:rFonts w:ascii="Palatino Linotype" w:eastAsia="Palatino Linotype" w:hAnsi="Palatino Linotype" w:cs="Palatino Linotype"/>
          <w:b/>
          <w:i/>
        </w:rPr>
        <w:t xml:space="preserve">RESP_MANIFESTACIONES_RR_01589_SAIMEX_00051.zip” </w:t>
      </w:r>
      <w:r w:rsidRPr="003641C9">
        <w:rPr>
          <w:rFonts w:ascii="Palatino Linotype" w:eastAsia="Palatino Linotype" w:hAnsi="Palatino Linotype" w:cs="Palatino Linotype"/>
        </w:rPr>
        <w:t xml:space="preserve">la cual se encuentra integrada por los siguientes documentos: </w:t>
      </w:r>
    </w:p>
    <w:p w:rsidR="006A2C05" w:rsidRPr="003641C9" w:rsidRDefault="00CE07DA">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t xml:space="preserve">“RESP_SAIMEX_00051_RR_01589_D_ADMINISTRACION.pdf”: </w:t>
      </w:r>
      <w:r w:rsidRPr="003641C9">
        <w:rPr>
          <w:rFonts w:ascii="Palatino Linotype" w:eastAsia="Palatino Linotype" w:hAnsi="Palatino Linotype" w:cs="Palatino Linotype"/>
          <w:color w:val="000000"/>
        </w:rPr>
        <w:t xml:space="preserve">Oficio número DA/00764/2022 de fecha ocho de marzo de dos mil veintidós, suscrito y firmado por el Director de Administración que en su parte sustantiva ratifica la respuesta inicial; escrito al que adjuntó el oficio DA/SCH/0595/2022 signado por la Subdirección de Capital Humano. </w:t>
      </w:r>
    </w:p>
    <w:p w:rsidR="006A2C05" w:rsidRPr="003641C9" w:rsidRDefault="006A2C05">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6A2C05" w:rsidRPr="003641C9" w:rsidRDefault="00CE07DA">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t>“RESP_SAIMEX_00051_RR_01589_DEPORTE.pdf”:</w:t>
      </w:r>
      <w:r w:rsidRPr="003641C9">
        <w:rPr>
          <w:rFonts w:ascii="Palatino Linotype" w:eastAsia="Palatino Linotype" w:hAnsi="Palatino Linotype" w:cs="Palatino Linotype"/>
          <w:b/>
          <w:i/>
        </w:rPr>
        <w:t xml:space="preserve"> </w:t>
      </w:r>
      <w:r w:rsidRPr="003641C9">
        <w:rPr>
          <w:rFonts w:ascii="Palatino Linotype" w:eastAsia="Palatino Linotype" w:hAnsi="Palatino Linotype" w:cs="Palatino Linotype"/>
          <w:color w:val="000000"/>
        </w:rPr>
        <w:t xml:space="preserve">Oficio IMCFYD/03/378/2022 del siete de marzo de dos mil veintidós, que remitió la Directora del Instituto Municipal de Cultura Física y Deporte de Tlalnepantla, por medio del cual ratificó su respuesta inicial. </w:t>
      </w:r>
    </w:p>
    <w:p w:rsidR="006A2C05" w:rsidRPr="003641C9" w:rsidRDefault="006A2C05">
      <w:pPr>
        <w:pBdr>
          <w:top w:val="nil"/>
          <w:left w:val="nil"/>
          <w:bottom w:val="nil"/>
          <w:right w:val="nil"/>
          <w:between w:val="nil"/>
        </w:pBdr>
        <w:ind w:left="720"/>
        <w:rPr>
          <w:rFonts w:ascii="Palatino Linotype" w:eastAsia="Palatino Linotype" w:hAnsi="Palatino Linotype" w:cs="Palatino Linotype"/>
          <w:color w:val="000000"/>
        </w:rPr>
      </w:pPr>
    </w:p>
    <w:p w:rsidR="006A2C05" w:rsidRPr="003641C9" w:rsidRDefault="00CE07DA">
      <w:pPr>
        <w:widowControl w:val="0"/>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b/>
          <w:i/>
          <w:color w:val="000000"/>
        </w:rPr>
        <w:t xml:space="preserve">“RESP_SAIMEX_00051_RR_01589_TESORERIA_MUNICIPAL.pdf”: </w:t>
      </w:r>
      <w:r w:rsidRPr="003641C9">
        <w:rPr>
          <w:rFonts w:ascii="Palatino Linotype" w:eastAsia="Palatino Linotype" w:hAnsi="Palatino Linotype" w:cs="Palatino Linotype"/>
          <w:color w:val="000000"/>
        </w:rPr>
        <w:t xml:space="preserve">Oficio número TM/822/2022 del tres de marzo de dos mil veintidós, en el que confirmó su respuesta inicial. </w:t>
      </w: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Documentos que, el </w:t>
      </w:r>
      <w:r w:rsidRPr="003641C9">
        <w:rPr>
          <w:rFonts w:ascii="Palatino Linotype" w:eastAsia="Palatino Linotype" w:hAnsi="Palatino Linotype" w:cs="Palatino Linotype"/>
          <w:b/>
        </w:rPr>
        <w:t>cuatro de abril de dos mil veintidós</w:t>
      </w:r>
      <w:r w:rsidRPr="003641C9">
        <w:rPr>
          <w:rFonts w:ascii="Palatino Linotype" w:eastAsia="Palatino Linotype" w:hAnsi="Palatino Linotype" w:cs="Palatino Linotype"/>
        </w:rPr>
        <w:t xml:space="preserve"> se notificaron al </w:t>
      </w:r>
      <w:r w:rsidRPr="003641C9">
        <w:rPr>
          <w:rFonts w:ascii="Palatino Linotype" w:eastAsia="Palatino Linotype" w:hAnsi="Palatino Linotype" w:cs="Palatino Linotype"/>
          <w:b/>
        </w:rPr>
        <w:t xml:space="preserve">RECURRENTE </w:t>
      </w:r>
      <w:r w:rsidRPr="003641C9">
        <w:rPr>
          <w:rFonts w:ascii="Palatino Linotype" w:eastAsia="Palatino Linotype" w:hAnsi="Palatino Linotype" w:cs="Palatino Linotype"/>
        </w:rPr>
        <w:t xml:space="preserve">para su conocimiento y para efectos de que manifestara lo que a su derecho asistiera y conviniera. </w:t>
      </w: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Por su parte, el </w:t>
      </w:r>
      <w:r w:rsidRPr="003641C9">
        <w:rPr>
          <w:rFonts w:ascii="Palatino Linotype" w:eastAsia="Palatino Linotype" w:hAnsi="Palatino Linotype" w:cs="Palatino Linotype"/>
          <w:b/>
        </w:rPr>
        <w:t xml:space="preserve">RECURRENTE </w:t>
      </w:r>
      <w:r w:rsidRPr="003641C9">
        <w:rPr>
          <w:rFonts w:ascii="Palatino Linotype" w:eastAsia="Palatino Linotype" w:hAnsi="Palatino Linotype" w:cs="Palatino Linotype"/>
        </w:rPr>
        <w:t>no realizó manifestaciones, no formuló alegatos ni ofreció medios de prueba.</w:t>
      </w:r>
    </w:p>
    <w:p w:rsidR="006A2C05" w:rsidRPr="003641C9" w:rsidRDefault="00CE07DA">
      <w:pPr>
        <w:widowControl w:val="0"/>
        <w:spacing w:before="240" w:after="240" w:line="360" w:lineRule="auto"/>
        <w:jc w:val="both"/>
        <w:rPr>
          <w:rFonts w:ascii="Palatino Linotype" w:eastAsia="Palatino Linotype" w:hAnsi="Palatino Linotype" w:cs="Palatino Linotype"/>
          <w:i/>
        </w:rPr>
      </w:pPr>
      <w:r w:rsidRPr="003641C9">
        <w:rPr>
          <w:rFonts w:ascii="Palatino Linotype" w:eastAsia="Palatino Linotype" w:hAnsi="Palatino Linotype" w:cs="Palatino Linotype"/>
          <w:noProof/>
          <w:lang w:val="es-MX"/>
        </w:rPr>
        <w:drawing>
          <wp:inline distT="0" distB="0" distL="0" distR="0">
            <wp:extent cx="5612130" cy="1832610"/>
            <wp:effectExtent l="12700" t="12700" r="12700" b="1270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1832610"/>
                    </a:xfrm>
                    <a:prstGeom prst="rect">
                      <a:avLst/>
                    </a:prstGeom>
                    <a:ln w="12700">
                      <a:solidFill>
                        <a:srgbClr val="000000"/>
                      </a:solidFill>
                      <a:prstDash val="solid"/>
                    </a:ln>
                  </pic:spPr>
                </pic:pic>
              </a:graphicData>
            </a:graphic>
          </wp:inline>
        </w:drawing>
      </w:r>
      <w:r w:rsidRPr="003641C9">
        <w:rPr>
          <w:rFonts w:ascii="Palatino Linotype" w:eastAsia="Palatino Linotype" w:hAnsi="Palatino Linotype" w:cs="Palatino Linotype"/>
        </w:rPr>
        <w:t xml:space="preserve"> </w:t>
      </w: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7. Ampliación del plazo para emitir resolución. </w:t>
      </w:r>
      <w:r w:rsidRPr="003641C9">
        <w:rPr>
          <w:rFonts w:ascii="Palatino Linotype" w:eastAsia="Palatino Linotype" w:hAnsi="Palatino Linotype" w:cs="Palatino Linotype"/>
        </w:rPr>
        <w:t xml:space="preserve">El </w:t>
      </w:r>
      <w:r w:rsidRPr="003641C9">
        <w:rPr>
          <w:rFonts w:ascii="Palatino Linotype" w:eastAsia="Palatino Linotype" w:hAnsi="Palatino Linotype" w:cs="Palatino Linotype"/>
          <w:b/>
        </w:rPr>
        <w:t>tres de mayo de dos mil veintidós</w:t>
      </w:r>
      <w:r w:rsidRPr="003641C9">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rsidR="007A3452" w:rsidRPr="003641C9" w:rsidRDefault="007A3452">
      <w:pPr>
        <w:widowControl w:val="0"/>
        <w:spacing w:before="240" w:after="240" w:line="360" w:lineRule="auto"/>
        <w:jc w:val="both"/>
        <w:rPr>
          <w:rFonts w:ascii="Palatino Linotype" w:eastAsia="Palatino Linotype" w:hAnsi="Palatino Linotype" w:cs="Palatino Linotype"/>
        </w:rPr>
      </w:pP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lastRenderedPageBreak/>
        <w:t xml:space="preserve">8. Cierre de instrucción. </w:t>
      </w:r>
      <w:r w:rsidRPr="003641C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377887">
        <w:rPr>
          <w:rFonts w:ascii="Palatino Linotype" w:eastAsia="Palatino Linotype" w:hAnsi="Palatino Linotype" w:cs="Palatino Linotype"/>
          <w:b/>
        </w:rPr>
        <w:t>once</w:t>
      </w:r>
      <w:r w:rsidRPr="003641C9">
        <w:rPr>
          <w:rFonts w:ascii="Palatino Linotype" w:eastAsia="Palatino Linotype" w:hAnsi="Palatino Linotype" w:cs="Palatino Linotype"/>
          <w:b/>
        </w:rPr>
        <w:t xml:space="preserve"> de mayo de dos mil veintidós</w:t>
      </w:r>
      <w:r w:rsidRPr="003641C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A2C05" w:rsidRPr="003641C9" w:rsidRDefault="00CE07DA">
      <w:pPr>
        <w:widowControl w:val="0"/>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3641C9">
        <w:rPr>
          <w:rFonts w:ascii="Palatino Linotype" w:eastAsia="Palatino Linotype" w:hAnsi="Palatino Linotype" w:cs="Palatino Linotype"/>
          <w:b/>
        </w:rPr>
        <w:t xml:space="preserve"> </w:t>
      </w:r>
    </w:p>
    <w:p w:rsidR="006A2C05" w:rsidRPr="003641C9" w:rsidRDefault="00CE07DA">
      <w:pPr>
        <w:widowControl w:val="0"/>
        <w:spacing w:before="240" w:after="240" w:line="360" w:lineRule="auto"/>
        <w:jc w:val="center"/>
        <w:rPr>
          <w:rFonts w:ascii="Palatino Linotype" w:eastAsia="Palatino Linotype" w:hAnsi="Palatino Linotype" w:cs="Palatino Linotype"/>
          <w:b/>
        </w:rPr>
      </w:pPr>
      <w:bookmarkStart w:id="3" w:name="_heading=h.tyjcwt" w:colFirst="0" w:colLast="0"/>
      <w:bookmarkEnd w:id="3"/>
      <w:r w:rsidRPr="003641C9">
        <w:rPr>
          <w:rFonts w:ascii="Palatino Linotype" w:eastAsia="Palatino Linotype" w:hAnsi="Palatino Linotype" w:cs="Palatino Linotype"/>
          <w:b/>
        </w:rPr>
        <w:t>II. C O N S I D E R A N D O</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Primero. Competencia.</w:t>
      </w:r>
      <w:r w:rsidRPr="003641C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A2C05" w:rsidRPr="003641C9" w:rsidRDefault="00CE07DA">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3641C9">
        <w:rPr>
          <w:rFonts w:ascii="Palatino Linotype" w:eastAsia="Palatino Linotype" w:hAnsi="Palatino Linotype" w:cs="Palatino Linotype"/>
          <w:b/>
        </w:rPr>
        <w:t>Segundo. Oportunidad y Procedibilidad del Recurso de Revisión</w:t>
      </w:r>
      <w:r w:rsidRPr="003641C9">
        <w:rPr>
          <w:rFonts w:ascii="Palatino Linotype" w:eastAsia="Palatino Linotype" w:hAnsi="Palatino Linotype" w:cs="Palatino Linotype"/>
        </w:rPr>
        <w:t xml:space="preserve">. Previo al estudio del fondo del asunto, se procede a analizar los requisitos de oportunidad y </w:t>
      </w:r>
      <w:r w:rsidRPr="003641C9">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respondió a la solicitud de información el </w:t>
      </w:r>
      <w:r w:rsidRPr="003641C9">
        <w:rPr>
          <w:rFonts w:ascii="Palatino Linotype" w:eastAsia="Palatino Linotype" w:hAnsi="Palatino Linotype" w:cs="Palatino Linotype"/>
          <w:b/>
        </w:rPr>
        <w:t xml:space="preserve">tres de febrero de dos mil veintidós, </w:t>
      </w:r>
      <w:r w:rsidRPr="003641C9">
        <w:rPr>
          <w:rFonts w:ascii="Palatino Linotype" w:eastAsia="Palatino Linotype" w:hAnsi="Palatino Linotype" w:cs="Palatino Linotype"/>
        </w:rPr>
        <w:t xml:space="preserve">mientras que el recurso de revisión se interpuso el </w:t>
      </w:r>
      <w:r w:rsidRPr="003641C9">
        <w:rPr>
          <w:rFonts w:ascii="Palatino Linotype" w:eastAsia="Palatino Linotype" w:hAnsi="Palatino Linotype" w:cs="Palatino Linotype"/>
          <w:b/>
        </w:rPr>
        <w:t>veintitrés de febrero de dos mil veintidós</w:t>
      </w:r>
      <w:r w:rsidRPr="003641C9">
        <w:rPr>
          <w:rFonts w:ascii="Palatino Linotype" w:eastAsia="Palatino Linotype" w:hAnsi="Palatino Linotype" w:cs="Palatino Linotype"/>
        </w:rPr>
        <w:t>, esto es, el décimo tercer día hábil posterior al que tuvo conocimiento de la respuesta impugnada; evidenciándose que la interposición del recurso se encuentra dentro de los márgenes temporales previstos en el citado precepto legal.</w:t>
      </w:r>
    </w:p>
    <w:p w:rsidR="006A2C05" w:rsidRPr="003641C9" w:rsidRDefault="00CE07DA">
      <w:pPr>
        <w:shd w:val="clear" w:color="auto" w:fill="FFFFFF"/>
        <w:spacing w:before="240" w:after="240" w:line="360" w:lineRule="auto"/>
        <w:jc w:val="both"/>
        <w:rPr>
          <w:rFonts w:ascii="Palatino Linotype" w:eastAsia="Palatino Linotype" w:hAnsi="Palatino Linotype" w:cs="Palatino Linotype"/>
          <w:color w:val="222222"/>
        </w:rPr>
      </w:pPr>
      <w:r w:rsidRPr="003641C9">
        <w:rPr>
          <w:rFonts w:ascii="Palatino Linotype" w:eastAsia="Palatino Linotype" w:hAnsi="Palatino Linotype" w:cs="Palatino Linotype"/>
        </w:rPr>
        <w:t>Es de suma importancia mencionar que, si bien</w:t>
      </w:r>
      <w:r w:rsidRPr="003641C9">
        <w:rPr>
          <w:rFonts w:ascii="Palatino Linotype" w:eastAsia="Palatino Linotype" w:hAnsi="Palatino Linotype" w:cs="Palatino Linotype"/>
          <w:b/>
        </w:rPr>
        <w:t xml:space="preserve"> </w:t>
      </w:r>
      <w:r w:rsidRPr="003641C9">
        <w:rPr>
          <w:rFonts w:ascii="Palatino Linotype" w:eastAsia="Palatino Linotype" w:hAnsi="Palatino Linotype" w:cs="Palatino Linotype"/>
        </w:rPr>
        <w:t xml:space="preserve">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xml:space="preserve"> no proporcionó nombre </w:t>
      </w:r>
      <w:r w:rsidRPr="003641C9">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A2C05" w:rsidRPr="003641C9" w:rsidRDefault="00CE07DA">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sidRPr="003641C9">
        <w:rPr>
          <w:rFonts w:ascii="Palatino Linotype" w:eastAsia="Palatino Linotype" w:hAnsi="Palatino Linotype" w:cs="Palatino Linotype"/>
          <w:i/>
          <w:color w:val="222222"/>
          <w:sz w:val="22"/>
          <w:szCs w:val="22"/>
        </w:rPr>
        <w:t>"</w:t>
      </w:r>
      <w:r w:rsidRPr="003641C9">
        <w:rPr>
          <w:rFonts w:ascii="Palatino Linotype" w:eastAsia="Palatino Linotype" w:hAnsi="Palatino Linotype" w:cs="Palatino Linotype"/>
          <w:b/>
          <w:i/>
          <w:color w:val="222222"/>
          <w:sz w:val="22"/>
          <w:szCs w:val="22"/>
        </w:rPr>
        <w:t>Las solicitudes anónimas</w:t>
      </w:r>
      <w:r w:rsidRPr="003641C9">
        <w:rPr>
          <w:rFonts w:ascii="Palatino Linotype" w:eastAsia="Palatino Linotype" w:hAnsi="Palatino Linotype" w:cs="Palatino Linotype"/>
          <w:i/>
          <w:color w:val="222222"/>
          <w:sz w:val="22"/>
          <w:szCs w:val="22"/>
        </w:rPr>
        <w:t>, con nombre incompleto o seudónimo </w:t>
      </w:r>
      <w:r w:rsidRPr="003641C9">
        <w:rPr>
          <w:rFonts w:ascii="Palatino Linotype" w:eastAsia="Palatino Linotype" w:hAnsi="Palatino Linotype" w:cs="Palatino Linotype"/>
          <w:b/>
          <w:i/>
          <w:color w:val="222222"/>
          <w:sz w:val="22"/>
          <w:szCs w:val="22"/>
        </w:rPr>
        <w:t>serán procedentes para su trámite por parte del sujeto obligado ante quien se presente</w:t>
      </w:r>
      <w:r w:rsidRPr="003641C9">
        <w:rPr>
          <w:rFonts w:ascii="Palatino Linotype" w:eastAsia="Palatino Linotype" w:hAnsi="Palatino Linotype" w:cs="Palatino Linotype"/>
          <w:i/>
          <w:color w:val="222222"/>
          <w:sz w:val="22"/>
          <w:szCs w:val="22"/>
        </w:rPr>
        <w:t>. No podrá requerirse información adicional con motivo del nombre proporcionado por el solicitante."</w:t>
      </w:r>
    </w:p>
    <w:p w:rsidR="006A2C05" w:rsidRPr="003641C9" w:rsidRDefault="00CE07DA">
      <w:pPr>
        <w:shd w:val="clear" w:color="auto" w:fill="FFFFFF"/>
        <w:spacing w:before="240" w:after="240" w:line="360" w:lineRule="auto"/>
        <w:jc w:val="both"/>
        <w:rPr>
          <w:rFonts w:ascii="Palatino Linotype" w:eastAsia="Palatino Linotype" w:hAnsi="Palatino Linotype" w:cs="Palatino Linotype"/>
          <w:color w:val="222222"/>
        </w:rPr>
      </w:pPr>
      <w:r w:rsidRPr="003641C9">
        <w:rPr>
          <w:rFonts w:ascii="Palatino Linotype" w:eastAsia="Palatino Linotype" w:hAnsi="Palatino Linotype" w:cs="Palatino Linotype"/>
          <w:color w:val="222222"/>
        </w:rPr>
        <w:t xml:space="preserve">En el mismo tenor, el propio artículo 180 de la Ley de Transparencia local citado, en su último párrafo establece que cuando el recurso se interponga de manera </w:t>
      </w:r>
      <w:r w:rsidRPr="003641C9">
        <w:rPr>
          <w:rFonts w:ascii="Palatino Linotype" w:eastAsia="Palatino Linotype" w:hAnsi="Palatino Linotype" w:cs="Palatino Linotype"/>
          <w:color w:val="222222"/>
        </w:rPr>
        <w:lastRenderedPageBreak/>
        <w:t xml:space="preserve">electrónica, no será indispensable que contenga determinados requisitos, entre ellos, el nombre del </w:t>
      </w:r>
      <w:r w:rsidRPr="003641C9">
        <w:rPr>
          <w:rFonts w:ascii="Palatino Linotype" w:eastAsia="Palatino Linotype" w:hAnsi="Palatino Linotype" w:cs="Palatino Linotype"/>
          <w:b/>
          <w:color w:val="222222"/>
        </w:rPr>
        <w:t>RECURRENTE</w:t>
      </w:r>
      <w:r w:rsidRPr="003641C9">
        <w:rPr>
          <w:rFonts w:ascii="Palatino Linotype" w:eastAsia="Palatino Linotype" w:hAnsi="Palatino Linotype" w:cs="Palatino Linotype"/>
          <w:color w:val="222222"/>
        </w:rPr>
        <w:t>, por lo que, en el presente caso, al haber sido presentado el recurso de revisión vía SAIMEX, dicho requisito resulta innecesario.</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Finalmente, se advierte que resulta procedente la interposición del recurso, según lo manifestado por 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xml:space="preserve"> en sus motivos de inconformidad, de acuerdo al artículo 179, fracción V del ordenamiento legal citado, que a la letra dice: </w:t>
      </w:r>
    </w:p>
    <w:p w:rsidR="006A2C05" w:rsidRPr="003641C9" w:rsidRDefault="00CE07DA">
      <w:pPr>
        <w:tabs>
          <w:tab w:val="left" w:pos="7088"/>
        </w:tabs>
        <w:spacing w:before="120" w:after="120"/>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 179.</w:t>
      </w:r>
      <w:r w:rsidRPr="003641C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6A2C05" w:rsidRPr="003641C9" w:rsidRDefault="00CE07DA">
      <w:pPr>
        <w:tabs>
          <w:tab w:val="left" w:pos="7088"/>
        </w:tabs>
        <w:spacing w:before="120" w:after="120"/>
        <w:ind w:left="993" w:right="616"/>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t>...</w:t>
      </w:r>
    </w:p>
    <w:p w:rsidR="006A2C05" w:rsidRPr="003641C9" w:rsidRDefault="00CE07DA">
      <w:pPr>
        <w:tabs>
          <w:tab w:val="left" w:pos="7088"/>
        </w:tabs>
        <w:spacing w:before="120" w:after="120"/>
        <w:ind w:left="993"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V. </w:t>
      </w:r>
      <w:r w:rsidRPr="003641C9">
        <w:rPr>
          <w:rFonts w:ascii="Palatino Linotype" w:eastAsia="Palatino Linotype" w:hAnsi="Palatino Linotype" w:cs="Palatino Linotype"/>
          <w:i/>
          <w:sz w:val="22"/>
          <w:szCs w:val="22"/>
        </w:rPr>
        <w:t>La entrega de información incompleta;</w:t>
      </w:r>
    </w:p>
    <w:p w:rsidR="006A2C05" w:rsidRPr="003641C9" w:rsidRDefault="00CE07DA">
      <w:pPr>
        <w:tabs>
          <w:tab w:val="left" w:pos="7088"/>
        </w:tabs>
        <w:spacing w:before="120" w:after="120"/>
        <w:ind w:left="993" w:right="616"/>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t>…”</w:t>
      </w:r>
    </w:p>
    <w:p w:rsidR="006A2C05" w:rsidRPr="003641C9" w:rsidRDefault="006A2C0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rsidR="006A2C05" w:rsidRPr="003641C9" w:rsidRDefault="00CE07DA">
      <w:pPr>
        <w:spacing w:before="280" w:after="28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Tercero. Materia de la revisión. </w:t>
      </w:r>
      <w:r w:rsidRPr="003641C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641C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641C9">
        <w:rPr>
          <w:rFonts w:ascii="Palatino Linotype" w:eastAsia="Palatino Linotype" w:hAnsi="Palatino Linotype" w:cs="Palatino Linotype"/>
        </w:rPr>
        <w:t xml:space="preserve">del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o en su defecto, en caso de ser procedente, ordenar la entrega de información completa.</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CUARTO. Estudio del asunto. </w:t>
      </w:r>
      <w:r w:rsidRPr="003641C9">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w:t>
      </w:r>
      <w:r w:rsidRPr="003641C9">
        <w:rPr>
          <w:rFonts w:ascii="Palatino Linotype" w:eastAsia="Palatino Linotype" w:hAnsi="Palatino Linotype" w:cs="Palatino Linotype"/>
        </w:rPr>
        <w:lastRenderedPageBreak/>
        <w:t>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A2C05" w:rsidRPr="003641C9" w:rsidRDefault="00CE07DA">
      <w:pPr>
        <w:tabs>
          <w:tab w:val="left" w:pos="709"/>
        </w:tabs>
        <w:ind w:left="851" w:right="85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641C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6A2C05" w:rsidRPr="003641C9" w:rsidRDefault="00CE07DA">
      <w:pPr>
        <w:tabs>
          <w:tab w:val="left" w:pos="709"/>
        </w:tabs>
        <w:ind w:left="851" w:right="850"/>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A2C05" w:rsidRPr="003641C9" w:rsidRDefault="00CE07DA">
      <w:pPr>
        <w:tabs>
          <w:tab w:val="left" w:pos="709"/>
        </w:tabs>
        <w:ind w:left="851" w:right="85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641C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6A2C05" w:rsidRPr="003641C9" w:rsidRDefault="00CE07DA">
      <w:pPr>
        <w:tabs>
          <w:tab w:val="left" w:pos="709"/>
        </w:tabs>
        <w:ind w:left="851" w:right="85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ind w:left="851" w:right="90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6o.</w:t>
      </w:r>
    </w:p>
    <w:p w:rsidR="006A2C05" w:rsidRPr="003641C9" w:rsidRDefault="00CE07DA">
      <w:pPr>
        <w:ind w:left="851" w:right="90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A. Para el ejercicio del derecho de acceso a la información, la Federación y </w:t>
      </w:r>
      <w:r w:rsidRPr="003641C9">
        <w:rPr>
          <w:rFonts w:ascii="Palatino Linotype" w:eastAsia="Palatino Linotype" w:hAnsi="Palatino Linotype" w:cs="Palatino Linotype"/>
          <w:b/>
          <w:i/>
          <w:sz w:val="22"/>
          <w:szCs w:val="22"/>
          <w:u w:val="single"/>
        </w:rPr>
        <w:t>las entidades federativas</w:t>
      </w:r>
      <w:r w:rsidRPr="003641C9">
        <w:rPr>
          <w:rFonts w:ascii="Palatino Linotype" w:eastAsia="Palatino Linotype" w:hAnsi="Palatino Linotype" w:cs="Palatino Linotype"/>
          <w:b/>
          <w:i/>
          <w:sz w:val="22"/>
          <w:szCs w:val="22"/>
        </w:rPr>
        <w:t>,</w:t>
      </w:r>
      <w:r w:rsidRPr="003641C9">
        <w:rPr>
          <w:rFonts w:ascii="Palatino Linotype" w:eastAsia="Palatino Linotype" w:hAnsi="Palatino Linotype" w:cs="Palatino Linotype"/>
          <w:i/>
          <w:sz w:val="22"/>
          <w:szCs w:val="22"/>
        </w:rPr>
        <w:t xml:space="preserve"> en el ámbito de sus respectivas competencias, se regirán por los siguientes principios y bases:</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I. </w:t>
      </w:r>
      <w:r w:rsidRPr="003641C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641C9">
        <w:rPr>
          <w:rFonts w:ascii="Palatino Linotype" w:eastAsia="Palatino Linotype" w:hAnsi="Palatino Linotype" w:cs="Palatino Linotype"/>
          <w:i/>
          <w:sz w:val="22"/>
          <w:szCs w:val="22"/>
        </w:rPr>
        <w:t xml:space="preserve"> Ejecutivo, Legislativo </w:t>
      </w:r>
      <w:r w:rsidRPr="003641C9">
        <w:rPr>
          <w:rFonts w:ascii="Palatino Linotype" w:eastAsia="Palatino Linotype" w:hAnsi="Palatino Linotype" w:cs="Palatino Linotype"/>
          <w:b/>
          <w:i/>
          <w:sz w:val="22"/>
          <w:szCs w:val="22"/>
          <w:u w:val="single"/>
        </w:rPr>
        <w:t>y Judicial</w:t>
      </w:r>
      <w:r w:rsidRPr="003641C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641C9">
        <w:rPr>
          <w:rFonts w:ascii="Palatino Linotype" w:eastAsia="Palatino Linotype" w:hAnsi="Palatino Linotype" w:cs="Palatino Linotype"/>
          <w:b/>
          <w:i/>
          <w:sz w:val="22"/>
          <w:szCs w:val="22"/>
        </w:rPr>
        <w:t>es pública y sólo podrá ser reservada temporalmente por razones de interés público y seguridad nacional,</w:t>
      </w:r>
      <w:r w:rsidRPr="003641C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sidRPr="003641C9">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III. </w:t>
      </w:r>
      <w:r w:rsidRPr="003641C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641C9">
        <w:rPr>
          <w:rFonts w:ascii="Palatino Linotype" w:eastAsia="Palatino Linotype" w:hAnsi="Palatino Linotype" w:cs="Palatino Linotype"/>
          <w:i/>
          <w:sz w:val="22"/>
          <w:szCs w:val="22"/>
        </w:rPr>
        <w:t xml:space="preserve"> a sus datos personales o a la rectificación de éstos.</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IV. </w:t>
      </w:r>
      <w:r w:rsidRPr="003641C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6A2C05" w:rsidRPr="003641C9" w:rsidRDefault="006A2C05">
      <w:pPr>
        <w:ind w:left="851" w:right="851"/>
        <w:jc w:val="both"/>
        <w:rPr>
          <w:rFonts w:ascii="Palatino Linotype" w:eastAsia="Palatino Linotype" w:hAnsi="Palatino Linotype" w:cs="Palatino Linotype"/>
          <w:i/>
          <w:sz w:val="22"/>
          <w:szCs w:val="22"/>
        </w:rPr>
      </w:pP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V. </w:t>
      </w:r>
      <w:r w:rsidRPr="003641C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VI. </w:t>
      </w:r>
      <w:r w:rsidRPr="003641C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VII. </w:t>
      </w:r>
      <w:r w:rsidRPr="003641C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6A2C05" w:rsidRPr="003641C9" w:rsidRDefault="006A2C05">
      <w:pPr>
        <w:ind w:right="851"/>
        <w:jc w:val="both"/>
        <w:rPr>
          <w:rFonts w:ascii="Palatino Linotype" w:eastAsia="Palatino Linotype" w:hAnsi="Palatino Linotype" w:cs="Palatino Linotype"/>
          <w:i/>
          <w:sz w:val="22"/>
          <w:szCs w:val="22"/>
        </w:rPr>
      </w:pP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3641C9">
        <w:rPr>
          <w:rFonts w:ascii="Palatino Linotype" w:eastAsia="Palatino Linotype" w:hAnsi="Palatino Linotype" w:cs="Palatino Linotype"/>
        </w:rPr>
        <w:lastRenderedPageBreak/>
        <w:t>con las excepciones enmarcadas, para lo cual queda demostrado que el presente sujeto obligado debe cumplir con dichos dispositivos legales.</w:t>
      </w:r>
    </w:p>
    <w:p w:rsidR="006A2C05" w:rsidRPr="003641C9" w:rsidRDefault="00CE07DA">
      <w:pPr>
        <w:spacing w:before="12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color w:val="000000"/>
        </w:rPr>
        <w:t>En primer lugar</w:t>
      </w:r>
      <w:r w:rsidRPr="003641C9">
        <w:rPr>
          <w:rFonts w:ascii="Palatino Linotype" w:eastAsia="Palatino Linotype" w:hAnsi="Palatino Linotype" w:cs="Palatino Linotype"/>
        </w:rPr>
        <w:t xml:space="preserve">, es conveniente analizar si la respuesta del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3641C9">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6A2C05" w:rsidRPr="003641C9" w:rsidRDefault="00CE07DA">
      <w:pPr>
        <w:spacing w:before="240"/>
        <w:ind w:left="709" w:right="76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 4.</w:t>
      </w:r>
      <w:r w:rsidRPr="003641C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A2C05" w:rsidRPr="003641C9" w:rsidRDefault="00CE07DA">
      <w:pPr>
        <w:ind w:left="709" w:right="76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641C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A2C05" w:rsidRPr="003641C9" w:rsidRDefault="00CE07DA">
      <w:pPr>
        <w:ind w:left="709" w:right="76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641C9">
        <w:rPr>
          <w:rFonts w:ascii="Palatino Linotype" w:eastAsia="Palatino Linotype" w:hAnsi="Palatino Linotype" w:cs="Palatino Linotype"/>
          <w:i/>
          <w:sz w:val="22"/>
          <w:szCs w:val="22"/>
        </w:rPr>
        <w:t>.”(Sic)</w:t>
      </w:r>
    </w:p>
    <w:p w:rsidR="006A2C05" w:rsidRPr="003641C9" w:rsidRDefault="006A2C05">
      <w:pPr>
        <w:ind w:left="709" w:right="760"/>
        <w:jc w:val="both"/>
        <w:rPr>
          <w:rFonts w:ascii="Palatino Linotype" w:eastAsia="Palatino Linotype" w:hAnsi="Palatino Linotype" w:cs="Palatino Linotype"/>
          <w:i/>
        </w:rPr>
      </w:pP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6A2C05" w:rsidRPr="003641C9" w:rsidRDefault="00CE07DA">
      <w:pPr>
        <w:ind w:left="567" w:right="758"/>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Artículo12.-</w:t>
      </w:r>
      <w:r w:rsidRPr="003641C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A2C05" w:rsidRPr="003641C9" w:rsidRDefault="00CE07DA">
      <w:pPr>
        <w:ind w:left="567" w:right="758"/>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6A2C05" w:rsidRPr="003641C9" w:rsidRDefault="006A2C05">
      <w:pPr>
        <w:spacing w:line="360" w:lineRule="auto"/>
        <w:ind w:right="-93"/>
        <w:jc w:val="both"/>
        <w:rPr>
          <w:rFonts w:ascii="Palatino Linotype" w:eastAsia="Palatino Linotype" w:hAnsi="Palatino Linotype" w:cs="Palatino Linotype"/>
          <w:color w:val="000000"/>
        </w:rPr>
      </w:pPr>
    </w:p>
    <w:p w:rsidR="006A2C05" w:rsidRPr="003641C9" w:rsidRDefault="00CE07DA">
      <w:pP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rPr>
        <w:t xml:space="preserve">En esa tesitura, el artículo 24 en su último párrafo de la Ley de la Materia, dispone que los Sujetos Obligados </w:t>
      </w:r>
      <w:r w:rsidRPr="003641C9">
        <w:rPr>
          <w:rFonts w:ascii="Palatino Linotype" w:eastAsia="Palatino Linotype" w:hAnsi="Palatino Linotype" w:cs="Palatino Linotype"/>
          <w:color w:val="000000"/>
        </w:rPr>
        <w:t xml:space="preserve">sólo proporcionarán la información pública que </w:t>
      </w:r>
      <w:r w:rsidRPr="003641C9">
        <w:rPr>
          <w:rFonts w:ascii="Palatino Linotype" w:eastAsia="Palatino Linotype" w:hAnsi="Palatino Linotype" w:cs="Palatino Linotype"/>
        </w:rPr>
        <w:t>generen</w:t>
      </w:r>
      <w:r w:rsidRPr="003641C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6A2C05" w:rsidRPr="003641C9" w:rsidRDefault="006A2C05">
      <w:pPr>
        <w:spacing w:line="360" w:lineRule="auto"/>
        <w:jc w:val="both"/>
        <w:rPr>
          <w:rFonts w:ascii="Palatino Linotype" w:eastAsia="Palatino Linotype" w:hAnsi="Palatino Linotype" w:cs="Palatino Linotype"/>
          <w:color w:val="000000"/>
        </w:rPr>
      </w:pPr>
    </w:p>
    <w:p w:rsidR="006A2C05" w:rsidRPr="003641C9" w:rsidRDefault="00CE07DA">
      <w:pPr>
        <w:spacing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3641C9">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A2C05" w:rsidRPr="003641C9" w:rsidRDefault="006A2C05">
      <w:pPr>
        <w:spacing w:line="360" w:lineRule="auto"/>
        <w:ind w:right="49"/>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Por otra parte, conviene mencionar que la Ley de Transparencia vigente en el Estado de México refiere: </w:t>
      </w: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18.</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3641C9">
        <w:rPr>
          <w:rFonts w:ascii="Palatino Linotype" w:eastAsia="Palatino Linotype" w:hAnsi="Palatino Linotype" w:cs="Palatino Linotype"/>
          <w:i/>
          <w:sz w:val="22"/>
          <w:szCs w:val="22"/>
        </w:rPr>
        <w:t xml:space="preserve"> y reutilización de la información que generen.</w:t>
      </w:r>
    </w:p>
    <w:p w:rsidR="006A2C05" w:rsidRPr="003641C9" w:rsidRDefault="006A2C05">
      <w:pPr>
        <w:ind w:left="851" w:right="851"/>
        <w:jc w:val="both"/>
        <w:rPr>
          <w:rFonts w:ascii="Palatino Linotype" w:eastAsia="Palatino Linotype" w:hAnsi="Palatino Linotype" w:cs="Palatino Linotype"/>
          <w:b/>
          <w:i/>
          <w:sz w:val="22"/>
          <w:szCs w:val="22"/>
        </w:rPr>
      </w:pP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xml:space="preserve">Artículo 19. </w:t>
      </w:r>
      <w:r w:rsidRPr="003641C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641C9">
        <w:rPr>
          <w:rFonts w:ascii="Palatino Linotype" w:eastAsia="Palatino Linotype" w:hAnsi="Palatino Linotype" w:cs="Palatino Linotype"/>
          <w:i/>
          <w:sz w:val="22"/>
          <w:szCs w:val="22"/>
        </w:rPr>
        <w:t>.</w:t>
      </w:r>
    </w:p>
    <w:p w:rsidR="006A2C05" w:rsidRPr="003641C9" w:rsidRDefault="006A2C05">
      <w:pPr>
        <w:ind w:left="851" w:right="851"/>
        <w:jc w:val="both"/>
        <w:rPr>
          <w:rFonts w:ascii="Palatino Linotype" w:eastAsia="Palatino Linotype" w:hAnsi="Palatino Linotype" w:cs="Palatino Linotype"/>
          <w:i/>
          <w:sz w:val="22"/>
          <w:szCs w:val="22"/>
        </w:rPr>
      </w:pP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6A2C05" w:rsidRPr="003641C9" w:rsidRDefault="006A2C05">
      <w:pPr>
        <w:ind w:left="851" w:right="851"/>
        <w:jc w:val="both"/>
        <w:rPr>
          <w:rFonts w:ascii="Palatino Linotype" w:eastAsia="Palatino Linotype" w:hAnsi="Palatino Linotype" w:cs="Palatino Linotype"/>
          <w:i/>
          <w:sz w:val="22"/>
          <w:szCs w:val="22"/>
        </w:rPr>
      </w:pP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A2C05" w:rsidRPr="003641C9" w:rsidRDefault="006A2C05">
      <w:pPr>
        <w:ind w:left="851" w:right="851"/>
        <w:jc w:val="both"/>
        <w:rPr>
          <w:rFonts w:ascii="Palatino Linotype" w:eastAsia="Palatino Linotype" w:hAnsi="Palatino Linotype" w:cs="Palatino Linotype"/>
          <w:i/>
          <w:sz w:val="22"/>
          <w:szCs w:val="22"/>
        </w:rPr>
      </w:pPr>
    </w:p>
    <w:p w:rsidR="006A2C05" w:rsidRPr="003641C9" w:rsidRDefault="00CE07DA">
      <w:pPr>
        <w:ind w:left="851" w:right="851"/>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Énfasis añadido.</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3641C9">
        <w:rPr>
          <w:rFonts w:ascii="Palatino Linotype" w:eastAsia="Palatino Linotype" w:hAnsi="Palatino Linotype" w:cs="Palatino Linotype"/>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A2C05" w:rsidRPr="003641C9" w:rsidRDefault="006A2C05">
      <w:pPr>
        <w:ind w:left="851" w:right="899"/>
        <w:jc w:val="both"/>
        <w:rPr>
          <w:rFonts w:ascii="Palatino Linotype" w:eastAsia="Palatino Linotype" w:hAnsi="Palatino Linotype" w:cs="Palatino Linotype"/>
          <w:i/>
          <w:sz w:val="22"/>
          <w:szCs w:val="22"/>
        </w:rPr>
      </w:pP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 xml:space="preserve">Artículo 3. </w:t>
      </w:r>
      <w:r w:rsidRPr="003641C9">
        <w:rPr>
          <w:rFonts w:ascii="Palatino Linotype" w:eastAsia="Palatino Linotype" w:hAnsi="Palatino Linotype" w:cs="Palatino Linotype"/>
          <w:i/>
          <w:sz w:val="22"/>
          <w:szCs w:val="22"/>
        </w:rPr>
        <w:t>Para los efectos de la presente Ley se entenderá por:</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ind w:left="851" w:right="899"/>
        <w:jc w:val="both"/>
        <w:rPr>
          <w:rFonts w:ascii="Palatino Linotype" w:eastAsia="Palatino Linotype" w:hAnsi="Palatino Linotype" w:cs="Palatino Linotype"/>
          <w:i/>
          <w:color w:val="000000"/>
          <w:sz w:val="22"/>
          <w:szCs w:val="22"/>
        </w:rPr>
      </w:pPr>
      <w:r w:rsidRPr="003641C9">
        <w:rPr>
          <w:rFonts w:ascii="Palatino Linotype" w:eastAsia="Palatino Linotype" w:hAnsi="Palatino Linotype" w:cs="Palatino Linotype"/>
          <w:b/>
          <w:i/>
          <w:color w:val="000000"/>
          <w:sz w:val="22"/>
          <w:szCs w:val="22"/>
        </w:rPr>
        <w:t>XI. Documento:</w:t>
      </w:r>
      <w:r w:rsidRPr="003641C9">
        <w:rPr>
          <w:rFonts w:ascii="Palatino Linotype" w:eastAsia="Palatino Linotype" w:hAnsi="Palatino Linotype" w:cs="Palatino Linotype"/>
          <w:i/>
          <w:color w:val="000000"/>
          <w:sz w:val="22"/>
          <w:szCs w:val="22"/>
        </w:rPr>
        <w:t xml:space="preserve"> Los expedientes, reportes, estudios, actas</w:t>
      </w:r>
      <w:r w:rsidRPr="003641C9">
        <w:rPr>
          <w:rFonts w:ascii="Palatino Linotype" w:eastAsia="Palatino Linotype" w:hAnsi="Palatino Linotype" w:cs="Palatino Linotype"/>
          <w:b/>
          <w:i/>
          <w:color w:val="000000"/>
          <w:sz w:val="22"/>
          <w:szCs w:val="22"/>
        </w:rPr>
        <w:t>,</w:t>
      </w:r>
      <w:r w:rsidRPr="003641C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6A2C05" w:rsidRPr="003641C9" w:rsidRDefault="006A2C05">
      <w:pPr>
        <w:ind w:left="851" w:right="899"/>
        <w:jc w:val="both"/>
        <w:rPr>
          <w:rFonts w:ascii="Palatino Linotype" w:eastAsia="Palatino Linotype" w:hAnsi="Palatino Linotype" w:cs="Palatino Linotype"/>
          <w:sz w:val="22"/>
          <w:szCs w:val="22"/>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3641C9">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6A2C05" w:rsidRPr="003641C9" w:rsidRDefault="006A2C05">
      <w:pPr>
        <w:ind w:left="851" w:right="899"/>
        <w:jc w:val="both"/>
        <w:rPr>
          <w:rFonts w:ascii="Palatino Linotype" w:eastAsia="Palatino Linotype" w:hAnsi="Palatino Linotype" w:cs="Palatino Linotype"/>
        </w:rPr>
      </w:pPr>
    </w:p>
    <w:p w:rsidR="006A2C05" w:rsidRPr="003641C9" w:rsidRDefault="00CE07DA">
      <w:pPr>
        <w:ind w:left="851" w:right="899"/>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sz w:val="22"/>
          <w:szCs w:val="22"/>
        </w:rPr>
        <w:t>“</w:t>
      </w:r>
      <w:r w:rsidRPr="003641C9">
        <w:rPr>
          <w:rFonts w:ascii="Palatino Linotype" w:eastAsia="Palatino Linotype" w:hAnsi="Palatino Linotype" w:cs="Palatino Linotype"/>
          <w:b/>
          <w:i/>
          <w:sz w:val="22"/>
          <w:szCs w:val="22"/>
        </w:rPr>
        <w:t>CRITERIO 0002-11</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641C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6A2C05" w:rsidRPr="003641C9" w:rsidRDefault="00CE07DA">
      <w:pPr>
        <w:ind w:left="851" w:right="899"/>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6A2C05" w:rsidRPr="003641C9" w:rsidRDefault="00CE07DA">
      <w:pPr>
        <w:spacing w:before="280" w:after="28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De ahí que 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641C9">
        <w:rPr>
          <w:rFonts w:ascii="Palatino Linotype" w:eastAsia="Palatino Linotype" w:hAnsi="Palatino Linotype" w:cs="Palatino Linotype"/>
          <w:vertAlign w:val="superscript"/>
        </w:rPr>
        <w:footnoteReference w:id="1"/>
      </w:r>
      <w:r w:rsidRPr="003641C9">
        <w:rPr>
          <w:rFonts w:ascii="Palatino Linotype" w:eastAsia="Palatino Linotype" w:hAnsi="Palatino Linotype" w:cs="Palatino Linotype"/>
        </w:rPr>
        <w:t xml:space="preserve">, así como de interés público, es decir, aquella que </w:t>
      </w:r>
      <w:r w:rsidRPr="003641C9">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3641C9">
        <w:rPr>
          <w:rFonts w:ascii="Palatino Linotype" w:eastAsia="Palatino Linotype" w:hAnsi="Palatino Linotype" w:cs="Palatino Linotype"/>
          <w:vertAlign w:val="superscript"/>
        </w:rPr>
        <w:footnoteReference w:id="2"/>
      </w:r>
      <w:r w:rsidRPr="003641C9">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6A2C05" w:rsidRPr="003641C9" w:rsidRDefault="00CE07D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En este orden de ideas, se considera necesario traer a contexto que de la lectura a los requerimientos formulados, se advierte que se plantearon en forma de </w:t>
      </w:r>
      <w:r w:rsidRPr="003641C9">
        <w:rPr>
          <w:rFonts w:ascii="Palatino Linotype" w:eastAsia="Palatino Linotype" w:hAnsi="Palatino Linotype" w:cs="Palatino Linotype"/>
          <w:color w:val="000000"/>
          <w:u w:val="single"/>
        </w:rPr>
        <w:t>interrogantes y cuestionamientos</w:t>
      </w:r>
      <w:r w:rsidRPr="003641C9">
        <w:rPr>
          <w:rFonts w:ascii="Palatino Linotype" w:eastAsia="Palatino Linotype" w:hAnsi="Palatino Linotype" w:cs="Palatino Linotype"/>
          <w:color w:val="000000"/>
        </w:rPr>
        <w:t xml:space="preserve">; por lo que,  la entrega de una razón o un razonamiento por parte del </w:t>
      </w:r>
      <w:r w:rsidRPr="003641C9">
        <w:rPr>
          <w:rFonts w:ascii="Palatino Linotype" w:eastAsia="Palatino Linotype" w:hAnsi="Palatino Linotype" w:cs="Palatino Linotype"/>
          <w:b/>
          <w:color w:val="000000"/>
        </w:rPr>
        <w:t>SUJETO OBLIGADO</w:t>
      </w:r>
      <w:r w:rsidRPr="003641C9">
        <w:rPr>
          <w:rFonts w:ascii="Palatino Linotype" w:eastAsia="Palatino Linotype" w:hAnsi="Palatino Linotype" w:cs="Palatino Linotype"/>
          <w:color w:val="000000"/>
        </w:rPr>
        <w:t xml:space="preserve"> no es algo que la ley establezca como atribución, derecho, o facultad; pues ello implicaría un juicio de valor referente a </w:t>
      </w:r>
      <w:r w:rsidRPr="003641C9">
        <w:rPr>
          <w:rFonts w:ascii="Palatino Linotype" w:eastAsia="Palatino Linotype" w:hAnsi="Palatino Linotype" w:cs="Palatino Linotype"/>
          <w:b/>
          <w:color w:val="000000"/>
          <w:u w:val="single"/>
        </w:rPr>
        <w:t>un cuestionamiento</w:t>
      </w:r>
      <w:r w:rsidRPr="003641C9">
        <w:rPr>
          <w:rFonts w:ascii="Palatino Linotype" w:eastAsia="Palatino Linotype" w:hAnsi="Palatino Linotype" w:cs="Palatino Linotype"/>
          <w:color w:val="000000"/>
        </w:rPr>
        <w:t xml:space="preserve"> realizado, los cuales, </w:t>
      </w:r>
      <w:r w:rsidRPr="003641C9">
        <w:rPr>
          <w:rFonts w:ascii="Palatino Linotype" w:eastAsia="Palatino Linotype" w:hAnsi="Palatino Linotype" w:cs="Palatino Linotype"/>
          <w:b/>
          <w:color w:val="000000"/>
          <w:u w:val="single"/>
        </w:rPr>
        <w:t>al constituir interrogantes</w:t>
      </w:r>
      <w:r w:rsidRPr="003641C9">
        <w:rPr>
          <w:rFonts w:ascii="Palatino Linotype" w:eastAsia="Palatino Linotype" w:hAnsi="Palatino Linotype" w:cs="Palatino Linotype"/>
          <w:color w:val="000000"/>
        </w:rPr>
        <w:t xml:space="preserve">, </w:t>
      </w:r>
      <w:r w:rsidRPr="003641C9">
        <w:rPr>
          <w:rFonts w:ascii="Palatino Linotype" w:eastAsia="Palatino Linotype" w:hAnsi="Palatino Linotype" w:cs="Palatino Linotype"/>
          <w:b/>
          <w:color w:val="000000"/>
          <w:u w:val="single"/>
        </w:rPr>
        <w:t>inquietudes</w:t>
      </w:r>
      <w:r w:rsidRPr="003641C9">
        <w:rPr>
          <w:rFonts w:ascii="Palatino Linotype" w:eastAsia="Palatino Linotype" w:hAnsi="Palatino Linotype" w:cs="Palatino Linotype"/>
          <w:color w:val="000000"/>
        </w:rPr>
        <w:t xml:space="preserve"> y manifestaciones se satisfacen vía derecho de petición. </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Así, es transcendental dejar en claro lo que debe entenderse por derecho de petición y por derecho de acceso a la información pública.</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3641C9">
        <w:rPr>
          <w:rFonts w:ascii="Palatino Linotype" w:eastAsia="Palatino Linotype" w:hAnsi="Palatino Linotype" w:cs="Palatino Linotype"/>
          <w:color w:val="000000"/>
        </w:rPr>
        <w:t>Por lo que respecta a la definición de derecho de petición, el Maestro Ignacio Burgoa Orihuela refiere: “…</w:t>
      </w:r>
      <w:r w:rsidRPr="003641C9">
        <w:rPr>
          <w:rFonts w:ascii="Palatino Linotype" w:eastAsia="Palatino Linotype" w:hAnsi="Palatino Linotype" w:cs="Palatino Linotype"/>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3641C9">
        <w:rPr>
          <w:rFonts w:ascii="Palatino Linotype" w:eastAsia="Palatino Linotype" w:hAnsi="Palatino Linotype" w:cs="Palatino Linotype"/>
          <w:i/>
          <w:color w:val="000000"/>
        </w:rPr>
        <w:lastRenderedPageBreak/>
        <w:t>índole, la cual adopta, específicamente, el carácter de simple petición administrativa, acción o recurso, etc.</w:t>
      </w:r>
      <w:r w:rsidRPr="003641C9">
        <w:rPr>
          <w:rFonts w:ascii="Palatino Linotype" w:eastAsia="Palatino Linotype" w:hAnsi="Palatino Linotype" w:cs="Palatino Linotype"/>
          <w:i/>
          <w:color w:val="000000"/>
          <w:vertAlign w:val="superscript"/>
        </w:rPr>
        <w:t xml:space="preserve"> </w:t>
      </w:r>
      <w:r w:rsidRPr="003641C9">
        <w:rPr>
          <w:rFonts w:ascii="Palatino Linotype" w:eastAsia="Palatino Linotype" w:hAnsi="Palatino Linotype" w:cs="Palatino Linotype"/>
          <w:i/>
          <w:color w:val="000000"/>
          <w:vertAlign w:val="superscript"/>
        </w:rPr>
        <w:footnoteReference w:id="3"/>
      </w:r>
      <w:r w:rsidRPr="003641C9">
        <w:rPr>
          <w:rFonts w:ascii="Palatino Linotype" w:eastAsia="Palatino Linotype" w:hAnsi="Palatino Linotype" w:cs="Palatino Linotype"/>
          <w:i/>
          <w:color w:val="000000"/>
        </w:rPr>
        <w:t>“.</w:t>
      </w:r>
    </w:p>
    <w:p w:rsidR="006A2C05" w:rsidRPr="003641C9" w:rsidRDefault="006A2C05">
      <w:pPr>
        <w:pBdr>
          <w:top w:val="nil"/>
          <w:left w:val="nil"/>
          <w:bottom w:val="nil"/>
          <w:right w:val="nil"/>
          <w:between w:val="nil"/>
        </w:pBdr>
        <w:ind w:left="720"/>
        <w:rPr>
          <w:rFonts w:ascii="Palatino Linotype" w:eastAsia="Palatino Linotype" w:hAnsi="Palatino Linotype" w:cs="Palatino Linotype"/>
          <w:i/>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3641C9">
        <w:rPr>
          <w:rFonts w:ascii="Palatino Linotype" w:eastAsia="Palatino Linotype" w:hAnsi="Palatino Linotype" w:cs="Palatino Linotype"/>
          <w:color w:val="000000"/>
        </w:rPr>
        <w:t xml:space="preserve">Por su parte, David Cienfuegos Salgado, concibe al derecho de petición como </w:t>
      </w:r>
      <w:r w:rsidRPr="003641C9">
        <w:rPr>
          <w:rFonts w:ascii="Palatino Linotype" w:eastAsia="Palatino Linotype" w:hAnsi="Palatino Linotype" w:cs="Palatino Linotype"/>
          <w:i/>
          <w:color w:val="000000"/>
        </w:rPr>
        <w:t>“el derecho de toda persona a ser escuchado por quienes ejercen el poder público.</w:t>
      </w:r>
      <w:r w:rsidRPr="003641C9">
        <w:rPr>
          <w:rFonts w:ascii="Palatino Linotype" w:eastAsia="Palatino Linotype" w:hAnsi="Palatino Linotype" w:cs="Palatino Linotype"/>
          <w:i/>
          <w:color w:val="000000"/>
          <w:vertAlign w:val="superscript"/>
        </w:rPr>
        <w:t xml:space="preserve"> </w:t>
      </w:r>
      <w:r w:rsidRPr="003641C9">
        <w:rPr>
          <w:rFonts w:ascii="Palatino Linotype" w:eastAsia="Palatino Linotype" w:hAnsi="Palatino Linotype" w:cs="Palatino Linotype"/>
          <w:i/>
          <w:color w:val="000000"/>
          <w:vertAlign w:val="superscript"/>
        </w:rPr>
        <w:footnoteReference w:id="4"/>
      </w:r>
      <w:r w:rsidRPr="003641C9">
        <w:rPr>
          <w:rFonts w:ascii="Palatino Linotype" w:eastAsia="Palatino Linotype" w:hAnsi="Palatino Linotype" w:cs="Palatino Linotype"/>
          <w:i/>
          <w:color w:val="000000"/>
        </w:rPr>
        <w:t>” .</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3641C9">
        <w:rPr>
          <w:rFonts w:ascii="Palatino Linotype" w:eastAsia="Palatino Linotype" w:hAnsi="Palatino Linotype" w:cs="Palatino Linotype"/>
          <w:color w:val="000000"/>
        </w:rPr>
        <w:t xml:space="preserve">A este respecto, y para diferenciar el derecho de petición al derecho de acceso a la información, resulta conducente señalar que José Guadalupe Robles, conceptualiza el derecho a la información como </w:t>
      </w:r>
      <w:r w:rsidRPr="003641C9">
        <w:rPr>
          <w:rFonts w:ascii="Palatino Linotype" w:eastAsia="Palatino Linotype" w:hAnsi="Palatino Linotype" w:cs="Palatino Linotype"/>
          <w:i/>
          <w:color w:val="000000"/>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3641C9">
        <w:rPr>
          <w:rFonts w:ascii="Palatino Linotype" w:eastAsia="Palatino Linotype" w:hAnsi="Palatino Linotype" w:cs="Palatino Linotype"/>
          <w:i/>
          <w:color w:val="000000"/>
          <w:vertAlign w:val="superscript"/>
        </w:rPr>
        <w:t xml:space="preserve"> </w:t>
      </w:r>
      <w:r w:rsidRPr="003641C9">
        <w:rPr>
          <w:rFonts w:ascii="Palatino Linotype" w:eastAsia="Palatino Linotype" w:hAnsi="Palatino Linotype" w:cs="Palatino Linotype"/>
          <w:i/>
          <w:color w:val="000000"/>
          <w:vertAlign w:val="superscript"/>
        </w:rPr>
        <w:footnoteReference w:id="5"/>
      </w:r>
      <w:r w:rsidRPr="003641C9">
        <w:rPr>
          <w:rFonts w:ascii="Palatino Linotype" w:eastAsia="Palatino Linotype" w:hAnsi="Palatino Linotype" w:cs="Palatino Linotype"/>
          <w:i/>
          <w:color w:val="000000"/>
        </w:rPr>
        <w:t>“.</w:t>
      </w:r>
    </w:p>
    <w:p w:rsidR="006A2C05" w:rsidRPr="003641C9" w:rsidRDefault="006A2C05">
      <w:pPr>
        <w:pBdr>
          <w:top w:val="nil"/>
          <w:left w:val="nil"/>
          <w:bottom w:val="nil"/>
          <w:right w:val="nil"/>
          <w:between w:val="nil"/>
        </w:pBdr>
        <w:ind w:left="720"/>
        <w:rPr>
          <w:rFonts w:ascii="Palatino Linotype" w:eastAsia="Palatino Linotype" w:hAnsi="Palatino Linotype" w:cs="Palatino Linotype"/>
          <w:i/>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Además, el derecho a la información constituye una prerrogativa de acceder a documentación en poder de los Sujetos Obligados, </w:t>
      </w:r>
      <w:r w:rsidRPr="003641C9">
        <w:rPr>
          <w:rFonts w:ascii="Palatino Linotype" w:eastAsia="Palatino Linotype" w:hAnsi="Palatino Linotype" w:cs="Palatino Linotype"/>
          <w:b/>
          <w:color w:val="000000"/>
          <w:u w:val="single"/>
        </w:rPr>
        <w:t>NO ASÍ A REALIZAR CUESTIONAMIENTOS</w:t>
      </w:r>
      <w:r w:rsidRPr="003641C9">
        <w:rPr>
          <w:rFonts w:ascii="Palatino Linotype" w:eastAsia="Palatino Linotype" w:hAnsi="Palatino Linotype" w:cs="Palatino Linotype"/>
          <w:color w:val="000000"/>
        </w:rPr>
        <w:t>. Sirve de apoyo a lo anterior la definición de derecho a la información de Ernesto Villanueva Villanueva que dice: “</w:t>
      </w:r>
      <w:r w:rsidRPr="003641C9">
        <w:rPr>
          <w:rFonts w:ascii="Palatino Linotype" w:eastAsia="Palatino Linotype" w:hAnsi="Palatino Linotype" w:cs="Palatino Linotype"/>
          <w:i/>
          <w:color w:val="000000"/>
        </w:rPr>
        <w:t xml:space="preserve">la prerrogativa de la persona para acceder a datos, registros y todo tipo de informaciones en poder de entidades públicas y </w:t>
      </w:r>
      <w:r w:rsidRPr="003641C9">
        <w:rPr>
          <w:rFonts w:ascii="Palatino Linotype" w:eastAsia="Palatino Linotype" w:hAnsi="Palatino Linotype" w:cs="Palatino Linotype"/>
          <w:i/>
          <w:color w:val="000000"/>
        </w:rPr>
        <w:lastRenderedPageBreak/>
        <w:t xml:space="preserve">empresas privadas que ejercen gasto público o cumplen funciones de autoridad, con las excepciones taxativas que establezca la ley en una sociedad democrática.” </w:t>
      </w:r>
      <w:r w:rsidRPr="003641C9">
        <w:rPr>
          <w:rFonts w:ascii="Palatino Linotype" w:eastAsia="Palatino Linotype" w:hAnsi="Palatino Linotype" w:cs="Palatino Linotype"/>
          <w:i/>
          <w:color w:val="000000"/>
          <w:vertAlign w:val="superscript"/>
        </w:rPr>
        <w:footnoteReference w:id="6"/>
      </w:r>
      <w:r w:rsidRPr="003641C9">
        <w:rPr>
          <w:rFonts w:ascii="Palatino Linotype" w:eastAsia="Palatino Linotype" w:hAnsi="Palatino Linotype" w:cs="Palatino Linotype"/>
          <w:i/>
          <w:color w:val="000000"/>
        </w:rPr>
        <w:t>.</w:t>
      </w:r>
    </w:p>
    <w:p w:rsidR="006A2C05" w:rsidRPr="003641C9" w:rsidRDefault="006A2C05">
      <w:pPr>
        <w:pBdr>
          <w:top w:val="nil"/>
          <w:left w:val="nil"/>
          <w:bottom w:val="nil"/>
          <w:right w:val="nil"/>
          <w:between w:val="nil"/>
        </w:pBdr>
        <w:ind w:left="720"/>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sidRPr="003641C9">
        <w:rPr>
          <w:rFonts w:ascii="Palatino Linotype" w:eastAsia="Palatino Linotype" w:hAnsi="Palatino Linotype" w:cs="Palatino Linotype"/>
          <w:b/>
          <w:color w:val="000000"/>
        </w:rPr>
        <w:t>que conste en documentos</w:t>
      </w:r>
      <w:r w:rsidRPr="003641C9">
        <w:rPr>
          <w:rFonts w:ascii="Palatino Linotype" w:eastAsia="Palatino Linotype" w:hAnsi="Palatino Linotype" w:cs="Palatino Linotype"/>
          <w:color w:val="000000"/>
        </w:rPr>
        <w:t>, sea generada o se encuentre en posesión de la autoridad.</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3641C9">
        <w:rPr>
          <w:rFonts w:ascii="Palatino Linotype" w:eastAsia="Palatino Linotype" w:hAnsi="Palatino Linotype" w:cs="Palatino Linotype"/>
          <w:color w:val="000000"/>
        </w:rPr>
        <w:t xml:space="preserve">En ese sentido, se debe tomar en cuenta lo dispuesto en el artículos 12, de la Ley de Transparencia y Acceso a la Información Pública del Estado de México y Municipios  y referir que el derecho de acceso a la información pública se satisface en aquellos casos en que se entregue el soporte documental en que conste o se advierta la información pública, toda vez que no se tiene el deber de generar un documento </w:t>
      </w:r>
      <w:r w:rsidRPr="003641C9">
        <w:rPr>
          <w:rFonts w:ascii="Palatino Linotype" w:eastAsia="Palatino Linotype" w:hAnsi="Palatino Linotype" w:cs="Palatino Linotype"/>
          <w:i/>
          <w:color w:val="000000"/>
        </w:rPr>
        <w:t>Ad hoc</w:t>
      </w:r>
      <w:r w:rsidRPr="003641C9">
        <w:rPr>
          <w:rFonts w:ascii="Palatino Linotype" w:eastAsia="Palatino Linotype" w:hAnsi="Palatino Linotype" w:cs="Palatino Linotype"/>
          <w:color w:val="000000"/>
        </w:rPr>
        <w:t>, para satisfacer las inquietudes específicas de los solicitantes.</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En ese contexto, este </w:t>
      </w:r>
      <w:r w:rsidRPr="003641C9">
        <w:rPr>
          <w:rFonts w:ascii="Palatino Linotype" w:eastAsia="Palatino Linotype" w:hAnsi="Palatino Linotype" w:cs="Palatino Linotype"/>
        </w:rPr>
        <w:t>Organismo</w:t>
      </w:r>
      <w:r w:rsidRPr="003641C9">
        <w:rPr>
          <w:rFonts w:ascii="Palatino Linotype" w:eastAsia="Palatino Linotype" w:hAnsi="Palatino Linotype" w:cs="Palatino Linotype"/>
          <w:color w:val="000000"/>
        </w:rPr>
        <w:t xml:space="preserve"> Garante en distintas oportunidades ha señalado que </w:t>
      </w:r>
      <w:r w:rsidRPr="003641C9">
        <w:rPr>
          <w:rFonts w:ascii="Palatino Linotype" w:eastAsia="Palatino Linotype" w:hAnsi="Palatino Linotype" w:cs="Palatino Linotype"/>
          <w:b/>
          <w:color w:val="000000"/>
        </w:rPr>
        <w:t>responder a solicitudes de información, formularios o cuestionarios requeridos por las personas</w:t>
      </w:r>
      <w:r w:rsidRPr="003641C9">
        <w:rPr>
          <w:rFonts w:ascii="Palatino Linotype" w:eastAsia="Palatino Linotype" w:hAnsi="Palatino Linotype" w:cs="Palatino Linotype"/>
          <w:color w:val="000000"/>
        </w:rPr>
        <w:t xml:space="preserve">, a través de un documento </w:t>
      </w:r>
      <w:r w:rsidRPr="003641C9">
        <w:rPr>
          <w:rFonts w:ascii="Palatino Linotype" w:eastAsia="Palatino Linotype" w:hAnsi="Palatino Linotype" w:cs="Palatino Linotype"/>
          <w:i/>
          <w:color w:val="000000"/>
        </w:rPr>
        <w:t>Ad hoc</w:t>
      </w:r>
      <w:r w:rsidRPr="003641C9">
        <w:rPr>
          <w:rFonts w:ascii="Palatino Linotype" w:eastAsia="Palatino Linotype" w:hAnsi="Palatino Linotype" w:cs="Palatino Linotype"/>
          <w:color w:val="000000"/>
        </w:rPr>
        <w:t xml:space="preserve">, es precisamente a lo que la Ley no obliga a las autoridades, ya que ello implica una tarea adicional de la </w:t>
      </w:r>
      <w:r w:rsidRPr="003641C9">
        <w:rPr>
          <w:rFonts w:ascii="Palatino Linotype" w:eastAsia="Palatino Linotype" w:hAnsi="Palatino Linotype" w:cs="Palatino Linotype"/>
          <w:color w:val="000000"/>
        </w:rPr>
        <w:lastRenderedPageBreak/>
        <w:t>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3641C9">
        <w:rPr>
          <w:rFonts w:ascii="Palatino Linotype" w:eastAsia="Palatino Linotype" w:hAnsi="Palatino Linotype" w:cs="Palatino Linotype"/>
          <w:color w:val="000000"/>
          <w:vertAlign w:val="superscript"/>
        </w:rPr>
        <w:footnoteReference w:id="7"/>
      </w:r>
      <w:r w:rsidRPr="003641C9">
        <w:rPr>
          <w:rFonts w:ascii="Palatino Linotype" w:eastAsia="Palatino Linotype" w:hAnsi="Palatino Linotype" w:cs="Palatino Linotype"/>
          <w:color w:val="000000"/>
        </w:rPr>
        <w:t xml:space="preserve"> Sistemáticamente se ha señalado, y así lo entienden tanto otros Órganos Garantes</w:t>
      </w:r>
      <w:r w:rsidRPr="003641C9">
        <w:rPr>
          <w:rFonts w:ascii="Palatino Linotype" w:eastAsia="Palatino Linotype" w:hAnsi="Palatino Linotype" w:cs="Palatino Linotype"/>
          <w:color w:val="000000"/>
          <w:vertAlign w:val="superscript"/>
        </w:rPr>
        <w:footnoteReference w:id="8"/>
      </w:r>
      <w:r w:rsidRPr="003641C9">
        <w:rPr>
          <w:rFonts w:ascii="Palatino Linotype" w:eastAsia="Palatino Linotype" w:hAnsi="Palatino Linotype" w:cs="Palatino Linotype"/>
          <w:color w:val="000000"/>
        </w:rPr>
        <w:t xml:space="preserve"> como Órganos Internacionales Especializados,</w:t>
      </w:r>
      <w:r w:rsidRPr="003641C9">
        <w:rPr>
          <w:rFonts w:ascii="Palatino Linotype" w:eastAsia="Palatino Linotype" w:hAnsi="Palatino Linotype" w:cs="Palatino Linotype"/>
          <w:color w:val="000000"/>
          <w:vertAlign w:val="superscript"/>
        </w:rPr>
        <w:footnoteReference w:id="9"/>
      </w:r>
      <w:r w:rsidRPr="003641C9">
        <w:rPr>
          <w:rFonts w:ascii="Palatino Linotype" w:eastAsia="Palatino Linotype" w:hAnsi="Palatino Linotype" w:cs="Palatino Linotype"/>
          <w:color w:val="000000"/>
        </w:rPr>
        <w:t xml:space="preserve"> que el derecho de acceso a la información pública consiste en el acceso a documentos generados por la autoridad con antelación a que fuera presentada la solicitud de acceso a la información pública.</w:t>
      </w:r>
    </w:p>
    <w:p w:rsidR="006A2C05" w:rsidRPr="003641C9" w:rsidRDefault="006A2C05"/>
    <w:p w:rsidR="006A2C05" w:rsidRPr="003641C9" w:rsidRDefault="00CE07D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No obstante lo anterior, es de reconocer que el </w:t>
      </w:r>
      <w:r w:rsidRPr="003641C9">
        <w:rPr>
          <w:rFonts w:ascii="Palatino Linotype" w:eastAsia="Palatino Linotype" w:hAnsi="Palatino Linotype" w:cs="Palatino Linotype"/>
          <w:b/>
          <w:color w:val="000000"/>
        </w:rPr>
        <w:t xml:space="preserve">SUJETO OBLIGADO </w:t>
      </w:r>
      <w:r w:rsidRPr="003641C9">
        <w:rPr>
          <w:rFonts w:ascii="Palatino Linotype" w:eastAsia="Palatino Linotype" w:hAnsi="Palatino Linotype" w:cs="Palatino Linotype"/>
          <w:color w:val="000000"/>
        </w:rPr>
        <w:t xml:space="preserve">en observancia al principio de máxima publicidad y con el objetivo de satisfacer y garantizar el </w:t>
      </w:r>
      <w:r w:rsidRPr="003641C9">
        <w:rPr>
          <w:rFonts w:ascii="Palatino Linotype" w:eastAsia="Palatino Linotype" w:hAnsi="Palatino Linotype" w:cs="Palatino Linotype"/>
          <w:color w:val="000000"/>
        </w:rPr>
        <w:lastRenderedPageBreak/>
        <w:t xml:space="preserve">derecho de acceso a la información del particular, respondió a cada uno de los cuestionamientos planteados en la solicitud. </w:t>
      </w:r>
    </w:p>
    <w:p w:rsidR="006A2C05" w:rsidRPr="003641C9" w:rsidRDefault="006A2C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2C05" w:rsidRPr="003641C9" w:rsidRDefault="00CE07DA">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En este sentido, el Pleno de este Instituto considera necesario mencionar que, por cuestiones de técnica jurídica, se considera pertinente elaborar un cuadro de análisis, para identificar cada uno de los requerimientos; así como, la información que el </w:t>
      </w:r>
      <w:r w:rsidRPr="003641C9">
        <w:rPr>
          <w:rFonts w:ascii="Palatino Linotype" w:eastAsia="Palatino Linotype" w:hAnsi="Palatino Linotype" w:cs="Palatino Linotype"/>
          <w:b/>
          <w:color w:val="000000"/>
        </w:rPr>
        <w:t xml:space="preserve">SUJETO OBLIGADO </w:t>
      </w:r>
      <w:r w:rsidRPr="003641C9">
        <w:rPr>
          <w:rFonts w:ascii="Palatino Linotype" w:eastAsia="Palatino Linotype" w:hAnsi="Palatino Linotype" w:cs="Palatino Linotype"/>
          <w:color w:val="000000"/>
        </w:rPr>
        <w:t>entregó en respuesta a la solicitud, mismo que se inserta a continuación.</w:t>
      </w:r>
    </w:p>
    <w:p w:rsidR="006A2C05" w:rsidRPr="003641C9" w:rsidRDefault="00CE07DA">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El entonces solicitante requirió de la persona referida en la solicitud, la siguiente información: </w:t>
      </w:r>
    </w:p>
    <w:tbl>
      <w:tblPr>
        <w:tblStyle w:val="a2"/>
        <w:tblW w:w="878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64"/>
        <w:gridCol w:w="4820"/>
      </w:tblGrid>
      <w:tr w:rsidR="006A2C05" w:rsidRPr="003641C9">
        <w:tc>
          <w:tcPr>
            <w:tcW w:w="3964" w:type="dxa"/>
            <w:shd w:val="clear" w:color="auto" w:fill="BFBFBF"/>
          </w:tcPr>
          <w:p w:rsidR="006A2C05" w:rsidRPr="003641C9" w:rsidRDefault="00CE07DA">
            <w:pPr>
              <w:ind w:firstLine="114"/>
              <w:jc w:val="center"/>
              <w:rPr>
                <w:rFonts w:ascii="Palatino Linotype" w:eastAsia="Palatino Linotype" w:hAnsi="Palatino Linotype" w:cs="Palatino Linotype"/>
                <w:b/>
              </w:rPr>
            </w:pPr>
            <w:r w:rsidRPr="003641C9">
              <w:rPr>
                <w:rFonts w:ascii="Palatino Linotype" w:eastAsia="Palatino Linotype" w:hAnsi="Palatino Linotype" w:cs="Palatino Linotype"/>
                <w:b/>
              </w:rPr>
              <w:t>Solicitud</w:t>
            </w:r>
          </w:p>
        </w:tc>
        <w:tc>
          <w:tcPr>
            <w:tcW w:w="4820" w:type="dxa"/>
            <w:shd w:val="clear" w:color="auto" w:fill="BFBFBF"/>
          </w:tcPr>
          <w:p w:rsidR="006A2C05" w:rsidRPr="003641C9" w:rsidRDefault="00CE07DA">
            <w:pPr>
              <w:ind w:firstLine="114"/>
              <w:jc w:val="center"/>
              <w:rPr>
                <w:rFonts w:ascii="Palatino Linotype" w:eastAsia="Palatino Linotype" w:hAnsi="Palatino Linotype" w:cs="Palatino Linotype"/>
                <w:b/>
              </w:rPr>
            </w:pPr>
            <w:r w:rsidRPr="003641C9">
              <w:rPr>
                <w:rFonts w:ascii="Palatino Linotype" w:eastAsia="Palatino Linotype" w:hAnsi="Palatino Linotype" w:cs="Palatino Linotype"/>
                <w:b/>
              </w:rPr>
              <w:t>Respuesta</w:t>
            </w:r>
          </w:p>
        </w:tc>
      </w:tr>
      <w:tr w:rsidR="006A2C05" w:rsidRPr="003641C9">
        <w:tc>
          <w:tcPr>
            <w:tcW w:w="3964" w:type="dxa"/>
          </w:tcPr>
          <w:p w:rsidR="006A2C05" w:rsidRPr="003641C9" w:rsidRDefault="00CE07DA">
            <w:pPr>
              <w:jc w:val="both"/>
              <w:rPr>
                <w:rFonts w:ascii="Palatino Linotype" w:eastAsia="Palatino Linotype" w:hAnsi="Palatino Linotype" w:cs="Palatino Linotype"/>
                <w:b/>
                <w:i/>
              </w:rPr>
            </w:pPr>
            <w:r w:rsidRPr="003641C9">
              <w:rPr>
                <w:rFonts w:ascii="Palatino Linotype" w:eastAsia="Palatino Linotype" w:hAnsi="Palatino Linotype" w:cs="Palatino Linotype"/>
                <w:i/>
              </w:rPr>
              <w:t xml:space="preserve">1. Cargo que desempeña dentro del Instituto de Cultura Física y Deporte de Tlalnepantla de Baz </w:t>
            </w:r>
            <w:r w:rsidRPr="003641C9">
              <w:rPr>
                <w:rFonts w:ascii="Palatino Linotype" w:eastAsia="Palatino Linotype" w:hAnsi="Palatino Linotype" w:cs="Palatino Linotype"/>
                <w:i/>
                <w:sz w:val="22"/>
                <w:szCs w:val="22"/>
              </w:rPr>
              <w:t>así como categoría laboral, área de adscripción, sueldo quincenal bruto y neto. Ello lo requiero del mes en curso.</w:t>
            </w:r>
          </w:p>
        </w:tc>
        <w:tc>
          <w:tcPr>
            <w:tcW w:w="4820"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rPr>
              <w:t xml:space="preserve">El Director de Administración informó: </w:t>
            </w:r>
            <w:r w:rsidRPr="003641C9">
              <w:rPr>
                <w:rFonts w:ascii="Palatino Linotype" w:eastAsia="Palatino Linotype" w:hAnsi="Palatino Linotype" w:cs="Palatino Linotype"/>
                <w:i/>
              </w:rPr>
              <w:t xml:space="preserve">“…es el </w:t>
            </w:r>
            <w:r w:rsidRPr="003641C9">
              <w:rPr>
                <w:rFonts w:ascii="Palatino Linotype" w:eastAsia="Palatino Linotype" w:hAnsi="Palatino Linotype" w:cs="Palatino Linotype"/>
                <w:b/>
                <w:i/>
                <w:u w:val="single"/>
              </w:rPr>
              <w:t>jefe de departamento B</w:t>
            </w:r>
            <w:r w:rsidRPr="003641C9">
              <w:rPr>
                <w:rFonts w:ascii="Palatino Linotype" w:eastAsia="Palatino Linotype" w:hAnsi="Palatino Linotype" w:cs="Palatino Linotype"/>
                <w:i/>
              </w:rPr>
              <w:t xml:space="preserve"> adscrito al </w:t>
            </w:r>
            <w:r w:rsidRPr="003641C9">
              <w:rPr>
                <w:rFonts w:ascii="Palatino Linotype" w:eastAsia="Palatino Linotype" w:hAnsi="Palatino Linotype" w:cs="Palatino Linotype"/>
                <w:b/>
                <w:i/>
                <w:u w:val="single"/>
              </w:rPr>
              <w:t>Departamento de Infraestructura Deportiva</w:t>
            </w:r>
            <w:r w:rsidRPr="003641C9">
              <w:rPr>
                <w:rFonts w:ascii="Palatino Linotype" w:eastAsia="Palatino Linotype" w:hAnsi="Palatino Linotype" w:cs="Palatino Linotype"/>
                <w:i/>
              </w:rPr>
              <w:t xml:space="preserve"> dependiente del instituto municipal de cultura Física y Deporte, el cual recibe un sueldo mensual bruto de </w:t>
            </w:r>
            <w:r w:rsidRPr="003641C9">
              <w:rPr>
                <w:rFonts w:ascii="Palatino Linotype" w:eastAsia="Palatino Linotype" w:hAnsi="Palatino Linotype" w:cs="Palatino Linotype"/>
                <w:b/>
                <w:i/>
                <w:u w:val="single"/>
              </w:rPr>
              <w:t>$31,123.00</w:t>
            </w:r>
            <w:r w:rsidRPr="003641C9">
              <w:rPr>
                <w:rFonts w:ascii="Palatino Linotype" w:eastAsia="Palatino Linotype" w:hAnsi="Palatino Linotype" w:cs="Palatino Linotype"/>
                <w:i/>
              </w:rPr>
              <w:t xml:space="preserve"> derivado en </w:t>
            </w:r>
            <w:r w:rsidRPr="003641C9">
              <w:rPr>
                <w:rFonts w:ascii="Palatino Linotype" w:eastAsia="Palatino Linotype" w:hAnsi="Palatino Linotype" w:cs="Palatino Linotype"/>
                <w:b/>
                <w:i/>
                <w:u w:val="single"/>
              </w:rPr>
              <w:t>22,026.60.</w:t>
            </w:r>
            <w:r w:rsidRPr="003641C9">
              <w:rPr>
                <w:rFonts w:ascii="Palatino Linotype" w:eastAsia="Palatino Linotype" w:hAnsi="Palatino Linotype" w:cs="Palatino Linotype"/>
                <w:i/>
              </w:rPr>
              <w:t xml:space="preserve"> </w:t>
            </w:r>
          </w:p>
        </w:tc>
      </w:tr>
      <w:tr w:rsidR="006A2C05" w:rsidRPr="003641C9">
        <w:trPr>
          <w:trHeight w:val="2550"/>
        </w:trPr>
        <w:tc>
          <w:tcPr>
            <w:tcW w:w="3964" w:type="dxa"/>
          </w:tcPr>
          <w:p w:rsidR="006A2C05" w:rsidRPr="003641C9" w:rsidRDefault="00CE07DA">
            <w:pPr>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2. Marco jurídico que regula las actividades desarrolladas y responsabilidades que debe cumplir.</w:t>
            </w:r>
          </w:p>
        </w:tc>
        <w:tc>
          <w:tcPr>
            <w:tcW w:w="4820"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w:t>
            </w:r>
            <w:r w:rsidRPr="003641C9">
              <w:rPr>
                <w:rFonts w:ascii="Palatino Linotype" w:eastAsia="Palatino Linotype" w:hAnsi="Palatino Linotype" w:cs="Palatino Linotype"/>
                <w:b/>
                <w:i/>
                <w:u w:val="single"/>
              </w:rPr>
              <w:t>artículos 449 y 450 del Reglamento Interno de la Administración Pública Municipal de Tlalnepantla de Baz</w:t>
            </w:r>
            <w:r w:rsidRPr="003641C9">
              <w:rPr>
                <w:rFonts w:ascii="Palatino Linotype" w:eastAsia="Palatino Linotype" w:hAnsi="Palatino Linotype" w:cs="Palatino Linotype"/>
                <w:i/>
              </w:rPr>
              <w:t>, Estado de México.”</w:t>
            </w:r>
          </w:p>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“La responsabilidad que tiene es del Departamento de Infraestructura Deportiva y el Marco Jurídico que regula las actividades es e</w:t>
            </w:r>
            <w:r w:rsidR="007A3452" w:rsidRPr="003641C9">
              <w:rPr>
                <w:rFonts w:ascii="Palatino Linotype" w:eastAsia="Palatino Linotype" w:hAnsi="Palatino Linotype" w:cs="Palatino Linotype"/>
                <w:i/>
              </w:rPr>
              <w:t>l Reglamento de Interno de la Administración Pública Municipal de Tlalnepantla de Baz</w:t>
            </w:r>
            <w:r w:rsidRPr="003641C9">
              <w:rPr>
                <w:rFonts w:ascii="Palatino Linotype" w:eastAsia="Palatino Linotype" w:hAnsi="Palatino Linotype" w:cs="Palatino Linotype"/>
                <w:i/>
              </w:rPr>
              <w:t>”</w:t>
            </w:r>
          </w:p>
        </w:tc>
      </w:tr>
      <w:tr w:rsidR="006A2C05" w:rsidRPr="003641C9">
        <w:tc>
          <w:tcPr>
            <w:tcW w:w="3964"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lastRenderedPageBreak/>
              <w:t xml:space="preserve">3. Si está autorizado y por quien para cobrar cuotas u otro tipo de prestaciones económicas a los usuarios del Instituto Municipal de Cultura Física y Deporte. </w:t>
            </w:r>
          </w:p>
        </w:tc>
        <w:tc>
          <w:tcPr>
            <w:tcW w:w="4820" w:type="dxa"/>
          </w:tcPr>
          <w:p w:rsidR="006A2C05" w:rsidRPr="003641C9" w:rsidRDefault="00CE07DA">
            <w:pPr>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2923540" cy="1057275"/>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23540" cy="1057275"/>
                          </a:xfrm>
                          <a:prstGeom prst="rect">
                            <a:avLst/>
                          </a:prstGeom>
                          <a:ln/>
                        </pic:spPr>
                      </pic:pic>
                    </a:graphicData>
                  </a:graphic>
                </wp:inline>
              </w:drawing>
            </w:r>
          </w:p>
        </w:tc>
      </w:tr>
      <w:tr w:rsidR="006A2C05" w:rsidRPr="003641C9">
        <w:tc>
          <w:tcPr>
            <w:tcW w:w="3964"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 xml:space="preserve">4. Si </w:t>
            </w:r>
            <w:r w:rsidRPr="003641C9">
              <w:rPr>
                <w:rFonts w:ascii="Palatino Linotype" w:eastAsia="Palatino Linotype" w:hAnsi="Palatino Linotype" w:cs="Palatino Linotype"/>
                <w:i/>
                <w:sz w:val="22"/>
                <w:szCs w:val="22"/>
              </w:rPr>
              <w:t>tiene dentro de facultades incrementar las tarifas que establece el Instituto Municipal de Cultura Física y Deporte y la propia Tesorería Municipal, para el uso y aprovechamiento de instalaciones deportivas y/o cualquier tarifa establecida en por las dependencias antes mencionadas</w:t>
            </w:r>
          </w:p>
        </w:tc>
        <w:tc>
          <w:tcPr>
            <w:tcW w:w="4820" w:type="dxa"/>
          </w:tcPr>
          <w:p w:rsidR="006A2C05" w:rsidRPr="003641C9" w:rsidRDefault="00CE07DA">
            <w:pPr>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2923540" cy="121920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23540" cy="1219200"/>
                          </a:xfrm>
                          <a:prstGeom prst="rect">
                            <a:avLst/>
                          </a:prstGeom>
                          <a:ln/>
                        </pic:spPr>
                      </pic:pic>
                    </a:graphicData>
                  </a:graphic>
                </wp:inline>
              </w:drawing>
            </w:r>
          </w:p>
        </w:tc>
      </w:tr>
      <w:tr w:rsidR="006A2C05" w:rsidRPr="003641C9">
        <w:tc>
          <w:tcPr>
            <w:tcW w:w="3964"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 xml:space="preserve">5. Si </w:t>
            </w:r>
            <w:r w:rsidRPr="003641C9">
              <w:rPr>
                <w:rFonts w:ascii="Palatino Linotype" w:eastAsia="Palatino Linotype" w:hAnsi="Palatino Linotype" w:cs="Palatino Linotype"/>
                <w:i/>
                <w:sz w:val="22"/>
                <w:szCs w:val="22"/>
              </w:rPr>
              <w:t xml:space="preserve">está autorizado o facultado para despedir sin justificación a personal adscrito al Instituto Municipal de Cultura Física y Deporte, </w:t>
            </w:r>
          </w:p>
        </w:tc>
        <w:tc>
          <w:tcPr>
            <w:tcW w:w="4820"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“…Se informa que la única causa de terminación de la relación laboral en esta administración, es la renuncia voluntaria, lo anterior con fundamento en el artículo 89 fracción I de la ley del trabajo de los servidores públicos del estado y municipios.”</w:t>
            </w:r>
          </w:p>
        </w:tc>
      </w:tr>
      <w:tr w:rsidR="006A2C05" w:rsidRPr="003641C9">
        <w:tc>
          <w:tcPr>
            <w:tcW w:w="3964"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rPr>
              <w:t xml:space="preserve">6. Nombre del servidor público que otorgo la autorización </w:t>
            </w:r>
          </w:p>
        </w:tc>
        <w:tc>
          <w:tcPr>
            <w:tcW w:w="4820" w:type="dxa"/>
          </w:tcPr>
          <w:p w:rsidR="006A2C05" w:rsidRPr="003641C9" w:rsidRDefault="00CE07DA">
            <w:pPr>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2923540" cy="127635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23540" cy="1276350"/>
                          </a:xfrm>
                          <a:prstGeom prst="rect">
                            <a:avLst/>
                          </a:prstGeom>
                          <a:ln/>
                        </pic:spPr>
                      </pic:pic>
                    </a:graphicData>
                  </a:graphic>
                </wp:inline>
              </w:drawing>
            </w:r>
          </w:p>
        </w:tc>
      </w:tr>
      <w:tr w:rsidR="006A2C05" w:rsidRPr="003641C9">
        <w:trPr>
          <w:trHeight w:val="2223"/>
        </w:trPr>
        <w:tc>
          <w:tcPr>
            <w:tcW w:w="3964" w:type="dxa"/>
          </w:tcPr>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i/>
                <w:sz w:val="22"/>
                <w:szCs w:val="22"/>
              </w:rPr>
              <w:t>7. Monto, fechas de los recursos económicos y el concepto de éstos que ha ingresado a esta dependencia por parte del Instituto Municipal de Cultura Física y Deporte, durante los años 2019, 2020, 2021 y 2022</w:t>
            </w:r>
          </w:p>
        </w:tc>
        <w:tc>
          <w:tcPr>
            <w:tcW w:w="4820" w:type="dxa"/>
          </w:tcPr>
          <w:p w:rsidR="006A2C05" w:rsidRPr="003641C9" w:rsidRDefault="00CE07DA">
            <w:pPr>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2832440" cy="1052014"/>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832440" cy="1052014"/>
                          </a:xfrm>
                          <a:prstGeom prst="rect">
                            <a:avLst/>
                          </a:prstGeom>
                          <a:ln/>
                        </pic:spPr>
                      </pic:pic>
                    </a:graphicData>
                  </a:graphic>
                </wp:inline>
              </w:drawing>
            </w:r>
          </w:p>
          <w:p w:rsidR="006A2C05" w:rsidRPr="003641C9" w:rsidRDefault="00CE07DA">
            <w:pPr>
              <w:jc w:val="both"/>
              <w:rPr>
                <w:rFonts w:ascii="Palatino Linotype" w:eastAsia="Palatino Linotype" w:hAnsi="Palatino Linotype" w:cs="Palatino Linotype"/>
                <w:i/>
              </w:rPr>
            </w:pPr>
            <w:r w:rsidRPr="003641C9">
              <w:rPr>
                <w:rFonts w:ascii="Palatino Linotype" w:eastAsia="Palatino Linotype" w:hAnsi="Palatino Linotype" w:cs="Palatino Linotype"/>
                <w:sz w:val="20"/>
                <w:szCs w:val="20"/>
              </w:rPr>
              <w:t>“</w:t>
            </w:r>
            <w:r w:rsidRPr="003641C9">
              <w:rPr>
                <w:rFonts w:ascii="Palatino Linotype" w:eastAsia="Palatino Linotype" w:hAnsi="Palatino Linotype" w:cs="Palatino Linotype"/>
                <w:i/>
                <w:sz w:val="20"/>
                <w:szCs w:val="20"/>
              </w:rPr>
              <w:t>Finalmente hago de su conocimiento que durante el presente año, aún no se cuenta con registro de ingresos por esos rubros</w:t>
            </w:r>
            <w:r w:rsidRPr="003641C9">
              <w:rPr>
                <w:rFonts w:ascii="Palatino Linotype" w:eastAsia="Palatino Linotype" w:hAnsi="Palatino Linotype" w:cs="Palatino Linotype"/>
                <w:i/>
              </w:rPr>
              <w:t xml:space="preserve">” </w:t>
            </w:r>
          </w:p>
        </w:tc>
      </w:tr>
    </w:tbl>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 xml:space="preserve">Así entonces, del cuadro de análisis que antecede se tiene que, con el objeto de garantizar el derecho de acceso a la información pública del particular,  el </w:t>
      </w:r>
      <w:r w:rsidRPr="003641C9">
        <w:rPr>
          <w:rFonts w:ascii="Palatino Linotype" w:eastAsia="Palatino Linotype" w:hAnsi="Palatino Linotype" w:cs="Palatino Linotype"/>
          <w:b/>
        </w:rPr>
        <w:t xml:space="preserve">SUJETO OBLIGADO </w:t>
      </w:r>
      <w:r w:rsidRPr="003641C9">
        <w:rPr>
          <w:rFonts w:ascii="Palatino Linotype" w:eastAsia="Palatino Linotype" w:hAnsi="Palatino Linotype" w:cs="Palatino Linotype"/>
        </w:rPr>
        <w:t xml:space="preserve">respondió a cada uno de los planteamientos formulados en la solicitud de información; siendo importante precisar que de las constancias que integran el expediente relativo al recurso de revisión de mérito, el Director de Administración, la Directora del Instituto Municipal de Cultura Física y Deporte y el Tesorero Municipal, contestaron a los que requerimientos de acuerdo a las facultades, competencias y funciones que los ordenamientos jurídicos aplicables les confieren. </w: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Es así, que para atender los requerimientos descritos en el numeral 1, el Subdirector de Capital Humano de la Dirección de Administración, respondió que el cargo que desempeña el servidor público referido en la solicitud es </w:t>
      </w:r>
      <w:r w:rsidRPr="003641C9">
        <w:rPr>
          <w:rFonts w:ascii="Palatino Linotype" w:eastAsia="Palatino Linotype" w:hAnsi="Palatino Linotype" w:cs="Palatino Linotype"/>
          <w:u w:val="single"/>
        </w:rPr>
        <w:t>de Jefe de Departamento B</w:t>
      </w:r>
      <w:r w:rsidRPr="003641C9">
        <w:rPr>
          <w:rFonts w:ascii="Palatino Linotype" w:eastAsia="Palatino Linotype" w:hAnsi="Palatino Linotype" w:cs="Palatino Linotype"/>
        </w:rPr>
        <w:t xml:space="preserve">, quien se encuentra adscrito al </w:t>
      </w:r>
      <w:r w:rsidRPr="003641C9">
        <w:rPr>
          <w:rFonts w:ascii="Palatino Linotype" w:eastAsia="Palatino Linotype" w:hAnsi="Palatino Linotype" w:cs="Palatino Linotype"/>
          <w:u w:val="single"/>
        </w:rPr>
        <w:t xml:space="preserve">Departamento de Infraestructura Deportiva </w:t>
      </w:r>
      <w:r w:rsidRPr="003641C9">
        <w:rPr>
          <w:rFonts w:ascii="Palatino Linotype" w:eastAsia="Palatino Linotype" w:hAnsi="Palatino Linotype" w:cs="Palatino Linotype"/>
        </w:rPr>
        <w:t xml:space="preserve"> y con un </w:t>
      </w:r>
      <w:r w:rsidRPr="003641C9">
        <w:rPr>
          <w:rFonts w:ascii="Palatino Linotype" w:eastAsia="Palatino Linotype" w:hAnsi="Palatino Linotype" w:cs="Palatino Linotype"/>
          <w:u w:val="single"/>
        </w:rPr>
        <w:t>sueldo mensual bruto de 31,123.00 y un sueldo mensual neto de 22,026.60</w:t>
      </w:r>
      <w:r w:rsidRPr="003641C9">
        <w:rPr>
          <w:rFonts w:ascii="Palatino Linotype" w:eastAsia="Palatino Linotype" w:hAnsi="Palatino Linotype" w:cs="Palatino Linotype"/>
        </w:rPr>
        <w:t xml:space="preserve">; pronunciamiento con el que el área competente del </w:t>
      </w:r>
      <w:r w:rsidRPr="003641C9">
        <w:rPr>
          <w:rFonts w:ascii="Palatino Linotype" w:eastAsia="Palatino Linotype" w:hAnsi="Palatino Linotype" w:cs="Palatino Linotype"/>
          <w:b/>
        </w:rPr>
        <w:t xml:space="preserve">SUJETO OBLIGADO </w:t>
      </w:r>
      <w:r w:rsidRPr="003641C9">
        <w:rPr>
          <w:rFonts w:ascii="Palatino Linotype" w:eastAsia="Palatino Linotype" w:hAnsi="Palatino Linotype" w:cs="Palatino Linotype"/>
        </w:rPr>
        <w:t>atendió los requerimientos descritos en el numeral 1 de la solicitud, lo anterior en virtud de que el Reglamento Interno de la Administración Pública Municipal de Tlalnepantla de Baz para el año dos mil veintidós, en el artículo 185 establece que para el despacho de los asuntos de su competencia, la Dirección de Administración cuenta con las siguientes atribuciones:</w: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lastRenderedPageBreak/>
        <w:drawing>
          <wp:inline distT="0" distB="0" distL="0" distR="0">
            <wp:extent cx="5515746" cy="6258800"/>
            <wp:effectExtent l="12700" t="12700" r="12700" b="127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515746" cy="6258800"/>
                    </a:xfrm>
                    <a:prstGeom prst="rect">
                      <a:avLst/>
                    </a:prstGeom>
                    <a:ln w="12700">
                      <a:solidFill>
                        <a:srgbClr val="000000"/>
                      </a:solidFill>
                      <a:prstDash val="solid"/>
                    </a:ln>
                  </pic:spPr>
                </pic:pic>
              </a:graphicData>
            </a:graphic>
          </wp:inline>
        </w:drawing>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lastRenderedPageBreak/>
        <w:drawing>
          <wp:inline distT="0" distB="0" distL="0" distR="0">
            <wp:extent cx="5477657" cy="5830133"/>
            <wp:effectExtent l="12700" t="12700" r="12700" b="127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77657" cy="5830133"/>
                    </a:xfrm>
                    <a:prstGeom prst="rect">
                      <a:avLst/>
                    </a:prstGeom>
                    <a:ln w="12700">
                      <a:solidFill>
                        <a:srgbClr val="000000"/>
                      </a:solidFill>
                      <a:prstDash val="solid"/>
                    </a:ln>
                  </pic:spPr>
                </pic:pic>
              </a:graphicData>
            </a:graphic>
          </wp:inline>
        </w:drawing>
      </w:r>
      <w:r w:rsidRPr="003641C9">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469900</wp:posOffset>
                </wp:positionH>
                <wp:positionV relativeFrom="paragraph">
                  <wp:posOffset>3225800</wp:posOffset>
                </wp:positionV>
                <wp:extent cx="381000" cy="257175"/>
                <wp:effectExtent l="0" t="0" r="0" b="0"/>
                <wp:wrapNone/>
                <wp:docPr id="29" name="Flecha derecha 29"/>
                <wp:cNvGraphicFramePr/>
                <a:graphic xmlns:a="http://schemas.openxmlformats.org/drawingml/2006/main">
                  <a:graphicData uri="http://schemas.microsoft.com/office/word/2010/wordprocessingShape">
                    <wps:wsp>
                      <wps:cNvSpPr/>
                      <wps:spPr>
                        <a:xfrm>
                          <a:off x="5160263" y="3656175"/>
                          <a:ext cx="371475" cy="247650"/>
                        </a:xfrm>
                        <a:prstGeom prst="rightArrow">
                          <a:avLst>
                            <a:gd name="adj1" fmla="val 50000"/>
                            <a:gd name="adj2" fmla="val 50000"/>
                          </a:avLst>
                        </a:prstGeom>
                        <a:solidFill>
                          <a:schemeClr val="accent2"/>
                        </a:solidFill>
                        <a:ln w="9525" cap="flat" cmpd="sng">
                          <a:solidFill>
                            <a:srgbClr val="4A7DBA"/>
                          </a:solidFill>
                          <a:prstDash val="solid"/>
                          <a:round/>
                          <a:headEnd type="none" w="sm" len="sm"/>
                          <a:tailEnd type="none" w="sm" len="sm"/>
                        </a:ln>
                      </wps:spPr>
                      <wps:txbx>
                        <w:txbxContent>
                          <w:p w:rsidR="00575505" w:rsidRDefault="0057550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left:0;text-align:left;margin-left:37pt;margin-top:254pt;width:30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" adj="14400" fillcolor="#c0504d [3205]" strokecolor="#4a7dba">
                <v:stroke startarrowwidth="narrow" startarrowlength="short" endarrowwidth="narrow" endarrowlength="short" joinstyle="round"/>
                <v:textbox inset="2.53958mm,2.53958mm,2.53958mm,2.53958mm">
                  <w:txbxContent>
                    <w:p w:rsidR="00575505" w:rsidRDefault="00575505">
                      <w:pPr>
                        <w:textDirection w:val="btLr"/>
                      </w:pPr>
                    </w:p>
                  </w:txbxContent>
                </v:textbox>
              </v:shape>
            </w:pict>
          </mc:Fallback>
        </mc:AlternateContent>
      </w:r>
    </w:p>
    <w:p w:rsidR="006A2C05" w:rsidRPr="003641C9" w:rsidRDefault="006A2C05">
      <w:pPr>
        <w:tabs>
          <w:tab w:val="left" w:pos="709"/>
        </w:tabs>
        <w:spacing w:before="240" w:after="240" w:line="360" w:lineRule="auto"/>
        <w:jc w:val="both"/>
      </w:pPr>
    </w:p>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7A3452" w:rsidRPr="003641C9" w:rsidRDefault="007A3452">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En este sentido, el Pleno de este I</w:t>
      </w:r>
      <w:r w:rsidR="00E31927" w:rsidRPr="003641C9">
        <w:rPr>
          <w:rFonts w:ascii="Palatino Linotype" w:eastAsia="Palatino Linotype" w:hAnsi="Palatino Linotype" w:cs="Palatino Linotype"/>
        </w:rPr>
        <w:t>nstituto advierte</w:t>
      </w:r>
      <w:r w:rsidRPr="003641C9">
        <w:rPr>
          <w:rFonts w:ascii="Palatino Linotype" w:eastAsia="Palatino Linotype" w:hAnsi="Palatino Linotype" w:cs="Palatino Linotype"/>
        </w:rPr>
        <w:t xml:space="preserve"> que el Servidor </w:t>
      </w:r>
      <w:r w:rsidR="00E31927" w:rsidRPr="003641C9">
        <w:rPr>
          <w:rFonts w:ascii="Palatino Linotype" w:eastAsia="Palatino Linotype" w:hAnsi="Palatino Linotype" w:cs="Palatino Linotype"/>
        </w:rPr>
        <w:t>Público</w:t>
      </w:r>
      <w:r w:rsidRPr="003641C9">
        <w:rPr>
          <w:rFonts w:ascii="Palatino Linotype" w:eastAsia="Palatino Linotype" w:hAnsi="Palatino Linotype" w:cs="Palatino Linotype"/>
        </w:rPr>
        <w:t xml:space="preserve"> Habilitado que atendió la solicitud sobre este rubro, cuenta con las facultades competencias y funciones para generar, administrar y poseer la información descrita en el numeral 1 </w:t>
      </w:r>
      <w:r w:rsidR="00E31927" w:rsidRPr="003641C9">
        <w:rPr>
          <w:rFonts w:ascii="Palatino Linotype" w:eastAsia="Palatino Linotype" w:hAnsi="Palatino Linotype" w:cs="Palatino Linotype"/>
        </w:rPr>
        <w:t xml:space="preserve">del cuadro de análisis. </w:t>
      </w:r>
    </w:p>
    <w:p w:rsidR="00E31927" w:rsidRPr="003641C9" w:rsidRDefault="00E31927" w:rsidP="00E31927">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Aunado a lo anterior, este Pleno considera necesario dejar claro que, al haber existido un pronunciamiento del Servidor Público Habilitado competente, quien dio respuesta a la solicitud planteada, éste Organismo garante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E31927" w:rsidRPr="003641C9" w:rsidRDefault="00E31927" w:rsidP="00E31927">
      <w:pPr>
        <w:spacing w:line="276" w:lineRule="auto"/>
        <w:ind w:left="860" w:right="560"/>
        <w:jc w:val="both"/>
        <w:rPr>
          <w:rFonts w:ascii="Palatino Linotype" w:eastAsia="Palatino Linotype" w:hAnsi="Palatino Linotype" w:cs="Palatino Linotype"/>
          <w:i/>
        </w:rPr>
      </w:pPr>
      <w:r w:rsidRPr="003641C9">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3641C9">
        <w:rPr>
          <w:rFonts w:ascii="Palatino Linotype" w:eastAsia="Palatino Linotype" w:hAnsi="Palatino Linotype" w:cs="Palatino Linotype"/>
          <w:i/>
        </w:rPr>
        <w:lastRenderedPageBreak/>
        <w:t>Instituto Federal de Acceso a la Información y Protección de Datos conocer, vía recurso revisión, al respecto.”</w:t>
      </w:r>
    </w:p>
    <w:p w:rsidR="00E31927" w:rsidRPr="003641C9" w:rsidRDefault="00E31927" w:rsidP="00E31927">
      <w:pPr>
        <w:spacing w:line="276" w:lineRule="auto"/>
      </w:pPr>
    </w:p>
    <w:p w:rsidR="005755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En este orden de ideas, por cuanto hace </w:t>
      </w:r>
      <w:r w:rsidR="00575505" w:rsidRPr="003641C9">
        <w:rPr>
          <w:rFonts w:ascii="Palatino Linotype" w:eastAsia="Palatino Linotype" w:hAnsi="Palatino Linotype" w:cs="Palatino Linotype"/>
        </w:rPr>
        <w:t xml:space="preserve">a los requerimientos descritos en los numerales 2, 3, 4, 5 y 6 en los que el solicitante requirió: </w:t>
      </w:r>
    </w:p>
    <w:p w:rsidR="00575505" w:rsidRPr="003641C9" w:rsidRDefault="00575505">
      <w:pPr>
        <w:tabs>
          <w:tab w:val="left" w:pos="709"/>
        </w:tabs>
        <w:spacing w:before="240" w:after="240" w:line="360" w:lineRule="auto"/>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rPr>
        <w:t>2.</w:t>
      </w:r>
      <w:r w:rsidRPr="003641C9">
        <w:rPr>
          <w:rFonts w:ascii="Palatino Linotype" w:eastAsia="Palatino Linotype" w:hAnsi="Palatino Linotype" w:cs="Palatino Linotype"/>
        </w:rPr>
        <w:t xml:space="preserve"> </w:t>
      </w:r>
      <w:r w:rsidRPr="003641C9">
        <w:rPr>
          <w:rFonts w:ascii="Palatino Linotype" w:eastAsia="Palatino Linotype" w:hAnsi="Palatino Linotype" w:cs="Palatino Linotype"/>
          <w:i/>
          <w:sz w:val="22"/>
          <w:szCs w:val="22"/>
        </w:rPr>
        <w:t xml:space="preserve">Marco jurídico que regula las actividades desarrolladas y responsabilidades que debe cumplir; </w:t>
      </w:r>
    </w:p>
    <w:p w:rsidR="00575505" w:rsidRPr="003641C9" w:rsidRDefault="00575505" w:rsidP="00575505">
      <w:pPr>
        <w:tabs>
          <w:tab w:val="left" w:pos="709"/>
        </w:tabs>
        <w:spacing w:before="240" w:after="240" w:line="360" w:lineRule="auto"/>
        <w:jc w:val="both"/>
        <w:rPr>
          <w:rFonts w:ascii="Palatino Linotype" w:eastAsia="Palatino Linotype" w:hAnsi="Palatino Linotype" w:cs="Palatino Linotype"/>
          <w:i/>
        </w:rPr>
      </w:pPr>
      <w:r w:rsidRPr="003641C9">
        <w:rPr>
          <w:rFonts w:ascii="Palatino Linotype" w:eastAsia="Palatino Linotype" w:hAnsi="Palatino Linotype" w:cs="Palatino Linotype"/>
          <w:i/>
        </w:rPr>
        <w:t>3. Si está autorizado y por quien para cobrar cuotas u otro tipo de prestaciones económicas a los usuarios del Instituto Municipal de Cultura Física y Deporte;</w:t>
      </w:r>
    </w:p>
    <w:p w:rsidR="00575505" w:rsidRPr="003641C9" w:rsidRDefault="00575505" w:rsidP="00575505">
      <w:pPr>
        <w:tabs>
          <w:tab w:val="left" w:pos="709"/>
        </w:tabs>
        <w:spacing w:before="240" w:after="240" w:line="360" w:lineRule="auto"/>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rPr>
        <w:t xml:space="preserve">4. Si </w:t>
      </w:r>
      <w:r w:rsidRPr="003641C9">
        <w:rPr>
          <w:rFonts w:ascii="Palatino Linotype" w:eastAsia="Palatino Linotype" w:hAnsi="Palatino Linotype" w:cs="Palatino Linotype"/>
          <w:i/>
          <w:sz w:val="22"/>
          <w:szCs w:val="22"/>
        </w:rPr>
        <w:t>tiene dentro de facultades incrementar las tarifas que establece el Instituto Municipal de Cultura Física y Deporte y la propia Tesorería Municipal, para el uso y aprovechamiento de instalaciones deportivas y/o cualquier tarifa establecida en por las dependencias antes mencionadas;</w:t>
      </w:r>
    </w:p>
    <w:p w:rsidR="00575505" w:rsidRPr="003641C9" w:rsidRDefault="00575505" w:rsidP="00575505">
      <w:pPr>
        <w:tabs>
          <w:tab w:val="left" w:pos="709"/>
        </w:tabs>
        <w:spacing w:before="240" w:after="240" w:line="360" w:lineRule="auto"/>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rPr>
        <w:t xml:space="preserve">5. Si </w:t>
      </w:r>
      <w:r w:rsidRPr="003641C9">
        <w:rPr>
          <w:rFonts w:ascii="Palatino Linotype" w:eastAsia="Palatino Linotype" w:hAnsi="Palatino Linotype" w:cs="Palatino Linotype"/>
          <w:i/>
          <w:sz w:val="22"/>
          <w:szCs w:val="22"/>
        </w:rPr>
        <w:t xml:space="preserve">está autorizado o facultado para despedir sin justificación a personal adscrito al Instituto Municipal de Cultura Física y Deporte; y, </w:t>
      </w:r>
    </w:p>
    <w:p w:rsidR="00575505" w:rsidRPr="003641C9" w:rsidRDefault="00575505" w:rsidP="00575505">
      <w:pPr>
        <w:tabs>
          <w:tab w:val="left" w:pos="709"/>
        </w:tabs>
        <w:spacing w:before="240" w:after="240" w:line="360" w:lineRule="auto"/>
        <w:jc w:val="both"/>
        <w:rPr>
          <w:rFonts w:ascii="Palatino Linotype" w:eastAsia="Palatino Linotype" w:hAnsi="Palatino Linotype" w:cs="Palatino Linotype"/>
          <w:i/>
        </w:rPr>
      </w:pPr>
      <w:r w:rsidRPr="003641C9">
        <w:rPr>
          <w:rFonts w:ascii="Palatino Linotype" w:eastAsia="Palatino Linotype" w:hAnsi="Palatino Linotype" w:cs="Palatino Linotype"/>
          <w:i/>
        </w:rPr>
        <w:t xml:space="preserve">6. Nombre del servidor público que otorgo la autorización. </w:t>
      </w:r>
    </w:p>
    <w:p w:rsidR="006A2C05" w:rsidRPr="003641C9" w:rsidRDefault="001708E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En respuesta a los puntos descritos, tanto el Subdirector de Capital Humano de la Dirección de Administración como la Directora del Instituto Municipal de Cultura Física y Deporte de Tlalnepantla de </w:t>
      </w:r>
      <w:r w:rsidR="0088426E" w:rsidRPr="003641C9">
        <w:rPr>
          <w:rFonts w:ascii="Palatino Linotype" w:eastAsia="Palatino Linotype" w:hAnsi="Palatino Linotype" w:cs="Palatino Linotype"/>
        </w:rPr>
        <w:t xml:space="preserve">Baz informaron que las facultades, obligaciones y responsabilidades del Jefe del Departamento de Infraestructura Deportiva, se encuentran enmarcadas en los artículos 449 y 450 del </w:t>
      </w:r>
      <w:r w:rsidR="0088426E" w:rsidRPr="003641C9">
        <w:rPr>
          <w:rFonts w:ascii="Palatino Linotype" w:eastAsia="Palatino Linotype" w:hAnsi="Palatino Linotype" w:cs="Palatino Linotype"/>
          <w:b/>
        </w:rPr>
        <w:t xml:space="preserve">Reglamento Interno de la Administración Pública Municipal de Tlalnepantla de Baz, </w:t>
      </w:r>
      <w:r w:rsidR="0088426E" w:rsidRPr="003641C9">
        <w:rPr>
          <w:rFonts w:ascii="Palatino Linotype" w:eastAsia="Palatino Linotype" w:hAnsi="Palatino Linotype" w:cs="Palatino Linotype"/>
        </w:rPr>
        <w:t xml:space="preserve">que en texto literal refieren: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lastRenderedPageBreak/>
        <w:t xml:space="preserve">“SECCIÓN II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b/>
          <w:i/>
          <w:sz w:val="22"/>
          <w:szCs w:val="22"/>
        </w:rPr>
        <w:t xml:space="preserve">DEL DEPARTAMENTO DE INFRAESTRUCTURA DEPORTIVA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449</w:t>
      </w:r>
      <w:r w:rsidRPr="003641C9">
        <w:rPr>
          <w:rFonts w:ascii="Palatino Linotype" w:eastAsia="Palatino Linotype" w:hAnsi="Palatino Linotype" w:cs="Palatino Linotype"/>
          <w:i/>
          <w:sz w:val="22"/>
          <w:szCs w:val="22"/>
        </w:rPr>
        <w:t>. Son facultades y obligaciones del Departamento de Infraestructura Deportiva, las siguientes:</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I. Planear, organizar, coordinar y proponer al Titular del Instituto la construcción, mantenimiento y rehabilitación de infraestructura deportiva en el Municipio, en coordinación con las dependencias competentes;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II. Cuidar de la infraestructura deportiva propiedad del Municipio;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III. Dar mantenimiento a la infraestructura deportiva del Municipio, siempre que se trate de bienes de dominio público;</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IV. Diagnosticar las condiciones de los espacios deportivos y predios donde se propone crear nueva infraestructura;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V. Integrar los expedientes derivados de las solicitudes de los ciudadanos, para la construcción, rehabilitación y acondicionamiento de espacios deportivos y acordar con el titular del Instituto su tramitación;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VI. Mantener un inventario actualizado de la ubicación y estado que guardan las instalaciones deportivas con las que cuenta el Municipio;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VII. Coadyuvar en la coordinación de logística para el desarrollo de los eventos deportivos;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VIII. Coordinar los usos y horarios de los distintos espacios deportivos que administre el Instituto, sin perjuicio de los convenios que se hayan suscrito para tal efecto;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IX. Presentar al Titular del Instituto un informe mensual de las actividades realizadas por su departamento, incluyendo los resultados y las observaciones de los eventos llevados a cabo; y </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lastRenderedPageBreak/>
        <w:t>X. Las demás que deriven de otros ordenamientos legales aplicables o le sean encomendados en el área de su competencia por sus superiores jerárquicos.</w:t>
      </w:r>
    </w:p>
    <w:p w:rsidR="0088426E" w:rsidRPr="003641C9" w:rsidRDefault="0088426E" w:rsidP="0088426E">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450.</w:t>
      </w:r>
      <w:r w:rsidRPr="003641C9">
        <w:rPr>
          <w:rFonts w:ascii="Palatino Linotype" w:eastAsia="Palatino Linotype" w:hAnsi="Palatino Linotype" w:cs="Palatino Linotype"/>
          <w:i/>
          <w:sz w:val="22"/>
          <w:szCs w:val="22"/>
        </w:rPr>
        <w:t xml:space="preserve"> Para el desempeño de sus atribuciones, el Departamento de Infraestructura Deportiva contará con un titular que será responsable de la conducción, supervisión y ejecución de las atribuciones a que se refiere el Artículo que antecede.”</w:t>
      </w:r>
    </w:p>
    <w:p w:rsidR="0088426E" w:rsidRPr="003641C9" w:rsidRDefault="0088426E">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Es así que, del análisis de la disposición jurídica señalada por los Servidores Públicos Habilitados, se desprende que efectivamente los artículos 449 y 450 establecen las facultades y obligaciones del</w:t>
      </w:r>
      <w:r w:rsidR="003641C9" w:rsidRPr="003641C9">
        <w:rPr>
          <w:rFonts w:ascii="Palatino Linotype" w:eastAsia="Palatino Linotype" w:hAnsi="Palatino Linotype" w:cs="Palatino Linotype"/>
        </w:rPr>
        <w:t xml:space="preserve"> </w:t>
      </w:r>
      <w:r w:rsidRPr="003641C9">
        <w:rPr>
          <w:rFonts w:ascii="Palatino Linotype" w:eastAsia="Palatino Linotype" w:hAnsi="Palatino Linotype" w:cs="Palatino Linotype"/>
        </w:rPr>
        <w:t xml:space="preserve"> Departamento de Infraestructura Deportiva; asimismo, que</w:t>
      </w:r>
      <w:r w:rsidR="00CA1829" w:rsidRPr="003641C9">
        <w:rPr>
          <w:rFonts w:ascii="Palatino Linotype" w:eastAsia="Palatino Linotype" w:hAnsi="Palatino Linotype" w:cs="Palatino Linotype"/>
        </w:rPr>
        <w:t>,</w:t>
      </w:r>
      <w:r w:rsidRPr="003641C9">
        <w:rPr>
          <w:rFonts w:ascii="Palatino Linotype" w:eastAsia="Palatino Linotype" w:hAnsi="Palatino Linotype" w:cs="Palatino Linotype"/>
        </w:rPr>
        <w:t xml:space="preserve"> para el desempeño de sus funciones, esta área, contará con un titular responsable de la conducción, supervisión y ejecución de las atribuciones que establece el artículo 449. </w:t>
      </w:r>
    </w:p>
    <w:p w:rsidR="00CA1829" w:rsidRPr="003641C9" w:rsidRDefault="00CA1829" w:rsidP="00CA1829">
      <w:pPr>
        <w:tabs>
          <w:tab w:val="left" w:pos="709"/>
        </w:tabs>
        <w:spacing w:before="240" w:after="240" w:line="360" w:lineRule="auto"/>
        <w:jc w:val="both"/>
        <w:rPr>
          <w:rFonts w:ascii="Palatino Linotype" w:eastAsia="Palatino Linotype" w:hAnsi="Palatino Linotype" w:cs="Palatino Linotype"/>
          <w:sz w:val="22"/>
          <w:szCs w:val="22"/>
        </w:rPr>
      </w:pPr>
      <w:r w:rsidRPr="003641C9">
        <w:rPr>
          <w:rFonts w:ascii="Palatino Linotype" w:eastAsia="Palatino Linotype" w:hAnsi="Palatino Linotype" w:cs="Palatino Linotype"/>
        </w:rPr>
        <w:t>Aunado a lo anterior, es conveniente referir que por cuanto hace a la información descrita en el numeral 5 referente a: “</w:t>
      </w:r>
      <w:r w:rsidRPr="003641C9">
        <w:rPr>
          <w:rFonts w:ascii="Palatino Linotype" w:eastAsia="Palatino Linotype" w:hAnsi="Palatino Linotype" w:cs="Palatino Linotype"/>
          <w:i/>
        </w:rPr>
        <w:t xml:space="preserve">Si </w:t>
      </w:r>
      <w:r w:rsidRPr="003641C9">
        <w:rPr>
          <w:rFonts w:ascii="Palatino Linotype" w:eastAsia="Palatino Linotype" w:hAnsi="Palatino Linotype" w:cs="Palatino Linotype"/>
          <w:i/>
          <w:sz w:val="22"/>
          <w:szCs w:val="22"/>
        </w:rPr>
        <w:t xml:space="preserve">está autorizado o facultado para despedir sin justificación a personal adscrito al Instituto Municipal de Cultura Física y Deporte” </w:t>
      </w:r>
      <w:r w:rsidRPr="003641C9">
        <w:rPr>
          <w:rFonts w:ascii="Palatino Linotype" w:eastAsia="Palatino Linotype" w:hAnsi="Palatino Linotype" w:cs="Palatino Linotype"/>
          <w:sz w:val="22"/>
          <w:szCs w:val="22"/>
        </w:rPr>
        <w:t xml:space="preserve">El Subdirector de Capital Humano manifestó: </w:t>
      </w:r>
    </w:p>
    <w:p w:rsidR="00CA1829" w:rsidRPr="003641C9" w:rsidRDefault="00CA1829" w:rsidP="00CA1829">
      <w:pPr>
        <w:tabs>
          <w:tab w:val="left" w:pos="709"/>
        </w:tabs>
        <w:spacing w:before="240" w:after="240" w:line="360" w:lineRule="auto"/>
        <w:jc w:val="both"/>
        <w:rPr>
          <w:rFonts w:ascii="Palatino Linotype" w:eastAsia="Palatino Linotype" w:hAnsi="Palatino Linotype" w:cs="Palatino Linotype"/>
          <w:sz w:val="22"/>
          <w:szCs w:val="22"/>
        </w:rPr>
      </w:pPr>
      <w:r w:rsidRPr="003641C9">
        <w:rPr>
          <w:rFonts w:ascii="Palatino Linotype" w:eastAsia="Palatino Linotype" w:hAnsi="Palatino Linotype" w:cs="Palatino Linotype"/>
          <w:noProof/>
          <w:lang w:val="es-MX"/>
        </w:rPr>
        <w:drawing>
          <wp:inline distT="0" distB="0" distL="0" distR="0" wp14:anchorId="10C1AD07" wp14:editId="7117A109">
            <wp:extent cx="5612130" cy="2295525"/>
            <wp:effectExtent l="0" t="0" r="7620" b="9525"/>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2130" cy="2295525"/>
                    </a:xfrm>
                    <a:prstGeom prst="rect">
                      <a:avLst/>
                    </a:prstGeom>
                    <a:ln/>
                  </pic:spPr>
                </pic:pic>
              </a:graphicData>
            </a:graphic>
          </wp:inline>
        </w:drawing>
      </w:r>
    </w:p>
    <w:p w:rsidR="00CA1829" w:rsidRPr="003641C9" w:rsidRDefault="00CA1829" w:rsidP="00CA1829">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 xml:space="preserve">Por consiguiente, del marco jurídico citado, se concluye que  se encuentran claramente establecidas las atribuciones del Jefe del Departamento de Infraestructura Deportiva; preceptos normativos que NO facultan al servidor público para autorizar el cobro de cuotas u otro tipo de prestaciones económicas a los usuarios, del mismo modo, no le corresponde incrementar tarifas para el uso y aprovechamiento de instalaciones deportivas; mucho menos, está autorizado para despedir injustificadamente al personal y por lo tanto, no existe Servidor Público que otorgue la autorización. </w: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Finalmente, en relación al requerimiento descrito en el numeral 7</w:t>
      </w:r>
      <w:r w:rsidR="003641C9" w:rsidRPr="003641C9">
        <w:rPr>
          <w:rFonts w:ascii="Palatino Linotype" w:eastAsia="Palatino Linotype" w:hAnsi="Palatino Linotype" w:cs="Palatino Linotype"/>
        </w:rPr>
        <w:t xml:space="preserve"> consistente en:</w:t>
      </w:r>
      <w:r w:rsidRPr="003641C9">
        <w:rPr>
          <w:rFonts w:ascii="Palatino Linotype" w:eastAsia="Palatino Linotype" w:hAnsi="Palatino Linotype" w:cs="Palatino Linotype"/>
        </w:rPr>
        <w:t xml:space="preserve"> </w:t>
      </w:r>
      <w:r w:rsidR="003641C9" w:rsidRPr="003641C9">
        <w:rPr>
          <w:rFonts w:ascii="Palatino Linotype" w:eastAsia="Palatino Linotype" w:hAnsi="Palatino Linotype" w:cs="Palatino Linotype"/>
        </w:rPr>
        <w:t>“</w:t>
      </w:r>
      <w:r w:rsidR="003641C9" w:rsidRPr="003641C9">
        <w:rPr>
          <w:rFonts w:ascii="Palatino Linotype" w:eastAsia="Palatino Linotype" w:hAnsi="Palatino Linotype" w:cs="Palatino Linotype"/>
          <w:i/>
          <w:sz w:val="22"/>
          <w:szCs w:val="22"/>
        </w:rPr>
        <w:t>Monto, fechas de los recursos económicos y el concepto de éstos que ha ingresado a esta dependencia por parte del Instituto Municipal de Cultura Física y Deporte, durante los años 2019, 2020, 2021 y 2022”</w:t>
      </w:r>
      <w:r w:rsidRPr="003641C9">
        <w:rPr>
          <w:rFonts w:ascii="Palatino Linotype" w:eastAsia="Palatino Linotype" w:hAnsi="Palatino Linotype" w:cs="Palatino Linotype"/>
        </w:rPr>
        <w:t>, el Servidor Púbico Habilitado de la Tesorería Municipal informó sobre los ingresos recaudados en los años 2019, 2020 y 2021 y por cuanto hace al del año 2022 manifestó que no cuenta con registro de ingresos de ese rubro, tal como se observa en la imagen que se inserta.</w: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5612130" cy="1971675"/>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2130" cy="1971675"/>
                    </a:xfrm>
                    <a:prstGeom prst="rect">
                      <a:avLst/>
                    </a:prstGeom>
                    <a:ln/>
                  </pic:spPr>
                </pic:pic>
              </a:graphicData>
            </a:graphic>
          </wp:inline>
        </w:drawing>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 xml:space="preserve">En este contexto, de la respuesta del Servidor Público Habilitado, se tiene que, si bien es cierto el Tesorero Municipal proporcionó la cantidad recaudada por cada ejercicio fiscal, y manifestó que durante el presente año no se cuenta con registro de ingresos por esos rubros, también lo es que, no proporcionó la fecha y el concepto de los ingresos recaudados en los años solicitados. </w:t>
      </w: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Sobre este punto</w:t>
      </w:r>
      <w:r w:rsidR="003641C9" w:rsidRPr="003641C9">
        <w:rPr>
          <w:rFonts w:ascii="Palatino Linotype" w:eastAsia="Palatino Linotype" w:hAnsi="Palatino Linotype" w:cs="Palatino Linotype"/>
        </w:rPr>
        <w:t xml:space="preserve">, es importante referir que el </w:t>
      </w:r>
      <w:r w:rsidRPr="003641C9">
        <w:rPr>
          <w:rFonts w:ascii="Palatino Linotype" w:eastAsia="Palatino Linotype" w:hAnsi="Palatino Linotype" w:cs="Palatino Linotype"/>
        </w:rPr>
        <w:t xml:space="preserve">Órgano Superior de Fiscalización de ésta entidad federativa, le asiste la facultad de emitir los </w:t>
      </w:r>
      <w:r w:rsidRPr="003641C9">
        <w:rPr>
          <w:rFonts w:ascii="Palatino Linotype" w:eastAsia="Palatino Linotype" w:hAnsi="Palatino Linotype" w:cs="Palatino Linotype"/>
          <w:b/>
        </w:rPr>
        <w:t>Lineamientos para la Integración del Informe Mensual</w:t>
      </w:r>
      <w:r w:rsidRPr="003641C9">
        <w:rPr>
          <w:rFonts w:ascii="Palatino Linotype" w:eastAsia="Palatino Linotype" w:hAnsi="Palatino Linotype" w:cs="Palatino Linotype"/>
        </w:rPr>
        <w:t xml:space="preserve">, en términos la fracción XI del artículo 8 de la Ley de Fiscalización Superior del Estado de México, que señalan: </w:t>
      </w:r>
    </w:p>
    <w:p w:rsidR="006A2C05" w:rsidRPr="003641C9" w:rsidRDefault="006A2C05">
      <w:pPr>
        <w:spacing w:line="360" w:lineRule="auto"/>
        <w:ind w:left="709" w:right="850"/>
        <w:jc w:val="both"/>
        <w:rPr>
          <w:rFonts w:ascii="Palatino Linotype" w:eastAsia="Palatino Linotype" w:hAnsi="Palatino Linotype" w:cs="Palatino Linotype"/>
          <w:b/>
          <w:i/>
        </w:rPr>
      </w:pPr>
    </w:p>
    <w:p w:rsidR="006A2C05" w:rsidRPr="003641C9" w:rsidRDefault="00CE07DA">
      <w:pPr>
        <w:spacing w:line="276" w:lineRule="auto"/>
        <w:ind w:left="709" w:right="850"/>
        <w:jc w:val="both"/>
        <w:rPr>
          <w:rFonts w:ascii="Palatino Linotype" w:eastAsia="Palatino Linotype" w:hAnsi="Palatino Linotype" w:cs="Palatino Linotype"/>
          <w:i/>
        </w:rPr>
      </w:pPr>
      <w:r w:rsidRPr="003641C9">
        <w:rPr>
          <w:rFonts w:ascii="Palatino Linotype" w:eastAsia="Palatino Linotype" w:hAnsi="Palatino Linotype" w:cs="Palatino Linotype"/>
          <w:b/>
          <w:i/>
        </w:rPr>
        <w:t>“Artículo 8.</w:t>
      </w:r>
      <w:r w:rsidRPr="003641C9">
        <w:rPr>
          <w:rFonts w:ascii="Palatino Linotype" w:eastAsia="Palatino Linotype" w:hAnsi="Palatino Linotype" w:cs="Palatino Linotype"/>
          <w:i/>
        </w:rPr>
        <w:t xml:space="preserve"> El Órgano Superior tendrá las siguientes atribuciones:</w:t>
      </w:r>
    </w:p>
    <w:p w:rsidR="006A2C05" w:rsidRPr="003641C9" w:rsidRDefault="00CE07DA">
      <w:pPr>
        <w:spacing w:line="276" w:lineRule="auto"/>
        <w:ind w:left="709" w:right="850"/>
        <w:jc w:val="both"/>
        <w:rPr>
          <w:rFonts w:ascii="Palatino Linotype" w:eastAsia="Palatino Linotype" w:hAnsi="Palatino Linotype" w:cs="Palatino Linotype"/>
          <w:i/>
        </w:rPr>
      </w:pPr>
      <w:r w:rsidRPr="003641C9">
        <w:rPr>
          <w:rFonts w:ascii="Palatino Linotype" w:eastAsia="Palatino Linotype" w:hAnsi="Palatino Linotype" w:cs="Palatino Linotype"/>
          <w:i/>
        </w:rPr>
        <w:t>(…)</w:t>
      </w:r>
    </w:p>
    <w:p w:rsidR="006A2C05" w:rsidRPr="003641C9" w:rsidRDefault="00CE07DA">
      <w:pPr>
        <w:spacing w:line="276" w:lineRule="auto"/>
        <w:ind w:left="709" w:right="850"/>
        <w:jc w:val="both"/>
        <w:rPr>
          <w:rFonts w:ascii="Palatino Linotype" w:eastAsia="Palatino Linotype" w:hAnsi="Palatino Linotype" w:cs="Palatino Linotype"/>
          <w:i/>
        </w:rPr>
      </w:pPr>
      <w:r w:rsidRPr="003641C9">
        <w:rPr>
          <w:rFonts w:ascii="Palatino Linotype" w:eastAsia="Palatino Linotype" w:hAnsi="Palatino Linotype" w:cs="Palatino Linotype"/>
          <w:b/>
          <w:i/>
        </w:rPr>
        <w:t>XI.</w:t>
      </w:r>
      <w:r w:rsidRPr="003641C9">
        <w:rPr>
          <w:rFonts w:ascii="Palatino Linotype" w:eastAsia="Palatino Linotype" w:hAnsi="Palatino Linotype" w:cs="Palatino Linotype"/>
          <w:i/>
        </w:rPr>
        <w:t xml:space="preserve"> Establecer los lineamientos, criterios, procedimientos, métodos y sistemas para las acciones de control y evaluación, necesarios para la fiscalización de las cuentas públicas y los informes trimestrales;</w:t>
      </w:r>
    </w:p>
    <w:p w:rsidR="006A2C05" w:rsidRPr="003641C9" w:rsidRDefault="00CE07DA">
      <w:pPr>
        <w:spacing w:line="276" w:lineRule="auto"/>
        <w:ind w:left="709" w:right="850"/>
        <w:jc w:val="both"/>
        <w:rPr>
          <w:rFonts w:ascii="Palatino Linotype" w:eastAsia="Palatino Linotype" w:hAnsi="Palatino Linotype" w:cs="Palatino Linotype"/>
          <w:b/>
          <w:i/>
        </w:rPr>
      </w:pPr>
      <w:r w:rsidRPr="003641C9">
        <w:rPr>
          <w:rFonts w:ascii="Palatino Linotype" w:eastAsia="Palatino Linotype" w:hAnsi="Palatino Linotype" w:cs="Palatino Linotype"/>
          <w:i/>
        </w:rPr>
        <w:t>(…)</w:t>
      </w:r>
      <w:r w:rsidR="003641C9" w:rsidRPr="003641C9">
        <w:rPr>
          <w:rFonts w:ascii="Palatino Linotype" w:eastAsia="Palatino Linotype" w:hAnsi="Palatino Linotype" w:cs="Palatino Linotype"/>
          <w:b/>
          <w:i/>
        </w:rPr>
        <w:t xml:space="preserve">” </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la estados financieros.</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Resulta preciso señalar que estos lineamientos son de observancia general para todos los servidores públicos de las entidades fiscalizables que desempeñen un </w:t>
      </w:r>
      <w:r w:rsidRPr="003641C9">
        <w:rPr>
          <w:rFonts w:ascii="Palatino Linotype" w:eastAsia="Palatino Linotype" w:hAnsi="Palatino Linotype" w:cs="Palatino Linotype"/>
        </w:rPr>
        <w:lastRenderedPageBreak/>
        <w:t>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276" w:lineRule="auto"/>
        <w:ind w:left="567" w:right="708"/>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rPr>
        <w:t>“</w:t>
      </w:r>
      <w:r w:rsidRPr="003641C9">
        <w:rPr>
          <w:rFonts w:ascii="Palatino Linotype" w:eastAsia="Palatino Linotype" w:hAnsi="Palatino Linotype" w:cs="Palatino Linotype"/>
          <w:b/>
          <w:i/>
          <w:sz w:val="22"/>
          <w:szCs w:val="22"/>
        </w:rPr>
        <w:t>Artículo 32.-</w:t>
      </w:r>
      <w:r w:rsidRPr="003641C9">
        <w:rPr>
          <w:rFonts w:ascii="Palatino Linotype" w:eastAsia="Palatino Linotype" w:hAnsi="Palatino Linotype" w:cs="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6A2C05" w:rsidRPr="003641C9" w:rsidRDefault="00CE07DA">
      <w:pPr>
        <w:spacing w:line="276" w:lineRule="auto"/>
        <w:ind w:left="567" w:right="708"/>
        <w:jc w:val="both"/>
        <w:rPr>
          <w:rFonts w:ascii="Palatino Linotype" w:eastAsia="Palatino Linotype" w:hAnsi="Palatino Linotype" w:cs="Palatino Linotype"/>
          <w:i/>
        </w:rPr>
      </w:pPr>
      <w:r w:rsidRPr="003641C9">
        <w:rPr>
          <w:rFonts w:ascii="Palatino Linotype" w:eastAsia="Palatino Linotype" w:hAnsi="Palatino Linotype" w:cs="Palatino Linotype"/>
          <w:b/>
          <w:i/>
          <w:sz w:val="22"/>
          <w:szCs w:val="22"/>
        </w:rPr>
        <w:t>Los Presidentes Municipales presentarán a la Legislatura las cuentas públicas anuales</w:t>
      </w:r>
      <w:r w:rsidRPr="003641C9">
        <w:rPr>
          <w:rFonts w:ascii="Palatino Linotype" w:eastAsia="Palatino Linotype" w:hAnsi="Palatino Linotype" w:cs="Palatino Linotype"/>
          <w:i/>
          <w:sz w:val="22"/>
          <w:szCs w:val="22"/>
        </w:rPr>
        <w:t xml:space="preserve"> de sus respectivos municipios, del ejercicio fiscal inmediato anterior, </w:t>
      </w:r>
      <w:r w:rsidRPr="003641C9">
        <w:rPr>
          <w:rFonts w:ascii="Palatino Linotype" w:eastAsia="Palatino Linotype" w:hAnsi="Palatino Linotype" w:cs="Palatino Linotype"/>
          <w:b/>
          <w:i/>
          <w:sz w:val="22"/>
          <w:szCs w:val="22"/>
        </w:rPr>
        <w:t>dentro de los quince primeros días del mes de marzo</w:t>
      </w:r>
      <w:r w:rsidRPr="003641C9">
        <w:rPr>
          <w:rFonts w:ascii="Palatino Linotype" w:eastAsia="Palatino Linotype" w:hAnsi="Palatino Linotype" w:cs="Palatino Linotype"/>
          <w:i/>
          <w:sz w:val="22"/>
          <w:szCs w:val="22"/>
        </w:rPr>
        <w:t xml:space="preserve"> de cada año; asimismo, </w:t>
      </w:r>
      <w:r w:rsidRPr="003641C9">
        <w:rPr>
          <w:rFonts w:ascii="Palatino Linotype" w:eastAsia="Palatino Linotype" w:hAnsi="Palatino Linotype" w:cs="Palatino Linotype"/>
          <w:b/>
          <w:i/>
          <w:sz w:val="22"/>
          <w:szCs w:val="22"/>
          <w:u w:val="single"/>
        </w:rPr>
        <w:t>los informes mensuales</w:t>
      </w:r>
      <w:r w:rsidRPr="003641C9">
        <w:rPr>
          <w:rFonts w:ascii="Palatino Linotype" w:eastAsia="Palatino Linotype" w:hAnsi="Palatino Linotype" w:cs="Palatino Linotype"/>
          <w:i/>
          <w:sz w:val="22"/>
          <w:szCs w:val="22"/>
        </w:rPr>
        <w:t xml:space="preserve"> los deberán presentar </w:t>
      </w:r>
      <w:r w:rsidRPr="003641C9">
        <w:rPr>
          <w:rFonts w:ascii="Palatino Linotype" w:eastAsia="Palatino Linotype" w:hAnsi="Palatino Linotype" w:cs="Palatino Linotype"/>
          <w:b/>
          <w:i/>
          <w:sz w:val="22"/>
          <w:szCs w:val="22"/>
          <w:u w:val="single"/>
        </w:rPr>
        <w:t>dentro de los veinte días posteriores al término del mes correspondiente.”</w:t>
      </w:r>
      <w:r w:rsidRPr="003641C9">
        <w:rPr>
          <w:rFonts w:ascii="Palatino Linotype" w:eastAsia="Palatino Linotype" w:hAnsi="Palatino Linotype" w:cs="Palatino Linotype"/>
          <w:b/>
          <w:i/>
          <w:u w:val="single"/>
        </w:rPr>
        <w:t xml:space="preserve"> </w:t>
      </w:r>
      <w:r w:rsidRPr="003641C9">
        <w:rPr>
          <w:rFonts w:ascii="Palatino Linotype" w:eastAsia="Palatino Linotype" w:hAnsi="Palatino Linotype" w:cs="Palatino Linotype"/>
          <w:i/>
        </w:rPr>
        <w:t>[Sic]</w:t>
      </w:r>
    </w:p>
    <w:p w:rsidR="006A2C05" w:rsidRPr="003641C9" w:rsidRDefault="006A2C05">
      <w:pPr>
        <w:spacing w:line="276"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La información </w:t>
      </w:r>
      <w:r w:rsidRPr="003641C9">
        <w:rPr>
          <w:rFonts w:ascii="Palatino Linotype" w:eastAsia="Palatino Linotype" w:hAnsi="Palatino Linotype" w:cs="Palatino Linotype"/>
          <w:b/>
        </w:rPr>
        <w:t>documental comprobatoria</w:t>
      </w:r>
      <w:r w:rsidRPr="003641C9">
        <w:rPr>
          <w:rFonts w:ascii="Palatino Linotype" w:eastAsia="Palatino Linotype" w:hAnsi="Palatino Linotype" w:cs="Palatino Linotype"/>
        </w:rPr>
        <w:t xml:space="preserve">, </w:t>
      </w:r>
      <w:r w:rsidRPr="003641C9">
        <w:rPr>
          <w:rFonts w:ascii="Palatino Linotype" w:eastAsia="Palatino Linotype" w:hAnsi="Palatino Linotype" w:cs="Palatino Linotype"/>
          <w:b/>
          <w:u w:val="single"/>
        </w:rPr>
        <w:t>deberá conservarse en los archivos de la entidad fiscalizada –Municipio-</w:t>
      </w:r>
      <w:r w:rsidRPr="003641C9">
        <w:rPr>
          <w:rFonts w:ascii="Palatino Linotype" w:eastAsia="Palatino Linotype" w:hAnsi="Palatino Linotype" w:cs="Palatino Linotype"/>
        </w:rPr>
        <w:t>, en original y debidamente integrada en términos de los lineamientos de referencia, pues son susceptibles de revisión directa por el órgano Superior de Fiscalización.</w:t>
      </w:r>
    </w:p>
    <w:p w:rsidR="006A2C05" w:rsidRPr="003641C9" w:rsidRDefault="006A2C05">
      <w:pPr>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Una vez puntualizado esto, se advierte un documento que colmaría lo solicitado por el particular de manera enunciativa más no limitativa, sería la póliza de ingresos, en la que se registran y anexan lo comprobantes de las operaciones del Ente Público por las cuales se haya elaborado un depósito en las cuentas bancarias, es decir, la póliza de ingresos se elabora cuando la operación implica una entrada de dinero al </w:t>
      </w:r>
      <w:r w:rsidRPr="003641C9">
        <w:rPr>
          <w:rFonts w:ascii="Palatino Linotype" w:eastAsia="Palatino Linotype" w:hAnsi="Palatino Linotype" w:cs="Palatino Linotype"/>
        </w:rPr>
        <w:lastRenderedPageBreak/>
        <w:t>banco a través de una ficha de depósito, transferencia, efectivo o especie, que de acuerdo a los Lineamientos para la Entrega del Informe Mensual Municipal de 2019 a 2022, se establece que el</w:t>
      </w:r>
      <w:r w:rsidRPr="003641C9">
        <w:rPr>
          <w:rFonts w:ascii="Palatino Linotype" w:eastAsia="Palatino Linotype" w:hAnsi="Palatino Linotype" w:cs="Palatino Linotype"/>
          <w:b/>
        </w:rPr>
        <w:t xml:space="preserve"> SUJETO OBLIGADO</w:t>
      </w:r>
      <w:r w:rsidRPr="003641C9">
        <w:rPr>
          <w:rFonts w:ascii="Palatino Linotype" w:eastAsia="Palatino Linotype" w:hAnsi="Palatino Linotype" w:cs="Palatino Linotype"/>
        </w:rPr>
        <w:t xml:space="preserve"> debe informar mensualmente, al Órgano de Fiscalización del Estado de México: </w:t>
      </w:r>
    </w:p>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drawing>
          <wp:inline distT="0" distB="0" distL="0" distR="0">
            <wp:extent cx="5612130" cy="4338955"/>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4338955"/>
                    </a:xfrm>
                    <a:prstGeom prst="rect">
                      <a:avLst/>
                    </a:prstGeom>
                    <a:ln/>
                  </pic:spPr>
                </pic:pic>
              </a:graphicData>
            </a:graphic>
          </wp:inline>
        </w:drawing>
      </w:r>
      <w:r w:rsidRPr="003641C9">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-38099</wp:posOffset>
                </wp:positionH>
                <wp:positionV relativeFrom="paragraph">
                  <wp:posOffset>3873500</wp:posOffset>
                </wp:positionV>
                <wp:extent cx="4251325" cy="593725"/>
                <wp:effectExtent l="0" t="0" r="0" b="0"/>
                <wp:wrapNone/>
                <wp:docPr id="31" name="Rectángulo 31"/>
                <wp:cNvGraphicFramePr/>
                <a:graphic xmlns:a="http://schemas.openxmlformats.org/drawingml/2006/main">
                  <a:graphicData uri="http://schemas.microsoft.com/office/word/2010/wordprocessingShape">
                    <wps:wsp>
                      <wps:cNvSpPr/>
                      <wps:spPr>
                        <a:xfrm>
                          <a:off x="3226688" y="3489488"/>
                          <a:ext cx="4238625" cy="581025"/>
                        </a:xfrm>
                        <a:prstGeom prst="rect">
                          <a:avLst/>
                        </a:prstGeom>
                        <a:noFill/>
                        <a:ln w="12700" cap="flat" cmpd="sng">
                          <a:solidFill>
                            <a:srgbClr val="FF0000"/>
                          </a:solidFill>
                          <a:prstDash val="solid"/>
                          <a:round/>
                          <a:headEnd type="none" w="sm" len="sm"/>
                          <a:tailEnd type="none" w="sm" len="sm"/>
                        </a:ln>
                      </wps:spPr>
                      <wps:txbx>
                        <w:txbxContent>
                          <w:p w:rsidR="00575505" w:rsidRDefault="0057550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id="Rectángulo 31" o:spid="_x0000_s1027" style="position:absolute;left:0;text-align:left;margin-left:-3pt;margin-top:305pt;width:334.75pt;height:4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" filled="f" strokecolor="red" strokeweight="1pt">
                <v:stroke startarrowwidth="narrow" startarrowlength="short" endarrowwidth="narrow" endarrowlength="short" joinstyle="round"/>
                <v:textbox inset="2.53958mm,2.53958mm,2.53958mm,2.53958mm">
                  <w:txbxContent>
                    <w:p w:rsidR="00575505" w:rsidRDefault="00575505">
                      <w:pPr>
                        <w:textDirection w:val="btLr"/>
                      </w:pPr>
                    </w:p>
                  </w:txbxContent>
                </v:textbox>
              </v:rect>
            </w:pict>
          </mc:Fallback>
        </mc:AlternateConten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lastRenderedPageBreak/>
        <w:drawing>
          <wp:inline distT="0" distB="0" distL="0" distR="0">
            <wp:extent cx="5612130" cy="451548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4515485"/>
                    </a:xfrm>
                    <a:prstGeom prst="rect">
                      <a:avLst/>
                    </a:prstGeom>
                    <a:ln/>
                  </pic:spPr>
                </pic:pic>
              </a:graphicData>
            </a:graphic>
          </wp:inline>
        </w:drawing>
      </w:r>
      <w:r w:rsidRPr="003641C9">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2717800</wp:posOffset>
                </wp:positionV>
                <wp:extent cx="5413375" cy="1774825"/>
                <wp:effectExtent l="0" t="0" r="0" b="0"/>
                <wp:wrapNone/>
                <wp:docPr id="30" name="Rectángulo 30"/>
                <wp:cNvGraphicFramePr/>
                <a:graphic xmlns:a="http://schemas.openxmlformats.org/drawingml/2006/main">
                  <a:graphicData uri="http://schemas.microsoft.com/office/word/2010/wordprocessingShape">
                    <wps:wsp>
                      <wps:cNvSpPr/>
                      <wps:spPr>
                        <a:xfrm>
                          <a:off x="2645663" y="2898938"/>
                          <a:ext cx="5400675" cy="1762125"/>
                        </a:xfrm>
                        <a:prstGeom prst="rect">
                          <a:avLst/>
                        </a:prstGeom>
                        <a:noFill/>
                        <a:ln w="12700" cap="flat" cmpd="sng">
                          <a:solidFill>
                            <a:srgbClr val="FF0000"/>
                          </a:solidFill>
                          <a:prstDash val="solid"/>
                          <a:round/>
                          <a:headEnd type="none" w="sm" len="sm"/>
                          <a:tailEnd type="none" w="sm" len="sm"/>
                        </a:ln>
                      </wps:spPr>
                      <wps:txbx>
                        <w:txbxContent>
                          <w:p w:rsidR="00575505" w:rsidRDefault="0057550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id="Rectángulo 30" o:spid="_x0000_s1028" style="position:absolute;left:0;text-align:left;margin-left:0;margin-top:214pt;width:426.25pt;height:1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" filled="f" strokecolor="red" strokeweight="1pt">
                <v:stroke startarrowwidth="narrow" startarrowlength="short" endarrowwidth="narrow" endarrowlength="short" joinstyle="round"/>
                <v:textbox inset="2.53958mm,2.53958mm,2.53958mm,2.53958mm">
                  <w:txbxContent>
                    <w:p w:rsidR="00575505" w:rsidRDefault="00575505">
                      <w:pPr>
                        <w:textDirection w:val="btLr"/>
                      </w:pPr>
                    </w:p>
                  </w:txbxContent>
                </v:textbox>
              </v:rect>
            </w:pict>
          </mc:Fallback>
        </mc:AlternateContent>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noProof/>
          <w:lang w:val="es-MX"/>
        </w:rPr>
        <w:lastRenderedPageBreak/>
        <w:drawing>
          <wp:inline distT="0" distB="0" distL="0" distR="0">
            <wp:extent cx="5612130" cy="267843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12130" cy="2678430"/>
                    </a:xfrm>
                    <a:prstGeom prst="rect">
                      <a:avLst/>
                    </a:prstGeom>
                    <a:ln/>
                  </pic:spPr>
                </pic:pic>
              </a:graphicData>
            </a:graphic>
          </wp:inline>
        </w:drawing>
      </w: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Acotado lo anterior, toda vez que la información solicitada forma parte de los archivos del </w:t>
      </w:r>
      <w:r w:rsidRPr="003641C9">
        <w:rPr>
          <w:rFonts w:ascii="Palatino Linotype" w:eastAsia="Palatino Linotype" w:hAnsi="Palatino Linotype" w:cs="Palatino Linotype"/>
          <w:b/>
        </w:rPr>
        <w:t xml:space="preserve">SUJETO OBLIGADO </w:t>
      </w:r>
      <w:r w:rsidRPr="003641C9">
        <w:rPr>
          <w:rFonts w:ascii="Palatino Linotype" w:eastAsia="Palatino Linotype" w:hAnsi="Palatino Linotype" w:cs="Palatino Linotype"/>
        </w:rPr>
        <w:t>por tratarse de información que por el ejercicio de sus funciones debe generar, administrar y poseer, el Pleno de este Instituto determina dable ordenar</w:t>
      </w:r>
      <w:r w:rsidR="003641C9" w:rsidRPr="003641C9">
        <w:rPr>
          <w:rFonts w:ascii="Palatino Linotype" w:eastAsia="Palatino Linotype" w:hAnsi="Palatino Linotype" w:cs="Palatino Linotype"/>
        </w:rPr>
        <w:t>, de ser procedente, en versión pública,</w:t>
      </w:r>
      <w:r w:rsidRPr="003641C9">
        <w:rPr>
          <w:rFonts w:ascii="Palatino Linotype" w:eastAsia="Palatino Linotype" w:hAnsi="Palatino Linotype" w:cs="Palatino Linotype"/>
        </w:rPr>
        <w:t xml:space="preserve"> el documento en el que consten las </w:t>
      </w:r>
      <w:r w:rsidRPr="003641C9">
        <w:rPr>
          <w:rFonts w:ascii="Palatino Linotype" w:eastAsia="Palatino Linotype" w:hAnsi="Palatino Linotype" w:cs="Palatino Linotype"/>
          <w:b/>
          <w:u w:val="single"/>
        </w:rPr>
        <w:t>fechas  y conceptos</w:t>
      </w:r>
      <w:r w:rsidRPr="003641C9">
        <w:rPr>
          <w:rFonts w:ascii="Palatino Linotype" w:eastAsia="Palatino Linotype" w:hAnsi="Palatino Linotype" w:cs="Palatino Linotype"/>
        </w:rPr>
        <w:t xml:space="preserve">  de los recursos económicos que ingresaron al Ayuntamiento de Tlalnepantla por parte del Instituto Municipal de Cultura Física y Deporte durante los años 2019, 2020 y 2021. </w:t>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QUINTO. Versión Pública. </w:t>
      </w:r>
      <w:r w:rsidRPr="003641C9">
        <w:rPr>
          <w:rFonts w:ascii="Palatino Linotype" w:eastAsia="Palatino Linotype" w:hAnsi="Palatino Linotype" w:cs="Palatino Linotype"/>
        </w:rPr>
        <w:t>Como fue debidamente apuntado, 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rPr>
        <w:t> </w:t>
      </w: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 3.</w:t>
      </w:r>
      <w:r w:rsidRPr="003641C9">
        <w:rPr>
          <w:rFonts w:ascii="Palatino Linotype" w:eastAsia="Palatino Linotype" w:hAnsi="Palatino Linotype" w:cs="Palatino Linotype"/>
          <w:i/>
          <w:sz w:val="22"/>
          <w:szCs w:val="22"/>
        </w:rPr>
        <w:t xml:space="preserve"> Para los efectos de la presente Ley se entenderá por:</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IX. Datos personales</w:t>
      </w:r>
      <w:r w:rsidRPr="003641C9">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XX. Información clasificada</w:t>
      </w:r>
      <w:r w:rsidRPr="003641C9">
        <w:rPr>
          <w:rFonts w:ascii="Palatino Linotype" w:eastAsia="Palatino Linotype" w:hAnsi="Palatino Linotype" w:cs="Palatino Linotype"/>
          <w:i/>
          <w:sz w:val="22"/>
          <w:szCs w:val="22"/>
        </w:rPr>
        <w:t>: Aquella considerada por la presente Ley como reservada o confidencial;</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XXI. Información confidencial</w:t>
      </w:r>
      <w:r w:rsidRPr="003641C9">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lastRenderedPageBreak/>
        <w:t>XXXII. Protección de Datos Personales</w:t>
      </w:r>
      <w:r w:rsidRPr="003641C9">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tabs>
          <w:tab w:val="left" w:pos="1276"/>
        </w:tabs>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XLV. Versión pública</w:t>
      </w:r>
      <w:r w:rsidRPr="003641C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Artículo 6</w:t>
      </w:r>
      <w:r w:rsidRPr="003641C9">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91.</w:t>
      </w:r>
      <w:r w:rsidRPr="003641C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641C9">
        <w:rPr>
          <w:rFonts w:ascii="Palatino Linotype" w:eastAsia="Palatino Linotype" w:hAnsi="Palatino Linotype" w:cs="Palatino Linotype"/>
          <w:i/>
          <w:sz w:val="22"/>
          <w:szCs w:val="22"/>
        </w:rPr>
        <w:br/>
        <w:t>(…)</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137.</w:t>
      </w:r>
      <w:r w:rsidRPr="003641C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A2C05" w:rsidRPr="003641C9" w:rsidRDefault="00CE07DA">
      <w:pPr>
        <w:spacing w:before="120" w:after="120"/>
        <w:ind w:left="851"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 Artículo 143.</w:t>
      </w:r>
      <w:r w:rsidRPr="003641C9">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6A2C05" w:rsidRPr="003641C9" w:rsidRDefault="00CE07DA">
      <w:pPr>
        <w:spacing w:before="120" w:after="120"/>
        <w:ind w:left="1134" w:right="902"/>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w:t>
      </w:r>
      <w:r w:rsidRPr="003641C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6A2C05" w:rsidRPr="003641C9" w:rsidRDefault="00CE07DA">
      <w:pPr>
        <w:spacing w:before="240" w:after="240" w:line="360" w:lineRule="auto"/>
        <w:ind w:right="50"/>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deberá proceder a testar los datos personales que se encuentre contenidos </w:t>
      </w:r>
      <w:r w:rsidRPr="003641C9">
        <w:rPr>
          <w:rFonts w:ascii="Palatino Linotype" w:eastAsia="Palatino Linotype" w:hAnsi="Palatino Linotype" w:cs="Palatino Linotype"/>
        </w:rPr>
        <w:lastRenderedPageBreak/>
        <w:t xml:space="preserve">en los documentos a entregar para satisfacer el derecho de acceso a la información pública del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6A2C05" w:rsidRPr="003641C9" w:rsidRDefault="00CE07DA">
      <w:pPr>
        <w:spacing w:before="240" w:after="240" w:line="360" w:lineRule="auto"/>
        <w:ind w:right="50"/>
        <w:jc w:val="both"/>
        <w:rPr>
          <w:rFonts w:ascii="Palatino Linotype" w:eastAsia="Palatino Linotype" w:hAnsi="Palatino Linotype" w:cs="Palatino Linotype"/>
        </w:rPr>
      </w:pPr>
      <w:r w:rsidRPr="003641C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6A2C05" w:rsidRPr="003641C9" w:rsidRDefault="00CE07DA">
      <w:pPr>
        <w:spacing w:before="240" w:after="240" w:line="360" w:lineRule="auto"/>
        <w:ind w:right="50"/>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sidRPr="003641C9">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6A2C05" w:rsidRPr="003641C9" w:rsidRDefault="00CE07DA">
      <w:pPr>
        <w:spacing w:before="120" w:after="120"/>
        <w:ind w:left="851"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49.</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Los Comités de Transparencia</w:t>
      </w:r>
      <w:r w:rsidRPr="003641C9">
        <w:rPr>
          <w:rFonts w:ascii="Palatino Linotype" w:eastAsia="Palatino Linotype" w:hAnsi="Palatino Linotype" w:cs="Palatino Linotype"/>
          <w:i/>
          <w:sz w:val="22"/>
          <w:szCs w:val="22"/>
        </w:rPr>
        <w:t xml:space="preserve"> tendrán las siguientes atribuciones:</w:t>
      </w:r>
    </w:p>
    <w:p w:rsidR="006A2C05" w:rsidRPr="003641C9" w:rsidRDefault="00CE07DA">
      <w:pPr>
        <w:spacing w:before="120" w:after="120"/>
        <w:ind w:left="993"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VIII. Aprobar, modificar o revocar la clasificación de la información</w:t>
      </w:r>
      <w:r w:rsidRPr="003641C9">
        <w:rPr>
          <w:rFonts w:ascii="Palatino Linotype" w:eastAsia="Palatino Linotype" w:hAnsi="Palatino Linotype" w:cs="Palatino Linotype"/>
          <w:i/>
          <w:sz w:val="22"/>
          <w:szCs w:val="22"/>
        </w:rPr>
        <w:t>…”</w:t>
      </w:r>
    </w:p>
    <w:p w:rsidR="006A2C05" w:rsidRPr="003641C9" w:rsidRDefault="00CE07DA">
      <w:pPr>
        <w:spacing w:before="120" w:after="120"/>
        <w:ind w:left="851"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 53.</w:t>
      </w:r>
      <w:r w:rsidRPr="003641C9">
        <w:rPr>
          <w:rFonts w:ascii="Palatino Linotype" w:eastAsia="Palatino Linotype" w:hAnsi="Palatino Linotype" w:cs="Palatino Linotype"/>
          <w:i/>
          <w:sz w:val="22"/>
          <w:szCs w:val="22"/>
        </w:rPr>
        <w:t xml:space="preserve"> Las </w:t>
      </w:r>
      <w:r w:rsidRPr="003641C9">
        <w:rPr>
          <w:rFonts w:ascii="Palatino Linotype" w:eastAsia="Palatino Linotype" w:hAnsi="Palatino Linotype" w:cs="Palatino Linotype"/>
          <w:b/>
          <w:i/>
          <w:sz w:val="22"/>
          <w:szCs w:val="22"/>
        </w:rPr>
        <w:t>Unidades de Transparencia</w:t>
      </w:r>
      <w:r w:rsidRPr="003641C9">
        <w:rPr>
          <w:rFonts w:ascii="Palatino Linotype" w:eastAsia="Palatino Linotype" w:hAnsi="Palatino Linotype" w:cs="Palatino Linotype"/>
          <w:i/>
          <w:sz w:val="22"/>
          <w:szCs w:val="22"/>
        </w:rPr>
        <w:t xml:space="preserve"> tendrán las siguientes </w:t>
      </w:r>
      <w:r w:rsidRPr="003641C9">
        <w:rPr>
          <w:rFonts w:ascii="Palatino Linotype" w:eastAsia="Palatino Linotype" w:hAnsi="Palatino Linotype" w:cs="Palatino Linotype"/>
          <w:b/>
          <w:i/>
          <w:sz w:val="22"/>
          <w:szCs w:val="22"/>
        </w:rPr>
        <w:t>funciones</w:t>
      </w:r>
      <w:r w:rsidRPr="003641C9">
        <w:rPr>
          <w:rFonts w:ascii="Palatino Linotype" w:eastAsia="Palatino Linotype" w:hAnsi="Palatino Linotype" w:cs="Palatino Linotype"/>
          <w:i/>
          <w:sz w:val="22"/>
          <w:szCs w:val="22"/>
        </w:rPr>
        <w:t>:</w:t>
      </w:r>
    </w:p>
    <w:p w:rsidR="006A2C05" w:rsidRPr="003641C9" w:rsidRDefault="00CE07DA">
      <w:pPr>
        <w:spacing w:before="120" w:after="120"/>
        <w:ind w:left="993"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X. Presentar ante el Comité, el proyecto de clasificación de información</w:t>
      </w:r>
      <w:r w:rsidRPr="003641C9">
        <w:rPr>
          <w:rFonts w:ascii="Palatino Linotype" w:eastAsia="Palatino Linotype" w:hAnsi="Palatino Linotype" w:cs="Palatino Linotype"/>
          <w:i/>
          <w:sz w:val="22"/>
          <w:szCs w:val="22"/>
        </w:rPr>
        <w:t xml:space="preserve">…” </w:t>
      </w:r>
    </w:p>
    <w:p w:rsidR="006A2C05" w:rsidRPr="003641C9" w:rsidRDefault="00CE07DA">
      <w:pPr>
        <w:spacing w:before="120" w:after="120"/>
        <w:ind w:left="851"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“Artículo 59.</w:t>
      </w:r>
      <w:r w:rsidRPr="003641C9">
        <w:rPr>
          <w:rFonts w:ascii="Palatino Linotype" w:eastAsia="Palatino Linotype" w:hAnsi="Palatino Linotype" w:cs="Palatino Linotype"/>
          <w:i/>
          <w:sz w:val="22"/>
          <w:szCs w:val="22"/>
        </w:rPr>
        <w:t xml:space="preserve"> Los </w:t>
      </w:r>
      <w:r w:rsidRPr="003641C9">
        <w:rPr>
          <w:rFonts w:ascii="Palatino Linotype" w:eastAsia="Palatino Linotype" w:hAnsi="Palatino Linotype" w:cs="Palatino Linotype"/>
          <w:b/>
          <w:i/>
          <w:sz w:val="22"/>
          <w:szCs w:val="22"/>
        </w:rPr>
        <w:t>servidores públicos habilitados</w:t>
      </w:r>
      <w:r w:rsidRPr="003641C9">
        <w:rPr>
          <w:rFonts w:ascii="Palatino Linotype" w:eastAsia="Palatino Linotype" w:hAnsi="Palatino Linotype" w:cs="Palatino Linotype"/>
          <w:i/>
          <w:sz w:val="22"/>
          <w:szCs w:val="22"/>
        </w:rPr>
        <w:t xml:space="preserve"> tendrán las </w:t>
      </w:r>
      <w:r w:rsidRPr="003641C9">
        <w:rPr>
          <w:rFonts w:ascii="Palatino Linotype" w:eastAsia="Palatino Linotype" w:hAnsi="Palatino Linotype" w:cs="Palatino Linotype"/>
          <w:b/>
          <w:i/>
          <w:sz w:val="22"/>
          <w:szCs w:val="22"/>
        </w:rPr>
        <w:t>funciones</w:t>
      </w:r>
      <w:r w:rsidRPr="003641C9">
        <w:rPr>
          <w:rFonts w:ascii="Palatino Linotype" w:eastAsia="Palatino Linotype" w:hAnsi="Palatino Linotype" w:cs="Palatino Linotype"/>
          <w:i/>
          <w:sz w:val="22"/>
          <w:szCs w:val="22"/>
        </w:rPr>
        <w:t xml:space="preserve"> siguientes:</w:t>
      </w:r>
    </w:p>
    <w:p w:rsidR="006A2C05" w:rsidRPr="003641C9" w:rsidRDefault="00CE07DA">
      <w:pPr>
        <w:spacing w:before="120" w:after="120"/>
        <w:ind w:left="851" w:right="900"/>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641C9">
        <w:rPr>
          <w:rFonts w:ascii="Palatino Linotype" w:eastAsia="Palatino Linotype" w:hAnsi="Palatino Linotype" w:cs="Palatino Linotype"/>
          <w:i/>
          <w:sz w:val="22"/>
          <w:szCs w:val="22"/>
        </w:rPr>
        <w:t>, la cual tendrá los fundamentos y argumentos en que se basa dicha propuesta…”</w:t>
      </w:r>
    </w:p>
    <w:p w:rsidR="006A2C05" w:rsidRPr="003641C9" w:rsidRDefault="006A2C05">
      <w:pPr>
        <w:spacing w:before="120"/>
        <w:ind w:left="992" w:right="1043"/>
        <w:jc w:val="both"/>
        <w:rPr>
          <w:rFonts w:ascii="Palatino Linotype" w:eastAsia="Palatino Linotype" w:hAnsi="Palatino Linotype" w:cs="Palatino Linotype"/>
          <w:i/>
          <w:sz w:val="22"/>
          <w:szCs w:val="22"/>
        </w:rPr>
      </w:pPr>
    </w:p>
    <w:p w:rsidR="006A2C05" w:rsidRPr="003641C9" w:rsidRDefault="00CE07DA">
      <w:pPr>
        <w:spacing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A2C05" w:rsidRPr="003641C9" w:rsidRDefault="00CE07DA">
      <w:pPr>
        <w:spacing w:before="240" w:after="240" w:line="360" w:lineRule="auto"/>
        <w:ind w:right="49"/>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deberá emitir el acuerdo de clasificación de información debidamente </w:t>
      </w:r>
      <w:r w:rsidRPr="003641C9">
        <w:rPr>
          <w:rFonts w:ascii="Palatino Linotype" w:eastAsia="Palatino Linotype" w:hAnsi="Palatino Linotype" w:cs="Palatino Linotype"/>
        </w:rPr>
        <w:lastRenderedPageBreak/>
        <w:t>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b/>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Artículo 132.</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La clasificación de la información se llevará a cabo en el momento en que:</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II.</w:t>
      </w:r>
      <w:r w:rsidRPr="003641C9">
        <w:rPr>
          <w:rFonts w:ascii="Palatino Linotype" w:eastAsia="Palatino Linotype" w:hAnsi="Palatino Linotype" w:cs="Palatino Linotype"/>
          <w:i/>
          <w:sz w:val="22"/>
          <w:szCs w:val="22"/>
        </w:rPr>
        <w:t xml:space="preserve"> Se determine mediante resolución de autoridad competente; o</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III</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Se generen versiones públicas para dar cumplimiento a las obligaciones de transparencia previstas en esta Ley</w:t>
      </w:r>
      <w:r w:rsidRPr="003641C9">
        <w:rPr>
          <w:rFonts w:ascii="Palatino Linotype" w:eastAsia="Palatino Linotype" w:hAnsi="Palatino Linotype" w:cs="Palatino Linotype"/>
          <w:i/>
          <w:sz w:val="22"/>
          <w:szCs w:val="22"/>
        </w:rPr>
        <w:t>.”</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w:t>
      </w:r>
      <w:r w:rsidRPr="003641C9">
        <w:rPr>
          <w:rFonts w:ascii="Palatino Linotype" w:eastAsia="Palatino Linotype" w:hAnsi="Palatino Linotype" w:cs="Palatino Linotype"/>
          <w:b/>
          <w:i/>
          <w:sz w:val="22"/>
          <w:szCs w:val="22"/>
        </w:rPr>
        <w:t>Segundo.-</w:t>
      </w:r>
      <w:r w:rsidRPr="003641C9">
        <w:rPr>
          <w:rFonts w:ascii="Palatino Linotype" w:eastAsia="Palatino Linotype" w:hAnsi="Palatino Linotype" w:cs="Palatino Linotype"/>
          <w:i/>
          <w:sz w:val="22"/>
          <w:szCs w:val="22"/>
        </w:rPr>
        <w:t xml:space="preserve"> Para efectos de los presentes Lineamientos Generales, se entenderá por:</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XVIII.</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Versión pública:</w:t>
      </w:r>
      <w:r w:rsidRPr="003641C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641C9">
        <w:rPr>
          <w:rFonts w:ascii="Palatino Linotype" w:eastAsia="Palatino Linotype" w:hAnsi="Palatino Linotype" w:cs="Palatino Linotype"/>
          <w:b/>
          <w:i/>
          <w:sz w:val="22"/>
          <w:szCs w:val="22"/>
        </w:rPr>
        <w:t>fundando y motivando la</w:t>
      </w:r>
      <w:r w:rsidRPr="003641C9">
        <w:rPr>
          <w:rFonts w:ascii="Palatino Linotype" w:eastAsia="Palatino Linotype" w:hAnsi="Palatino Linotype" w:cs="Palatino Linotype"/>
          <w:i/>
          <w:sz w:val="22"/>
          <w:szCs w:val="22"/>
        </w:rPr>
        <w:t xml:space="preserve"> reserva o </w:t>
      </w:r>
      <w:r w:rsidRPr="003641C9">
        <w:rPr>
          <w:rFonts w:ascii="Palatino Linotype" w:eastAsia="Palatino Linotype" w:hAnsi="Palatino Linotype" w:cs="Palatino Linotype"/>
          <w:b/>
          <w:i/>
          <w:sz w:val="22"/>
          <w:szCs w:val="22"/>
        </w:rPr>
        <w:t>confidencialidad</w:t>
      </w:r>
      <w:r w:rsidRPr="003641C9">
        <w:rPr>
          <w:rFonts w:ascii="Palatino Linotype" w:eastAsia="Palatino Linotype" w:hAnsi="Palatino Linotype" w:cs="Palatino Linotype"/>
          <w:i/>
          <w:sz w:val="22"/>
          <w:szCs w:val="22"/>
        </w:rPr>
        <w:t>, a través de la resolución que para tal efecto emita el Comité de Transparencia.</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Cuarto.</w:t>
      </w:r>
      <w:r w:rsidRPr="003641C9">
        <w:rPr>
          <w:rFonts w:ascii="Palatino Linotype" w:eastAsia="Palatino Linotype" w:hAnsi="Palatino Linotype" w:cs="Palatino Linotype"/>
          <w:i/>
          <w:sz w:val="22"/>
          <w:szCs w:val="22"/>
        </w:rPr>
        <w:t xml:space="preserve"> </w:t>
      </w:r>
      <w:r w:rsidRPr="003641C9">
        <w:rPr>
          <w:rFonts w:ascii="Palatino Linotype" w:eastAsia="Palatino Linotype" w:hAnsi="Palatino Linotype" w:cs="Palatino Linotype"/>
          <w:b/>
          <w:i/>
          <w:sz w:val="22"/>
          <w:szCs w:val="22"/>
        </w:rPr>
        <w:t>Para clasificar la información como</w:t>
      </w:r>
      <w:r w:rsidRPr="003641C9">
        <w:rPr>
          <w:rFonts w:ascii="Palatino Linotype" w:eastAsia="Palatino Linotype" w:hAnsi="Palatino Linotype" w:cs="Palatino Linotype"/>
          <w:i/>
          <w:sz w:val="22"/>
          <w:szCs w:val="22"/>
        </w:rPr>
        <w:t xml:space="preserve"> reservada o </w:t>
      </w:r>
      <w:r w:rsidRPr="003641C9">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641C9">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Quinto.</w:t>
      </w:r>
      <w:r w:rsidRPr="003641C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w:t>
      </w:r>
      <w:r w:rsidRPr="003641C9">
        <w:rPr>
          <w:rFonts w:ascii="Palatino Linotype" w:eastAsia="Palatino Linotype" w:hAnsi="Palatino Linotype" w:cs="Palatino Linotype"/>
          <w:i/>
          <w:sz w:val="22"/>
          <w:szCs w:val="22"/>
        </w:rPr>
        <w:lastRenderedPageBreak/>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Sexto.</w:t>
      </w:r>
      <w:r w:rsidRPr="003641C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Séptimo.</w:t>
      </w:r>
      <w:r w:rsidRPr="003641C9">
        <w:rPr>
          <w:rFonts w:ascii="Palatino Linotype" w:eastAsia="Palatino Linotype" w:hAnsi="Palatino Linotype" w:cs="Palatino Linotype"/>
          <w:i/>
          <w:sz w:val="22"/>
          <w:szCs w:val="22"/>
        </w:rPr>
        <w:t xml:space="preserve"> La clasificación de la información se llevará a cabo en el momento en que:</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w:t>
      </w:r>
      <w:r w:rsidRPr="003641C9">
        <w:rPr>
          <w:rFonts w:ascii="Palatino Linotype" w:eastAsia="Palatino Linotype" w:hAnsi="Palatino Linotype" w:cs="Palatino Linotype"/>
          <w:i/>
          <w:sz w:val="22"/>
          <w:szCs w:val="22"/>
        </w:rPr>
        <w:t xml:space="preserve"> Se reciba una solicitud de acceso a la información;</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II.</w:t>
      </w:r>
      <w:r w:rsidRPr="003641C9">
        <w:rPr>
          <w:rFonts w:ascii="Palatino Linotype" w:eastAsia="Palatino Linotype" w:hAnsi="Palatino Linotype" w:cs="Palatino Linotype"/>
          <w:i/>
          <w:sz w:val="22"/>
          <w:szCs w:val="22"/>
        </w:rPr>
        <w:t xml:space="preserve"> Se determine mediante resolución de autoridad competente, o</w:t>
      </w:r>
    </w:p>
    <w:p w:rsidR="006A2C05" w:rsidRPr="003641C9" w:rsidRDefault="00CE07DA">
      <w:pPr>
        <w:tabs>
          <w:tab w:val="left" w:pos="8222"/>
        </w:tabs>
        <w:spacing w:before="120" w:after="120"/>
        <w:ind w:left="1134"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III.</w:t>
      </w:r>
      <w:r w:rsidRPr="003641C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Octavo.</w:t>
      </w:r>
      <w:r w:rsidRPr="003641C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 xml:space="preserve">Tratándose de información clasificada como confidencial respecto de la cual se haya determinado su conservación permanente por tener valor histórico, ésta </w:t>
      </w:r>
      <w:r w:rsidRPr="003641C9">
        <w:rPr>
          <w:rFonts w:ascii="Palatino Linotype" w:eastAsia="Palatino Linotype" w:hAnsi="Palatino Linotype" w:cs="Palatino Linotype"/>
          <w:i/>
          <w:sz w:val="22"/>
          <w:szCs w:val="22"/>
        </w:rPr>
        <w:lastRenderedPageBreak/>
        <w:t>conservará tal carácter de conformidad con la normativa aplicable en materia de archivos.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Noveno.</w:t>
      </w:r>
      <w:r w:rsidRPr="003641C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Décimo.</w:t>
      </w:r>
      <w:r w:rsidRPr="003641C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6A2C05" w:rsidRPr="003641C9" w:rsidRDefault="00CE07DA">
      <w:pPr>
        <w:tabs>
          <w:tab w:val="left" w:pos="8222"/>
        </w:tabs>
        <w:spacing w:before="120" w:after="120"/>
        <w:ind w:left="851" w:right="1134"/>
        <w:jc w:val="both"/>
        <w:rPr>
          <w:rFonts w:ascii="Palatino Linotype" w:eastAsia="Palatino Linotype" w:hAnsi="Palatino Linotype" w:cs="Palatino Linotype"/>
          <w:i/>
          <w:sz w:val="22"/>
          <w:szCs w:val="22"/>
        </w:rPr>
      </w:pPr>
      <w:r w:rsidRPr="003641C9">
        <w:rPr>
          <w:rFonts w:ascii="Palatino Linotype" w:eastAsia="Palatino Linotype" w:hAnsi="Palatino Linotype" w:cs="Palatino Linotype"/>
          <w:b/>
          <w:i/>
          <w:sz w:val="22"/>
          <w:szCs w:val="22"/>
        </w:rPr>
        <w:t>Décimo primero.</w:t>
      </w:r>
      <w:r w:rsidRPr="003641C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3"/>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3"/>
        <w:gridCol w:w="3421"/>
        <w:gridCol w:w="968"/>
        <w:gridCol w:w="3446"/>
      </w:tblGrid>
      <w:tr w:rsidR="006A2C05" w:rsidRPr="003641C9" w:rsidTr="006A2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6A2C05" w:rsidRPr="003641C9" w:rsidRDefault="00CE07DA">
            <w:pPr>
              <w:jc w:val="center"/>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Parcial</w:t>
            </w:r>
          </w:p>
        </w:tc>
        <w:tc>
          <w:tcPr>
            <w:tcW w:w="4414" w:type="dxa"/>
            <w:gridSpan w:val="2"/>
          </w:tcPr>
          <w:p w:rsidR="006A2C05" w:rsidRPr="003641C9" w:rsidRDefault="00CE07DA">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Total</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center"/>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Concepto</w:t>
            </w:r>
          </w:p>
        </w:tc>
        <w:tc>
          <w:tcPr>
            <w:tcW w:w="3421" w:type="dxa"/>
          </w:tcPr>
          <w:p w:rsidR="006A2C05" w:rsidRPr="003641C9" w:rsidRDefault="00CE07D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Dónde</w:t>
            </w:r>
          </w:p>
        </w:tc>
        <w:tc>
          <w:tcPr>
            <w:tcW w:w="968" w:type="dxa"/>
          </w:tcPr>
          <w:p w:rsidR="006A2C05" w:rsidRPr="003641C9" w:rsidRDefault="00CE07D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Concepto</w:t>
            </w:r>
          </w:p>
        </w:tc>
        <w:tc>
          <w:tcPr>
            <w:tcW w:w="3446" w:type="dxa"/>
          </w:tcPr>
          <w:p w:rsidR="006A2C05" w:rsidRPr="003641C9" w:rsidRDefault="00CE07D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Dónde</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8828" w:type="dxa"/>
            <w:gridSpan w:val="4"/>
          </w:tcPr>
          <w:p w:rsidR="006A2C05" w:rsidRPr="003641C9" w:rsidRDefault="00CE07DA">
            <w:pPr>
              <w:jc w:val="center"/>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Sello oficial o logotipo del sujeto obligado</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Fecha de clasificación</w:t>
            </w:r>
          </w:p>
        </w:tc>
        <w:tc>
          <w:tcPr>
            <w:tcW w:w="3421"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Fecha de clasificación</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Área</w:t>
            </w:r>
          </w:p>
        </w:tc>
        <w:tc>
          <w:tcPr>
            <w:tcW w:w="3421"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área del cual es titular quien clasifica.</w:t>
            </w: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Área</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área de la cual es el titular quien clasifica.</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Información reservada</w:t>
            </w:r>
          </w:p>
        </w:tc>
        <w:tc>
          <w:tcPr>
            <w:tcW w:w="3421"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w:t>
            </w:r>
            <w:r w:rsidRPr="003641C9">
              <w:rPr>
                <w:rFonts w:ascii="Palatino Linotype" w:eastAsia="Palatino Linotype" w:hAnsi="Palatino Linotype" w:cs="Palatino Linotype"/>
                <w:sz w:val="12"/>
                <w:szCs w:val="12"/>
              </w:rPr>
              <w:lastRenderedPageBreak/>
              <w:t>lo conforman. Si el documento no contiene información reservada, se tachará este apartado.</w:t>
            </w: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lastRenderedPageBreak/>
              <w:t>Reservado</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Leyenda de información RESERVADA.</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Fundamento legal</w:t>
            </w:r>
          </w:p>
        </w:tc>
        <w:tc>
          <w:tcPr>
            <w:tcW w:w="3421"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Periodo de reserva</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Ampliación del periodo de reserva</w:t>
            </w:r>
          </w:p>
        </w:tc>
        <w:tc>
          <w:tcPr>
            <w:tcW w:w="3421"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Fundamento legal</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Confidencial</w:t>
            </w:r>
          </w:p>
        </w:tc>
        <w:tc>
          <w:tcPr>
            <w:tcW w:w="3421"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Ampliación del periodo de reserva</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Fundamento legal</w:t>
            </w:r>
          </w:p>
        </w:tc>
        <w:tc>
          <w:tcPr>
            <w:tcW w:w="3421"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Confidencial</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Leyenda de información CONFIDENCIAL.</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del titular del área</w:t>
            </w:r>
          </w:p>
        </w:tc>
        <w:tc>
          <w:tcPr>
            <w:tcW w:w="3421"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autógrafa de quien clasifica.</w:t>
            </w: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Fundamento legal</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Fecha de desclasificación</w:t>
            </w:r>
          </w:p>
        </w:tc>
        <w:tc>
          <w:tcPr>
            <w:tcW w:w="3421"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anotará la fecha en que se desclasifica el documento.</w:t>
            </w: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Rúbrica del titular del área</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autógrafa de quien clasifica.</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CE07DA">
            <w:pPr>
              <w:jc w:val="both"/>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y cargo del servidor público</w:t>
            </w:r>
          </w:p>
        </w:tc>
        <w:tc>
          <w:tcPr>
            <w:tcW w:w="3421"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autógrafa de quien desclasifica.</w:t>
            </w: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Fecha de desclasificación</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Se anotará la fecha en que se desclasifica.</w:t>
            </w:r>
          </w:p>
        </w:tc>
      </w:tr>
      <w:tr w:rsidR="006A2C05" w:rsidRPr="003641C9" w:rsidTr="006A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6A2C05">
            <w:pPr>
              <w:jc w:val="both"/>
              <w:rPr>
                <w:rFonts w:ascii="Palatino Linotype" w:eastAsia="Palatino Linotype" w:hAnsi="Palatino Linotype" w:cs="Palatino Linotype"/>
                <w:sz w:val="12"/>
                <w:szCs w:val="12"/>
              </w:rPr>
            </w:pPr>
          </w:p>
        </w:tc>
        <w:tc>
          <w:tcPr>
            <w:tcW w:w="3421" w:type="dxa"/>
          </w:tcPr>
          <w:p w:rsidR="006A2C05" w:rsidRPr="003641C9" w:rsidRDefault="006A2C05">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Partes o secciones reservadas o confidenciales</w:t>
            </w:r>
          </w:p>
        </w:tc>
        <w:tc>
          <w:tcPr>
            <w:tcW w:w="3446" w:type="dxa"/>
          </w:tcPr>
          <w:p w:rsidR="006A2C05" w:rsidRPr="003641C9" w:rsidRDefault="00CE07D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6A2C05" w:rsidRPr="003641C9" w:rsidTr="006A2C05">
        <w:tc>
          <w:tcPr>
            <w:cnfStyle w:val="001000000000" w:firstRow="0" w:lastRow="0" w:firstColumn="1" w:lastColumn="0" w:oddVBand="0" w:evenVBand="0" w:oddHBand="0" w:evenHBand="0" w:firstRowFirstColumn="0" w:firstRowLastColumn="0" w:lastRowFirstColumn="0" w:lastRowLastColumn="0"/>
            <w:tcW w:w="993" w:type="dxa"/>
          </w:tcPr>
          <w:p w:rsidR="006A2C05" w:rsidRPr="003641C9" w:rsidRDefault="006A2C05">
            <w:pPr>
              <w:jc w:val="both"/>
              <w:rPr>
                <w:rFonts w:ascii="Palatino Linotype" w:eastAsia="Palatino Linotype" w:hAnsi="Palatino Linotype" w:cs="Palatino Linotype"/>
                <w:sz w:val="12"/>
                <w:szCs w:val="12"/>
              </w:rPr>
            </w:pPr>
          </w:p>
        </w:tc>
        <w:tc>
          <w:tcPr>
            <w:tcW w:w="3421" w:type="dxa"/>
          </w:tcPr>
          <w:p w:rsidR="006A2C05" w:rsidRPr="003641C9" w:rsidRDefault="006A2C05">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641C9">
              <w:rPr>
                <w:rFonts w:ascii="Palatino Linotype" w:eastAsia="Palatino Linotype" w:hAnsi="Palatino Linotype" w:cs="Palatino Linotype"/>
                <w:b/>
                <w:sz w:val="12"/>
                <w:szCs w:val="12"/>
              </w:rPr>
              <w:t>Rúbrica y cargo del servidor público</w:t>
            </w:r>
          </w:p>
        </w:tc>
        <w:tc>
          <w:tcPr>
            <w:tcW w:w="3446" w:type="dxa"/>
          </w:tcPr>
          <w:p w:rsidR="006A2C05" w:rsidRPr="003641C9" w:rsidRDefault="00CE07D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641C9">
              <w:rPr>
                <w:rFonts w:ascii="Palatino Linotype" w:eastAsia="Palatino Linotype" w:hAnsi="Palatino Linotype" w:cs="Palatino Linotype"/>
                <w:sz w:val="12"/>
                <w:szCs w:val="12"/>
              </w:rPr>
              <w:t>Rúbrica autógrafa de quien desclasifica.</w:t>
            </w:r>
          </w:p>
        </w:tc>
      </w:tr>
    </w:tbl>
    <w:p w:rsidR="006A2C05" w:rsidRPr="003641C9" w:rsidRDefault="006A2C05">
      <w:pPr>
        <w:tabs>
          <w:tab w:val="left" w:pos="7938"/>
        </w:tabs>
        <w:spacing w:line="360" w:lineRule="auto"/>
        <w:jc w:val="both"/>
        <w:rPr>
          <w:rFonts w:ascii="Palatino Linotype" w:eastAsia="Palatino Linotype" w:hAnsi="Palatino Linotype" w:cs="Palatino Linotype"/>
        </w:rPr>
      </w:pPr>
    </w:p>
    <w:p w:rsidR="006A2C05" w:rsidRPr="003641C9" w:rsidRDefault="00CE07DA">
      <w:pPr>
        <w:spacing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xml:space="preserve"> en el recurso de revisión </w:t>
      </w:r>
      <w:r w:rsidRPr="003641C9">
        <w:rPr>
          <w:rFonts w:ascii="Palatino Linotype" w:eastAsia="Palatino Linotype" w:hAnsi="Palatino Linotype" w:cs="Palatino Linotype"/>
          <w:b/>
        </w:rPr>
        <w:t>01589/INFOEM/IP/RR/2022</w:t>
      </w:r>
      <w:r w:rsidRPr="003641C9">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3641C9">
        <w:rPr>
          <w:rFonts w:ascii="Palatino Linotype" w:eastAsia="Palatino Linotype" w:hAnsi="Palatino Linotype" w:cs="Palatino Linotype"/>
          <w:b/>
        </w:rPr>
        <w:t>MODIFICA</w:t>
      </w:r>
      <w:r w:rsidRPr="003641C9">
        <w:rPr>
          <w:rFonts w:ascii="Palatino Linotype" w:eastAsia="Palatino Linotype" w:hAnsi="Palatino Linotype" w:cs="Palatino Linotype"/>
        </w:rPr>
        <w:t xml:space="preserve"> la respuesta a la solicitud de información </w:t>
      </w:r>
      <w:r w:rsidRPr="003641C9">
        <w:rPr>
          <w:rFonts w:ascii="Palatino Linotype" w:eastAsia="Palatino Linotype" w:hAnsi="Palatino Linotype" w:cs="Palatino Linotype"/>
          <w:b/>
        </w:rPr>
        <w:t xml:space="preserve">00051/TLALNEPA/IP/2022. </w:t>
      </w:r>
    </w:p>
    <w:p w:rsidR="006A2C05" w:rsidRPr="003641C9" w:rsidRDefault="006A2C0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6A2C05" w:rsidRPr="003641C9" w:rsidRDefault="006A2C05">
      <w:pPr>
        <w:tabs>
          <w:tab w:val="left" w:pos="709"/>
        </w:tabs>
        <w:spacing w:before="240" w:after="240" w:line="360" w:lineRule="auto"/>
        <w:jc w:val="both"/>
        <w:rPr>
          <w:rFonts w:ascii="Palatino Linotype" w:eastAsia="Palatino Linotype" w:hAnsi="Palatino Linotype" w:cs="Palatino Linotype"/>
        </w:rPr>
      </w:pPr>
    </w:p>
    <w:p w:rsidR="006A2C05" w:rsidRPr="003641C9" w:rsidRDefault="00CE07DA">
      <w:pPr>
        <w:tabs>
          <w:tab w:val="left" w:pos="709"/>
        </w:tabs>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6A2C05" w:rsidRPr="003641C9" w:rsidRDefault="00CE07DA">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3641C9">
        <w:rPr>
          <w:rFonts w:ascii="Palatino Linotype" w:eastAsia="Palatino Linotype" w:hAnsi="Palatino Linotype" w:cs="Palatino Linotype"/>
          <w:b/>
          <w:color w:val="000000"/>
        </w:rPr>
        <w:t>R E S U E L V E:</w:t>
      </w:r>
    </w:p>
    <w:p w:rsidR="006A2C05" w:rsidRPr="003641C9" w:rsidRDefault="00CE07DA">
      <w:pPr>
        <w:spacing w:before="240" w:after="240" w:line="360" w:lineRule="auto"/>
        <w:jc w:val="both"/>
        <w:rPr>
          <w:rFonts w:ascii="Palatino Linotype" w:eastAsia="Palatino Linotype" w:hAnsi="Palatino Linotype" w:cs="Palatino Linotype"/>
          <w:b/>
        </w:rPr>
      </w:pPr>
      <w:r w:rsidRPr="003641C9">
        <w:rPr>
          <w:rFonts w:ascii="Palatino Linotype" w:eastAsia="Palatino Linotype" w:hAnsi="Palatino Linotype" w:cs="Palatino Linotype"/>
          <w:b/>
        </w:rPr>
        <w:t xml:space="preserve">PRIMERO. </w:t>
      </w:r>
      <w:r w:rsidRPr="003641C9">
        <w:rPr>
          <w:rFonts w:ascii="Palatino Linotype" w:eastAsia="Palatino Linotype" w:hAnsi="Palatino Linotype" w:cs="Palatino Linotype"/>
        </w:rPr>
        <w:t xml:space="preserve">Resultan fundados los motivos de inconformidad hechos valer por el </w:t>
      </w:r>
      <w:r w:rsidRPr="003641C9">
        <w:rPr>
          <w:rFonts w:ascii="Palatino Linotype" w:eastAsia="Palatino Linotype" w:hAnsi="Palatino Linotype" w:cs="Palatino Linotype"/>
          <w:b/>
        </w:rPr>
        <w:t xml:space="preserve">RECURRENTE </w:t>
      </w:r>
      <w:r w:rsidRPr="003641C9">
        <w:rPr>
          <w:rFonts w:ascii="Palatino Linotype" w:eastAsia="Palatino Linotype" w:hAnsi="Palatino Linotype" w:cs="Palatino Linotype"/>
        </w:rPr>
        <w:t xml:space="preserve">en el recurso de revisión </w:t>
      </w:r>
      <w:r w:rsidRPr="003641C9">
        <w:rPr>
          <w:rFonts w:ascii="Palatino Linotype" w:eastAsia="Palatino Linotype" w:hAnsi="Palatino Linotype" w:cs="Palatino Linotype"/>
          <w:b/>
        </w:rPr>
        <w:t xml:space="preserve">01589/INFOEM/IP/RR/2022, </w:t>
      </w:r>
      <w:r w:rsidRPr="003641C9">
        <w:rPr>
          <w:rFonts w:ascii="Palatino Linotype" w:eastAsia="Palatino Linotype" w:hAnsi="Palatino Linotype" w:cs="Palatino Linotype"/>
        </w:rPr>
        <w:t>por lo que, en términos del Considerando Cuarto de la presente resolución, se</w:t>
      </w:r>
      <w:r w:rsidRPr="003641C9">
        <w:rPr>
          <w:rFonts w:ascii="Palatino Linotype" w:eastAsia="Palatino Linotype" w:hAnsi="Palatino Linotype" w:cs="Palatino Linotype"/>
          <w:b/>
        </w:rPr>
        <w:t xml:space="preserve"> MODIFICA </w:t>
      </w:r>
      <w:r w:rsidRPr="003641C9">
        <w:rPr>
          <w:rFonts w:ascii="Palatino Linotype" w:eastAsia="Palatino Linotype" w:hAnsi="Palatino Linotype" w:cs="Palatino Linotype"/>
        </w:rPr>
        <w:t>la respuesta</w:t>
      </w:r>
      <w:r w:rsidRPr="003641C9">
        <w:rPr>
          <w:rFonts w:ascii="Palatino Linotype" w:eastAsia="Palatino Linotype" w:hAnsi="Palatino Linotype" w:cs="Palatino Linotype"/>
          <w:b/>
        </w:rPr>
        <w:t xml:space="preserve"> </w:t>
      </w:r>
      <w:r w:rsidRPr="003641C9">
        <w:rPr>
          <w:rFonts w:ascii="Palatino Linotype" w:eastAsia="Palatino Linotype" w:hAnsi="Palatino Linotype" w:cs="Palatino Linotype"/>
        </w:rPr>
        <w:t xml:space="preserve">del </w:t>
      </w:r>
      <w:r w:rsidRPr="003641C9">
        <w:rPr>
          <w:rFonts w:ascii="Palatino Linotype" w:eastAsia="Palatino Linotype" w:hAnsi="Palatino Linotype" w:cs="Palatino Linotype"/>
          <w:b/>
        </w:rPr>
        <w:t>SUJETO OBLIGADO.</w:t>
      </w:r>
    </w:p>
    <w:p w:rsidR="006A2C05" w:rsidRPr="003641C9" w:rsidRDefault="00CE07DA">
      <w:pPr>
        <w:spacing w:before="240" w:after="360" w:line="360" w:lineRule="auto"/>
        <w:jc w:val="both"/>
        <w:rPr>
          <w:rFonts w:ascii="Palatino Linotype" w:eastAsia="Palatino Linotype" w:hAnsi="Palatino Linotype" w:cs="Palatino Linotype"/>
          <w:b/>
        </w:rPr>
      </w:pPr>
      <w:r w:rsidRPr="003641C9">
        <w:rPr>
          <w:rFonts w:ascii="Palatino Linotype" w:eastAsia="Palatino Linotype" w:hAnsi="Palatino Linotype" w:cs="Palatino Linotype"/>
          <w:b/>
        </w:rPr>
        <w:t xml:space="preserve">SEGUNDO. </w:t>
      </w:r>
      <w:r w:rsidRPr="003641C9">
        <w:rPr>
          <w:rFonts w:ascii="Palatino Linotype" w:eastAsia="Palatino Linotype" w:hAnsi="Palatino Linotype" w:cs="Palatino Linotype"/>
        </w:rPr>
        <w:t xml:space="preserve">Se Ordena al </w:t>
      </w:r>
      <w:r w:rsidRPr="003641C9">
        <w:rPr>
          <w:rFonts w:ascii="Palatino Linotype" w:eastAsia="Palatino Linotype" w:hAnsi="Palatino Linotype" w:cs="Palatino Linotype"/>
          <w:b/>
        </w:rPr>
        <w:t>SUJETO OBLIGADO</w:t>
      </w:r>
      <w:r w:rsidRPr="003641C9">
        <w:rPr>
          <w:rFonts w:ascii="Palatino Linotype" w:eastAsia="Palatino Linotype" w:hAnsi="Palatino Linotype" w:cs="Palatino Linotype"/>
        </w:rPr>
        <w:t xml:space="preserve">, en términos del Considerando </w:t>
      </w:r>
      <w:r w:rsidRPr="003641C9">
        <w:rPr>
          <w:rFonts w:ascii="Palatino Linotype" w:eastAsia="Palatino Linotype" w:hAnsi="Palatino Linotype" w:cs="Palatino Linotype"/>
          <w:b/>
        </w:rPr>
        <w:t>Cuarto</w:t>
      </w:r>
      <w:r w:rsidRPr="003641C9">
        <w:rPr>
          <w:rFonts w:ascii="Palatino Linotype" w:eastAsia="Palatino Linotype" w:hAnsi="Palatino Linotype" w:cs="Palatino Linotype"/>
        </w:rPr>
        <w:t xml:space="preserve"> de esta resolución, haga entrega vía Sistema de Acceso a la Información Mexiquense (SAIMEX), de ser el caso en versión pública,</w:t>
      </w:r>
      <w:r w:rsidRPr="003641C9">
        <w:rPr>
          <w:rFonts w:ascii="Palatino Linotype" w:eastAsia="Palatino Linotype" w:hAnsi="Palatino Linotype" w:cs="Palatino Linotype"/>
          <w:b/>
        </w:rPr>
        <w:t xml:space="preserve"> </w:t>
      </w:r>
      <w:r w:rsidRPr="003641C9">
        <w:rPr>
          <w:rFonts w:ascii="Palatino Linotype" w:eastAsia="Palatino Linotype" w:hAnsi="Palatino Linotype" w:cs="Palatino Linotype"/>
        </w:rPr>
        <w:t>de la siguiente información:</w:t>
      </w:r>
    </w:p>
    <w:p w:rsidR="006A2C05" w:rsidRPr="003641C9" w:rsidRDefault="00CE07DA">
      <w:pPr>
        <w:numPr>
          <w:ilvl w:val="0"/>
          <w:numId w:val="3"/>
        </w:numPr>
        <w:pBdr>
          <w:top w:val="nil"/>
          <w:left w:val="nil"/>
          <w:bottom w:val="nil"/>
          <w:right w:val="nil"/>
          <w:between w:val="nil"/>
        </w:pBdr>
        <w:spacing w:before="240" w:line="360" w:lineRule="auto"/>
        <w:ind w:left="1560" w:hanging="709"/>
        <w:jc w:val="both"/>
        <w:rPr>
          <w:rFonts w:ascii="Palatino Linotype" w:eastAsia="Palatino Linotype" w:hAnsi="Palatino Linotype" w:cs="Palatino Linotype"/>
          <w:color w:val="000000"/>
        </w:rPr>
      </w:pPr>
      <w:r w:rsidRPr="003641C9">
        <w:rPr>
          <w:rFonts w:ascii="Palatino Linotype" w:eastAsia="Palatino Linotype" w:hAnsi="Palatino Linotype" w:cs="Palatino Linotype"/>
          <w:color w:val="000000"/>
        </w:rPr>
        <w:t xml:space="preserve">Documentos en los que conste fecha y concepto de los montos de los recursos económicos que ingresaron al Ayuntamiento de Tlalnepantla por parte del Instituto Municipal de Cultura, Física y Deporte durante los años 2019, </w:t>
      </w:r>
      <w:r w:rsidRPr="003641C9">
        <w:rPr>
          <w:rFonts w:ascii="Palatino Linotype" w:eastAsia="Palatino Linotype" w:hAnsi="Palatino Linotype" w:cs="Palatino Linotype"/>
        </w:rPr>
        <w:t>202</w:t>
      </w:r>
      <w:r w:rsidR="000647FE">
        <w:rPr>
          <w:rFonts w:ascii="Palatino Linotype" w:eastAsia="Palatino Linotype" w:hAnsi="Palatino Linotype" w:cs="Palatino Linotype"/>
        </w:rPr>
        <w:t>0</w:t>
      </w:r>
      <w:r w:rsidRPr="003641C9">
        <w:rPr>
          <w:rFonts w:ascii="Palatino Linotype" w:eastAsia="Palatino Linotype" w:hAnsi="Palatino Linotype" w:cs="Palatino Linotype"/>
          <w:color w:val="000000"/>
        </w:rPr>
        <w:t xml:space="preserve"> y 202</w:t>
      </w:r>
      <w:r w:rsidR="000647FE">
        <w:rPr>
          <w:rFonts w:ascii="Palatino Linotype" w:eastAsia="Palatino Linotype" w:hAnsi="Palatino Linotype" w:cs="Palatino Linotype"/>
          <w:color w:val="000000"/>
        </w:rPr>
        <w:t>1</w:t>
      </w:r>
      <w:r w:rsidRPr="003641C9">
        <w:rPr>
          <w:rFonts w:ascii="Palatino Linotype" w:eastAsia="Palatino Linotype" w:hAnsi="Palatino Linotype" w:cs="Palatino Linotype"/>
          <w:color w:val="000000"/>
        </w:rPr>
        <w:t xml:space="preserve">.  </w:t>
      </w:r>
    </w:p>
    <w:p w:rsidR="006A2C05" w:rsidRPr="003641C9" w:rsidRDefault="006A2C05">
      <w:pPr>
        <w:pBdr>
          <w:top w:val="nil"/>
          <w:left w:val="nil"/>
          <w:bottom w:val="nil"/>
          <w:right w:val="nil"/>
          <w:between w:val="nil"/>
        </w:pBdr>
        <w:spacing w:line="360" w:lineRule="auto"/>
        <w:ind w:left="1560" w:right="49"/>
        <w:jc w:val="both"/>
        <w:rPr>
          <w:rFonts w:ascii="Palatino Linotype" w:eastAsia="Palatino Linotype" w:hAnsi="Palatino Linotype" w:cs="Palatino Linotype"/>
          <w:i/>
          <w:color w:val="000000"/>
          <w:sz w:val="20"/>
          <w:szCs w:val="20"/>
        </w:rPr>
      </w:pPr>
    </w:p>
    <w:p w:rsidR="006A2C05" w:rsidRPr="003641C9" w:rsidRDefault="00CE07DA">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r w:rsidRPr="003641C9">
        <w:rPr>
          <w:rFonts w:ascii="Palatino Linotype" w:eastAsia="Palatino Linotype" w:hAnsi="Palatino Linotype" w:cs="Palatino Linotype"/>
          <w:i/>
          <w:color w:val="000000"/>
        </w:rPr>
        <w:t xml:space="preserve">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w:t>
      </w:r>
      <w:r w:rsidRPr="003641C9">
        <w:rPr>
          <w:rFonts w:ascii="Palatino Linotype" w:eastAsia="Palatino Linotype" w:hAnsi="Palatino Linotype" w:cs="Palatino Linotype"/>
          <w:i/>
          <w:color w:val="000000"/>
        </w:rPr>
        <w:lastRenderedPageBreak/>
        <w:t>que se formulen y se pongan a disposición del recurrente, mismo que igualmente hará de su conocimiento.</w:t>
      </w:r>
    </w:p>
    <w:p w:rsidR="006A2C05" w:rsidRPr="003641C9" w:rsidRDefault="006A2C05">
      <w:pPr>
        <w:spacing w:before="120" w:after="120"/>
        <w:ind w:right="49"/>
        <w:jc w:val="both"/>
        <w:rPr>
          <w:rFonts w:ascii="Palatino Linotype" w:eastAsia="Palatino Linotype" w:hAnsi="Palatino Linotype" w:cs="Palatino Linotype"/>
          <w:color w:val="FF0000"/>
        </w:rPr>
      </w:pPr>
    </w:p>
    <w:p w:rsidR="006A2C05" w:rsidRPr="003641C9" w:rsidRDefault="00CE07D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3641C9">
        <w:rPr>
          <w:rFonts w:ascii="Palatino Linotype" w:eastAsia="Palatino Linotype" w:hAnsi="Palatino Linotype" w:cs="Palatino Linotype"/>
          <w:b/>
        </w:rPr>
        <w:t xml:space="preserve">TERCERO. Notifíquese, vía SAIMEX </w:t>
      </w:r>
      <w:r w:rsidRPr="003641C9">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641C9">
        <w:rPr>
          <w:rFonts w:ascii="Palatino Linotype" w:eastAsia="Palatino Linotype" w:hAnsi="Palatino Linotype" w:cs="Palatino Linotype"/>
          <w:b/>
        </w:rPr>
        <w:t>.</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 xml:space="preserve">CUARTO. </w:t>
      </w:r>
      <w:r w:rsidRPr="003641C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A2C05" w:rsidRPr="003641C9" w:rsidRDefault="00CE07DA">
      <w:pPr>
        <w:spacing w:before="240" w:after="240" w:line="360" w:lineRule="auto"/>
        <w:jc w:val="both"/>
        <w:rPr>
          <w:rFonts w:ascii="Palatino Linotype" w:eastAsia="Palatino Linotype" w:hAnsi="Palatino Linotype" w:cs="Palatino Linotype"/>
        </w:rPr>
      </w:pPr>
      <w:r w:rsidRPr="003641C9">
        <w:rPr>
          <w:rFonts w:ascii="Palatino Linotype" w:eastAsia="Palatino Linotype" w:hAnsi="Palatino Linotype" w:cs="Palatino Linotype"/>
          <w:b/>
        </w:rPr>
        <w:t>QUINTO</w:t>
      </w:r>
      <w:r w:rsidRPr="003641C9">
        <w:rPr>
          <w:rFonts w:ascii="Palatino Linotype" w:eastAsia="Palatino Linotype" w:hAnsi="Palatino Linotype" w:cs="Palatino Linotype"/>
          <w:b/>
          <w:sz w:val="28"/>
          <w:szCs w:val="28"/>
        </w:rPr>
        <w:t>.</w:t>
      </w:r>
      <w:r w:rsidRPr="003641C9">
        <w:rPr>
          <w:rFonts w:ascii="Palatino Linotype" w:eastAsia="Palatino Linotype" w:hAnsi="Palatino Linotype" w:cs="Palatino Linotype"/>
          <w:b/>
        </w:rPr>
        <w:t xml:space="preserve">  Notifíquese </w:t>
      </w:r>
      <w:r w:rsidRPr="003641C9">
        <w:rPr>
          <w:rFonts w:ascii="Palatino Linotype" w:eastAsia="Palatino Linotype" w:hAnsi="Palatino Linotype" w:cs="Palatino Linotype"/>
        </w:rPr>
        <w:t xml:space="preserve">a el </w:t>
      </w:r>
      <w:r w:rsidRPr="003641C9">
        <w:rPr>
          <w:rFonts w:ascii="Palatino Linotype" w:eastAsia="Palatino Linotype" w:hAnsi="Palatino Linotype" w:cs="Palatino Linotype"/>
          <w:b/>
        </w:rPr>
        <w:t>RECURRENTE,</w:t>
      </w:r>
      <w:r w:rsidRPr="003641C9">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A2C05" w:rsidRPr="003641C9" w:rsidRDefault="006A2C05">
      <w:pPr>
        <w:spacing w:before="120" w:after="120"/>
        <w:ind w:right="49"/>
        <w:jc w:val="both"/>
        <w:rPr>
          <w:rFonts w:ascii="Palatino Linotype" w:eastAsia="Palatino Linotype" w:hAnsi="Palatino Linotype" w:cs="Palatino Linotype"/>
        </w:rPr>
      </w:pPr>
    </w:p>
    <w:p w:rsidR="003641C9" w:rsidRPr="003641C9" w:rsidRDefault="003641C9">
      <w:pPr>
        <w:spacing w:before="120" w:after="120"/>
        <w:ind w:right="49"/>
        <w:jc w:val="both"/>
        <w:rPr>
          <w:rFonts w:ascii="Palatino Linotype" w:eastAsia="Palatino Linotype" w:hAnsi="Palatino Linotype" w:cs="Palatino Linotype"/>
        </w:rPr>
      </w:pPr>
    </w:p>
    <w:p w:rsidR="006A2C05" w:rsidRDefault="00CE07DA">
      <w:pPr>
        <w:spacing w:before="240" w:after="240" w:line="360" w:lineRule="auto"/>
        <w:jc w:val="both"/>
        <w:rPr>
          <w:rFonts w:ascii="Palatino Linotype" w:eastAsia="Palatino Linotype" w:hAnsi="Palatino Linotype" w:cs="Palatino Linotype"/>
          <w:sz w:val="20"/>
          <w:szCs w:val="20"/>
        </w:rPr>
      </w:pPr>
      <w:r w:rsidRPr="003641C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DE MAYO DE DOS MIL VEINTIDÓS, ANTE EL SECRETARIO TÉCNICO DEL PLENO, ALEXIS TAPIA RAMÍREZ.</w:t>
      </w: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p w:rsidR="006A2C05" w:rsidRDefault="006A2C05">
      <w:pPr>
        <w:spacing w:before="240" w:after="240"/>
        <w:jc w:val="both"/>
        <w:rPr>
          <w:rFonts w:ascii="Palatino Linotype" w:eastAsia="Palatino Linotype" w:hAnsi="Palatino Linotype" w:cs="Palatino Linotype"/>
          <w:sz w:val="20"/>
          <w:szCs w:val="20"/>
        </w:rPr>
      </w:pPr>
    </w:p>
    <w:sectPr w:rsidR="006A2C05">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B28" w:rsidRDefault="00977B28">
      <w:r>
        <w:separator/>
      </w:r>
    </w:p>
  </w:endnote>
  <w:endnote w:type="continuationSeparator" w:id="0">
    <w:p w:rsidR="00977B28" w:rsidRDefault="0097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05" w:rsidRDefault="0057550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63AA">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63AA">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rsidR="00575505" w:rsidRDefault="0057550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05" w:rsidRDefault="0057550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63A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63AA">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rsidR="00575505" w:rsidRDefault="0057550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B28" w:rsidRDefault="00977B28">
      <w:r>
        <w:separator/>
      </w:r>
    </w:p>
  </w:footnote>
  <w:footnote w:type="continuationSeparator" w:id="0">
    <w:p w:rsidR="00977B28" w:rsidRDefault="00977B28">
      <w:r>
        <w:continuationSeparator/>
      </w:r>
    </w:p>
  </w:footnote>
  <w:footnote w:id="1">
    <w:p w:rsidR="00575505" w:rsidRDefault="0057550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575505" w:rsidRDefault="005755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575505" w:rsidRDefault="0057550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4">
    <w:p w:rsidR="00575505" w:rsidRDefault="00575505">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5">
    <w:p w:rsidR="00575505" w:rsidRDefault="005755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6">
    <w:p w:rsidR="00575505" w:rsidRDefault="0057550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r>
        <w:rPr>
          <w:rFonts w:ascii="Palatino Linotype" w:eastAsia="Palatino Linotype" w:hAnsi="Palatino Linotype" w:cs="Palatino Linotype"/>
          <w:sz w:val="16"/>
          <w:szCs w:val="16"/>
        </w:rPr>
        <w:tab/>
      </w:r>
    </w:p>
    <w:p w:rsidR="00575505" w:rsidRDefault="00575505">
      <w:pPr>
        <w:pBdr>
          <w:top w:val="nil"/>
          <w:left w:val="nil"/>
          <w:bottom w:val="nil"/>
          <w:right w:val="nil"/>
          <w:between w:val="nil"/>
        </w:pBdr>
        <w:jc w:val="both"/>
        <w:rPr>
          <w:rFonts w:ascii="Arial" w:eastAsia="Arial" w:hAnsi="Arial" w:cs="Arial"/>
          <w:color w:val="000000"/>
          <w:sz w:val="16"/>
          <w:szCs w:val="16"/>
        </w:rPr>
      </w:pPr>
    </w:p>
  </w:footnote>
  <w:footnote w:id="7">
    <w:p w:rsidR="00575505" w:rsidRDefault="00575505">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01653/INFOEM/IP/RR/2016 aprobada por Unanimidad de votos en la vigésima quinta sesión ordinaria celebrada el día cuatro (4) de julio de 2016.</w:t>
      </w:r>
    </w:p>
  </w:footnote>
  <w:footnote w:id="8">
    <w:p w:rsidR="00575505" w:rsidRDefault="00575505">
      <w:pPr>
        <w:jc w:val="both"/>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575505" w:rsidRDefault="00575505">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9">
    <w:p w:rsidR="00575505" w:rsidRDefault="00575505">
      <w:pPr>
        <w:pBdr>
          <w:top w:val="nil"/>
          <w:left w:val="nil"/>
          <w:bottom w:val="nil"/>
          <w:right w:val="nil"/>
          <w:between w:val="nil"/>
        </w:pBdr>
        <w:jc w:val="both"/>
        <w:rPr>
          <w:rFonts w:ascii="Calibri" w:eastAsia="Calibri" w:hAnsi="Calibri" w:cs="Calibri"/>
          <w:i/>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eastAsia="Palatino Linotype" w:hAnsi="Palatino Linotype" w:cs="Palatino Linotype"/>
          <w:i/>
          <w:color w:val="000000"/>
          <w:sz w:val="18"/>
          <w:szCs w:val="18"/>
        </w:rPr>
        <w:t>El derecho de acceso a la información en el marco jurídico interamericano.</w:t>
      </w:r>
      <w:r>
        <w:rPr>
          <w:rFonts w:ascii="Palatino Linotype" w:eastAsia="Palatino Linotype" w:hAnsi="Palatino Linotype" w:cs="Palatino Linotype"/>
          <w:color w:val="000000"/>
          <w:sz w:val="18"/>
          <w:szCs w:val="18"/>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05" w:rsidRDefault="00575505">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-708023</wp:posOffset>
          </wp:positionH>
          <wp:positionV relativeFrom="paragraph">
            <wp:posOffset>-415288</wp:posOffset>
          </wp:positionV>
          <wp:extent cx="7809865" cy="1016571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095" w:type="dxa"/>
      <w:tblInd w:w="3261" w:type="dxa"/>
      <w:tblLayout w:type="fixed"/>
      <w:tblLook w:val="0400" w:firstRow="0" w:lastRow="0" w:firstColumn="0" w:lastColumn="0" w:noHBand="0" w:noVBand="1"/>
    </w:tblPr>
    <w:tblGrid>
      <w:gridCol w:w="2409"/>
      <w:gridCol w:w="3686"/>
    </w:tblGrid>
    <w:tr w:rsidR="00575505">
      <w:tc>
        <w:tcPr>
          <w:tcW w:w="2409" w:type="dxa"/>
          <w:shd w:val="clear" w:color="auto" w:fill="auto"/>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6" w:type="dxa"/>
          <w:shd w:val="clear" w:color="auto" w:fill="auto"/>
          <w:vAlign w:val="center"/>
        </w:tcPr>
        <w:p w:rsidR="00575505" w:rsidRDefault="00575505">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01589/INFOEM/IP/RR/2022</w:t>
          </w:r>
        </w:p>
      </w:tc>
    </w:tr>
    <w:tr w:rsidR="00575505">
      <w:trPr>
        <w:trHeight w:val="228"/>
      </w:trPr>
      <w:tc>
        <w:tcPr>
          <w:tcW w:w="2409" w:type="dxa"/>
          <w:shd w:val="clear" w:color="auto" w:fill="auto"/>
          <w:vAlign w:val="center"/>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6" w:type="dxa"/>
          <w:shd w:val="clear" w:color="auto" w:fill="auto"/>
          <w:vAlign w:val="center"/>
        </w:tcPr>
        <w:p w:rsidR="00575505" w:rsidRDefault="00575505">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Tlalnepantla de Baz</w:t>
          </w:r>
        </w:p>
      </w:tc>
    </w:tr>
    <w:tr w:rsidR="00575505">
      <w:tc>
        <w:tcPr>
          <w:tcW w:w="2409" w:type="dxa"/>
          <w:shd w:val="clear" w:color="auto" w:fill="auto"/>
          <w:vAlign w:val="center"/>
        </w:tcPr>
        <w:p w:rsidR="00575505" w:rsidRDefault="0057550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6" w:type="dxa"/>
          <w:shd w:val="clear" w:color="auto" w:fill="auto"/>
          <w:vAlign w:val="center"/>
        </w:tcPr>
        <w:p w:rsidR="00575505" w:rsidRDefault="0057550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575505" w:rsidRDefault="0057550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05" w:rsidRDefault="0057550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-756283</wp:posOffset>
          </wp:positionH>
          <wp:positionV relativeFrom="paragraph">
            <wp:posOffset>-424178</wp:posOffset>
          </wp:positionV>
          <wp:extent cx="7809865" cy="1016571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184" w:type="dxa"/>
      <w:tblInd w:w="2747" w:type="dxa"/>
      <w:tblLayout w:type="fixed"/>
      <w:tblLook w:val="0400" w:firstRow="0" w:lastRow="0" w:firstColumn="0" w:lastColumn="0" w:noHBand="0" w:noVBand="1"/>
    </w:tblPr>
    <w:tblGrid>
      <w:gridCol w:w="2551"/>
      <w:gridCol w:w="3633"/>
    </w:tblGrid>
    <w:tr w:rsidR="00575505">
      <w:tc>
        <w:tcPr>
          <w:tcW w:w="2551" w:type="dxa"/>
          <w:shd w:val="clear" w:color="auto" w:fill="auto"/>
          <w:vAlign w:val="center"/>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33" w:type="dxa"/>
          <w:shd w:val="clear" w:color="auto" w:fill="auto"/>
          <w:vAlign w:val="center"/>
        </w:tcPr>
        <w:p w:rsidR="00575505" w:rsidRDefault="0057550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01589/INFOEM/IP/RR/2022</w:t>
          </w:r>
        </w:p>
      </w:tc>
    </w:tr>
    <w:tr w:rsidR="00575505">
      <w:trPr>
        <w:trHeight w:val="130"/>
      </w:trPr>
      <w:tc>
        <w:tcPr>
          <w:tcW w:w="2551" w:type="dxa"/>
          <w:shd w:val="clear" w:color="auto" w:fill="auto"/>
          <w:vAlign w:val="center"/>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33" w:type="dxa"/>
          <w:shd w:val="clear" w:color="auto" w:fill="auto"/>
          <w:vAlign w:val="center"/>
        </w:tcPr>
        <w:p w:rsidR="00575505" w:rsidRDefault="00575505">
          <w:pPr>
            <w:jc w:val="both"/>
            <w:rPr>
              <w:rFonts w:ascii="Palatino Linotype" w:eastAsia="Palatino Linotype" w:hAnsi="Palatino Linotype" w:cs="Palatino Linotype"/>
              <w:b/>
            </w:rPr>
          </w:pPr>
        </w:p>
      </w:tc>
    </w:tr>
    <w:tr w:rsidR="00575505">
      <w:trPr>
        <w:trHeight w:val="228"/>
      </w:trPr>
      <w:tc>
        <w:tcPr>
          <w:tcW w:w="2551" w:type="dxa"/>
          <w:shd w:val="clear" w:color="auto" w:fill="auto"/>
          <w:vAlign w:val="center"/>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33" w:type="dxa"/>
          <w:shd w:val="clear" w:color="auto" w:fill="auto"/>
          <w:vAlign w:val="center"/>
        </w:tcPr>
        <w:p w:rsidR="00575505" w:rsidRDefault="00575505">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Tlalnepantla de Baz</w:t>
          </w:r>
        </w:p>
      </w:tc>
    </w:tr>
    <w:tr w:rsidR="00575505">
      <w:tc>
        <w:tcPr>
          <w:tcW w:w="2551" w:type="dxa"/>
          <w:shd w:val="clear" w:color="auto" w:fill="auto"/>
          <w:vAlign w:val="center"/>
        </w:tcPr>
        <w:p w:rsidR="00575505" w:rsidRDefault="0057550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33" w:type="dxa"/>
          <w:shd w:val="clear" w:color="auto" w:fill="auto"/>
          <w:vAlign w:val="center"/>
        </w:tcPr>
        <w:p w:rsidR="00575505" w:rsidRDefault="0057550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575505" w:rsidRDefault="0057550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3562"/>
    <w:multiLevelType w:val="multilevel"/>
    <w:tmpl w:val="81A62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E0F76"/>
    <w:multiLevelType w:val="multilevel"/>
    <w:tmpl w:val="B0D0AD7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F77AA8"/>
    <w:multiLevelType w:val="multilevel"/>
    <w:tmpl w:val="7E18E6A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4A1B9D"/>
    <w:multiLevelType w:val="multilevel"/>
    <w:tmpl w:val="2DD4915E"/>
    <w:lvl w:ilvl="0">
      <w:start w:val="1"/>
      <w:numFmt w:val="lowerLetter"/>
      <w:lvlText w:val="%1)"/>
      <w:lvlJc w:val="left"/>
      <w:pPr>
        <w:ind w:left="1080" w:hanging="360"/>
      </w:pPr>
      <w:rPr>
        <w:b/>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C05"/>
    <w:rsid w:val="000112FF"/>
    <w:rsid w:val="00044E77"/>
    <w:rsid w:val="000647FE"/>
    <w:rsid w:val="001708EA"/>
    <w:rsid w:val="00226831"/>
    <w:rsid w:val="002350FF"/>
    <w:rsid w:val="00277726"/>
    <w:rsid w:val="003641C9"/>
    <w:rsid w:val="00377887"/>
    <w:rsid w:val="004563AA"/>
    <w:rsid w:val="00575505"/>
    <w:rsid w:val="00585A98"/>
    <w:rsid w:val="0064062C"/>
    <w:rsid w:val="006A2C05"/>
    <w:rsid w:val="007A3452"/>
    <w:rsid w:val="0088426E"/>
    <w:rsid w:val="00977B28"/>
    <w:rsid w:val="00B039A3"/>
    <w:rsid w:val="00CA1829"/>
    <w:rsid w:val="00CE07DA"/>
    <w:rsid w:val="00E31927"/>
    <w:rsid w:val="00E70B62"/>
    <w:rsid w:val="00EC7B26"/>
    <w:rsid w:val="00F210BC"/>
    <w:rsid w:val="00F22F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DDEF02-E862-47C5-9DCA-400C5C6F3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
    <w:name w:val="4"/>
    <w:basedOn w:val="TableNormal1"/>
    <w:rPr>
      <w:sz w:val="22"/>
      <w:szCs w:val="22"/>
    </w:rPr>
    <w:tblPr>
      <w:tblStyleRowBandSize w:val="1"/>
      <w:tblStyleColBandSize w:val="1"/>
      <w:tblCellMar>
        <w:left w:w="108" w:type="dxa"/>
        <w:right w:w="108" w:type="dxa"/>
      </w:tblCellMar>
    </w:tblPr>
  </w:style>
  <w:style w:type="table" w:customStyle="1" w:styleId="3">
    <w:name w:val="3"/>
    <w:basedOn w:val="TableNormal1"/>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rPr>
      <w:sz w:val="22"/>
      <w:szCs w:val="22"/>
    </w:rPr>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0"/>
    <w:rPr>
      <w:sz w:val="22"/>
      <w:szCs w:val="22"/>
    </w:rPr>
    <w:tblPr>
      <w:tblStyleRowBandSize w:val="1"/>
      <w:tblStyleColBandSize w:val="1"/>
      <w:tblCellMar>
        <w:left w:w="115" w:type="dxa"/>
        <w:right w:w="115" w:type="dxa"/>
      </w:tblCellMar>
    </w:tblPr>
  </w:style>
  <w:style w:type="table" w:customStyle="1" w:styleId="a5">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VsotQ0jjWCUXZIEviIytcQnxzQ==">AMUW2mUn0FkhnLrPMmczAbx8o/OiaNkUKeYP4xt+bg4Wg6t8/hETPHjBoE0wXuzU/uC5AWwVeOWU0n8vV3H1ogNZJlmiqbmB32IzFbStwu5WDLRBaeWY6kWitdBKVWb0qrHXTdTKtSUKpkqFjGAvuD+WBzwSevUg/w0aC/cqzWRmriK2ryFE978=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10316</Words>
  <Characters>56743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dcterms:created xsi:type="dcterms:W3CDTF">2022-06-08T01:27:00Z</dcterms:created>
  <dcterms:modified xsi:type="dcterms:W3CDTF">2022-06-08T01:27:00Z</dcterms:modified>
</cp:coreProperties>
</file>