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3C57FF" w:rsidP="005D6B1A" w:rsidRDefault="003C57FF" w14:paraId="23FD4821" w14:textId="77777777">
      <w:pPr>
        <w:spacing w:after="0" w:line="360" w:lineRule="auto"/>
        <w:contextualSpacing/>
        <w:rPr>
          <w:rFonts w:cs="Tahoma"/>
          <w:bCs/>
        </w:rPr>
      </w:pPr>
    </w:p>
    <w:p w:rsidRPr="00E04852" w:rsidR="00D51763" w:rsidP="005D6B1A" w:rsidRDefault="00D51763" w14:paraId="71D1AC16" w14:textId="2406627E">
      <w:pPr>
        <w:spacing w:after="0" w:line="360" w:lineRule="auto"/>
        <w:contextualSpacing/>
        <w:rPr>
          <w:rFonts w:cs="Tahoma"/>
          <w:bCs/>
        </w:rPr>
      </w:pPr>
      <w:r w:rsidRPr="00E04852">
        <w:rPr>
          <w:rFonts w:cs="Tahoma"/>
          <w:bCs/>
        </w:rPr>
        <w:t xml:space="preserve">Resolución del Pleno del Instituto de Transparencia, Acceso a la Información Pública y Protección de Datos Personales del Estado de México y Municipios, con domicilio en Metepec, Estado de México, de fecha </w:t>
      </w:r>
      <w:r w:rsidR="00A336FF">
        <w:rPr>
          <w:rFonts w:cs="Tahoma"/>
          <w:bCs/>
        </w:rPr>
        <w:t>veintisiete</w:t>
      </w:r>
      <w:r w:rsidRPr="00E04852">
        <w:rPr>
          <w:rFonts w:cs="Tahoma"/>
          <w:bCs/>
        </w:rPr>
        <w:t xml:space="preserve"> de </w:t>
      </w:r>
      <w:r w:rsidR="00A336FF">
        <w:rPr>
          <w:rFonts w:cs="Tahoma"/>
          <w:bCs/>
        </w:rPr>
        <w:t>enero</w:t>
      </w:r>
      <w:r w:rsidRPr="00E04852">
        <w:rPr>
          <w:rFonts w:cs="Tahoma"/>
          <w:bCs/>
        </w:rPr>
        <w:t xml:space="preserve"> del dos mil </w:t>
      </w:r>
      <w:r w:rsidR="00A336FF">
        <w:rPr>
          <w:rFonts w:cs="Tahoma"/>
          <w:bCs/>
        </w:rPr>
        <w:t>veintidós</w:t>
      </w:r>
      <w:r w:rsidRPr="00E04852">
        <w:rPr>
          <w:rFonts w:cs="Tahoma"/>
          <w:bCs/>
        </w:rPr>
        <w:t>.</w:t>
      </w:r>
    </w:p>
    <w:p w:rsidRPr="00E04852" w:rsidR="00D51763" w:rsidP="005D6B1A" w:rsidRDefault="00D51763" w14:paraId="13C3A954" w14:textId="77777777">
      <w:pPr>
        <w:spacing w:after="0" w:line="360" w:lineRule="auto"/>
        <w:contextualSpacing/>
        <w:rPr>
          <w:rFonts w:cs="Tahoma"/>
          <w:bCs/>
        </w:rPr>
      </w:pPr>
    </w:p>
    <w:p w:rsidRPr="00E04852" w:rsidR="00D51763" w:rsidP="0EE438C3" w:rsidRDefault="00D51763" w14:paraId="5443AD31" w14:textId="2784116E">
      <w:pPr>
        <w:tabs>
          <w:tab w:val="left" w:pos="284"/>
          <w:tab w:val="left" w:pos="6946"/>
        </w:tabs>
        <w:spacing w:after="0" w:line="360" w:lineRule="auto"/>
        <w:contextualSpacing/>
        <w:rPr>
          <w:rFonts w:cs="Tahoma"/>
        </w:rPr>
      </w:pPr>
      <w:r w:rsidRPr="0EE438C3" w:rsidR="0EE438C3">
        <w:rPr>
          <w:rFonts w:cs="Tahoma"/>
          <w:b w:val="1"/>
          <w:bCs w:val="1"/>
          <w:color w:val="0D0D0D" w:themeColor="text1" w:themeTint="F2" w:themeShade="FF"/>
        </w:rPr>
        <w:t xml:space="preserve">VISTO </w:t>
      </w:r>
      <w:r w:rsidRPr="0EE438C3" w:rsidR="0EE438C3">
        <w:rPr>
          <w:rFonts w:cs="Tahoma"/>
          <w:color w:val="0D0D0D" w:themeColor="text1" w:themeTint="F2" w:themeShade="FF"/>
        </w:rPr>
        <w:t xml:space="preserve">el expediente conformado con motivo del Recurso de Revisión </w:t>
      </w:r>
      <w:r w:rsidRPr="0EE438C3" w:rsidR="0EE438C3">
        <w:rPr>
          <w:b w:val="1"/>
          <w:bCs w:val="1"/>
        </w:rPr>
        <w:t>05391/INFOEM/IP/RR/2021</w:t>
      </w:r>
      <w:r w:rsidRPr="0EE438C3" w:rsidR="0EE438C3">
        <w:rPr>
          <w:rFonts w:cs="Tahoma"/>
          <w:b w:val="1"/>
          <w:bCs w:val="1"/>
          <w:color w:val="0D0D0D" w:themeColor="text1" w:themeTint="F2" w:themeShade="FF"/>
        </w:rPr>
        <w:t>,</w:t>
      </w:r>
      <w:r w:rsidRPr="0EE438C3" w:rsidR="0EE438C3">
        <w:rPr>
          <w:rFonts w:cs="Tahoma"/>
          <w:color w:val="0D0D0D" w:themeColor="text1" w:themeTint="F2" w:themeShade="FF"/>
        </w:rPr>
        <w:t xml:space="preserve"> interpuesto por </w:t>
      </w:r>
      <w:r w:rsidRPr="0EE438C3" w:rsidR="0EE438C3">
        <w:rPr>
          <w:rFonts w:cs="Tahoma"/>
          <w:color w:val="0D0D0D" w:themeColor="text1" w:themeTint="F2" w:themeShade="FF"/>
          <w:highlight w:val="black"/>
        </w:rPr>
        <w:t>XXXXXXXXXXXXXXXXXX</w:t>
      </w:r>
      <w:r w:rsidRPr="0EE438C3" w:rsidR="0EE438C3">
        <w:rPr>
          <w:rFonts w:cs="Tahoma"/>
          <w:color w:val="0D0D0D" w:themeColor="text1" w:themeTint="F2" w:themeShade="FF"/>
        </w:rPr>
        <w:t xml:space="preserve">, en adelante el Recurrente o Particular, en contra de la respuesta del Sujeto Obligado </w:t>
      </w:r>
      <w:r w:rsidRPr="0EE438C3" w:rsidR="0EE438C3">
        <w:rPr>
          <w:rFonts w:eastAsia="Calibri" w:cs="Tahoma"/>
          <w:b w:val="1"/>
          <w:bCs w:val="1"/>
        </w:rPr>
        <w:t>Instituto de Seguridad Social del Estado de México y Municipios</w:t>
      </w:r>
      <w:r w:rsidRPr="0EE438C3" w:rsidR="0EE438C3">
        <w:rPr>
          <w:rFonts w:cs="Tahoma"/>
          <w:b w:val="1"/>
          <w:bCs w:val="1"/>
          <w:color w:val="0D0D0D" w:themeColor="text1" w:themeTint="F2" w:themeShade="FF"/>
        </w:rPr>
        <w:t xml:space="preserve">, </w:t>
      </w:r>
      <w:r w:rsidRPr="0EE438C3" w:rsidR="0EE438C3">
        <w:rPr>
          <w:rFonts w:cs="Tahoma"/>
          <w:color w:val="0D0D0D" w:themeColor="text1" w:themeTint="F2" w:themeShade="FF"/>
        </w:rPr>
        <w:t>se emite la presente Resolución, con base en los Antecedentes y C</w:t>
      </w:r>
      <w:r w:rsidRPr="0EE438C3" w:rsidR="0EE438C3">
        <w:rPr>
          <w:rFonts w:cs="Tahoma"/>
        </w:rPr>
        <w:t>onsiderandos que a continuación se exponen:</w:t>
      </w:r>
    </w:p>
    <w:p w:rsidRPr="00E04852" w:rsidR="00D51763" w:rsidP="005D6B1A" w:rsidRDefault="00D51763" w14:paraId="43581B0D" w14:textId="77777777">
      <w:pPr>
        <w:spacing w:after="0" w:line="360" w:lineRule="auto"/>
        <w:contextualSpacing/>
        <w:rPr>
          <w:rFonts w:cs="Tahoma"/>
          <w:bCs/>
        </w:rPr>
      </w:pPr>
    </w:p>
    <w:p w:rsidR="00D51763" w:rsidP="005D6B1A" w:rsidRDefault="00D51763" w14:paraId="26128AEE" w14:textId="1F3F84C2">
      <w:pPr>
        <w:tabs>
          <w:tab w:val="center" w:pos="4522"/>
          <w:tab w:val="left" w:pos="7245"/>
        </w:tabs>
        <w:spacing w:after="0" w:line="360" w:lineRule="auto"/>
        <w:contextualSpacing/>
        <w:jc w:val="center"/>
        <w:rPr>
          <w:rFonts w:cs="Tahoma"/>
          <w:b/>
        </w:rPr>
      </w:pPr>
      <w:r w:rsidRPr="00E04852">
        <w:rPr>
          <w:rFonts w:cs="Tahoma"/>
          <w:b/>
        </w:rPr>
        <w:t>A N T E C E D E N T E S</w:t>
      </w:r>
    </w:p>
    <w:p w:rsidR="00A336FF" w:rsidP="005D6B1A" w:rsidRDefault="00A336FF" w14:paraId="62D4D30D" w14:textId="77777777">
      <w:pPr>
        <w:tabs>
          <w:tab w:val="center" w:pos="4522"/>
          <w:tab w:val="left" w:pos="7245"/>
        </w:tabs>
        <w:spacing w:after="0" w:line="360" w:lineRule="auto"/>
        <w:contextualSpacing/>
        <w:jc w:val="center"/>
        <w:rPr>
          <w:rFonts w:cs="Tahoma"/>
          <w:b/>
        </w:rPr>
      </w:pPr>
    </w:p>
    <w:p w:rsidR="00D51763" w:rsidP="005D6B1A" w:rsidRDefault="00D51763" w14:paraId="306891B2" w14:textId="189C9757">
      <w:pPr>
        <w:pStyle w:val="Prrafodelista"/>
        <w:tabs>
          <w:tab w:val="left" w:pos="567"/>
        </w:tabs>
        <w:spacing w:after="0" w:line="360" w:lineRule="auto"/>
        <w:ind w:left="0"/>
        <w:rPr>
          <w:rFonts w:cs="Tahoma"/>
          <w:b/>
        </w:rPr>
      </w:pPr>
      <w:r w:rsidRPr="00E04852">
        <w:rPr>
          <w:rFonts w:cs="Tahoma"/>
          <w:b/>
        </w:rPr>
        <w:t xml:space="preserve">I. Presentación de la solicitud de información. </w:t>
      </w:r>
    </w:p>
    <w:p w:rsidRPr="00E04852" w:rsidR="00A336FF" w:rsidP="005D6B1A" w:rsidRDefault="00A336FF" w14:paraId="4A66A352" w14:textId="77777777">
      <w:pPr>
        <w:pStyle w:val="Prrafodelista"/>
        <w:tabs>
          <w:tab w:val="left" w:pos="567"/>
        </w:tabs>
        <w:spacing w:after="0" w:line="360" w:lineRule="auto"/>
        <w:ind w:left="0"/>
        <w:rPr>
          <w:rFonts w:cs="Tahoma"/>
          <w:b/>
        </w:rPr>
      </w:pPr>
    </w:p>
    <w:p w:rsidRPr="00E04852" w:rsidR="00D51763" w:rsidP="005D6B1A" w:rsidRDefault="00D51763" w14:paraId="39953866" w14:textId="07BDD936">
      <w:pPr>
        <w:tabs>
          <w:tab w:val="left" w:pos="567"/>
        </w:tabs>
        <w:spacing w:after="0" w:line="360" w:lineRule="auto"/>
        <w:rPr>
          <w:rFonts w:cs="Tahoma"/>
        </w:rPr>
      </w:pPr>
      <w:r w:rsidRPr="00E04852">
        <w:rPr>
          <w:rFonts w:cs="Tahoma"/>
        </w:rPr>
        <w:t xml:space="preserve">Con fecha </w:t>
      </w:r>
      <w:r w:rsidR="00A336FF">
        <w:rPr>
          <w:rFonts w:cs="Tahoma"/>
        </w:rPr>
        <w:t>veintinueve de septiembre del</w:t>
      </w:r>
      <w:r w:rsidRPr="00E04852">
        <w:rPr>
          <w:rFonts w:cs="Tahoma"/>
        </w:rPr>
        <w:t xml:space="preserve"> dos </w:t>
      </w:r>
      <w:proofErr w:type="gramStart"/>
      <w:r w:rsidRPr="00E04852">
        <w:rPr>
          <w:rFonts w:cs="Tahoma"/>
        </w:rPr>
        <w:t>mil veintiuno</w:t>
      </w:r>
      <w:proofErr w:type="gramEnd"/>
      <w:r w:rsidRPr="00E04852">
        <w:rPr>
          <w:rFonts w:cs="Tahoma"/>
        </w:rPr>
        <w:t xml:space="preserve">, la Particular presentó solicitud de acceso de datos personales </w:t>
      </w:r>
      <w:r w:rsidRPr="00A336FF" w:rsidR="00A336FF">
        <w:rPr>
          <w:b/>
          <w:bCs/>
        </w:rPr>
        <w:t>00735/ISSEMYM/IP/2021</w:t>
      </w:r>
      <w:r w:rsidRPr="00E04852">
        <w:rPr>
          <w:rFonts w:cs="Tahoma"/>
          <w:b/>
          <w:bCs/>
        </w:rPr>
        <w:t xml:space="preserve"> </w:t>
      </w:r>
      <w:r w:rsidRPr="00E04852">
        <w:rPr>
          <w:rFonts w:cs="Tahoma"/>
        </w:rPr>
        <w:t>a través de</w:t>
      </w:r>
      <w:r w:rsidR="00A336FF">
        <w:rPr>
          <w:rFonts w:cs="Tahoma"/>
        </w:rPr>
        <w:t xml:space="preserve"> </w:t>
      </w:r>
      <w:r w:rsidRPr="00E04852">
        <w:rPr>
          <w:rFonts w:cs="Tahoma"/>
        </w:rPr>
        <w:t>l</w:t>
      </w:r>
      <w:r w:rsidR="00A336FF">
        <w:rPr>
          <w:rFonts w:cs="Tahoma"/>
        </w:rPr>
        <w:t>a Plataforma Nacional de Transparencia (PNT), vinculada al</w:t>
      </w:r>
      <w:r w:rsidRPr="00E04852">
        <w:rPr>
          <w:rFonts w:cs="Tahoma"/>
        </w:rPr>
        <w:t xml:space="preserve"> Sistema de Acceso a la Información Mexiquense (SAIMEX), </w:t>
      </w:r>
      <w:r w:rsidRPr="00E04852">
        <w:t xml:space="preserve">ante el </w:t>
      </w:r>
      <w:r w:rsidRPr="00E04852">
        <w:rPr>
          <w:b/>
          <w:bCs/>
        </w:rPr>
        <w:t>Instituto de Seguridad Social del Estado de México y Municipios</w:t>
      </w:r>
      <w:r w:rsidRPr="00E04852">
        <w:rPr>
          <w:rFonts w:cs="Tahoma"/>
        </w:rPr>
        <w:t>, mediante el cual requirió lo siguiente:</w:t>
      </w:r>
    </w:p>
    <w:p w:rsidRPr="00E04852" w:rsidR="00D51763" w:rsidP="005D6B1A" w:rsidRDefault="00D51763" w14:paraId="2CA17B58" w14:textId="77777777">
      <w:pPr>
        <w:spacing w:after="0" w:line="240" w:lineRule="auto"/>
        <w:rPr>
          <w:rFonts w:eastAsia="Times New Roman" w:cs="Times New Roman"/>
          <w:b/>
          <w:bCs/>
          <w:color w:val="auto"/>
          <w:lang w:eastAsia="es-MX"/>
        </w:rPr>
      </w:pPr>
    </w:p>
    <w:p w:rsidRPr="003D2E44" w:rsidR="00D51763" w:rsidP="005D6B1A" w:rsidRDefault="00120D5A" w14:paraId="4A05B416" w14:textId="3FF6DD04">
      <w:pPr>
        <w:tabs>
          <w:tab w:val="left" w:pos="567"/>
        </w:tabs>
        <w:spacing w:after="0" w:line="360" w:lineRule="auto"/>
        <w:ind w:left="567" w:right="616"/>
        <w:rPr>
          <w:rFonts w:eastAsia="Times New Roman" w:cs="Times New Roman"/>
          <w:color w:val="auto"/>
          <w:sz w:val="20"/>
          <w:szCs w:val="20"/>
          <w:lang w:eastAsia="es-MX"/>
        </w:rPr>
      </w:pPr>
      <w:r>
        <w:rPr>
          <w:b/>
          <w:bCs/>
          <w:i/>
          <w:iCs/>
          <w:sz w:val="20"/>
          <w:szCs w:val="20"/>
        </w:rPr>
        <w:t>“</w:t>
      </w:r>
      <w:r>
        <w:rPr>
          <w:b/>
          <w:bCs/>
          <w:i/>
          <w:iCs/>
          <w:sz w:val="20"/>
          <w:szCs w:val="20"/>
        </w:rPr>
        <w:tab/>
      </w:r>
      <w:r w:rsidRPr="003D2E44" w:rsidR="00D51763">
        <w:rPr>
          <w:b/>
          <w:bCs/>
          <w:i/>
          <w:iCs/>
          <w:sz w:val="20"/>
          <w:szCs w:val="20"/>
        </w:rPr>
        <w:t>DESCRIPCIÓN CLARA Y PRECISA DE LA INFORMACIÓN SOLICITADA</w:t>
      </w:r>
    </w:p>
    <w:p w:rsidRPr="004B3796" w:rsidR="00D51763" w:rsidP="005D6B1A" w:rsidRDefault="00D51763" w14:paraId="57DA9704" w14:textId="7C2E98D8">
      <w:pPr>
        <w:tabs>
          <w:tab w:val="left" w:pos="567"/>
        </w:tabs>
        <w:spacing w:after="0" w:line="360" w:lineRule="auto"/>
        <w:ind w:left="567" w:right="616"/>
        <w:rPr>
          <w:i/>
          <w:iCs/>
          <w:sz w:val="20"/>
          <w:szCs w:val="20"/>
        </w:rPr>
      </w:pPr>
      <w:r w:rsidRPr="003D2E44">
        <w:rPr>
          <w:i/>
          <w:iCs/>
          <w:sz w:val="20"/>
          <w:szCs w:val="20"/>
        </w:rPr>
        <w:t>“</w:t>
      </w:r>
      <w:r w:rsidRPr="00A336FF" w:rsidR="00A336FF">
        <w:rPr>
          <w:i/>
          <w:iCs/>
          <w:sz w:val="20"/>
          <w:szCs w:val="20"/>
        </w:rPr>
        <w:t>Copia simple de Expediente Clínico, que contenga: Historial clínico Registro de consultas Consulta externa a la que acudía con regularidad. Firma y Cedula profesional de médico familiar y/o médico tratante</w:t>
      </w:r>
      <w:r w:rsidR="004B3796">
        <w:rPr>
          <w:i/>
          <w:iCs/>
          <w:sz w:val="20"/>
          <w:szCs w:val="20"/>
        </w:rPr>
        <w:t>” (Sic)</w:t>
      </w:r>
    </w:p>
    <w:p w:rsidRPr="003D2E44" w:rsidR="004B3796" w:rsidP="005D6B1A" w:rsidRDefault="004B3796" w14:paraId="2BA836C8" w14:textId="77777777">
      <w:pPr>
        <w:tabs>
          <w:tab w:val="left" w:pos="567"/>
        </w:tabs>
        <w:spacing w:after="0" w:line="360" w:lineRule="auto"/>
        <w:ind w:left="567" w:right="616"/>
        <w:rPr>
          <w:i/>
          <w:iCs/>
          <w:sz w:val="20"/>
          <w:szCs w:val="20"/>
        </w:rPr>
      </w:pPr>
    </w:p>
    <w:p w:rsidRPr="00A336FF" w:rsidR="00D51763" w:rsidP="005D6B1A" w:rsidRDefault="00A336FF" w14:paraId="7780D2DE" w14:textId="5E578BC8">
      <w:pPr>
        <w:tabs>
          <w:tab w:val="left" w:pos="567"/>
        </w:tabs>
        <w:spacing w:after="0" w:line="360" w:lineRule="auto"/>
        <w:ind w:left="567" w:right="616"/>
        <w:rPr>
          <w:b/>
          <w:bCs/>
          <w:i/>
          <w:iCs/>
          <w:sz w:val="20"/>
          <w:szCs w:val="20"/>
        </w:rPr>
      </w:pPr>
      <w:r w:rsidRPr="00A336FF">
        <w:rPr>
          <w:b/>
          <w:bCs/>
          <w:i/>
          <w:iCs/>
          <w:sz w:val="20"/>
          <w:szCs w:val="20"/>
        </w:rPr>
        <w:lastRenderedPageBreak/>
        <w:t>CUALQUIER OTRO DETALLE QUE FACILITE LA BÚSQUEDA DE LA INFORMACIÓN:</w:t>
      </w:r>
    </w:p>
    <w:p w:rsidRPr="003D2E44" w:rsidR="00D51763" w:rsidP="005D6B1A" w:rsidRDefault="00D51763" w14:paraId="24267886" w14:textId="77777777">
      <w:pPr>
        <w:tabs>
          <w:tab w:val="left" w:pos="567"/>
        </w:tabs>
        <w:spacing w:after="0" w:line="360" w:lineRule="auto"/>
        <w:ind w:left="567" w:right="616"/>
        <w:rPr>
          <w:i/>
          <w:iCs/>
          <w:sz w:val="20"/>
          <w:szCs w:val="20"/>
        </w:rPr>
      </w:pPr>
      <w:r w:rsidRPr="003D2E44">
        <w:rPr>
          <w:i/>
          <w:iCs/>
          <w:sz w:val="20"/>
          <w:szCs w:val="20"/>
        </w:rPr>
        <w:t>SAIMEX</w:t>
      </w:r>
    </w:p>
    <w:p w:rsidRPr="00120D5A" w:rsidR="004B3796" w:rsidP="0EE438C3" w:rsidRDefault="00120D5A" w14:paraId="140AA854" w14:textId="02CD43AF">
      <w:pPr>
        <w:tabs>
          <w:tab w:val="left" w:pos="567"/>
        </w:tabs>
        <w:spacing w:after="0" w:line="360" w:lineRule="auto"/>
        <w:ind w:left="567" w:right="616"/>
        <w:rPr>
          <w:i w:val="1"/>
          <w:iCs w:val="1"/>
          <w:sz w:val="20"/>
          <w:szCs w:val="20"/>
        </w:rPr>
      </w:pPr>
      <w:r w:rsidRPr="0EE438C3" w:rsidR="0EE438C3">
        <w:rPr>
          <w:i w:val="1"/>
          <w:iCs w:val="1"/>
          <w:sz w:val="20"/>
          <w:szCs w:val="20"/>
        </w:rPr>
        <w:t xml:space="preserve">Nombre: </w:t>
      </w:r>
      <w:r w:rsidRPr="0EE438C3" w:rsidR="0EE438C3">
        <w:rPr>
          <w:i w:val="1"/>
          <w:iCs w:val="1"/>
          <w:sz w:val="20"/>
          <w:szCs w:val="20"/>
          <w:highlight w:val="black"/>
        </w:rPr>
        <w:t>XXXXXXXXXXXXXXXXXXX</w:t>
      </w:r>
      <w:r w:rsidRPr="0EE438C3" w:rsidR="0EE438C3">
        <w:rPr>
          <w:i w:val="1"/>
          <w:iCs w:val="1"/>
          <w:sz w:val="20"/>
          <w:szCs w:val="20"/>
        </w:rPr>
        <w:t xml:space="preserve"> No. Afiliación: </w:t>
      </w:r>
      <w:r w:rsidRPr="0EE438C3" w:rsidR="0EE438C3">
        <w:rPr>
          <w:i w:val="1"/>
          <w:iCs w:val="1"/>
          <w:sz w:val="20"/>
          <w:szCs w:val="20"/>
          <w:highlight w:val="black"/>
        </w:rPr>
        <w:t>XXXXXXX</w:t>
      </w:r>
      <w:r w:rsidRPr="0EE438C3" w:rsidR="0EE438C3">
        <w:rPr>
          <w:i w:val="1"/>
          <w:iCs w:val="1"/>
          <w:sz w:val="20"/>
          <w:szCs w:val="20"/>
        </w:rPr>
        <w:t>. Clínica de Medicina Externa: 3107” (Sic)</w:t>
      </w:r>
    </w:p>
    <w:p w:rsidR="00120D5A" w:rsidP="005D6B1A" w:rsidRDefault="00120D5A" w14:paraId="54CF5F0C" w14:textId="77777777">
      <w:pPr>
        <w:pStyle w:val="Prrafodelista"/>
        <w:tabs>
          <w:tab w:val="left" w:pos="567"/>
        </w:tabs>
        <w:spacing w:after="0" w:line="360" w:lineRule="auto"/>
        <w:ind w:right="616"/>
      </w:pPr>
    </w:p>
    <w:p w:rsidRPr="00120D5A" w:rsidR="004B3796" w:rsidP="005D6B1A" w:rsidRDefault="00120D5A" w14:paraId="0D5D0FDC" w14:textId="270320E5">
      <w:pPr>
        <w:tabs>
          <w:tab w:val="left" w:pos="4667"/>
        </w:tabs>
        <w:spacing w:after="0" w:line="360" w:lineRule="auto"/>
        <w:contextualSpacing/>
        <w:rPr>
          <w:rFonts w:cs="Tahoma"/>
          <w:bCs/>
          <w:iCs/>
        </w:rPr>
      </w:pPr>
      <w:r w:rsidRPr="00120D5A">
        <w:rPr>
          <w:rFonts w:cs="Tahoma"/>
          <w:bCs/>
          <w:iCs/>
        </w:rPr>
        <w:t>A su solicitud, no integró documentos por los cuales acredité identidad, ni representación.</w:t>
      </w:r>
    </w:p>
    <w:p w:rsidRPr="00E04852" w:rsidR="00D51763" w:rsidP="005D6B1A" w:rsidRDefault="00D51763" w14:paraId="57B94213" w14:textId="77777777">
      <w:pPr>
        <w:tabs>
          <w:tab w:val="left" w:pos="567"/>
        </w:tabs>
        <w:spacing w:after="0" w:line="360" w:lineRule="auto"/>
        <w:ind w:right="616"/>
      </w:pPr>
    </w:p>
    <w:p w:rsidR="00D51763" w:rsidP="005D6B1A" w:rsidRDefault="00D51763" w14:paraId="7928B069" w14:textId="32A6E05C">
      <w:pPr>
        <w:pStyle w:val="Prrafodelista"/>
        <w:tabs>
          <w:tab w:val="left" w:pos="567"/>
        </w:tabs>
        <w:spacing w:after="0" w:line="360" w:lineRule="auto"/>
        <w:ind w:left="0"/>
        <w:rPr>
          <w:rFonts w:cs="Tahoma"/>
          <w:b/>
        </w:rPr>
      </w:pPr>
      <w:r w:rsidRPr="00E04852">
        <w:rPr>
          <w:rFonts w:cs="Tahoma"/>
          <w:b/>
        </w:rPr>
        <w:t>II.</w:t>
      </w:r>
      <w:r w:rsidR="008E3ABB">
        <w:rPr>
          <w:rFonts w:cs="Tahoma"/>
          <w:b/>
        </w:rPr>
        <w:t xml:space="preserve"> </w:t>
      </w:r>
      <w:r w:rsidR="005E2840">
        <w:rPr>
          <w:rFonts w:cs="Tahoma"/>
          <w:b/>
        </w:rPr>
        <w:t>Respuesta del Sujeto Obligado</w:t>
      </w:r>
      <w:r w:rsidRPr="00E04852">
        <w:rPr>
          <w:rFonts w:cs="Tahoma"/>
          <w:b/>
        </w:rPr>
        <w:t>.</w:t>
      </w:r>
    </w:p>
    <w:p w:rsidRPr="00E04852" w:rsidR="00B24F7A" w:rsidP="005D6B1A" w:rsidRDefault="00B24F7A" w14:paraId="23D764C2" w14:textId="77777777">
      <w:pPr>
        <w:pStyle w:val="Prrafodelista"/>
        <w:tabs>
          <w:tab w:val="left" w:pos="567"/>
        </w:tabs>
        <w:spacing w:after="0" w:line="360" w:lineRule="auto"/>
        <w:ind w:left="0"/>
        <w:rPr>
          <w:rFonts w:cs="Tahoma"/>
          <w:b/>
        </w:rPr>
      </w:pPr>
    </w:p>
    <w:p w:rsidRPr="00E04852" w:rsidR="00D51763" w:rsidP="6A41D11E" w:rsidRDefault="6A41D11E" w14:paraId="2904A05C" w14:textId="6F214ABB">
      <w:pPr>
        <w:tabs>
          <w:tab w:val="left" w:pos="4667"/>
        </w:tabs>
        <w:spacing w:after="0" w:line="360" w:lineRule="auto"/>
        <w:contextualSpacing/>
        <w:rPr>
          <w:rFonts w:cs="Tahoma"/>
        </w:rPr>
      </w:pPr>
      <w:r w:rsidRPr="6A41D11E">
        <w:rPr>
          <w:rFonts w:cs="Tahoma"/>
        </w:rPr>
        <w:t xml:space="preserve">El trece de octubre del dos </w:t>
      </w:r>
      <w:proofErr w:type="gramStart"/>
      <w:r w:rsidRPr="6A41D11E">
        <w:rPr>
          <w:rFonts w:cs="Tahoma"/>
        </w:rPr>
        <w:t>mil veintiuno</w:t>
      </w:r>
      <w:proofErr w:type="gramEnd"/>
      <w:r w:rsidRPr="6A41D11E">
        <w:rPr>
          <w:rFonts w:cs="Tahoma"/>
        </w:rPr>
        <w:t>, el Sujeto Obligado respondió a la solicitud del Particular en los siguientes términos:</w:t>
      </w:r>
    </w:p>
    <w:p w:rsidRPr="005E2840" w:rsidR="00D51763" w:rsidP="005D6B1A" w:rsidRDefault="00D51763" w14:paraId="3188B8C6" w14:textId="77777777">
      <w:pPr>
        <w:tabs>
          <w:tab w:val="left" w:pos="567"/>
        </w:tabs>
        <w:spacing w:after="0" w:line="360" w:lineRule="auto"/>
        <w:ind w:left="567" w:right="616"/>
        <w:rPr>
          <w:i/>
          <w:iCs/>
          <w:sz w:val="20"/>
          <w:szCs w:val="20"/>
        </w:rPr>
      </w:pPr>
    </w:p>
    <w:p w:rsidRPr="005E2840" w:rsidR="005E2840" w:rsidP="005D6B1A" w:rsidRDefault="00D51763" w14:paraId="4E6702A7" w14:textId="77777777">
      <w:pPr>
        <w:tabs>
          <w:tab w:val="left" w:pos="567"/>
        </w:tabs>
        <w:spacing w:after="0" w:line="360" w:lineRule="auto"/>
        <w:ind w:left="567" w:right="616"/>
        <w:rPr>
          <w:i/>
          <w:iCs/>
          <w:sz w:val="20"/>
          <w:szCs w:val="20"/>
        </w:rPr>
      </w:pPr>
      <w:r w:rsidRPr="007E2A14">
        <w:rPr>
          <w:i/>
          <w:iCs/>
          <w:sz w:val="20"/>
          <w:szCs w:val="20"/>
        </w:rPr>
        <w:t>“</w:t>
      </w:r>
      <w:r w:rsidRPr="005E2840" w:rsidR="005E2840">
        <w:rPr>
          <w:i/>
          <w:iCs/>
          <w:sz w:val="20"/>
          <w:szCs w:val="20"/>
        </w:rPr>
        <w:t xml:space="preserve">RESPUESTA EMITIDA A SU SOLICITUD DE INFORMACIÓN </w:t>
      </w:r>
    </w:p>
    <w:p w:rsidRPr="005E2840" w:rsidR="005E2840" w:rsidP="0EE438C3" w:rsidRDefault="005E2840" w14:paraId="6C341C7F" w14:textId="4DC09613">
      <w:pPr>
        <w:tabs>
          <w:tab w:val="left" w:pos="567"/>
        </w:tabs>
        <w:spacing w:after="0" w:line="360" w:lineRule="auto"/>
        <w:ind w:left="567" w:right="616"/>
        <w:rPr>
          <w:i w:val="1"/>
          <w:iCs w:val="1"/>
          <w:sz w:val="20"/>
          <w:szCs w:val="20"/>
        </w:rPr>
      </w:pPr>
      <w:r w:rsidRPr="0EE438C3" w:rsidR="0EE438C3">
        <w:rPr>
          <w:i w:val="1"/>
          <w:iCs w:val="1"/>
          <w:sz w:val="20"/>
          <w:szCs w:val="20"/>
        </w:rPr>
        <w:t xml:space="preserve">Con fundamento en los artículos 4, 12 y 16, de la Ley de Transparencia y Acceso a la Información Pública del Estado de México y Municipios. de acuerdo con lo comunicado por el Servidor Público Habilitado de la Clínica de Consulta Externa Naucalpan se hace de su conocimiento a la particular que no se cuenta con Expediente electrónico de atención medica al C. </w:t>
      </w:r>
      <w:r w:rsidRPr="0EE438C3" w:rsidR="0EE438C3">
        <w:rPr>
          <w:i w:val="1"/>
          <w:iCs w:val="1"/>
          <w:sz w:val="20"/>
          <w:szCs w:val="20"/>
          <w:highlight w:val="black"/>
        </w:rPr>
        <w:t>XXXXXXXXX</w:t>
      </w:r>
      <w:r w:rsidRPr="0EE438C3" w:rsidR="0EE438C3">
        <w:rPr>
          <w:i w:val="1"/>
          <w:iCs w:val="1"/>
          <w:sz w:val="20"/>
          <w:szCs w:val="20"/>
        </w:rPr>
        <w:t xml:space="preserve"> </w:t>
      </w:r>
      <w:proofErr w:type="spellStart"/>
      <w:r w:rsidRPr="0EE438C3" w:rsidR="0EE438C3">
        <w:rPr>
          <w:i w:val="1"/>
          <w:iCs w:val="1"/>
          <w:sz w:val="20"/>
          <w:szCs w:val="20"/>
          <w:highlight w:val="black"/>
        </w:rPr>
        <w:t>XXXXXXXXX</w:t>
      </w:r>
      <w:proofErr w:type="spellEnd"/>
      <w:r w:rsidRPr="0EE438C3" w:rsidR="0EE438C3">
        <w:rPr>
          <w:i w:val="1"/>
          <w:iCs w:val="1"/>
          <w:sz w:val="20"/>
          <w:szCs w:val="20"/>
        </w:rPr>
        <w:t xml:space="preserve"> en la Clínica de Consulta Externa Naucalpan. </w:t>
      </w:r>
    </w:p>
    <w:p w:rsidR="005E2840" w:rsidP="005D6B1A" w:rsidRDefault="005E2840" w14:paraId="02C635B1" w14:textId="77777777">
      <w:pPr>
        <w:tabs>
          <w:tab w:val="left" w:pos="567"/>
        </w:tabs>
        <w:spacing w:after="0" w:line="360" w:lineRule="auto"/>
        <w:ind w:left="567" w:right="616"/>
        <w:rPr>
          <w:i/>
          <w:iCs/>
          <w:sz w:val="20"/>
          <w:szCs w:val="20"/>
        </w:rPr>
      </w:pPr>
    </w:p>
    <w:p w:rsidRPr="007E2A14" w:rsidR="00D51763" w:rsidP="005D6B1A" w:rsidRDefault="005E2840" w14:paraId="274D5409" w14:textId="6AC5455A">
      <w:pPr>
        <w:tabs>
          <w:tab w:val="left" w:pos="567"/>
        </w:tabs>
        <w:spacing w:after="0" w:line="360" w:lineRule="auto"/>
        <w:ind w:left="567" w:right="616"/>
        <w:rPr>
          <w:i/>
          <w:iCs/>
          <w:sz w:val="20"/>
          <w:szCs w:val="20"/>
        </w:rPr>
      </w:pPr>
      <w:r w:rsidRPr="005E2840">
        <w:rPr>
          <w:i/>
          <w:iCs/>
          <w:sz w:val="20"/>
          <w:szCs w:val="20"/>
        </w:rPr>
        <w:t>Por lo que no se proporciona la información solicitada por no generarse. ni obrar en los</w:t>
      </w:r>
      <w:r>
        <w:rPr>
          <w:i/>
          <w:iCs/>
          <w:sz w:val="20"/>
          <w:szCs w:val="20"/>
        </w:rPr>
        <w:t xml:space="preserve"> </w:t>
      </w:r>
      <w:r w:rsidRPr="005E2840">
        <w:rPr>
          <w:i/>
          <w:iCs/>
          <w:sz w:val="20"/>
          <w:szCs w:val="20"/>
        </w:rPr>
        <w:t>archivos de este sujeto obligado.</w:t>
      </w:r>
      <w:r w:rsidRPr="007E2A14" w:rsidR="007E2A14">
        <w:rPr>
          <w:i/>
          <w:iCs/>
          <w:sz w:val="20"/>
          <w:szCs w:val="20"/>
        </w:rPr>
        <w:t xml:space="preserve">” </w:t>
      </w:r>
      <w:r w:rsidRPr="007E2A14" w:rsidR="00D51763">
        <w:rPr>
          <w:i/>
          <w:iCs/>
          <w:sz w:val="20"/>
          <w:szCs w:val="20"/>
        </w:rPr>
        <w:t>(Sic.)</w:t>
      </w:r>
    </w:p>
    <w:p w:rsidR="00D51763" w:rsidP="005D6B1A" w:rsidRDefault="00D51763" w14:paraId="5C9DB78F" w14:textId="3A267155">
      <w:pPr>
        <w:tabs>
          <w:tab w:val="left" w:pos="4667"/>
        </w:tabs>
        <w:spacing w:after="0" w:line="360" w:lineRule="auto"/>
        <w:contextualSpacing/>
        <w:rPr>
          <w:rFonts w:cs="Tahoma"/>
          <w:bCs/>
          <w:iCs/>
        </w:rPr>
      </w:pPr>
    </w:p>
    <w:p w:rsidR="008E3ABB" w:rsidP="005D6B1A" w:rsidRDefault="005E2840" w14:paraId="67CAAAA9" w14:textId="1137C311">
      <w:pPr>
        <w:tabs>
          <w:tab w:val="left" w:pos="4667"/>
        </w:tabs>
        <w:spacing w:after="0" w:line="360" w:lineRule="auto"/>
        <w:contextualSpacing/>
        <w:rPr>
          <w:rFonts w:cs="Tahoma"/>
          <w:b/>
          <w:iCs/>
        </w:rPr>
      </w:pPr>
      <w:r>
        <w:rPr>
          <w:rFonts w:cs="Tahoma"/>
          <w:b/>
          <w:iCs/>
        </w:rPr>
        <w:t>III</w:t>
      </w:r>
      <w:r w:rsidRPr="008E3ABB" w:rsidR="00E04852">
        <w:rPr>
          <w:rFonts w:cs="Tahoma"/>
          <w:b/>
          <w:iCs/>
        </w:rPr>
        <w:t xml:space="preserve">. Interposición del Recurso de Revisión. </w:t>
      </w:r>
    </w:p>
    <w:p w:rsidRPr="008E3ABB" w:rsidR="005E2840" w:rsidP="005D6B1A" w:rsidRDefault="005E2840" w14:paraId="2343165B" w14:textId="77777777">
      <w:pPr>
        <w:tabs>
          <w:tab w:val="left" w:pos="4667"/>
        </w:tabs>
        <w:spacing w:after="0" w:line="360" w:lineRule="auto"/>
        <w:contextualSpacing/>
        <w:rPr>
          <w:rFonts w:cs="Tahoma"/>
          <w:b/>
          <w:iCs/>
        </w:rPr>
      </w:pPr>
    </w:p>
    <w:p w:rsidR="008E3ABB" w:rsidP="005D6B1A" w:rsidRDefault="00E04852" w14:paraId="278853F8" w14:textId="6D65239D">
      <w:pPr>
        <w:tabs>
          <w:tab w:val="left" w:pos="4667"/>
        </w:tabs>
        <w:spacing w:after="0" w:line="360" w:lineRule="auto"/>
        <w:contextualSpacing/>
        <w:rPr>
          <w:rFonts w:cs="Tahoma"/>
          <w:bCs/>
          <w:iCs/>
        </w:rPr>
      </w:pPr>
      <w:r w:rsidRPr="003D2E44">
        <w:rPr>
          <w:rFonts w:cs="Tahoma"/>
          <w:bCs/>
          <w:iCs/>
        </w:rPr>
        <w:t xml:space="preserve">Con fecha </w:t>
      </w:r>
      <w:r w:rsidR="00147A5F">
        <w:rPr>
          <w:rFonts w:cs="Tahoma"/>
          <w:bCs/>
          <w:iCs/>
        </w:rPr>
        <w:t>cuatro</w:t>
      </w:r>
      <w:r w:rsidRPr="003D2E44">
        <w:rPr>
          <w:rFonts w:cs="Tahoma"/>
          <w:bCs/>
          <w:iCs/>
        </w:rPr>
        <w:t xml:space="preserve"> de </w:t>
      </w:r>
      <w:r w:rsidR="00147A5F">
        <w:rPr>
          <w:rFonts w:cs="Tahoma"/>
          <w:bCs/>
          <w:iCs/>
        </w:rPr>
        <w:t>noviembre</w:t>
      </w:r>
      <w:r w:rsidRPr="003D2E44">
        <w:rPr>
          <w:rFonts w:cs="Tahoma"/>
          <w:bCs/>
          <w:iCs/>
        </w:rPr>
        <w:t xml:space="preserve"> de dos mil </w:t>
      </w:r>
      <w:r w:rsidR="008E3ABB">
        <w:rPr>
          <w:rFonts w:cs="Tahoma"/>
          <w:bCs/>
          <w:iCs/>
        </w:rPr>
        <w:t>veintiuno</w:t>
      </w:r>
      <w:r w:rsidRPr="003D2E44">
        <w:rPr>
          <w:rFonts w:cs="Tahoma"/>
          <w:bCs/>
          <w:iCs/>
        </w:rPr>
        <w:t xml:space="preserve">, a través del Sistema de Acceso a la Información Mexiquense (SAIMEX), se interpuso el presente Recurso de Revisión por la Recurrente, en contra de la respuesta emitida por el Sujeto Obligado a la solicitud de información, en los siguientes términos: </w:t>
      </w:r>
    </w:p>
    <w:p w:rsidR="008E3ABB" w:rsidP="005D6B1A" w:rsidRDefault="008E3ABB" w14:paraId="006F3A6E" w14:textId="77777777">
      <w:pPr>
        <w:tabs>
          <w:tab w:val="left" w:pos="4667"/>
        </w:tabs>
        <w:spacing w:after="0" w:line="360" w:lineRule="auto"/>
        <w:contextualSpacing/>
        <w:rPr>
          <w:rFonts w:cs="Tahoma"/>
          <w:bCs/>
          <w:iCs/>
        </w:rPr>
      </w:pPr>
    </w:p>
    <w:p w:rsidRPr="008E3ABB" w:rsidR="008E3ABB" w:rsidP="005D6B1A" w:rsidRDefault="00E04852" w14:paraId="039925B8" w14:textId="77777777">
      <w:pPr>
        <w:tabs>
          <w:tab w:val="left" w:pos="567"/>
        </w:tabs>
        <w:spacing w:after="0" w:line="360" w:lineRule="auto"/>
        <w:ind w:left="567" w:right="616"/>
        <w:rPr>
          <w:i/>
          <w:iCs/>
          <w:sz w:val="20"/>
          <w:szCs w:val="20"/>
        </w:rPr>
      </w:pPr>
      <w:r w:rsidRPr="008E3ABB">
        <w:rPr>
          <w:i/>
          <w:iCs/>
          <w:sz w:val="20"/>
          <w:szCs w:val="20"/>
        </w:rPr>
        <w:t xml:space="preserve">ACTO IMPUGNADO: </w:t>
      </w:r>
    </w:p>
    <w:p w:rsidRPr="00147A5F" w:rsidR="00147A5F" w:rsidP="005D6B1A" w:rsidRDefault="00147A5F" w14:paraId="3ECE0478" w14:textId="77777777">
      <w:pPr>
        <w:tabs>
          <w:tab w:val="left" w:pos="567"/>
        </w:tabs>
        <w:spacing w:after="0" w:line="360" w:lineRule="auto"/>
        <w:ind w:left="567" w:right="616"/>
        <w:rPr>
          <w:i/>
          <w:iCs/>
          <w:sz w:val="20"/>
          <w:szCs w:val="20"/>
        </w:rPr>
      </w:pPr>
      <w:r w:rsidRPr="00147A5F">
        <w:rPr>
          <w:i/>
          <w:iCs/>
          <w:sz w:val="20"/>
          <w:szCs w:val="20"/>
        </w:rPr>
        <w:t xml:space="preserve">Mediante la solicitud requerí la información de mi hermano, del expediente clínico, señale los datos de la unidad médica 3107, sin embargo, de la revisión a certificado de defunción fue atendido y falleció en el hospital regional Tlalnepantla, el sujeto obligado en la respuesta me niegan la información y no </w:t>
      </w:r>
      <w:proofErr w:type="spellStart"/>
      <w:r w:rsidRPr="00147A5F">
        <w:rPr>
          <w:i/>
          <w:iCs/>
          <w:sz w:val="20"/>
          <w:szCs w:val="20"/>
        </w:rPr>
        <w:t>se</w:t>
      </w:r>
      <w:proofErr w:type="spellEnd"/>
      <w:r w:rsidRPr="00147A5F">
        <w:rPr>
          <w:i/>
          <w:iCs/>
          <w:sz w:val="20"/>
          <w:szCs w:val="20"/>
        </w:rPr>
        <w:t xml:space="preserve"> si realmente se hizo una búsqueda exhaustiva, la información la requiero porque soy beneficiaria de un seguro de vida. Por lo que, atendiendo a lo previsto en el artículo 122 de la Ley de transparencia del estado de </w:t>
      </w:r>
      <w:proofErr w:type="spellStart"/>
      <w:r w:rsidRPr="00147A5F">
        <w:rPr>
          <w:i/>
          <w:iCs/>
          <w:sz w:val="20"/>
          <w:szCs w:val="20"/>
        </w:rPr>
        <w:t>méxico</w:t>
      </w:r>
      <w:proofErr w:type="spellEnd"/>
      <w:r w:rsidRPr="00147A5F">
        <w:rPr>
          <w:i/>
          <w:iCs/>
          <w:sz w:val="20"/>
          <w:szCs w:val="20"/>
        </w:rPr>
        <w:t>, el cual menciona que “La interposición de un recurso de revisión de datos personales concernientes a personas fallecidas, podrá realizarla la persona que acredite tener un interés jurídico o legítimo”, cuento con un interés legítimo, para demostrarlo adjunto los siguientes documentos y les pida que se revise en el hospital el expediente clínico, para poder cumplir con los requisitos de la aseguradora.</w:t>
      </w:r>
    </w:p>
    <w:p w:rsidRPr="008E3ABB" w:rsidR="008E3ABB" w:rsidP="005D6B1A" w:rsidRDefault="008E3ABB" w14:paraId="2D7487B5" w14:textId="77777777">
      <w:pPr>
        <w:tabs>
          <w:tab w:val="left" w:pos="567"/>
        </w:tabs>
        <w:spacing w:after="0" w:line="360" w:lineRule="auto"/>
        <w:ind w:left="567" w:right="616"/>
        <w:rPr>
          <w:i/>
          <w:iCs/>
          <w:sz w:val="20"/>
          <w:szCs w:val="20"/>
        </w:rPr>
      </w:pPr>
    </w:p>
    <w:p w:rsidRPr="008E3ABB" w:rsidR="008E3ABB" w:rsidP="005D6B1A" w:rsidRDefault="00E04852" w14:paraId="44DDE5CC" w14:textId="77777777">
      <w:pPr>
        <w:tabs>
          <w:tab w:val="left" w:pos="567"/>
        </w:tabs>
        <w:spacing w:after="0" w:line="360" w:lineRule="auto"/>
        <w:ind w:left="567" w:right="616"/>
        <w:rPr>
          <w:i/>
          <w:iCs/>
          <w:sz w:val="20"/>
          <w:szCs w:val="20"/>
        </w:rPr>
      </w:pPr>
      <w:r w:rsidRPr="008E3ABB">
        <w:rPr>
          <w:i/>
          <w:iCs/>
          <w:sz w:val="20"/>
          <w:szCs w:val="20"/>
        </w:rPr>
        <w:t xml:space="preserve">RAZONES O MOTIVOS DE LA INCONFORMIDAD. </w:t>
      </w:r>
    </w:p>
    <w:p w:rsidRPr="008E3ABB" w:rsidR="008E3ABB" w:rsidP="005D6B1A" w:rsidRDefault="00147A5F" w14:paraId="7B796C64" w14:textId="3DE50C5E">
      <w:pPr>
        <w:tabs>
          <w:tab w:val="left" w:pos="567"/>
        </w:tabs>
        <w:spacing w:after="0" w:line="360" w:lineRule="auto"/>
        <w:ind w:left="567" w:right="616"/>
        <w:rPr>
          <w:i/>
          <w:iCs/>
          <w:sz w:val="20"/>
          <w:szCs w:val="20"/>
        </w:rPr>
      </w:pPr>
      <w:proofErr w:type="gramStart"/>
      <w:r>
        <w:rPr>
          <w:i/>
          <w:iCs/>
          <w:sz w:val="20"/>
          <w:szCs w:val="20"/>
        </w:rPr>
        <w:t>“ (</w:t>
      </w:r>
      <w:proofErr w:type="gramEnd"/>
      <w:r>
        <w:rPr>
          <w:i/>
          <w:iCs/>
          <w:sz w:val="20"/>
          <w:szCs w:val="20"/>
        </w:rPr>
        <w:t>Sic)</w:t>
      </w:r>
    </w:p>
    <w:p w:rsidR="008E3ABB" w:rsidP="005D6B1A" w:rsidRDefault="008E3ABB" w14:paraId="0D963439" w14:textId="1718592D">
      <w:pPr>
        <w:tabs>
          <w:tab w:val="left" w:pos="4667"/>
        </w:tabs>
        <w:spacing w:after="0" w:line="360" w:lineRule="auto"/>
        <w:contextualSpacing/>
        <w:rPr>
          <w:rFonts w:cs="Tahoma"/>
          <w:bCs/>
          <w:iCs/>
        </w:rPr>
      </w:pPr>
    </w:p>
    <w:p w:rsidR="00147A5F" w:rsidP="005D6B1A" w:rsidRDefault="00147A5F" w14:paraId="20178849" w14:textId="77777777">
      <w:pPr>
        <w:tabs>
          <w:tab w:val="left" w:pos="4667"/>
        </w:tabs>
        <w:spacing w:after="0" w:line="360" w:lineRule="auto"/>
        <w:contextualSpacing/>
        <w:rPr>
          <w:rFonts w:cs="Tahoma"/>
          <w:bCs/>
          <w:iCs/>
        </w:rPr>
      </w:pPr>
      <w:r>
        <w:rPr>
          <w:rFonts w:cs="Tahoma"/>
          <w:bCs/>
          <w:iCs/>
        </w:rPr>
        <w:t>Únicamente hay acto impugnado sin la descripción de las razones o motivos de inconformidad; a</w:t>
      </w:r>
      <w:r w:rsidR="004B3796">
        <w:rPr>
          <w:rFonts w:cs="Tahoma"/>
          <w:bCs/>
          <w:iCs/>
        </w:rPr>
        <w:t xml:space="preserve"> la interposición del Recurso de Revisión, adjuntó un archivo, por medio del cual </w:t>
      </w:r>
      <w:r>
        <w:rPr>
          <w:rFonts w:cs="Tahoma"/>
          <w:bCs/>
          <w:iCs/>
        </w:rPr>
        <w:t>remitió el siguiente documento:</w:t>
      </w:r>
    </w:p>
    <w:p w:rsidR="00147A5F" w:rsidP="005D6B1A" w:rsidRDefault="00147A5F" w14:paraId="02B9DAD3" w14:textId="77777777">
      <w:pPr>
        <w:tabs>
          <w:tab w:val="left" w:pos="4667"/>
        </w:tabs>
        <w:spacing w:after="0" w:line="360" w:lineRule="auto"/>
        <w:contextualSpacing/>
        <w:rPr>
          <w:rFonts w:cs="Tahoma"/>
          <w:bCs/>
          <w:iCs/>
        </w:rPr>
      </w:pPr>
    </w:p>
    <w:p w:rsidRPr="00147A5F" w:rsidR="004B3796" w:rsidP="005D6B1A" w:rsidRDefault="00147A5F" w14:paraId="6072000B" w14:textId="41D425C5">
      <w:pPr>
        <w:pStyle w:val="Prrafodelista"/>
        <w:numPr>
          <w:ilvl w:val="0"/>
          <w:numId w:val="33"/>
        </w:numPr>
        <w:tabs>
          <w:tab w:val="left" w:pos="4667"/>
        </w:tabs>
        <w:spacing w:after="0" w:line="360" w:lineRule="auto"/>
        <w:rPr>
          <w:rFonts w:cs="Tahoma"/>
          <w:bCs/>
          <w:iCs/>
        </w:rPr>
      </w:pPr>
      <w:r w:rsidRPr="00147A5F">
        <w:rPr>
          <w:rFonts w:cs="Tahoma"/>
          <w:bCs/>
          <w:iCs/>
        </w:rPr>
        <w:t>Acta de defunción de su hermano fallecido.</w:t>
      </w:r>
    </w:p>
    <w:p w:rsidR="004B3796" w:rsidP="005D6B1A" w:rsidRDefault="004B3796" w14:paraId="28FB7A05" w14:textId="77777777">
      <w:pPr>
        <w:tabs>
          <w:tab w:val="left" w:pos="4667"/>
        </w:tabs>
        <w:spacing w:after="0" w:line="360" w:lineRule="auto"/>
        <w:contextualSpacing/>
        <w:rPr>
          <w:rFonts w:cs="Tahoma"/>
          <w:bCs/>
          <w:iCs/>
        </w:rPr>
      </w:pPr>
    </w:p>
    <w:p w:rsidR="008E3ABB" w:rsidP="005D6B1A" w:rsidRDefault="005E2840" w14:paraId="0C3883A4" w14:textId="5FBD56DB">
      <w:pPr>
        <w:tabs>
          <w:tab w:val="left" w:pos="4667"/>
        </w:tabs>
        <w:spacing w:after="0" w:line="360" w:lineRule="auto"/>
        <w:contextualSpacing/>
        <w:rPr>
          <w:rFonts w:cs="Tahoma"/>
          <w:b/>
          <w:iCs/>
        </w:rPr>
      </w:pPr>
      <w:r>
        <w:rPr>
          <w:rFonts w:cs="Tahoma"/>
          <w:b/>
          <w:iCs/>
        </w:rPr>
        <w:t>I</w:t>
      </w:r>
      <w:r w:rsidR="008E3ABB">
        <w:rPr>
          <w:rFonts w:cs="Tahoma"/>
          <w:b/>
          <w:iCs/>
        </w:rPr>
        <w:t xml:space="preserve">V. </w:t>
      </w:r>
      <w:r w:rsidRPr="008E3ABB" w:rsidR="00E04852">
        <w:rPr>
          <w:rFonts w:cs="Tahoma"/>
          <w:b/>
          <w:iCs/>
        </w:rPr>
        <w:t xml:space="preserve">Turno del Recurso de Revisión. </w:t>
      </w:r>
    </w:p>
    <w:p w:rsidRPr="008E3ABB" w:rsidR="005C1065" w:rsidP="005D6B1A" w:rsidRDefault="005C1065" w14:paraId="018B858A" w14:textId="77777777">
      <w:pPr>
        <w:tabs>
          <w:tab w:val="left" w:pos="4667"/>
        </w:tabs>
        <w:spacing w:after="0" w:line="360" w:lineRule="auto"/>
        <w:contextualSpacing/>
        <w:rPr>
          <w:rFonts w:cs="Tahoma"/>
          <w:b/>
          <w:iCs/>
        </w:rPr>
      </w:pPr>
    </w:p>
    <w:p w:rsidR="008E3ABB" w:rsidP="005D6B1A" w:rsidRDefault="008E3ABB" w14:paraId="03FA7B08" w14:textId="246EFF53">
      <w:pPr>
        <w:tabs>
          <w:tab w:val="left" w:pos="4667"/>
        </w:tabs>
        <w:spacing w:after="0" w:line="360" w:lineRule="auto"/>
        <w:contextualSpacing/>
        <w:rPr>
          <w:rFonts w:cs="Tahoma"/>
          <w:b/>
          <w:iCs/>
        </w:rPr>
      </w:pPr>
      <w:r w:rsidRPr="005C1065">
        <w:rPr>
          <w:rFonts w:cs="Tahoma"/>
          <w:b/>
          <w:iCs/>
        </w:rPr>
        <w:t>a) Turno del</w:t>
      </w:r>
      <w:r w:rsidRPr="005C1065" w:rsidR="005C1065">
        <w:rPr>
          <w:rFonts w:cs="Tahoma"/>
          <w:b/>
          <w:iCs/>
        </w:rPr>
        <w:t xml:space="preserve"> Medio de Impugnación.</w:t>
      </w:r>
    </w:p>
    <w:p w:rsidRPr="005C1065" w:rsidR="00A336FF" w:rsidP="005D6B1A" w:rsidRDefault="00A336FF" w14:paraId="5145D876" w14:textId="77777777">
      <w:pPr>
        <w:tabs>
          <w:tab w:val="left" w:pos="4667"/>
        </w:tabs>
        <w:spacing w:after="0" w:line="360" w:lineRule="auto"/>
        <w:contextualSpacing/>
        <w:rPr>
          <w:rFonts w:cs="Tahoma"/>
          <w:b/>
          <w:iCs/>
        </w:rPr>
      </w:pPr>
    </w:p>
    <w:p w:rsidR="005C1065" w:rsidP="005D6B1A" w:rsidRDefault="00E04852" w14:paraId="5F60C595" w14:textId="3AF04B2F">
      <w:pPr>
        <w:tabs>
          <w:tab w:val="left" w:pos="4667"/>
        </w:tabs>
        <w:spacing w:after="0" w:line="360" w:lineRule="auto"/>
        <w:contextualSpacing/>
        <w:rPr>
          <w:rFonts w:cs="Tahoma"/>
          <w:bCs/>
          <w:iCs/>
        </w:rPr>
      </w:pPr>
      <w:r w:rsidRPr="003D2E44">
        <w:rPr>
          <w:rFonts w:cs="Tahoma"/>
          <w:bCs/>
          <w:iCs/>
        </w:rPr>
        <w:t xml:space="preserve">El </w:t>
      </w:r>
      <w:r w:rsidR="00FF7819">
        <w:rPr>
          <w:rFonts w:cs="Tahoma"/>
          <w:bCs/>
          <w:iCs/>
        </w:rPr>
        <w:t>cuatro</w:t>
      </w:r>
      <w:r w:rsidR="005C1065">
        <w:rPr>
          <w:rFonts w:cs="Tahoma"/>
          <w:bCs/>
          <w:iCs/>
        </w:rPr>
        <w:t xml:space="preserve"> </w:t>
      </w:r>
      <w:r w:rsidRPr="003D2E44">
        <w:rPr>
          <w:rFonts w:cs="Tahoma"/>
          <w:bCs/>
          <w:iCs/>
        </w:rPr>
        <w:t xml:space="preserve">de </w:t>
      </w:r>
      <w:r w:rsidR="00FF7819">
        <w:rPr>
          <w:rFonts w:cs="Tahoma"/>
          <w:bCs/>
          <w:iCs/>
        </w:rPr>
        <w:t>noviembre</w:t>
      </w:r>
      <w:r w:rsidRPr="003D2E44">
        <w:rPr>
          <w:rFonts w:cs="Tahoma"/>
          <w:bCs/>
          <w:iCs/>
        </w:rPr>
        <w:t xml:space="preserve"> de dos mil </w:t>
      </w:r>
      <w:r w:rsidR="005C1065">
        <w:rPr>
          <w:rFonts w:cs="Tahoma"/>
          <w:bCs/>
          <w:iCs/>
        </w:rPr>
        <w:t>veintiuno</w:t>
      </w:r>
      <w:r w:rsidRPr="003D2E44">
        <w:rPr>
          <w:rFonts w:cs="Tahoma"/>
          <w:bCs/>
          <w:iCs/>
        </w:rPr>
        <w:t xml:space="preserve">, el Sistema de Acceso a la Información Mexiquense (SAIMEX), asignó el número de expediente </w:t>
      </w:r>
      <w:r w:rsidR="00A336FF">
        <w:rPr>
          <w:rFonts w:cs="Tahoma"/>
          <w:b/>
          <w:iCs/>
        </w:rPr>
        <w:t>05391/INFOEM/IP/RR/2021</w:t>
      </w:r>
      <w:r w:rsidRPr="003D2E44">
        <w:rPr>
          <w:rFonts w:cs="Tahoma"/>
          <w:bCs/>
          <w:iCs/>
        </w:rPr>
        <w:t xml:space="preserve">, al medio de impugnación que nos ocupa, con base en el sistema aprobado por el Pleno de este Órgano </w:t>
      </w:r>
      <w:r w:rsidRPr="003D2E44">
        <w:rPr>
          <w:rFonts w:cs="Tahoma"/>
          <w:bCs/>
          <w:iCs/>
        </w:rPr>
        <w:lastRenderedPageBreak/>
        <w:t xml:space="preserve">Garante y lo turnó al Comisionado Ponente Luis Gustavo Parra Noriega, para los efectos del artículo 185, fracción I de la Ley de Transparencia y Acceso a la Información Pública del Estado de México y Municipios. </w:t>
      </w:r>
    </w:p>
    <w:p w:rsidR="00FF7819" w:rsidP="005D6B1A" w:rsidRDefault="00FF7819" w14:paraId="343B125D" w14:textId="593C580B">
      <w:pPr>
        <w:tabs>
          <w:tab w:val="left" w:pos="4667"/>
        </w:tabs>
        <w:spacing w:after="0" w:line="360" w:lineRule="auto"/>
        <w:contextualSpacing/>
        <w:rPr>
          <w:rFonts w:cs="Tahoma"/>
          <w:bCs/>
          <w:iCs/>
        </w:rPr>
      </w:pPr>
    </w:p>
    <w:p w:rsidR="00CA664C" w:rsidP="005D6B1A" w:rsidRDefault="00FF7819" w14:paraId="6966E5DD" w14:textId="0C6C715C">
      <w:pPr>
        <w:tabs>
          <w:tab w:val="left" w:pos="4667"/>
        </w:tabs>
        <w:spacing w:after="0" w:line="360" w:lineRule="auto"/>
        <w:contextualSpacing/>
        <w:rPr>
          <w:rFonts w:cs="Tahoma"/>
          <w:bCs/>
          <w:iCs/>
        </w:rPr>
      </w:pPr>
      <w:r w:rsidRPr="00FF7819">
        <w:rPr>
          <w:rFonts w:cs="Tahoma"/>
          <w:b/>
          <w:iCs/>
        </w:rPr>
        <w:t>b) Acuerdo de prevención del Recurso de Revis</w:t>
      </w:r>
      <w:r w:rsidRPr="00CA664C">
        <w:rPr>
          <w:rFonts w:cs="Tahoma"/>
          <w:b/>
          <w:iCs/>
        </w:rPr>
        <w:t>ión</w:t>
      </w:r>
      <w:r w:rsidRPr="00CA664C" w:rsidR="00CA664C">
        <w:rPr>
          <w:rFonts w:cs="Tahoma"/>
          <w:b/>
          <w:iCs/>
        </w:rPr>
        <w:t xml:space="preserve"> y Reconducción de Vía.</w:t>
      </w:r>
    </w:p>
    <w:p w:rsidR="00CA664C" w:rsidP="005D6B1A" w:rsidRDefault="00CA664C" w14:paraId="64244321" w14:textId="77777777">
      <w:pPr>
        <w:tabs>
          <w:tab w:val="left" w:pos="4667"/>
        </w:tabs>
        <w:spacing w:after="0" w:line="360" w:lineRule="auto"/>
        <w:contextualSpacing/>
        <w:rPr>
          <w:rFonts w:cs="Tahoma"/>
          <w:bCs/>
          <w:iCs/>
        </w:rPr>
      </w:pPr>
    </w:p>
    <w:p w:rsidR="00FF7819" w:rsidP="005D6B1A" w:rsidRDefault="00FF7819" w14:paraId="7B0A8B2A" w14:textId="37458FF8">
      <w:pPr>
        <w:tabs>
          <w:tab w:val="left" w:pos="4667"/>
        </w:tabs>
        <w:spacing w:after="0" w:line="360" w:lineRule="auto"/>
        <w:contextualSpacing/>
        <w:rPr>
          <w:rFonts w:cs="Tahoma"/>
          <w:bCs/>
          <w:iCs/>
        </w:rPr>
      </w:pPr>
      <w:r>
        <w:rPr>
          <w:rFonts w:cs="Tahoma"/>
          <w:bCs/>
          <w:iCs/>
        </w:rPr>
        <w:t xml:space="preserve">A través de acuerdo de nueve de noviembre del dos </w:t>
      </w:r>
      <w:proofErr w:type="gramStart"/>
      <w:r>
        <w:rPr>
          <w:rFonts w:cs="Tahoma"/>
          <w:bCs/>
          <w:iCs/>
        </w:rPr>
        <w:t>mil veintiuno</w:t>
      </w:r>
      <w:proofErr w:type="gramEnd"/>
      <w:r>
        <w:rPr>
          <w:rFonts w:cs="Tahoma"/>
          <w:bCs/>
          <w:iCs/>
        </w:rPr>
        <w:t xml:space="preserve">, notificado al día siguiente, </w:t>
      </w:r>
      <w:r w:rsidR="00CA664C">
        <w:rPr>
          <w:rFonts w:cs="Tahoma"/>
          <w:bCs/>
          <w:iCs/>
        </w:rPr>
        <w:t>este Organismo Garante, previno a la Particular, para que, en el término no mayor a cinco días hábiles, remitiera documento que sirviera para acreditar identidad.</w:t>
      </w:r>
    </w:p>
    <w:p w:rsidR="00CA664C" w:rsidP="005D6B1A" w:rsidRDefault="00CA664C" w14:paraId="02B0E3C1" w14:textId="571E219A">
      <w:pPr>
        <w:tabs>
          <w:tab w:val="left" w:pos="4667"/>
        </w:tabs>
        <w:spacing w:after="0" w:line="360" w:lineRule="auto"/>
        <w:contextualSpacing/>
        <w:rPr>
          <w:rFonts w:cs="Tahoma"/>
          <w:bCs/>
          <w:iCs/>
        </w:rPr>
      </w:pPr>
    </w:p>
    <w:p w:rsidR="00CA664C" w:rsidP="005D6B1A" w:rsidRDefault="00CA664C" w14:paraId="39FBFD85" w14:textId="40C440CF">
      <w:pPr>
        <w:tabs>
          <w:tab w:val="left" w:pos="4667"/>
        </w:tabs>
        <w:spacing w:after="0" w:line="360" w:lineRule="auto"/>
        <w:contextualSpacing/>
        <w:rPr>
          <w:rFonts w:cs="Tahoma"/>
          <w:bCs/>
          <w:iCs/>
        </w:rPr>
      </w:pPr>
      <w:r>
        <w:rPr>
          <w:rFonts w:cs="Tahoma"/>
          <w:bCs/>
          <w:iCs/>
        </w:rPr>
        <w:t>En el mismo acto, se recondujo la vía para darle tratamiento en ajuste a la normatividad aplicable en materia de Protección de Datos Personales, en atención a que se considera como un ejercicio de derecho de Acceso a Datos Personales, de personas fallecidas.</w:t>
      </w:r>
    </w:p>
    <w:p w:rsidR="00CA664C" w:rsidP="005D6B1A" w:rsidRDefault="00CA664C" w14:paraId="43F71659" w14:textId="7921234E">
      <w:pPr>
        <w:tabs>
          <w:tab w:val="left" w:pos="4667"/>
        </w:tabs>
        <w:spacing w:after="0" w:line="360" w:lineRule="auto"/>
        <w:contextualSpacing/>
        <w:rPr>
          <w:rFonts w:cs="Tahoma"/>
          <w:bCs/>
          <w:iCs/>
        </w:rPr>
      </w:pPr>
    </w:p>
    <w:p w:rsidR="00CA664C" w:rsidP="005D6B1A" w:rsidRDefault="00CA664C" w14:paraId="0754526A" w14:textId="1AD9E1C1">
      <w:pPr>
        <w:tabs>
          <w:tab w:val="left" w:pos="4667"/>
        </w:tabs>
        <w:spacing w:after="0" w:line="360" w:lineRule="auto"/>
        <w:contextualSpacing/>
        <w:rPr>
          <w:rFonts w:cs="Tahoma"/>
          <w:bCs/>
          <w:iCs/>
        </w:rPr>
      </w:pPr>
      <w:r w:rsidRPr="00CA664C">
        <w:rPr>
          <w:rFonts w:cs="Tahoma"/>
          <w:b/>
          <w:iCs/>
        </w:rPr>
        <w:t>c). Atención a la prevención</w:t>
      </w:r>
      <w:r>
        <w:rPr>
          <w:rFonts w:cs="Tahoma"/>
          <w:bCs/>
          <w:iCs/>
        </w:rPr>
        <w:t>.</w:t>
      </w:r>
    </w:p>
    <w:p w:rsidR="001A749B" w:rsidP="005D6B1A" w:rsidRDefault="001A749B" w14:paraId="33B66929" w14:textId="77ED10D9">
      <w:pPr>
        <w:tabs>
          <w:tab w:val="left" w:pos="4667"/>
        </w:tabs>
        <w:spacing w:after="0" w:line="360" w:lineRule="auto"/>
        <w:contextualSpacing/>
        <w:rPr>
          <w:rFonts w:cs="Tahoma"/>
          <w:bCs/>
          <w:iCs/>
        </w:rPr>
      </w:pPr>
    </w:p>
    <w:p w:rsidR="001A749B" w:rsidP="005D6B1A" w:rsidRDefault="001A749B" w14:paraId="5CAC558F" w14:textId="4389B017">
      <w:pPr>
        <w:tabs>
          <w:tab w:val="left" w:pos="4667"/>
        </w:tabs>
        <w:spacing w:after="0" w:line="360" w:lineRule="auto"/>
        <w:contextualSpacing/>
        <w:rPr>
          <w:rFonts w:cs="Tahoma"/>
          <w:bCs/>
          <w:iCs/>
        </w:rPr>
      </w:pPr>
      <w:r>
        <w:rPr>
          <w:rFonts w:cs="Tahoma"/>
          <w:bCs/>
          <w:iCs/>
        </w:rPr>
        <w:t>El once de noviembre, a través de correo electrónico de la ponencia, adjuntó credencial para votar, expedida por el Instituto Nacional Electoral en su favor, en virtud de que no le fue posible subir la información a la Plataforma Nacional de Transparencia (PNT).</w:t>
      </w:r>
    </w:p>
    <w:p w:rsidR="001A749B" w:rsidP="005D6B1A" w:rsidRDefault="001A749B" w14:paraId="14354DA8" w14:textId="5BF0DDB4">
      <w:pPr>
        <w:tabs>
          <w:tab w:val="left" w:pos="4667"/>
        </w:tabs>
        <w:spacing w:after="0" w:line="360" w:lineRule="auto"/>
        <w:contextualSpacing/>
        <w:rPr>
          <w:rFonts w:cs="Tahoma"/>
          <w:bCs/>
          <w:iCs/>
        </w:rPr>
      </w:pPr>
    </w:p>
    <w:p w:rsidR="001A749B" w:rsidP="005D6B1A" w:rsidRDefault="001A749B" w14:paraId="42761AA8" w14:textId="728102A1">
      <w:pPr>
        <w:tabs>
          <w:tab w:val="left" w:pos="4667"/>
        </w:tabs>
        <w:spacing w:after="0" w:line="360" w:lineRule="auto"/>
        <w:contextualSpacing/>
        <w:rPr>
          <w:rFonts w:cs="Tahoma"/>
          <w:bCs/>
          <w:iCs/>
        </w:rPr>
      </w:pPr>
      <w:r>
        <w:rPr>
          <w:rFonts w:cs="Tahoma"/>
          <w:bCs/>
          <w:iCs/>
        </w:rPr>
        <w:t xml:space="preserve">El acuerdo de atención de la </w:t>
      </w:r>
      <w:proofErr w:type="gramStart"/>
      <w:r w:rsidR="00FA4A5F">
        <w:rPr>
          <w:rFonts w:cs="Tahoma"/>
          <w:bCs/>
          <w:iCs/>
        </w:rPr>
        <w:t>prevención</w:t>
      </w:r>
      <w:r>
        <w:rPr>
          <w:rFonts w:cs="Tahoma"/>
          <w:bCs/>
          <w:iCs/>
        </w:rPr>
        <w:t>,</w:t>
      </w:r>
      <w:proofErr w:type="gramEnd"/>
      <w:r>
        <w:rPr>
          <w:rFonts w:cs="Tahoma"/>
          <w:bCs/>
          <w:iCs/>
        </w:rPr>
        <w:t xml:space="preserve"> fue notificado </w:t>
      </w:r>
      <w:r w:rsidR="00FA4A5F">
        <w:rPr>
          <w:rFonts w:cs="Tahoma"/>
          <w:bCs/>
          <w:iCs/>
        </w:rPr>
        <w:t>a las partes del dieciocho de noviembre del dos mil veintiuno.</w:t>
      </w:r>
    </w:p>
    <w:p w:rsidR="005C1065" w:rsidP="005D6B1A" w:rsidRDefault="005C1065" w14:paraId="0143888D" w14:textId="77777777">
      <w:pPr>
        <w:tabs>
          <w:tab w:val="left" w:pos="4667"/>
        </w:tabs>
        <w:spacing w:after="0" w:line="360" w:lineRule="auto"/>
        <w:contextualSpacing/>
        <w:rPr>
          <w:rFonts w:cs="Tahoma"/>
          <w:bCs/>
          <w:iCs/>
        </w:rPr>
      </w:pPr>
    </w:p>
    <w:p w:rsidR="00E04852" w:rsidP="005D6B1A" w:rsidRDefault="00A1132A" w14:paraId="1B009B66" w14:textId="3BBC0898">
      <w:pPr>
        <w:tabs>
          <w:tab w:val="left" w:pos="4667"/>
        </w:tabs>
        <w:spacing w:after="0" w:line="360" w:lineRule="auto"/>
        <w:contextualSpacing/>
        <w:rPr>
          <w:rFonts w:cs="Tahoma"/>
          <w:b/>
          <w:iCs/>
        </w:rPr>
      </w:pPr>
      <w:r>
        <w:rPr>
          <w:rFonts w:cs="Tahoma"/>
          <w:b/>
          <w:iCs/>
        </w:rPr>
        <w:t>d</w:t>
      </w:r>
      <w:r w:rsidRPr="005C1065" w:rsidR="00E04852">
        <w:rPr>
          <w:rFonts w:cs="Tahoma"/>
          <w:b/>
          <w:iCs/>
        </w:rPr>
        <w:t>) Admisión del Recurso de Revisión.</w:t>
      </w:r>
    </w:p>
    <w:p w:rsidRPr="005C1065" w:rsidR="00A336FF" w:rsidP="005D6B1A" w:rsidRDefault="00A336FF" w14:paraId="1831681B" w14:textId="77777777">
      <w:pPr>
        <w:tabs>
          <w:tab w:val="left" w:pos="4667"/>
        </w:tabs>
        <w:spacing w:after="0" w:line="360" w:lineRule="auto"/>
        <w:contextualSpacing/>
        <w:rPr>
          <w:rFonts w:cs="Tahoma"/>
          <w:b/>
          <w:iCs/>
        </w:rPr>
      </w:pPr>
    </w:p>
    <w:p w:rsidR="005C1065" w:rsidP="005D6B1A" w:rsidRDefault="00FA4A5F" w14:paraId="4D93CDFC" w14:textId="48C31F04">
      <w:pPr>
        <w:tabs>
          <w:tab w:val="left" w:pos="4667"/>
        </w:tabs>
        <w:spacing w:after="0" w:line="360" w:lineRule="auto"/>
        <w:contextualSpacing/>
        <w:rPr>
          <w:rFonts w:cs="Tahoma"/>
          <w:bCs/>
          <w:iCs/>
        </w:rPr>
      </w:pPr>
      <w:r>
        <w:rPr>
          <w:rFonts w:cs="Tahoma"/>
          <w:bCs/>
          <w:iCs/>
        </w:rPr>
        <w:t>Por acuerdo de</w:t>
      </w:r>
      <w:r w:rsidRPr="003D2E44" w:rsidR="00E04852">
        <w:rPr>
          <w:rFonts w:cs="Tahoma"/>
          <w:bCs/>
          <w:iCs/>
        </w:rPr>
        <w:t xml:space="preserve"> </w:t>
      </w:r>
      <w:r>
        <w:rPr>
          <w:rFonts w:cs="Tahoma"/>
          <w:bCs/>
          <w:iCs/>
        </w:rPr>
        <w:t>dieciocho</w:t>
      </w:r>
      <w:r w:rsidRPr="003D2E44" w:rsidR="00E04852">
        <w:rPr>
          <w:rFonts w:cs="Tahoma"/>
          <w:bCs/>
          <w:iCs/>
        </w:rPr>
        <w:t xml:space="preserve"> de </w:t>
      </w:r>
      <w:r>
        <w:rPr>
          <w:rFonts w:cs="Tahoma"/>
          <w:bCs/>
          <w:iCs/>
        </w:rPr>
        <w:t>noviembre</w:t>
      </w:r>
      <w:r w:rsidRPr="003D2E44" w:rsidR="00E04852">
        <w:rPr>
          <w:rFonts w:cs="Tahoma"/>
          <w:bCs/>
          <w:iCs/>
        </w:rPr>
        <w:t xml:space="preserve"> de dos mil </w:t>
      </w:r>
      <w:r w:rsidR="005C1065">
        <w:rPr>
          <w:rFonts w:cs="Tahoma"/>
          <w:bCs/>
          <w:iCs/>
        </w:rPr>
        <w:t>veintiuno</w:t>
      </w:r>
      <w:r>
        <w:rPr>
          <w:rFonts w:cs="Tahoma"/>
          <w:bCs/>
          <w:iCs/>
        </w:rPr>
        <w:t>, notificado a las partes el veintidós de noviembre de la misma anualidad</w:t>
      </w:r>
      <w:r w:rsidR="00A1132A">
        <w:rPr>
          <w:rFonts w:cs="Tahoma"/>
          <w:bCs/>
          <w:iCs/>
        </w:rPr>
        <w:t xml:space="preserve"> a través del Sistema de Acceso a la Información Mexiquense</w:t>
      </w:r>
      <w:r>
        <w:rPr>
          <w:rFonts w:cs="Tahoma"/>
          <w:bCs/>
          <w:iCs/>
        </w:rPr>
        <w:t>,</w:t>
      </w:r>
      <w:r w:rsidRPr="003D2E44" w:rsidR="00E04852">
        <w:rPr>
          <w:rFonts w:cs="Tahoma"/>
          <w:bCs/>
          <w:iCs/>
        </w:rPr>
        <w:t xml:space="preserve"> se acordó la admisión del recurso de Revisión interpuesto por la Recurrente en </w:t>
      </w:r>
      <w:r w:rsidRPr="003D2E44" w:rsidR="00E04852">
        <w:rPr>
          <w:rFonts w:cs="Tahoma"/>
          <w:bCs/>
          <w:iCs/>
        </w:rPr>
        <w:lastRenderedPageBreak/>
        <w:t xml:space="preserve">contra del Sujeto Obligado, en términos del </w:t>
      </w:r>
      <w:r>
        <w:rPr>
          <w:rFonts w:cs="Tahoma"/>
          <w:bCs/>
          <w:iCs/>
        </w:rPr>
        <w:t xml:space="preserve">132, fracción I de la Ley de Protección de Datos Personales en Posesión de Sujeto Obligados del Estado de México y Municipios y del </w:t>
      </w:r>
      <w:r w:rsidRPr="003D2E44" w:rsidR="00E04852">
        <w:rPr>
          <w:rFonts w:cs="Tahoma"/>
          <w:bCs/>
          <w:iCs/>
        </w:rPr>
        <w:t>artículo 185, fracciones I, II y IV de la Ley de Transparencia y Acceso a la Información Pública del Estado de México y Municipios</w:t>
      </w:r>
      <w:r>
        <w:rPr>
          <w:rFonts w:cs="Tahoma"/>
          <w:bCs/>
          <w:iCs/>
        </w:rPr>
        <w:t>, supletoria a la Ley de Datos en mención</w:t>
      </w:r>
      <w:r w:rsidRPr="003D2E44" w:rsidR="00E04852">
        <w:rPr>
          <w:rFonts w:cs="Tahoma"/>
          <w:bCs/>
          <w:iCs/>
        </w:rPr>
        <w:t xml:space="preserve">, en el que se les otorgó un plazo de siete días hábiles posteriores a la misma, </w:t>
      </w:r>
      <w:r w:rsidR="00A1132A">
        <w:rPr>
          <w:rFonts w:cs="Tahoma"/>
          <w:bCs/>
          <w:iCs/>
        </w:rPr>
        <w:t>para expresar su intención de conciliar.</w:t>
      </w:r>
      <w:r w:rsidRPr="003D2E44" w:rsidR="00E04852">
        <w:rPr>
          <w:rFonts w:cs="Tahoma"/>
          <w:bCs/>
          <w:iCs/>
        </w:rPr>
        <w:t xml:space="preserve"> </w:t>
      </w:r>
    </w:p>
    <w:p w:rsidR="00A1132A" w:rsidP="005D6B1A" w:rsidRDefault="00A1132A" w14:paraId="534C27E1" w14:textId="18FD77EF">
      <w:pPr>
        <w:tabs>
          <w:tab w:val="left" w:pos="4667"/>
        </w:tabs>
        <w:spacing w:after="0" w:line="360" w:lineRule="auto"/>
        <w:contextualSpacing/>
        <w:rPr>
          <w:rFonts w:cs="Tahoma"/>
          <w:bCs/>
          <w:iCs/>
        </w:rPr>
      </w:pPr>
    </w:p>
    <w:p w:rsidR="005C1065" w:rsidP="005D6B1A" w:rsidRDefault="00A1132A" w14:paraId="466D9A4C" w14:textId="4F445AD7">
      <w:pPr>
        <w:tabs>
          <w:tab w:val="left" w:pos="4667"/>
        </w:tabs>
        <w:spacing w:after="0" w:line="360" w:lineRule="auto"/>
        <w:contextualSpacing/>
        <w:rPr>
          <w:rFonts w:cs="Tahoma"/>
          <w:b/>
          <w:iCs/>
        </w:rPr>
      </w:pPr>
      <w:r>
        <w:rPr>
          <w:rFonts w:cs="Tahoma"/>
          <w:b/>
          <w:iCs/>
        </w:rPr>
        <w:t>e</w:t>
      </w:r>
      <w:r w:rsidRPr="005C1065" w:rsidR="00E04852">
        <w:rPr>
          <w:rFonts w:cs="Tahoma"/>
          <w:b/>
          <w:iCs/>
        </w:rPr>
        <w:t xml:space="preserve">) </w:t>
      </w:r>
      <w:r>
        <w:rPr>
          <w:rFonts w:cs="Tahoma"/>
          <w:b/>
          <w:iCs/>
        </w:rPr>
        <w:t>Manifestaciones de intención de conciliar.</w:t>
      </w:r>
    </w:p>
    <w:p w:rsidR="00A1132A" w:rsidP="005D6B1A" w:rsidRDefault="00A1132A" w14:paraId="0C5DBBDB" w14:textId="02FC7A8F">
      <w:pPr>
        <w:tabs>
          <w:tab w:val="left" w:pos="4667"/>
        </w:tabs>
        <w:spacing w:after="0" w:line="360" w:lineRule="auto"/>
        <w:contextualSpacing/>
        <w:rPr>
          <w:rFonts w:cs="Tahoma"/>
          <w:b/>
          <w:iCs/>
        </w:rPr>
      </w:pPr>
    </w:p>
    <w:p w:rsidR="00A1132A" w:rsidP="005D6B1A" w:rsidRDefault="00A1132A" w14:paraId="2AF663B1" w14:textId="52C1C1AC">
      <w:pPr>
        <w:tabs>
          <w:tab w:val="left" w:pos="4667"/>
        </w:tabs>
        <w:spacing w:after="0" w:line="360" w:lineRule="auto"/>
        <w:contextualSpacing/>
        <w:rPr>
          <w:rFonts w:cs="Tahoma"/>
          <w:bCs/>
          <w:iCs/>
        </w:rPr>
      </w:pPr>
      <w:r w:rsidRPr="00A1132A">
        <w:rPr>
          <w:rFonts w:cs="Tahoma"/>
          <w:bCs/>
          <w:iCs/>
        </w:rPr>
        <w:t xml:space="preserve">El Sujeto Obligado, el veintitrés de noviembre del dos </w:t>
      </w:r>
      <w:proofErr w:type="gramStart"/>
      <w:r w:rsidRPr="00A1132A">
        <w:rPr>
          <w:rFonts w:cs="Tahoma"/>
          <w:bCs/>
          <w:iCs/>
        </w:rPr>
        <w:t>mil veintiuno</w:t>
      </w:r>
      <w:proofErr w:type="gramEnd"/>
      <w:r w:rsidRPr="00A1132A">
        <w:rPr>
          <w:rFonts w:cs="Tahoma"/>
          <w:bCs/>
          <w:iCs/>
        </w:rPr>
        <w:t xml:space="preserve"> a través del Sistema de Acceso a la Información Mexiquense, expresó su intención de conciliar en el presente asunto.</w:t>
      </w:r>
    </w:p>
    <w:p w:rsidR="00A1132A" w:rsidP="005D6B1A" w:rsidRDefault="00A1132A" w14:paraId="6E2FB681" w14:textId="37795698">
      <w:pPr>
        <w:tabs>
          <w:tab w:val="left" w:pos="4667"/>
        </w:tabs>
        <w:spacing w:after="0" w:line="360" w:lineRule="auto"/>
        <w:contextualSpacing/>
        <w:rPr>
          <w:rFonts w:cs="Tahoma"/>
          <w:bCs/>
          <w:iCs/>
        </w:rPr>
      </w:pPr>
    </w:p>
    <w:p w:rsidR="00A1132A" w:rsidP="005D6B1A" w:rsidRDefault="00A1132A" w14:paraId="00E6252F" w14:textId="77777777">
      <w:pPr>
        <w:tabs>
          <w:tab w:val="left" w:pos="4667"/>
        </w:tabs>
        <w:spacing w:after="0" w:line="360" w:lineRule="auto"/>
        <w:contextualSpacing/>
        <w:rPr>
          <w:rFonts w:cs="Tahoma"/>
          <w:bCs/>
          <w:iCs/>
        </w:rPr>
      </w:pPr>
      <w:r>
        <w:rPr>
          <w:rFonts w:cs="Tahoma"/>
          <w:bCs/>
          <w:iCs/>
        </w:rPr>
        <w:t xml:space="preserve">La Particular a través de correo electrónico institucional, en fecha primero de diciembre del dos </w:t>
      </w:r>
      <w:proofErr w:type="gramStart"/>
      <w:r>
        <w:rPr>
          <w:rFonts w:cs="Tahoma"/>
          <w:bCs/>
          <w:iCs/>
        </w:rPr>
        <w:t>mil veintiuno</w:t>
      </w:r>
      <w:proofErr w:type="gramEnd"/>
      <w:r>
        <w:rPr>
          <w:rFonts w:cs="Tahoma"/>
          <w:bCs/>
          <w:iCs/>
        </w:rPr>
        <w:t>, expresó su intención de conciliar.</w:t>
      </w:r>
    </w:p>
    <w:p w:rsidR="00A1132A" w:rsidP="005D6B1A" w:rsidRDefault="00A1132A" w14:paraId="17441462" w14:textId="29CEB354">
      <w:pPr>
        <w:tabs>
          <w:tab w:val="left" w:pos="4667"/>
        </w:tabs>
        <w:spacing w:after="0" w:line="360" w:lineRule="auto"/>
        <w:contextualSpacing/>
        <w:rPr>
          <w:rFonts w:cs="Tahoma"/>
          <w:bCs/>
          <w:iCs/>
        </w:rPr>
      </w:pPr>
    </w:p>
    <w:p w:rsidR="00A1132A" w:rsidP="005D6B1A" w:rsidRDefault="00A1132A" w14:paraId="79C276CA" w14:textId="6E0298CA">
      <w:pPr>
        <w:tabs>
          <w:tab w:val="left" w:pos="4667"/>
        </w:tabs>
        <w:spacing w:after="0" w:line="360" w:lineRule="auto"/>
        <w:contextualSpacing/>
        <w:rPr>
          <w:rFonts w:cs="Tahoma"/>
          <w:bCs/>
          <w:iCs/>
        </w:rPr>
      </w:pPr>
      <w:r>
        <w:rPr>
          <w:rFonts w:cs="Tahoma"/>
          <w:bCs/>
          <w:iCs/>
        </w:rPr>
        <w:t>En virtud de que ambas partes tienen intención de conciliar, se consideró la procedencia de señalar fecha y hora para la celebración de la audiencia respectiva.</w:t>
      </w:r>
    </w:p>
    <w:p w:rsidR="00A1132A" w:rsidP="005D6B1A" w:rsidRDefault="00A1132A" w14:paraId="74AC7F15" w14:textId="77777777">
      <w:pPr>
        <w:tabs>
          <w:tab w:val="left" w:pos="4667"/>
        </w:tabs>
        <w:spacing w:after="0" w:line="360" w:lineRule="auto"/>
        <w:contextualSpacing/>
        <w:rPr>
          <w:rFonts w:cs="Tahoma"/>
          <w:bCs/>
          <w:iCs/>
        </w:rPr>
      </w:pPr>
    </w:p>
    <w:p w:rsidR="003A0DB6" w:rsidP="005D6B1A" w:rsidRDefault="00E04852" w14:paraId="738A90C4" w14:textId="7219440B">
      <w:pPr>
        <w:tabs>
          <w:tab w:val="left" w:pos="4667"/>
        </w:tabs>
        <w:spacing w:after="0" w:line="360" w:lineRule="auto"/>
        <w:contextualSpacing/>
        <w:rPr>
          <w:rFonts w:cs="Tahoma"/>
          <w:bCs/>
          <w:iCs/>
        </w:rPr>
      </w:pPr>
      <w:r w:rsidRPr="003D2E44">
        <w:rPr>
          <w:rFonts w:cs="Tahoma"/>
          <w:bCs/>
          <w:iCs/>
        </w:rPr>
        <w:t xml:space="preserve">  </w:t>
      </w:r>
      <w:r w:rsidRPr="003A0DB6">
        <w:rPr>
          <w:rFonts w:cs="Tahoma"/>
          <w:b/>
          <w:iCs/>
        </w:rPr>
        <w:t>f) Audiencia de conciliación</w:t>
      </w:r>
      <w:r w:rsidRPr="003D2E44">
        <w:rPr>
          <w:rFonts w:cs="Tahoma"/>
          <w:bCs/>
          <w:iCs/>
        </w:rPr>
        <w:t xml:space="preserve">. </w:t>
      </w:r>
    </w:p>
    <w:p w:rsidR="00A1132A" w:rsidP="005D6B1A" w:rsidRDefault="00A1132A" w14:paraId="26B7209F" w14:textId="77777777">
      <w:pPr>
        <w:tabs>
          <w:tab w:val="left" w:pos="4667"/>
        </w:tabs>
        <w:spacing w:after="0" w:line="360" w:lineRule="auto"/>
        <w:contextualSpacing/>
        <w:rPr>
          <w:rFonts w:cs="Tahoma"/>
          <w:bCs/>
          <w:iCs/>
        </w:rPr>
      </w:pPr>
    </w:p>
    <w:p w:rsidRPr="003D2E44" w:rsidR="00E04852" w:rsidP="005D6B1A" w:rsidRDefault="00E04852" w14:paraId="166A5862" w14:textId="4B60BAF1">
      <w:pPr>
        <w:tabs>
          <w:tab w:val="left" w:pos="4667"/>
        </w:tabs>
        <w:spacing w:after="0" w:line="360" w:lineRule="auto"/>
        <w:contextualSpacing/>
        <w:rPr>
          <w:rFonts w:cs="Tahoma"/>
          <w:bCs/>
          <w:iCs/>
        </w:rPr>
      </w:pPr>
      <w:r w:rsidRPr="003D2E44">
        <w:rPr>
          <w:rFonts w:cs="Tahoma"/>
          <w:bCs/>
          <w:iCs/>
        </w:rPr>
        <w:t xml:space="preserve">En fecha </w:t>
      </w:r>
      <w:r w:rsidR="00843451">
        <w:rPr>
          <w:rFonts w:cs="Tahoma"/>
          <w:bCs/>
          <w:iCs/>
        </w:rPr>
        <w:t>diecisiete</w:t>
      </w:r>
      <w:r w:rsidRPr="003D2E44">
        <w:rPr>
          <w:rFonts w:cs="Tahoma"/>
          <w:bCs/>
          <w:iCs/>
        </w:rPr>
        <w:t xml:space="preserve"> de </w:t>
      </w:r>
      <w:r w:rsidR="00843451">
        <w:rPr>
          <w:rFonts w:cs="Tahoma"/>
          <w:bCs/>
          <w:iCs/>
        </w:rPr>
        <w:t>enero</w:t>
      </w:r>
      <w:r w:rsidRPr="003D2E44">
        <w:rPr>
          <w:rFonts w:cs="Tahoma"/>
          <w:bCs/>
          <w:iCs/>
        </w:rPr>
        <w:t xml:space="preserve"> de dos mil </w:t>
      </w:r>
      <w:r w:rsidR="00843451">
        <w:rPr>
          <w:rFonts w:cs="Tahoma"/>
          <w:bCs/>
          <w:iCs/>
        </w:rPr>
        <w:t>veintidós</w:t>
      </w:r>
      <w:r w:rsidRPr="003D2E44">
        <w:rPr>
          <w:rFonts w:cs="Tahoma"/>
          <w:bCs/>
          <w:iCs/>
        </w:rPr>
        <w:t xml:space="preserve">, tuvo verificativo la audiencia de conciliación, que se llevó a cabo vía remota a través del software denominado </w:t>
      </w:r>
      <w:r w:rsidRPr="003A0DB6" w:rsidR="003A0DB6">
        <w:rPr>
          <w:rFonts w:cs="Tahoma"/>
          <w:bCs/>
          <w:i/>
        </w:rPr>
        <w:t xml:space="preserve">Google </w:t>
      </w:r>
      <w:proofErr w:type="spellStart"/>
      <w:r w:rsidRPr="003A0DB6" w:rsidR="003A0DB6">
        <w:rPr>
          <w:rFonts w:cs="Tahoma"/>
          <w:bCs/>
          <w:i/>
        </w:rPr>
        <w:t>Meet</w:t>
      </w:r>
      <w:proofErr w:type="spellEnd"/>
      <w:r w:rsidRPr="003D2E44">
        <w:rPr>
          <w:rFonts w:cs="Tahoma"/>
          <w:bCs/>
          <w:iCs/>
        </w:rPr>
        <w:t>, en atención a la situación pandémica causada por el virus SARS – COV2 causante de la enfermedad COVID-19, y como medida preventiva de contagios.</w:t>
      </w:r>
    </w:p>
    <w:p w:rsidRPr="003D2E44" w:rsidR="00E04852" w:rsidP="005D6B1A" w:rsidRDefault="00E04852" w14:paraId="417C782E" w14:textId="5F1B6370">
      <w:pPr>
        <w:tabs>
          <w:tab w:val="left" w:pos="4667"/>
        </w:tabs>
        <w:spacing w:after="0" w:line="360" w:lineRule="auto"/>
        <w:contextualSpacing/>
        <w:rPr>
          <w:rFonts w:cs="Tahoma"/>
          <w:bCs/>
          <w:iCs/>
        </w:rPr>
      </w:pPr>
    </w:p>
    <w:p w:rsidR="00E04852" w:rsidP="005D6B1A" w:rsidRDefault="00E04852" w14:paraId="3E300935" w14:textId="3ECC78C3">
      <w:pPr>
        <w:tabs>
          <w:tab w:val="left" w:pos="4667"/>
        </w:tabs>
        <w:spacing w:after="0" w:line="360" w:lineRule="auto"/>
        <w:contextualSpacing/>
        <w:rPr>
          <w:rFonts w:cs="Tahoma"/>
          <w:bCs/>
          <w:iCs/>
        </w:rPr>
      </w:pPr>
      <w:r w:rsidRPr="003D2E44">
        <w:rPr>
          <w:rFonts w:cs="Tahoma"/>
          <w:bCs/>
          <w:iCs/>
        </w:rPr>
        <w:t>En dicha audiencia comparecieron ambas partes, quienes se identificaron y manifestaron sus posturas</w:t>
      </w:r>
      <w:r w:rsidR="00843451">
        <w:rPr>
          <w:rFonts w:cs="Tahoma"/>
          <w:bCs/>
          <w:iCs/>
        </w:rPr>
        <w:t>.</w:t>
      </w:r>
    </w:p>
    <w:p w:rsidRPr="003D2E44" w:rsidR="003A0DB6" w:rsidP="005D6B1A" w:rsidRDefault="003A0DB6" w14:paraId="4EB075A4" w14:textId="77777777">
      <w:pPr>
        <w:tabs>
          <w:tab w:val="left" w:pos="4667"/>
        </w:tabs>
        <w:spacing w:after="0" w:line="360" w:lineRule="auto"/>
        <w:contextualSpacing/>
        <w:rPr>
          <w:rFonts w:cs="Tahoma"/>
          <w:bCs/>
          <w:iCs/>
        </w:rPr>
      </w:pPr>
    </w:p>
    <w:p w:rsidR="003A0DB6" w:rsidP="005D6B1A" w:rsidRDefault="00E04852" w14:paraId="79CF03F5" w14:textId="6056004D">
      <w:pPr>
        <w:tabs>
          <w:tab w:val="left" w:pos="4667"/>
        </w:tabs>
        <w:spacing w:after="0" w:line="360" w:lineRule="auto"/>
        <w:contextualSpacing/>
        <w:rPr>
          <w:rFonts w:cs="Tahoma"/>
          <w:bCs/>
          <w:iCs/>
        </w:rPr>
      </w:pPr>
      <w:r w:rsidRPr="003D2E44">
        <w:rPr>
          <w:rFonts w:cs="Tahoma"/>
          <w:bCs/>
          <w:iCs/>
        </w:rPr>
        <w:lastRenderedPageBreak/>
        <w:t xml:space="preserve">Resultado de dicha audiencia, se levantó acta correspondiente y se hizo del conocimiento a las partes a través de correos electrónicos, del Sujeto Obligado correo institucional y a la Recurrente a través de un correo proporcionado para tales efectos, en la misma fecha en la que se actuó. </w:t>
      </w:r>
    </w:p>
    <w:p w:rsidR="00353EAA" w:rsidP="005D6B1A" w:rsidRDefault="00353EAA" w14:paraId="5E56611D" w14:textId="32D878E4">
      <w:pPr>
        <w:tabs>
          <w:tab w:val="left" w:pos="4667"/>
        </w:tabs>
        <w:spacing w:after="0" w:line="360" w:lineRule="auto"/>
        <w:contextualSpacing/>
        <w:rPr>
          <w:rFonts w:cs="Tahoma"/>
          <w:bCs/>
          <w:iCs/>
        </w:rPr>
      </w:pPr>
    </w:p>
    <w:p w:rsidR="00353EAA" w:rsidP="005D6B1A" w:rsidRDefault="00353EAA" w14:paraId="35A29720" w14:textId="295B7F0B">
      <w:pPr>
        <w:tabs>
          <w:tab w:val="left" w:pos="4667"/>
        </w:tabs>
        <w:spacing w:after="0" w:line="360" w:lineRule="auto"/>
        <w:contextualSpacing/>
        <w:rPr>
          <w:rFonts w:cs="Tahoma"/>
          <w:bCs/>
          <w:iCs/>
        </w:rPr>
      </w:pPr>
      <w:r>
        <w:rPr>
          <w:rFonts w:cs="Tahoma"/>
          <w:bCs/>
          <w:iCs/>
        </w:rPr>
        <w:t xml:space="preserve">Es de precisar, que quien acudió en representación del Instituto de Seguridad Social del Estado de México y Municipios, manifestó en todo momento, su apoyo para la realización de los </w:t>
      </w:r>
      <w:r w:rsidR="00464C33">
        <w:rPr>
          <w:rFonts w:cs="Tahoma"/>
          <w:bCs/>
          <w:iCs/>
        </w:rPr>
        <w:t>trámites</w:t>
      </w:r>
      <w:r>
        <w:rPr>
          <w:rFonts w:cs="Tahoma"/>
          <w:bCs/>
          <w:iCs/>
        </w:rPr>
        <w:t xml:space="preserve"> necesarios y para la obtención de la información, poniendo en conocimiento de los Particulares, los horarios de atención en los cuales podrían ir a recoger la información, dirección, teléfono. </w:t>
      </w:r>
    </w:p>
    <w:p w:rsidR="00353EAA" w:rsidP="005D6B1A" w:rsidRDefault="00353EAA" w14:paraId="310F4C7B" w14:textId="32F5E832">
      <w:pPr>
        <w:tabs>
          <w:tab w:val="left" w:pos="4667"/>
        </w:tabs>
        <w:spacing w:after="0" w:line="360" w:lineRule="auto"/>
        <w:contextualSpacing/>
        <w:rPr>
          <w:rFonts w:cs="Tahoma"/>
          <w:bCs/>
          <w:iCs/>
        </w:rPr>
      </w:pPr>
    </w:p>
    <w:p w:rsidR="00353EAA" w:rsidP="005D6B1A" w:rsidRDefault="00353EAA" w14:paraId="1ED99404" w14:textId="22996DCF">
      <w:pPr>
        <w:tabs>
          <w:tab w:val="left" w:pos="4667"/>
        </w:tabs>
        <w:spacing w:after="0" w:line="360" w:lineRule="auto"/>
        <w:contextualSpacing/>
        <w:rPr>
          <w:rFonts w:cs="Tahoma"/>
          <w:bCs/>
          <w:iCs/>
        </w:rPr>
      </w:pPr>
      <w:r>
        <w:rPr>
          <w:rFonts w:cs="Tahoma"/>
          <w:bCs/>
          <w:iCs/>
        </w:rPr>
        <w:t>Al respecto, el Particular, durante el desarrollo de la audiencia, manifestó</w:t>
      </w:r>
      <w:r w:rsidR="00843451">
        <w:rPr>
          <w:rFonts w:cs="Tahoma"/>
          <w:bCs/>
          <w:iCs/>
        </w:rPr>
        <w:t xml:space="preserve"> acudiría a recoger la información entre los días dieciocho y diecinueve de enero del dos mil veintidós.</w:t>
      </w:r>
    </w:p>
    <w:p w:rsidR="00DB3A39" w:rsidP="005D6B1A" w:rsidRDefault="00DB3A39" w14:paraId="7316593D" w14:textId="3B6A7E75">
      <w:pPr>
        <w:tabs>
          <w:tab w:val="left" w:pos="4667"/>
        </w:tabs>
        <w:spacing w:after="0" w:line="360" w:lineRule="auto"/>
        <w:contextualSpacing/>
        <w:rPr>
          <w:rFonts w:cs="Tahoma"/>
          <w:bCs/>
          <w:iCs/>
        </w:rPr>
      </w:pPr>
    </w:p>
    <w:p w:rsidRPr="00843451" w:rsidR="00843451" w:rsidP="005D6B1A" w:rsidRDefault="00843451" w14:paraId="4B590D3E" w14:textId="05289093">
      <w:pPr>
        <w:tabs>
          <w:tab w:val="left" w:pos="4667"/>
        </w:tabs>
        <w:spacing w:after="0" w:line="360" w:lineRule="auto"/>
        <w:contextualSpacing/>
        <w:rPr>
          <w:rFonts w:cs="Tahoma"/>
          <w:b/>
          <w:iCs/>
        </w:rPr>
      </w:pPr>
      <w:r w:rsidRPr="00843451">
        <w:rPr>
          <w:rFonts w:cs="Tahoma"/>
          <w:b/>
          <w:iCs/>
        </w:rPr>
        <w:t>g) Recepción de la información.</w:t>
      </w:r>
    </w:p>
    <w:p w:rsidR="003A0DB6" w:rsidP="005D6B1A" w:rsidRDefault="003A0DB6" w14:paraId="0F4024C5" w14:textId="3B11B93F">
      <w:pPr>
        <w:tabs>
          <w:tab w:val="left" w:pos="4667"/>
        </w:tabs>
        <w:spacing w:after="0" w:line="360" w:lineRule="auto"/>
        <w:contextualSpacing/>
        <w:rPr>
          <w:rFonts w:cs="Tahoma"/>
          <w:bCs/>
          <w:iCs/>
        </w:rPr>
      </w:pPr>
    </w:p>
    <w:p w:rsidR="00843451" w:rsidP="005D6B1A" w:rsidRDefault="00843451" w14:paraId="31FC7A8C" w14:textId="1DEC9529">
      <w:pPr>
        <w:tabs>
          <w:tab w:val="left" w:pos="4667"/>
        </w:tabs>
        <w:spacing w:after="0" w:line="360" w:lineRule="auto"/>
        <w:contextualSpacing/>
        <w:rPr>
          <w:rFonts w:cs="Tahoma"/>
          <w:bCs/>
          <w:iCs/>
        </w:rPr>
      </w:pPr>
      <w:r>
        <w:rPr>
          <w:rFonts w:cs="Tahoma"/>
          <w:bCs/>
          <w:iCs/>
        </w:rPr>
        <w:t xml:space="preserve">El dieciocho de enero del dos mil veintidós, el Sujeto Obligado, remitió a este Instituto Garante a través del Sistema de Acceso a la </w:t>
      </w:r>
      <w:r w:rsidR="009F7E29">
        <w:rPr>
          <w:rFonts w:cs="Tahoma"/>
          <w:bCs/>
          <w:iCs/>
        </w:rPr>
        <w:t>Información</w:t>
      </w:r>
      <w:r>
        <w:rPr>
          <w:rFonts w:cs="Tahoma"/>
          <w:bCs/>
          <w:iCs/>
        </w:rPr>
        <w:t xml:space="preserve"> Mexiquense (SAIMEX), documental por el cual acreditó que </w:t>
      </w:r>
      <w:r w:rsidR="009F7E29">
        <w:rPr>
          <w:rFonts w:cs="Tahoma"/>
          <w:bCs/>
          <w:iCs/>
        </w:rPr>
        <w:t>la información fue recibida por la Particular, como consta de la firma autógrafa de la solicitante.</w:t>
      </w:r>
    </w:p>
    <w:p w:rsidR="00843451" w:rsidP="005D6B1A" w:rsidRDefault="00843451" w14:paraId="0B0788A4" w14:textId="77777777">
      <w:pPr>
        <w:tabs>
          <w:tab w:val="left" w:pos="4667"/>
        </w:tabs>
        <w:spacing w:after="0" w:line="360" w:lineRule="auto"/>
        <w:contextualSpacing/>
        <w:rPr>
          <w:rFonts w:cs="Tahoma"/>
          <w:bCs/>
          <w:iCs/>
        </w:rPr>
      </w:pPr>
    </w:p>
    <w:p w:rsidR="00141D34" w:rsidP="005D6B1A" w:rsidRDefault="00353EAA" w14:paraId="786828E0" w14:textId="18231758">
      <w:pPr>
        <w:tabs>
          <w:tab w:val="left" w:pos="4667"/>
        </w:tabs>
        <w:spacing w:after="0" w:line="360" w:lineRule="auto"/>
        <w:contextualSpacing/>
        <w:rPr>
          <w:rFonts w:cs="Tahoma"/>
          <w:b/>
          <w:iCs/>
        </w:rPr>
      </w:pPr>
      <w:r>
        <w:rPr>
          <w:rFonts w:cs="Tahoma"/>
          <w:b/>
          <w:iCs/>
        </w:rPr>
        <w:t>g</w:t>
      </w:r>
      <w:r w:rsidRPr="00141D34" w:rsidR="00E04852">
        <w:rPr>
          <w:rFonts w:cs="Tahoma"/>
          <w:b/>
          <w:iCs/>
        </w:rPr>
        <w:t xml:space="preserve">) Cierre de instrucción. </w:t>
      </w:r>
    </w:p>
    <w:p w:rsidRPr="00141D34" w:rsidR="009F7E29" w:rsidP="005D6B1A" w:rsidRDefault="009F7E29" w14:paraId="15434F75" w14:textId="77777777">
      <w:pPr>
        <w:tabs>
          <w:tab w:val="left" w:pos="4667"/>
        </w:tabs>
        <w:spacing w:after="0" w:line="360" w:lineRule="auto"/>
        <w:contextualSpacing/>
        <w:rPr>
          <w:rFonts w:cs="Tahoma"/>
          <w:b/>
          <w:iCs/>
        </w:rPr>
      </w:pPr>
    </w:p>
    <w:p w:rsidR="00141D34" w:rsidP="005D6B1A" w:rsidRDefault="00E04852" w14:paraId="1888B223" w14:textId="22916ED4">
      <w:pPr>
        <w:tabs>
          <w:tab w:val="left" w:pos="4667"/>
        </w:tabs>
        <w:spacing w:after="0" w:line="360" w:lineRule="auto"/>
        <w:contextualSpacing/>
        <w:rPr>
          <w:rFonts w:cs="Tahoma"/>
          <w:bCs/>
          <w:iCs/>
        </w:rPr>
      </w:pPr>
      <w:r w:rsidRPr="003D2E44">
        <w:rPr>
          <w:rFonts w:cs="Tahoma"/>
          <w:bCs/>
          <w:iCs/>
        </w:rPr>
        <w:t xml:space="preserve">El </w:t>
      </w:r>
      <w:r w:rsidR="009F7E29">
        <w:rPr>
          <w:rFonts w:cs="Tahoma"/>
          <w:bCs/>
          <w:iCs/>
        </w:rPr>
        <w:t>veinte</w:t>
      </w:r>
      <w:r w:rsidRPr="003D2E44">
        <w:rPr>
          <w:rFonts w:cs="Tahoma"/>
          <w:bCs/>
          <w:iCs/>
        </w:rPr>
        <w:t xml:space="preserve"> de </w:t>
      </w:r>
      <w:r w:rsidR="009F7E29">
        <w:rPr>
          <w:rFonts w:cs="Tahoma"/>
          <w:bCs/>
          <w:iCs/>
        </w:rPr>
        <w:t>enero</w:t>
      </w:r>
      <w:r w:rsidRPr="003D2E44">
        <w:rPr>
          <w:rFonts w:cs="Tahoma"/>
          <w:bCs/>
          <w:iCs/>
        </w:rPr>
        <w:t xml:space="preserve"> de dos mil </w:t>
      </w:r>
      <w:r w:rsidR="009F7E29">
        <w:rPr>
          <w:rFonts w:cs="Tahoma"/>
          <w:bCs/>
          <w:iCs/>
        </w:rPr>
        <w:t>veintidós</w:t>
      </w:r>
      <w:r w:rsidRPr="003D2E44">
        <w:rPr>
          <w:rFonts w:cs="Tahoma"/>
          <w:bCs/>
          <w:iCs/>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Sistema de Acceso </w:t>
      </w:r>
      <w:r w:rsidRPr="003D2E44">
        <w:rPr>
          <w:rFonts w:cs="Tahoma"/>
          <w:bCs/>
          <w:iCs/>
        </w:rPr>
        <w:lastRenderedPageBreak/>
        <w:t xml:space="preserve">a la Información Mexiquense (SAIMEX). En razón de que fue debidamente sustanciado el expediente electrónico y no existe diligencia pendiente de desahogo, se emite la resolución que conforme a Derecho proceda, de acuerdo a los siguientes: </w:t>
      </w:r>
    </w:p>
    <w:p w:rsidR="00141D34" w:rsidP="005D6B1A" w:rsidRDefault="00141D34" w14:paraId="19A15A30" w14:textId="77777777">
      <w:pPr>
        <w:tabs>
          <w:tab w:val="left" w:pos="4667"/>
        </w:tabs>
        <w:spacing w:after="0" w:line="360" w:lineRule="auto"/>
        <w:contextualSpacing/>
        <w:rPr>
          <w:rFonts w:cs="Tahoma"/>
          <w:bCs/>
          <w:iCs/>
        </w:rPr>
      </w:pPr>
    </w:p>
    <w:p w:rsidRPr="00141D34" w:rsidR="00141D34" w:rsidP="005D6B1A" w:rsidRDefault="00E04852" w14:paraId="4C3DAB57" w14:textId="56FB0248">
      <w:pPr>
        <w:tabs>
          <w:tab w:val="left" w:pos="4667"/>
        </w:tabs>
        <w:spacing w:after="0" w:line="360" w:lineRule="auto"/>
        <w:contextualSpacing/>
        <w:jc w:val="center"/>
        <w:rPr>
          <w:rFonts w:cs="Tahoma"/>
          <w:b/>
          <w:iCs/>
        </w:rPr>
      </w:pPr>
      <w:r w:rsidRPr="00141D34">
        <w:rPr>
          <w:rFonts w:cs="Tahoma"/>
          <w:b/>
          <w:iCs/>
        </w:rPr>
        <w:t>C O N S I D E R A N D O S</w:t>
      </w:r>
    </w:p>
    <w:p w:rsidR="00141D34" w:rsidP="005D6B1A" w:rsidRDefault="00141D34" w14:paraId="4565AFA0" w14:textId="77777777">
      <w:pPr>
        <w:tabs>
          <w:tab w:val="left" w:pos="4667"/>
        </w:tabs>
        <w:spacing w:after="0" w:line="360" w:lineRule="auto"/>
        <w:contextualSpacing/>
        <w:rPr>
          <w:rFonts w:cs="Tahoma"/>
          <w:bCs/>
          <w:iCs/>
        </w:rPr>
      </w:pPr>
    </w:p>
    <w:p w:rsidR="00141D34" w:rsidP="005D6B1A" w:rsidRDefault="00E04852" w14:paraId="10C8B772" w14:textId="77777777">
      <w:pPr>
        <w:tabs>
          <w:tab w:val="left" w:pos="4667"/>
        </w:tabs>
        <w:spacing w:after="0" w:line="360" w:lineRule="auto"/>
        <w:contextualSpacing/>
        <w:rPr>
          <w:rFonts w:cs="Tahoma"/>
          <w:bCs/>
          <w:iCs/>
        </w:rPr>
      </w:pPr>
      <w:r w:rsidRPr="00141D34">
        <w:rPr>
          <w:rFonts w:cs="Tahoma"/>
          <w:b/>
          <w:iCs/>
        </w:rPr>
        <w:t>PRIMERO. Competencia.</w:t>
      </w:r>
      <w:r w:rsidRPr="003D2E44">
        <w:rPr>
          <w:rFonts w:cs="Tahoma"/>
          <w:bCs/>
          <w:iCs/>
        </w:rPr>
        <w:t xml:space="preserve"> </w:t>
      </w:r>
    </w:p>
    <w:p w:rsidR="00141D34" w:rsidP="005D6B1A" w:rsidRDefault="00141D34" w14:paraId="494EB1E0" w14:textId="77777777">
      <w:pPr>
        <w:tabs>
          <w:tab w:val="left" w:pos="4667"/>
        </w:tabs>
        <w:spacing w:after="0" w:line="360" w:lineRule="auto"/>
        <w:contextualSpacing/>
        <w:rPr>
          <w:rFonts w:cs="Tahoma"/>
          <w:bCs/>
          <w:iCs/>
        </w:rPr>
      </w:pPr>
    </w:p>
    <w:p w:rsidR="00141D34" w:rsidP="005D6B1A" w:rsidRDefault="00E04852" w14:paraId="66DA0D2C" w14:textId="77777777">
      <w:pPr>
        <w:tabs>
          <w:tab w:val="left" w:pos="4667"/>
        </w:tabs>
        <w:spacing w:after="0" w:line="360" w:lineRule="auto"/>
        <w:contextualSpacing/>
        <w:rPr>
          <w:rFonts w:cs="Tahoma"/>
          <w:bCs/>
          <w:iCs/>
        </w:rPr>
      </w:pPr>
      <w:r w:rsidRPr="003D2E44">
        <w:rPr>
          <w:rFonts w:cs="Tahoma"/>
          <w:bCs/>
          <w:iC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141D34">
        <w:rPr>
          <w:rFonts w:cs="Tahoma"/>
          <w:bCs/>
          <w:iCs/>
        </w:rPr>
        <w:t>trigésimo</w:t>
      </w:r>
      <w:r w:rsidRPr="003D2E44">
        <w:rPr>
          <w:rFonts w:cs="Tahoma"/>
          <w:bCs/>
          <w:iCs/>
        </w:rPr>
        <w:t>, trigésimo</w:t>
      </w:r>
      <w:r w:rsidR="00141D34">
        <w:rPr>
          <w:rFonts w:cs="Tahoma"/>
          <w:bCs/>
          <w:iCs/>
        </w:rPr>
        <w:t xml:space="preserve"> primero</w:t>
      </w:r>
      <w:r w:rsidRPr="003D2E44">
        <w:rPr>
          <w:rFonts w:cs="Tahoma"/>
          <w:bCs/>
          <w:iCs/>
        </w:rPr>
        <w:t xml:space="preserve"> y trigésimo </w:t>
      </w:r>
      <w:r w:rsidR="00141D34">
        <w:rPr>
          <w:rFonts w:cs="Tahoma"/>
          <w:bCs/>
          <w:iCs/>
        </w:rPr>
        <w:t>segundo</w:t>
      </w:r>
      <w:r w:rsidRPr="003D2E44">
        <w:rPr>
          <w:rFonts w:cs="Tahoma"/>
          <w:bCs/>
          <w:iCs/>
        </w:rPr>
        <w:t xml:space="preserve">,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1°, 3°, fracción XXIV, fracción I, 103 y 111, de la Ley General de Protección de Datos Personales en Posesión de Sujetos Obligados, publicada en el Diario Oficial de la Federación el veintiséis de enero de dos mil diecisiete; así como los artículos 1°, 4°, fracción XXII 81, 82, fracción III, 119 y 137 de la Ley de Protección de Datos Personales en Posesión de Sujetos Obligados del Estado de México y Municipios, y 11 del Reglamento Interior del Instituto de Transparencia, Acceso a la Información Pública y Protección de Datos Personales del Estado de México y Municipios. </w:t>
      </w:r>
    </w:p>
    <w:p w:rsidR="00141D34" w:rsidP="005D6B1A" w:rsidRDefault="00141D34" w14:paraId="473C6AE1" w14:textId="77777777">
      <w:pPr>
        <w:tabs>
          <w:tab w:val="left" w:pos="4667"/>
        </w:tabs>
        <w:spacing w:after="0" w:line="360" w:lineRule="auto"/>
        <w:contextualSpacing/>
        <w:rPr>
          <w:rFonts w:cs="Tahoma"/>
          <w:bCs/>
          <w:iCs/>
        </w:rPr>
      </w:pPr>
    </w:p>
    <w:p w:rsidR="00141D34" w:rsidP="005D6B1A" w:rsidRDefault="00E04852" w14:paraId="048F7792" w14:textId="77777777">
      <w:pPr>
        <w:tabs>
          <w:tab w:val="left" w:pos="4667"/>
        </w:tabs>
        <w:spacing w:after="0" w:line="360" w:lineRule="auto"/>
        <w:contextualSpacing/>
        <w:rPr>
          <w:rFonts w:cs="Tahoma"/>
          <w:bCs/>
          <w:iCs/>
        </w:rPr>
      </w:pPr>
      <w:r w:rsidRPr="00141D34">
        <w:rPr>
          <w:rFonts w:cs="Tahoma"/>
          <w:b/>
          <w:iCs/>
        </w:rPr>
        <w:t>SEGUNDO. Causales de improcedencia y sobreseimiento</w:t>
      </w:r>
      <w:r w:rsidRPr="003D2E44">
        <w:rPr>
          <w:rFonts w:cs="Tahoma"/>
          <w:bCs/>
          <w:iCs/>
        </w:rPr>
        <w:t xml:space="preserve">. </w:t>
      </w:r>
    </w:p>
    <w:p w:rsidR="00141D34" w:rsidP="005D6B1A" w:rsidRDefault="00141D34" w14:paraId="5F1124AE" w14:textId="77777777">
      <w:pPr>
        <w:tabs>
          <w:tab w:val="left" w:pos="4667"/>
        </w:tabs>
        <w:spacing w:after="0" w:line="360" w:lineRule="auto"/>
        <w:contextualSpacing/>
        <w:rPr>
          <w:rFonts w:cs="Tahoma"/>
          <w:bCs/>
          <w:iCs/>
        </w:rPr>
      </w:pPr>
    </w:p>
    <w:p w:rsidR="00141D34" w:rsidP="005D6B1A" w:rsidRDefault="00E04852" w14:paraId="673C2376" w14:textId="77777777">
      <w:pPr>
        <w:tabs>
          <w:tab w:val="left" w:pos="4667"/>
        </w:tabs>
        <w:spacing w:after="0" w:line="360" w:lineRule="auto"/>
        <w:contextualSpacing/>
        <w:rPr>
          <w:rFonts w:cs="Tahoma"/>
          <w:bCs/>
          <w:iCs/>
        </w:rPr>
      </w:pPr>
      <w:r w:rsidRPr="003D2E44">
        <w:rPr>
          <w:rFonts w:cs="Tahoma"/>
          <w:bCs/>
          <w:iCs/>
        </w:rPr>
        <w:lastRenderedPageBreak/>
        <w:t xml:space="preserve">Previo al análisis de fondo de la controversia presentada en el asunto que nos ocupa, este Instituto se encuentra obligado a efectuar el estudio oficioso de las causales de improcedencia y sobreseimiento, por tratarse de una cuestión de orden público y de estudio preferente (acorde con el Criterio orientador en la Tesis de Jurisprudencia número 940, pág. 1538, segunda parte del Apéndice del Semanario Judicial de la Federación 1917-1988.). </w:t>
      </w:r>
    </w:p>
    <w:p w:rsidR="00141D34" w:rsidP="005D6B1A" w:rsidRDefault="00141D34" w14:paraId="128E659D" w14:textId="77777777">
      <w:pPr>
        <w:tabs>
          <w:tab w:val="left" w:pos="4667"/>
        </w:tabs>
        <w:spacing w:after="0" w:line="360" w:lineRule="auto"/>
        <w:contextualSpacing/>
        <w:rPr>
          <w:rFonts w:cs="Tahoma"/>
          <w:bCs/>
          <w:iCs/>
        </w:rPr>
      </w:pPr>
    </w:p>
    <w:p w:rsidRPr="00141D34" w:rsidR="00141D34" w:rsidP="005D6B1A" w:rsidRDefault="00E04852" w14:paraId="65D94B89" w14:textId="77777777">
      <w:pPr>
        <w:tabs>
          <w:tab w:val="left" w:pos="4667"/>
        </w:tabs>
        <w:spacing w:after="0" w:line="360" w:lineRule="auto"/>
        <w:contextualSpacing/>
        <w:rPr>
          <w:rFonts w:cs="Tahoma"/>
          <w:b/>
          <w:iCs/>
        </w:rPr>
      </w:pPr>
      <w:r w:rsidRPr="00141D34">
        <w:rPr>
          <w:rFonts w:ascii="Symbol" w:hAnsi="Symbol" w:eastAsia="Symbol" w:cs="Symbol"/>
          <w:b/>
          <w:iCs/>
        </w:rPr>
        <w:t>·</w:t>
      </w:r>
      <w:r w:rsidRPr="00141D34">
        <w:rPr>
          <w:rFonts w:cs="Tahoma"/>
          <w:b/>
          <w:iCs/>
        </w:rPr>
        <w:t xml:space="preserve"> Causales de improcedencia. </w:t>
      </w:r>
    </w:p>
    <w:p w:rsidR="00141D34" w:rsidP="005D6B1A" w:rsidRDefault="00141D34" w14:paraId="45FB3772" w14:textId="77777777">
      <w:pPr>
        <w:tabs>
          <w:tab w:val="left" w:pos="4667"/>
        </w:tabs>
        <w:spacing w:after="0" w:line="360" w:lineRule="auto"/>
        <w:contextualSpacing/>
        <w:rPr>
          <w:rFonts w:cs="Tahoma"/>
          <w:bCs/>
          <w:iCs/>
        </w:rPr>
      </w:pPr>
    </w:p>
    <w:p w:rsidRPr="003D2E44" w:rsidR="00E04852" w:rsidP="005D6B1A" w:rsidRDefault="00E04852" w14:paraId="05FA3E7A" w14:textId="1F69AB69">
      <w:pPr>
        <w:tabs>
          <w:tab w:val="left" w:pos="4667"/>
        </w:tabs>
        <w:spacing w:after="0" w:line="360" w:lineRule="auto"/>
        <w:contextualSpacing/>
        <w:rPr>
          <w:rFonts w:cs="Tahoma"/>
          <w:bCs/>
          <w:iCs/>
        </w:rPr>
      </w:pPr>
      <w:r w:rsidRPr="003D2E44">
        <w:rPr>
          <w:rFonts w:cs="Tahoma"/>
          <w:bCs/>
          <w:iCs/>
        </w:rPr>
        <w:t xml:space="preserve">En el presente caso, no se actualiza ninguna de las causales de improcedencia establecidas por el artículo 138, de la Ley de Protección de Datos Personales en Posesión de Sujetos Obligados del Estado de México y Municipios, toda vez que el recurso de revisión fue interpuesto en tiempo; el solicitante acreditó su identidad para efectos de la interposición del Recurso de Revisión; este Instituto no tiene conocimiento de haber resuelto sobre la materia del medio de impugnación que nos ocupa; se actualiza la causal de procedencia prevista por el artículo 129, </w:t>
      </w:r>
      <w:r w:rsidR="00154275">
        <w:rPr>
          <w:rFonts w:cs="Tahoma"/>
          <w:bCs/>
          <w:iCs/>
        </w:rPr>
        <w:t>fracciones</w:t>
      </w:r>
      <w:r w:rsidRPr="003D2E44">
        <w:rPr>
          <w:rFonts w:cs="Tahoma"/>
          <w:bCs/>
          <w:iCs/>
        </w:rPr>
        <w:t xml:space="preserve"> </w:t>
      </w:r>
      <w:r w:rsidR="00353EAA">
        <w:rPr>
          <w:rFonts w:cs="Tahoma"/>
          <w:bCs/>
          <w:iCs/>
        </w:rPr>
        <w:t>XI y XII</w:t>
      </w:r>
      <w:r w:rsidRPr="003D2E44">
        <w:rPr>
          <w:rFonts w:cs="Tahoma"/>
          <w:bCs/>
          <w:iCs/>
        </w:rPr>
        <w:t xml:space="preserve"> de la Ley en cita; no se tiene conocimiento que ante Tribunales competentes se esté tramitando algún recurso o medio de defensa en contra del acto recurrido ante este Instituto; el Particular no modificó ni amplió su solicitud de acceso a datos personales y; finalmente el Particular acreditó el interés jurídico para efectos de interponer el medio de impugnación que nos ocupa.</w:t>
      </w:r>
    </w:p>
    <w:p w:rsidRPr="003D2E44" w:rsidR="00E04852" w:rsidP="005D6B1A" w:rsidRDefault="00E04852" w14:paraId="71453AE6" w14:textId="07F1723C">
      <w:pPr>
        <w:tabs>
          <w:tab w:val="left" w:pos="4667"/>
        </w:tabs>
        <w:spacing w:after="0" w:line="360" w:lineRule="auto"/>
        <w:contextualSpacing/>
        <w:rPr>
          <w:rFonts w:cs="Tahoma"/>
          <w:bCs/>
          <w:iCs/>
        </w:rPr>
      </w:pPr>
    </w:p>
    <w:p w:rsidRPr="00141D34" w:rsidR="00141D34" w:rsidP="005D6B1A" w:rsidRDefault="00E04852" w14:paraId="573E68D2" w14:textId="77777777">
      <w:pPr>
        <w:tabs>
          <w:tab w:val="left" w:pos="4667"/>
        </w:tabs>
        <w:spacing w:after="0" w:line="360" w:lineRule="auto"/>
        <w:contextualSpacing/>
        <w:rPr>
          <w:rFonts w:cs="Tahoma"/>
          <w:b/>
          <w:iCs/>
        </w:rPr>
      </w:pPr>
      <w:r w:rsidRPr="00141D34">
        <w:rPr>
          <w:rFonts w:ascii="Symbol" w:hAnsi="Symbol" w:eastAsia="Symbol" w:cs="Symbol"/>
          <w:b/>
          <w:iCs/>
        </w:rPr>
        <w:t>·</w:t>
      </w:r>
      <w:r w:rsidRPr="00141D34">
        <w:rPr>
          <w:rFonts w:cs="Tahoma"/>
          <w:b/>
          <w:iCs/>
        </w:rPr>
        <w:t xml:space="preserve"> Causales de sobreseimiento. </w:t>
      </w:r>
    </w:p>
    <w:p w:rsidR="00141D34" w:rsidP="005D6B1A" w:rsidRDefault="00141D34" w14:paraId="3C3891F7" w14:textId="77777777">
      <w:pPr>
        <w:tabs>
          <w:tab w:val="left" w:pos="4667"/>
        </w:tabs>
        <w:spacing w:after="0" w:line="360" w:lineRule="auto"/>
        <w:contextualSpacing/>
        <w:rPr>
          <w:rFonts w:cs="Tahoma"/>
          <w:bCs/>
          <w:iCs/>
        </w:rPr>
      </w:pPr>
    </w:p>
    <w:p w:rsidR="00141D34" w:rsidP="005D6B1A" w:rsidRDefault="00E04852" w14:paraId="1F78FE36" w14:textId="77777777">
      <w:pPr>
        <w:tabs>
          <w:tab w:val="left" w:pos="4667"/>
        </w:tabs>
        <w:spacing w:after="0" w:line="360" w:lineRule="auto"/>
        <w:contextualSpacing/>
        <w:rPr>
          <w:rFonts w:cs="Tahoma"/>
          <w:bCs/>
          <w:iCs/>
        </w:rPr>
      </w:pPr>
      <w:r w:rsidRPr="003D2E44">
        <w:rPr>
          <w:rFonts w:cs="Tahoma"/>
          <w:bCs/>
          <w:iCs/>
        </w:rPr>
        <w:t xml:space="preserve">Por otra parte, el artículo 139, de la Ley de Protección de Datos Personales en Posesión de Sujetos Obligados del Estado de México y Municipios, señala que el Recurso de Revisión será sobreseído cuando una vez admitido, se actualice algún de los supuestos siguientes: </w:t>
      </w:r>
    </w:p>
    <w:p w:rsidR="00141D34" w:rsidP="005D6B1A" w:rsidRDefault="00141D34" w14:paraId="14FA83BC" w14:textId="77777777">
      <w:pPr>
        <w:tabs>
          <w:tab w:val="left" w:pos="4667"/>
        </w:tabs>
        <w:spacing w:after="0" w:line="360" w:lineRule="auto"/>
        <w:contextualSpacing/>
        <w:rPr>
          <w:rFonts w:cs="Tahoma"/>
          <w:bCs/>
          <w:iCs/>
        </w:rPr>
      </w:pPr>
    </w:p>
    <w:p w:rsidR="00141D34" w:rsidP="005D6B1A" w:rsidRDefault="00E04852" w14:paraId="3656AFA2" w14:textId="77777777">
      <w:pPr>
        <w:tabs>
          <w:tab w:val="left" w:pos="4667"/>
        </w:tabs>
        <w:spacing w:after="0" w:line="360" w:lineRule="auto"/>
        <w:contextualSpacing/>
        <w:rPr>
          <w:rFonts w:cs="Tahoma"/>
          <w:bCs/>
          <w:iCs/>
        </w:rPr>
      </w:pPr>
      <w:r w:rsidRPr="003D2E44">
        <w:rPr>
          <w:rFonts w:cs="Tahoma"/>
          <w:bCs/>
          <w:iCs/>
        </w:rPr>
        <w:t xml:space="preserve">I. El recurrente se desista expresamente. </w:t>
      </w:r>
    </w:p>
    <w:p w:rsidR="00141D34" w:rsidP="005D6B1A" w:rsidRDefault="00E04852" w14:paraId="0382D7B8" w14:textId="77777777">
      <w:pPr>
        <w:tabs>
          <w:tab w:val="left" w:pos="4667"/>
        </w:tabs>
        <w:spacing w:after="0" w:line="360" w:lineRule="auto"/>
        <w:contextualSpacing/>
        <w:rPr>
          <w:rFonts w:cs="Tahoma"/>
          <w:bCs/>
          <w:iCs/>
        </w:rPr>
      </w:pPr>
      <w:r w:rsidRPr="003D2E44">
        <w:rPr>
          <w:rFonts w:cs="Tahoma"/>
          <w:bCs/>
          <w:iCs/>
        </w:rPr>
        <w:t xml:space="preserve">II. El recurrente fallezca. </w:t>
      </w:r>
    </w:p>
    <w:p w:rsidR="00141D34" w:rsidP="005D6B1A" w:rsidRDefault="00E04852" w14:paraId="3560C64D" w14:textId="77777777">
      <w:pPr>
        <w:tabs>
          <w:tab w:val="left" w:pos="4667"/>
        </w:tabs>
        <w:spacing w:after="0" w:line="360" w:lineRule="auto"/>
        <w:contextualSpacing/>
        <w:rPr>
          <w:rFonts w:cs="Tahoma"/>
          <w:bCs/>
          <w:iCs/>
        </w:rPr>
      </w:pPr>
      <w:r w:rsidRPr="003D2E44">
        <w:rPr>
          <w:rFonts w:cs="Tahoma"/>
          <w:bCs/>
          <w:iCs/>
        </w:rPr>
        <w:lastRenderedPageBreak/>
        <w:t xml:space="preserve">III. Admitido el recurso de revisión, se actualice alguna causal de improcedencia en los términos de la presente Ley. </w:t>
      </w:r>
    </w:p>
    <w:p w:rsidRPr="00154275" w:rsidR="00141D34" w:rsidP="005D6B1A" w:rsidRDefault="00E04852" w14:paraId="23E9AC82" w14:textId="77777777">
      <w:pPr>
        <w:tabs>
          <w:tab w:val="left" w:pos="4667"/>
        </w:tabs>
        <w:spacing w:after="0" w:line="360" w:lineRule="auto"/>
        <w:contextualSpacing/>
        <w:rPr>
          <w:rFonts w:cs="Tahoma"/>
          <w:b/>
          <w:iCs/>
        </w:rPr>
      </w:pPr>
      <w:r w:rsidRPr="00154275">
        <w:rPr>
          <w:rFonts w:cs="Tahoma"/>
          <w:b/>
          <w:iCs/>
        </w:rPr>
        <w:t xml:space="preserve">IV. El responsable modifique o revoque su respuesta de tal manera que el recurso de revisión quede sin materia. </w:t>
      </w:r>
    </w:p>
    <w:p w:rsidR="00141D34" w:rsidP="005D6B1A" w:rsidRDefault="00E04852" w14:paraId="49BE4EEE" w14:textId="77777777">
      <w:pPr>
        <w:tabs>
          <w:tab w:val="left" w:pos="4667"/>
        </w:tabs>
        <w:spacing w:after="0" w:line="360" w:lineRule="auto"/>
        <w:contextualSpacing/>
        <w:rPr>
          <w:rFonts w:cs="Tahoma"/>
          <w:bCs/>
          <w:iCs/>
        </w:rPr>
      </w:pPr>
      <w:r w:rsidRPr="003D2E44">
        <w:rPr>
          <w:rFonts w:cs="Tahoma"/>
          <w:bCs/>
          <w:iCs/>
        </w:rPr>
        <w:t xml:space="preserve">V. Quede sin materia el recurso de revisión. </w:t>
      </w:r>
    </w:p>
    <w:p w:rsidR="00141D34" w:rsidP="005D6B1A" w:rsidRDefault="00141D34" w14:paraId="4715305C" w14:textId="77777777">
      <w:pPr>
        <w:tabs>
          <w:tab w:val="left" w:pos="4667"/>
        </w:tabs>
        <w:spacing w:after="0" w:line="360" w:lineRule="auto"/>
        <w:contextualSpacing/>
        <w:rPr>
          <w:rFonts w:cs="Tahoma"/>
          <w:bCs/>
          <w:iCs/>
        </w:rPr>
      </w:pPr>
    </w:p>
    <w:p w:rsidR="00141D34" w:rsidP="005D6B1A" w:rsidRDefault="00E04852" w14:paraId="2D7012D9" w14:textId="77777777">
      <w:pPr>
        <w:tabs>
          <w:tab w:val="left" w:pos="4667"/>
        </w:tabs>
        <w:spacing w:after="0" w:line="360" w:lineRule="auto"/>
        <w:contextualSpacing/>
        <w:rPr>
          <w:rFonts w:cs="Tahoma"/>
          <w:bCs/>
          <w:iCs/>
        </w:rPr>
      </w:pPr>
      <w:r w:rsidRPr="003D2E44">
        <w:rPr>
          <w:rFonts w:cs="Tahoma"/>
          <w:bCs/>
          <w:iCs/>
        </w:rPr>
        <w:t xml:space="preserve">Es de señalar que toda vez que admitido el recurso de revisión, se actualiza una causal de sobreseimiento en términos de la Ley, es procedente analizar dicha causal. </w:t>
      </w:r>
    </w:p>
    <w:p w:rsidR="008462BE" w:rsidP="005D6B1A" w:rsidRDefault="008462BE" w14:paraId="7E546CC3" w14:textId="77777777">
      <w:pPr>
        <w:tabs>
          <w:tab w:val="left" w:pos="4667"/>
        </w:tabs>
        <w:spacing w:after="0" w:line="360" w:lineRule="auto"/>
        <w:contextualSpacing/>
        <w:rPr>
          <w:rFonts w:cs="Tahoma"/>
          <w:b/>
          <w:iCs/>
        </w:rPr>
      </w:pPr>
    </w:p>
    <w:p w:rsidRPr="00141D34" w:rsidR="00141D34" w:rsidP="005D6B1A" w:rsidRDefault="00E04852" w14:paraId="0C571D42" w14:textId="54BD5436">
      <w:pPr>
        <w:tabs>
          <w:tab w:val="left" w:pos="4667"/>
        </w:tabs>
        <w:spacing w:after="0" w:line="360" w:lineRule="auto"/>
        <w:contextualSpacing/>
        <w:rPr>
          <w:rFonts w:cs="Tahoma"/>
          <w:b/>
          <w:iCs/>
        </w:rPr>
      </w:pPr>
      <w:r w:rsidRPr="00141D34">
        <w:rPr>
          <w:rFonts w:cs="Tahoma"/>
          <w:b/>
          <w:iCs/>
        </w:rPr>
        <w:t xml:space="preserve">TERCERO. Análisis de las causales de sobreseimiento. </w:t>
      </w:r>
    </w:p>
    <w:p w:rsidR="00141D34" w:rsidP="005D6B1A" w:rsidRDefault="00141D34" w14:paraId="7174A956" w14:textId="77777777">
      <w:pPr>
        <w:tabs>
          <w:tab w:val="left" w:pos="4667"/>
        </w:tabs>
        <w:spacing w:after="0" w:line="360" w:lineRule="auto"/>
        <w:contextualSpacing/>
        <w:rPr>
          <w:rFonts w:cs="Tahoma"/>
          <w:bCs/>
          <w:iCs/>
        </w:rPr>
      </w:pPr>
    </w:p>
    <w:p w:rsidRPr="003D2E44" w:rsidR="00E04852" w:rsidP="005D6B1A" w:rsidRDefault="00E04852" w14:paraId="54B811D5" w14:textId="050A2687">
      <w:pPr>
        <w:tabs>
          <w:tab w:val="left" w:pos="4667"/>
        </w:tabs>
        <w:spacing w:after="0" w:line="360" w:lineRule="auto"/>
        <w:contextualSpacing/>
        <w:rPr>
          <w:rFonts w:cs="Tahoma"/>
          <w:bCs/>
          <w:iCs/>
        </w:rPr>
      </w:pPr>
      <w:r w:rsidRPr="003D2E44">
        <w:rPr>
          <w:rFonts w:cs="Tahoma"/>
          <w:bCs/>
          <w:iCs/>
        </w:rPr>
        <w:t>Así, con la finalidad de verificar si el acto descrito deja sin materia el presente Recurso de Revisión, se realizará la relatoría de las actuaciones efectuadas por las partes durante el procedimiento de acceso a la información pública con el propósito de dar claridad en el tratamiento del tema en estudio.</w:t>
      </w:r>
    </w:p>
    <w:p w:rsidRPr="003D2E44" w:rsidR="00E04852" w:rsidP="005D6B1A" w:rsidRDefault="00E04852" w14:paraId="63A8A493" w14:textId="57BE9755">
      <w:pPr>
        <w:tabs>
          <w:tab w:val="left" w:pos="4667"/>
        </w:tabs>
        <w:spacing w:after="0" w:line="360" w:lineRule="auto"/>
        <w:contextualSpacing/>
        <w:rPr>
          <w:rFonts w:cs="Tahoma"/>
          <w:bCs/>
          <w:iCs/>
        </w:rPr>
      </w:pPr>
    </w:p>
    <w:p w:rsidR="00E37E09" w:rsidP="005D6B1A" w:rsidRDefault="00E04852" w14:paraId="0F9DD4BF" w14:textId="7570EDE7">
      <w:pPr>
        <w:tabs>
          <w:tab w:val="left" w:pos="4667"/>
        </w:tabs>
        <w:spacing w:after="0" w:line="360" w:lineRule="auto"/>
        <w:contextualSpacing/>
        <w:rPr>
          <w:rFonts w:cs="Tahoma"/>
          <w:bCs/>
          <w:iCs/>
        </w:rPr>
      </w:pPr>
      <w:r w:rsidRPr="003C57FF">
        <w:rPr>
          <w:rFonts w:cs="Tahoma"/>
          <w:bCs/>
          <w:iCs/>
        </w:rPr>
        <w:t xml:space="preserve">En principio, se tiene que el Particular solicitó al </w:t>
      </w:r>
      <w:r w:rsidRPr="003C57FF" w:rsidR="00154275">
        <w:rPr>
          <w:rFonts w:cs="Tahoma"/>
          <w:bCs/>
          <w:iCs/>
        </w:rPr>
        <w:t xml:space="preserve">Sujeto Obligado, </w:t>
      </w:r>
      <w:r w:rsidRPr="003C57FF" w:rsidR="009F7E29">
        <w:rPr>
          <w:rFonts w:cs="Tahoma"/>
          <w:bCs/>
          <w:iCs/>
        </w:rPr>
        <w:t xml:space="preserve">información correspondiente al Historial Clínico de su finado hermano, para poder realizar el cobro de un seguro, de la cual, la solicitante del acceso es beneficiaria. </w:t>
      </w:r>
      <w:r w:rsidRPr="003C57FF" w:rsidR="00E37E09">
        <w:rPr>
          <w:rFonts w:cs="Tahoma"/>
          <w:bCs/>
          <w:iCs/>
        </w:rPr>
        <w:t>La particular otorgó datos para localizar la información, que a la postre, modificaría.</w:t>
      </w:r>
      <w:r w:rsidR="003C57FF">
        <w:rPr>
          <w:rFonts w:cs="Tahoma"/>
          <w:bCs/>
          <w:iCs/>
        </w:rPr>
        <w:t xml:space="preserve"> </w:t>
      </w:r>
      <w:r w:rsidR="009F7E29">
        <w:rPr>
          <w:rFonts w:cs="Tahoma"/>
          <w:bCs/>
          <w:iCs/>
        </w:rPr>
        <w:t>En respuesta, el ISSEMyM informó al particular que no existía información en sus archivos.</w:t>
      </w:r>
      <w:r w:rsidR="00E37E09">
        <w:rPr>
          <w:rFonts w:cs="Tahoma"/>
          <w:bCs/>
          <w:iCs/>
        </w:rPr>
        <w:t xml:space="preserve"> En la interposición del recurso, modificó los datos de identificación del expediente</w:t>
      </w:r>
      <w:r w:rsidR="003C57FF">
        <w:rPr>
          <w:rFonts w:cs="Tahoma"/>
          <w:bCs/>
          <w:iCs/>
        </w:rPr>
        <w:t>; porque el expediente obraba en un hospital distinto al señalado originalmente.</w:t>
      </w:r>
    </w:p>
    <w:p w:rsidR="004612EB" w:rsidP="005D6B1A" w:rsidRDefault="004612EB" w14:paraId="21E67E36" w14:textId="00E8069B">
      <w:pPr>
        <w:tabs>
          <w:tab w:val="left" w:pos="4667"/>
        </w:tabs>
        <w:spacing w:after="0" w:line="360" w:lineRule="auto"/>
        <w:contextualSpacing/>
        <w:rPr>
          <w:rFonts w:cs="Tahoma"/>
          <w:bCs/>
          <w:iCs/>
        </w:rPr>
      </w:pPr>
    </w:p>
    <w:p w:rsidR="008847E6" w:rsidP="005D6B1A" w:rsidRDefault="008847E6" w14:paraId="71DDE02B" w14:textId="1C36D7B1">
      <w:pPr>
        <w:tabs>
          <w:tab w:val="left" w:pos="4667"/>
        </w:tabs>
        <w:spacing w:after="0" w:line="360" w:lineRule="auto"/>
        <w:contextualSpacing/>
        <w:rPr>
          <w:rFonts w:cs="Tahoma"/>
          <w:bCs/>
          <w:iCs/>
        </w:rPr>
      </w:pPr>
      <w:r>
        <w:rPr>
          <w:rFonts w:cs="Tahoma"/>
          <w:bCs/>
          <w:iCs/>
        </w:rPr>
        <w:t xml:space="preserve">Para la admisión del recurso de revisión, este Organismo Garante, previno a la Particular para </w:t>
      </w:r>
      <w:r w:rsidR="00183785">
        <w:rPr>
          <w:rFonts w:cs="Tahoma"/>
          <w:bCs/>
          <w:iCs/>
        </w:rPr>
        <w:t>que,</w:t>
      </w:r>
      <w:r>
        <w:rPr>
          <w:rFonts w:cs="Tahoma"/>
          <w:bCs/>
          <w:iCs/>
        </w:rPr>
        <w:t xml:space="preserve"> en un plazo de </w:t>
      </w:r>
      <w:r w:rsidR="00183785">
        <w:rPr>
          <w:rFonts w:cs="Tahoma"/>
          <w:bCs/>
          <w:iCs/>
        </w:rPr>
        <w:t>cinco</w:t>
      </w:r>
      <w:r>
        <w:rPr>
          <w:rFonts w:cs="Tahoma"/>
          <w:bCs/>
          <w:iCs/>
        </w:rPr>
        <w:t xml:space="preserve"> días a partir de la notificación, hiciera entrega de documento que sirviera para acreditar identidad, lo cual desahogó en el periodo indicado, a través de correo electrónico institucional.</w:t>
      </w:r>
    </w:p>
    <w:p w:rsidR="00183785" w:rsidP="005D6B1A" w:rsidRDefault="00183785" w14:paraId="1CB7B99C" w14:textId="4F584E51">
      <w:pPr>
        <w:tabs>
          <w:tab w:val="left" w:pos="4667"/>
        </w:tabs>
        <w:spacing w:after="0" w:line="360" w:lineRule="auto"/>
        <w:contextualSpacing/>
        <w:rPr>
          <w:rFonts w:cs="Tahoma"/>
          <w:bCs/>
          <w:iCs/>
        </w:rPr>
      </w:pPr>
    </w:p>
    <w:p w:rsidR="00183785" w:rsidP="005D6B1A" w:rsidRDefault="00183785" w14:paraId="09C15F8F" w14:textId="61B5F143">
      <w:pPr>
        <w:tabs>
          <w:tab w:val="left" w:pos="4667"/>
        </w:tabs>
        <w:spacing w:after="0" w:line="360" w:lineRule="auto"/>
        <w:contextualSpacing/>
        <w:rPr>
          <w:rFonts w:cs="Tahoma"/>
          <w:bCs/>
          <w:iCs/>
        </w:rPr>
      </w:pPr>
      <w:r>
        <w:rPr>
          <w:rFonts w:cs="Tahoma"/>
          <w:bCs/>
          <w:iCs/>
        </w:rPr>
        <w:t xml:space="preserve">No pasa por </w:t>
      </w:r>
      <w:r w:rsidR="000E4CFD">
        <w:rPr>
          <w:rFonts w:cs="Tahoma"/>
          <w:bCs/>
          <w:iCs/>
        </w:rPr>
        <w:t xml:space="preserve">alto es de Instituto especializado en la </w:t>
      </w:r>
      <w:r w:rsidR="008F314F">
        <w:rPr>
          <w:rFonts w:cs="Tahoma"/>
          <w:bCs/>
          <w:iCs/>
        </w:rPr>
        <w:t>Protección de los Datos Personales</w:t>
      </w:r>
      <w:r w:rsidR="000E4CFD">
        <w:rPr>
          <w:rFonts w:cs="Tahoma"/>
          <w:bCs/>
          <w:iCs/>
        </w:rPr>
        <w:t xml:space="preserve">, </w:t>
      </w:r>
      <w:r w:rsidR="0083325C">
        <w:rPr>
          <w:rFonts w:cs="Tahoma"/>
          <w:bCs/>
          <w:iCs/>
        </w:rPr>
        <w:t>que,</w:t>
      </w:r>
      <w:r w:rsidR="000E4CFD">
        <w:rPr>
          <w:rFonts w:cs="Tahoma"/>
          <w:bCs/>
          <w:iCs/>
        </w:rPr>
        <w:t xml:space="preserve"> para dar acceso a información de personas fallecidas, </w:t>
      </w:r>
      <w:r w:rsidR="0083325C">
        <w:rPr>
          <w:rFonts w:cs="Tahoma"/>
          <w:bCs/>
          <w:iCs/>
        </w:rPr>
        <w:t xml:space="preserve">la ley de datos vigente en la </w:t>
      </w:r>
      <w:proofErr w:type="gramStart"/>
      <w:r w:rsidR="0083325C">
        <w:rPr>
          <w:rFonts w:cs="Tahoma"/>
          <w:bCs/>
          <w:iCs/>
        </w:rPr>
        <w:t>entidad,</w:t>
      </w:r>
      <w:proofErr w:type="gramEnd"/>
      <w:r w:rsidR="0083325C">
        <w:rPr>
          <w:rFonts w:cs="Tahoma"/>
          <w:bCs/>
          <w:iCs/>
        </w:rPr>
        <w:t xml:space="preserve"> establece</w:t>
      </w:r>
      <w:r w:rsidR="008F314F">
        <w:rPr>
          <w:rFonts w:cs="Tahoma"/>
          <w:bCs/>
          <w:iCs/>
        </w:rPr>
        <w:t xml:space="preserve"> presupuestos que deben ser satisfechos,</w:t>
      </w:r>
      <w:r w:rsidR="0083325C">
        <w:rPr>
          <w:rFonts w:cs="Tahoma"/>
          <w:bCs/>
          <w:iCs/>
        </w:rPr>
        <w:t xml:space="preserve"> en su artículo 106, párrafos cuarto, quinto y sexto, </w:t>
      </w:r>
      <w:r w:rsidR="008F314F">
        <w:rPr>
          <w:rFonts w:cs="Tahoma"/>
          <w:bCs/>
          <w:iCs/>
        </w:rPr>
        <w:t xml:space="preserve">de conformidad con </w:t>
      </w:r>
      <w:r w:rsidR="0083325C">
        <w:rPr>
          <w:rFonts w:cs="Tahoma"/>
          <w:bCs/>
          <w:iCs/>
        </w:rPr>
        <w:t>lo siguiente:</w:t>
      </w:r>
    </w:p>
    <w:p w:rsidR="0083325C" w:rsidP="005D6B1A" w:rsidRDefault="0083325C" w14:paraId="6770000E" w14:textId="4EBEF639">
      <w:pPr>
        <w:tabs>
          <w:tab w:val="left" w:pos="4667"/>
        </w:tabs>
        <w:spacing w:after="0" w:line="360" w:lineRule="auto"/>
        <w:contextualSpacing/>
        <w:rPr>
          <w:rFonts w:cs="Tahoma"/>
          <w:bCs/>
          <w:iCs/>
        </w:rPr>
      </w:pPr>
    </w:p>
    <w:p w:rsidRPr="0083325C" w:rsidR="0083325C" w:rsidP="005D6B1A" w:rsidRDefault="0083325C" w14:paraId="7D0C4039" w14:textId="77777777">
      <w:pPr>
        <w:spacing w:after="0" w:line="360" w:lineRule="auto"/>
        <w:ind w:left="567" w:right="539"/>
        <w:rPr>
          <w:rFonts w:eastAsia="Batang" w:cs="Tahoma"/>
          <w:bCs/>
          <w:i/>
          <w:iCs/>
          <w:sz w:val="20"/>
          <w:szCs w:val="20"/>
        </w:rPr>
      </w:pPr>
      <w:r w:rsidRPr="0083325C">
        <w:rPr>
          <w:rFonts w:eastAsia="Batang" w:cs="Tahoma"/>
          <w:bCs/>
          <w:i/>
          <w:iCs/>
          <w:sz w:val="20"/>
          <w:szCs w:val="20"/>
        </w:rPr>
        <w:t>Legitimación para Ejercer los Derechos ARCO</w:t>
      </w:r>
    </w:p>
    <w:p w:rsidRPr="0083325C" w:rsidR="0083325C" w:rsidP="005D6B1A" w:rsidRDefault="0083325C" w14:paraId="0EF8BA15" w14:textId="49ABC95A">
      <w:pPr>
        <w:spacing w:after="0" w:line="360" w:lineRule="auto"/>
        <w:ind w:left="567" w:right="539"/>
        <w:rPr>
          <w:rFonts w:eastAsia="Batang" w:cs="Tahoma"/>
          <w:bCs/>
          <w:i/>
          <w:iCs/>
          <w:sz w:val="20"/>
          <w:szCs w:val="20"/>
        </w:rPr>
      </w:pPr>
      <w:r w:rsidRPr="0083325C">
        <w:rPr>
          <w:rFonts w:eastAsia="Batang" w:cs="Tahoma"/>
          <w:bCs/>
          <w:i/>
          <w:iCs/>
          <w:sz w:val="20"/>
          <w:szCs w:val="20"/>
        </w:rPr>
        <w:t>Artículo 106. La recepción y trámite de las solicitudes para el ejercicio de los derechos</w:t>
      </w:r>
      <w:r>
        <w:rPr>
          <w:rFonts w:eastAsia="Batang" w:cs="Tahoma"/>
          <w:bCs/>
          <w:i/>
          <w:iCs/>
          <w:sz w:val="20"/>
          <w:szCs w:val="20"/>
        </w:rPr>
        <w:t xml:space="preserve"> </w:t>
      </w:r>
      <w:r w:rsidRPr="0083325C">
        <w:rPr>
          <w:rFonts w:eastAsia="Batang" w:cs="Tahoma"/>
          <w:bCs/>
          <w:i/>
          <w:iCs/>
          <w:sz w:val="20"/>
          <w:szCs w:val="20"/>
        </w:rPr>
        <w:t>ARCO, de portabilidad de los datos y limitación del tratamiento, se sujetará al procedimiento</w:t>
      </w:r>
      <w:r>
        <w:rPr>
          <w:rFonts w:eastAsia="Batang" w:cs="Tahoma"/>
          <w:bCs/>
          <w:i/>
          <w:iCs/>
          <w:sz w:val="20"/>
          <w:szCs w:val="20"/>
        </w:rPr>
        <w:t xml:space="preserve"> </w:t>
      </w:r>
      <w:r w:rsidRPr="0083325C">
        <w:rPr>
          <w:rFonts w:eastAsia="Batang" w:cs="Tahoma"/>
          <w:bCs/>
          <w:i/>
          <w:iCs/>
          <w:sz w:val="20"/>
          <w:szCs w:val="20"/>
        </w:rPr>
        <w:t>establecido en el presente Título y demás disposiciones que resulten aplicables en la</w:t>
      </w:r>
      <w:r>
        <w:rPr>
          <w:rFonts w:eastAsia="Batang" w:cs="Tahoma"/>
          <w:bCs/>
          <w:i/>
          <w:iCs/>
          <w:sz w:val="20"/>
          <w:szCs w:val="20"/>
        </w:rPr>
        <w:t xml:space="preserve"> </w:t>
      </w:r>
      <w:r w:rsidRPr="0083325C">
        <w:rPr>
          <w:rFonts w:eastAsia="Batang" w:cs="Tahoma"/>
          <w:bCs/>
          <w:i/>
          <w:iCs/>
          <w:sz w:val="20"/>
          <w:szCs w:val="20"/>
        </w:rPr>
        <w:t>materia.</w:t>
      </w:r>
    </w:p>
    <w:p w:rsidRPr="0083325C" w:rsidR="0083325C" w:rsidP="005D6B1A" w:rsidRDefault="0083325C" w14:paraId="7E3C0227" w14:textId="626E4229">
      <w:pPr>
        <w:spacing w:after="0" w:line="360" w:lineRule="auto"/>
        <w:ind w:left="567" w:right="539"/>
        <w:rPr>
          <w:rFonts w:eastAsia="Batang" w:cs="Tahoma"/>
          <w:bCs/>
          <w:i/>
          <w:iCs/>
          <w:sz w:val="20"/>
          <w:szCs w:val="20"/>
        </w:rPr>
      </w:pPr>
      <w:r w:rsidRPr="0083325C">
        <w:rPr>
          <w:rFonts w:eastAsia="Batang" w:cs="Tahoma"/>
          <w:bCs/>
          <w:i/>
          <w:iCs/>
          <w:sz w:val="20"/>
          <w:szCs w:val="20"/>
        </w:rPr>
        <w:t>…</w:t>
      </w:r>
    </w:p>
    <w:p w:rsidRPr="0083325C" w:rsidR="0083325C" w:rsidP="005D6B1A" w:rsidRDefault="0083325C" w14:paraId="3720986A" w14:textId="1017B1AB">
      <w:pPr>
        <w:spacing w:after="0" w:line="360" w:lineRule="auto"/>
        <w:ind w:left="567" w:right="539"/>
        <w:rPr>
          <w:rFonts w:eastAsia="Batang" w:cs="Tahoma"/>
          <w:bCs/>
          <w:i/>
          <w:iCs/>
          <w:sz w:val="20"/>
          <w:szCs w:val="20"/>
        </w:rPr>
      </w:pPr>
      <w:r w:rsidRPr="005D6B1A">
        <w:rPr>
          <w:rFonts w:eastAsia="Batang" w:cs="Tahoma"/>
          <w:b/>
          <w:i/>
          <w:iCs/>
          <w:sz w:val="20"/>
          <w:szCs w:val="20"/>
        </w:rPr>
        <w:t>Tratándose de datos personales concernientes a personas fallecidas</w:t>
      </w:r>
      <w:r w:rsidRPr="0083325C">
        <w:rPr>
          <w:rFonts w:eastAsia="Batang" w:cs="Tahoma"/>
          <w:bCs/>
          <w:i/>
          <w:iCs/>
          <w:sz w:val="20"/>
          <w:szCs w:val="20"/>
        </w:rPr>
        <w:t xml:space="preserve"> o de quienes haya</w:t>
      </w:r>
      <w:r>
        <w:rPr>
          <w:rFonts w:eastAsia="Batang" w:cs="Tahoma"/>
          <w:bCs/>
          <w:i/>
          <w:iCs/>
          <w:sz w:val="20"/>
          <w:szCs w:val="20"/>
        </w:rPr>
        <w:t xml:space="preserve"> </w:t>
      </w:r>
      <w:r w:rsidRPr="0083325C">
        <w:rPr>
          <w:rFonts w:eastAsia="Batang" w:cs="Tahoma"/>
          <w:bCs/>
          <w:i/>
          <w:iCs/>
          <w:sz w:val="20"/>
          <w:szCs w:val="20"/>
        </w:rPr>
        <w:t xml:space="preserve">sido declarada judicialmente su presunción de muerte, </w:t>
      </w:r>
      <w:r w:rsidRPr="005D6B1A">
        <w:rPr>
          <w:rFonts w:eastAsia="Batang" w:cs="Tahoma"/>
          <w:b/>
          <w:i/>
          <w:iCs/>
          <w:sz w:val="20"/>
          <w:szCs w:val="20"/>
        </w:rPr>
        <w:t>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w:t>
      </w:r>
    </w:p>
    <w:p w:rsidRPr="0083325C" w:rsidR="0083325C" w:rsidP="005D6B1A" w:rsidRDefault="0083325C" w14:paraId="374D93B7" w14:textId="5A1B830F">
      <w:pPr>
        <w:spacing w:after="0" w:line="360" w:lineRule="auto"/>
        <w:ind w:left="567" w:right="539"/>
        <w:rPr>
          <w:rFonts w:eastAsia="Batang" w:cs="Tahoma"/>
          <w:bCs/>
          <w:i/>
          <w:iCs/>
          <w:sz w:val="20"/>
          <w:szCs w:val="20"/>
        </w:rPr>
      </w:pPr>
      <w:r w:rsidRPr="005D6B1A">
        <w:rPr>
          <w:rFonts w:eastAsia="Batang" w:cs="Tahoma"/>
          <w:b/>
          <w:i/>
          <w:iCs/>
          <w:sz w:val="20"/>
          <w:szCs w:val="20"/>
        </w:rPr>
        <w:t>El titular podrá autorizar dentro de una cláusula del testamento a las personas que podrán ejercer sus derechos ARCO al momento del fallecimiento</w:t>
      </w:r>
      <w:r w:rsidRPr="0083325C">
        <w:rPr>
          <w:rFonts w:eastAsia="Batang" w:cs="Tahoma"/>
          <w:bCs/>
          <w:i/>
          <w:iCs/>
          <w:sz w:val="20"/>
          <w:szCs w:val="20"/>
        </w:rPr>
        <w:t xml:space="preserve">. </w:t>
      </w:r>
    </w:p>
    <w:p w:rsidRPr="0083325C" w:rsidR="0083325C" w:rsidP="005D6B1A" w:rsidRDefault="0083325C" w14:paraId="001D08E6" w14:textId="3E74B812">
      <w:pPr>
        <w:spacing w:after="0" w:line="360" w:lineRule="auto"/>
        <w:ind w:left="567" w:right="539"/>
        <w:rPr>
          <w:rFonts w:eastAsia="Batang" w:cs="Tahoma"/>
          <w:bCs/>
          <w:i/>
          <w:iCs/>
          <w:sz w:val="20"/>
          <w:szCs w:val="20"/>
        </w:rPr>
      </w:pPr>
      <w:r w:rsidRPr="0083325C">
        <w:rPr>
          <w:rFonts w:eastAsia="Batang" w:cs="Tahoma"/>
          <w:bCs/>
          <w:i/>
          <w:iCs/>
          <w:sz w:val="20"/>
          <w:szCs w:val="20"/>
        </w:rPr>
        <w:t>El ejercicio de los derechos ARCO por persona distinta a su titular o a su representante,</w:t>
      </w:r>
      <w:r>
        <w:rPr>
          <w:rFonts w:eastAsia="Batang" w:cs="Tahoma"/>
          <w:bCs/>
          <w:i/>
          <w:iCs/>
          <w:sz w:val="20"/>
          <w:szCs w:val="20"/>
        </w:rPr>
        <w:t xml:space="preserve"> </w:t>
      </w:r>
      <w:r w:rsidRPr="0083325C">
        <w:rPr>
          <w:rFonts w:eastAsia="Batang" w:cs="Tahoma"/>
          <w:bCs/>
          <w:i/>
          <w:iCs/>
          <w:sz w:val="20"/>
          <w:szCs w:val="20"/>
        </w:rPr>
        <w:t xml:space="preserve">será posible, excepcionalmente, </w:t>
      </w:r>
      <w:r w:rsidRPr="005D6B1A">
        <w:rPr>
          <w:rFonts w:eastAsia="Batang" w:cs="Tahoma"/>
          <w:b/>
          <w:i/>
          <w:iCs/>
          <w:sz w:val="20"/>
          <w:szCs w:val="20"/>
        </w:rPr>
        <w:t xml:space="preserve">en aquellos supuestos previstos por disposición legal, o en su caso, por mandato judicial. </w:t>
      </w:r>
    </w:p>
    <w:p w:rsidR="0083325C" w:rsidP="005D6B1A" w:rsidRDefault="0083325C" w14:paraId="7645EF9E" w14:textId="751EC98A">
      <w:pPr>
        <w:spacing w:after="0" w:line="360" w:lineRule="auto"/>
        <w:ind w:left="567" w:right="539"/>
        <w:rPr>
          <w:rFonts w:eastAsia="Batang" w:cs="Tahoma"/>
          <w:bCs/>
          <w:i/>
          <w:iCs/>
          <w:sz w:val="20"/>
          <w:szCs w:val="20"/>
        </w:rPr>
      </w:pPr>
      <w:r w:rsidRPr="0083325C">
        <w:rPr>
          <w:rFonts w:eastAsia="Batang" w:cs="Tahoma"/>
          <w:bCs/>
          <w:i/>
          <w:iCs/>
          <w:sz w:val="20"/>
          <w:szCs w:val="20"/>
        </w:rPr>
        <w:t>…” (Sic)</w:t>
      </w:r>
    </w:p>
    <w:p w:rsidR="005D6B1A" w:rsidP="005D6B1A" w:rsidRDefault="005D6B1A" w14:paraId="52A04B2F" w14:textId="6A71288E">
      <w:pPr>
        <w:spacing w:after="0" w:line="360" w:lineRule="auto"/>
        <w:ind w:right="539"/>
        <w:rPr>
          <w:rFonts w:eastAsia="Batang" w:cs="Tahoma"/>
          <w:bCs/>
          <w:i/>
          <w:iCs/>
          <w:sz w:val="20"/>
          <w:szCs w:val="20"/>
        </w:rPr>
      </w:pPr>
    </w:p>
    <w:p w:rsidRPr="005D6B1A" w:rsidR="005D6B1A" w:rsidP="005D6B1A" w:rsidRDefault="005D6B1A" w14:paraId="122DD1AA" w14:textId="094F19C3">
      <w:pPr>
        <w:tabs>
          <w:tab w:val="left" w:pos="0"/>
        </w:tabs>
        <w:spacing w:after="0" w:line="360" w:lineRule="auto"/>
        <w:ind w:right="-28"/>
        <w:rPr>
          <w:rFonts w:cs="Tahoma"/>
          <w:bCs/>
        </w:rPr>
      </w:pPr>
      <w:r w:rsidRPr="005D6B1A">
        <w:rPr>
          <w:rFonts w:cs="Tahoma"/>
          <w:bCs/>
        </w:rPr>
        <w:t>Ahora bien,</w:t>
      </w:r>
      <w:r w:rsidR="001F3654">
        <w:rPr>
          <w:rFonts w:cs="Tahoma"/>
          <w:bCs/>
        </w:rPr>
        <w:t xml:space="preserve"> se identifica que estos requisitos disminuyen</w:t>
      </w:r>
      <w:r w:rsidRPr="005D6B1A">
        <w:rPr>
          <w:rFonts w:cs="Tahoma"/>
          <w:bCs/>
        </w:rPr>
        <w:t xml:space="preserve"> en la etapa del Recurso de Revisión, </w:t>
      </w:r>
      <w:r w:rsidR="001F3654">
        <w:rPr>
          <w:rFonts w:cs="Tahoma"/>
          <w:bCs/>
        </w:rPr>
        <w:t xml:space="preserve">en donde </w:t>
      </w:r>
      <w:r w:rsidRPr="005D6B1A">
        <w:rPr>
          <w:rFonts w:cs="Tahoma"/>
          <w:bCs/>
        </w:rPr>
        <w:t xml:space="preserve">bastará con que la persona que busca acceder a los datos personales de la persona </w:t>
      </w:r>
      <w:proofErr w:type="gramStart"/>
      <w:r w:rsidRPr="005D6B1A">
        <w:rPr>
          <w:rFonts w:cs="Tahoma"/>
          <w:bCs/>
        </w:rPr>
        <w:t>fallecida,</w:t>
      </w:r>
      <w:proofErr w:type="gramEnd"/>
      <w:r w:rsidRPr="005D6B1A">
        <w:rPr>
          <w:rFonts w:cs="Tahoma"/>
          <w:bCs/>
        </w:rPr>
        <w:t xml:space="preserve"> acredite interés jurídico</w:t>
      </w:r>
      <w:r w:rsidR="001F3654">
        <w:rPr>
          <w:rFonts w:cs="Tahoma"/>
          <w:bCs/>
        </w:rPr>
        <w:t xml:space="preserve"> ante este Organismo Garante</w:t>
      </w:r>
      <w:r w:rsidRPr="005D6B1A">
        <w:rPr>
          <w:rFonts w:cs="Tahoma"/>
          <w:bCs/>
        </w:rPr>
        <w:t>, como lo establece el artículo 122, de la Ley de Protección de Datos Personales, vigente en la entidad:</w:t>
      </w:r>
    </w:p>
    <w:p w:rsidR="005D6B1A" w:rsidP="005D6B1A" w:rsidRDefault="005D6B1A" w14:paraId="3D5BFEC3" w14:textId="77777777">
      <w:pPr>
        <w:spacing w:after="0" w:line="360" w:lineRule="auto"/>
        <w:ind w:left="567" w:right="539"/>
        <w:rPr>
          <w:rFonts w:eastAsia="Batang" w:cs="Tahoma"/>
          <w:bCs/>
          <w:i/>
          <w:iCs/>
          <w:sz w:val="20"/>
          <w:szCs w:val="20"/>
        </w:rPr>
      </w:pPr>
    </w:p>
    <w:p w:rsidRPr="0083325C" w:rsidR="0083325C" w:rsidP="005D6B1A" w:rsidRDefault="005D6B1A" w14:paraId="0D25077B" w14:textId="66B7D1FF">
      <w:pPr>
        <w:spacing w:after="0" w:line="360" w:lineRule="auto"/>
        <w:ind w:left="567" w:right="539"/>
        <w:rPr>
          <w:rFonts w:eastAsia="Batang" w:cs="Tahoma"/>
          <w:bCs/>
          <w:i/>
          <w:iCs/>
          <w:sz w:val="20"/>
          <w:szCs w:val="20"/>
        </w:rPr>
      </w:pPr>
      <w:r>
        <w:rPr>
          <w:rFonts w:eastAsia="Batang" w:cs="Tahoma"/>
          <w:bCs/>
          <w:i/>
          <w:iCs/>
          <w:sz w:val="20"/>
          <w:szCs w:val="20"/>
        </w:rPr>
        <w:lastRenderedPageBreak/>
        <w:t>“</w:t>
      </w:r>
      <w:r w:rsidRPr="0083325C" w:rsidR="0083325C">
        <w:rPr>
          <w:rFonts w:eastAsia="Batang" w:cs="Tahoma"/>
          <w:bCs/>
          <w:i/>
          <w:iCs/>
          <w:sz w:val="20"/>
          <w:szCs w:val="20"/>
        </w:rPr>
        <w:t>Interposición respecto a datos de personas fallecidas</w:t>
      </w:r>
    </w:p>
    <w:p w:rsidRPr="0083325C" w:rsidR="0083325C" w:rsidP="005D6B1A" w:rsidRDefault="0083325C" w14:paraId="3818EA59" w14:textId="3B90A71F">
      <w:pPr>
        <w:spacing w:after="0" w:line="360" w:lineRule="auto"/>
        <w:ind w:left="567" w:right="539"/>
        <w:rPr>
          <w:rFonts w:eastAsia="Batang" w:cs="Tahoma"/>
          <w:bCs/>
          <w:i/>
          <w:iCs/>
          <w:sz w:val="20"/>
          <w:szCs w:val="20"/>
        </w:rPr>
      </w:pPr>
      <w:r w:rsidRPr="0083325C">
        <w:rPr>
          <w:rFonts w:eastAsia="Batang" w:cs="Tahoma"/>
          <w:bCs/>
          <w:i/>
          <w:iCs/>
          <w:sz w:val="20"/>
          <w:szCs w:val="20"/>
        </w:rPr>
        <w:t>Artículo 122. La interposición de un recurso de revisión de datos personales concernientes</w:t>
      </w:r>
      <w:r w:rsidR="005D6B1A">
        <w:rPr>
          <w:rFonts w:eastAsia="Batang" w:cs="Tahoma"/>
          <w:bCs/>
          <w:i/>
          <w:iCs/>
          <w:sz w:val="20"/>
          <w:szCs w:val="20"/>
        </w:rPr>
        <w:t xml:space="preserve"> </w:t>
      </w:r>
      <w:r w:rsidRPr="0083325C">
        <w:rPr>
          <w:rFonts w:eastAsia="Batang" w:cs="Tahoma"/>
          <w:bCs/>
          <w:i/>
          <w:iCs/>
          <w:sz w:val="20"/>
          <w:szCs w:val="20"/>
        </w:rPr>
        <w:t>a personas fallecidas, podrá realizarla la persona que acredite tener un interés jurídico o</w:t>
      </w:r>
      <w:r w:rsidR="005D6B1A">
        <w:rPr>
          <w:rFonts w:eastAsia="Batang" w:cs="Tahoma"/>
          <w:bCs/>
          <w:i/>
          <w:iCs/>
          <w:sz w:val="20"/>
          <w:szCs w:val="20"/>
        </w:rPr>
        <w:t xml:space="preserve"> </w:t>
      </w:r>
      <w:r w:rsidRPr="0083325C">
        <w:rPr>
          <w:rFonts w:eastAsia="Batang" w:cs="Tahoma"/>
          <w:bCs/>
          <w:i/>
          <w:iCs/>
          <w:sz w:val="20"/>
          <w:szCs w:val="20"/>
        </w:rPr>
        <w:t>legítimo.</w:t>
      </w:r>
      <w:r w:rsidR="005D6B1A">
        <w:rPr>
          <w:rFonts w:eastAsia="Batang" w:cs="Tahoma"/>
          <w:bCs/>
          <w:i/>
          <w:iCs/>
          <w:sz w:val="20"/>
          <w:szCs w:val="20"/>
        </w:rPr>
        <w:t>”</w:t>
      </w:r>
    </w:p>
    <w:p w:rsidR="0083325C" w:rsidP="005D6B1A" w:rsidRDefault="0083325C" w14:paraId="5D421111" w14:textId="376829F4">
      <w:pPr>
        <w:tabs>
          <w:tab w:val="left" w:pos="4667"/>
        </w:tabs>
        <w:spacing w:after="0" w:line="360" w:lineRule="auto"/>
        <w:contextualSpacing/>
        <w:rPr>
          <w:rFonts w:cs="Tahoma"/>
          <w:bCs/>
          <w:iCs/>
        </w:rPr>
      </w:pPr>
    </w:p>
    <w:p w:rsidR="0083325C" w:rsidP="005D6B1A" w:rsidRDefault="001F3654" w14:paraId="17449181" w14:textId="492E04BD">
      <w:pPr>
        <w:tabs>
          <w:tab w:val="left" w:pos="4667"/>
        </w:tabs>
        <w:spacing w:after="0" w:line="360" w:lineRule="auto"/>
        <w:contextualSpacing/>
        <w:rPr>
          <w:rFonts w:cs="Tahoma"/>
          <w:bCs/>
        </w:rPr>
      </w:pPr>
      <w:r>
        <w:rPr>
          <w:rFonts w:cs="Tahoma"/>
          <w:bCs/>
        </w:rPr>
        <w:t xml:space="preserve">Para acreditar el interés jurídico, es indispensable identificar la normatividad aplicable, para lo </w:t>
      </w:r>
      <w:proofErr w:type="gramStart"/>
      <w:r>
        <w:rPr>
          <w:rFonts w:cs="Tahoma"/>
          <w:bCs/>
        </w:rPr>
        <w:t>que</w:t>
      </w:r>
      <w:proofErr w:type="gramEnd"/>
      <w:r>
        <w:rPr>
          <w:rFonts w:cs="Tahoma"/>
          <w:bCs/>
        </w:rPr>
        <w:t xml:space="preserve"> en primer lugar, es indispensable atender a lo establecido constitucionalmente y es así que</w:t>
      </w:r>
      <w:r w:rsidR="00251BD0">
        <w:rPr>
          <w:rFonts w:cs="Tahoma"/>
          <w:bCs/>
        </w:rPr>
        <w:t>,</w:t>
      </w:r>
      <w:r>
        <w:rPr>
          <w:rFonts w:cs="Tahoma"/>
          <w:bCs/>
        </w:rPr>
        <w:t xml:space="preserve"> l</w:t>
      </w:r>
      <w:r w:rsidRPr="00E07D03" w:rsidR="0083325C">
        <w:rPr>
          <w:rFonts w:cs="Tahoma"/>
          <w:bCs/>
        </w:rPr>
        <w:t xml:space="preserve">a reforma constitucional en materia de derechos humanos de </w:t>
      </w:r>
      <w:r w:rsidR="0083325C">
        <w:rPr>
          <w:rFonts w:cs="Tahoma"/>
          <w:bCs/>
        </w:rPr>
        <w:t>dos mil once, implicó</w:t>
      </w:r>
      <w:r w:rsidRPr="00E07D03" w:rsidR="0083325C">
        <w:rPr>
          <w:rFonts w:cs="Tahoma"/>
          <w:bCs/>
        </w:rPr>
        <w:t xml:space="preserve"> una cantidad importante de cambios en el diseño constitucional</w:t>
      </w:r>
      <w:r w:rsidR="0083325C">
        <w:rPr>
          <w:rFonts w:cs="Tahoma"/>
          <w:bCs/>
        </w:rPr>
        <w:t xml:space="preserve">, y por tanto en </w:t>
      </w:r>
      <w:r w:rsidRPr="00E07D03" w:rsidR="0083325C">
        <w:rPr>
          <w:rFonts w:cs="Tahoma"/>
          <w:bCs/>
        </w:rPr>
        <w:t xml:space="preserve">la labor de aplicación e interpretación de las normas. La herramienta </w:t>
      </w:r>
      <w:r w:rsidR="0083325C">
        <w:rPr>
          <w:rFonts w:cs="Tahoma"/>
          <w:bCs/>
        </w:rPr>
        <w:t xml:space="preserve">más relevante </w:t>
      </w:r>
      <w:r w:rsidRPr="00E07D03" w:rsidR="0083325C">
        <w:rPr>
          <w:rFonts w:cs="Tahoma"/>
          <w:bCs/>
        </w:rPr>
        <w:t xml:space="preserve">es el principio de interpretación conforme, </w:t>
      </w:r>
      <w:r w:rsidR="0083325C">
        <w:rPr>
          <w:rFonts w:cs="Tahoma"/>
          <w:bCs/>
        </w:rPr>
        <w:t>el</w:t>
      </w:r>
      <w:r w:rsidRPr="00E07D03" w:rsidR="0083325C">
        <w:rPr>
          <w:rFonts w:cs="Tahoma"/>
          <w:bCs/>
        </w:rPr>
        <w:t xml:space="preserve"> cual persigue dos propósitos: asegurar la integración normativa de los derechos y resolver las tensiones, conflictos o antinomias que se presenten entre los mismos</w:t>
      </w:r>
      <w:r w:rsidR="0083325C">
        <w:rPr>
          <w:rFonts w:cs="Tahoma"/>
          <w:bCs/>
        </w:rPr>
        <w:t>; este principio, se contempla en el artículo primero de la Constitución Política de los Estados Unidos Mexicanos:</w:t>
      </w:r>
    </w:p>
    <w:p w:rsidRPr="00E07D03" w:rsidR="0083325C" w:rsidP="005D6B1A" w:rsidRDefault="0083325C" w14:paraId="3C8ECB5E" w14:textId="77777777">
      <w:pPr>
        <w:spacing w:after="0" w:line="360" w:lineRule="auto"/>
        <w:ind w:left="567" w:right="539"/>
        <w:rPr>
          <w:rFonts w:eastAsia="Batang" w:cs="Tahoma"/>
          <w:bCs/>
          <w:i/>
          <w:iCs/>
        </w:rPr>
      </w:pPr>
    </w:p>
    <w:p w:rsidRPr="005D6B1A" w:rsidR="0083325C" w:rsidP="005D6B1A" w:rsidRDefault="0083325C" w14:paraId="4D1CB641" w14:textId="77777777">
      <w:pPr>
        <w:spacing w:after="0" w:line="360" w:lineRule="auto"/>
        <w:ind w:left="567" w:right="539"/>
        <w:rPr>
          <w:rFonts w:eastAsia="Batang" w:cs="Tahoma"/>
          <w:bCs/>
          <w:i/>
          <w:iCs/>
          <w:sz w:val="20"/>
          <w:szCs w:val="20"/>
        </w:rPr>
      </w:pPr>
      <w:r w:rsidRPr="005D6B1A">
        <w:rPr>
          <w:rFonts w:eastAsia="Batang" w:cs="Tahoma"/>
          <w:bCs/>
          <w:i/>
          <w:iCs/>
          <w:sz w:val="20"/>
          <w:szCs w:val="20"/>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Pr="005D6B1A" w:rsidR="0083325C" w:rsidP="005D6B1A" w:rsidRDefault="0083325C" w14:paraId="6188C509" w14:textId="77777777">
      <w:pPr>
        <w:spacing w:after="0" w:line="360" w:lineRule="auto"/>
        <w:ind w:left="567" w:right="539"/>
        <w:rPr>
          <w:rFonts w:eastAsia="Batang" w:cs="Tahoma"/>
          <w:bCs/>
          <w:i/>
          <w:iCs/>
          <w:sz w:val="20"/>
          <w:szCs w:val="20"/>
        </w:rPr>
      </w:pPr>
    </w:p>
    <w:p w:rsidR="0083325C" w:rsidP="005D6B1A" w:rsidRDefault="0083325C" w14:paraId="56FBD9E9" w14:textId="45CEB8DD">
      <w:pPr>
        <w:spacing w:after="0" w:line="360" w:lineRule="auto"/>
        <w:ind w:left="567" w:right="539"/>
        <w:rPr>
          <w:rFonts w:eastAsia="Batang" w:cs="Tahoma"/>
          <w:bCs/>
          <w:i/>
          <w:iCs/>
          <w:sz w:val="20"/>
          <w:szCs w:val="20"/>
        </w:rPr>
      </w:pPr>
      <w:r w:rsidRPr="005D6B1A">
        <w:rPr>
          <w:rFonts w:eastAsia="Batang" w:cs="Tahoma"/>
          <w:b/>
          <w:i/>
          <w:iCs/>
          <w:sz w:val="20"/>
          <w:szCs w:val="20"/>
        </w:rPr>
        <w:t>Las normas relativas a los derechos humanos se interpretarán de conformidad con esta Constitución y con los tratados internacionales de la materia favoreciendo en todo tiempo a las personas la protección más amplia</w:t>
      </w:r>
      <w:r w:rsidRPr="005D6B1A">
        <w:rPr>
          <w:rFonts w:eastAsia="Batang" w:cs="Tahoma"/>
          <w:bCs/>
          <w:i/>
          <w:iCs/>
          <w:sz w:val="20"/>
          <w:szCs w:val="20"/>
        </w:rPr>
        <w:t>.</w:t>
      </w:r>
    </w:p>
    <w:p w:rsidRPr="005D6B1A" w:rsidR="005D6B1A" w:rsidP="005D6B1A" w:rsidRDefault="005D6B1A" w14:paraId="2696BF7E" w14:textId="77777777">
      <w:pPr>
        <w:spacing w:after="0" w:line="360" w:lineRule="auto"/>
        <w:ind w:left="567" w:right="539"/>
        <w:rPr>
          <w:rFonts w:eastAsia="Batang" w:cs="Tahoma"/>
          <w:bCs/>
          <w:i/>
          <w:iCs/>
          <w:sz w:val="20"/>
          <w:szCs w:val="20"/>
        </w:rPr>
      </w:pPr>
    </w:p>
    <w:p w:rsidR="0083325C" w:rsidP="005D6B1A" w:rsidRDefault="0083325C" w14:paraId="3838910B" w14:textId="003D0A03">
      <w:pPr>
        <w:spacing w:after="0" w:line="360" w:lineRule="auto"/>
        <w:ind w:left="567" w:right="539"/>
        <w:rPr>
          <w:rFonts w:eastAsia="Batang" w:cs="Tahoma"/>
          <w:bCs/>
          <w:i/>
          <w:iCs/>
          <w:sz w:val="20"/>
          <w:szCs w:val="20"/>
        </w:rPr>
      </w:pPr>
      <w:r w:rsidRPr="005D6B1A">
        <w:rPr>
          <w:rFonts w:eastAsia="Batang" w:cs="Tahoma"/>
          <w:bCs/>
          <w:i/>
          <w:iCs/>
          <w:sz w:val="20"/>
          <w:szCs w:val="20"/>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Pr="005D6B1A" w:rsidR="005D6B1A" w:rsidP="005D6B1A" w:rsidRDefault="005D6B1A" w14:paraId="40B5C246" w14:textId="77777777">
      <w:pPr>
        <w:spacing w:after="0" w:line="360" w:lineRule="auto"/>
        <w:ind w:left="567" w:right="539"/>
        <w:rPr>
          <w:rFonts w:eastAsia="Batang" w:cs="Tahoma"/>
          <w:bCs/>
          <w:i/>
          <w:iCs/>
          <w:sz w:val="20"/>
          <w:szCs w:val="20"/>
        </w:rPr>
      </w:pPr>
    </w:p>
    <w:p w:rsidRPr="005D6B1A" w:rsidR="0083325C" w:rsidP="005D6B1A" w:rsidRDefault="0083325C" w14:paraId="2A1B7DF0" w14:textId="77777777">
      <w:pPr>
        <w:spacing w:after="0" w:line="360" w:lineRule="auto"/>
        <w:ind w:left="567" w:right="539"/>
        <w:rPr>
          <w:rFonts w:eastAsia="Batang" w:cs="Tahoma"/>
          <w:bCs/>
          <w:i/>
          <w:iCs/>
          <w:sz w:val="20"/>
          <w:szCs w:val="20"/>
        </w:rPr>
      </w:pPr>
      <w:r w:rsidRPr="005D6B1A">
        <w:rPr>
          <w:rFonts w:eastAsia="Batang" w:cs="Tahoma"/>
          <w:bCs/>
          <w:i/>
          <w:iCs/>
          <w:sz w:val="20"/>
          <w:szCs w:val="20"/>
        </w:rPr>
        <w:lastRenderedPageBreak/>
        <w:t xml:space="preserve">Está prohibida la esclavitud en los Estados Unidos Mexicanos. Los esclavos del extranjero que entren al territorio nacional alcanzarán, por este solo hecho, su libertad y la protección de las leyes. </w:t>
      </w:r>
    </w:p>
    <w:p w:rsidR="005D6B1A" w:rsidP="005D6B1A" w:rsidRDefault="005D6B1A" w14:paraId="23B6634B" w14:textId="77777777">
      <w:pPr>
        <w:spacing w:after="0" w:line="360" w:lineRule="auto"/>
        <w:ind w:left="567" w:right="539"/>
        <w:rPr>
          <w:rFonts w:eastAsia="Batang" w:cs="Tahoma"/>
          <w:bCs/>
          <w:i/>
          <w:iCs/>
        </w:rPr>
      </w:pPr>
    </w:p>
    <w:p w:rsidRPr="00E07D03" w:rsidR="0083325C" w:rsidP="005D6B1A" w:rsidRDefault="0083325C" w14:paraId="54E81BAB" w14:textId="17EABF37">
      <w:pPr>
        <w:spacing w:after="0" w:line="360" w:lineRule="auto"/>
        <w:ind w:left="567" w:right="539"/>
        <w:rPr>
          <w:rFonts w:eastAsia="Batang" w:cs="Tahoma"/>
          <w:bCs/>
          <w:i/>
          <w:iCs/>
        </w:rPr>
      </w:pPr>
      <w:r w:rsidRPr="00E07D03">
        <w:rPr>
          <w:rFonts w:eastAsia="Batang" w:cs="Tahoma"/>
          <w:bCs/>
          <w:i/>
          <w:iCs/>
        </w:rPr>
        <w:t>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rsidR="0083325C" w:rsidP="005D6B1A" w:rsidRDefault="0083325C" w14:paraId="677A4C41" w14:textId="77777777">
      <w:pPr>
        <w:spacing w:after="0" w:line="360" w:lineRule="auto"/>
        <w:ind w:left="567" w:right="539"/>
        <w:rPr>
          <w:rFonts w:cs="Tahoma"/>
          <w:bCs/>
        </w:rPr>
      </w:pPr>
    </w:p>
    <w:p w:rsidR="0083325C" w:rsidP="005D6B1A" w:rsidRDefault="0083325C" w14:paraId="59CC5159" w14:textId="77777777">
      <w:pPr>
        <w:tabs>
          <w:tab w:val="left" w:pos="0"/>
        </w:tabs>
        <w:spacing w:after="0" w:line="360" w:lineRule="auto"/>
        <w:ind w:right="-28"/>
        <w:rPr>
          <w:rFonts w:cs="Tahoma"/>
          <w:bCs/>
        </w:rPr>
      </w:pPr>
      <w:r w:rsidRPr="00E07D03">
        <w:rPr>
          <w:rFonts w:cs="Tahoma"/>
          <w:bCs/>
        </w:rPr>
        <w:t xml:space="preserve">La interpretación conforme constituye el principio por el cual las normas relativas a los derechos humanos son, en su carácter de estándares de mínimos, objeto de una remisión hacia la Constitución y los tratados internacionales para efectos de su aplicación más protectora. </w:t>
      </w:r>
    </w:p>
    <w:p w:rsidR="0083325C" w:rsidP="005D6B1A" w:rsidRDefault="0083325C" w14:paraId="0E59A737" w14:textId="77777777">
      <w:pPr>
        <w:tabs>
          <w:tab w:val="left" w:pos="0"/>
        </w:tabs>
        <w:spacing w:after="0" w:line="360" w:lineRule="auto"/>
        <w:ind w:right="-28"/>
        <w:rPr>
          <w:rFonts w:cs="Tahoma"/>
          <w:bCs/>
        </w:rPr>
      </w:pPr>
    </w:p>
    <w:p w:rsidR="0083325C" w:rsidP="005D6B1A" w:rsidRDefault="0083325C" w14:paraId="2070A154" w14:textId="77777777">
      <w:pPr>
        <w:tabs>
          <w:tab w:val="left" w:pos="0"/>
        </w:tabs>
        <w:spacing w:after="0" w:line="360" w:lineRule="auto"/>
        <w:ind w:right="-28"/>
        <w:rPr>
          <w:rFonts w:cs="Tahoma"/>
          <w:bCs/>
        </w:rPr>
      </w:pPr>
      <w:r>
        <w:rPr>
          <w:rFonts w:cs="Tahoma"/>
          <w:bCs/>
        </w:rPr>
        <w:t>La i</w:t>
      </w:r>
      <w:r w:rsidRPr="00E07D03">
        <w:rPr>
          <w:rFonts w:cs="Tahoma"/>
          <w:bCs/>
        </w:rPr>
        <w:t>nterpretación conforme ha adoptado una naturaleza</w:t>
      </w:r>
      <w:r>
        <w:rPr>
          <w:rFonts w:cs="Tahoma"/>
          <w:bCs/>
        </w:rPr>
        <w:t xml:space="preserve">, </w:t>
      </w:r>
      <w:r w:rsidRPr="00E07D03">
        <w:rPr>
          <w:rFonts w:cs="Tahoma"/>
          <w:bCs/>
        </w:rPr>
        <w:t>en la medida que las remisiones interpretativas no se dan únicamente respecto a los tratados internacionales, sino también respecto a la propia Constitución</w:t>
      </w:r>
      <w:r>
        <w:rPr>
          <w:rFonts w:cs="Tahoma"/>
          <w:bCs/>
        </w:rPr>
        <w:t xml:space="preserve"> y la interpretación que les dan las normas secundarias a los derechos consagrados en el marco constitucional. Este nuevo paradigma legal, consiente acceder entonces a elementos normativos, que permitan ampliar la interpretación que se le da a un derecho, siempre que sea en beneficio del gobernado y en ajuste al marco normativo aplicable.</w:t>
      </w:r>
    </w:p>
    <w:p w:rsidR="0083325C" w:rsidP="005D6B1A" w:rsidRDefault="0083325C" w14:paraId="1BE9DDC6" w14:textId="77777777">
      <w:pPr>
        <w:tabs>
          <w:tab w:val="left" w:pos="0"/>
        </w:tabs>
        <w:spacing w:after="0" w:line="360" w:lineRule="auto"/>
        <w:ind w:right="-28"/>
        <w:rPr>
          <w:rFonts w:cs="Tahoma"/>
          <w:bCs/>
        </w:rPr>
      </w:pPr>
    </w:p>
    <w:p w:rsidR="0083325C" w:rsidP="005D6B1A" w:rsidRDefault="0083325C" w14:paraId="75EDA8A1" w14:textId="77777777">
      <w:pPr>
        <w:tabs>
          <w:tab w:val="left" w:pos="0"/>
        </w:tabs>
        <w:spacing w:after="0" w:line="360" w:lineRule="auto"/>
        <w:ind w:right="-28"/>
        <w:rPr>
          <w:rFonts w:cs="Tahoma"/>
          <w:bCs/>
        </w:rPr>
      </w:pPr>
      <w:r>
        <w:rPr>
          <w:rFonts w:cs="Tahoma"/>
          <w:bCs/>
        </w:rPr>
        <w:t xml:space="preserve">La propia Ley de Protección de Datos Personales en Posesión de Sujetos Obligados del Estado de México y Municipios, en su artículo 10, establecen que la protección de los datos </w:t>
      </w:r>
      <w:proofErr w:type="gramStart"/>
      <w:r>
        <w:rPr>
          <w:rFonts w:cs="Tahoma"/>
          <w:bCs/>
        </w:rPr>
        <w:t>personales,</w:t>
      </w:r>
      <w:proofErr w:type="gramEnd"/>
      <w:r>
        <w:rPr>
          <w:rFonts w:cs="Tahoma"/>
          <w:bCs/>
        </w:rPr>
        <w:t xml:space="preserve"> deberá hacerse en ajuste a la interpretación conforme, para lo que se reproduce el mencionado artículo:</w:t>
      </w:r>
    </w:p>
    <w:p w:rsidRPr="005D6B1A" w:rsidR="0083325C" w:rsidP="005D6B1A" w:rsidRDefault="0083325C" w14:paraId="396B0F11" w14:textId="77777777">
      <w:pPr>
        <w:tabs>
          <w:tab w:val="left" w:pos="0"/>
        </w:tabs>
        <w:spacing w:after="0" w:line="360" w:lineRule="auto"/>
        <w:ind w:right="-28"/>
        <w:rPr>
          <w:rFonts w:cs="Tahoma"/>
          <w:bCs/>
          <w:sz w:val="20"/>
          <w:szCs w:val="20"/>
        </w:rPr>
      </w:pPr>
    </w:p>
    <w:p w:rsidRPr="005D6B1A" w:rsidR="0083325C" w:rsidP="005D6B1A" w:rsidRDefault="0083325C" w14:paraId="5B2DCC47" w14:textId="77777777">
      <w:pPr>
        <w:spacing w:after="0" w:line="360" w:lineRule="auto"/>
        <w:ind w:left="567" w:right="539"/>
        <w:rPr>
          <w:rFonts w:eastAsia="Batang" w:cs="Tahoma"/>
          <w:bCs/>
          <w:i/>
          <w:iCs/>
          <w:sz w:val="20"/>
          <w:szCs w:val="20"/>
        </w:rPr>
      </w:pPr>
      <w:r w:rsidRPr="005D6B1A">
        <w:rPr>
          <w:rFonts w:eastAsia="Batang" w:cs="Tahoma"/>
          <w:bCs/>
          <w:i/>
          <w:iCs/>
          <w:sz w:val="20"/>
          <w:szCs w:val="20"/>
        </w:rPr>
        <w:t>Interpretación conforme</w:t>
      </w:r>
    </w:p>
    <w:p w:rsidRPr="005D6B1A" w:rsidR="0083325C" w:rsidP="005D6B1A" w:rsidRDefault="0083325C" w14:paraId="0702961D" w14:textId="77777777">
      <w:pPr>
        <w:spacing w:after="0" w:line="360" w:lineRule="auto"/>
        <w:ind w:left="567" w:right="539"/>
        <w:rPr>
          <w:rFonts w:eastAsia="Batang" w:cs="Tahoma"/>
          <w:bCs/>
          <w:i/>
          <w:iCs/>
          <w:sz w:val="20"/>
          <w:szCs w:val="20"/>
        </w:rPr>
      </w:pPr>
      <w:r w:rsidRPr="005D6B1A">
        <w:rPr>
          <w:rFonts w:eastAsia="Batang" w:cs="Tahoma"/>
          <w:bCs/>
          <w:i/>
          <w:iCs/>
          <w:sz w:val="20"/>
          <w:szCs w:val="20"/>
        </w:rPr>
        <w:lastRenderedPageBreak/>
        <w:t>Artículo 10. La aplicación e interpretación de la presente Ley se realizará conforme a lo dispuesto por la Constitución Política de los Estados Unidos Mexicanos, los Tratados Internacionales en los que el Estado mexicano sea parte, la Constitución Política del Estado Libre y Soberano de México, así como las resoluciones y sentencias vinculantes que emitan los órganos nacionales e internacionales especializados, favoreciendo el derecho a la privacidad, la protección de datos personales y a las personas la protección más amplia.</w:t>
      </w:r>
    </w:p>
    <w:p w:rsidRPr="005D6B1A" w:rsidR="0083325C" w:rsidP="005D6B1A" w:rsidRDefault="0083325C" w14:paraId="0945939B" w14:textId="77777777">
      <w:pPr>
        <w:spacing w:after="0" w:line="360" w:lineRule="auto"/>
        <w:ind w:left="567" w:right="539"/>
        <w:rPr>
          <w:rFonts w:eastAsia="Batang" w:cs="Tahoma"/>
          <w:bCs/>
          <w:i/>
          <w:iCs/>
          <w:sz w:val="20"/>
          <w:szCs w:val="20"/>
        </w:rPr>
      </w:pPr>
    </w:p>
    <w:p w:rsidRPr="005D6B1A" w:rsidR="0083325C" w:rsidP="005D6B1A" w:rsidRDefault="0083325C" w14:paraId="4D3C5635" w14:textId="77777777">
      <w:pPr>
        <w:spacing w:after="0" w:line="360" w:lineRule="auto"/>
        <w:ind w:left="567" w:right="539"/>
        <w:rPr>
          <w:rFonts w:eastAsia="Batang" w:cs="Tahoma"/>
          <w:bCs/>
          <w:i/>
          <w:iCs/>
          <w:sz w:val="20"/>
          <w:szCs w:val="20"/>
        </w:rPr>
      </w:pPr>
      <w:r w:rsidRPr="005D6B1A">
        <w:rPr>
          <w:rFonts w:eastAsia="Batang" w:cs="Tahoma"/>
          <w:bCs/>
          <w:i/>
          <w:iCs/>
          <w:sz w:val="20"/>
          <w:szCs w:val="20"/>
        </w:rPr>
        <w:t>Para el caso de la interpretación, se podrán tomar en cuenta los criterios, determinaciones y opiniones de los organismos nacionales e internacionales, en materia de protección de datos personales.</w:t>
      </w:r>
    </w:p>
    <w:p w:rsidRPr="0023376E" w:rsidR="0083325C" w:rsidP="005D6B1A" w:rsidRDefault="0083325C" w14:paraId="1EC4123D" w14:textId="77777777">
      <w:pPr>
        <w:spacing w:after="0" w:line="360" w:lineRule="auto"/>
        <w:ind w:left="567" w:right="539"/>
        <w:rPr>
          <w:rFonts w:eastAsia="Batang" w:cs="Tahoma"/>
          <w:bCs/>
          <w:i/>
          <w:iCs/>
        </w:rPr>
      </w:pPr>
    </w:p>
    <w:p w:rsidRPr="00E067A0" w:rsidR="0083325C" w:rsidP="005D6B1A" w:rsidRDefault="0083325C" w14:paraId="62FC5F9C" w14:textId="77777777">
      <w:pPr>
        <w:tabs>
          <w:tab w:val="left" w:pos="0"/>
        </w:tabs>
        <w:spacing w:after="0" w:line="360" w:lineRule="auto"/>
        <w:ind w:right="-28"/>
        <w:rPr>
          <w:rFonts w:cs="Tahoma"/>
          <w:bCs/>
          <w:highlight w:val="yellow"/>
        </w:rPr>
      </w:pPr>
      <w:r>
        <w:rPr>
          <w:rFonts w:cs="Tahoma"/>
          <w:bCs/>
        </w:rPr>
        <w:t>Para ello, entonces es dable citar en el análisis los Lineamientos Generales de Protección de Datos Personales para el Sector Público, aprobados por el Pleno del Instituto Nacional de Transparencia, Acceso a la Información Pública y Protección de Datos Personales, el 19 de diciembre del 2017, en apego a lo consagrado por la Ley General de Protección de Datos Personales en Posesión de Sujetos Obligados:</w:t>
      </w:r>
    </w:p>
    <w:p w:rsidR="0083325C" w:rsidP="005D6B1A" w:rsidRDefault="0083325C" w14:paraId="06ECDF62" w14:textId="77777777">
      <w:pPr>
        <w:tabs>
          <w:tab w:val="left" w:pos="0"/>
        </w:tabs>
        <w:spacing w:after="0" w:line="360" w:lineRule="auto"/>
        <w:ind w:right="-28"/>
        <w:rPr>
          <w:rFonts w:cs="Tahoma"/>
          <w:bCs/>
          <w:highlight w:val="yellow"/>
        </w:rPr>
      </w:pPr>
    </w:p>
    <w:p w:rsidRPr="005D6B1A" w:rsidR="0083325C" w:rsidP="005D6B1A" w:rsidRDefault="0083325C" w14:paraId="484261CE" w14:textId="77777777">
      <w:pPr>
        <w:spacing w:after="0" w:line="360" w:lineRule="auto"/>
        <w:ind w:left="567" w:right="539"/>
        <w:rPr>
          <w:rFonts w:eastAsia="Batang" w:cs="Tahoma"/>
          <w:bCs/>
          <w:i/>
          <w:iCs/>
          <w:sz w:val="20"/>
          <w:szCs w:val="20"/>
        </w:rPr>
      </w:pPr>
      <w:r w:rsidRPr="005D6B1A">
        <w:rPr>
          <w:rFonts w:eastAsia="Batang" w:cs="Tahoma"/>
          <w:bCs/>
          <w:i/>
          <w:iCs/>
          <w:sz w:val="20"/>
          <w:szCs w:val="20"/>
        </w:rPr>
        <w:t xml:space="preserve">“Artículo 75. De conformidad con el artículo 49, </w:t>
      </w:r>
      <w:proofErr w:type="spellStart"/>
      <w:r w:rsidRPr="005D6B1A">
        <w:rPr>
          <w:rFonts w:eastAsia="Batang" w:cs="Tahoma"/>
          <w:bCs/>
          <w:i/>
          <w:iCs/>
          <w:sz w:val="20"/>
          <w:szCs w:val="20"/>
        </w:rPr>
        <w:t>ultimo</w:t>
      </w:r>
      <w:proofErr w:type="spellEnd"/>
      <w:r w:rsidRPr="005D6B1A">
        <w:rPr>
          <w:rFonts w:eastAsia="Batang" w:cs="Tahoma"/>
          <w:bCs/>
          <w:i/>
          <w:iCs/>
          <w:sz w:val="20"/>
          <w:szCs w:val="20"/>
        </w:rPr>
        <w:t xml:space="preserve"> párrafo de la Ley General, tratándose de datos personales concernientes a personas fallecidas, la persona que acredite tener un interés jurídico podrá ejercer los derechos ARCO.</w:t>
      </w:r>
    </w:p>
    <w:p w:rsidRPr="005D6B1A" w:rsidR="0083325C" w:rsidP="005D6B1A" w:rsidRDefault="0083325C" w14:paraId="35AF064F" w14:textId="77777777">
      <w:pPr>
        <w:spacing w:after="0" w:line="360" w:lineRule="auto"/>
        <w:ind w:left="567" w:right="539"/>
        <w:rPr>
          <w:rFonts w:eastAsia="Batang" w:cs="Tahoma"/>
          <w:bCs/>
          <w:i/>
          <w:iCs/>
          <w:sz w:val="20"/>
          <w:szCs w:val="20"/>
        </w:rPr>
      </w:pPr>
    </w:p>
    <w:p w:rsidRPr="005D6B1A" w:rsidR="0083325C" w:rsidP="005D6B1A" w:rsidRDefault="0083325C" w14:paraId="1691E2D0" w14:textId="77777777">
      <w:pPr>
        <w:spacing w:after="0" w:line="360" w:lineRule="auto"/>
        <w:ind w:left="567" w:right="539"/>
        <w:rPr>
          <w:rFonts w:eastAsia="Batang" w:cs="Tahoma"/>
          <w:bCs/>
          <w:i/>
          <w:iCs/>
          <w:sz w:val="20"/>
          <w:szCs w:val="20"/>
        </w:rPr>
      </w:pPr>
      <w:r w:rsidRPr="005D6B1A">
        <w:rPr>
          <w:rFonts w:eastAsia="Batang" w:cs="Tahoma"/>
          <w:bCs/>
          <w:i/>
          <w:iCs/>
          <w:sz w:val="20"/>
          <w:szCs w:val="20"/>
        </w:rPr>
        <w:t xml:space="preserve">En caso de que la persona fallecida no hubiere expresado fehacientemente su voluntad a que se refiere el párrafo </w:t>
      </w:r>
      <w:proofErr w:type="gramStart"/>
      <w:r w:rsidRPr="005D6B1A">
        <w:rPr>
          <w:rFonts w:eastAsia="Batang" w:cs="Tahoma"/>
          <w:bCs/>
          <w:i/>
          <w:iCs/>
          <w:sz w:val="20"/>
          <w:szCs w:val="20"/>
        </w:rPr>
        <w:t>anterior,</w:t>
      </w:r>
      <w:proofErr w:type="gramEnd"/>
      <w:r w:rsidRPr="005D6B1A">
        <w:rPr>
          <w:rFonts w:eastAsia="Batang" w:cs="Tahoma"/>
          <w:bCs/>
          <w:i/>
          <w:iCs/>
          <w:sz w:val="20"/>
          <w:szCs w:val="20"/>
        </w:rPr>
        <w:t xml:space="preserve"> bastará que la persona que pretende ejercer los derechos ARCO acredite su interés jurídico en los términos previstos en el presente Capítulo.</w:t>
      </w:r>
    </w:p>
    <w:p w:rsidRPr="005D6B1A" w:rsidR="0083325C" w:rsidP="005D6B1A" w:rsidRDefault="0083325C" w14:paraId="75B6FE6E" w14:textId="77777777">
      <w:pPr>
        <w:spacing w:after="0" w:line="360" w:lineRule="auto"/>
        <w:ind w:left="567" w:right="539"/>
        <w:rPr>
          <w:rFonts w:eastAsia="Batang" w:cs="Tahoma"/>
          <w:bCs/>
          <w:i/>
          <w:iCs/>
          <w:sz w:val="20"/>
          <w:szCs w:val="20"/>
        </w:rPr>
      </w:pPr>
    </w:p>
    <w:p w:rsidRPr="005D6B1A" w:rsidR="0083325C" w:rsidP="005D6B1A" w:rsidRDefault="0083325C" w14:paraId="084BBCFF" w14:textId="77777777">
      <w:pPr>
        <w:spacing w:after="0" w:line="360" w:lineRule="auto"/>
        <w:ind w:left="567" w:right="539"/>
        <w:rPr>
          <w:rFonts w:eastAsia="Batang" w:cs="Tahoma"/>
          <w:bCs/>
          <w:i/>
          <w:iCs/>
          <w:sz w:val="20"/>
          <w:szCs w:val="20"/>
        </w:rPr>
      </w:pPr>
      <w:r w:rsidRPr="005D6B1A">
        <w:rPr>
          <w:rFonts w:eastAsia="Batang" w:cs="Tahoma"/>
          <w:b/>
          <w:i/>
          <w:iCs/>
          <w:sz w:val="20"/>
          <w:szCs w:val="20"/>
        </w:rPr>
        <w:t>Para los efectos de la Ley General y los presentes Lineamientos generales, se entenderá por interés jurídico, aquel que tiene una persona física que, con motivo del fallecimiento del titular, pretende ejercer los derechos ARCO, de éste, para el reconocimiento de derechos sucesorios, atendiendo a la relación de parentesco por consanguinidad o afinidad que haya tenido con el titular, el cual se acreditará en términos de las disposiciones legales aplicables</w:t>
      </w:r>
      <w:r w:rsidRPr="005D6B1A">
        <w:rPr>
          <w:rFonts w:eastAsia="Batang" w:cs="Tahoma"/>
          <w:bCs/>
          <w:i/>
          <w:iCs/>
          <w:sz w:val="20"/>
          <w:szCs w:val="20"/>
        </w:rPr>
        <w:t>.</w:t>
      </w:r>
    </w:p>
    <w:p w:rsidRPr="005D6B1A" w:rsidR="0083325C" w:rsidP="005D6B1A" w:rsidRDefault="0083325C" w14:paraId="5C9E4000" w14:textId="77777777">
      <w:pPr>
        <w:spacing w:after="0" w:line="360" w:lineRule="auto"/>
        <w:ind w:left="567" w:right="539"/>
        <w:rPr>
          <w:rFonts w:eastAsia="Batang" w:cs="Tahoma"/>
          <w:bCs/>
          <w:i/>
          <w:iCs/>
          <w:sz w:val="20"/>
          <w:szCs w:val="20"/>
        </w:rPr>
      </w:pPr>
    </w:p>
    <w:p w:rsidRPr="005D6B1A" w:rsidR="0083325C" w:rsidP="005D6B1A" w:rsidRDefault="0083325C" w14:paraId="3E0A3723" w14:textId="77777777">
      <w:pPr>
        <w:spacing w:after="0" w:line="360" w:lineRule="auto"/>
        <w:ind w:left="567" w:right="539"/>
        <w:rPr>
          <w:rFonts w:eastAsia="Batang" w:cs="Tahoma"/>
          <w:b/>
          <w:i/>
          <w:iCs/>
          <w:sz w:val="20"/>
          <w:szCs w:val="20"/>
        </w:rPr>
      </w:pPr>
      <w:r w:rsidRPr="005D6B1A">
        <w:rPr>
          <w:rFonts w:eastAsia="Batang" w:cs="Tahoma"/>
          <w:b/>
          <w:i/>
          <w:iCs/>
          <w:sz w:val="20"/>
          <w:szCs w:val="20"/>
        </w:rPr>
        <w:t xml:space="preserve">Puede alegar interés jurídico, de manera enunciativa mas no limitativa, el albacea, herederos, legatarios, familiares en línea recta sin limitación de grado y en línea colateral hasta el cuarto grado, lo que se acreditará con copia simple del documento delegatorio, pasado ante la </w:t>
      </w:r>
      <w:proofErr w:type="spellStart"/>
      <w:r w:rsidRPr="005D6B1A">
        <w:rPr>
          <w:rFonts w:eastAsia="Batang" w:cs="Tahoma"/>
          <w:b/>
          <w:i/>
          <w:iCs/>
          <w:sz w:val="20"/>
          <w:szCs w:val="20"/>
        </w:rPr>
        <w:t>fé</w:t>
      </w:r>
      <w:proofErr w:type="spellEnd"/>
      <w:r w:rsidRPr="005D6B1A">
        <w:rPr>
          <w:rFonts w:eastAsia="Batang" w:cs="Tahoma"/>
          <w:b/>
          <w:i/>
          <w:iCs/>
          <w:sz w:val="20"/>
          <w:szCs w:val="20"/>
        </w:rPr>
        <w:t xml:space="preserve"> de notario público o suscrito ante dos testigos.</w:t>
      </w:r>
    </w:p>
    <w:p w:rsidRPr="005D6B1A" w:rsidR="0083325C" w:rsidP="005D6B1A" w:rsidRDefault="0083325C" w14:paraId="28F20C36" w14:textId="77777777">
      <w:pPr>
        <w:spacing w:after="0" w:line="360" w:lineRule="auto"/>
        <w:ind w:left="567" w:right="539"/>
        <w:rPr>
          <w:rFonts w:eastAsia="Batang" w:cs="Tahoma"/>
          <w:b/>
          <w:i/>
          <w:iCs/>
          <w:sz w:val="20"/>
          <w:szCs w:val="20"/>
        </w:rPr>
      </w:pPr>
      <w:r w:rsidRPr="005D6B1A">
        <w:rPr>
          <w:rFonts w:eastAsia="Batang" w:cs="Tahoma"/>
          <w:b/>
          <w:i/>
          <w:iCs/>
          <w:sz w:val="20"/>
          <w:szCs w:val="20"/>
        </w:rPr>
        <w:t>….”</w:t>
      </w:r>
    </w:p>
    <w:p w:rsidR="0083325C" w:rsidP="005D6B1A" w:rsidRDefault="0083325C" w14:paraId="68CB4CEE" w14:textId="77777777">
      <w:pPr>
        <w:tabs>
          <w:tab w:val="left" w:pos="0"/>
        </w:tabs>
        <w:spacing w:after="0" w:line="360" w:lineRule="auto"/>
        <w:ind w:right="-28"/>
        <w:rPr>
          <w:rFonts w:cs="Tahoma"/>
          <w:bCs/>
        </w:rPr>
      </w:pPr>
    </w:p>
    <w:p w:rsidR="0083325C" w:rsidP="005D6B1A" w:rsidRDefault="0083325C" w14:paraId="5A533414" w14:textId="13182417">
      <w:pPr>
        <w:tabs>
          <w:tab w:val="left" w:pos="0"/>
        </w:tabs>
        <w:spacing w:after="0" w:line="360" w:lineRule="auto"/>
        <w:ind w:right="-28"/>
        <w:rPr>
          <w:rFonts w:cs="Tahoma"/>
          <w:bCs/>
        </w:rPr>
      </w:pPr>
      <w:r>
        <w:rPr>
          <w:rFonts w:cs="Tahoma"/>
          <w:bCs/>
        </w:rPr>
        <w:t>Esta fuente obligacional, tiene el carácter de vigente y, por tanto, debe ser considerada por parte de este Organismo Garante</w:t>
      </w:r>
      <w:r w:rsidR="005D6B1A">
        <w:rPr>
          <w:rFonts w:cs="Tahoma"/>
          <w:bCs/>
        </w:rPr>
        <w:t>.</w:t>
      </w:r>
    </w:p>
    <w:p w:rsidR="0083325C" w:rsidP="005D6B1A" w:rsidRDefault="0083325C" w14:paraId="4501D981" w14:textId="77777777">
      <w:pPr>
        <w:tabs>
          <w:tab w:val="left" w:pos="0"/>
        </w:tabs>
        <w:spacing w:after="0" w:line="360" w:lineRule="auto"/>
        <w:ind w:right="-28"/>
        <w:rPr>
          <w:rFonts w:cs="Tahoma"/>
          <w:bCs/>
        </w:rPr>
      </w:pPr>
    </w:p>
    <w:p w:rsidRPr="005334E9" w:rsidR="0083325C" w:rsidP="005D6B1A" w:rsidRDefault="0083325C" w14:paraId="7301F577" w14:textId="77777777">
      <w:pPr>
        <w:tabs>
          <w:tab w:val="left" w:pos="0"/>
        </w:tabs>
        <w:spacing w:after="0" w:line="360" w:lineRule="auto"/>
        <w:ind w:right="-28"/>
        <w:rPr>
          <w:rFonts w:cs="Tahoma"/>
          <w:bCs/>
        </w:rPr>
      </w:pPr>
      <w:r>
        <w:rPr>
          <w:rFonts w:cs="Tahoma"/>
          <w:bCs/>
        </w:rPr>
        <w:t xml:space="preserve">Se debe identificar, que la reforma en materia de datos </w:t>
      </w:r>
      <w:proofErr w:type="gramStart"/>
      <w:r>
        <w:rPr>
          <w:rFonts w:cs="Tahoma"/>
          <w:bCs/>
        </w:rPr>
        <w:t>personales,</w:t>
      </w:r>
      <w:proofErr w:type="gramEnd"/>
      <w:r>
        <w:rPr>
          <w:rFonts w:cs="Tahoma"/>
          <w:bCs/>
        </w:rPr>
        <w:t xml:space="preserve"> fue con la finalidad por una parte de proteger la intimidad de las personas, aun </w:t>
      </w:r>
      <w:r w:rsidRPr="004A3FB0">
        <w:rPr>
          <w:rFonts w:cs="Tahoma"/>
          <w:bCs/>
          <w:i/>
          <w:iCs/>
        </w:rPr>
        <w:t>post mortem</w:t>
      </w:r>
      <w:r>
        <w:rPr>
          <w:rFonts w:cs="Tahoma"/>
          <w:bCs/>
        </w:rPr>
        <w:t xml:space="preserve"> y, por otra parte, generar la </w:t>
      </w:r>
      <w:r w:rsidRPr="005334E9">
        <w:rPr>
          <w:rFonts w:cs="Tahoma"/>
          <w:bCs/>
        </w:rPr>
        <w:t>certeza jurídica para que una persona, disponga de su información a través de testamento.</w:t>
      </w:r>
    </w:p>
    <w:p w:rsidRPr="005334E9" w:rsidR="0083325C" w:rsidP="005D6B1A" w:rsidRDefault="0083325C" w14:paraId="6C09DA83" w14:textId="5110CC00">
      <w:pPr>
        <w:tabs>
          <w:tab w:val="left" w:pos="4667"/>
        </w:tabs>
        <w:spacing w:after="0" w:line="360" w:lineRule="auto"/>
        <w:contextualSpacing/>
        <w:rPr>
          <w:rFonts w:cs="Tahoma"/>
          <w:bCs/>
          <w:iCs/>
        </w:rPr>
      </w:pPr>
    </w:p>
    <w:p w:rsidR="009B6CF6" w:rsidP="009B6CF6" w:rsidRDefault="00EF0673" w14:paraId="663786F7" w14:textId="215C8229">
      <w:pPr>
        <w:tabs>
          <w:tab w:val="left" w:pos="4667"/>
        </w:tabs>
        <w:spacing w:after="0" w:line="360" w:lineRule="auto"/>
        <w:contextualSpacing/>
        <w:rPr>
          <w:rFonts w:cs="Tahoma"/>
          <w:bCs/>
          <w:iCs/>
        </w:rPr>
      </w:pPr>
      <w:r w:rsidRPr="005334E9">
        <w:rPr>
          <w:rFonts w:cs="Tahoma"/>
          <w:bCs/>
          <w:iCs/>
        </w:rPr>
        <w:t>En este orden de ideas, se consideró procedente citar a las partes a audiencia de conciliación, en virtud de que expresaron esa intención a través de diversos escritos</w:t>
      </w:r>
      <w:r w:rsidRPr="005334E9" w:rsidR="009B6CF6">
        <w:rPr>
          <w:rFonts w:cs="Tahoma"/>
          <w:bCs/>
          <w:iCs/>
        </w:rPr>
        <w:t>, en donde se acordó a entrega de la información a la Recurrente; para efectos de mayor</w:t>
      </w:r>
      <w:r w:rsidR="009B6CF6">
        <w:rPr>
          <w:rFonts w:cs="Tahoma"/>
          <w:bCs/>
          <w:iCs/>
        </w:rPr>
        <w:t xml:space="preserve"> claridad, se reproduce el acta de audiencia, por lo que respecta a lo actuado en ella:</w:t>
      </w:r>
    </w:p>
    <w:p w:rsidR="009B6CF6" w:rsidP="009B6CF6" w:rsidRDefault="009B6CF6" w14:paraId="48ABA41C" w14:textId="77777777">
      <w:pPr>
        <w:tabs>
          <w:tab w:val="left" w:pos="4667"/>
        </w:tabs>
        <w:spacing w:after="0" w:line="360" w:lineRule="auto"/>
        <w:contextualSpacing/>
        <w:jc w:val="center"/>
        <w:rPr>
          <w:rFonts w:cs="Tahoma"/>
          <w:bCs/>
          <w:iCs/>
        </w:rPr>
      </w:pPr>
      <w:r>
        <w:rPr>
          <w:noProof/>
        </w:rPr>
        <w:drawing>
          <wp:inline distT="0" distB="0" distL="0" distR="0" wp14:anchorId="14971055" wp14:editId="025A392A">
            <wp:extent cx="4181475" cy="2347495"/>
            <wp:effectExtent l="0" t="0" r="0" b="0"/>
            <wp:docPr id="1" name="Picture 1" descr="Interfaz de usuario gráfica, Aplicación, Word&#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nterfaz de usuario gráfica, Aplicación, Word&#10;&#10;Descripción generada automáticamente"/>
                    <pic:cNvPicPr/>
                  </pic:nvPicPr>
                  <pic:blipFill rotWithShape="1">
                    <a:blip r:embed="rId8"/>
                    <a:srcRect l="26786" t="31170" r="26091" b="21780"/>
                    <a:stretch/>
                  </pic:blipFill>
                  <pic:spPr bwMode="auto">
                    <a:xfrm>
                      <a:off x="0" y="0"/>
                      <a:ext cx="4191597" cy="2353177"/>
                    </a:xfrm>
                    <a:prstGeom prst="rect">
                      <a:avLst/>
                    </a:prstGeom>
                    <a:ln>
                      <a:noFill/>
                    </a:ln>
                    <a:extLst>
                      <a:ext uri="{53640926-AAD7-44D8-BBD7-CCE9431645EC}">
                        <a14:shadowObscured xmlns:a14="http://schemas.microsoft.com/office/drawing/2010/main"/>
                      </a:ext>
                    </a:extLst>
                  </pic:spPr>
                </pic:pic>
              </a:graphicData>
            </a:graphic>
          </wp:inline>
        </w:drawing>
      </w:r>
    </w:p>
    <w:p w:rsidR="005D6B1A" w:rsidP="00251BD0" w:rsidRDefault="009B6CF6" w14:paraId="1A8235DA" w14:textId="3DADC391">
      <w:pPr>
        <w:tabs>
          <w:tab w:val="left" w:pos="4667"/>
        </w:tabs>
        <w:spacing w:after="0" w:line="360" w:lineRule="auto"/>
        <w:contextualSpacing/>
        <w:rPr>
          <w:rFonts w:cs="Tahoma"/>
          <w:bCs/>
          <w:iCs/>
        </w:rPr>
      </w:pPr>
      <w:r>
        <w:rPr>
          <w:rFonts w:cs="Tahoma"/>
          <w:bCs/>
          <w:iCs/>
        </w:rPr>
        <w:lastRenderedPageBreak/>
        <w:t>Así, e</w:t>
      </w:r>
      <w:r w:rsidR="005D6B1A">
        <w:rPr>
          <w:rFonts w:cs="Tahoma"/>
          <w:bCs/>
          <w:iCs/>
        </w:rPr>
        <w:t xml:space="preserve">ste </w:t>
      </w:r>
      <w:r w:rsidR="008F314F">
        <w:rPr>
          <w:rFonts w:cs="Tahoma"/>
          <w:bCs/>
          <w:iCs/>
        </w:rPr>
        <w:t>organismo</w:t>
      </w:r>
      <w:r w:rsidR="005D6B1A">
        <w:rPr>
          <w:rFonts w:cs="Tahoma"/>
          <w:bCs/>
          <w:iCs/>
        </w:rPr>
        <w:t xml:space="preserve"> </w:t>
      </w:r>
      <w:r w:rsidR="008F314F">
        <w:rPr>
          <w:rFonts w:cs="Tahoma"/>
          <w:bCs/>
          <w:iCs/>
        </w:rPr>
        <w:t>garante</w:t>
      </w:r>
      <w:r w:rsidR="005D6B1A">
        <w:rPr>
          <w:rFonts w:cs="Tahoma"/>
          <w:bCs/>
          <w:iCs/>
        </w:rPr>
        <w:t xml:space="preserve">, </w:t>
      </w:r>
      <w:r w:rsidR="008F314F">
        <w:rPr>
          <w:rFonts w:cs="Tahoma"/>
          <w:bCs/>
          <w:iCs/>
        </w:rPr>
        <w:t>en todo momento consideró tanto la protección a la intimidad de la persona fallecida y a los intereses jurídicos que la Particular expresó, con la finalidad de realizar el cobro de un seguro, que su hermano dejó a su nombre en calidad de beneficiaria.</w:t>
      </w:r>
    </w:p>
    <w:p w:rsidRPr="00EF0673" w:rsidR="008F314F" w:rsidP="005D6B1A" w:rsidRDefault="008F314F" w14:paraId="7CE58BA5" w14:textId="77777777">
      <w:pPr>
        <w:tabs>
          <w:tab w:val="left" w:pos="4667"/>
        </w:tabs>
        <w:spacing w:after="0" w:line="360" w:lineRule="auto"/>
        <w:contextualSpacing/>
        <w:rPr>
          <w:rFonts w:cs="Tahoma"/>
          <w:bCs/>
          <w:iCs/>
        </w:rPr>
      </w:pPr>
    </w:p>
    <w:p w:rsidR="008F314F" w:rsidP="005D6B1A" w:rsidRDefault="008F314F" w14:paraId="34256DE5" w14:textId="2B933391">
      <w:pPr>
        <w:tabs>
          <w:tab w:val="left" w:pos="4667"/>
        </w:tabs>
        <w:spacing w:after="0" w:line="360" w:lineRule="auto"/>
        <w:contextualSpacing/>
        <w:rPr>
          <w:rFonts w:cs="Tahoma"/>
          <w:bCs/>
          <w:iCs/>
        </w:rPr>
      </w:pPr>
      <w:r>
        <w:rPr>
          <w:rFonts w:cs="Tahoma"/>
          <w:bCs/>
          <w:iCs/>
        </w:rPr>
        <w:t xml:space="preserve">Es por ello, </w:t>
      </w:r>
      <w:r w:rsidR="001F3654">
        <w:rPr>
          <w:rFonts w:cs="Tahoma"/>
          <w:bCs/>
          <w:iCs/>
        </w:rPr>
        <w:t>que,</w:t>
      </w:r>
      <w:r>
        <w:rPr>
          <w:rFonts w:cs="Tahoma"/>
          <w:bCs/>
          <w:iCs/>
        </w:rPr>
        <w:t xml:space="preserve"> durante la celebración de la audiencia virtual, se tuvo a bien, mediar la entrega de la información, que debería ser entregada por el ISSEMyM a la particular.</w:t>
      </w:r>
      <w:r w:rsidR="00251BD0">
        <w:rPr>
          <w:rFonts w:cs="Tahoma"/>
          <w:bCs/>
          <w:iCs/>
        </w:rPr>
        <w:t xml:space="preserve"> </w:t>
      </w:r>
      <w:r>
        <w:rPr>
          <w:rFonts w:cs="Tahoma"/>
          <w:bCs/>
          <w:iCs/>
        </w:rPr>
        <w:t>Una vez que se constató que la información ya se encuentra en posesión de la Particular, es procedente sobreseer el presente asunto, al haberse modificado la respuesta y haber quedado sin materia que resolver.</w:t>
      </w:r>
    </w:p>
    <w:p w:rsidR="00EF0673" w:rsidP="005D6B1A" w:rsidRDefault="00EF0673" w14:paraId="244DF492" w14:textId="5DAC38E3">
      <w:pPr>
        <w:tabs>
          <w:tab w:val="left" w:pos="4667"/>
        </w:tabs>
        <w:spacing w:after="0" w:line="360" w:lineRule="auto"/>
        <w:contextualSpacing/>
        <w:rPr>
          <w:rFonts w:cs="Tahoma"/>
          <w:bCs/>
          <w:iCs/>
        </w:rPr>
      </w:pPr>
    </w:p>
    <w:p w:rsidRPr="00EF0673" w:rsidR="00EF0673" w:rsidP="005D6B1A" w:rsidRDefault="00EF0673" w14:paraId="330F50FB" w14:textId="6FC01943">
      <w:pPr>
        <w:tabs>
          <w:tab w:val="left" w:pos="4667"/>
        </w:tabs>
        <w:spacing w:after="0" w:line="360" w:lineRule="auto"/>
        <w:contextualSpacing/>
        <w:rPr>
          <w:rFonts w:cs="Tahoma"/>
          <w:bCs/>
          <w:iCs/>
        </w:rPr>
      </w:pPr>
      <w:r>
        <w:rPr>
          <w:rFonts w:cs="Tahoma"/>
          <w:bCs/>
          <w:iCs/>
        </w:rPr>
        <w:t xml:space="preserve">En virtud de lo expuesto, es procedente sobreseer el presente asunto, toda vez que ha quedado sin materia, al haberse entregado la información a la Particular en los términos solicitados </w:t>
      </w:r>
      <w:r w:rsidR="004A1A0A">
        <w:rPr>
          <w:rFonts w:cs="Tahoma"/>
          <w:bCs/>
          <w:iCs/>
        </w:rPr>
        <w:t>y convenidos durante la sustanciación del Recurso.</w:t>
      </w:r>
    </w:p>
    <w:p w:rsidR="00EF0673" w:rsidP="005D6B1A" w:rsidRDefault="00EF0673" w14:paraId="57A34586" w14:textId="77777777">
      <w:pPr>
        <w:tabs>
          <w:tab w:val="left" w:pos="4667"/>
        </w:tabs>
        <w:spacing w:after="0" w:line="360" w:lineRule="auto"/>
        <w:contextualSpacing/>
        <w:rPr>
          <w:rFonts w:cs="Tahoma"/>
          <w:b/>
          <w:iCs/>
        </w:rPr>
      </w:pPr>
    </w:p>
    <w:p w:rsidR="004612EB" w:rsidP="005D6B1A" w:rsidRDefault="004612EB" w14:paraId="4644536B" w14:textId="11FA8E3D">
      <w:pPr>
        <w:tabs>
          <w:tab w:val="left" w:pos="4667"/>
        </w:tabs>
        <w:spacing w:after="0" w:line="360" w:lineRule="auto"/>
        <w:contextualSpacing/>
        <w:rPr>
          <w:rFonts w:cs="Tahoma"/>
          <w:b/>
          <w:iCs/>
        </w:rPr>
      </w:pPr>
      <w:r w:rsidRPr="004612EB">
        <w:rPr>
          <w:rFonts w:cs="Tahoma"/>
          <w:b/>
          <w:iCs/>
        </w:rPr>
        <w:t>CUARTO</w:t>
      </w:r>
      <w:r w:rsidRPr="004612EB" w:rsidR="00E04852">
        <w:rPr>
          <w:rFonts w:cs="Tahoma"/>
          <w:b/>
          <w:iCs/>
        </w:rPr>
        <w:t xml:space="preserve">. Decisión. </w:t>
      </w:r>
    </w:p>
    <w:p w:rsidRPr="004612EB" w:rsidR="004612EB" w:rsidP="005D6B1A" w:rsidRDefault="004612EB" w14:paraId="245FFC93" w14:textId="77777777">
      <w:pPr>
        <w:tabs>
          <w:tab w:val="left" w:pos="4667"/>
        </w:tabs>
        <w:spacing w:after="0" w:line="360" w:lineRule="auto"/>
        <w:contextualSpacing/>
        <w:rPr>
          <w:rFonts w:cs="Tahoma"/>
          <w:b/>
          <w:iCs/>
        </w:rPr>
      </w:pPr>
    </w:p>
    <w:p w:rsidR="004612EB" w:rsidP="005D6B1A" w:rsidRDefault="00E04852" w14:paraId="11FE72D0" w14:textId="64F7D560">
      <w:pPr>
        <w:tabs>
          <w:tab w:val="left" w:pos="4667"/>
        </w:tabs>
        <w:spacing w:after="0" w:line="360" w:lineRule="auto"/>
        <w:contextualSpacing/>
        <w:rPr>
          <w:rFonts w:cs="Tahoma"/>
          <w:bCs/>
          <w:iCs/>
        </w:rPr>
      </w:pPr>
      <w:r w:rsidRPr="003D2E44">
        <w:rPr>
          <w:rFonts w:cs="Tahoma"/>
          <w:bCs/>
          <w:iCs/>
        </w:rPr>
        <w:t xml:space="preserve">Por consiguiente, de conformidad con los artículos 137, fracción I y 139, fracción IV, de la Ley de Protección de Datos Personales en Posesión de Sujetos Obligados del Estado de México y Municipios, este Pleno determina el </w:t>
      </w:r>
      <w:r w:rsidRPr="004612EB">
        <w:rPr>
          <w:rFonts w:cs="Tahoma"/>
          <w:b/>
          <w:iCs/>
        </w:rPr>
        <w:t>SOBRESEIMIENTO</w:t>
      </w:r>
      <w:r w:rsidRPr="003D2E44">
        <w:rPr>
          <w:rFonts w:cs="Tahoma"/>
          <w:bCs/>
          <w:iCs/>
        </w:rPr>
        <w:t xml:space="preserve"> del presente recurso de revisión, toda vez una vez que el Sujeto Obligado, modificó su respuesta a través de la conciliación y entregó la información solicitada en la modalidad acordada por las partes en audiencia de </w:t>
      </w:r>
      <w:r w:rsidR="004A1A0A">
        <w:rPr>
          <w:rFonts w:cs="Tahoma"/>
          <w:bCs/>
          <w:iCs/>
        </w:rPr>
        <w:t>conciliación</w:t>
      </w:r>
      <w:r w:rsidRPr="003D2E44">
        <w:rPr>
          <w:rFonts w:cs="Tahoma"/>
          <w:bCs/>
          <w:iCs/>
        </w:rPr>
        <w:t xml:space="preserve">, dejando sin materia el presente Recurso de Revisión. </w:t>
      </w:r>
    </w:p>
    <w:p w:rsidR="004612EB" w:rsidP="005D6B1A" w:rsidRDefault="004612EB" w14:paraId="096B0F62" w14:textId="77777777">
      <w:pPr>
        <w:tabs>
          <w:tab w:val="left" w:pos="4667"/>
        </w:tabs>
        <w:spacing w:after="0" w:line="360" w:lineRule="auto"/>
        <w:contextualSpacing/>
        <w:rPr>
          <w:rFonts w:cs="Tahoma"/>
          <w:bCs/>
          <w:iCs/>
        </w:rPr>
      </w:pPr>
    </w:p>
    <w:p w:rsidR="004612EB" w:rsidP="005D6B1A" w:rsidRDefault="004612EB" w14:paraId="384975F9" w14:textId="18E4EAD9">
      <w:pPr>
        <w:tabs>
          <w:tab w:val="left" w:pos="4667"/>
        </w:tabs>
        <w:spacing w:after="0" w:line="360" w:lineRule="auto"/>
        <w:contextualSpacing/>
        <w:rPr>
          <w:rFonts w:cs="Tahoma"/>
          <w:bCs/>
          <w:iCs/>
        </w:rPr>
      </w:pPr>
      <w:r w:rsidRPr="002C6F4E">
        <w:rPr>
          <w:rFonts w:cs="Tahoma"/>
          <w:b/>
          <w:bCs/>
          <w:u w:val="single"/>
        </w:rPr>
        <w:t>Términos de la Resolución para conocimiento del Particular.</w:t>
      </w:r>
    </w:p>
    <w:p w:rsidR="004612EB" w:rsidP="005D6B1A" w:rsidRDefault="004612EB" w14:paraId="65BD1DA1" w14:textId="77777777">
      <w:pPr>
        <w:tabs>
          <w:tab w:val="left" w:pos="4667"/>
        </w:tabs>
        <w:spacing w:after="0" w:line="360" w:lineRule="auto"/>
        <w:contextualSpacing/>
        <w:rPr>
          <w:rFonts w:cs="Tahoma"/>
          <w:bCs/>
          <w:iCs/>
        </w:rPr>
      </w:pPr>
    </w:p>
    <w:p w:rsidR="004612EB" w:rsidP="005D6B1A" w:rsidRDefault="00E04852" w14:paraId="1B885126" w14:textId="24E2955E">
      <w:pPr>
        <w:tabs>
          <w:tab w:val="left" w:pos="4667"/>
        </w:tabs>
        <w:spacing w:after="0" w:line="360" w:lineRule="auto"/>
        <w:contextualSpacing/>
        <w:rPr>
          <w:rFonts w:cs="Tahoma"/>
          <w:bCs/>
          <w:iCs/>
        </w:rPr>
      </w:pPr>
      <w:r w:rsidRPr="003D2E44">
        <w:rPr>
          <w:rFonts w:cs="Tahoma"/>
          <w:bCs/>
          <w:iCs/>
        </w:rPr>
        <w:t xml:space="preserve">Este Instituto Garante, determinó dar por concluido el presente expediente, en virtud de que, </w:t>
      </w:r>
      <w:r w:rsidR="004A1A0A">
        <w:rPr>
          <w:rFonts w:cs="Tahoma"/>
          <w:bCs/>
          <w:iCs/>
        </w:rPr>
        <w:t xml:space="preserve">la Solicitante ya recibió la información convenida a entregar durante la audiencia de </w:t>
      </w:r>
      <w:r w:rsidR="004A1A0A">
        <w:rPr>
          <w:rFonts w:cs="Tahoma"/>
          <w:bCs/>
          <w:iCs/>
        </w:rPr>
        <w:lastRenderedPageBreak/>
        <w:t>conciliación. Esto se corrobora mediante escrito cargado por el Sujeto Obligado, para acreditar la entrega de la información, en el Sistema de Acceso a la Información Mexiquense (SAIMEX).</w:t>
      </w:r>
    </w:p>
    <w:p w:rsidR="004612EB" w:rsidP="005D6B1A" w:rsidRDefault="004612EB" w14:paraId="60E2F46D" w14:textId="77777777">
      <w:pPr>
        <w:tabs>
          <w:tab w:val="left" w:pos="4667"/>
        </w:tabs>
        <w:spacing w:after="0" w:line="360" w:lineRule="auto"/>
        <w:contextualSpacing/>
        <w:rPr>
          <w:rFonts w:cs="Tahoma"/>
          <w:bCs/>
          <w:iCs/>
        </w:rPr>
      </w:pPr>
    </w:p>
    <w:p w:rsidR="004612EB" w:rsidP="005D6B1A" w:rsidRDefault="00E04852" w14:paraId="75C24476" w14:textId="77777777">
      <w:pPr>
        <w:tabs>
          <w:tab w:val="left" w:pos="4667"/>
        </w:tabs>
        <w:spacing w:after="0" w:line="360" w:lineRule="auto"/>
        <w:contextualSpacing/>
        <w:rPr>
          <w:rFonts w:cs="Tahoma"/>
          <w:bCs/>
          <w:iCs/>
        </w:rPr>
      </w:pPr>
      <w:r w:rsidRPr="003D2E44">
        <w:rPr>
          <w:rFonts w:cs="Tahoma"/>
          <w:bCs/>
          <w:iCs/>
        </w:rPr>
        <w:t xml:space="preserve">Por lo anterior, se tuvo por atendida la solicitud de información y se dio por terminado el Recurso de Revisión, pues el motivo de inconformidad ya fue subsanado con la entrega de la información. </w:t>
      </w:r>
    </w:p>
    <w:p w:rsidR="004612EB" w:rsidP="005D6B1A" w:rsidRDefault="004612EB" w14:paraId="1E7217BD" w14:textId="77777777">
      <w:pPr>
        <w:tabs>
          <w:tab w:val="left" w:pos="4667"/>
        </w:tabs>
        <w:spacing w:after="0" w:line="360" w:lineRule="auto"/>
        <w:contextualSpacing/>
        <w:rPr>
          <w:rFonts w:cs="Tahoma"/>
          <w:bCs/>
          <w:iCs/>
        </w:rPr>
      </w:pPr>
    </w:p>
    <w:p w:rsidRPr="004A1A0A" w:rsidR="004612EB" w:rsidP="005D6B1A" w:rsidRDefault="00E04852" w14:paraId="6009B83B" w14:textId="77777777">
      <w:pPr>
        <w:tabs>
          <w:tab w:val="left" w:pos="4667"/>
        </w:tabs>
        <w:spacing w:after="0" w:line="360" w:lineRule="auto"/>
        <w:contextualSpacing/>
        <w:rPr>
          <w:rFonts w:cs="Tahoma"/>
          <w:bCs/>
          <w:iCs/>
          <w:u w:val="single"/>
        </w:rPr>
      </w:pPr>
      <w:r w:rsidRPr="004A1A0A">
        <w:rPr>
          <w:rFonts w:cs="Tahoma"/>
          <w:bCs/>
          <w:iCs/>
          <w:u w:val="single"/>
        </w:rPr>
        <w:t xml:space="preserve">La labor del INFOEM, es apoyar a la población para acceder a la información pública y garantizar la protección de sus datos personales. </w:t>
      </w:r>
    </w:p>
    <w:p w:rsidR="004612EB" w:rsidP="005D6B1A" w:rsidRDefault="004612EB" w14:paraId="0B893CA0" w14:textId="77777777">
      <w:pPr>
        <w:tabs>
          <w:tab w:val="left" w:pos="4667"/>
        </w:tabs>
        <w:spacing w:after="0" w:line="360" w:lineRule="auto"/>
        <w:contextualSpacing/>
        <w:rPr>
          <w:rFonts w:cs="Tahoma"/>
          <w:bCs/>
          <w:iCs/>
        </w:rPr>
      </w:pPr>
    </w:p>
    <w:p w:rsidR="004612EB" w:rsidP="005D6B1A" w:rsidRDefault="00E04852" w14:paraId="0CA6E0D4" w14:textId="77777777">
      <w:pPr>
        <w:tabs>
          <w:tab w:val="left" w:pos="4667"/>
        </w:tabs>
        <w:spacing w:after="0" w:line="360" w:lineRule="auto"/>
        <w:contextualSpacing/>
        <w:rPr>
          <w:rFonts w:cs="Tahoma"/>
          <w:bCs/>
          <w:iCs/>
        </w:rPr>
      </w:pPr>
      <w:r w:rsidRPr="003D2E44">
        <w:rPr>
          <w:rFonts w:cs="Tahoma"/>
          <w:bCs/>
          <w:iCs/>
        </w:rPr>
        <w:t xml:space="preserve">Por lo expuesto y fundado, este Pleno: </w:t>
      </w:r>
    </w:p>
    <w:p w:rsidR="004612EB" w:rsidP="005D6B1A" w:rsidRDefault="004612EB" w14:paraId="5751E1E0" w14:textId="77777777">
      <w:pPr>
        <w:tabs>
          <w:tab w:val="left" w:pos="4667"/>
        </w:tabs>
        <w:spacing w:after="0" w:line="360" w:lineRule="auto"/>
        <w:contextualSpacing/>
        <w:rPr>
          <w:rFonts w:cs="Tahoma"/>
          <w:bCs/>
          <w:iCs/>
        </w:rPr>
      </w:pPr>
    </w:p>
    <w:p w:rsidRPr="004612EB" w:rsidR="004612EB" w:rsidP="005D6B1A" w:rsidRDefault="00E04852" w14:paraId="40741511" w14:textId="6FE3EBC2">
      <w:pPr>
        <w:tabs>
          <w:tab w:val="left" w:pos="4667"/>
        </w:tabs>
        <w:spacing w:after="0" w:line="360" w:lineRule="auto"/>
        <w:contextualSpacing/>
        <w:jc w:val="center"/>
        <w:rPr>
          <w:rFonts w:cs="Tahoma"/>
          <w:b/>
          <w:iCs/>
        </w:rPr>
      </w:pPr>
      <w:r w:rsidRPr="004612EB">
        <w:rPr>
          <w:rFonts w:cs="Tahoma"/>
          <w:b/>
          <w:iCs/>
        </w:rPr>
        <w:t>R E S U E L V E</w:t>
      </w:r>
    </w:p>
    <w:p w:rsidR="004612EB" w:rsidP="005D6B1A" w:rsidRDefault="004612EB" w14:paraId="31890079" w14:textId="77777777">
      <w:pPr>
        <w:tabs>
          <w:tab w:val="left" w:pos="4667"/>
        </w:tabs>
        <w:spacing w:after="0" w:line="360" w:lineRule="auto"/>
        <w:contextualSpacing/>
        <w:rPr>
          <w:rFonts w:cs="Tahoma"/>
          <w:bCs/>
          <w:iCs/>
        </w:rPr>
      </w:pPr>
    </w:p>
    <w:p w:rsidR="004612EB" w:rsidP="005D6B1A" w:rsidRDefault="00E04852" w14:paraId="519950EA" w14:textId="4898E2EA">
      <w:pPr>
        <w:tabs>
          <w:tab w:val="left" w:pos="4667"/>
        </w:tabs>
        <w:spacing w:after="0" w:line="360" w:lineRule="auto"/>
        <w:contextualSpacing/>
        <w:rPr>
          <w:rFonts w:cs="Tahoma"/>
          <w:bCs/>
          <w:iCs/>
        </w:rPr>
      </w:pPr>
      <w:r w:rsidRPr="004612EB">
        <w:rPr>
          <w:rFonts w:cs="Tahoma"/>
          <w:b/>
          <w:iCs/>
        </w:rPr>
        <w:t>PRIMERO</w:t>
      </w:r>
      <w:r w:rsidRPr="003D2E44">
        <w:rPr>
          <w:rFonts w:cs="Tahoma"/>
          <w:bCs/>
          <w:iCs/>
        </w:rPr>
        <w:t xml:space="preserve">. Se </w:t>
      </w:r>
      <w:r w:rsidRPr="004612EB">
        <w:rPr>
          <w:rFonts w:cs="Tahoma"/>
          <w:b/>
          <w:iCs/>
        </w:rPr>
        <w:t>SOBRESEE</w:t>
      </w:r>
      <w:r w:rsidRPr="003D2E44">
        <w:rPr>
          <w:rFonts w:cs="Tahoma"/>
          <w:bCs/>
          <w:iCs/>
        </w:rPr>
        <w:t xml:space="preserve"> el Recurso de Revisión </w:t>
      </w:r>
      <w:r w:rsidR="00A336FF">
        <w:rPr>
          <w:rFonts w:cs="Tahoma"/>
          <w:b/>
          <w:iCs/>
        </w:rPr>
        <w:t>05391/INFOEM/IP/RR/2021</w:t>
      </w:r>
      <w:r w:rsidRPr="003D2E44">
        <w:rPr>
          <w:rFonts w:cs="Tahoma"/>
          <w:bCs/>
          <w:iCs/>
        </w:rPr>
        <w:t xml:space="preserve">, porque al modificar la respuesta el medio de impugnación quedó sin materia, en términos de los artículos 137, fracción I y 139, fracción IV, de la Ley de Protección de Datos Personales en Posesión de Sujetos Obligados del Estado de México y Municipios, de conformidad con los Considerandos </w:t>
      </w:r>
      <w:r w:rsidRPr="004612EB" w:rsidR="004612EB">
        <w:rPr>
          <w:rFonts w:cs="Tahoma"/>
          <w:b/>
          <w:iCs/>
        </w:rPr>
        <w:t>TERCERO</w:t>
      </w:r>
      <w:r w:rsidRPr="003D2E44">
        <w:rPr>
          <w:rFonts w:cs="Tahoma"/>
          <w:bCs/>
          <w:iCs/>
        </w:rPr>
        <w:t xml:space="preserve"> y </w:t>
      </w:r>
      <w:r w:rsidRPr="004612EB" w:rsidR="004612EB">
        <w:rPr>
          <w:rFonts w:cs="Tahoma"/>
          <w:b/>
          <w:iCs/>
        </w:rPr>
        <w:t>CUARTO</w:t>
      </w:r>
      <w:r w:rsidRPr="003D2E44">
        <w:rPr>
          <w:rFonts w:cs="Tahoma"/>
          <w:bCs/>
          <w:iCs/>
        </w:rPr>
        <w:t xml:space="preserve"> de la presente Resolución. </w:t>
      </w:r>
    </w:p>
    <w:p w:rsidR="004612EB" w:rsidP="005D6B1A" w:rsidRDefault="004612EB" w14:paraId="0D16E219" w14:textId="77777777">
      <w:pPr>
        <w:tabs>
          <w:tab w:val="left" w:pos="4667"/>
        </w:tabs>
        <w:spacing w:after="0" w:line="360" w:lineRule="auto"/>
        <w:contextualSpacing/>
        <w:rPr>
          <w:rFonts w:cs="Tahoma"/>
          <w:bCs/>
          <w:iCs/>
        </w:rPr>
      </w:pPr>
    </w:p>
    <w:p w:rsidR="004612EB" w:rsidP="005D6B1A" w:rsidRDefault="00E04852" w14:paraId="2B54CD0E" w14:textId="2664C5EE">
      <w:pPr>
        <w:tabs>
          <w:tab w:val="left" w:pos="4667"/>
        </w:tabs>
        <w:spacing w:after="0" w:line="360" w:lineRule="auto"/>
        <w:contextualSpacing/>
        <w:rPr>
          <w:rFonts w:cs="Tahoma"/>
          <w:bCs/>
          <w:iCs/>
        </w:rPr>
      </w:pPr>
      <w:r w:rsidRPr="004612EB">
        <w:rPr>
          <w:rFonts w:cs="Tahoma"/>
          <w:b/>
          <w:iCs/>
        </w:rPr>
        <w:t>SEGUNDO</w:t>
      </w:r>
      <w:r w:rsidRPr="003D2E44">
        <w:rPr>
          <w:rFonts w:cs="Tahoma"/>
          <w:bCs/>
          <w:iCs/>
        </w:rPr>
        <w:t>. Notifíquese la presente resolución al Titular de la Unidad de Transparencia del Sujeto Obligado</w:t>
      </w:r>
      <w:r w:rsidR="004A1A0A">
        <w:rPr>
          <w:rFonts w:cs="Tahoma"/>
          <w:bCs/>
          <w:iCs/>
        </w:rPr>
        <w:t xml:space="preserve"> a través del Sistema de Acceso a la Información Mexiquense (SAIMEX).</w:t>
      </w:r>
    </w:p>
    <w:p w:rsidR="004612EB" w:rsidP="005D6B1A" w:rsidRDefault="004612EB" w14:paraId="39F1465C" w14:textId="77777777">
      <w:pPr>
        <w:tabs>
          <w:tab w:val="left" w:pos="4667"/>
        </w:tabs>
        <w:spacing w:after="0" w:line="360" w:lineRule="auto"/>
        <w:contextualSpacing/>
        <w:rPr>
          <w:rFonts w:cs="Tahoma"/>
          <w:bCs/>
          <w:iCs/>
        </w:rPr>
      </w:pPr>
    </w:p>
    <w:p w:rsidR="004612EB" w:rsidP="6A41D11E" w:rsidRDefault="6A41D11E" w14:paraId="38D6EBA8" w14:textId="01A884ED">
      <w:pPr>
        <w:tabs>
          <w:tab w:val="left" w:pos="4667"/>
        </w:tabs>
        <w:spacing w:after="0" w:line="360" w:lineRule="auto"/>
        <w:contextualSpacing/>
        <w:rPr>
          <w:rFonts w:cs="Tahoma"/>
        </w:rPr>
      </w:pPr>
      <w:r w:rsidRPr="6A41D11E">
        <w:rPr>
          <w:rFonts w:cs="Tahoma"/>
          <w:b/>
          <w:bCs/>
        </w:rPr>
        <w:t>TERCERO</w:t>
      </w:r>
      <w:r w:rsidRPr="6A41D11E">
        <w:rPr>
          <w:rFonts w:cs="Tahoma"/>
        </w:rPr>
        <w:t>. Notifíquese la presente resolución al Recurrente, a través del Sistema de Acceso a la Información Mexiquense (SAIMEX</w:t>
      </w:r>
      <w:r w:rsidR="00133318">
        <w:rPr>
          <w:rFonts w:cs="Tahoma"/>
        </w:rPr>
        <w:t>)</w:t>
      </w:r>
      <w:r w:rsidRPr="6A41D11E">
        <w:rPr>
          <w:rFonts w:cs="Tahoma"/>
        </w:rPr>
        <w:t>, así como</w:t>
      </w:r>
      <w:r w:rsidR="00133318">
        <w:rPr>
          <w:rFonts w:cs="Tahoma"/>
        </w:rPr>
        <w:t>,</w:t>
      </w:r>
      <w:r w:rsidRPr="6A41D11E">
        <w:rPr>
          <w:rFonts w:cs="Tahoma"/>
        </w:rPr>
        <w:t xml:space="preserve"> al correo electrónico </w:t>
      </w:r>
      <w:r w:rsidR="00133318">
        <w:rPr>
          <w:rFonts w:cs="Tahoma"/>
        </w:rPr>
        <w:t>referido en la solicitud de acceso a la información</w:t>
      </w:r>
      <w:r w:rsidRPr="6A41D11E">
        <w:rPr>
          <w:rFonts w:cs="Tahoma"/>
        </w:rPr>
        <w:t xml:space="preserve">, asimismo, se hace de su conocimiento que de conformidad con lo establecido en el artículo 196 de la Ley de Transparencia y Acceso a la Información Pública del Estado de México y Municipios y 142 de la Ley de Protección de Datos Personales en Posesión </w:t>
      </w:r>
      <w:r w:rsidRPr="6A41D11E">
        <w:rPr>
          <w:rFonts w:cs="Tahoma"/>
        </w:rPr>
        <w:lastRenderedPageBreak/>
        <w:t xml:space="preserve">de Sujetos Obligados del Estado de México y Municipios podrá promover el Juicio de Amparo en los términos de las leyes aplicables. </w:t>
      </w:r>
    </w:p>
    <w:p w:rsidR="004612EB" w:rsidP="005D6B1A" w:rsidRDefault="004612EB" w14:paraId="3E1FEDAF" w14:textId="77777777">
      <w:pPr>
        <w:tabs>
          <w:tab w:val="left" w:pos="4667"/>
        </w:tabs>
        <w:spacing w:after="0" w:line="360" w:lineRule="auto"/>
        <w:contextualSpacing/>
        <w:rPr>
          <w:rFonts w:cs="Tahoma"/>
          <w:bCs/>
          <w:iCs/>
        </w:rPr>
      </w:pPr>
    </w:p>
    <w:p w:rsidR="004A1A0A" w:rsidP="005D6B1A" w:rsidRDefault="004A1A0A" w14:paraId="6158C9C3" w14:textId="496503BE">
      <w:pPr>
        <w:spacing w:after="0" w:line="360" w:lineRule="auto"/>
        <w:rPr>
          <w:rFonts w:eastAsia="Calibri" w:cs="Tahoma"/>
          <w:bCs/>
        </w:rPr>
      </w:pPr>
      <w:r w:rsidRPr="008C3E33">
        <w:rPr>
          <w:rFonts w:eastAsia="Calibri" w:cs="Tahoma"/>
          <w:bCs/>
        </w:rPr>
        <w:t xml:space="preserve">ASÍ LO RESUELVE, POR </w:t>
      </w:r>
      <w:r w:rsidRPr="0069067F">
        <w:rPr>
          <w:rFonts w:eastAsia="Calibri" w:cs="Tahoma"/>
          <w:b/>
        </w:rPr>
        <w:t xml:space="preserve">UNANIMIDAD </w:t>
      </w:r>
      <w:r w:rsidRPr="008C3E33">
        <w:rPr>
          <w:rFonts w:eastAsia="Calibri" w:cs="Tahoma"/>
          <w:bCs/>
        </w:rPr>
        <w:t xml:space="preserve">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w:t>
      </w:r>
      <w:r>
        <w:rPr>
          <w:rFonts w:eastAsia="Calibri" w:cs="Tahoma"/>
          <w:bCs/>
        </w:rPr>
        <w:t>TERCERA</w:t>
      </w:r>
      <w:r w:rsidRPr="008C3E33">
        <w:rPr>
          <w:rFonts w:eastAsia="Calibri" w:cs="Tahoma"/>
          <w:bCs/>
        </w:rPr>
        <w:t xml:space="preserve"> SESIÓN  ORDINARIA, CELEBRADA EL </w:t>
      </w:r>
      <w:r>
        <w:rPr>
          <w:rFonts w:eastAsia="Calibri" w:cs="Tahoma"/>
          <w:bCs/>
        </w:rPr>
        <w:t>VEINTISIETE</w:t>
      </w:r>
      <w:r w:rsidRPr="008C3E33">
        <w:rPr>
          <w:rFonts w:eastAsia="Calibri" w:cs="Tahoma"/>
          <w:bCs/>
        </w:rPr>
        <w:t xml:space="preserve"> DE ENERO DE DOS MIL VEINTIDÓS, ANTE EL SECRETARIO TÉCNICO DEL PLENO ALEXIS TAPIA RAMÍREZ.</w:t>
      </w:r>
    </w:p>
    <w:p w:rsidR="004612EB" w:rsidP="005D6B1A" w:rsidRDefault="004612EB" w14:paraId="024BBF2D" w14:textId="77777777">
      <w:pPr>
        <w:spacing w:after="0"/>
        <w:jc w:val="left"/>
        <w:rPr>
          <w:rFonts w:cs="Tahoma"/>
          <w:bCs/>
          <w:iCs/>
        </w:rPr>
      </w:pPr>
      <w:r>
        <w:rPr>
          <w:rFonts w:cs="Tahoma"/>
          <w:bCs/>
          <w:iCs/>
        </w:rPr>
        <w:br w:type="page"/>
      </w:r>
    </w:p>
    <w:p w:rsidRPr="003D2E44" w:rsidR="00D51763" w:rsidP="005D6B1A" w:rsidRDefault="00D51763" w14:paraId="22097F35" w14:textId="77777777">
      <w:pPr>
        <w:tabs>
          <w:tab w:val="left" w:pos="4667"/>
        </w:tabs>
        <w:spacing w:after="0" w:line="360" w:lineRule="auto"/>
        <w:contextualSpacing/>
        <w:rPr>
          <w:rFonts w:cs="Tahoma"/>
          <w:bCs/>
          <w:iCs/>
        </w:rPr>
      </w:pPr>
    </w:p>
    <w:p w:rsidRPr="003D2E44" w:rsidR="00D51763" w:rsidP="005D6B1A" w:rsidRDefault="00D51763" w14:paraId="0ACB07E2" w14:textId="77777777">
      <w:pPr>
        <w:tabs>
          <w:tab w:val="left" w:pos="4667"/>
        </w:tabs>
        <w:spacing w:after="0" w:line="360" w:lineRule="auto"/>
        <w:contextualSpacing/>
        <w:rPr>
          <w:rFonts w:cs="Tahoma"/>
          <w:bCs/>
          <w:iCs/>
        </w:rPr>
      </w:pPr>
    </w:p>
    <w:p w:rsidRPr="003D2E44" w:rsidR="00A7101A" w:rsidP="005D6B1A" w:rsidRDefault="00A7101A" w14:paraId="1C446834" w14:textId="77777777">
      <w:pPr>
        <w:tabs>
          <w:tab w:val="left" w:pos="4667"/>
        </w:tabs>
        <w:spacing w:after="0" w:line="360" w:lineRule="auto"/>
        <w:contextualSpacing/>
        <w:rPr>
          <w:rFonts w:cs="Tahoma"/>
          <w:bCs/>
          <w:iCs/>
        </w:rPr>
      </w:pPr>
    </w:p>
    <w:sectPr w:rsidRPr="003D2E44" w:rsidR="00A7101A" w:rsidSect="00257840">
      <w:headerReference w:type="even" r:id="rId9"/>
      <w:headerReference w:type="default" r:id="rId10"/>
      <w:footerReference w:type="even" r:id="rId11"/>
      <w:footerReference w:type="default" r:id="rId12"/>
      <w:headerReference w:type="first" r:id="rId13"/>
      <w:footerReference w:type="first" r:id="rId14"/>
      <w:pgSz w:w="12240" w:h="15840" w:orient="portrait"/>
      <w:pgMar w:top="1418" w:right="14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875A2" w:rsidP="001B2D84" w:rsidRDefault="000875A2" w14:paraId="161072B4" w14:textId="77777777">
      <w:pPr>
        <w:spacing w:after="0" w:line="240" w:lineRule="auto"/>
      </w:pPr>
      <w:r>
        <w:separator/>
      </w:r>
    </w:p>
  </w:endnote>
  <w:endnote w:type="continuationSeparator" w:id="0">
    <w:p w:rsidR="000875A2" w:rsidP="001B2D84" w:rsidRDefault="000875A2" w14:paraId="6526E6C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1984540"/>
      <w:docPartObj>
        <w:docPartGallery w:val="Page Numbers (Bottom of Page)"/>
        <w:docPartUnique/>
      </w:docPartObj>
    </w:sdtPr>
    <w:sdtEndPr/>
    <w:sdtContent>
      <w:sdt>
        <w:sdtPr>
          <w:id w:val="-1210721077"/>
          <w:docPartObj>
            <w:docPartGallery w:val="Page Numbers (Top of Page)"/>
            <w:docPartUnique/>
          </w:docPartObj>
        </w:sdtPr>
        <w:sdtEndPr/>
        <w:sdtContent>
          <w:p w:rsidR="00EE1572" w:rsidRDefault="00543BFE" w14:paraId="1D7DED86"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rsidR="00EE1572" w:rsidRDefault="0069067F" w14:paraId="030DF04C"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5651953"/>
      <w:docPartObj>
        <w:docPartGallery w:val="Page Numbers (Bottom of Page)"/>
        <w:docPartUnique/>
      </w:docPartObj>
    </w:sdtPr>
    <w:sdtEndPr/>
    <w:sdtContent>
      <w:sdt>
        <w:sdtPr>
          <w:id w:val="1630431165"/>
          <w:docPartObj>
            <w:docPartGallery w:val="Page Numbers (Top of Page)"/>
            <w:docPartUnique/>
          </w:docPartObj>
        </w:sdtPr>
        <w:sdtEndPr/>
        <w:sdtContent>
          <w:p w:rsidR="00EE1572" w:rsidRDefault="00543BFE" w14:paraId="435C6B32" w14:textId="46274FA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C7387">
              <w:rPr>
                <w:b/>
                <w:bCs/>
                <w:noProof/>
              </w:rPr>
              <w:t>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C7387">
              <w:rPr>
                <w:b/>
                <w:bCs/>
                <w:noProof/>
              </w:rPr>
              <w:t>9</w:t>
            </w:r>
            <w:r>
              <w:rPr>
                <w:b/>
                <w:bCs/>
                <w:sz w:val="24"/>
                <w:szCs w:val="24"/>
              </w:rPr>
              <w:fldChar w:fldCharType="end"/>
            </w:r>
          </w:p>
        </w:sdtContent>
      </w:sdt>
    </w:sdtContent>
  </w:sdt>
  <w:p w:rsidR="00EE1572" w:rsidRDefault="0069067F" w14:paraId="4B894158"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6322618"/>
      <w:docPartObj>
        <w:docPartGallery w:val="Page Numbers (Bottom of Page)"/>
        <w:docPartUnique/>
      </w:docPartObj>
    </w:sdtPr>
    <w:sdtEndPr/>
    <w:sdtContent>
      <w:sdt>
        <w:sdtPr>
          <w:id w:val="-1769616900"/>
          <w:docPartObj>
            <w:docPartGallery w:val="Page Numbers (Top of Page)"/>
            <w:docPartUnique/>
          </w:docPartObj>
        </w:sdtPr>
        <w:sdtEndPr/>
        <w:sdtContent>
          <w:p w:rsidR="00EE1572" w:rsidRDefault="00543BFE" w14:paraId="320C9919" w14:textId="4E2FA05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C738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C7387">
              <w:rPr>
                <w:b/>
                <w:bCs/>
                <w:noProof/>
              </w:rPr>
              <w:t>9</w:t>
            </w:r>
            <w:r>
              <w:rPr>
                <w:b/>
                <w:bCs/>
                <w:sz w:val="24"/>
                <w:szCs w:val="24"/>
              </w:rPr>
              <w:fldChar w:fldCharType="end"/>
            </w:r>
          </w:p>
        </w:sdtContent>
      </w:sdt>
    </w:sdtContent>
  </w:sdt>
  <w:p w:rsidR="00EE1572" w:rsidRDefault="0069067F" w14:paraId="285A2109"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875A2" w:rsidP="001B2D84" w:rsidRDefault="000875A2" w14:paraId="15F6DEA8" w14:textId="77777777">
      <w:pPr>
        <w:spacing w:after="0" w:line="240" w:lineRule="auto"/>
      </w:pPr>
      <w:r>
        <w:separator/>
      </w:r>
    </w:p>
  </w:footnote>
  <w:footnote w:type="continuationSeparator" w:id="0">
    <w:p w:rsidR="000875A2" w:rsidP="001B2D84" w:rsidRDefault="000875A2" w14:paraId="3DC54DE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405"/>
    </w:tblGrid>
    <w:tr w:rsidRPr="00E152D8" w:rsidR="00EE1572" w:rsidTr="00607ABE" w14:paraId="31240F3C" w14:textId="77777777">
      <w:trPr>
        <w:trHeight w:val="132"/>
      </w:trPr>
      <w:tc>
        <w:tcPr>
          <w:tcW w:w="2691" w:type="dxa"/>
        </w:tcPr>
        <w:p w:rsidRPr="00E152D8" w:rsidR="00EE1572" w:rsidP="00EE1572" w:rsidRDefault="00543BFE" w14:paraId="0D3534F2" w14:textId="77777777">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rsidRPr="00EE1572" w:rsidR="00EE1572" w:rsidP="00EE1572" w:rsidRDefault="00543BFE" w14:paraId="4D3CD0D3" w14:textId="77777777">
          <w:pPr>
            <w:tabs>
              <w:tab w:val="right" w:pos="8838"/>
            </w:tabs>
            <w:ind w:left="-28" w:right="-32"/>
            <w:rPr>
              <w:rFonts w:eastAsia="Calibri" w:cs="Tahoma"/>
            </w:rPr>
          </w:pPr>
          <w:r w:rsidRPr="00EE1572">
            <w:rPr>
              <w:rFonts w:eastAsia="Calibri" w:cs="Tahoma"/>
            </w:rPr>
            <w:t>03846/INFOEM/IP/RR/2020</w:t>
          </w:r>
        </w:p>
      </w:tc>
    </w:tr>
    <w:tr w:rsidRPr="00E152D8" w:rsidR="00EE1572" w:rsidTr="00607ABE" w14:paraId="03320850" w14:textId="77777777">
      <w:trPr>
        <w:trHeight w:val="261"/>
      </w:trPr>
      <w:tc>
        <w:tcPr>
          <w:tcW w:w="2691" w:type="dxa"/>
        </w:tcPr>
        <w:p w:rsidRPr="00E152D8" w:rsidR="00EE1572" w:rsidP="00EE1572" w:rsidRDefault="00543BFE" w14:paraId="4F694FCE"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rsidRPr="00EE1572" w:rsidR="00EE1572" w:rsidP="00EE1572" w:rsidRDefault="00543BFE" w14:paraId="162777F7" w14:textId="77777777">
          <w:pPr>
            <w:tabs>
              <w:tab w:val="right" w:pos="8838"/>
            </w:tabs>
            <w:ind w:right="-32"/>
            <w:rPr>
              <w:rFonts w:eastAsia="Calibri" w:cs="Tahoma"/>
              <w:lang w:val="es-MX"/>
            </w:rPr>
          </w:pPr>
          <w:r w:rsidRPr="00EE1572">
            <w:rPr>
              <w:rFonts w:eastAsia="Calibri" w:cs="Tahoma"/>
              <w:lang w:val="es-MX"/>
            </w:rPr>
            <w:t>Ayuntamiento de Temascalcingo</w:t>
          </w:r>
        </w:p>
      </w:tc>
    </w:tr>
    <w:tr w:rsidRPr="00E152D8" w:rsidR="00EE1572" w:rsidTr="00607ABE" w14:paraId="55FFE174" w14:textId="77777777">
      <w:trPr>
        <w:trHeight w:val="261"/>
      </w:trPr>
      <w:tc>
        <w:tcPr>
          <w:tcW w:w="2691" w:type="dxa"/>
        </w:tcPr>
        <w:p w:rsidRPr="00E152D8" w:rsidR="00EE1572" w:rsidP="00EE1572" w:rsidRDefault="00543BFE" w14:paraId="3175A6C7" w14:textId="77777777">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rsidRPr="00E152D8" w:rsidR="00EE1572" w:rsidP="00EE1572" w:rsidRDefault="00543BFE" w14:paraId="098BDF3D" w14:textId="77777777">
          <w:pPr>
            <w:tabs>
              <w:tab w:val="right" w:pos="8838"/>
            </w:tabs>
            <w:ind w:right="-32"/>
            <w:rPr>
              <w:rFonts w:eastAsia="Calibri" w:cs="Tahoma"/>
              <w:b/>
              <w:lang w:val="es-MX"/>
            </w:rPr>
          </w:pPr>
          <w:r w:rsidRPr="00E152D8">
            <w:rPr>
              <w:rFonts w:eastAsia="Calibri" w:cs="Tahoma"/>
              <w:lang w:val="es-MX"/>
            </w:rPr>
            <w:t>Luis Gustavo Parra Noriega</w:t>
          </w:r>
        </w:p>
      </w:tc>
    </w:tr>
  </w:tbl>
  <w:p w:rsidR="00EE1572" w:rsidRDefault="0069067F" w14:paraId="5479051E" w14:textId="77777777">
    <w:pPr>
      <w:pStyle w:val="Encabezado"/>
    </w:pPr>
    <w:r>
      <w:rPr>
        <w:noProof/>
      </w:rPr>
      <w:pict w14:anchorId="5E18503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0" style="position:absolute;left:0;text-align:left;margin-left:0;margin-top:0;width:663.5pt;height:12in;z-index:-251656192;mso-position-horizontal:center;mso-position-horizontal-relative:margin;mso-position-vertical:center;mso-position-vertical-relative:margin" o:spid="_x0000_s1026"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303" w:type="dxa"/>
      <w:tblInd w:w="2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612"/>
    </w:tblGrid>
    <w:tr w:rsidRPr="00E152D8" w:rsidR="00EE1572" w:rsidTr="00607ABE" w14:paraId="19ECDA8C" w14:textId="77777777">
      <w:trPr>
        <w:trHeight w:val="132"/>
      </w:trPr>
      <w:tc>
        <w:tcPr>
          <w:tcW w:w="2691" w:type="dxa"/>
        </w:tcPr>
        <w:p w:rsidRPr="00E152D8" w:rsidR="00EE1572" w:rsidP="00EE1572" w:rsidRDefault="00543BFE" w14:paraId="6B755B3C" w14:textId="77777777">
          <w:pPr>
            <w:tabs>
              <w:tab w:val="right" w:pos="8838"/>
            </w:tabs>
            <w:ind w:right="-105"/>
            <w:rPr>
              <w:rFonts w:eastAsia="Calibri" w:cs="Tahoma"/>
              <w:b/>
              <w:lang w:val="es-MX"/>
            </w:rPr>
          </w:pPr>
          <w:r w:rsidRPr="00E152D8">
            <w:rPr>
              <w:rFonts w:eastAsia="Calibri" w:cs="Tahoma"/>
              <w:b/>
              <w:lang w:val="es-MX"/>
            </w:rPr>
            <w:t>Recurso de Revisión:</w:t>
          </w:r>
        </w:p>
      </w:tc>
      <w:tc>
        <w:tcPr>
          <w:tcW w:w="3612" w:type="dxa"/>
        </w:tcPr>
        <w:p w:rsidRPr="001B2D84" w:rsidR="00EE1572" w:rsidP="00EE1572" w:rsidRDefault="003D2E44" w14:paraId="1039F15B" w14:textId="003521BD">
          <w:pPr>
            <w:tabs>
              <w:tab w:val="right" w:pos="8838"/>
            </w:tabs>
            <w:ind w:left="-28" w:right="-32"/>
            <w:rPr>
              <w:rFonts w:eastAsia="Calibri" w:cs="Tahoma"/>
            </w:rPr>
          </w:pPr>
          <w:r>
            <w:rPr>
              <w:rFonts w:eastAsia="Calibri" w:cs="Tahoma"/>
            </w:rPr>
            <w:t>0</w:t>
          </w:r>
          <w:r w:rsidR="001A749B">
            <w:rPr>
              <w:rFonts w:eastAsia="Calibri" w:cs="Tahoma"/>
            </w:rPr>
            <w:t>5391</w:t>
          </w:r>
          <w:r w:rsidRPr="001824A7" w:rsidR="001824A7">
            <w:rPr>
              <w:rFonts w:eastAsia="Calibri" w:cs="Tahoma"/>
            </w:rPr>
            <w:t>/INFOEM/IP/RR/2021</w:t>
          </w:r>
          <w:r w:rsidR="00C74F34">
            <w:rPr>
              <w:rFonts w:eastAsia="Calibri" w:cs="Tahoma"/>
            </w:rPr>
            <w:t xml:space="preserve"> </w:t>
          </w:r>
          <w:r w:rsidR="00DC7F06">
            <w:rPr>
              <w:rFonts w:eastAsia="Calibri" w:cs="Tahoma"/>
            </w:rPr>
            <w:t xml:space="preserve"> </w:t>
          </w:r>
        </w:p>
      </w:tc>
    </w:tr>
    <w:tr w:rsidRPr="00E152D8" w:rsidR="00EE1572" w:rsidTr="00607ABE" w14:paraId="53B61CF1" w14:textId="77777777">
      <w:trPr>
        <w:trHeight w:val="261"/>
      </w:trPr>
      <w:tc>
        <w:tcPr>
          <w:tcW w:w="2691" w:type="dxa"/>
        </w:tcPr>
        <w:p w:rsidRPr="00E152D8" w:rsidR="00EE1572" w:rsidP="00EE1572" w:rsidRDefault="00543BFE" w14:paraId="2E88DFF6"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612" w:type="dxa"/>
        </w:tcPr>
        <w:p w:rsidRPr="00EE1572" w:rsidR="00EE1572" w:rsidP="001824A7" w:rsidRDefault="003D2E44" w14:paraId="5404B58F" w14:textId="3C90F9BF">
          <w:pPr>
            <w:tabs>
              <w:tab w:val="right" w:pos="8838"/>
            </w:tabs>
            <w:ind w:right="-32"/>
            <w:rPr>
              <w:rFonts w:eastAsia="Calibri" w:cs="Tahoma"/>
              <w:lang w:val="es-MX"/>
            </w:rPr>
          </w:pPr>
          <w:r>
            <w:rPr>
              <w:rFonts w:eastAsia="Calibri" w:cs="Tahoma"/>
            </w:rPr>
            <w:t>Instituto de Seguridad Social del Estado de México y Municipios</w:t>
          </w:r>
        </w:p>
      </w:tc>
    </w:tr>
    <w:tr w:rsidRPr="00E152D8" w:rsidR="00EE1572" w:rsidTr="00607ABE" w14:paraId="5D477E17" w14:textId="77777777">
      <w:trPr>
        <w:trHeight w:val="261"/>
      </w:trPr>
      <w:tc>
        <w:tcPr>
          <w:tcW w:w="2691" w:type="dxa"/>
        </w:tcPr>
        <w:p w:rsidRPr="00E152D8" w:rsidR="00EE1572" w:rsidP="00EE1572" w:rsidRDefault="00543BFE" w14:paraId="0C813C45" w14:textId="77777777">
          <w:pPr>
            <w:tabs>
              <w:tab w:val="right" w:pos="8838"/>
            </w:tabs>
            <w:ind w:right="-105"/>
            <w:rPr>
              <w:rFonts w:eastAsia="Calibri" w:cs="Tahoma"/>
              <w:b/>
              <w:lang w:val="es-MX"/>
            </w:rPr>
          </w:pPr>
          <w:r w:rsidRPr="00E152D8">
            <w:rPr>
              <w:rFonts w:eastAsia="Calibri" w:cs="Tahoma"/>
              <w:b/>
              <w:lang w:val="es-MX"/>
            </w:rPr>
            <w:t>Comisionado Ponente:</w:t>
          </w:r>
        </w:p>
      </w:tc>
      <w:tc>
        <w:tcPr>
          <w:tcW w:w="3612" w:type="dxa"/>
        </w:tcPr>
        <w:p w:rsidRPr="00E152D8" w:rsidR="00EE1572" w:rsidP="00EE1572" w:rsidRDefault="00543BFE" w14:paraId="54F1DA10" w14:textId="77777777">
          <w:pPr>
            <w:tabs>
              <w:tab w:val="right" w:pos="8838"/>
            </w:tabs>
            <w:ind w:right="-32"/>
            <w:rPr>
              <w:rFonts w:eastAsia="Calibri" w:cs="Tahoma"/>
              <w:b/>
              <w:lang w:val="es-MX"/>
            </w:rPr>
          </w:pPr>
          <w:r w:rsidRPr="00E152D8">
            <w:rPr>
              <w:rFonts w:eastAsia="Calibri" w:cs="Tahoma"/>
              <w:lang w:val="es-MX"/>
            </w:rPr>
            <w:t>Luis Gustavo Parra Noriega</w:t>
          </w:r>
        </w:p>
      </w:tc>
    </w:tr>
  </w:tbl>
  <w:p w:rsidR="00EE1572" w:rsidP="00EE1572" w:rsidRDefault="0069067F" w14:paraId="1ABD0FE0" w14:textId="77777777">
    <w:pPr>
      <w:pStyle w:val="Encabezado"/>
    </w:pPr>
    <w:r>
      <w:rPr>
        <w:noProof/>
      </w:rPr>
      <w:pict w14:anchorId="65CAD88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1" style="position:absolute;left:0;text-align:left;margin-left:0;margin-top:0;width:663.5pt;height:12in;z-index:-251655168;mso-position-horizontal:center;mso-position-horizontal-relative:margin;mso-position-vertical:center;mso-position-vertical-relative:margin" o:spid="_x0000_s1027"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30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612"/>
    </w:tblGrid>
    <w:tr w:rsidRPr="00E152D8" w:rsidR="00EE1572" w:rsidTr="0EE438C3" w14:paraId="0BD29662" w14:textId="77777777">
      <w:trPr>
        <w:trHeight w:val="132"/>
        <w:jc w:val="right"/>
      </w:trPr>
      <w:tc>
        <w:tcPr>
          <w:tcW w:w="2691" w:type="dxa"/>
          <w:tcMar/>
        </w:tcPr>
        <w:p w:rsidRPr="00E152D8" w:rsidR="00EE1572" w:rsidP="00EE1572" w:rsidRDefault="00543BFE" w14:paraId="72E08E91" w14:textId="77777777">
          <w:pPr>
            <w:tabs>
              <w:tab w:val="right" w:pos="8838"/>
            </w:tabs>
            <w:ind w:right="-105"/>
            <w:rPr>
              <w:rFonts w:eastAsia="Calibri" w:cs="Tahoma"/>
              <w:b/>
              <w:lang w:val="es-MX"/>
            </w:rPr>
          </w:pPr>
          <w:r w:rsidRPr="00E152D8">
            <w:rPr>
              <w:rFonts w:eastAsia="Calibri" w:cs="Tahoma"/>
              <w:b/>
              <w:lang w:val="es-MX"/>
            </w:rPr>
            <w:t>Recurso de Revisión:</w:t>
          </w:r>
        </w:p>
      </w:tc>
      <w:tc>
        <w:tcPr>
          <w:tcW w:w="3612" w:type="dxa"/>
          <w:tcMar/>
        </w:tcPr>
        <w:p w:rsidRPr="001B2D84" w:rsidR="00EE1572" w:rsidP="00A95E22" w:rsidRDefault="00000123" w14:paraId="2BCA52AE" w14:textId="694D8372">
          <w:pPr>
            <w:tabs>
              <w:tab w:val="right" w:pos="8838"/>
            </w:tabs>
            <w:ind w:left="-28" w:right="-32"/>
            <w:rPr>
              <w:rFonts w:eastAsia="Calibri" w:cs="Tahoma"/>
            </w:rPr>
          </w:pPr>
          <w:r>
            <w:rPr>
              <w:rFonts w:eastAsia="Calibri" w:cs="Tahoma"/>
            </w:rPr>
            <w:t>05391</w:t>
          </w:r>
          <w:r w:rsidRPr="001824A7" w:rsidR="001824A7">
            <w:rPr>
              <w:rFonts w:eastAsia="Calibri" w:cs="Tahoma"/>
            </w:rPr>
            <w:t>/INFOEM/IP/RR/2021</w:t>
          </w:r>
        </w:p>
      </w:tc>
    </w:tr>
    <w:tr w:rsidRPr="00E152D8" w:rsidR="00EE1572" w:rsidTr="0EE438C3" w14:paraId="0E0B5E74" w14:textId="77777777">
      <w:trPr>
        <w:trHeight w:val="132"/>
        <w:jc w:val="right"/>
      </w:trPr>
      <w:tc>
        <w:tcPr>
          <w:tcW w:w="2691" w:type="dxa"/>
          <w:tcMar/>
        </w:tcPr>
        <w:p w:rsidRPr="00E152D8" w:rsidR="00EE1572" w:rsidP="00EE1572" w:rsidRDefault="00543BFE" w14:paraId="28DFF7C8" w14:textId="77777777">
          <w:pPr>
            <w:tabs>
              <w:tab w:val="right" w:pos="8838"/>
            </w:tabs>
            <w:ind w:right="-105"/>
            <w:rPr>
              <w:rFonts w:eastAsia="Calibri" w:cs="Tahoma"/>
              <w:b/>
              <w:lang w:val="es-MX"/>
            </w:rPr>
          </w:pPr>
          <w:r w:rsidRPr="00E152D8">
            <w:rPr>
              <w:rFonts w:eastAsia="Calibri" w:cs="Tahoma"/>
              <w:b/>
              <w:lang w:val="es-MX"/>
            </w:rPr>
            <w:t>Recurrente:</w:t>
          </w:r>
        </w:p>
      </w:tc>
      <w:tc>
        <w:tcPr>
          <w:tcW w:w="3612" w:type="dxa"/>
          <w:tcMar/>
        </w:tcPr>
        <w:p w:rsidRPr="00090F0D" w:rsidR="00EE1572" w:rsidP="0EE438C3" w:rsidRDefault="00A336FF" w14:paraId="333186C1" w14:textId="03A37B63">
          <w:pPr>
            <w:pStyle w:val="Normal"/>
            <w:tabs>
              <w:tab w:val="right" w:leader="none" w:pos="8838"/>
            </w:tabs>
            <w:bidi w:val="0"/>
            <w:spacing w:before="0" w:beforeAutospacing="off" w:after="0" w:afterAutospacing="off" w:line="259" w:lineRule="auto"/>
            <w:ind w:left="-28" w:right="-32"/>
            <w:jc w:val="both"/>
            <w:rPr>
              <w:rFonts w:ascii="Palatino Linotype" w:hAnsi="Palatino Linotype" w:eastAsia="Calibri" w:cs=""/>
              <w:color w:val="000000" w:themeColor="text1" w:themeTint="FF" w:themeShade="FF"/>
              <w:highlight w:val="black"/>
            </w:rPr>
          </w:pPr>
          <w:r w:rsidRPr="0EE438C3" w:rsidR="0EE438C3">
            <w:rPr>
              <w:rFonts w:eastAsia="Calibri" w:cs="Tahoma"/>
              <w:highlight w:val="black"/>
            </w:rPr>
            <w:t>XXXXXXXXXXXXXXXXXXXXXXXXXXXXXX</w:t>
          </w:r>
        </w:p>
      </w:tc>
    </w:tr>
    <w:tr w:rsidRPr="00E152D8" w:rsidR="00EE1572" w:rsidTr="0EE438C3" w14:paraId="5E8B352C" w14:textId="77777777">
      <w:trPr>
        <w:trHeight w:val="261"/>
        <w:jc w:val="right"/>
      </w:trPr>
      <w:tc>
        <w:tcPr>
          <w:tcW w:w="2691" w:type="dxa"/>
          <w:tcMar/>
        </w:tcPr>
        <w:p w:rsidRPr="00E152D8" w:rsidR="00EE1572" w:rsidP="00EE1572" w:rsidRDefault="00543BFE" w14:paraId="65332E6D"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612" w:type="dxa"/>
          <w:tcMar/>
        </w:tcPr>
        <w:p w:rsidRPr="00090F0D" w:rsidR="00EE1572" w:rsidP="00090F0D" w:rsidRDefault="003D2E44" w14:paraId="778904D4" w14:textId="2226215E">
          <w:pPr>
            <w:tabs>
              <w:tab w:val="right" w:pos="8838"/>
            </w:tabs>
            <w:ind w:left="-28" w:right="-32"/>
            <w:rPr>
              <w:rFonts w:eastAsia="Calibri" w:cs="Tahoma"/>
            </w:rPr>
          </w:pPr>
          <w:r>
            <w:rPr>
              <w:rFonts w:eastAsia="Calibri" w:cs="Tahoma"/>
            </w:rPr>
            <w:t>Instituto de Seguridad Social del Estado de México y Municipios</w:t>
          </w:r>
        </w:p>
      </w:tc>
    </w:tr>
    <w:tr w:rsidRPr="00E152D8" w:rsidR="00EE1572" w:rsidTr="0EE438C3" w14:paraId="78EE98A2" w14:textId="77777777">
      <w:trPr>
        <w:trHeight w:val="261"/>
        <w:jc w:val="right"/>
      </w:trPr>
      <w:tc>
        <w:tcPr>
          <w:tcW w:w="2691" w:type="dxa"/>
          <w:tcMar/>
        </w:tcPr>
        <w:p w:rsidRPr="00E152D8" w:rsidR="00EE1572" w:rsidP="00EE1572" w:rsidRDefault="00543BFE" w14:paraId="1D83B214" w14:textId="77777777">
          <w:pPr>
            <w:tabs>
              <w:tab w:val="right" w:pos="8838"/>
            </w:tabs>
            <w:ind w:right="-105"/>
            <w:rPr>
              <w:rFonts w:eastAsia="Calibri" w:cs="Tahoma"/>
              <w:b/>
              <w:lang w:val="es-MX"/>
            </w:rPr>
          </w:pPr>
          <w:r w:rsidRPr="00E152D8">
            <w:rPr>
              <w:rFonts w:eastAsia="Calibri" w:cs="Tahoma"/>
              <w:b/>
              <w:lang w:val="es-MX"/>
            </w:rPr>
            <w:t>Comisionado Ponente:</w:t>
          </w:r>
        </w:p>
      </w:tc>
      <w:tc>
        <w:tcPr>
          <w:tcW w:w="3612" w:type="dxa"/>
          <w:tcMar/>
        </w:tcPr>
        <w:p w:rsidRPr="00E152D8" w:rsidR="00EE1572" w:rsidP="00EE1572" w:rsidRDefault="00543BFE" w14:paraId="60535B9E" w14:textId="77777777">
          <w:pPr>
            <w:tabs>
              <w:tab w:val="right" w:pos="8838"/>
            </w:tabs>
            <w:ind w:right="-32"/>
            <w:rPr>
              <w:rFonts w:eastAsia="Calibri" w:cs="Tahoma"/>
              <w:b/>
              <w:lang w:val="es-MX"/>
            </w:rPr>
          </w:pPr>
          <w:r w:rsidRPr="00E152D8">
            <w:rPr>
              <w:rFonts w:eastAsia="Calibri" w:cs="Tahoma"/>
              <w:lang w:val="es-MX"/>
            </w:rPr>
            <w:t>Luis Gustavo Parra Noriega</w:t>
          </w:r>
        </w:p>
      </w:tc>
    </w:tr>
  </w:tbl>
  <w:p w:rsidR="00EE1572" w:rsidRDefault="0069067F" w14:paraId="74626FB1" w14:textId="77777777">
    <w:pPr>
      <w:pStyle w:val="Encabezado"/>
    </w:pPr>
    <w:r>
      <w:rPr>
        <w:noProof/>
      </w:rPr>
      <w:pict w14:anchorId="31E0840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59" style="position:absolute;left:0;text-align:left;margin-left:0;margin-top:0;width:663.5pt;height:12in;z-index:-251657216;mso-position-horizontal:center;mso-position-horizontal-relative:margin;mso-position-vertical:center;mso-position-vertical-relative:margin" o:spid="_x0000_s1025"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7098D"/>
    <w:multiLevelType w:val="hybridMultilevel"/>
    <w:tmpl w:val="61FC9840"/>
    <w:lvl w:ilvl="0" w:tplc="7D48AE1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5373C71"/>
    <w:multiLevelType w:val="hybridMultilevel"/>
    <w:tmpl w:val="61FC9840"/>
    <w:lvl w:ilvl="0" w:tplc="7D48AE1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7F43AE6"/>
    <w:multiLevelType w:val="hybridMultilevel"/>
    <w:tmpl w:val="809C4464"/>
    <w:lvl w:ilvl="0" w:tplc="080A0013">
      <w:start w:val="1"/>
      <w:numFmt w:val="upperRoman"/>
      <w:lvlText w:val="%1."/>
      <w:lvlJc w:val="right"/>
      <w:pPr>
        <w:ind w:left="1620" w:hanging="360"/>
      </w:pPr>
    </w:lvl>
    <w:lvl w:ilvl="1" w:tplc="080A0019" w:tentative="1">
      <w:start w:val="1"/>
      <w:numFmt w:val="lowerLetter"/>
      <w:lvlText w:val="%2."/>
      <w:lvlJc w:val="left"/>
      <w:pPr>
        <w:ind w:left="2340" w:hanging="360"/>
      </w:pPr>
    </w:lvl>
    <w:lvl w:ilvl="2" w:tplc="080A001B" w:tentative="1">
      <w:start w:val="1"/>
      <w:numFmt w:val="lowerRoman"/>
      <w:lvlText w:val="%3."/>
      <w:lvlJc w:val="right"/>
      <w:pPr>
        <w:ind w:left="3060" w:hanging="180"/>
      </w:pPr>
    </w:lvl>
    <w:lvl w:ilvl="3" w:tplc="080A000F" w:tentative="1">
      <w:start w:val="1"/>
      <w:numFmt w:val="decimal"/>
      <w:lvlText w:val="%4."/>
      <w:lvlJc w:val="left"/>
      <w:pPr>
        <w:ind w:left="3780" w:hanging="360"/>
      </w:pPr>
    </w:lvl>
    <w:lvl w:ilvl="4" w:tplc="080A0019" w:tentative="1">
      <w:start w:val="1"/>
      <w:numFmt w:val="lowerLetter"/>
      <w:lvlText w:val="%5."/>
      <w:lvlJc w:val="left"/>
      <w:pPr>
        <w:ind w:left="4500" w:hanging="360"/>
      </w:pPr>
    </w:lvl>
    <w:lvl w:ilvl="5" w:tplc="080A001B" w:tentative="1">
      <w:start w:val="1"/>
      <w:numFmt w:val="lowerRoman"/>
      <w:lvlText w:val="%6."/>
      <w:lvlJc w:val="right"/>
      <w:pPr>
        <w:ind w:left="5220" w:hanging="180"/>
      </w:pPr>
    </w:lvl>
    <w:lvl w:ilvl="6" w:tplc="080A000F" w:tentative="1">
      <w:start w:val="1"/>
      <w:numFmt w:val="decimal"/>
      <w:lvlText w:val="%7."/>
      <w:lvlJc w:val="left"/>
      <w:pPr>
        <w:ind w:left="5940" w:hanging="360"/>
      </w:pPr>
    </w:lvl>
    <w:lvl w:ilvl="7" w:tplc="080A0019" w:tentative="1">
      <w:start w:val="1"/>
      <w:numFmt w:val="lowerLetter"/>
      <w:lvlText w:val="%8."/>
      <w:lvlJc w:val="left"/>
      <w:pPr>
        <w:ind w:left="6660" w:hanging="360"/>
      </w:pPr>
    </w:lvl>
    <w:lvl w:ilvl="8" w:tplc="080A001B" w:tentative="1">
      <w:start w:val="1"/>
      <w:numFmt w:val="lowerRoman"/>
      <w:lvlText w:val="%9."/>
      <w:lvlJc w:val="right"/>
      <w:pPr>
        <w:ind w:left="7380" w:hanging="180"/>
      </w:pPr>
    </w:lvl>
  </w:abstractNum>
  <w:abstractNum w:abstractNumId="3" w15:restartNumberingAfterBreak="0">
    <w:nsid w:val="0A2C63E0"/>
    <w:multiLevelType w:val="hybridMultilevel"/>
    <w:tmpl w:val="289066F4"/>
    <w:lvl w:ilvl="0" w:tplc="080A0001">
      <w:start w:val="1"/>
      <w:numFmt w:val="bullet"/>
      <w:lvlText w:val=""/>
      <w:lvlJc w:val="left"/>
      <w:pPr>
        <w:ind w:left="1620" w:hanging="360"/>
      </w:pPr>
      <w:rPr>
        <w:rFonts w:hint="default" w:ascii="Symbol" w:hAnsi="Symbol"/>
      </w:rPr>
    </w:lvl>
    <w:lvl w:ilvl="1" w:tplc="080A0003" w:tentative="1">
      <w:start w:val="1"/>
      <w:numFmt w:val="bullet"/>
      <w:lvlText w:val="o"/>
      <w:lvlJc w:val="left"/>
      <w:pPr>
        <w:ind w:left="2340" w:hanging="360"/>
      </w:pPr>
      <w:rPr>
        <w:rFonts w:hint="default" w:ascii="Courier New" w:hAnsi="Courier New" w:cs="Courier New"/>
      </w:rPr>
    </w:lvl>
    <w:lvl w:ilvl="2" w:tplc="080A0005" w:tentative="1">
      <w:start w:val="1"/>
      <w:numFmt w:val="bullet"/>
      <w:lvlText w:val=""/>
      <w:lvlJc w:val="left"/>
      <w:pPr>
        <w:ind w:left="3060" w:hanging="360"/>
      </w:pPr>
      <w:rPr>
        <w:rFonts w:hint="default" w:ascii="Wingdings" w:hAnsi="Wingdings"/>
      </w:rPr>
    </w:lvl>
    <w:lvl w:ilvl="3" w:tplc="080A0001" w:tentative="1">
      <w:start w:val="1"/>
      <w:numFmt w:val="bullet"/>
      <w:lvlText w:val=""/>
      <w:lvlJc w:val="left"/>
      <w:pPr>
        <w:ind w:left="3780" w:hanging="360"/>
      </w:pPr>
      <w:rPr>
        <w:rFonts w:hint="default" w:ascii="Symbol" w:hAnsi="Symbol"/>
      </w:rPr>
    </w:lvl>
    <w:lvl w:ilvl="4" w:tplc="080A0003" w:tentative="1">
      <w:start w:val="1"/>
      <w:numFmt w:val="bullet"/>
      <w:lvlText w:val="o"/>
      <w:lvlJc w:val="left"/>
      <w:pPr>
        <w:ind w:left="4500" w:hanging="360"/>
      </w:pPr>
      <w:rPr>
        <w:rFonts w:hint="default" w:ascii="Courier New" w:hAnsi="Courier New" w:cs="Courier New"/>
      </w:rPr>
    </w:lvl>
    <w:lvl w:ilvl="5" w:tplc="080A0005" w:tentative="1">
      <w:start w:val="1"/>
      <w:numFmt w:val="bullet"/>
      <w:lvlText w:val=""/>
      <w:lvlJc w:val="left"/>
      <w:pPr>
        <w:ind w:left="5220" w:hanging="360"/>
      </w:pPr>
      <w:rPr>
        <w:rFonts w:hint="default" w:ascii="Wingdings" w:hAnsi="Wingdings"/>
      </w:rPr>
    </w:lvl>
    <w:lvl w:ilvl="6" w:tplc="080A0001" w:tentative="1">
      <w:start w:val="1"/>
      <w:numFmt w:val="bullet"/>
      <w:lvlText w:val=""/>
      <w:lvlJc w:val="left"/>
      <w:pPr>
        <w:ind w:left="5940" w:hanging="360"/>
      </w:pPr>
      <w:rPr>
        <w:rFonts w:hint="default" w:ascii="Symbol" w:hAnsi="Symbol"/>
      </w:rPr>
    </w:lvl>
    <w:lvl w:ilvl="7" w:tplc="080A0003" w:tentative="1">
      <w:start w:val="1"/>
      <w:numFmt w:val="bullet"/>
      <w:lvlText w:val="o"/>
      <w:lvlJc w:val="left"/>
      <w:pPr>
        <w:ind w:left="6660" w:hanging="360"/>
      </w:pPr>
      <w:rPr>
        <w:rFonts w:hint="default" w:ascii="Courier New" w:hAnsi="Courier New" w:cs="Courier New"/>
      </w:rPr>
    </w:lvl>
    <w:lvl w:ilvl="8" w:tplc="080A0005" w:tentative="1">
      <w:start w:val="1"/>
      <w:numFmt w:val="bullet"/>
      <w:lvlText w:val=""/>
      <w:lvlJc w:val="left"/>
      <w:pPr>
        <w:ind w:left="7380" w:hanging="360"/>
      </w:pPr>
      <w:rPr>
        <w:rFonts w:hint="default" w:ascii="Wingdings" w:hAnsi="Wingdings"/>
      </w:rPr>
    </w:lvl>
  </w:abstractNum>
  <w:abstractNum w:abstractNumId="4" w15:restartNumberingAfterBreak="0">
    <w:nsid w:val="13E60BBA"/>
    <w:multiLevelType w:val="hybridMultilevel"/>
    <w:tmpl w:val="1E480336"/>
    <w:lvl w:ilvl="0" w:tplc="080A0001">
      <w:start w:val="1"/>
      <w:numFmt w:val="bullet"/>
      <w:lvlText w:val=""/>
      <w:lvlJc w:val="left"/>
      <w:pPr>
        <w:ind w:left="1440" w:hanging="360"/>
      </w:pPr>
      <w:rPr>
        <w:rFonts w:hint="default" w:ascii="Symbol" w:hAnsi="Symbol"/>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5" w15:restartNumberingAfterBreak="0">
    <w:nsid w:val="15A10788"/>
    <w:multiLevelType w:val="hybridMultilevel"/>
    <w:tmpl w:val="3494581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1BBE6D5B"/>
    <w:multiLevelType w:val="hybridMultilevel"/>
    <w:tmpl w:val="B3FC7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54E6958"/>
    <w:multiLevelType w:val="hybridMultilevel"/>
    <w:tmpl w:val="D40EAE30"/>
    <w:lvl w:ilvl="0" w:tplc="080A000F">
      <w:start w:val="1"/>
      <w:numFmt w:val="decimal"/>
      <w:lvlText w:val="%1."/>
      <w:lvlJc w:val="left"/>
      <w:pPr>
        <w:ind w:left="720" w:hanging="360"/>
      </w:pPr>
      <w:rPr>
        <w:rFonts w:hint="default"/>
      </w:rPr>
    </w:lvl>
    <w:lvl w:ilvl="1" w:tplc="D9BC835C">
      <w:start w:val="1"/>
      <w:numFmt w:val="lowerLetter"/>
      <w:lvlText w:val="%2."/>
      <w:lvlJc w:val="left"/>
      <w:pPr>
        <w:ind w:left="1440" w:hanging="360"/>
      </w:pPr>
      <w:rPr>
        <w:i w:val="0"/>
        <w:iCs w:val="0"/>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669567B"/>
    <w:multiLevelType w:val="hybridMultilevel"/>
    <w:tmpl w:val="61FC9840"/>
    <w:lvl w:ilvl="0" w:tplc="7D48AE1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0" w15:restartNumberingAfterBreak="0">
    <w:nsid w:val="2F0C0E69"/>
    <w:multiLevelType w:val="hybridMultilevel"/>
    <w:tmpl w:val="FD8C755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330B5A41"/>
    <w:multiLevelType w:val="hybridMultilevel"/>
    <w:tmpl w:val="D40EAE30"/>
    <w:lvl w:ilvl="0" w:tplc="080A000F">
      <w:start w:val="1"/>
      <w:numFmt w:val="decimal"/>
      <w:lvlText w:val="%1."/>
      <w:lvlJc w:val="left"/>
      <w:pPr>
        <w:ind w:left="720" w:hanging="360"/>
      </w:pPr>
      <w:rPr>
        <w:rFonts w:hint="default"/>
      </w:rPr>
    </w:lvl>
    <w:lvl w:ilvl="1" w:tplc="D9BC835C">
      <w:start w:val="1"/>
      <w:numFmt w:val="lowerLetter"/>
      <w:lvlText w:val="%2."/>
      <w:lvlJc w:val="left"/>
      <w:pPr>
        <w:ind w:left="1440" w:hanging="360"/>
      </w:pPr>
      <w:rPr>
        <w:i w:val="0"/>
        <w:iCs w:val="0"/>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D4D6648"/>
    <w:multiLevelType w:val="hybridMultilevel"/>
    <w:tmpl w:val="E6A272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3585919"/>
    <w:multiLevelType w:val="hybridMultilevel"/>
    <w:tmpl w:val="D968F21A"/>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49102BB0"/>
    <w:multiLevelType w:val="hybridMultilevel"/>
    <w:tmpl w:val="5D96B070"/>
    <w:lvl w:ilvl="0" w:tplc="5A0E3D9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A3505AB"/>
    <w:multiLevelType w:val="hybridMultilevel"/>
    <w:tmpl w:val="E74ABEA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4D322C7C"/>
    <w:multiLevelType w:val="hybridMultilevel"/>
    <w:tmpl w:val="7BDC0C5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4F301F26"/>
    <w:multiLevelType w:val="hybridMultilevel"/>
    <w:tmpl w:val="D40EAE30"/>
    <w:lvl w:ilvl="0" w:tplc="080A000F">
      <w:start w:val="1"/>
      <w:numFmt w:val="decimal"/>
      <w:lvlText w:val="%1."/>
      <w:lvlJc w:val="left"/>
      <w:pPr>
        <w:ind w:left="720" w:hanging="360"/>
      </w:pPr>
      <w:rPr>
        <w:rFonts w:hint="default"/>
      </w:rPr>
    </w:lvl>
    <w:lvl w:ilvl="1" w:tplc="D9BC835C">
      <w:start w:val="1"/>
      <w:numFmt w:val="lowerLetter"/>
      <w:lvlText w:val="%2."/>
      <w:lvlJc w:val="left"/>
      <w:pPr>
        <w:ind w:left="1440" w:hanging="360"/>
      </w:pPr>
      <w:rPr>
        <w:i w:val="0"/>
        <w:iCs w:val="0"/>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28D1FDD"/>
    <w:multiLevelType w:val="hybridMultilevel"/>
    <w:tmpl w:val="32EE4D1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543E14A2"/>
    <w:multiLevelType w:val="hybridMultilevel"/>
    <w:tmpl w:val="D40EAE30"/>
    <w:lvl w:ilvl="0" w:tplc="080A000F">
      <w:start w:val="1"/>
      <w:numFmt w:val="decimal"/>
      <w:lvlText w:val="%1."/>
      <w:lvlJc w:val="left"/>
      <w:pPr>
        <w:ind w:left="720" w:hanging="360"/>
      </w:pPr>
      <w:rPr>
        <w:rFonts w:hint="default"/>
      </w:rPr>
    </w:lvl>
    <w:lvl w:ilvl="1" w:tplc="D9BC835C">
      <w:start w:val="1"/>
      <w:numFmt w:val="lowerLetter"/>
      <w:lvlText w:val="%2."/>
      <w:lvlJc w:val="left"/>
      <w:pPr>
        <w:ind w:left="1440" w:hanging="360"/>
      </w:pPr>
      <w:rPr>
        <w:i w:val="0"/>
        <w:iCs w:val="0"/>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70B054F"/>
    <w:multiLevelType w:val="hybridMultilevel"/>
    <w:tmpl w:val="5FA81168"/>
    <w:lvl w:ilvl="0" w:tplc="572A65D6">
      <w:start w:val="1"/>
      <w:numFmt w:val="lowerRoman"/>
      <w:lvlText w:val="%1)"/>
      <w:lvlJc w:val="left"/>
      <w:pPr>
        <w:ind w:left="1620" w:hanging="720"/>
      </w:pPr>
      <w:rPr>
        <w:rFonts w:hint="default"/>
      </w:rPr>
    </w:lvl>
    <w:lvl w:ilvl="1" w:tplc="080A0019" w:tentative="1">
      <w:start w:val="1"/>
      <w:numFmt w:val="lowerLetter"/>
      <w:lvlText w:val="%2."/>
      <w:lvlJc w:val="left"/>
      <w:pPr>
        <w:ind w:left="1980" w:hanging="360"/>
      </w:pPr>
    </w:lvl>
    <w:lvl w:ilvl="2" w:tplc="080A001B" w:tentative="1">
      <w:start w:val="1"/>
      <w:numFmt w:val="lowerRoman"/>
      <w:lvlText w:val="%3."/>
      <w:lvlJc w:val="right"/>
      <w:pPr>
        <w:ind w:left="2700" w:hanging="180"/>
      </w:pPr>
    </w:lvl>
    <w:lvl w:ilvl="3" w:tplc="080A000F" w:tentative="1">
      <w:start w:val="1"/>
      <w:numFmt w:val="decimal"/>
      <w:lvlText w:val="%4."/>
      <w:lvlJc w:val="left"/>
      <w:pPr>
        <w:ind w:left="3420" w:hanging="360"/>
      </w:pPr>
    </w:lvl>
    <w:lvl w:ilvl="4" w:tplc="080A0019" w:tentative="1">
      <w:start w:val="1"/>
      <w:numFmt w:val="lowerLetter"/>
      <w:lvlText w:val="%5."/>
      <w:lvlJc w:val="left"/>
      <w:pPr>
        <w:ind w:left="4140" w:hanging="360"/>
      </w:pPr>
    </w:lvl>
    <w:lvl w:ilvl="5" w:tplc="080A001B" w:tentative="1">
      <w:start w:val="1"/>
      <w:numFmt w:val="lowerRoman"/>
      <w:lvlText w:val="%6."/>
      <w:lvlJc w:val="right"/>
      <w:pPr>
        <w:ind w:left="4860" w:hanging="180"/>
      </w:pPr>
    </w:lvl>
    <w:lvl w:ilvl="6" w:tplc="080A000F" w:tentative="1">
      <w:start w:val="1"/>
      <w:numFmt w:val="decimal"/>
      <w:lvlText w:val="%7."/>
      <w:lvlJc w:val="left"/>
      <w:pPr>
        <w:ind w:left="5580" w:hanging="360"/>
      </w:pPr>
    </w:lvl>
    <w:lvl w:ilvl="7" w:tplc="080A0019" w:tentative="1">
      <w:start w:val="1"/>
      <w:numFmt w:val="lowerLetter"/>
      <w:lvlText w:val="%8."/>
      <w:lvlJc w:val="left"/>
      <w:pPr>
        <w:ind w:left="6300" w:hanging="360"/>
      </w:pPr>
    </w:lvl>
    <w:lvl w:ilvl="8" w:tplc="080A001B" w:tentative="1">
      <w:start w:val="1"/>
      <w:numFmt w:val="lowerRoman"/>
      <w:lvlText w:val="%9."/>
      <w:lvlJc w:val="right"/>
      <w:pPr>
        <w:ind w:left="7020" w:hanging="180"/>
      </w:pPr>
    </w:lvl>
  </w:abstractNum>
  <w:abstractNum w:abstractNumId="21" w15:restartNumberingAfterBreak="0">
    <w:nsid w:val="5C945CAB"/>
    <w:multiLevelType w:val="hybridMultilevel"/>
    <w:tmpl w:val="61FC9840"/>
    <w:lvl w:ilvl="0" w:tplc="7D48AE1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5D3E6FCE"/>
    <w:multiLevelType w:val="hybridMultilevel"/>
    <w:tmpl w:val="D40EAE30"/>
    <w:lvl w:ilvl="0" w:tplc="080A000F">
      <w:start w:val="1"/>
      <w:numFmt w:val="decimal"/>
      <w:lvlText w:val="%1."/>
      <w:lvlJc w:val="left"/>
      <w:pPr>
        <w:ind w:left="720" w:hanging="360"/>
      </w:pPr>
      <w:rPr>
        <w:rFonts w:hint="default"/>
      </w:rPr>
    </w:lvl>
    <w:lvl w:ilvl="1" w:tplc="D9BC835C">
      <w:start w:val="1"/>
      <w:numFmt w:val="lowerLetter"/>
      <w:lvlText w:val="%2."/>
      <w:lvlJc w:val="left"/>
      <w:pPr>
        <w:ind w:left="1440" w:hanging="360"/>
      </w:pPr>
      <w:rPr>
        <w:i w:val="0"/>
        <w:iCs w:val="0"/>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EDA1503"/>
    <w:multiLevelType w:val="multilevel"/>
    <w:tmpl w:val="709C87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5EEB2D9F"/>
    <w:multiLevelType w:val="hybridMultilevel"/>
    <w:tmpl w:val="36223A9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34403D8"/>
    <w:multiLevelType w:val="hybridMultilevel"/>
    <w:tmpl w:val="F77CDFE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6" w15:restartNumberingAfterBreak="0">
    <w:nsid w:val="6EC13FFF"/>
    <w:multiLevelType w:val="hybridMultilevel"/>
    <w:tmpl w:val="A18C0E90"/>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8" w15:restartNumberingAfterBreak="0">
    <w:nsid w:val="75E81F30"/>
    <w:multiLevelType w:val="hybridMultilevel"/>
    <w:tmpl w:val="102CCDDA"/>
    <w:lvl w:ilvl="0" w:tplc="00E6CDB4">
      <w:numFmt w:val="bullet"/>
      <w:lvlText w:val="-"/>
      <w:lvlJc w:val="left"/>
      <w:pPr>
        <w:ind w:left="720" w:hanging="360"/>
      </w:pPr>
      <w:rPr>
        <w:rFonts w:hint="default" w:ascii="Palatino Linotype" w:hAnsi="Palatino Linotype" w:cs="Tahoma" w:eastAsiaTheme="minorHAnsi"/>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9" w15:restartNumberingAfterBreak="0">
    <w:nsid w:val="76F6069A"/>
    <w:multiLevelType w:val="hybridMultilevel"/>
    <w:tmpl w:val="E92CDE72"/>
    <w:lvl w:ilvl="0" w:tplc="080A0001">
      <w:start w:val="1"/>
      <w:numFmt w:val="bullet"/>
      <w:lvlText w:val=""/>
      <w:lvlJc w:val="left"/>
      <w:pPr>
        <w:ind w:left="1080" w:hanging="360"/>
      </w:pPr>
      <w:rPr>
        <w:rFonts w:hint="default" w:ascii="Symbol" w:hAnsi="Symbol"/>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77CF236D"/>
    <w:multiLevelType w:val="hybridMultilevel"/>
    <w:tmpl w:val="D40EAE30"/>
    <w:lvl w:ilvl="0" w:tplc="080A000F">
      <w:start w:val="1"/>
      <w:numFmt w:val="decimal"/>
      <w:lvlText w:val="%1."/>
      <w:lvlJc w:val="left"/>
      <w:pPr>
        <w:ind w:left="720" w:hanging="360"/>
      </w:pPr>
      <w:rPr>
        <w:rFonts w:hint="default"/>
      </w:rPr>
    </w:lvl>
    <w:lvl w:ilvl="1" w:tplc="D9BC835C">
      <w:start w:val="1"/>
      <w:numFmt w:val="lowerLetter"/>
      <w:lvlText w:val="%2."/>
      <w:lvlJc w:val="left"/>
      <w:pPr>
        <w:ind w:left="1440" w:hanging="360"/>
      </w:pPr>
      <w:rPr>
        <w:i w:val="0"/>
        <w:iCs w:val="0"/>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8B6299F"/>
    <w:multiLevelType w:val="hybridMultilevel"/>
    <w:tmpl w:val="113C735C"/>
    <w:lvl w:ilvl="0" w:tplc="AF8AF2D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15:restartNumberingAfterBreak="0">
    <w:nsid w:val="79870316"/>
    <w:multiLevelType w:val="hybridMultilevel"/>
    <w:tmpl w:val="61FC9840"/>
    <w:lvl w:ilvl="0" w:tplc="7D48AE1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5"/>
  </w:num>
  <w:num w:numId="2">
    <w:abstractNumId w:val="18"/>
  </w:num>
  <w:num w:numId="3">
    <w:abstractNumId w:val="9"/>
  </w:num>
  <w:num w:numId="4">
    <w:abstractNumId w:val="27"/>
  </w:num>
  <w:num w:numId="5">
    <w:abstractNumId w:val="22"/>
  </w:num>
  <w:num w:numId="6">
    <w:abstractNumId w:val="7"/>
  </w:num>
  <w:num w:numId="7">
    <w:abstractNumId w:val="11"/>
  </w:num>
  <w:num w:numId="8">
    <w:abstractNumId w:val="12"/>
  </w:num>
  <w:num w:numId="9">
    <w:abstractNumId w:val="6"/>
  </w:num>
  <w:num w:numId="10">
    <w:abstractNumId w:val="26"/>
  </w:num>
  <w:num w:numId="11">
    <w:abstractNumId w:val="17"/>
  </w:num>
  <w:num w:numId="12">
    <w:abstractNumId w:val="30"/>
  </w:num>
  <w:num w:numId="13">
    <w:abstractNumId w:val="25"/>
  </w:num>
  <w:num w:numId="14">
    <w:abstractNumId w:val="19"/>
  </w:num>
  <w:num w:numId="15">
    <w:abstractNumId w:val="5"/>
  </w:num>
  <w:num w:numId="16">
    <w:abstractNumId w:val="23"/>
  </w:num>
  <w:num w:numId="17">
    <w:abstractNumId w:val="8"/>
  </w:num>
  <w:num w:numId="18">
    <w:abstractNumId w:val="31"/>
  </w:num>
  <w:num w:numId="19">
    <w:abstractNumId w:val="14"/>
  </w:num>
  <w:num w:numId="20">
    <w:abstractNumId w:val="1"/>
  </w:num>
  <w:num w:numId="21">
    <w:abstractNumId w:val="32"/>
  </w:num>
  <w:num w:numId="22">
    <w:abstractNumId w:val="0"/>
  </w:num>
  <w:num w:numId="23">
    <w:abstractNumId w:val="21"/>
  </w:num>
  <w:num w:numId="24">
    <w:abstractNumId w:val="29"/>
  </w:num>
  <w:num w:numId="25">
    <w:abstractNumId w:val="20"/>
  </w:num>
  <w:num w:numId="26">
    <w:abstractNumId w:val="3"/>
  </w:num>
  <w:num w:numId="27">
    <w:abstractNumId w:val="2"/>
  </w:num>
  <w:num w:numId="28">
    <w:abstractNumId w:val="24"/>
  </w:num>
  <w:num w:numId="29">
    <w:abstractNumId w:val="16"/>
  </w:num>
  <w:num w:numId="30">
    <w:abstractNumId w:val="28"/>
  </w:num>
  <w:num w:numId="31">
    <w:abstractNumId w:val="13"/>
  </w:num>
  <w:num w:numId="32">
    <w:abstractNumId w:val="4"/>
  </w:num>
  <w:num w:numId="33">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D84"/>
    <w:rsid w:val="00000123"/>
    <w:rsid w:val="000337C1"/>
    <w:rsid w:val="000374F7"/>
    <w:rsid w:val="00042F15"/>
    <w:rsid w:val="000475E4"/>
    <w:rsid w:val="000513C2"/>
    <w:rsid w:val="00053816"/>
    <w:rsid w:val="000632C6"/>
    <w:rsid w:val="00082216"/>
    <w:rsid w:val="000875A2"/>
    <w:rsid w:val="00090F0D"/>
    <w:rsid w:val="00092060"/>
    <w:rsid w:val="000B17AF"/>
    <w:rsid w:val="000B25F8"/>
    <w:rsid w:val="000B6333"/>
    <w:rsid w:val="000B66EE"/>
    <w:rsid w:val="000C5D52"/>
    <w:rsid w:val="000C6B10"/>
    <w:rsid w:val="000C71DE"/>
    <w:rsid w:val="000D1CAD"/>
    <w:rsid w:val="000D2FA9"/>
    <w:rsid w:val="000D370C"/>
    <w:rsid w:val="000E4CFD"/>
    <w:rsid w:val="000E6867"/>
    <w:rsid w:val="000F2BF0"/>
    <w:rsid w:val="000F463F"/>
    <w:rsid w:val="00106B0A"/>
    <w:rsid w:val="00113DC2"/>
    <w:rsid w:val="0011479F"/>
    <w:rsid w:val="00120D5A"/>
    <w:rsid w:val="00122CBE"/>
    <w:rsid w:val="0012491B"/>
    <w:rsid w:val="00125B9E"/>
    <w:rsid w:val="00126618"/>
    <w:rsid w:val="001275EE"/>
    <w:rsid w:val="00130962"/>
    <w:rsid w:val="00131FCF"/>
    <w:rsid w:val="00133318"/>
    <w:rsid w:val="00141D34"/>
    <w:rsid w:val="00146F1B"/>
    <w:rsid w:val="00147A5F"/>
    <w:rsid w:val="00147D00"/>
    <w:rsid w:val="00154275"/>
    <w:rsid w:val="00163F1B"/>
    <w:rsid w:val="00164C8D"/>
    <w:rsid w:val="00173683"/>
    <w:rsid w:val="00173A55"/>
    <w:rsid w:val="001750CB"/>
    <w:rsid w:val="00180994"/>
    <w:rsid w:val="001824A7"/>
    <w:rsid w:val="00183785"/>
    <w:rsid w:val="00186B12"/>
    <w:rsid w:val="00190E2F"/>
    <w:rsid w:val="0019208A"/>
    <w:rsid w:val="00194D60"/>
    <w:rsid w:val="001A082C"/>
    <w:rsid w:val="001A1D65"/>
    <w:rsid w:val="001A749B"/>
    <w:rsid w:val="001B1755"/>
    <w:rsid w:val="001B2D84"/>
    <w:rsid w:val="001C2E14"/>
    <w:rsid w:val="001C7387"/>
    <w:rsid w:val="001D4664"/>
    <w:rsid w:val="001E51B5"/>
    <w:rsid w:val="001F0AFA"/>
    <w:rsid w:val="001F2D21"/>
    <w:rsid w:val="001F3654"/>
    <w:rsid w:val="00207D6E"/>
    <w:rsid w:val="0021072B"/>
    <w:rsid w:val="00210734"/>
    <w:rsid w:val="00210EC8"/>
    <w:rsid w:val="00217092"/>
    <w:rsid w:val="00220D11"/>
    <w:rsid w:val="002213C5"/>
    <w:rsid w:val="002344B0"/>
    <w:rsid w:val="0024036E"/>
    <w:rsid w:val="002408E0"/>
    <w:rsid w:val="00242211"/>
    <w:rsid w:val="00247C74"/>
    <w:rsid w:val="00251BD0"/>
    <w:rsid w:val="00257276"/>
    <w:rsid w:val="00257840"/>
    <w:rsid w:val="002631F8"/>
    <w:rsid w:val="00264B75"/>
    <w:rsid w:val="0026677C"/>
    <w:rsid w:val="00266E72"/>
    <w:rsid w:val="002812EE"/>
    <w:rsid w:val="002839BA"/>
    <w:rsid w:val="00284FE4"/>
    <w:rsid w:val="00293C87"/>
    <w:rsid w:val="00295AA7"/>
    <w:rsid w:val="002A0A43"/>
    <w:rsid w:val="002B6F82"/>
    <w:rsid w:val="002C60E6"/>
    <w:rsid w:val="002C7185"/>
    <w:rsid w:val="002F23FB"/>
    <w:rsid w:val="0030116F"/>
    <w:rsid w:val="0030429F"/>
    <w:rsid w:val="00304914"/>
    <w:rsid w:val="00304BFE"/>
    <w:rsid w:val="00307A6F"/>
    <w:rsid w:val="00316E36"/>
    <w:rsid w:val="00326D51"/>
    <w:rsid w:val="003309A4"/>
    <w:rsid w:val="00332BE6"/>
    <w:rsid w:val="00333D75"/>
    <w:rsid w:val="0033784F"/>
    <w:rsid w:val="0034155D"/>
    <w:rsid w:val="00345A52"/>
    <w:rsid w:val="00353EAA"/>
    <w:rsid w:val="0036284F"/>
    <w:rsid w:val="00375098"/>
    <w:rsid w:val="00381E9D"/>
    <w:rsid w:val="00392722"/>
    <w:rsid w:val="003931B0"/>
    <w:rsid w:val="003A0D3B"/>
    <w:rsid w:val="003A0DB6"/>
    <w:rsid w:val="003A12B0"/>
    <w:rsid w:val="003A5BA1"/>
    <w:rsid w:val="003C57FF"/>
    <w:rsid w:val="003C7E73"/>
    <w:rsid w:val="003D2ACC"/>
    <w:rsid w:val="003D2E44"/>
    <w:rsid w:val="003D4413"/>
    <w:rsid w:val="003D5B55"/>
    <w:rsid w:val="003D5CF7"/>
    <w:rsid w:val="003E36F2"/>
    <w:rsid w:val="003E7CD7"/>
    <w:rsid w:val="003F0427"/>
    <w:rsid w:val="00402043"/>
    <w:rsid w:val="00410FBD"/>
    <w:rsid w:val="00411EAA"/>
    <w:rsid w:val="0042008E"/>
    <w:rsid w:val="004207DF"/>
    <w:rsid w:val="00423ADB"/>
    <w:rsid w:val="004247E6"/>
    <w:rsid w:val="00440B3A"/>
    <w:rsid w:val="004517A9"/>
    <w:rsid w:val="004577EE"/>
    <w:rsid w:val="00460E74"/>
    <w:rsid w:val="004612EB"/>
    <w:rsid w:val="00464B57"/>
    <w:rsid w:val="00464C33"/>
    <w:rsid w:val="004655BE"/>
    <w:rsid w:val="00470C48"/>
    <w:rsid w:val="00471DAF"/>
    <w:rsid w:val="004733AB"/>
    <w:rsid w:val="0048744E"/>
    <w:rsid w:val="00490D9A"/>
    <w:rsid w:val="004A1A0A"/>
    <w:rsid w:val="004A3814"/>
    <w:rsid w:val="004B3796"/>
    <w:rsid w:val="004C0C3B"/>
    <w:rsid w:val="004E1EE2"/>
    <w:rsid w:val="004F7C6C"/>
    <w:rsid w:val="00500291"/>
    <w:rsid w:val="00523FC8"/>
    <w:rsid w:val="005334E9"/>
    <w:rsid w:val="00543BFE"/>
    <w:rsid w:val="005479BF"/>
    <w:rsid w:val="005506C6"/>
    <w:rsid w:val="00565192"/>
    <w:rsid w:val="00566A5C"/>
    <w:rsid w:val="00570EC5"/>
    <w:rsid w:val="00575870"/>
    <w:rsid w:val="0058500E"/>
    <w:rsid w:val="00592747"/>
    <w:rsid w:val="005965F9"/>
    <w:rsid w:val="005A0324"/>
    <w:rsid w:val="005A20F5"/>
    <w:rsid w:val="005B3971"/>
    <w:rsid w:val="005B5657"/>
    <w:rsid w:val="005C1065"/>
    <w:rsid w:val="005C4B5C"/>
    <w:rsid w:val="005D218B"/>
    <w:rsid w:val="005D531A"/>
    <w:rsid w:val="005D6B1A"/>
    <w:rsid w:val="005E2840"/>
    <w:rsid w:val="005E5F3D"/>
    <w:rsid w:val="005F4EB4"/>
    <w:rsid w:val="00622EF5"/>
    <w:rsid w:val="006257FB"/>
    <w:rsid w:val="00630DB0"/>
    <w:rsid w:val="00637689"/>
    <w:rsid w:val="00643ACC"/>
    <w:rsid w:val="00654571"/>
    <w:rsid w:val="0065504F"/>
    <w:rsid w:val="006551FB"/>
    <w:rsid w:val="00666996"/>
    <w:rsid w:val="006765E4"/>
    <w:rsid w:val="0068389D"/>
    <w:rsid w:val="00684CBE"/>
    <w:rsid w:val="0069067F"/>
    <w:rsid w:val="00691D8C"/>
    <w:rsid w:val="00694283"/>
    <w:rsid w:val="006B1D25"/>
    <w:rsid w:val="006C4B43"/>
    <w:rsid w:val="006D40E5"/>
    <w:rsid w:val="006E76BD"/>
    <w:rsid w:val="006F0FAC"/>
    <w:rsid w:val="006F3D2E"/>
    <w:rsid w:val="006F4427"/>
    <w:rsid w:val="00706E4C"/>
    <w:rsid w:val="00723195"/>
    <w:rsid w:val="00731C92"/>
    <w:rsid w:val="00741F66"/>
    <w:rsid w:val="00743145"/>
    <w:rsid w:val="00750130"/>
    <w:rsid w:val="007572CF"/>
    <w:rsid w:val="00760043"/>
    <w:rsid w:val="007610C0"/>
    <w:rsid w:val="00771197"/>
    <w:rsid w:val="00790DA4"/>
    <w:rsid w:val="0079256F"/>
    <w:rsid w:val="007A68DF"/>
    <w:rsid w:val="007B5A84"/>
    <w:rsid w:val="007B6F2C"/>
    <w:rsid w:val="007D4462"/>
    <w:rsid w:val="007D4FAF"/>
    <w:rsid w:val="007D5CA7"/>
    <w:rsid w:val="007D5FA4"/>
    <w:rsid w:val="007E2A14"/>
    <w:rsid w:val="007F09B2"/>
    <w:rsid w:val="00804097"/>
    <w:rsid w:val="00804BA2"/>
    <w:rsid w:val="0081648B"/>
    <w:rsid w:val="00824B32"/>
    <w:rsid w:val="00825100"/>
    <w:rsid w:val="00830A7E"/>
    <w:rsid w:val="00831B95"/>
    <w:rsid w:val="0083325C"/>
    <w:rsid w:val="00840336"/>
    <w:rsid w:val="00843451"/>
    <w:rsid w:val="00843AF3"/>
    <w:rsid w:val="008462BE"/>
    <w:rsid w:val="008505E0"/>
    <w:rsid w:val="00873D08"/>
    <w:rsid w:val="00881A9E"/>
    <w:rsid w:val="008847E6"/>
    <w:rsid w:val="008907E3"/>
    <w:rsid w:val="008964F6"/>
    <w:rsid w:val="008965AA"/>
    <w:rsid w:val="008A2CD0"/>
    <w:rsid w:val="008E30E0"/>
    <w:rsid w:val="008E3ABB"/>
    <w:rsid w:val="008F314F"/>
    <w:rsid w:val="008F5555"/>
    <w:rsid w:val="008F5693"/>
    <w:rsid w:val="00903A55"/>
    <w:rsid w:val="009125EF"/>
    <w:rsid w:val="009148C6"/>
    <w:rsid w:val="00915977"/>
    <w:rsid w:val="00920B22"/>
    <w:rsid w:val="00922CCC"/>
    <w:rsid w:val="00925B1D"/>
    <w:rsid w:val="0093405F"/>
    <w:rsid w:val="00945023"/>
    <w:rsid w:val="009472D8"/>
    <w:rsid w:val="0094776A"/>
    <w:rsid w:val="009477C6"/>
    <w:rsid w:val="009531B5"/>
    <w:rsid w:val="00957066"/>
    <w:rsid w:val="009574B6"/>
    <w:rsid w:val="00957633"/>
    <w:rsid w:val="00962B24"/>
    <w:rsid w:val="0097288E"/>
    <w:rsid w:val="0097442B"/>
    <w:rsid w:val="00977CAA"/>
    <w:rsid w:val="00980F5A"/>
    <w:rsid w:val="0098248C"/>
    <w:rsid w:val="00982551"/>
    <w:rsid w:val="00993482"/>
    <w:rsid w:val="00994F14"/>
    <w:rsid w:val="00996A2D"/>
    <w:rsid w:val="009A0AC9"/>
    <w:rsid w:val="009B2454"/>
    <w:rsid w:val="009B6CF6"/>
    <w:rsid w:val="009C0F46"/>
    <w:rsid w:val="009C6775"/>
    <w:rsid w:val="009D4AF4"/>
    <w:rsid w:val="009D7016"/>
    <w:rsid w:val="009E59A1"/>
    <w:rsid w:val="009E78E3"/>
    <w:rsid w:val="009F7E29"/>
    <w:rsid w:val="00A0163A"/>
    <w:rsid w:val="00A022E3"/>
    <w:rsid w:val="00A1132A"/>
    <w:rsid w:val="00A115D3"/>
    <w:rsid w:val="00A13CEA"/>
    <w:rsid w:val="00A25954"/>
    <w:rsid w:val="00A27801"/>
    <w:rsid w:val="00A336FF"/>
    <w:rsid w:val="00A37B8B"/>
    <w:rsid w:val="00A42C3A"/>
    <w:rsid w:val="00A452C5"/>
    <w:rsid w:val="00A65665"/>
    <w:rsid w:val="00A67339"/>
    <w:rsid w:val="00A700CF"/>
    <w:rsid w:val="00A7101A"/>
    <w:rsid w:val="00A7418B"/>
    <w:rsid w:val="00A84463"/>
    <w:rsid w:val="00A92ECB"/>
    <w:rsid w:val="00A95E22"/>
    <w:rsid w:val="00AA521A"/>
    <w:rsid w:val="00AA6242"/>
    <w:rsid w:val="00AB583F"/>
    <w:rsid w:val="00AB76DC"/>
    <w:rsid w:val="00AC4221"/>
    <w:rsid w:val="00AD5A38"/>
    <w:rsid w:val="00AE3209"/>
    <w:rsid w:val="00AF5944"/>
    <w:rsid w:val="00AF6A55"/>
    <w:rsid w:val="00AF779E"/>
    <w:rsid w:val="00B04AC9"/>
    <w:rsid w:val="00B13C61"/>
    <w:rsid w:val="00B14350"/>
    <w:rsid w:val="00B224C6"/>
    <w:rsid w:val="00B242B8"/>
    <w:rsid w:val="00B24F7A"/>
    <w:rsid w:val="00B27274"/>
    <w:rsid w:val="00B32547"/>
    <w:rsid w:val="00B441B5"/>
    <w:rsid w:val="00B54B7D"/>
    <w:rsid w:val="00B60957"/>
    <w:rsid w:val="00B64887"/>
    <w:rsid w:val="00B679E2"/>
    <w:rsid w:val="00BA3541"/>
    <w:rsid w:val="00BB20E5"/>
    <w:rsid w:val="00BC31DF"/>
    <w:rsid w:val="00BC3A33"/>
    <w:rsid w:val="00BC4722"/>
    <w:rsid w:val="00BD1B96"/>
    <w:rsid w:val="00BE2975"/>
    <w:rsid w:val="00BE6DF4"/>
    <w:rsid w:val="00BF6838"/>
    <w:rsid w:val="00BF7A43"/>
    <w:rsid w:val="00C07BA8"/>
    <w:rsid w:val="00C12670"/>
    <w:rsid w:val="00C176A4"/>
    <w:rsid w:val="00C2256C"/>
    <w:rsid w:val="00C32B06"/>
    <w:rsid w:val="00C37A04"/>
    <w:rsid w:val="00C46826"/>
    <w:rsid w:val="00C61DC8"/>
    <w:rsid w:val="00C648E0"/>
    <w:rsid w:val="00C653A0"/>
    <w:rsid w:val="00C714BF"/>
    <w:rsid w:val="00C74F34"/>
    <w:rsid w:val="00C84D54"/>
    <w:rsid w:val="00C904F0"/>
    <w:rsid w:val="00C96DF9"/>
    <w:rsid w:val="00CA2667"/>
    <w:rsid w:val="00CA664C"/>
    <w:rsid w:val="00CA6E0E"/>
    <w:rsid w:val="00CC0CE6"/>
    <w:rsid w:val="00CD7826"/>
    <w:rsid w:val="00CE471B"/>
    <w:rsid w:val="00D04A89"/>
    <w:rsid w:val="00D10A76"/>
    <w:rsid w:val="00D1415A"/>
    <w:rsid w:val="00D206D2"/>
    <w:rsid w:val="00D3346D"/>
    <w:rsid w:val="00D400F6"/>
    <w:rsid w:val="00D51763"/>
    <w:rsid w:val="00D602D5"/>
    <w:rsid w:val="00D616EA"/>
    <w:rsid w:val="00D63DD1"/>
    <w:rsid w:val="00D66609"/>
    <w:rsid w:val="00D75399"/>
    <w:rsid w:val="00D816C8"/>
    <w:rsid w:val="00D83EAE"/>
    <w:rsid w:val="00D912A9"/>
    <w:rsid w:val="00DA0406"/>
    <w:rsid w:val="00DB218A"/>
    <w:rsid w:val="00DB3A39"/>
    <w:rsid w:val="00DB496C"/>
    <w:rsid w:val="00DB5BFB"/>
    <w:rsid w:val="00DB6430"/>
    <w:rsid w:val="00DC19BC"/>
    <w:rsid w:val="00DC4677"/>
    <w:rsid w:val="00DC5969"/>
    <w:rsid w:val="00DC7F06"/>
    <w:rsid w:val="00DD0CAB"/>
    <w:rsid w:val="00DD7BD9"/>
    <w:rsid w:val="00DE2531"/>
    <w:rsid w:val="00DF0CED"/>
    <w:rsid w:val="00DF7AB7"/>
    <w:rsid w:val="00E008DD"/>
    <w:rsid w:val="00E0097B"/>
    <w:rsid w:val="00E04852"/>
    <w:rsid w:val="00E12985"/>
    <w:rsid w:val="00E31E4B"/>
    <w:rsid w:val="00E33420"/>
    <w:rsid w:val="00E37E09"/>
    <w:rsid w:val="00E41057"/>
    <w:rsid w:val="00E455A5"/>
    <w:rsid w:val="00E61571"/>
    <w:rsid w:val="00E827E4"/>
    <w:rsid w:val="00E8701D"/>
    <w:rsid w:val="00E93095"/>
    <w:rsid w:val="00E94249"/>
    <w:rsid w:val="00EA5410"/>
    <w:rsid w:val="00EA6A9A"/>
    <w:rsid w:val="00EB6BC7"/>
    <w:rsid w:val="00EB7E12"/>
    <w:rsid w:val="00EC03E5"/>
    <w:rsid w:val="00ED1461"/>
    <w:rsid w:val="00ED1BFD"/>
    <w:rsid w:val="00ED4B2A"/>
    <w:rsid w:val="00ED519D"/>
    <w:rsid w:val="00EE36A8"/>
    <w:rsid w:val="00EF0673"/>
    <w:rsid w:val="00F00F7D"/>
    <w:rsid w:val="00F0128B"/>
    <w:rsid w:val="00F03B61"/>
    <w:rsid w:val="00F057EE"/>
    <w:rsid w:val="00F05A33"/>
    <w:rsid w:val="00F101A2"/>
    <w:rsid w:val="00F13054"/>
    <w:rsid w:val="00F149C0"/>
    <w:rsid w:val="00F15167"/>
    <w:rsid w:val="00F236F5"/>
    <w:rsid w:val="00F25344"/>
    <w:rsid w:val="00F36DFC"/>
    <w:rsid w:val="00F4057F"/>
    <w:rsid w:val="00F419CE"/>
    <w:rsid w:val="00F47020"/>
    <w:rsid w:val="00F52438"/>
    <w:rsid w:val="00F52FA1"/>
    <w:rsid w:val="00F6172D"/>
    <w:rsid w:val="00F6247A"/>
    <w:rsid w:val="00F65EC2"/>
    <w:rsid w:val="00F72100"/>
    <w:rsid w:val="00F77DAD"/>
    <w:rsid w:val="00F80E3B"/>
    <w:rsid w:val="00F83AAF"/>
    <w:rsid w:val="00F84784"/>
    <w:rsid w:val="00F85B6E"/>
    <w:rsid w:val="00F86903"/>
    <w:rsid w:val="00F87890"/>
    <w:rsid w:val="00F968A6"/>
    <w:rsid w:val="00FA19C3"/>
    <w:rsid w:val="00FA1A85"/>
    <w:rsid w:val="00FA4A5F"/>
    <w:rsid w:val="00FB460B"/>
    <w:rsid w:val="00FC0F35"/>
    <w:rsid w:val="00FC763C"/>
    <w:rsid w:val="00FE1B17"/>
    <w:rsid w:val="00FF36EA"/>
    <w:rsid w:val="00FF7819"/>
    <w:rsid w:val="00FF7D77"/>
    <w:rsid w:val="0EE438C3"/>
    <w:rsid w:val="6A41D1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7E9FD"/>
  <w15:chartTrackingRefBased/>
  <w15:docId w15:val="{99FEAD54-37FA-4700-8A7A-9987A8EF3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B2D84"/>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1B2D84"/>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B2D84"/>
    <w:rPr>
      <w:rFonts w:ascii="Palatino Linotype" w:hAnsi="Palatino Linotype"/>
      <w:color w:val="000000" w:themeColor="text1"/>
    </w:rPr>
  </w:style>
  <w:style w:type="paragraph" w:styleId="Piedepgina">
    <w:name w:val="footer"/>
    <w:basedOn w:val="Normal"/>
    <w:link w:val="PiedepginaCar"/>
    <w:uiPriority w:val="99"/>
    <w:unhideWhenUsed/>
    <w:rsid w:val="001B2D84"/>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B2D84"/>
    <w:rPr>
      <w:rFonts w:ascii="Palatino Linotype" w:hAnsi="Palatino Linotype"/>
      <w:color w:val="000000" w:themeColor="text1"/>
    </w:rPr>
  </w:style>
  <w:style w:type="table" w:styleId="Tablaconcuadrcula">
    <w:name w:val="Table Grid"/>
    <w:basedOn w:val="Tablanormal"/>
    <w:uiPriority w:val="39"/>
    <w:rsid w:val="001B2D84"/>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1B2D84"/>
    <w:pPr>
      <w:ind w:left="720"/>
      <w:contextualSpacing/>
    </w:pPr>
  </w:style>
  <w:style w:type="character" w:styleId="Hipervnculo">
    <w:name w:val="Hyperlink"/>
    <w:basedOn w:val="Fuentedeprrafopredeter"/>
    <w:uiPriority w:val="99"/>
    <w:unhideWhenUsed/>
    <w:rsid w:val="00637689"/>
    <w:rPr>
      <w:color w:val="0563C1" w:themeColor="hyperlink"/>
      <w:u w:val="single"/>
    </w:rPr>
  </w:style>
  <w:style w:type="character" w:styleId="UnresolvedMention1" w:customStyle="1">
    <w:name w:val="Unresolved Mention1"/>
    <w:basedOn w:val="Fuentedeprrafopredeter"/>
    <w:uiPriority w:val="99"/>
    <w:semiHidden/>
    <w:unhideWhenUsed/>
    <w:rsid w:val="00637689"/>
    <w:rPr>
      <w:color w:val="605E5C"/>
      <w:shd w:val="clear" w:color="auto" w:fill="E1DFDD"/>
    </w:rPr>
  </w:style>
  <w:style w:type="paragraph" w:styleId="NormalWeb">
    <w:name w:val="Normal (Web)"/>
    <w:basedOn w:val="Normal"/>
    <w:uiPriority w:val="99"/>
    <w:semiHidden/>
    <w:unhideWhenUsed/>
    <w:rsid w:val="00F65EC2"/>
    <w:rPr>
      <w:rFonts w:ascii="Times New Roman" w:hAnsi="Times New Roman" w:cs="Times New Roman"/>
      <w:sz w:val="24"/>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1"/>
    <w:qFormat/>
    <w:locked/>
    <w:rsid w:val="006551FB"/>
    <w:rPr>
      <w:rFonts w:ascii="Palatino Linotype" w:hAnsi="Palatino Linotype"/>
      <w:color w:val="000000" w:themeColor="text1"/>
    </w:rPr>
  </w:style>
  <w:style w:type="character" w:styleId="Mencinsinresolver">
    <w:name w:val="Unresolved Mention"/>
    <w:basedOn w:val="Fuentedeprrafopredeter"/>
    <w:uiPriority w:val="99"/>
    <w:semiHidden/>
    <w:unhideWhenUsed/>
    <w:rsid w:val="000F2BF0"/>
    <w:rPr>
      <w:color w:val="605E5C"/>
      <w:shd w:val="clear" w:color="auto" w:fill="E1DFDD"/>
    </w:rPr>
  </w:style>
  <w:style w:type="paragraph" w:styleId="x-scope" w:customStyle="1">
    <w:name w:val="x-scope"/>
    <w:basedOn w:val="Normal"/>
    <w:rsid w:val="00180994"/>
    <w:pPr>
      <w:spacing w:before="100" w:beforeAutospacing="1" w:after="100" w:afterAutospacing="1" w:line="240" w:lineRule="auto"/>
      <w:jc w:val="left"/>
    </w:pPr>
    <w:rPr>
      <w:rFonts w:ascii="Times New Roman" w:hAnsi="Times New Roman" w:eastAsia="Times New Roman" w:cs="Times New Roman"/>
      <w:color w:val="auto"/>
      <w:sz w:val="24"/>
      <w:szCs w:val="24"/>
      <w:lang w:eastAsia="es-MX"/>
    </w:rPr>
  </w:style>
  <w:style w:type="character" w:styleId="qowt-font6-palatinolinotype" w:customStyle="1">
    <w:name w:val="qowt-font6-palatinolinotype"/>
    <w:basedOn w:val="Fuentedeprrafopredeter"/>
    <w:rsid w:val="00180994"/>
  </w:style>
  <w:style w:type="paragraph" w:styleId="Default" w:customStyle="1">
    <w:name w:val="Default"/>
    <w:rsid w:val="0018099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18468">
      <w:bodyDiv w:val="1"/>
      <w:marLeft w:val="0"/>
      <w:marRight w:val="0"/>
      <w:marTop w:val="0"/>
      <w:marBottom w:val="0"/>
      <w:divBdr>
        <w:top w:val="none" w:sz="0" w:space="0" w:color="auto"/>
        <w:left w:val="none" w:sz="0" w:space="0" w:color="auto"/>
        <w:bottom w:val="none" w:sz="0" w:space="0" w:color="auto"/>
        <w:right w:val="none" w:sz="0" w:space="0" w:color="auto"/>
      </w:divBdr>
    </w:div>
    <w:div w:id="150297751">
      <w:bodyDiv w:val="1"/>
      <w:marLeft w:val="0"/>
      <w:marRight w:val="0"/>
      <w:marTop w:val="0"/>
      <w:marBottom w:val="0"/>
      <w:divBdr>
        <w:top w:val="none" w:sz="0" w:space="0" w:color="auto"/>
        <w:left w:val="none" w:sz="0" w:space="0" w:color="auto"/>
        <w:bottom w:val="none" w:sz="0" w:space="0" w:color="auto"/>
        <w:right w:val="none" w:sz="0" w:space="0" w:color="auto"/>
      </w:divBdr>
    </w:div>
    <w:div w:id="201212535">
      <w:bodyDiv w:val="1"/>
      <w:marLeft w:val="0"/>
      <w:marRight w:val="0"/>
      <w:marTop w:val="0"/>
      <w:marBottom w:val="0"/>
      <w:divBdr>
        <w:top w:val="none" w:sz="0" w:space="0" w:color="auto"/>
        <w:left w:val="none" w:sz="0" w:space="0" w:color="auto"/>
        <w:bottom w:val="none" w:sz="0" w:space="0" w:color="auto"/>
        <w:right w:val="none" w:sz="0" w:space="0" w:color="auto"/>
      </w:divBdr>
    </w:div>
    <w:div w:id="276261038">
      <w:bodyDiv w:val="1"/>
      <w:marLeft w:val="0"/>
      <w:marRight w:val="0"/>
      <w:marTop w:val="0"/>
      <w:marBottom w:val="0"/>
      <w:divBdr>
        <w:top w:val="none" w:sz="0" w:space="0" w:color="auto"/>
        <w:left w:val="none" w:sz="0" w:space="0" w:color="auto"/>
        <w:bottom w:val="none" w:sz="0" w:space="0" w:color="auto"/>
        <w:right w:val="none" w:sz="0" w:space="0" w:color="auto"/>
      </w:divBdr>
    </w:div>
    <w:div w:id="284429320">
      <w:bodyDiv w:val="1"/>
      <w:marLeft w:val="0"/>
      <w:marRight w:val="0"/>
      <w:marTop w:val="0"/>
      <w:marBottom w:val="0"/>
      <w:divBdr>
        <w:top w:val="none" w:sz="0" w:space="0" w:color="auto"/>
        <w:left w:val="none" w:sz="0" w:space="0" w:color="auto"/>
        <w:bottom w:val="none" w:sz="0" w:space="0" w:color="auto"/>
        <w:right w:val="none" w:sz="0" w:space="0" w:color="auto"/>
      </w:divBdr>
    </w:div>
    <w:div w:id="421532918">
      <w:bodyDiv w:val="1"/>
      <w:marLeft w:val="0"/>
      <w:marRight w:val="0"/>
      <w:marTop w:val="0"/>
      <w:marBottom w:val="0"/>
      <w:divBdr>
        <w:top w:val="none" w:sz="0" w:space="0" w:color="auto"/>
        <w:left w:val="none" w:sz="0" w:space="0" w:color="auto"/>
        <w:bottom w:val="none" w:sz="0" w:space="0" w:color="auto"/>
        <w:right w:val="none" w:sz="0" w:space="0" w:color="auto"/>
      </w:divBdr>
    </w:div>
    <w:div w:id="457839597">
      <w:bodyDiv w:val="1"/>
      <w:marLeft w:val="0"/>
      <w:marRight w:val="0"/>
      <w:marTop w:val="0"/>
      <w:marBottom w:val="0"/>
      <w:divBdr>
        <w:top w:val="none" w:sz="0" w:space="0" w:color="auto"/>
        <w:left w:val="none" w:sz="0" w:space="0" w:color="auto"/>
        <w:bottom w:val="none" w:sz="0" w:space="0" w:color="auto"/>
        <w:right w:val="none" w:sz="0" w:space="0" w:color="auto"/>
      </w:divBdr>
    </w:div>
    <w:div w:id="469710350">
      <w:bodyDiv w:val="1"/>
      <w:marLeft w:val="0"/>
      <w:marRight w:val="0"/>
      <w:marTop w:val="0"/>
      <w:marBottom w:val="0"/>
      <w:divBdr>
        <w:top w:val="none" w:sz="0" w:space="0" w:color="auto"/>
        <w:left w:val="none" w:sz="0" w:space="0" w:color="auto"/>
        <w:bottom w:val="none" w:sz="0" w:space="0" w:color="auto"/>
        <w:right w:val="none" w:sz="0" w:space="0" w:color="auto"/>
      </w:divBdr>
    </w:div>
    <w:div w:id="681126476">
      <w:bodyDiv w:val="1"/>
      <w:marLeft w:val="0"/>
      <w:marRight w:val="0"/>
      <w:marTop w:val="0"/>
      <w:marBottom w:val="0"/>
      <w:divBdr>
        <w:top w:val="none" w:sz="0" w:space="0" w:color="auto"/>
        <w:left w:val="none" w:sz="0" w:space="0" w:color="auto"/>
        <w:bottom w:val="none" w:sz="0" w:space="0" w:color="auto"/>
        <w:right w:val="none" w:sz="0" w:space="0" w:color="auto"/>
      </w:divBdr>
    </w:div>
    <w:div w:id="719208082">
      <w:bodyDiv w:val="1"/>
      <w:marLeft w:val="0"/>
      <w:marRight w:val="0"/>
      <w:marTop w:val="0"/>
      <w:marBottom w:val="0"/>
      <w:divBdr>
        <w:top w:val="none" w:sz="0" w:space="0" w:color="auto"/>
        <w:left w:val="none" w:sz="0" w:space="0" w:color="auto"/>
        <w:bottom w:val="none" w:sz="0" w:space="0" w:color="auto"/>
        <w:right w:val="none" w:sz="0" w:space="0" w:color="auto"/>
      </w:divBdr>
    </w:div>
    <w:div w:id="725570528">
      <w:bodyDiv w:val="1"/>
      <w:marLeft w:val="0"/>
      <w:marRight w:val="0"/>
      <w:marTop w:val="0"/>
      <w:marBottom w:val="0"/>
      <w:divBdr>
        <w:top w:val="none" w:sz="0" w:space="0" w:color="auto"/>
        <w:left w:val="none" w:sz="0" w:space="0" w:color="auto"/>
        <w:bottom w:val="none" w:sz="0" w:space="0" w:color="auto"/>
        <w:right w:val="none" w:sz="0" w:space="0" w:color="auto"/>
      </w:divBdr>
    </w:div>
    <w:div w:id="731998374">
      <w:bodyDiv w:val="1"/>
      <w:marLeft w:val="0"/>
      <w:marRight w:val="0"/>
      <w:marTop w:val="0"/>
      <w:marBottom w:val="0"/>
      <w:divBdr>
        <w:top w:val="none" w:sz="0" w:space="0" w:color="auto"/>
        <w:left w:val="none" w:sz="0" w:space="0" w:color="auto"/>
        <w:bottom w:val="none" w:sz="0" w:space="0" w:color="auto"/>
        <w:right w:val="none" w:sz="0" w:space="0" w:color="auto"/>
      </w:divBdr>
    </w:div>
    <w:div w:id="1111391153">
      <w:bodyDiv w:val="1"/>
      <w:marLeft w:val="0"/>
      <w:marRight w:val="0"/>
      <w:marTop w:val="0"/>
      <w:marBottom w:val="0"/>
      <w:divBdr>
        <w:top w:val="none" w:sz="0" w:space="0" w:color="auto"/>
        <w:left w:val="none" w:sz="0" w:space="0" w:color="auto"/>
        <w:bottom w:val="none" w:sz="0" w:space="0" w:color="auto"/>
        <w:right w:val="none" w:sz="0" w:space="0" w:color="auto"/>
      </w:divBdr>
    </w:div>
    <w:div w:id="1205487149">
      <w:bodyDiv w:val="1"/>
      <w:marLeft w:val="0"/>
      <w:marRight w:val="0"/>
      <w:marTop w:val="0"/>
      <w:marBottom w:val="0"/>
      <w:divBdr>
        <w:top w:val="none" w:sz="0" w:space="0" w:color="auto"/>
        <w:left w:val="none" w:sz="0" w:space="0" w:color="auto"/>
        <w:bottom w:val="none" w:sz="0" w:space="0" w:color="auto"/>
        <w:right w:val="none" w:sz="0" w:space="0" w:color="auto"/>
      </w:divBdr>
    </w:div>
    <w:div w:id="1412579021">
      <w:bodyDiv w:val="1"/>
      <w:marLeft w:val="0"/>
      <w:marRight w:val="0"/>
      <w:marTop w:val="0"/>
      <w:marBottom w:val="0"/>
      <w:divBdr>
        <w:top w:val="none" w:sz="0" w:space="0" w:color="auto"/>
        <w:left w:val="none" w:sz="0" w:space="0" w:color="auto"/>
        <w:bottom w:val="none" w:sz="0" w:space="0" w:color="auto"/>
        <w:right w:val="none" w:sz="0" w:space="0" w:color="auto"/>
      </w:divBdr>
    </w:div>
    <w:div w:id="1498963885">
      <w:bodyDiv w:val="1"/>
      <w:marLeft w:val="0"/>
      <w:marRight w:val="0"/>
      <w:marTop w:val="0"/>
      <w:marBottom w:val="0"/>
      <w:divBdr>
        <w:top w:val="none" w:sz="0" w:space="0" w:color="auto"/>
        <w:left w:val="none" w:sz="0" w:space="0" w:color="auto"/>
        <w:bottom w:val="none" w:sz="0" w:space="0" w:color="auto"/>
        <w:right w:val="none" w:sz="0" w:space="0" w:color="auto"/>
      </w:divBdr>
    </w:div>
    <w:div w:id="1598368359">
      <w:bodyDiv w:val="1"/>
      <w:marLeft w:val="0"/>
      <w:marRight w:val="0"/>
      <w:marTop w:val="0"/>
      <w:marBottom w:val="0"/>
      <w:divBdr>
        <w:top w:val="none" w:sz="0" w:space="0" w:color="auto"/>
        <w:left w:val="none" w:sz="0" w:space="0" w:color="auto"/>
        <w:bottom w:val="none" w:sz="0" w:space="0" w:color="auto"/>
        <w:right w:val="none" w:sz="0" w:space="0" w:color="auto"/>
      </w:divBdr>
    </w:div>
    <w:div w:id="1940596698">
      <w:bodyDiv w:val="1"/>
      <w:marLeft w:val="0"/>
      <w:marRight w:val="0"/>
      <w:marTop w:val="0"/>
      <w:marBottom w:val="0"/>
      <w:divBdr>
        <w:top w:val="none" w:sz="0" w:space="0" w:color="auto"/>
        <w:left w:val="none" w:sz="0" w:space="0" w:color="auto"/>
        <w:bottom w:val="none" w:sz="0" w:space="0" w:color="auto"/>
        <w:right w:val="none" w:sz="0" w:space="0" w:color="auto"/>
      </w:divBdr>
    </w:div>
    <w:div w:id="1975787638">
      <w:bodyDiv w:val="1"/>
      <w:marLeft w:val="0"/>
      <w:marRight w:val="0"/>
      <w:marTop w:val="0"/>
      <w:marBottom w:val="0"/>
      <w:divBdr>
        <w:top w:val="none" w:sz="0" w:space="0" w:color="auto"/>
        <w:left w:val="none" w:sz="0" w:space="0" w:color="auto"/>
        <w:bottom w:val="none" w:sz="0" w:space="0" w:color="auto"/>
        <w:right w:val="none" w:sz="0" w:space="0" w:color="auto"/>
      </w:divBdr>
    </w:div>
    <w:div w:id="1999461188">
      <w:bodyDiv w:val="1"/>
      <w:marLeft w:val="0"/>
      <w:marRight w:val="0"/>
      <w:marTop w:val="0"/>
      <w:marBottom w:val="0"/>
      <w:divBdr>
        <w:top w:val="none" w:sz="0" w:space="0" w:color="auto"/>
        <w:left w:val="none" w:sz="0" w:space="0" w:color="auto"/>
        <w:bottom w:val="none" w:sz="0" w:space="0" w:color="auto"/>
        <w:right w:val="none" w:sz="0" w:space="0" w:color="auto"/>
      </w:divBdr>
    </w:div>
    <w:div w:id="202659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glossaryDocument" Target="glossary/document.xml" Id="R8cedb872c2734a6f"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7399aa79-00fd-40f3-a0cf-d0190fae6b5c}"/>
      </w:docPartPr>
      <w:docPartBody>
        <w:p w14:paraId="0EE438C3">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17011-7AB4-47C6-8702-D04CBFB51AE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 medina hernandez</dc:creator>
  <keywords/>
  <dc:description/>
  <lastModifiedBy>Usuario invitado</lastModifiedBy>
  <revision>6</revision>
  <dcterms:created xsi:type="dcterms:W3CDTF">2022-01-20T23:23:00.0000000Z</dcterms:created>
  <dcterms:modified xsi:type="dcterms:W3CDTF">2022-02-23T18:19:22.9860206Z</dcterms:modified>
</coreProperties>
</file>