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DB405" w14:textId="77777777" w:rsidR="002A12A7" w:rsidRDefault="000047D5">
      <w:pPr>
        <w:spacing w:before="240" w:after="240" w:line="360" w:lineRule="auto"/>
        <w:jc w:val="both"/>
        <w:rPr>
          <w:rFonts w:ascii="Palatino Linotype" w:eastAsia="Palatino Linotype" w:hAnsi="Palatino Linotype" w:cs="Palatino Linotype"/>
          <w:b/>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seis de julio de dos mil veintidós</w:t>
      </w:r>
      <w:r>
        <w:rPr>
          <w:rFonts w:ascii="Palatino Linotype" w:eastAsia="Palatino Linotype" w:hAnsi="Palatino Linotype" w:cs="Palatino Linotype"/>
        </w:rPr>
        <w:t xml:space="preserve">. </w:t>
      </w:r>
    </w:p>
    <w:p w14:paraId="78DFF376"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04064/INFOEM/IP/RR/2022,</w:t>
      </w:r>
      <w:r>
        <w:rPr>
          <w:rFonts w:ascii="Palatino Linotype" w:eastAsia="Palatino Linotype" w:hAnsi="Palatino Linotype" w:cs="Palatino Linotype"/>
        </w:rPr>
        <w:t xml:space="preserve"> 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Organismo Descentralizado de Agua Potable Alcantarillado y Saneamiento de Nezahualcóyotl (ODAPAS),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28BF94B" w14:textId="77777777" w:rsidR="002A12A7" w:rsidRDefault="000047D5">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0EE77CCE"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dieciséis de febrero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rPr>
        <w:t xml:space="preserve"> 00018/OASNEZA/IP/2022, </w:t>
      </w:r>
      <w:r>
        <w:rPr>
          <w:rFonts w:ascii="Palatino Linotype" w:eastAsia="Palatino Linotype" w:hAnsi="Palatino Linotype" w:cs="Palatino Linotype"/>
        </w:rPr>
        <w:t xml:space="preserve">mediante la cual requirió la información siguiente: </w:t>
      </w:r>
    </w:p>
    <w:p w14:paraId="61AB940B"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w:t>
      </w:r>
      <w:r>
        <w:rPr>
          <w:rFonts w:ascii="Palatino Linotype" w:eastAsia="Palatino Linotype" w:hAnsi="Palatino Linotype" w:cs="Palatino Linotype"/>
          <w:b/>
          <w:i/>
          <w:color w:val="002060"/>
          <w:sz w:val="22"/>
          <w:szCs w:val="22"/>
        </w:rPr>
        <w:t>cada uno de los comprobantes bancarios de la dispersion de nomina que se entregan como parte del modulo 4 de los informes trimestrales al osfem, correspondientes del enero a diciembre de 2021. como lo especifica el instructivo para la integracion de informe trimestral de los sujetos de fiscalizacion municipales para el ejercicio 2021</w:t>
      </w:r>
      <w:r>
        <w:rPr>
          <w:rFonts w:ascii="Palatino Linotype" w:eastAsia="Palatino Linotype" w:hAnsi="Palatino Linotype" w:cs="Palatino Linotype"/>
          <w:i/>
          <w:sz w:val="22"/>
          <w:szCs w:val="22"/>
        </w:rPr>
        <w:t>” (Sic) (Énfasis añadido)</w:t>
      </w:r>
    </w:p>
    <w:p w14:paraId="0E5B6675"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14:paraId="63763EAA"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xml:space="preserve">, el Sujeto Obligado  remitió su respuesta a la solicitud de acceso a la información a través del SAIMEX, sustancialmente en los términos siguientes:   </w:t>
      </w:r>
    </w:p>
    <w:p w14:paraId="4A4EE762"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00F7C75"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de Información número 00018/OASNEZA/IP/2022, se le dio contestación mediante oficio No. ODAPAS/NEZA/DF/00158/2022, mismo que adjunto a la presente, así mismo adjunto la versión Pública de los comprobantes bancarios solicitados.</w:t>
      </w:r>
    </w:p>
    <w:p w14:paraId="7D2676E2"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47ABA8E6" w14:textId="77777777" w:rsidR="002A12A7" w:rsidRDefault="000047D5">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Ruth Salvador Valdez" (Sic)</w:t>
      </w:r>
    </w:p>
    <w:p w14:paraId="1F7B4F81" w14:textId="77777777" w:rsidR="002A12A7" w:rsidRDefault="000047D5">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58A5DA6F" w14:textId="77777777" w:rsidR="002A12A7" w:rsidRDefault="000047D5">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Contestación SAIMEX 00018.pdf”: </w:t>
      </w:r>
      <w:r>
        <w:rPr>
          <w:rFonts w:ascii="Palatino Linotype" w:eastAsia="Palatino Linotype" w:hAnsi="Palatino Linotype" w:cs="Palatino Linotype"/>
        </w:rPr>
        <w:t xml:space="preserve">Documento de 226 fojas, mediante 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de Finanzas de este Organismo, remite los comprobantes bancarios de la dispersión de nómina de las quincenas del ejercicio fiscal 2021. </w:t>
      </w:r>
    </w:p>
    <w:p w14:paraId="6DB9B49B" w14:textId="77777777" w:rsidR="002A12A7" w:rsidRDefault="000047D5">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BA556F7" wp14:editId="710620F6">
            <wp:extent cx="5403295" cy="6691560"/>
            <wp:effectExtent l="0" t="0" r="0" b="0"/>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403295" cy="6691560"/>
                    </a:xfrm>
                    <a:prstGeom prst="rect">
                      <a:avLst/>
                    </a:prstGeom>
                    <a:ln/>
                  </pic:spPr>
                </pic:pic>
              </a:graphicData>
            </a:graphic>
          </wp:inline>
        </w:drawing>
      </w:r>
    </w:p>
    <w:p w14:paraId="085287D0" w14:textId="77777777" w:rsidR="002A12A7" w:rsidRDefault="000047D5">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32B7867" wp14:editId="05B6C4CA">
            <wp:extent cx="5153025" cy="5238750"/>
            <wp:effectExtent l="0" t="0" r="0" b="0"/>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153025" cy="5238750"/>
                    </a:xfrm>
                    <a:prstGeom prst="rect">
                      <a:avLst/>
                    </a:prstGeom>
                    <a:ln/>
                  </pic:spPr>
                </pic:pic>
              </a:graphicData>
            </a:graphic>
          </wp:inline>
        </w:drawing>
      </w:r>
    </w:p>
    <w:p w14:paraId="6130E072" w14:textId="77777777" w:rsidR="002A12A7" w:rsidRDefault="000047D5">
      <w:pPr>
        <w:spacing w:before="240" w:after="240" w:line="360" w:lineRule="auto"/>
        <w:ind w:left="567"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FA823CB" wp14:editId="0071F53F">
            <wp:extent cx="5343034" cy="6767239"/>
            <wp:effectExtent l="0" t="0" r="0" b="0"/>
            <wp:docPr id="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43034" cy="6767239"/>
                    </a:xfrm>
                    <a:prstGeom prst="rect">
                      <a:avLst/>
                    </a:prstGeom>
                    <a:ln/>
                  </pic:spPr>
                </pic:pic>
              </a:graphicData>
            </a:graphic>
          </wp:inline>
        </w:drawing>
      </w:r>
    </w:p>
    <w:p w14:paraId="2B1F63DC" w14:textId="77777777" w:rsidR="002A12A7" w:rsidRDefault="000047D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xml:space="preserve">“Solicitud 000018_.pdf”: </w:t>
      </w:r>
      <w:r>
        <w:rPr>
          <w:rFonts w:ascii="Palatino Linotype" w:eastAsia="Palatino Linotype" w:hAnsi="Palatino Linotype" w:cs="Palatino Linotype"/>
          <w:sz w:val="22"/>
          <w:szCs w:val="22"/>
        </w:rPr>
        <w:t xml:space="preserve">Acta de la Cuarta Sesión Extraordinaria del Comité de Transparencia del Organismo Descentralizado de Agua Potable Alcantarillado y Saneamiento de Nezahualcóyotl (ODAPAS), celebrada el diez de marzo de dos mil veintidós. </w:t>
      </w:r>
    </w:p>
    <w:p w14:paraId="6E46BEB8" w14:textId="77777777" w:rsidR="002A12A7" w:rsidRDefault="000047D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14:anchorId="2EDA24D7" wp14:editId="01C4135E">
            <wp:extent cx="3710837" cy="5282566"/>
            <wp:effectExtent l="0" t="0" r="0" b="0"/>
            <wp:docPr id="1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710837" cy="5282566"/>
                    </a:xfrm>
                    <a:prstGeom prst="rect">
                      <a:avLst/>
                    </a:prstGeom>
                    <a:ln/>
                  </pic:spPr>
                </pic:pic>
              </a:graphicData>
            </a:graphic>
          </wp:inline>
        </w:drawing>
      </w:r>
    </w:p>
    <w:p w14:paraId="2B0F83D8"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el </w:t>
      </w:r>
      <w:r>
        <w:rPr>
          <w:rFonts w:ascii="Palatino Linotype" w:eastAsia="Palatino Linotype" w:hAnsi="Palatino Linotype" w:cs="Palatino Linotype"/>
          <w:b/>
        </w:rPr>
        <w:t>dieciocho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manifestándose de la siguiente manera:</w:t>
      </w:r>
    </w:p>
    <w:p w14:paraId="0D41B7A2" w14:textId="77777777" w:rsidR="002A12A7" w:rsidRDefault="000047D5">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14:paraId="2D2E843D" w14:textId="77777777" w:rsidR="002A12A7" w:rsidRDefault="000047D5">
      <w:pPr>
        <w:pBdr>
          <w:top w:val="nil"/>
          <w:left w:val="nil"/>
          <w:bottom w:val="nil"/>
          <w:right w:val="nil"/>
          <w:between w:val="nil"/>
        </w:pBdr>
        <w:tabs>
          <w:tab w:val="left" w:pos="567"/>
        </w:tabs>
        <w:ind w:left="567"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la clasificacion de la informacion” (Sic)</w:t>
      </w:r>
    </w:p>
    <w:p w14:paraId="6C93EF73" w14:textId="77777777" w:rsidR="002A12A7" w:rsidRDefault="002A12A7">
      <w:pPr>
        <w:pBdr>
          <w:top w:val="nil"/>
          <w:left w:val="nil"/>
          <w:bottom w:val="nil"/>
          <w:right w:val="nil"/>
          <w:between w:val="nil"/>
        </w:pBdr>
        <w:tabs>
          <w:tab w:val="left" w:pos="567"/>
        </w:tabs>
        <w:ind w:right="1041"/>
        <w:jc w:val="both"/>
        <w:rPr>
          <w:rFonts w:ascii="Palatino Linotype" w:eastAsia="Palatino Linotype" w:hAnsi="Palatino Linotype" w:cs="Palatino Linotype"/>
          <w:b/>
          <w:color w:val="000000"/>
        </w:rPr>
      </w:pPr>
    </w:p>
    <w:p w14:paraId="02560013" w14:textId="77777777" w:rsidR="002A12A7" w:rsidRDefault="000047D5">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14:paraId="384D7E98" w14:textId="77777777" w:rsidR="002A12A7" w:rsidRDefault="002A12A7">
      <w:pPr>
        <w:pBdr>
          <w:top w:val="nil"/>
          <w:left w:val="nil"/>
          <w:bottom w:val="nil"/>
          <w:right w:val="nil"/>
          <w:between w:val="nil"/>
        </w:pBdr>
        <w:tabs>
          <w:tab w:val="left" w:pos="567"/>
        </w:tabs>
        <w:ind w:left="720" w:right="1041"/>
        <w:jc w:val="both"/>
        <w:rPr>
          <w:rFonts w:ascii="Palatino Linotype" w:eastAsia="Palatino Linotype" w:hAnsi="Palatino Linotype" w:cs="Palatino Linotype"/>
          <w:b/>
          <w:color w:val="000000"/>
        </w:rPr>
      </w:pPr>
    </w:p>
    <w:p w14:paraId="0FFE4EB6" w14:textId="77777777" w:rsidR="002A12A7" w:rsidRDefault="000047D5">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presente formato digital preestablecido, solo permite señalar una causa del recurso de revision, sien embargo, en el asunto que nos ocupa son dos las causas ya que 1. el acto de la clasificacion de la informacion para esta solicitud deberia ser invalido, ya que no se encuentra ordenado en el punto del orden del día que fue aprobado por el comite de transprencia de ese sujeto obligado, por ende, su desahogo sin aprobacion es invalido. 2. la clasificacion es incorrecta ya que clasificacan la cuenta bancaria, misma que, no obstante que sus argumentos para hacerlo por obviendad son burdos, fundamento y motivacion, tambien son improcedentes ya que ese es un dato que debe ser publico y debe ir sin clasificar.” (Sic)</w:t>
      </w:r>
    </w:p>
    <w:p w14:paraId="2A1E5D28"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a efecto de que analizara sobre su admisión o su desechamiento.</w:t>
      </w:r>
    </w:p>
    <w:p w14:paraId="69E8947B"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veinticuatro de marzo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1A95216E" w14:textId="77777777" w:rsidR="002A12A7" w:rsidRDefault="000047D5">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en fecha </w:t>
      </w:r>
      <w:r>
        <w:rPr>
          <w:rFonts w:ascii="Palatino Linotype" w:eastAsia="Palatino Linotype" w:hAnsi="Palatino Linotype" w:cs="Palatino Linotype"/>
          <w:b/>
        </w:rPr>
        <w:t>veintiséis de marzo de dos mil veintidós</w:t>
      </w:r>
      <w:r>
        <w:rPr>
          <w:rFonts w:ascii="Palatino Linotype" w:eastAsia="Palatino Linotype" w:hAnsi="Palatino Linotype" w:cs="Palatino Linotype"/>
        </w:rPr>
        <w:t xml:space="preserve">, con el archivo electrónico </w:t>
      </w:r>
      <w:r>
        <w:rPr>
          <w:rFonts w:ascii="Palatino Linotype" w:eastAsia="Palatino Linotype" w:hAnsi="Palatino Linotype" w:cs="Palatino Linotype"/>
          <w:b/>
          <w:i/>
        </w:rPr>
        <w:t>“Contestación SAIMEX 00018 anexo.pdf” y “solicitud 18 recurso de revision.pdf”</w:t>
      </w:r>
      <w:r>
        <w:rPr>
          <w:rFonts w:ascii="Palatino Linotype" w:eastAsia="Palatino Linotype" w:hAnsi="Palatino Linotype" w:cs="Palatino Linotype"/>
        </w:rPr>
        <w:t xml:space="preserve">, mediante 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ratificó su respuesta inicial.</w:t>
      </w:r>
    </w:p>
    <w:p w14:paraId="66303E45" w14:textId="77777777" w:rsidR="002A12A7" w:rsidRDefault="000047D5">
      <w:pPr>
        <w:spacing w:before="240" w:after="240" w:line="360" w:lineRule="auto"/>
        <w:ind w:right="49"/>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A27B229" wp14:editId="3FEAA926">
            <wp:extent cx="5610225" cy="6343650"/>
            <wp:effectExtent l="0" t="0" r="0" b="0"/>
            <wp:docPr id="10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610225" cy="6343650"/>
                    </a:xfrm>
                    <a:prstGeom prst="rect">
                      <a:avLst/>
                    </a:prstGeom>
                    <a:ln/>
                  </pic:spPr>
                </pic:pic>
              </a:graphicData>
            </a:graphic>
          </wp:inline>
        </w:drawing>
      </w:r>
    </w:p>
    <w:p w14:paraId="63D1B794" w14:textId="77777777" w:rsidR="002A12A7" w:rsidRDefault="000047D5">
      <w:pPr>
        <w:spacing w:before="240" w:after="240" w:line="360" w:lineRule="auto"/>
        <w:ind w:right="49"/>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867EC3A" wp14:editId="35DE233F">
            <wp:extent cx="5310031" cy="6509070"/>
            <wp:effectExtent l="0" t="0" r="0" b="0"/>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310031" cy="6509070"/>
                    </a:xfrm>
                    <a:prstGeom prst="rect">
                      <a:avLst/>
                    </a:prstGeom>
                    <a:ln/>
                  </pic:spPr>
                </pic:pic>
              </a:graphicData>
            </a:graphic>
          </wp:inline>
        </w:drawing>
      </w:r>
    </w:p>
    <w:p w14:paraId="7F7C92C9" w14:textId="77777777" w:rsidR="002A12A7" w:rsidRDefault="000047D5">
      <w:pPr>
        <w:spacing w:before="240" w:after="240" w:line="360" w:lineRule="auto"/>
        <w:ind w:right="49"/>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5FAE7E1" wp14:editId="259E5ADD">
            <wp:extent cx="5610225" cy="6419850"/>
            <wp:effectExtent l="0" t="0" r="0" b="0"/>
            <wp:docPr id="1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610225" cy="6419850"/>
                    </a:xfrm>
                    <a:prstGeom prst="rect">
                      <a:avLst/>
                    </a:prstGeom>
                    <a:ln/>
                  </pic:spPr>
                </pic:pic>
              </a:graphicData>
            </a:graphic>
          </wp:inline>
        </w:drawing>
      </w:r>
    </w:p>
    <w:p w14:paraId="69182A0B" w14:textId="77777777" w:rsidR="002A12A7" w:rsidRDefault="000047D5">
      <w:pPr>
        <w:spacing w:before="240" w:after="240" w:line="360" w:lineRule="auto"/>
        <w:ind w:right="49"/>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471085A2" wp14:editId="5FE37E47">
            <wp:extent cx="5340350" cy="6760845"/>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340350" cy="6760845"/>
                    </a:xfrm>
                    <a:prstGeom prst="rect">
                      <a:avLst/>
                    </a:prstGeom>
                    <a:ln/>
                  </pic:spPr>
                </pic:pic>
              </a:graphicData>
            </a:graphic>
          </wp:inline>
        </w:drawing>
      </w:r>
    </w:p>
    <w:p w14:paraId="5F11E01B"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 mencionar que este archivo se puso a la vista del particular mediante acuerdo emitido por la Comisionada Ponente, el </w:t>
      </w:r>
      <w:r>
        <w:rPr>
          <w:rFonts w:ascii="Palatino Linotype" w:eastAsia="Palatino Linotype" w:hAnsi="Palatino Linotype" w:cs="Palatino Linotype"/>
          <w:b/>
        </w:rPr>
        <w:t xml:space="preserve">veintisiete de junio de dos mil veintidós, </w:t>
      </w:r>
      <w:r>
        <w:rPr>
          <w:rFonts w:ascii="Palatino Linotype" w:eastAsia="Palatino Linotype" w:hAnsi="Palatino Linotype" w:cs="Palatino Linotype"/>
        </w:rPr>
        <w:t xml:space="preserve">asimismo por cuanto hace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se tiene que fue omiso en presentar manifestaciones, pruebas y/o alegatos en la etapa procedimental previamente reconocida en nuestra Ley de Transparencia, por lo cual se tiene por precluido su derecho.</w:t>
      </w:r>
    </w:p>
    <w:p w14:paraId="4BCF4C2A" w14:textId="77777777" w:rsidR="002A12A7" w:rsidRDefault="000047D5">
      <w:pPr>
        <w:spacing w:before="240" w:after="240" w:line="360" w:lineRule="auto"/>
        <w:ind w:right="49"/>
        <w:jc w:val="both"/>
      </w:pPr>
      <w:r>
        <w:rPr>
          <w:noProof/>
          <w:lang w:val="es-MX"/>
        </w:rPr>
        <w:drawing>
          <wp:inline distT="0" distB="0" distL="0" distR="0" wp14:anchorId="35704F3F" wp14:editId="309CFB7B">
            <wp:extent cx="5610225" cy="1447800"/>
            <wp:effectExtent l="0" t="0" r="0" b="0"/>
            <wp:docPr id="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610225" cy="1447800"/>
                    </a:xfrm>
                    <a:prstGeom prst="rect">
                      <a:avLst/>
                    </a:prstGeom>
                    <a:ln/>
                  </pic:spPr>
                </pic:pic>
              </a:graphicData>
            </a:graphic>
          </wp:inline>
        </w:drawing>
      </w:r>
    </w:p>
    <w:p w14:paraId="6AA9D7B9"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veintisiete de junio de dos mil veintidós</w:t>
      </w:r>
      <w:r>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10C5C6B3" w14:textId="77777777" w:rsidR="002A12A7" w:rsidRDefault="002A12A7">
      <w:pPr>
        <w:spacing w:line="360" w:lineRule="auto"/>
        <w:jc w:val="both"/>
        <w:rPr>
          <w:rFonts w:ascii="Palatino Linotype" w:eastAsia="Palatino Linotype" w:hAnsi="Palatino Linotype" w:cs="Palatino Linotype"/>
        </w:rPr>
      </w:pPr>
    </w:p>
    <w:p w14:paraId="0E64897D"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FB2653" w14:textId="77777777" w:rsidR="002A12A7" w:rsidRDefault="002A12A7">
      <w:pPr>
        <w:spacing w:line="360" w:lineRule="auto"/>
        <w:jc w:val="both"/>
        <w:rPr>
          <w:rFonts w:ascii="Palatino Linotype" w:eastAsia="Palatino Linotype" w:hAnsi="Palatino Linotype" w:cs="Palatino Linotype"/>
        </w:rPr>
      </w:pPr>
    </w:p>
    <w:p w14:paraId="5AFA148B"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F302E5" w14:textId="77777777" w:rsidR="002A12A7" w:rsidRDefault="002A12A7">
      <w:pPr>
        <w:spacing w:line="360" w:lineRule="auto"/>
        <w:jc w:val="both"/>
        <w:rPr>
          <w:rFonts w:ascii="Palatino Linotype" w:eastAsia="Palatino Linotype" w:hAnsi="Palatino Linotype" w:cs="Palatino Linotype"/>
        </w:rPr>
      </w:pPr>
    </w:p>
    <w:p w14:paraId="73C2E255"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71BA3D" w14:textId="77777777" w:rsidR="002A12A7" w:rsidRDefault="002A12A7">
      <w:pPr>
        <w:spacing w:line="360" w:lineRule="auto"/>
        <w:jc w:val="both"/>
        <w:rPr>
          <w:rFonts w:ascii="Palatino Linotype" w:eastAsia="Palatino Linotype" w:hAnsi="Palatino Linotype" w:cs="Palatino Linotype"/>
        </w:rPr>
      </w:pPr>
    </w:p>
    <w:p w14:paraId="2402643E"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ACC6D34" w14:textId="77777777" w:rsidR="002A12A7" w:rsidRDefault="002A12A7">
      <w:pPr>
        <w:spacing w:line="360" w:lineRule="auto"/>
        <w:jc w:val="both"/>
        <w:rPr>
          <w:rFonts w:ascii="Palatino Linotype" w:eastAsia="Palatino Linotype" w:hAnsi="Palatino Linotype" w:cs="Palatino Linotype"/>
        </w:rPr>
      </w:pPr>
    </w:p>
    <w:p w14:paraId="5F860CBA" w14:textId="77777777" w:rsidR="002A12A7" w:rsidRDefault="000047D5">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4A31530" w14:textId="77777777" w:rsidR="002A12A7" w:rsidRDefault="002A12A7">
      <w:pPr>
        <w:spacing w:line="360" w:lineRule="auto"/>
        <w:jc w:val="both"/>
        <w:rPr>
          <w:rFonts w:ascii="Palatino Linotype" w:eastAsia="Palatino Linotype" w:hAnsi="Palatino Linotype" w:cs="Palatino Linotype"/>
        </w:rPr>
      </w:pPr>
    </w:p>
    <w:p w14:paraId="6F708F34" w14:textId="77777777" w:rsidR="002A12A7" w:rsidRDefault="000047D5">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C32A3A5" w14:textId="77777777" w:rsidR="002A12A7" w:rsidRDefault="002A12A7">
      <w:pPr>
        <w:spacing w:line="360" w:lineRule="auto"/>
        <w:ind w:left="927"/>
        <w:jc w:val="both"/>
        <w:rPr>
          <w:rFonts w:ascii="Palatino Linotype" w:eastAsia="Palatino Linotype" w:hAnsi="Palatino Linotype" w:cs="Palatino Linotype"/>
        </w:rPr>
      </w:pPr>
    </w:p>
    <w:p w14:paraId="4DBCBE31" w14:textId="77777777" w:rsidR="002A12A7" w:rsidRDefault="000047D5">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5CD9420E" w14:textId="77777777" w:rsidR="002A12A7" w:rsidRDefault="002A12A7">
      <w:pPr>
        <w:spacing w:line="360" w:lineRule="auto"/>
        <w:jc w:val="both"/>
        <w:rPr>
          <w:rFonts w:ascii="Palatino Linotype" w:eastAsia="Palatino Linotype" w:hAnsi="Palatino Linotype" w:cs="Palatino Linotype"/>
        </w:rPr>
      </w:pPr>
    </w:p>
    <w:p w14:paraId="15C7EE47" w14:textId="77777777" w:rsidR="002A12A7" w:rsidRDefault="000047D5">
      <w:pPr>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320CCF71" w14:textId="77777777" w:rsidR="002A12A7" w:rsidRDefault="002A12A7">
      <w:pPr>
        <w:spacing w:line="360" w:lineRule="auto"/>
        <w:ind w:left="708"/>
        <w:rPr>
          <w:rFonts w:ascii="Palatino Linotype" w:eastAsia="Palatino Linotype" w:hAnsi="Palatino Linotype" w:cs="Palatino Linotype"/>
        </w:rPr>
      </w:pPr>
    </w:p>
    <w:p w14:paraId="307EFDFD" w14:textId="77777777" w:rsidR="002A12A7" w:rsidRDefault="000047D5">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2E2A7E2" w14:textId="77777777" w:rsidR="002A12A7" w:rsidRDefault="002A12A7">
      <w:pPr>
        <w:spacing w:line="360" w:lineRule="auto"/>
        <w:jc w:val="both"/>
        <w:rPr>
          <w:rFonts w:ascii="Palatino Linotype" w:eastAsia="Palatino Linotype" w:hAnsi="Palatino Linotype" w:cs="Palatino Linotype"/>
        </w:rPr>
      </w:pPr>
    </w:p>
    <w:p w14:paraId="1C4F3BD5"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B70CBC" w14:textId="77777777" w:rsidR="002A12A7" w:rsidRDefault="002A12A7">
      <w:pPr>
        <w:spacing w:line="360" w:lineRule="auto"/>
        <w:jc w:val="both"/>
        <w:rPr>
          <w:rFonts w:ascii="Palatino Linotype" w:eastAsia="Palatino Linotype" w:hAnsi="Palatino Linotype" w:cs="Palatino Linotype"/>
        </w:rPr>
      </w:pPr>
    </w:p>
    <w:p w14:paraId="57703E2B" w14:textId="77777777" w:rsidR="002A12A7" w:rsidRDefault="000047D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80DE878" w14:textId="77777777" w:rsidR="002A12A7" w:rsidRDefault="002A12A7">
      <w:pPr>
        <w:spacing w:line="360" w:lineRule="auto"/>
        <w:jc w:val="both"/>
        <w:rPr>
          <w:rFonts w:ascii="Palatino Linotype" w:eastAsia="Palatino Linotype" w:hAnsi="Palatino Linotype" w:cs="Palatino Linotype"/>
        </w:rPr>
      </w:pPr>
    </w:p>
    <w:p w14:paraId="189BE5D7"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CD1CF5" w14:textId="77777777" w:rsidR="002A12A7" w:rsidRDefault="002A12A7">
      <w:pPr>
        <w:spacing w:line="360" w:lineRule="auto"/>
        <w:jc w:val="both"/>
        <w:rPr>
          <w:rFonts w:ascii="Palatino Linotype" w:eastAsia="Palatino Linotype" w:hAnsi="Palatino Linotype" w:cs="Palatino Linotype"/>
        </w:rPr>
      </w:pPr>
    </w:p>
    <w:p w14:paraId="6ADCB127"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F851051" w14:textId="77777777" w:rsidR="002A12A7" w:rsidRDefault="002A12A7">
      <w:pPr>
        <w:spacing w:line="360" w:lineRule="auto"/>
        <w:jc w:val="both"/>
        <w:rPr>
          <w:rFonts w:ascii="Palatino Linotype" w:eastAsia="Palatino Linotype" w:hAnsi="Palatino Linotype" w:cs="Palatino Linotype"/>
        </w:rPr>
      </w:pPr>
    </w:p>
    <w:p w14:paraId="1ECFC3AD"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3928BEE" w14:textId="77777777" w:rsidR="002A12A7" w:rsidRDefault="002A12A7">
      <w:pPr>
        <w:spacing w:line="360" w:lineRule="auto"/>
        <w:jc w:val="both"/>
        <w:rPr>
          <w:rFonts w:ascii="Palatino Linotype" w:eastAsia="Palatino Linotype" w:hAnsi="Palatino Linotype" w:cs="Palatino Linotype"/>
          <w:b/>
        </w:rPr>
      </w:pPr>
    </w:p>
    <w:p w14:paraId="480EF942"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17D43FA" w14:textId="77777777" w:rsidR="002A12A7" w:rsidRDefault="002A12A7">
      <w:pPr>
        <w:spacing w:line="360" w:lineRule="auto"/>
        <w:jc w:val="both"/>
        <w:rPr>
          <w:rFonts w:ascii="Palatino Linotype" w:eastAsia="Palatino Linotype" w:hAnsi="Palatino Linotype" w:cs="Palatino Linotype"/>
        </w:rPr>
      </w:pPr>
    </w:p>
    <w:p w14:paraId="3DA58FFC"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39178F0" w14:textId="77777777" w:rsidR="002A12A7" w:rsidRDefault="002A12A7"/>
    <w:p w14:paraId="4ED94B94"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11664F">
        <w:rPr>
          <w:rFonts w:ascii="Palatino Linotype" w:eastAsia="Palatino Linotype" w:hAnsi="Palatino Linotype" w:cs="Palatino Linotype"/>
          <w:b/>
        </w:rPr>
        <w:t>cuatro</w:t>
      </w:r>
      <w:r>
        <w:rPr>
          <w:rFonts w:ascii="Palatino Linotype" w:eastAsia="Palatino Linotype" w:hAnsi="Palatino Linotype" w:cs="Palatino Linotype"/>
          <w:b/>
        </w:rPr>
        <w:t xml:space="preserve"> de julio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135560B"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6329F56" w14:textId="77777777" w:rsidR="002A12A7" w:rsidRDefault="000047D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F17A10E" w14:textId="77777777" w:rsidR="002A12A7" w:rsidRDefault="000047D5">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88A4A04"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C462A36"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Sujeto Obligado remitió la respuesta a la solicitud de información el día </w:t>
      </w:r>
      <w:r>
        <w:rPr>
          <w:rFonts w:ascii="Palatino Linotype" w:eastAsia="Palatino Linotype" w:hAnsi="Palatino Linotype" w:cs="Palatino Linotype"/>
          <w:b/>
        </w:rPr>
        <w:t xml:space="preserve">diez de marzo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dieciocho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sexto día hábil</w:t>
      </w:r>
      <w:r>
        <w:rPr>
          <w:rFonts w:ascii="Palatino Linotype" w:eastAsia="Palatino Linotype" w:hAnsi="Palatino Linotype" w:cs="Palatino Linotype"/>
        </w:rPr>
        <w:t xml:space="preserve"> en el que se conoció la respuesta impugnada.</w:t>
      </w:r>
    </w:p>
    <w:p w14:paraId="7ACE1A47" w14:textId="77777777" w:rsidR="002A12A7" w:rsidRDefault="000047D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FD30CA1" w14:textId="77777777" w:rsidR="002A12A7" w:rsidRDefault="000047D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E98599F" w14:textId="77777777" w:rsidR="002A12A7" w:rsidRDefault="000047D5">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B3207F"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II del ordenamiento legal citado, que a la letra dice: </w:t>
      </w:r>
    </w:p>
    <w:p w14:paraId="23F28C2B" w14:textId="77777777" w:rsidR="002A12A7" w:rsidRDefault="000047D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AF813E8" w14:textId="77777777" w:rsidR="002A12A7" w:rsidRDefault="000047D5">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A206D4C" w14:textId="77777777" w:rsidR="002A12A7" w:rsidRDefault="000047D5">
      <w:pPr>
        <w:spacing w:before="120" w:after="120"/>
        <w:ind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r>
        <w:rPr>
          <w:rFonts w:ascii="Palatino Linotype" w:eastAsia="Palatino Linotype" w:hAnsi="Palatino Linotype" w:cs="Palatino Linotype"/>
          <w:b/>
          <w:i/>
          <w:sz w:val="22"/>
          <w:szCs w:val="22"/>
        </w:rPr>
        <w:t>II. La clasificación de la información;”</w:t>
      </w:r>
    </w:p>
    <w:p w14:paraId="190DB110" w14:textId="77777777" w:rsidR="002A12A7" w:rsidRDefault="000047D5">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3D4E6BFC" w14:textId="77777777" w:rsidR="002A12A7" w:rsidRDefault="000047D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4916CBB"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A04EEAA"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44DA76"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E7D8729" w14:textId="77777777" w:rsidR="002A12A7" w:rsidRDefault="000047D5">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B6DC68"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02323137" w14:textId="77777777" w:rsidR="002A12A7" w:rsidRDefault="000047D5">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96BDA2"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F5CD18"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CA101F" w14:textId="77777777" w:rsidR="002A12A7" w:rsidRDefault="000047D5">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DD95F82"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731EDCC"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17C7058"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DEEB383"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96996BC" w14:textId="77777777" w:rsidR="002A12A7" w:rsidRDefault="000047D5">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2C88496"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93439C"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959EB3" w14:textId="77777777" w:rsidR="002A12A7" w:rsidRDefault="000047D5">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BF60993" w14:textId="77777777" w:rsidR="002A12A7" w:rsidRDefault="000047D5">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8DA305B"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57DF8BD"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CBC30CC" w14:textId="77777777" w:rsidR="002A12A7" w:rsidRDefault="000047D5">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AA8B62E"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35620C21"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0D782CED"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566038E4"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47376E4" w14:textId="77777777" w:rsidR="002A12A7" w:rsidRDefault="000047D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CA4F088" w14:textId="77777777" w:rsidR="002A12A7" w:rsidRDefault="000047D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EAC53DD"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1A49E9"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F923699"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7458C4F" w14:textId="77777777" w:rsidR="002A12A7" w:rsidRDefault="000047D5">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22248EF0"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F8C57AA" w14:textId="77777777" w:rsidR="002A12A7" w:rsidRDefault="000047D5">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60C03B9"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F7D0DC" w14:textId="77777777" w:rsidR="002A12A7" w:rsidRDefault="000047D5">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145D1D"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5B450F87" w14:textId="77777777" w:rsidR="002A12A7" w:rsidRDefault="000047D5">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0371A0C3" w14:textId="77777777" w:rsidR="002A12A7" w:rsidRDefault="000047D5">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9310FD7"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2A396B05"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77CB7654" w14:textId="77777777" w:rsidR="002A12A7" w:rsidRDefault="000047D5">
      <w:pPr>
        <w:numPr>
          <w:ilvl w:val="0"/>
          <w:numId w:val="3"/>
        </w:numPr>
        <w:pBdr>
          <w:top w:val="nil"/>
          <w:left w:val="nil"/>
          <w:bottom w:val="nil"/>
          <w:right w:val="nil"/>
          <w:between w:val="nil"/>
        </w:pBdr>
        <w:spacing w:before="280" w:after="280" w:line="360" w:lineRule="auto"/>
        <w:ind w:left="567" w:right="900"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Cada uno de los comprobantes bancarios de la dispersión de nómina que se entregan como parte del módulo 4 de los informes trimestrales al OSFEM, correspondientes del enero a diciembre de 2021, como lo especifica el instructivo para la integración de informe trimestral de los sujetos de fiscalización municipales para el ejercicio 2021. </w:t>
      </w:r>
    </w:p>
    <w:p w14:paraId="53877AB6" w14:textId="77777777" w:rsidR="002A12A7" w:rsidRDefault="000047D5">
      <w:pPr>
        <w:spacing w:before="280" w:after="28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pronunció de la siguiente manera: </w:t>
      </w:r>
    </w:p>
    <w:p w14:paraId="0F7B7E3F" w14:textId="77777777" w:rsidR="002A12A7" w:rsidRDefault="000047D5">
      <w:pPr>
        <w:spacing w:before="240" w:after="240" w:line="360" w:lineRule="auto"/>
        <w:ind w:left="567" w:right="902"/>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 xml:space="preserve">Contestación SAIMEX 00018.pdf”: </w:t>
      </w:r>
      <w:r>
        <w:rPr>
          <w:rFonts w:ascii="Palatino Linotype" w:eastAsia="Palatino Linotype" w:hAnsi="Palatino Linotype" w:cs="Palatino Linotype"/>
        </w:rPr>
        <w:t xml:space="preserve">Documento de 226 fojas, mediante el cual,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de Finanzas de este Organismo, remite los comprobantes bancarios de la dispersión de nómina de las quincenas del ejercicio fiscal 2021. </w:t>
      </w:r>
    </w:p>
    <w:p w14:paraId="0FA70078" w14:textId="77777777" w:rsidR="002A12A7" w:rsidRDefault="002A12A7">
      <w:pPr>
        <w:spacing w:before="240" w:after="240" w:line="360" w:lineRule="auto"/>
        <w:ind w:left="567" w:right="902"/>
        <w:jc w:val="both"/>
        <w:rPr>
          <w:rFonts w:ascii="Palatino Linotype" w:eastAsia="Palatino Linotype" w:hAnsi="Palatino Linotype" w:cs="Palatino Linotype"/>
        </w:rPr>
      </w:pPr>
    </w:p>
    <w:p w14:paraId="14C9BD4F" w14:textId="77777777" w:rsidR="002A12A7" w:rsidRDefault="000047D5">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“Solicitud 000018_.pdf”: </w:t>
      </w:r>
      <w:r>
        <w:rPr>
          <w:rFonts w:ascii="Palatino Linotype" w:eastAsia="Palatino Linotype" w:hAnsi="Palatino Linotype" w:cs="Palatino Linotype"/>
          <w:sz w:val="22"/>
          <w:szCs w:val="22"/>
        </w:rPr>
        <w:t xml:space="preserve">Acta de la Cuarta Sesión Extraordinaria del Comité de Transparencia del Organismo Descentralizado de Agua Potable Alcantarillado y Saneamiento de Nezahualcóyotl (ODAPAS), celebrada el diez de marzo de dos mil veintidós. </w:t>
      </w:r>
    </w:p>
    <w:p w14:paraId="1A703EA4" w14:textId="77777777" w:rsidR="002A12A7" w:rsidRDefault="000047D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el particular se inconformó por la clasificación de la información, expresando en sus razones o motivos de inconformidad lo siguiente: </w:t>
      </w:r>
      <w:r>
        <w:rPr>
          <w:rFonts w:ascii="Palatino Linotype" w:eastAsia="Palatino Linotype" w:hAnsi="Palatino Linotype" w:cs="Palatino Linotype"/>
          <w:i/>
        </w:rPr>
        <w:t>“el presente formato digital preestablecido, solo permite señalar una causa del recurso de revision, sien embargo, en el asunto que nos ocupa son dos las causas ya que 1</w:t>
      </w:r>
      <w:r>
        <w:rPr>
          <w:rFonts w:ascii="Palatino Linotype" w:eastAsia="Palatino Linotype" w:hAnsi="Palatino Linotype" w:cs="Palatino Linotype"/>
          <w:b/>
          <w:i/>
        </w:rPr>
        <w:t>. el acto de la clasificacion de la informacion para esta solicitud deberia ser invalido, ya que no se encuentra ordenado en el punto del orden del día que fue aprobado por el comite de transprencia de ese sujeto obligado, por ende, su desahogo sin aprobacion es invalido. 2. la clasificacion es incorrecta ya que clasificacan la cuenta bancaria, misma que, no obstante que sus argumentos para hacerlo por obviendad son burdos, fundamento y motivacion, tambien son improcedentes ya que ese es un dato que debe ser publico y debe ir sin clasificar</w:t>
      </w:r>
      <w:r>
        <w:rPr>
          <w:rFonts w:ascii="Palatino Linotype" w:eastAsia="Palatino Linotype" w:hAnsi="Palatino Linotype" w:cs="Palatino Linotype"/>
          <w:i/>
        </w:rPr>
        <w:t xml:space="preserve">.” (Sic) (Énfasis añadido) </w:t>
      </w:r>
    </w:p>
    <w:p w14:paraId="5F1FE33B" w14:textId="77777777" w:rsidR="002A12A7" w:rsidRDefault="000047D5">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Mediante informe justificado,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ratificó su respuesta inicial, aclarando los puntos controvertidos por el particular, esto en los siguientes términos: </w:t>
      </w:r>
    </w:p>
    <w:p w14:paraId="655D3D7A" w14:textId="77777777" w:rsidR="002A12A7" w:rsidRDefault="000047D5">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11685E20" wp14:editId="6BEFAD31">
            <wp:extent cx="5524500" cy="1628775"/>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24500" cy="1628775"/>
                    </a:xfrm>
                    <a:prstGeom prst="rect">
                      <a:avLst/>
                    </a:prstGeom>
                    <a:ln/>
                  </pic:spPr>
                </pic:pic>
              </a:graphicData>
            </a:graphic>
          </wp:inline>
        </w:drawing>
      </w:r>
    </w:p>
    <w:p w14:paraId="450C5281" w14:textId="77777777" w:rsidR="002A12A7" w:rsidRDefault="000047D5">
      <w:pPr>
        <w:spacing w:before="280" w:after="28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14:anchorId="64D41A26" wp14:editId="37FC0CA1">
            <wp:extent cx="4918870" cy="4684638"/>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918870" cy="4684638"/>
                    </a:xfrm>
                    <a:prstGeom prst="rect">
                      <a:avLst/>
                    </a:prstGeom>
                    <a:ln/>
                  </pic:spPr>
                </pic:pic>
              </a:graphicData>
            </a:graphic>
          </wp:inline>
        </w:drawing>
      </w:r>
    </w:p>
    <w:p w14:paraId="04C5E8E5" w14:textId="77777777" w:rsidR="002A12A7" w:rsidRDefault="000047D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Expuesto lo anterior, resulta pertinente señalar que lo remitido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respuesta, mediante su archivo electrónico “</w:t>
      </w:r>
      <w:r>
        <w:rPr>
          <w:rFonts w:ascii="Palatino Linotype" w:eastAsia="Palatino Linotype" w:hAnsi="Palatino Linotype" w:cs="Palatino Linotype"/>
          <w:b/>
          <w:i/>
          <w:sz w:val="22"/>
          <w:szCs w:val="22"/>
        </w:rPr>
        <w:t xml:space="preserve">Contestación SAIMEX 00018.pdf”, </w:t>
      </w:r>
      <w:r>
        <w:rPr>
          <w:rFonts w:ascii="Palatino Linotype" w:eastAsia="Palatino Linotype" w:hAnsi="Palatino Linotype" w:cs="Palatino Linotype"/>
          <w:sz w:val="22"/>
          <w:szCs w:val="22"/>
        </w:rPr>
        <w:t xml:space="preserve">corresponde con </w:t>
      </w:r>
      <w:r>
        <w:rPr>
          <w:rFonts w:ascii="Palatino Linotype" w:eastAsia="Palatino Linotype" w:hAnsi="Palatino Linotype" w:cs="Palatino Linotype"/>
        </w:rPr>
        <w:t xml:space="preserve">los comprobantes bancarios de la dispersión de nómina que se entregan como parte del módulo 4 de los informes trimestrales al OSFEM, generados durante las 24 quincenas del 1 de enero al 31 de diciembre de 2021, los cuales especifica el instructivo para la integración de informe trimestral de los sujetos de fiscalización municipales para el ejercicio 2021, tal como se colige de las siguientes capturas de pantalla: </w:t>
      </w:r>
    </w:p>
    <w:p w14:paraId="37845E5A" w14:textId="77777777" w:rsidR="002A12A7" w:rsidRDefault="000047D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B7D5ABF" wp14:editId="730F3E8E">
            <wp:extent cx="5295900" cy="5377696"/>
            <wp:effectExtent l="0" t="0" r="0" b="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295900" cy="5377696"/>
                    </a:xfrm>
                    <a:prstGeom prst="rect">
                      <a:avLst/>
                    </a:prstGeom>
                    <a:ln/>
                  </pic:spPr>
                </pic:pic>
              </a:graphicData>
            </a:graphic>
          </wp:inline>
        </w:drawing>
      </w:r>
    </w:p>
    <w:p w14:paraId="6C246F45" w14:textId="77777777" w:rsidR="002A12A7" w:rsidRDefault="000047D5">
      <w:pPr>
        <w:spacing w:before="280" w:after="280" w:line="360" w:lineRule="auto"/>
        <w:jc w:val="cente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lang w:val="es-MX"/>
        </w:rPr>
        <w:drawing>
          <wp:inline distT="0" distB="0" distL="0" distR="0" wp14:anchorId="2ADFC061" wp14:editId="64E40734">
            <wp:extent cx="5178871" cy="6717584"/>
            <wp:effectExtent l="0" t="0" r="0" b="0"/>
            <wp:docPr id="1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178871" cy="6717584"/>
                    </a:xfrm>
                    <a:prstGeom prst="rect">
                      <a:avLst/>
                    </a:prstGeom>
                    <a:ln/>
                  </pic:spPr>
                </pic:pic>
              </a:graphicData>
            </a:graphic>
          </wp:inline>
        </w:drawing>
      </w:r>
    </w:p>
    <w:p w14:paraId="4CCD9C55" w14:textId="77777777" w:rsidR="002A12A7" w:rsidRDefault="000047D5">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AF5380D" wp14:editId="4C73FC40">
            <wp:extent cx="5610225" cy="5057775"/>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1" t="1117" r="-855"/>
                    <a:stretch>
                      <a:fillRect/>
                    </a:stretch>
                  </pic:blipFill>
                  <pic:spPr>
                    <a:xfrm>
                      <a:off x="0" y="0"/>
                      <a:ext cx="5610225" cy="5057775"/>
                    </a:xfrm>
                    <a:prstGeom prst="rect">
                      <a:avLst/>
                    </a:prstGeom>
                    <a:ln/>
                  </pic:spPr>
                </pic:pic>
              </a:graphicData>
            </a:graphic>
          </wp:inline>
        </w:drawing>
      </w:r>
    </w:p>
    <w:p w14:paraId="06F342DF" w14:textId="77777777" w:rsidR="002A12A7" w:rsidRDefault="000047D5">
      <w:pPr>
        <w:shd w:val="clear" w:color="auto" w:fill="FFFFFF"/>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No obstante, del análisis a las razones o motivos de inconformidad del particular, se aprecia que su inconformidad versa sobre la clasificación de la información, ello en virtud de que manifestó lo siguiente: “…</w:t>
      </w:r>
      <w:r>
        <w:rPr>
          <w:rFonts w:ascii="Palatino Linotype" w:eastAsia="Palatino Linotype" w:hAnsi="Palatino Linotype" w:cs="Palatino Linotype"/>
          <w:i/>
        </w:rPr>
        <w:t>1</w:t>
      </w:r>
      <w:r>
        <w:rPr>
          <w:rFonts w:ascii="Palatino Linotype" w:eastAsia="Palatino Linotype" w:hAnsi="Palatino Linotype" w:cs="Palatino Linotype"/>
          <w:b/>
          <w:i/>
        </w:rPr>
        <w:t>. el acto de la clasificacion de la informacion para esta solicitud deberia ser invalido, ya que no se encuentra ordenado en el punto del orden del día que fue aprobado por el comite de transprencia de ese sujeto obligado, por ende, su desahogo sin aprobacion es invalido. 2. la clasificacion es incorrecta ya que clasificacan la cuenta bancaria, misma que, no obstante que sus argumentos para hacerlo por obviendad son burdos, fundamento y motivacion, tambien son improcedentes ya que ese es un dato que debe ser publico y debe ir sin clasificar</w:t>
      </w:r>
      <w:r>
        <w:rPr>
          <w:rFonts w:ascii="Palatino Linotype" w:eastAsia="Palatino Linotype" w:hAnsi="Palatino Linotype" w:cs="Palatino Linotype"/>
          <w:i/>
        </w:rPr>
        <w:t xml:space="preserve">.” (Sic) (Énfasis añadido) </w:t>
      </w:r>
    </w:p>
    <w:p w14:paraId="3D591E42" w14:textId="77777777" w:rsidR="002A12A7" w:rsidRDefault="002A12A7">
      <w:pPr>
        <w:shd w:val="clear" w:color="auto" w:fill="FFFFFF"/>
        <w:spacing w:line="360" w:lineRule="auto"/>
        <w:jc w:val="both"/>
        <w:rPr>
          <w:rFonts w:ascii="Palatino Linotype" w:eastAsia="Palatino Linotype" w:hAnsi="Palatino Linotype" w:cs="Palatino Linotype"/>
        </w:rPr>
      </w:pPr>
    </w:p>
    <w:p w14:paraId="1EEA9B20" w14:textId="77777777" w:rsidR="002A12A7" w:rsidRDefault="000047D5">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resulta importante señalar que del análisis al Acta de la Cuarta Sesión Extraordinaria del Comité de Transparencia del Organismo Descentralizado de Agua Potable Alcantarillado y Saneamiento de Nezahualcóyotl (ODAPAS), celebrada el diez de marzo de dos mil veintidós, se observa que los soportes documentales con los que se atendió la presente solicitud de información, si formaron parte del orden del día, específicamente en el punto número 7, sirve de mayor referencia la siguiente ilustración: </w:t>
      </w:r>
    </w:p>
    <w:p w14:paraId="294DE99A" w14:textId="77777777" w:rsidR="002A12A7" w:rsidRDefault="000047D5">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8A0FF90" wp14:editId="737908C2">
            <wp:extent cx="5610225" cy="5962650"/>
            <wp:effectExtent l="0" t="0" r="0" b="0"/>
            <wp:docPr id="1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610225" cy="5962650"/>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0551E554" wp14:editId="31D77BE4">
                <wp:simplePos x="0" y="0"/>
                <wp:positionH relativeFrom="column">
                  <wp:posOffset>469900</wp:posOffset>
                </wp:positionH>
                <wp:positionV relativeFrom="paragraph">
                  <wp:posOffset>5080000</wp:posOffset>
                </wp:positionV>
                <wp:extent cx="5029200" cy="266700"/>
                <wp:effectExtent l="0" t="0" r="0" b="0"/>
                <wp:wrapNone/>
                <wp:docPr id="98" name="Rectángulo 98"/>
                <wp:cNvGraphicFramePr/>
                <a:graphic xmlns:a="http://schemas.openxmlformats.org/drawingml/2006/main">
                  <a:graphicData uri="http://schemas.microsoft.com/office/word/2010/wordprocessingShape">
                    <wps:wsp>
                      <wps:cNvSpPr/>
                      <wps:spPr>
                        <a:xfrm>
                          <a:off x="2845688" y="3660938"/>
                          <a:ext cx="5000625" cy="238125"/>
                        </a:xfrm>
                        <a:prstGeom prst="rect">
                          <a:avLst/>
                        </a:prstGeom>
                        <a:noFill/>
                        <a:ln w="28575" cap="flat" cmpd="sng">
                          <a:solidFill>
                            <a:srgbClr val="002060"/>
                          </a:solidFill>
                          <a:prstDash val="solid"/>
                          <a:round/>
                          <a:headEnd type="none" w="sm" len="sm"/>
                          <a:tailEnd type="none" w="sm" len="sm"/>
                        </a:ln>
                      </wps:spPr>
                      <wps:txbx>
                        <w:txbxContent>
                          <w:p w14:paraId="5BF2B60D" w14:textId="77777777" w:rsidR="002A12A7" w:rsidRDefault="002A12A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469900</wp:posOffset>
                </wp:positionH>
                <wp:positionV relativeFrom="paragraph">
                  <wp:posOffset>5080000</wp:posOffset>
                </wp:positionV>
                <wp:extent cx="5029200" cy="266700"/>
                <wp:effectExtent b="0" l="0" r="0" t="0"/>
                <wp:wrapNone/>
                <wp:docPr id="98"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5029200" cy="266700"/>
                        </a:xfrm>
                        <a:prstGeom prst="rect"/>
                        <a:ln/>
                      </pic:spPr>
                    </pic:pic>
                  </a:graphicData>
                </a:graphic>
              </wp:anchor>
            </w:drawing>
          </mc:Fallback>
        </mc:AlternateContent>
      </w:r>
    </w:p>
    <w:p w14:paraId="2D077DA8" w14:textId="77777777" w:rsidR="002A12A7" w:rsidRDefault="002A12A7">
      <w:pPr>
        <w:shd w:val="clear" w:color="auto" w:fill="FFFFFF"/>
        <w:spacing w:line="360" w:lineRule="auto"/>
        <w:jc w:val="both"/>
        <w:rPr>
          <w:rFonts w:ascii="Palatino Linotype" w:eastAsia="Palatino Linotype" w:hAnsi="Palatino Linotype" w:cs="Palatino Linotype"/>
        </w:rPr>
      </w:pPr>
    </w:p>
    <w:p w14:paraId="136C5F2A" w14:textId="77777777" w:rsidR="002A12A7" w:rsidRDefault="002A12A7">
      <w:pPr>
        <w:spacing w:line="360" w:lineRule="auto"/>
        <w:ind w:right="49"/>
        <w:jc w:val="both"/>
        <w:rPr>
          <w:rFonts w:ascii="Palatino Linotype" w:eastAsia="Palatino Linotype" w:hAnsi="Palatino Linotype" w:cs="Palatino Linotype"/>
          <w:highlight w:val="yellow"/>
        </w:rPr>
      </w:pPr>
    </w:p>
    <w:p w14:paraId="3F8B8C86"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2B8B265" wp14:editId="72A09AFD">
            <wp:extent cx="5542370" cy="6887971"/>
            <wp:effectExtent l="0" t="0" r="0" b="0"/>
            <wp:docPr id="1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542370" cy="6887971"/>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1666D4FF" wp14:editId="0206027F">
                <wp:simplePos x="0" y="0"/>
                <wp:positionH relativeFrom="column">
                  <wp:posOffset>1295400</wp:posOffset>
                </wp:positionH>
                <wp:positionV relativeFrom="paragraph">
                  <wp:posOffset>152400</wp:posOffset>
                </wp:positionV>
                <wp:extent cx="2628900" cy="200025"/>
                <wp:effectExtent l="0" t="0" r="0" b="0"/>
                <wp:wrapNone/>
                <wp:docPr id="97" name="Rectángulo 97"/>
                <wp:cNvGraphicFramePr/>
                <a:graphic xmlns:a="http://schemas.openxmlformats.org/drawingml/2006/main">
                  <a:graphicData uri="http://schemas.microsoft.com/office/word/2010/wordprocessingShape">
                    <wps:wsp>
                      <wps:cNvSpPr/>
                      <wps:spPr>
                        <a:xfrm>
                          <a:off x="4045838" y="3694275"/>
                          <a:ext cx="2600325" cy="171450"/>
                        </a:xfrm>
                        <a:prstGeom prst="rect">
                          <a:avLst/>
                        </a:prstGeom>
                        <a:noFill/>
                        <a:ln w="28575" cap="flat" cmpd="sng">
                          <a:solidFill>
                            <a:srgbClr val="002060"/>
                          </a:solidFill>
                          <a:prstDash val="solid"/>
                          <a:round/>
                          <a:headEnd type="none" w="sm" len="sm"/>
                          <a:tailEnd type="none" w="sm" len="sm"/>
                        </a:ln>
                      </wps:spPr>
                      <wps:txbx>
                        <w:txbxContent>
                          <w:p w14:paraId="4D746B16" w14:textId="77777777" w:rsidR="002A12A7" w:rsidRDefault="002A12A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1295400</wp:posOffset>
                </wp:positionH>
                <wp:positionV relativeFrom="paragraph">
                  <wp:posOffset>152400</wp:posOffset>
                </wp:positionV>
                <wp:extent cx="2628900" cy="200025"/>
                <wp:effectExtent b="0" l="0" r="0" t="0"/>
                <wp:wrapNone/>
                <wp:docPr id="97"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628900" cy="200025"/>
                        </a:xfrm>
                        <a:prstGeom prst="rect"/>
                        <a:ln/>
                      </pic:spPr>
                    </pic:pic>
                  </a:graphicData>
                </a:graphic>
              </wp:anchor>
            </w:drawing>
          </mc:Fallback>
        </mc:AlternateContent>
      </w:r>
    </w:p>
    <w:p w14:paraId="679AC858"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B9A7D08" wp14:editId="30BB6CE8">
            <wp:extent cx="5484229" cy="6852959"/>
            <wp:effectExtent l="0" t="0" r="0" b="0"/>
            <wp:docPr id="1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5484229" cy="6852959"/>
                    </a:xfrm>
                    <a:prstGeom prst="rect">
                      <a:avLst/>
                    </a:prstGeom>
                    <a:ln/>
                  </pic:spPr>
                </pic:pic>
              </a:graphicData>
            </a:graphic>
          </wp:inline>
        </w:drawing>
      </w:r>
    </w:p>
    <w:p w14:paraId="3804C5BD"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tiene que dicha versión pública fue acompañada del acuerdo de comité de transparencia en el que se funda y motiva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quien atendió lo establecido en los artículos 3, fracciones XX, XXI, XXXIV y XLV, 91, 122, 135, 140, 141, 142, 143, 147, 148 y 149 de la repetitiva Ley de Transparencia, los cuales establecen lo siguiente:</w:t>
      </w:r>
    </w:p>
    <w:p w14:paraId="2A22C179" w14:textId="77777777" w:rsidR="002A12A7" w:rsidRDefault="002A12A7">
      <w:pPr>
        <w:tabs>
          <w:tab w:val="left" w:pos="709"/>
        </w:tabs>
        <w:ind w:left="567" w:right="567"/>
        <w:jc w:val="both"/>
        <w:rPr>
          <w:rFonts w:ascii="Palatino Linotype" w:eastAsia="Palatino Linotype" w:hAnsi="Palatino Linotype" w:cs="Palatino Linotype"/>
          <w:i/>
          <w:sz w:val="22"/>
          <w:szCs w:val="22"/>
        </w:rPr>
      </w:pPr>
    </w:p>
    <w:p w14:paraId="12650252"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4816C294"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Información clasificada: Aquella considerada por la presente Ley como reservada o confidencial; </w:t>
      </w:r>
    </w:p>
    <w:p w14:paraId="2C3389D9"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3C1AC1"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CDB3E8C"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XXXIV</w:t>
      </w:r>
      <w:r>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71FB51EE"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18305D4"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w:t>
      </w:r>
      <w:r>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2A838549"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29D113F"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2EAB5B8E" w14:textId="77777777" w:rsidR="002A12A7" w:rsidRDefault="000047D5">
      <w:pPr>
        <w:tabs>
          <w:tab w:val="left" w:pos="709"/>
        </w:tabs>
        <w:ind w:left="567" w:right="567"/>
        <w:jc w:val="both"/>
        <w:rPr>
          <w:rFonts w:ascii="Palatino Linotype" w:eastAsia="Palatino Linotype" w:hAnsi="Palatino Linotype" w:cs="Palatino Linotype"/>
          <w:i/>
          <w:sz w:val="22"/>
          <w:szCs w:val="22"/>
          <w:highlight w:val="yellow"/>
        </w:rPr>
      </w:pPr>
      <w:r>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7EE41CDD"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10345907"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3481611"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F8370AE" w14:textId="77777777" w:rsidR="002A12A7" w:rsidRDefault="000047D5">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30868945"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44CEF8A"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068E41F3"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A84BF54"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1ACA7E5" w14:textId="77777777" w:rsidR="002A12A7" w:rsidRDefault="000047D5">
      <w:pPr>
        <w:tabs>
          <w:tab w:val="left" w:pos="709"/>
        </w:tabs>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07B1E6BE"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148.</w:t>
      </w:r>
      <w:r>
        <w:rPr>
          <w:rFonts w:ascii="Palatino Linotype" w:eastAsia="Palatino Linotype" w:hAnsi="Palatino Linotype" w:cs="Palatino Linotype"/>
          <w:i/>
          <w:sz w:val="22"/>
          <w:szCs w:val="22"/>
        </w:rPr>
        <w:t xml:space="preserve"> No se requerirá el consentimiento del titular de la información confidencial cuando:</w:t>
      </w:r>
    </w:p>
    <w:p w14:paraId="4EEDC5E3"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información se encuentre en registros públicos o fuentes de acceso público;</w:t>
      </w:r>
    </w:p>
    <w:p w14:paraId="12CD7E84"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Por Ley tenga el carácter de pública;</w:t>
      </w:r>
    </w:p>
    <w:p w14:paraId="707B5AC1"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Exista una orden judicial;</w:t>
      </w:r>
    </w:p>
    <w:p w14:paraId="47557EEC"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5F2F149"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441F5749"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164563A" w14:textId="77777777" w:rsidR="002A12A7" w:rsidRDefault="000047D5">
      <w:pPr>
        <w:tabs>
          <w:tab w:val="left" w:pos="709"/>
        </w:tabs>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acuerdo que clasifique la información como confidencial deberá contener un razonamiento lógico en el que demuestre que la información se encuentra en alguna o algunas de las hipótesis previstas en la presente Ley</w:t>
      </w:r>
      <w:r>
        <w:rPr>
          <w:rFonts w:ascii="Palatino Linotype" w:eastAsia="Palatino Linotype" w:hAnsi="Palatino Linotype" w:cs="Palatino Linotype"/>
          <w:i/>
          <w:sz w:val="22"/>
          <w:szCs w:val="22"/>
        </w:rPr>
        <w:t>.” (Sic)</w:t>
      </w:r>
    </w:p>
    <w:p w14:paraId="014CA639" w14:textId="77777777" w:rsidR="002A12A7" w:rsidRDefault="002A12A7">
      <w:pPr>
        <w:tabs>
          <w:tab w:val="left" w:pos="709"/>
        </w:tabs>
        <w:ind w:left="567" w:right="567"/>
        <w:jc w:val="both"/>
        <w:rPr>
          <w:rFonts w:ascii="Palatino Linotype" w:eastAsia="Palatino Linotype" w:hAnsi="Palatino Linotype" w:cs="Palatino Linotype"/>
          <w:i/>
          <w:sz w:val="22"/>
          <w:szCs w:val="22"/>
        </w:rPr>
      </w:pPr>
    </w:p>
    <w:p w14:paraId="74918031"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0CEFD8F1" w14:textId="77777777" w:rsidR="002A12A7" w:rsidRDefault="002A12A7">
      <w:pPr>
        <w:spacing w:line="360" w:lineRule="auto"/>
        <w:jc w:val="both"/>
        <w:rPr>
          <w:rFonts w:ascii="Palatino Linotype" w:eastAsia="Palatino Linotype" w:hAnsi="Palatino Linotype" w:cs="Palatino Linotype"/>
        </w:rPr>
      </w:pPr>
    </w:p>
    <w:p w14:paraId="68624787" w14:textId="77777777" w:rsidR="002A12A7" w:rsidRDefault="000047D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D5EE5CE" w14:textId="77777777" w:rsidR="002A12A7" w:rsidRDefault="002A12A7">
      <w:pPr>
        <w:spacing w:line="360" w:lineRule="auto"/>
        <w:jc w:val="both"/>
        <w:rPr>
          <w:rFonts w:ascii="Palatino Linotype" w:eastAsia="Palatino Linotype" w:hAnsi="Palatino Linotype" w:cs="Palatino Linotype"/>
        </w:rPr>
      </w:pPr>
    </w:p>
    <w:p w14:paraId="5CA2C88E" w14:textId="77777777" w:rsidR="002A12A7" w:rsidRDefault="000047D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168</w:t>
      </w:r>
      <w:r>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BF4DCAE" w14:textId="77777777" w:rsidR="002A12A7" w:rsidRDefault="000047D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Área deberá remitir la solicitud, así como un escrito en el que </w:t>
      </w:r>
      <w:r>
        <w:rPr>
          <w:rFonts w:ascii="Palatino Linotype" w:eastAsia="Palatino Linotype" w:hAnsi="Palatino Linotype" w:cs="Palatino Linotype"/>
          <w:b/>
          <w:i/>
          <w:sz w:val="22"/>
          <w:szCs w:val="22"/>
        </w:rPr>
        <w:t>funde y motive la clasificación al Comité de Transparencia</w:t>
      </w:r>
      <w:r>
        <w:rPr>
          <w:rFonts w:ascii="Palatino Linotype" w:eastAsia="Palatino Linotype" w:hAnsi="Palatino Linotype" w:cs="Palatino Linotype"/>
          <w:i/>
          <w:sz w:val="22"/>
          <w:szCs w:val="22"/>
        </w:rPr>
        <w:t>, mismo que deberá resolver para:</w:t>
      </w:r>
    </w:p>
    <w:p w14:paraId="2BC2EB09" w14:textId="77777777" w:rsidR="002A12A7" w:rsidRDefault="000047D5">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a</w:t>
      </w:r>
      <w:r>
        <w:rPr>
          <w:rFonts w:ascii="Palatino Linotype" w:eastAsia="Palatino Linotype" w:hAnsi="Palatino Linotype" w:cs="Palatino Linotype"/>
          <w:b/>
          <w:i/>
          <w:sz w:val="22"/>
          <w:szCs w:val="22"/>
        </w:rPr>
        <w:t>) Confirmar la clasificación;</w:t>
      </w:r>
    </w:p>
    <w:p w14:paraId="6FBF7A6E" w14:textId="77777777" w:rsidR="002A12A7" w:rsidRDefault="000047D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1FC8B6B7" w14:textId="77777777" w:rsidR="002A12A7" w:rsidRDefault="000047D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72163B8E" w14:textId="77777777" w:rsidR="002A12A7" w:rsidRDefault="000047D5">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59F7B5D0" w14:textId="77777777" w:rsidR="002A12A7" w:rsidRDefault="002A12A7">
      <w:pPr>
        <w:spacing w:line="360" w:lineRule="auto"/>
        <w:jc w:val="both"/>
        <w:rPr>
          <w:rFonts w:ascii="Palatino Linotype" w:eastAsia="Palatino Linotype" w:hAnsi="Palatino Linotype" w:cs="Palatino Linotype"/>
        </w:rPr>
      </w:pPr>
    </w:p>
    <w:p w14:paraId="0F06D6E4"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ese contexto, para efecto de robustecer lo vertido con antelación</w:t>
      </w:r>
      <w:r w:rsidR="0032132E">
        <w:rPr>
          <w:rFonts w:ascii="Palatino Linotype" w:eastAsia="Palatino Linotype" w:hAnsi="Palatino Linotype" w:cs="Palatino Linotype"/>
        </w:rPr>
        <w:t xml:space="preserve"> por el </w:t>
      </w:r>
      <w:r w:rsidR="0032132E" w:rsidRPr="0032132E">
        <w:rPr>
          <w:rFonts w:ascii="Palatino Linotype" w:eastAsia="Palatino Linotype" w:hAnsi="Palatino Linotype" w:cs="Palatino Linotype"/>
          <w:b/>
        </w:rPr>
        <w:t>Sujeto Obligado</w:t>
      </w:r>
      <w:r>
        <w:rPr>
          <w:rFonts w:ascii="Palatino Linotype" w:eastAsia="Palatino Linotype" w:hAnsi="Palatino Linotype" w:cs="Palatino Linotype"/>
        </w:rPr>
        <w:t>, se analizarán si los datos mencionados, deben ser considerados confi</w:t>
      </w:r>
      <w:r w:rsidR="0032132E">
        <w:rPr>
          <w:rFonts w:ascii="Palatino Linotype" w:eastAsia="Palatino Linotype" w:hAnsi="Palatino Linotype" w:cs="Palatino Linotype"/>
        </w:rPr>
        <w:t>denciales, tal como lo señaló en el Acuerdo de Clasificación</w:t>
      </w:r>
      <w:r>
        <w:rPr>
          <w:rFonts w:ascii="Palatino Linotype" w:eastAsia="Palatino Linotype" w:hAnsi="Palatino Linotype" w:cs="Palatino Linotype"/>
        </w:rPr>
        <w:t>, en términos del artículo 143, fracción I, de la Ley de Transparencia y Acceso a la Información Pública del Estado de México y Municipios, o públicos.</w:t>
      </w:r>
    </w:p>
    <w:p w14:paraId="146E92A4" w14:textId="77777777" w:rsidR="002A12A7" w:rsidRDefault="002A12A7">
      <w:pPr>
        <w:spacing w:line="360" w:lineRule="auto"/>
        <w:ind w:right="49"/>
        <w:jc w:val="both"/>
        <w:rPr>
          <w:rFonts w:ascii="Palatino Linotype" w:eastAsia="Palatino Linotype" w:hAnsi="Palatino Linotype" w:cs="Palatino Linotype"/>
          <w:highlight w:val="yellow"/>
        </w:rPr>
      </w:pPr>
    </w:p>
    <w:p w14:paraId="70FC5EB0" w14:textId="77777777" w:rsidR="002A12A7" w:rsidRDefault="000047D5">
      <w:pP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r>
        <w:rPr>
          <w:rFonts w:ascii="Palatino Linotype" w:eastAsia="Palatino Linotype" w:hAnsi="Palatino Linotype" w:cs="Palatino Linotype"/>
          <w:b/>
        </w:rPr>
        <w:t>Registro Federal de Contribuyentes (RFC)</w:t>
      </w:r>
    </w:p>
    <w:p w14:paraId="1CC98039" w14:textId="77777777" w:rsidR="002A12A7" w:rsidRDefault="002A12A7">
      <w:pPr>
        <w:spacing w:line="360" w:lineRule="auto"/>
        <w:ind w:right="49"/>
        <w:jc w:val="both"/>
        <w:rPr>
          <w:rFonts w:ascii="Palatino Linotype" w:eastAsia="Palatino Linotype" w:hAnsi="Palatino Linotype" w:cs="Palatino Linotype"/>
        </w:rPr>
      </w:pPr>
    </w:p>
    <w:p w14:paraId="7948CEF7" w14:textId="77777777" w:rsidR="0032132E" w:rsidRPr="0032132E" w:rsidRDefault="0032132E" w:rsidP="0032132E">
      <w:pPr>
        <w:spacing w:line="360" w:lineRule="auto"/>
        <w:jc w:val="both"/>
        <w:rPr>
          <w:rFonts w:ascii="Palatino Linotype" w:eastAsia="Palatino Linotype" w:hAnsi="Palatino Linotype" w:cs="Palatino Linotype"/>
          <w:lang w:val="es-MX"/>
        </w:rPr>
      </w:pPr>
      <w:r w:rsidRPr="0032132E">
        <w:rPr>
          <w:rFonts w:ascii="Palatino Linotype" w:eastAsia="Palatino Linotype" w:hAnsi="Palatino Linotype" w:cs="Palatino Linotype"/>
          <w:lang w:val="es-MX"/>
        </w:rPr>
        <w:t xml:space="preserve">Por cuanto hace al </w:t>
      </w:r>
      <w:r w:rsidRPr="0032132E">
        <w:rPr>
          <w:rFonts w:ascii="Palatino Linotype" w:eastAsia="Palatino Linotype" w:hAnsi="Palatino Linotype" w:cs="Palatino Linotype"/>
          <w:b/>
          <w:lang w:val="es-MX"/>
        </w:rPr>
        <w:t>Registro Federal de Contribuyentes (RFC),</w:t>
      </w:r>
      <w:r w:rsidRPr="0032132E">
        <w:rPr>
          <w:rFonts w:ascii="Palatino Linotype" w:eastAsia="Palatino Linotype" w:hAnsi="Palatino Linotype" w:cs="Palatino Linotype"/>
          <w:lang w:val="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938C5C6" w14:textId="77777777" w:rsidR="0032132E" w:rsidRPr="0032132E" w:rsidRDefault="0032132E" w:rsidP="0032132E">
      <w:pPr>
        <w:spacing w:line="360" w:lineRule="auto"/>
        <w:jc w:val="both"/>
        <w:rPr>
          <w:rFonts w:ascii="Palatino Linotype" w:eastAsia="Palatino Linotype" w:hAnsi="Palatino Linotype" w:cs="Palatino Linotype"/>
          <w:lang w:val="es-MX"/>
        </w:rPr>
      </w:pPr>
    </w:p>
    <w:p w14:paraId="12083A70" w14:textId="77777777" w:rsidR="0032132E" w:rsidRPr="0032132E" w:rsidRDefault="0032132E" w:rsidP="0032132E">
      <w:pPr>
        <w:spacing w:line="360" w:lineRule="auto"/>
        <w:jc w:val="both"/>
        <w:rPr>
          <w:rFonts w:ascii="Palatino Linotype" w:eastAsia="Palatino Linotype" w:hAnsi="Palatino Linotype" w:cs="Palatino Linotype"/>
          <w:lang w:val="es-MX"/>
        </w:rPr>
      </w:pPr>
      <w:r w:rsidRPr="0032132E">
        <w:rPr>
          <w:rFonts w:ascii="Palatino Linotype" w:eastAsia="Palatino Linotype" w:hAnsi="Palatino Linotype" w:cs="Palatino Linotype"/>
          <w:lang w:val="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0B697C1" w14:textId="77777777" w:rsidR="0032132E" w:rsidRPr="0032132E" w:rsidRDefault="0032132E" w:rsidP="0032132E">
      <w:pPr>
        <w:spacing w:line="360" w:lineRule="auto"/>
        <w:ind w:right="49"/>
        <w:jc w:val="both"/>
        <w:rPr>
          <w:rFonts w:ascii="Palatino Linotype" w:eastAsia="Palatino Linotype" w:hAnsi="Palatino Linotype" w:cs="Palatino Linotype"/>
          <w:lang w:val="es-MX"/>
        </w:rPr>
      </w:pPr>
      <w:r w:rsidRPr="0032132E">
        <w:rPr>
          <w:rFonts w:ascii="Palatino Linotype" w:eastAsia="Palatino Linotype" w:hAnsi="Palatino Linotype" w:cs="Palatino Linotype"/>
          <w:lang w:val="es-MX"/>
        </w:rPr>
        <w:t xml:space="preserve">Lo anterior es compartido por el entonces Instituto Federal de Acceso a la Información Pública y Protección de Datos Personales (IFAI) a través del Criterio </w:t>
      </w:r>
      <w:r w:rsidRPr="0032132E">
        <w:rPr>
          <w:rFonts w:ascii="Palatino Linotype" w:eastAsia="Palatino Linotype" w:hAnsi="Palatino Linotype" w:cs="Palatino Linotype"/>
          <w:highlight w:val="white"/>
          <w:lang w:val="es-MX"/>
        </w:rPr>
        <w:t xml:space="preserve">19/17, </w:t>
      </w:r>
      <w:r w:rsidRPr="0032132E">
        <w:rPr>
          <w:rFonts w:ascii="Palatino Linotype" w:eastAsia="Palatino Linotype" w:hAnsi="Palatino Linotype" w:cs="Palatino Linotype"/>
          <w:lang w:val="es-MX"/>
        </w:rPr>
        <w:t>el cual es del tenor literal siguiente:</w:t>
      </w:r>
    </w:p>
    <w:p w14:paraId="57E8A260" w14:textId="77777777" w:rsidR="0032132E" w:rsidRPr="0032132E" w:rsidRDefault="0032132E" w:rsidP="0032132E">
      <w:pPr>
        <w:spacing w:line="360" w:lineRule="auto"/>
        <w:ind w:left="851" w:right="900"/>
        <w:jc w:val="both"/>
        <w:rPr>
          <w:rFonts w:ascii="Palatino Linotype" w:eastAsia="Palatino Linotype" w:hAnsi="Palatino Linotype" w:cs="Palatino Linotype"/>
          <w:b/>
          <w:i/>
          <w:sz w:val="22"/>
          <w:szCs w:val="22"/>
          <w:lang w:val="es-MX"/>
        </w:rPr>
      </w:pPr>
    </w:p>
    <w:p w14:paraId="12AA1FDC" w14:textId="77777777" w:rsidR="0032132E" w:rsidRPr="0032132E" w:rsidRDefault="0032132E" w:rsidP="0032132E">
      <w:pPr>
        <w:spacing w:line="360" w:lineRule="auto"/>
        <w:ind w:left="851" w:right="900"/>
        <w:jc w:val="both"/>
        <w:rPr>
          <w:rFonts w:ascii="Palatino Linotype" w:eastAsia="Palatino Linotype" w:hAnsi="Palatino Linotype" w:cs="Palatino Linotype"/>
          <w:i/>
          <w:sz w:val="22"/>
          <w:szCs w:val="22"/>
          <w:lang w:val="es-MX"/>
        </w:rPr>
      </w:pPr>
      <w:r w:rsidRPr="0032132E">
        <w:rPr>
          <w:rFonts w:ascii="Palatino Linotype" w:eastAsia="Palatino Linotype" w:hAnsi="Palatino Linotype" w:cs="Palatino Linotype"/>
          <w:b/>
          <w:i/>
          <w:sz w:val="22"/>
          <w:szCs w:val="22"/>
          <w:lang w:val="es-MX"/>
        </w:rPr>
        <w:t>“Registro Federal de Contribuyentes (RFC) de personas físicas</w:t>
      </w:r>
      <w:r w:rsidRPr="0032132E">
        <w:rPr>
          <w:rFonts w:ascii="Palatino Linotype" w:eastAsia="Palatino Linotype" w:hAnsi="Palatino Linotype" w:cs="Palatino Linotype"/>
          <w:i/>
          <w:sz w:val="22"/>
          <w:szCs w:val="22"/>
          <w:lang w:val="es-MX"/>
        </w:rPr>
        <w:t>. El RFC es una clave de carácter fiscal, única e irrepetible, que permite identificar al titular, su edad y fecha de nacimiento, por lo que es un dato personal de carácter confidencial.”</w:t>
      </w:r>
    </w:p>
    <w:p w14:paraId="2394EC60" w14:textId="77777777" w:rsidR="0032132E" w:rsidRPr="0032132E" w:rsidRDefault="0032132E" w:rsidP="0032132E">
      <w:pPr>
        <w:spacing w:line="360" w:lineRule="auto"/>
        <w:jc w:val="both"/>
        <w:rPr>
          <w:rFonts w:ascii="Palatino Linotype" w:eastAsia="Palatino Linotype" w:hAnsi="Palatino Linotype" w:cs="Palatino Linotype"/>
          <w:sz w:val="22"/>
          <w:szCs w:val="22"/>
          <w:lang w:val="es-MX"/>
        </w:rPr>
      </w:pPr>
    </w:p>
    <w:p w14:paraId="233CF438" w14:textId="77777777" w:rsidR="0032132E" w:rsidRPr="0032132E" w:rsidRDefault="0032132E" w:rsidP="0032132E">
      <w:pPr>
        <w:spacing w:line="360" w:lineRule="auto"/>
        <w:jc w:val="both"/>
        <w:rPr>
          <w:rFonts w:ascii="Palatino Linotype" w:eastAsia="Palatino Linotype" w:hAnsi="Palatino Linotype" w:cs="Palatino Linotype"/>
          <w:lang w:val="es-MX"/>
        </w:rPr>
      </w:pPr>
      <w:r w:rsidRPr="0032132E">
        <w:rPr>
          <w:rFonts w:ascii="Palatino Linotype" w:eastAsia="Palatino Linotype" w:hAnsi="Palatino Linotype" w:cs="Palatino Linotype"/>
          <w:lang w:val="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471DDE9" w14:textId="77777777" w:rsidR="002A12A7" w:rsidRDefault="002A12A7">
      <w:pPr>
        <w:ind w:right="49"/>
        <w:rPr>
          <w:rFonts w:ascii="Palatino Linotype" w:eastAsia="Palatino Linotype" w:hAnsi="Palatino Linotype" w:cs="Palatino Linotype"/>
          <w:b/>
        </w:rPr>
      </w:pPr>
    </w:p>
    <w:p w14:paraId="4F5B1E1E" w14:textId="77777777" w:rsidR="0032132E" w:rsidRDefault="0032132E">
      <w:pPr>
        <w:ind w:right="49"/>
        <w:rPr>
          <w:rFonts w:ascii="Palatino Linotype" w:eastAsia="Palatino Linotype" w:hAnsi="Palatino Linotype" w:cs="Palatino Linotype"/>
          <w:b/>
        </w:rPr>
      </w:pPr>
    </w:p>
    <w:p w14:paraId="759F4315" w14:textId="77777777" w:rsidR="0032132E" w:rsidRDefault="0032132E">
      <w:pPr>
        <w:ind w:right="49"/>
        <w:rPr>
          <w:rFonts w:ascii="Palatino Linotype" w:eastAsia="Palatino Linotype" w:hAnsi="Palatino Linotype" w:cs="Palatino Linotype"/>
          <w:b/>
        </w:rPr>
      </w:pPr>
    </w:p>
    <w:p w14:paraId="79DD62D4" w14:textId="77777777" w:rsidR="0032132E" w:rsidRDefault="0032132E">
      <w:pPr>
        <w:ind w:right="49"/>
        <w:rPr>
          <w:rFonts w:ascii="Palatino Linotype" w:eastAsia="Palatino Linotype" w:hAnsi="Palatino Linotype" w:cs="Palatino Linotype"/>
          <w:b/>
        </w:rPr>
      </w:pPr>
    </w:p>
    <w:p w14:paraId="3D2555ED" w14:textId="77777777" w:rsidR="002A12A7" w:rsidRDefault="000047D5">
      <w:pPr>
        <w:ind w:right="49"/>
        <w:rPr>
          <w:rFonts w:ascii="Palatino Linotype" w:eastAsia="Palatino Linotype" w:hAnsi="Palatino Linotype" w:cs="Palatino Linotype"/>
          <w:b/>
        </w:rPr>
      </w:pPr>
      <w:r>
        <w:rPr>
          <w:rFonts w:ascii="Palatino Linotype" w:eastAsia="Palatino Linotype" w:hAnsi="Palatino Linotype" w:cs="Palatino Linotype"/>
          <w:b/>
        </w:rPr>
        <w:t>- Cuenta bancaria de servidores públicos</w:t>
      </w:r>
    </w:p>
    <w:p w14:paraId="5C5E4920" w14:textId="77777777" w:rsidR="002A12A7" w:rsidRDefault="002A12A7">
      <w:pPr>
        <w:ind w:right="49"/>
        <w:rPr>
          <w:rFonts w:ascii="Palatino Linotype" w:eastAsia="Palatino Linotype" w:hAnsi="Palatino Linotype" w:cs="Palatino Linotype"/>
          <w:b/>
        </w:rPr>
      </w:pPr>
    </w:p>
    <w:p w14:paraId="28283D46"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 </w:t>
      </w:r>
    </w:p>
    <w:p w14:paraId="2AC36871" w14:textId="77777777" w:rsidR="002A12A7" w:rsidRDefault="002A12A7">
      <w:pPr>
        <w:spacing w:line="360" w:lineRule="auto"/>
        <w:ind w:right="49"/>
        <w:jc w:val="both"/>
        <w:rPr>
          <w:rFonts w:ascii="Palatino Linotype" w:eastAsia="Palatino Linotype" w:hAnsi="Palatino Linotype" w:cs="Palatino Linotype"/>
        </w:rPr>
      </w:pPr>
    </w:p>
    <w:p w14:paraId="258A91DE"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resulta necesario traer a colación el Criterio 10/17 emitido por el Instituto Nacional de Transparencia, Acceso a la Información y Protección de Datos Personales, mismo que establece lo siguiente: </w:t>
      </w:r>
    </w:p>
    <w:p w14:paraId="500AAAD1" w14:textId="77777777" w:rsidR="002A12A7" w:rsidRDefault="002A12A7">
      <w:pPr>
        <w:spacing w:line="360" w:lineRule="auto"/>
        <w:ind w:right="49"/>
        <w:jc w:val="both"/>
        <w:rPr>
          <w:rFonts w:ascii="Palatino Linotype" w:eastAsia="Palatino Linotype" w:hAnsi="Palatino Linotype" w:cs="Palatino Linotype"/>
        </w:rPr>
      </w:pPr>
    </w:p>
    <w:p w14:paraId="44480478" w14:textId="77777777" w:rsidR="002A12A7" w:rsidRDefault="000047D5">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9E042B1" w14:textId="77777777" w:rsidR="002A12A7" w:rsidRDefault="002A12A7">
      <w:pPr>
        <w:spacing w:line="360" w:lineRule="auto"/>
        <w:ind w:right="49"/>
        <w:jc w:val="both"/>
        <w:rPr>
          <w:rFonts w:ascii="Palatino Linotype" w:eastAsia="Palatino Linotype" w:hAnsi="Palatino Linotype" w:cs="Palatino Linotype"/>
        </w:rPr>
      </w:pPr>
    </w:p>
    <w:p w14:paraId="4B6B44A3" w14:textId="77777777" w:rsidR="002A12A7" w:rsidRDefault="000047D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D34EDDD" w14:textId="77777777" w:rsidR="002A12A7" w:rsidRDefault="002A12A7">
      <w:pPr>
        <w:ind w:right="49"/>
        <w:rPr>
          <w:rFonts w:ascii="Palatino Linotype" w:eastAsia="Palatino Linotype" w:hAnsi="Palatino Linotype" w:cs="Palatino Linotype"/>
          <w:b/>
        </w:rPr>
      </w:pPr>
    </w:p>
    <w:p w14:paraId="22963085" w14:textId="77777777" w:rsidR="002A12A7" w:rsidRDefault="000047D5">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Hechas estas precisiones,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cumplió con lo señalado en lo procedente, al acompañar la información remitida en versión pública, con el respectivo acuerdo del Comité de Transparencia que funde y motive del por qué testó el RFC y número de cuenta bancario de los comprobantes bancarios de dispersión de nómina, atendiendo así lo establecido por el artículo 9, fracción I, VI, VIII y 11 párrafo primero de la ley de la Materia.</w:t>
      </w:r>
    </w:p>
    <w:p w14:paraId="76D03442" w14:textId="77777777" w:rsidR="002A12A7" w:rsidRDefault="002A12A7">
      <w:pPr>
        <w:spacing w:line="360" w:lineRule="auto"/>
      </w:pPr>
    </w:p>
    <w:p w14:paraId="2C71AEEE" w14:textId="77777777" w:rsidR="002A12A7" w:rsidRDefault="000047D5">
      <w:pPr>
        <w:pBdr>
          <w:top w:val="nil"/>
          <w:left w:val="nil"/>
          <w:bottom w:val="nil"/>
          <w:right w:val="nil"/>
          <w:between w:val="nil"/>
        </w:pBdr>
        <w:spacing w:after="240" w:line="360" w:lineRule="auto"/>
        <w:jc w:val="both"/>
        <w:rPr>
          <w:color w:val="000000"/>
        </w:rPr>
      </w:pPr>
      <w:bookmarkStart w:id="4" w:name="_heading=h.3znysh7" w:colFirst="0" w:colLast="0"/>
      <w:bookmarkEnd w:id="4"/>
      <w:r>
        <w:rPr>
          <w:rFonts w:ascii="Palatino Linotype" w:eastAsia="Palatino Linotype" w:hAnsi="Palatino Linotype" w:cs="Palatino Linotype"/>
          <w:color w:val="000000"/>
        </w:rPr>
        <w:t xml:space="preserve">Adicionalmente,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expresó los artículos, fracciones, incisos o subincisos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Pr>
          <w:rFonts w:ascii="Palatino Linotype" w:eastAsia="Palatino Linotype" w:hAnsi="Palatino Linotype" w:cs="Palatino Linotype"/>
          <w:color w:val="222222"/>
        </w:rPr>
        <w:t xml:space="preserve">carece de fundamentación y motivación, consistentes en la </w:t>
      </w:r>
      <w:r>
        <w:rPr>
          <w:rFonts w:ascii="Palatino Linotype" w:eastAsia="Palatino Linotype" w:hAnsi="Palatino Linotype" w:cs="Palatino Linotype"/>
          <w:color w:val="000000"/>
        </w:rPr>
        <w:t>obligación que tiene todo ente público de expresar los preceptos jurídicos aplicables al asunto motivo del acto y las razones o argumentos de su actuar.</w:t>
      </w:r>
    </w:p>
    <w:p w14:paraId="2050AA1E" w14:textId="77777777" w:rsidR="002A12A7" w:rsidRDefault="000047D5">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Al respecto, el máximo tribunal del país ha establecido jurisprudencia respecto a qué debe entenderse por fundamentación y motivación, en los siguientes términos:</w:t>
      </w:r>
    </w:p>
    <w:p w14:paraId="519B0994" w14:textId="77777777" w:rsidR="002A12A7" w:rsidRDefault="002A12A7">
      <w:pPr>
        <w:spacing w:line="360" w:lineRule="auto"/>
      </w:pPr>
    </w:p>
    <w:p w14:paraId="43CB53F3" w14:textId="77777777" w:rsidR="002A12A7" w:rsidRDefault="000047D5">
      <w:pPr>
        <w:pBdr>
          <w:top w:val="nil"/>
          <w:left w:val="nil"/>
          <w:bottom w:val="nil"/>
          <w:right w:val="nil"/>
          <w:between w:val="nil"/>
        </w:pBdr>
        <w:ind w:left="851" w:right="850"/>
        <w:jc w:val="both"/>
        <w:rPr>
          <w:color w:val="000000"/>
        </w:rPr>
      </w:pPr>
      <w:r>
        <w:rPr>
          <w:rFonts w:ascii="Palatino Linotype" w:eastAsia="Palatino Linotype" w:hAnsi="Palatino Linotype" w:cs="Palatino Linotype"/>
          <w:b/>
          <w:i/>
          <w:color w:val="000000"/>
          <w:sz w:val="22"/>
          <w:szCs w:val="22"/>
        </w:rPr>
        <w:t xml:space="preserve">“FUNDAMENTACION Y MOTIVACION. </w:t>
      </w:r>
      <w:r>
        <w:rPr>
          <w:rFonts w:ascii="Palatino Linotype" w:eastAsia="Palatino Linotype" w:hAnsi="Palatino Linotype" w:cs="Palatino Linotype"/>
          <w:i/>
          <w:color w:val="000000"/>
          <w:sz w:val="22"/>
          <w:szCs w:val="22"/>
        </w:rPr>
        <w:t xml:space="preserve">La </w:t>
      </w:r>
      <w:r>
        <w:rPr>
          <w:rFonts w:ascii="Palatino Linotype" w:eastAsia="Palatino Linotype" w:hAnsi="Palatino Linotype" w:cs="Palatino Linotype"/>
          <w:b/>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color w:val="000000"/>
          <w:sz w:val="22"/>
          <w:szCs w:val="22"/>
        </w:rPr>
        <w:t>.</w:t>
      </w:r>
    </w:p>
    <w:p w14:paraId="6A605B4E" w14:textId="77777777" w:rsidR="002A12A7" w:rsidRDefault="000047D5">
      <w:pPr>
        <w:pBdr>
          <w:top w:val="nil"/>
          <w:left w:val="nil"/>
          <w:bottom w:val="nil"/>
          <w:right w:val="nil"/>
          <w:between w:val="nil"/>
        </w:pBdr>
        <w:ind w:left="851" w:right="850"/>
        <w:jc w:val="both"/>
        <w:rPr>
          <w:color w:val="000000"/>
        </w:rPr>
      </w:pPr>
      <w:r>
        <w:rPr>
          <w:rFonts w:ascii="Palatino Linotype" w:eastAsia="Palatino Linotype" w:hAnsi="Palatino Linotype" w:cs="Palatino Linotype"/>
          <w:b/>
          <w:i/>
          <w:color w:val="000000"/>
          <w:sz w:val="22"/>
          <w:szCs w:val="22"/>
        </w:rPr>
        <w:t>…”(Sic)</w:t>
      </w:r>
    </w:p>
    <w:p w14:paraId="0D9BAADD" w14:textId="77777777" w:rsidR="002A12A7" w:rsidRDefault="002A12A7"/>
    <w:p w14:paraId="27F68680" w14:textId="77777777" w:rsidR="002A12A7" w:rsidRDefault="000047D5">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Así, en un acto de autoridad se surte la debida fundamentación cuando se cita el precepto legal aplicable al caso concreto y la debida motivación cuando se </w:t>
      </w:r>
      <w:r>
        <w:rPr>
          <w:rFonts w:ascii="Palatino Linotype" w:eastAsia="Palatino Linotype" w:hAnsi="Palatino Linotype" w:cs="Palatino Linotype"/>
          <w:color w:val="222222"/>
        </w:rPr>
        <w:t>expresan</w:t>
      </w:r>
      <w:r>
        <w:rPr>
          <w:rFonts w:ascii="Palatino Linotype" w:eastAsia="Palatino Linotype" w:hAnsi="Palatino Linotype" w:cs="Palatino Linotype"/>
          <w:color w:val="000000"/>
        </w:rPr>
        <w:t xml:space="preserve"> las razones, motivos o circunstancias que tomó en cuenta la autoridad para adecuar el hecho a los fundamentos de derecho.</w:t>
      </w:r>
    </w:p>
    <w:p w14:paraId="3792A867" w14:textId="77777777" w:rsidR="002A12A7" w:rsidRDefault="002A12A7">
      <w:pPr>
        <w:spacing w:line="360" w:lineRule="auto"/>
      </w:pPr>
    </w:p>
    <w:p w14:paraId="10535156" w14:textId="77777777" w:rsidR="002A12A7" w:rsidRDefault="000047D5">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Más aún, a través de diversa jurisprudencia dictada por el </w:t>
      </w:r>
      <w:r>
        <w:rPr>
          <w:rFonts w:ascii="Palatino Linotype" w:eastAsia="Palatino Linotype" w:hAnsi="Palatino Linotype" w:cs="Palatino Linotype"/>
          <w:color w:val="222222"/>
        </w:rPr>
        <w:t>Poder</w:t>
      </w:r>
      <w:r>
        <w:rPr>
          <w:rFonts w:ascii="Palatino Linotype" w:eastAsia="Palatino Linotype" w:hAnsi="Palatino Linotype" w:cs="Palatino Linotype"/>
          <w:color w:val="000000"/>
        </w:rPr>
        <w:t xml:space="preserve"> Judicial de la Federación se sostiene que la finalidad de la fundamentación o motivación es la de explicar, justificar, posibilitar la defensa y comunicar la decisión de la autoridad:</w:t>
      </w:r>
    </w:p>
    <w:p w14:paraId="67640284" w14:textId="77777777" w:rsidR="002A12A7" w:rsidRDefault="002A12A7"/>
    <w:p w14:paraId="02C17D97" w14:textId="77777777" w:rsidR="002A12A7" w:rsidRDefault="000047D5">
      <w:pPr>
        <w:pBdr>
          <w:top w:val="nil"/>
          <w:left w:val="nil"/>
          <w:bottom w:val="nil"/>
          <w:right w:val="nil"/>
          <w:between w:val="nil"/>
        </w:pBdr>
        <w:ind w:left="851" w:right="899"/>
        <w:jc w:val="both"/>
        <w:rPr>
          <w:color w:val="000000"/>
        </w:rPr>
      </w:pPr>
      <w:r>
        <w:rPr>
          <w:rFonts w:ascii="Palatino Linotype" w:eastAsia="Palatino Linotype" w:hAnsi="Palatino Linotype" w:cs="Palatino Linotype"/>
          <w:b/>
          <w:i/>
          <w:color w:val="000000"/>
          <w:sz w:val="22"/>
          <w:szCs w:val="22"/>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color w:val="000000"/>
          <w:sz w:val="22"/>
          <w:szCs w:val="22"/>
        </w:rPr>
        <w:t>. El contenido formal de la garantía de legalidad prevista en el artículo 16 constitucional relativa a la fundamentación</w:t>
      </w:r>
      <w:r>
        <w:rPr>
          <w:rFonts w:ascii="Palatino Linotype" w:eastAsia="Palatino Linotype" w:hAnsi="Palatino Linotype" w:cs="Palatino Linotype"/>
          <w:b/>
          <w:i/>
          <w:color w:val="000000"/>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color w:val="000000"/>
          <w:sz w:val="22"/>
          <w:szCs w:val="22"/>
        </w:rPr>
        <w:t xml:space="preserve">. Por tanto, </w:t>
      </w:r>
      <w:r>
        <w:rPr>
          <w:rFonts w:ascii="Palatino Linotype" w:eastAsia="Palatino Linotype" w:hAnsi="Palatino Linotype" w:cs="Palatino Linotype"/>
          <w:b/>
          <w:i/>
          <w:color w:val="000000"/>
          <w:sz w:val="22"/>
          <w:szCs w:val="22"/>
          <w:u w:val="single"/>
        </w:rPr>
        <w:t>no basta que el acto de autoridad apenas observe una motivación pro forma pero de una manera incongruente, insuficiente o imprecisa</w:t>
      </w:r>
      <w:r>
        <w:rPr>
          <w:rFonts w:ascii="Palatino Linotype" w:eastAsia="Palatino Linotype" w:hAnsi="Palatino Linotype" w:cs="Palatino Linotype"/>
          <w:i/>
          <w:color w:val="000000"/>
          <w:sz w:val="22"/>
          <w:szCs w:val="22"/>
        </w:rPr>
        <w:t>, que impida la finalidad del conocimiento, comprobación y defensa pertinente</w:t>
      </w:r>
      <w:r>
        <w:rPr>
          <w:rFonts w:ascii="Palatino Linotype" w:eastAsia="Palatino Linotype" w:hAnsi="Palatino Linotype" w:cs="Palatino Linotype"/>
          <w:b/>
          <w:i/>
          <w:color w:val="000000"/>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color w:val="000000"/>
          <w:sz w:val="22"/>
          <w:szCs w:val="22"/>
        </w:rPr>
        <w:t>.”(Sic)</w:t>
      </w:r>
    </w:p>
    <w:p w14:paraId="53FBB217" w14:textId="77777777" w:rsidR="002A12A7" w:rsidRDefault="002A12A7"/>
    <w:p w14:paraId="79EC0AF3" w14:textId="77777777" w:rsidR="002A12A7" w:rsidRDefault="000047D5">
      <w:pPr>
        <w:pBdr>
          <w:top w:val="nil"/>
          <w:left w:val="nil"/>
          <w:bottom w:val="nil"/>
          <w:right w:val="nil"/>
          <w:between w:val="nil"/>
        </w:pBdr>
        <w:ind w:left="851" w:right="899"/>
        <w:jc w:val="both"/>
        <w:rPr>
          <w:color w:val="000000"/>
        </w:rPr>
      </w:pPr>
      <w:r>
        <w:rPr>
          <w:rFonts w:ascii="Palatino Linotype" w:eastAsia="Palatino Linotype" w:hAnsi="Palatino Linotype" w:cs="Palatino Linotype"/>
          <w:i/>
          <w:color w:val="000000"/>
          <w:sz w:val="22"/>
          <w:szCs w:val="22"/>
        </w:rPr>
        <w:t>Énfasis añadido.</w:t>
      </w:r>
    </w:p>
    <w:p w14:paraId="6F6D0103" w14:textId="77777777" w:rsidR="002A12A7" w:rsidRDefault="002A12A7"/>
    <w:p w14:paraId="43CCD04B" w14:textId="77777777" w:rsidR="002A12A7" w:rsidRDefault="000047D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35F9EFF" w14:textId="77777777" w:rsidR="002A12A7" w:rsidRDefault="002A12A7">
      <w:pPr>
        <w:spacing w:line="360" w:lineRule="auto"/>
        <w:jc w:val="both"/>
        <w:rPr>
          <w:rFonts w:ascii="Palatino Linotype" w:eastAsia="Palatino Linotype" w:hAnsi="Palatino Linotype" w:cs="Palatino Linotype"/>
        </w:rPr>
      </w:pPr>
    </w:p>
    <w:p w14:paraId="266356A2" w14:textId="77777777" w:rsidR="002A12A7" w:rsidRDefault="000047D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4BFF4EF5" w14:textId="77777777" w:rsidR="002A12A7" w:rsidRDefault="000047D5">
      <w:pPr>
        <w:numPr>
          <w:ilvl w:val="0"/>
          <w:numId w:val="4"/>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C84D922" w14:textId="77777777" w:rsidR="002A12A7" w:rsidRDefault="000047D5">
      <w:pPr>
        <w:spacing w:before="240" w:after="240" w:line="360" w:lineRule="auto"/>
        <w:jc w:val="both"/>
        <w:rPr>
          <w:rFonts w:ascii="Palatino Linotype" w:eastAsia="Palatino Linotype" w:hAnsi="Palatino Linotype" w:cs="Palatino Linotype"/>
          <w:b/>
        </w:rPr>
      </w:pPr>
      <w:bookmarkStart w:id="5" w:name="_heading=h.3dy6vkm" w:colFirst="0" w:colLast="0"/>
      <w:bookmarkEnd w:id="5"/>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los motivos de inconformidad aducidos por el Recurrente en el Recurso de revisión</w:t>
      </w:r>
      <w:r>
        <w:rPr>
          <w:rFonts w:ascii="Palatino Linotype" w:eastAsia="Palatino Linotype" w:hAnsi="Palatino Linotype" w:cs="Palatino Linotype"/>
          <w:b/>
        </w:rPr>
        <w:t xml:space="preserve"> 04064/INFOEM/IP/RR/2022, </w:t>
      </w:r>
      <w:r>
        <w:rPr>
          <w:rFonts w:ascii="Palatino Linotype" w:eastAsia="Palatino Linotype" w:hAnsi="Palatino Linotype" w:cs="Palatino Linotype"/>
        </w:rPr>
        <w:t>por lo que, en términos de los argumentos señalados en el Considerando Cuarto</w:t>
      </w:r>
      <w:r>
        <w:rPr>
          <w:rFonts w:ascii="Palatino Linotype" w:eastAsia="Palatino Linotype" w:hAnsi="Palatino Linotype" w:cs="Palatino Linotype"/>
          <w:b/>
        </w:rPr>
        <w:t xml:space="preserve"> se CONFIRMA </w:t>
      </w:r>
      <w:r>
        <w:rPr>
          <w:rFonts w:ascii="Palatino Linotype" w:eastAsia="Palatino Linotype" w:hAnsi="Palatino Linotype" w:cs="Palatino Linotype"/>
        </w:rPr>
        <w:t>la respuesta emitida por el Sujeto Obligado.</w:t>
      </w:r>
    </w:p>
    <w:p w14:paraId="2F8AB5CF"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Notifíquese al Titular de la Unidad de Transparencia</w:t>
      </w:r>
      <w:r>
        <w:rPr>
          <w:rFonts w:ascii="Palatino Linotype" w:eastAsia="Palatino Linotype" w:hAnsi="Palatino Linotype" w:cs="Palatino Linotype"/>
          <w:b/>
        </w:rPr>
        <w:t xml:space="preserve">, vía Sistema de Acceso a la Información Mexiquense (SAIMEX), </w:t>
      </w:r>
      <w:r>
        <w:rPr>
          <w:rFonts w:ascii="Palatino Linotype" w:eastAsia="Palatino Linotype" w:hAnsi="Palatino Linotype" w:cs="Palatino Linotype"/>
        </w:rPr>
        <w:t>para su conocimiento.</w:t>
      </w:r>
    </w:p>
    <w:p w14:paraId="776D9279"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w:t>
      </w:r>
      <w:r>
        <w:rPr>
          <w:rFonts w:ascii="Palatino Linotype" w:eastAsia="Palatino Linotype" w:hAnsi="Palatino Linotype" w:cs="Palatino Linotype"/>
          <w:b/>
        </w:rPr>
        <w:t xml:space="preserve"> vía Sistema de Acceso a la Información Mexiquense (SAIMEX), </w:t>
      </w:r>
      <w:r>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0330660E" w14:textId="77777777" w:rsidR="002A12A7" w:rsidRDefault="000047D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1775F7">
        <w:rPr>
          <w:rFonts w:ascii="Palatino Linotype" w:eastAsia="Palatino Linotype" w:hAnsi="Palatino Linotype" w:cs="Palatino Linotype"/>
        </w:rPr>
        <w:t xml:space="preserve">MARÍA DEL ROSARIO MEJÍA AYALA; </w:t>
      </w:r>
      <w:r>
        <w:rPr>
          <w:rFonts w:ascii="Palatino Linotype" w:eastAsia="Palatino Linotype" w:hAnsi="Palatino Linotype" w:cs="Palatino Linotype"/>
        </w:rPr>
        <w:t>SHARON CRISTINA MORALES MARTÍNEZ</w:t>
      </w:r>
      <w:r w:rsidR="0011664F">
        <w:rPr>
          <w:rFonts w:ascii="Palatino Linotype" w:eastAsia="Palatino Linotype" w:hAnsi="Palatino Linotype" w:cs="Palatino Linotype"/>
        </w:rPr>
        <w:t xml:space="preserve"> (AUSENCIA JUSTIFICADA);</w:t>
      </w:r>
      <w:r>
        <w:rPr>
          <w:rFonts w:ascii="Palatino Linotype" w:eastAsia="Palatino Linotype" w:hAnsi="Palatino Linotype" w:cs="Palatino Linotype"/>
        </w:rPr>
        <w:t xml:space="preserve"> LUIS GUSTAVO PARRA NORIEGA Y GUADALUPE RAMÍREZ PEÑA; EN LA VIGÉSIMA QUINTA SESIÓN ORDINARIA CELEBRADA EL SEIS DE JULIO DEL DOS MIL VEINTIDÓS, ANTE EL SECRETARIO TÉCNICO DEL PLENO, ALEXIS TAPIA RAMÍREZ. </w:t>
      </w:r>
    </w:p>
    <w:p w14:paraId="71E1CC8E" w14:textId="5CFD25ED" w:rsidR="001775F7" w:rsidRDefault="001775F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76A4CC89" wp14:editId="2A95B8C3">
                <wp:simplePos x="0" y="0"/>
                <wp:positionH relativeFrom="column">
                  <wp:posOffset>296719</wp:posOffset>
                </wp:positionH>
                <wp:positionV relativeFrom="paragraph">
                  <wp:posOffset>61287</wp:posOffset>
                </wp:positionV>
                <wp:extent cx="4908331" cy="4845269"/>
                <wp:effectExtent l="38100" t="19050" r="64135" b="88900"/>
                <wp:wrapNone/>
                <wp:docPr id="1" name="Conector recto 1"/>
                <wp:cNvGraphicFramePr/>
                <a:graphic xmlns:a="http://schemas.openxmlformats.org/drawingml/2006/main">
                  <a:graphicData uri="http://schemas.microsoft.com/office/word/2010/wordprocessingShape">
                    <wps:wsp>
                      <wps:cNvCnPr/>
                      <wps:spPr>
                        <a:xfrm>
                          <a:off x="0" y="0"/>
                          <a:ext cx="4908331" cy="48452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6A844B"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35pt,4.85pt" to="409.8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" strokecolor="#4f81bd [3204]" strokeweight="2pt">
                <v:shadow on="t" color="black" opacity="24903f" origin=",.5" offset="0,.55556mm"/>
              </v:line>
            </w:pict>
          </mc:Fallback>
        </mc:AlternateContent>
      </w:r>
    </w:p>
    <w:p w14:paraId="419928B6" w14:textId="7A999B25" w:rsidR="001775F7" w:rsidRDefault="001775F7">
      <w:pPr>
        <w:spacing w:before="240" w:after="240" w:line="360" w:lineRule="auto"/>
        <w:jc w:val="both"/>
        <w:rPr>
          <w:rFonts w:ascii="Palatino Linotype" w:eastAsia="Palatino Linotype" w:hAnsi="Palatino Linotype" w:cs="Palatino Linotype"/>
        </w:rPr>
        <w:sectPr w:rsidR="001775F7">
          <w:headerReference w:type="default" r:id="rId27"/>
          <w:footerReference w:type="default" r:id="rId28"/>
          <w:headerReference w:type="first" r:id="rId29"/>
          <w:footerReference w:type="first" r:id="rId30"/>
          <w:pgSz w:w="12240" w:h="15840"/>
          <w:pgMar w:top="1985" w:right="1701" w:bottom="1701" w:left="1701" w:header="709" w:footer="709" w:gutter="0"/>
          <w:pgNumType w:start="1"/>
          <w:cols w:space="720"/>
          <w:titlePg/>
        </w:sectPr>
      </w:pPr>
    </w:p>
    <w:p w14:paraId="2BBBB898" w14:textId="77777777" w:rsidR="002A12A7" w:rsidRDefault="002A12A7">
      <w:pPr>
        <w:spacing w:before="240" w:after="240" w:line="360" w:lineRule="auto"/>
        <w:jc w:val="both"/>
        <w:rPr>
          <w:rFonts w:ascii="Palatino Linotype" w:eastAsia="Palatino Linotype" w:hAnsi="Palatino Linotype" w:cs="Palatino Linotype"/>
        </w:rPr>
      </w:pPr>
    </w:p>
    <w:sectPr w:rsidR="002A12A7">
      <w:headerReference w:type="first" r:id="rId3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07F84" w14:textId="77777777" w:rsidR="0019100E" w:rsidRDefault="0019100E">
      <w:r>
        <w:separator/>
      </w:r>
    </w:p>
  </w:endnote>
  <w:endnote w:type="continuationSeparator" w:id="0">
    <w:p w14:paraId="21C31328" w14:textId="77777777" w:rsidR="0019100E" w:rsidRDefault="0019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04048" w14:textId="77777777" w:rsidR="002A12A7" w:rsidRDefault="000047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6BD2">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6BD2">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46FF02A4" w14:textId="77777777" w:rsidR="002A12A7" w:rsidRDefault="002A12A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01D13" w14:textId="77777777" w:rsidR="002A12A7" w:rsidRDefault="000047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56BD2">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56BD2">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11D83959" w14:textId="77777777" w:rsidR="002A12A7" w:rsidRDefault="002A12A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EAFF3" w14:textId="77777777" w:rsidR="0019100E" w:rsidRDefault="0019100E">
      <w:r>
        <w:separator/>
      </w:r>
    </w:p>
  </w:footnote>
  <w:footnote w:type="continuationSeparator" w:id="0">
    <w:p w14:paraId="4772D42E" w14:textId="77777777" w:rsidR="0019100E" w:rsidRDefault="0019100E">
      <w:r>
        <w:continuationSeparator/>
      </w:r>
    </w:p>
  </w:footnote>
  <w:footnote w:id="1">
    <w:p w14:paraId="68A32B20" w14:textId="77777777" w:rsidR="002A12A7" w:rsidRDefault="000047D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6BA55C5" w14:textId="77777777" w:rsidR="002A12A7" w:rsidRDefault="000047D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C8EC5" w14:textId="77777777" w:rsidR="002A12A7" w:rsidRDefault="000047D5">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66EE5" wp14:editId="299938DC">
          <wp:simplePos x="0" y="0"/>
          <wp:positionH relativeFrom="column">
            <wp:posOffset>-1034413</wp:posOffset>
          </wp:positionH>
          <wp:positionV relativeFrom="paragraph">
            <wp:posOffset>-175894</wp:posOffset>
          </wp:positionV>
          <wp:extent cx="7809865" cy="10165715"/>
          <wp:effectExtent l="0" t="0" r="0" b="0"/>
          <wp:wrapNone/>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2A12A7" w14:paraId="08121738" w14:textId="77777777">
      <w:tc>
        <w:tcPr>
          <w:tcW w:w="2489" w:type="dxa"/>
          <w:shd w:val="clear" w:color="auto" w:fill="auto"/>
        </w:tcPr>
        <w:p w14:paraId="2B9E1267"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A34D667" w14:textId="77777777" w:rsidR="002A12A7" w:rsidRDefault="000047D5">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 xml:space="preserve">04064/INFOEM/IP/RR/2022 </w:t>
          </w:r>
        </w:p>
      </w:tc>
    </w:tr>
    <w:tr w:rsidR="002A12A7" w14:paraId="6617AB14" w14:textId="77777777">
      <w:trPr>
        <w:trHeight w:val="228"/>
      </w:trPr>
      <w:tc>
        <w:tcPr>
          <w:tcW w:w="2489" w:type="dxa"/>
          <w:shd w:val="clear" w:color="auto" w:fill="auto"/>
          <w:vAlign w:val="center"/>
        </w:tcPr>
        <w:p w14:paraId="3911851A"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02C1467" w14:textId="77777777" w:rsidR="002A12A7" w:rsidRDefault="000047D5">
          <w:pPr>
            <w:ind w:left="-45" w:right="594"/>
            <w:jc w:val="both"/>
            <w:rPr>
              <w:rFonts w:ascii="Palatino Linotype" w:eastAsia="Palatino Linotype" w:hAnsi="Palatino Linotype" w:cs="Palatino Linotype"/>
              <w:b/>
            </w:rPr>
          </w:pPr>
          <w:r>
            <w:rPr>
              <w:rFonts w:ascii="Palatino Linotype" w:eastAsia="Palatino Linotype" w:hAnsi="Palatino Linotype" w:cs="Palatino Linotype"/>
              <w:b/>
            </w:rPr>
            <w:t>Organismo Descentralizado de Agua Potable Alcantarillado y Saneamiento de Nezahualcóyotl (ODAPAS)</w:t>
          </w:r>
        </w:p>
      </w:tc>
    </w:tr>
    <w:tr w:rsidR="002A12A7" w14:paraId="4F4FA87B" w14:textId="77777777">
      <w:tc>
        <w:tcPr>
          <w:tcW w:w="2489" w:type="dxa"/>
          <w:shd w:val="clear" w:color="auto" w:fill="auto"/>
          <w:vAlign w:val="center"/>
        </w:tcPr>
        <w:p w14:paraId="350AFB41" w14:textId="77777777" w:rsidR="002A12A7" w:rsidRDefault="000047D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155B00E" w14:textId="77777777" w:rsidR="002A12A7" w:rsidRDefault="000047D5">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DFF54A5" w14:textId="77777777" w:rsidR="002A12A7" w:rsidRDefault="000047D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0060" w14:textId="77777777" w:rsidR="002A12A7" w:rsidRDefault="000047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6271886" wp14:editId="54E4CD41">
          <wp:simplePos x="0" y="0"/>
          <wp:positionH relativeFrom="column">
            <wp:posOffset>-1061719</wp:posOffset>
          </wp:positionH>
          <wp:positionV relativeFrom="paragraph">
            <wp:posOffset>-414654</wp:posOffset>
          </wp:positionV>
          <wp:extent cx="7809876" cy="10165823"/>
          <wp:effectExtent l="0" t="0" r="0" b="0"/>
          <wp:wrapNone/>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2A12A7" w14:paraId="287730D1" w14:textId="77777777">
      <w:tc>
        <w:tcPr>
          <w:tcW w:w="2551" w:type="dxa"/>
          <w:shd w:val="clear" w:color="auto" w:fill="auto"/>
          <w:vAlign w:val="center"/>
        </w:tcPr>
        <w:p w14:paraId="7F600A82"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14:paraId="228020CE" w14:textId="77777777" w:rsidR="002A12A7" w:rsidRDefault="000047D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04064/INFOEM/IP/RR/2022</w:t>
          </w:r>
        </w:p>
      </w:tc>
    </w:tr>
    <w:tr w:rsidR="002A12A7" w14:paraId="35C9732F" w14:textId="77777777">
      <w:trPr>
        <w:trHeight w:val="130"/>
      </w:trPr>
      <w:tc>
        <w:tcPr>
          <w:tcW w:w="2551" w:type="dxa"/>
          <w:shd w:val="clear" w:color="auto" w:fill="auto"/>
          <w:vAlign w:val="center"/>
        </w:tcPr>
        <w:p w14:paraId="7F987B51"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14:paraId="17BFD7E0" w14:textId="77777777" w:rsidR="002A12A7" w:rsidRDefault="002A12A7">
          <w:pPr>
            <w:ind w:left="-45"/>
            <w:jc w:val="both"/>
            <w:rPr>
              <w:rFonts w:ascii="Palatino Linotype" w:eastAsia="Palatino Linotype" w:hAnsi="Palatino Linotype" w:cs="Palatino Linotype"/>
              <w:b/>
            </w:rPr>
          </w:pPr>
        </w:p>
      </w:tc>
    </w:tr>
    <w:tr w:rsidR="002A12A7" w14:paraId="41953F2C" w14:textId="77777777">
      <w:trPr>
        <w:trHeight w:val="228"/>
      </w:trPr>
      <w:tc>
        <w:tcPr>
          <w:tcW w:w="2551" w:type="dxa"/>
          <w:shd w:val="clear" w:color="auto" w:fill="auto"/>
          <w:vAlign w:val="center"/>
        </w:tcPr>
        <w:p w14:paraId="0C549E81"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14:paraId="255178D5" w14:textId="77777777" w:rsidR="002A12A7" w:rsidRDefault="000047D5">
          <w:pPr>
            <w:ind w:left="-45"/>
            <w:jc w:val="both"/>
            <w:rPr>
              <w:rFonts w:ascii="Palatino Linotype" w:eastAsia="Palatino Linotype" w:hAnsi="Palatino Linotype" w:cs="Palatino Linotype"/>
              <w:b/>
            </w:rPr>
          </w:pPr>
          <w:r>
            <w:rPr>
              <w:rFonts w:ascii="Palatino Linotype" w:eastAsia="Palatino Linotype" w:hAnsi="Palatino Linotype" w:cs="Palatino Linotype"/>
              <w:b/>
            </w:rPr>
            <w:t>Organismo Descentralizado de Agua Potable Alcantarillado y Saneamiento de Nezahualcóyotl (ODAPAS)</w:t>
          </w:r>
        </w:p>
      </w:tc>
    </w:tr>
    <w:tr w:rsidR="002A12A7" w14:paraId="198A2C63" w14:textId="77777777">
      <w:tc>
        <w:tcPr>
          <w:tcW w:w="2551" w:type="dxa"/>
          <w:shd w:val="clear" w:color="auto" w:fill="auto"/>
          <w:vAlign w:val="center"/>
        </w:tcPr>
        <w:p w14:paraId="15A552E1" w14:textId="77777777" w:rsidR="002A12A7" w:rsidRDefault="000047D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14:paraId="026937B1" w14:textId="77777777" w:rsidR="002A12A7" w:rsidRDefault="000047D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4D59673" w14:textId="77777777" w:rsidR="002A12A7" w:rsidRDefault="002A12A7">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B7E8D" w14:textId="77777777" w:rsidR="002A12A7" w:rsidRDefault="002A12A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85720"/>
    <w:multiLevelType w:val="multilevel"/>
    <w:tmpl w:val="7416FF4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3CB2AC1"/>
    <w:multiLevelType w:val="multilevel"/>
    <w:tmpl w:val="CC3EF37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4F8B4A37"/>
    <w:multiLevelType w:val="multilevel"/>
    <w:tmpl w:val="E52C6906"/>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nsid w:val="60850E03"/>
    <w:multiLevelType w:val="multilevel"/>
    <w:tmpl w:val="54BC218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764E5017"/>
    <w:multiLevelType w:val="multilevel"/>
    <w:tmpl w:val="777EA638"/>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A7"/>
    <w:rsid w:val="000047D5"/>
    <w:rsid w:val="0011664F"/>
    <w:rsid w:val="001775F7"/>
    <w:rsid w:val="0019100E"/>
    <w:rsid w:val="0027496A"/>
    <w:rsid w:val="002A12A7"/>
    <w:rsid w:val="0032132E"/>
    <w:rsid w:val="003424AD"/>
    <w:rsid w:val="00456BD2"/>
    <w:rsid w:val="0046726C"/>
    <w:rsid w:val="00C274B1"/>
    <w:rsid w:val="00F975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96A3"/>
  <w15:docId w15:val="{5E730A01-A631-40A2-89AC-6EBE7A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Xu3TsS6WftKEb+bT8pyZiA+RA==">AMUW2mUawQ0tBvzoo8+/6MDHIbPJNEW90AFt0uD15VCkV0aZmLEITcijRxNHNuzeo4agQFphpBbKybuf79M6nPkiupEtaSRw+qbusqoonpKM3eAfQqBioOdiuf+5jTIXMeWxPYohydrrc3NnK3lnko6NsWdh4dpSrMlCBL5ms0T9Dtdjz2o4PtwH2/DZ+j+KVNpmwz78SjFU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7536</Words>
  <Characters>41452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2</cp:revision>
  <cp:lastPrinted>2022-07-08T17:30:00Z</cp:lastPrinted>
  <dcterms:created xsi:type="dcterms:W3CDTF">2022-08-03T21:04:00Z</dcterms:created>
  <dcterms:modified xsi:type="dcterms:W3CDTF">2022-08-03T21:04:00Z</dcterms:modified>
</cp:coreProperties>
</file>