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8C0" w:rsidRPr="003011EE" w:rsidRDefault="00C1288B">
      <w:pPr>
        <w:spacing w:before="120"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treinta de noviembre de dos mil veintidós.</w:t>
      </w:r>
    </w:p>
    <w:p w:rsidR="004928C0" w:rsidRPr="003011EE" w:rsidRDefault="004928C0"/>
    <w:p w:rsidR="004928C0" w:rsidRPr="003011EE" w:rsidRDefault="00C1288B">
      <w:pPr>
        <w:spacing w:before="120"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Visto </w:t>
      </w:r>
      <w:r w:rsidRPr="003011EE">
        <w:rPr>
          <w:rFonts w:ascii="Palatino Linotype" w:eastAsia="Palatino Linotype" w:hAnsi="Palatino Linotype" w:cs="Palatino Linotype"/>
          <w:sz w:val="24"/>
          <w:szCs w:val="24"/>
        </w:rPr>
        <w:t xml:space="preserve">el expediente relativo al recurso de revisión </w:t>
      </w:r>
      <w:r w:rsidRPr="003011EE">
        <w:rPr>
          <w:rFonts w:ascii="Palatino Linotype" w:eastAsia="Palatino Linotype" w:hAnsi="Palatino Linotype" w:cs="Palatino Linotype"/>
          <w:b/>
          <w:sz w:val="24"/>
          <w:szCs w:val="24"/>
        </w:rPr>
        <w:t>11834/INFOEM/IP/RR/2022</w:t>
      </w:r>
      <w:r w:rsidRPr="003011EE">
        <w:rPr>
          <w:rFonts w:ascii="Palatino Linotype" w:eastAsia="Palatino Linotype" w:hAnsi="Palatino Linotype" w:cs="Palatino Linotype"/>
          <w:sz w:val="24"/>
          <w:szCs w:val="24"/>
        </w:rPr>
        <w:t xml:space="preserve">, interpuesto por </w:t>
      </w:r>
      <w:r w:rsidR="006E1D9B">
        <w:rPr>
          <w:rFonts w:ascii="Palatino Linotype" w:eastAsia="Palatino Linotype" w:hAnsi="Palatino Linotype" w:cs="Palatino Linotype"/>
          <w:b/>
          <w:sz w:val="24"/>
          <w:szCs w:val="24"/>
        </w:rPr>
        <w:t>XXXXXX XXXXXX</w:t>
      </w:r>
      <w:bookmarkStart w:id="0" w:name="_GoBack"/>
      <w:bookmarkEnd w:id="0"/>
      <w:r w:rsidRPr="003011EE">
        <w:rPr>
          <w:rFonts w:ascii="Palatino Linotype" w:eastAsia="Palatino Linotype" w:hAnsi="Palatino Linotype" w:cs="Palatino Linotype"/>
          <w:sz w:val="24"/>
          <w:szCs w:val="24"/>
        </w:rPr>
        <w:t xml:space="preserve">, en lo sucesivo se le denominara </w:t>
      </w:r>
      <w:r w:rsidRPr="003011EE">
        <w:rPr>
          <w:rFonts w:ascii="Palatino Linotype" w:eastAsia="Palatino Linotype" w:hAnsi="Palatino Linotype" w:cs="Palatino Linotype"/>
          <w:b/>
          <w:sz w:val="24"/>
          <w:szCs w:val="24"/>
        </w:rPr>
        <w:t>LA RECURRENTE</w:t>
      </w:r>
      <w:r w:rsidRPr="003011EE">
        <w:rPr>
          <w:rFonts w:ascii="Palatino Linotype" w:eastAsia="Palatino Linotype" w:hAnsi="Palatino Linotype" w:cs="Palatino Linotype"/>
          <w:sz w:val="24"/>
          <w:szCs w:val="24"/>
        </w:rPr>
        <w:t xml:space="preserve">, en contra de la respuesta a la solicitud de información con número de folio </w:t>
      </w:r>
      <w:r w:rsidRPr="003011EE">
        <w:rPr>
          <w:rFonts w:ascii="Palatino Linotype" w:eastAsia="Palatino Linotype" w:hAnsi="Palatino Linotype" w:cs="Palatino Linotype"/>
          <w:b/>
          <w:sz w:val="24"/>
          <w:szCs w:val="24"/>
        </w:rPr>
        <w:t>00111/TLALMANA/IP/2022,</w:t>
      </w:r>
      <w:r w:rsidRPr="003011EE">
        <w:rPr>
          <w:rFonts w:ascii="Palatino Linotype" w:eastAsia="Palatino Linotype" w:hAnsi="Palatino Linotype" w:cs="Palatino Linotype"/>
          <w:sz w:val="24"/>
          <w:szCs w:val="24"/>
        </w:rPr>
        <w:t xml:space="preserve"> por parte del</w:t>
      </w:r>
      <w:r w:rsidRPr="003011EE">
        <w:rPr>
          <w:rFonts w:ascii="Palatino Linotype" w:eastAsia="Palatino Linotype" w:hAnsi="Palatino Linotype" w:cs="Palatino Linotype"/>
          <w:b/>
          <w:sz w:val="24"/>
          <w:szCs w:val="24"/>
        </w:rPr>
        <w:t xml:space="preserve"> Ayuntamiento de </w:t>
      </w:r>
      <w:proofErr w:type="spellStart"/>
      <w:r w:rsidRPr="003011EE">
        <w:rPr>
          <w:rFonts w:ascii="Palatino Linotype" w:eastAsia="Palatino Linotype" w:hAnsi="Palatino Linotype" w:cs="Palatino Linotype"/>
          <w:b/>
          <w:sz w:val="24"/>
          <w:szCs w:val="24"/>
        </w:rPr>
        <w:t>Tlalmanalco</w:t>
      </w:r>
      <w:proofErr w:type="spellEnd"/>
      <w:r w:rsidRPr="003011EE">
        <w:rPr>
          <w:rFonts w:ascii="Palatino Linotype" w:eastAsia="Palatino Linotype" w:hAnsi="Palatino Linotype" w:cs="Palatino Linotype"/>
          <w:sz w:val="24"/>
          <w:szCs w:val="24"/>
        </w:rPr>
        <w:t>, en lo sucesivo</w:t>
      </w:r>
      <w:r w:rsidRPr="003011EE">
        <w:rPr>
          <w:rFonts w:ascii="Palatino Linotype" w:eastAsia="Palatino Linotype" w:hAnsi="Palatino Linotype" w:cs="Palatino Linotype"/>
          <w:b/>
          <w:sz w:val="24"/>
          <w:szCs w:val="24"/>
        </w:rPr>
        <w:t xml:space="preserve"> EL SUJETO OBLIGADO; </w:t>
      </w:r>
      <w:r w:rsidRPr="003011EE">
        <w:rPr>
          <w:rFonts w:ascii="Palatino Linotype" w:eastAsia="Palatino Linotype" w:hAnsi="Palatino Linotype" w:cs="Palatino Linotype"/>
          <w:sz w:val="24"/>
          <w:szCs w:val="24"/>
        </w:rPr>
        <w:t xml:space="preserve">se procede a dictar la presente resolución, con base en lo siguiente. </w:t>
      </w:r>
    </w:p>
    <w:p w:rsidR="004928C0" w:rsidRPr="003011EE" w:rsidRDefault="004928C0"/>
    <w:p w:rsidR="004928C0" w:rsidRPr="003011EE" w:rsidRDefault="00C1288B">
      <w:pPr>
        <w:spacing w:before="160" w:after="0" w:line="360" w:lineRule="auto"/>
        <w:jc w:val="center"/>
        <w:rPr>
          <w:rFonts w:ascii="Palatino Linotype" w:eastAsia="Palatino Linotype" w:hAnsi="Palatino Linotype" w:cs="Palatino Linotype"/>
          <w:b/>
          <w:sz w:val="24"/>
          <w:szCs w:val="24"/>
        </w:rPr>
      </w:pPr>
      <w:r w:rsidRPr="003011EE">
        <w:rPr>
          <w:rFonts w:ascii="Palatino Linotype" w:eastAsia="Palatino Linotype" w:hAnsi="Palatino Linotype" w:cs="Palatino Linotype"/>
          <w:b/>
          <w:sz w:val="24"/>
          <w:szCs w:val="24"/>
        </w:rPr>
        <w:t xml:space="preserve">AN T E C E D E N T E S   </w:t>
      </w:r>
    </w:p>
    <w:p w:rsidR="004928C0" w:rsidRPr="003011EE" w:rsidRDefault="004928C0">
      <w:pPr>
        <w:spacing w:after="0" w:line="360" w:lineRule="auto"/>
        <w:jc w:val="center"/>
        <w:rPr>
          <w:rFonts w:ascii="Palatino Linotype" w:eastAsia="Palatino Linotype" w:hAnsi="Palatino Linotype" w:cs="Palatino Linotype"/>
          <w:b/>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1.</w:t>
      </w:r>
      <w:r w:rsidRPr="003011EE">
        <w:rPr>
          <w:rFonts w:ascii="Palatino Linotype" w:eastAsia="Palatino Linotype" w:hAnsi="Palatino Linotype" w:cs="Palatino Linotype"/>
          <w:sz w:val="24"/>
          <w:szCs w:val="24"/>
        </w:rPr>
        <w:t xml:space="preserve"> </w:t>
      </w:r>
      <w:r w:rsidRPr="003011EE">
        <w:rPr>
          <w:rFonts w:ascii="Palatino Linotype" w:eastAsia="Palatino Linotype" w:hAnsi="Palatino Linotype" w:cs="Palatino Linotype"/>
          <w:b/>
          <w:sz w:val="24"/>
          <w:szCs w:val="24"/>
        </w:rPr>
        <w:t>SOLICITUD DE INFORMACIÓN.</w:t>
      </w:r>
      <w:r w:rsidRPr="003011EE">
        <w:rPr>
          <w:rFonts w:ascii="Palatino Linotype" w:eastAsia="Palatino Linotype" w:hAnsi="Palatino Linotype" w:cs="Palatino Linotype"/>
          <w:sz w:val="24"/>
          <w:szCs w:val="24"/>
        </w:rPr>
        <w:t xml:space="preserve"> Con fecha veinte de mayo de dos mil veintidós, </w:t>
      </w:r>
      <w:r w:rsidRPr="003011EE">
        <w:rPr>
          <w:rFonts w:ascii="Palatino Linotype" w:eastAsia="Palatino Linotype" w:hAnsi="Palatino Linotype" w:cs="Palatino Linotype"/>
          <w:b/>
          <w:sz w:val="24"/>
          <w:szCs w:val="24"/>
        </w:rPr>
        <w:t>LA RECURRENTE</w:t>
      </w:r>
      <w:r w:rsidRPr="003011EE">
        <w:rPr>
          <w:rFonts w:ascii="Palatino Linotype" w:eastAsia="Palatino Linotype" w:hAnsi="Palatino Linotype" w:cs="Palatino Linotype"/>
          <w:sz w:val="24"/>
          <w:szCs w:val="24"/>
        </w:rPr>
        <w:t>, presentó a través del Sistema de Acceso a la Información Mexiquense (</w:t>
      </w:r>
      <w:r w:rsidRPr="003011EE">
        <w:rPr>
          <w:rFonts w:ascii="Palatino Linotype" w:eastAsia="Palatino Linotype" w:hAnsi="Palatino Linotype" w:cs="Palatino Linotype"/>
          <w:b/>
          <w:sz w:val="24"/>
          <w:szCs w:val="24"/>
        </w:rPr>
        <w:t>SAIMEX)</w:t>
      </w:r>
      <w:r w:rsidRPr="003011EE">
        <w:rPr>
          <w:rFonts w:ascii="Palatino Linotype" w:eastAsia="Palatino Linotype" w:hAnsi="Palatino Linotype" w:cs="Palatino Linotype"/>
          <w:sz w:val="24"/>
          <w:szCs w:val="24"/>
        </w:rPr>
        <w:t xml:space="preserve"> ante </w:t>
      </w:r>
      <w:r w:rsidRPr="003011EE">
        <w:rPr>
          <w:rFonts w:ascii="Palatino Linotype" w:eastAsia="Palatino Linotype" w:hAnsi="Palatino Linotype" w:cs="Palatino Linotype"/>
          <w:b/>
          <w:sz w:val="24"/>
          <w:szCs w:val="24"/>
        </w:rPr>
        <w:t>EL SUJETO OBLIGADO</w:t>
      </w:r>
      <w:r w:rsidRPr="003011EE">
        <w:rPr>
          <w:rFonts w:ascii="Palatino Linotype" w:eastAsia="Palatino Linotype" w:hAnsi="Palatino Linotype" w:cs="Palatino Linotype"/>
          <w:sz w:val="24"/>
          <w:szCs w:val="24"/>
        </w:rPr>
        <w:t>, solicitud de acceso a la información pública, registrada bajo el número de expediente</w:t>
      </w:r>
      <w:r w:rsidRPr="003011EE">
        <w:rPr>
          <w:rFonts w:ascii="Verdana" w:eastAsia="Verdana" w:hAnsi="Verdana" w:cs="Verdana"/>
          <w:b/>
        </w:rPr>
        <w:t> </w:t>
      </w:r>
      <w:r w:rsidRPr="003011EE">
        <w:rPr>
          <w:rFonts w:ascii="Palatino Linotype" w:eastAsia="Palatino Linotype" w:hAnsi="Palatino Linotype" w:cs="Palatino Linotype"/>
          <w:b/>
          <w:sz w:val="24"/>
          <w:szCs w:val="24"/>
        </w:rPr>
        <w:t>00111/TLALMANA/IP/2022</w:t>
      </w:r>
      <w:r w:rsidRPr="003011EE">
        <w:rPr>
          <w:rFonts w:ascii="Palatino Linotype" w:eastAsia="Palatino Linotype" w:hAnsi="Palatino Linotype" w:cs="Palatino Linotype"/>
          <w:sz w:val="24"/>
          <w:szCs w:val="24"/>
        </w:rPr>
        <w:t>,</w:t>
      </w:r>
      <w:r w:rsidRPr="003011EE">
        <w:rPr>
          <w:rFonts w:ascii="Palatino Linotype" w:eastAsia="Palatino Linotype" w:hAnsi="Palatino Linotype" w:cs="Palatino Linotype"/>
          <w:b/>
          <w:sz w:val="24"/>
          <w:szCs w:val="24"/>
        </w:rPr>
        <w:t xml:space="preserve"> </w:t>
      </w:r>
      <w:r w:rsidRPr="003011EE">
        <w:rPr>
          <w:rFonts w:ascii="Palatino Linotype" w:eastAsia="Palatino Linotype" w:hAnsi="Palatino Linotype" w:cs="Palatino Linotype"/>
          <w:sz w:val="24"/>
          <w:szCs w:val="24"/>
        </w:rPr>
        <w:t>mediante la cual solicitó información en el tenor siguiente: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i/>
        </w:rPr>
        <w:lastRenderedPageBreak/>
        <w:t>“Por medio de la presente solicito la siguiente información de la incidencia delictiva o reporte de incidentes, eventos y cualquier registro o documento que contenga la siguiente información: ● TIPO DE INCIDENTE O EVENTO (es decir hechos presuntamente constitutivos de delito y/o falta administrativa, o situación reportada, cualquiera que esta sea, especificando si el hecho fue con o sin violencia) ● HORA DEL INCIDENTE O EVENTO ● FECHA (</w:t>
      </w:r>
      <w:proofErr w:type="spellStart"/>
      <w:r w:rsidRPr="003011EE">
        <w:rPr>
          <w:rFonts w:ascii="Palatino Linotype" w:eastAsia="Palatino Linotype" w:hAnsi="Palatino Linotype" w:cs="Palatino Linotype"/>
          <w:i/>
        </w:rPr>
        <w:t>dd</w:t>
      </w:r>
      <w:proofErr w:type="spellEnd"/>
      <w:r w:rsidRPr="003011EE">
        <w:rPr>
          <w:rFonts w:ascii="Palatino Linotype" w:eastAsia="Palatino Linotype" w:hAnsi="Palatino Linotype" w:cs="Palatino Linotype"/>
          <w:i/>
        </w:rPr>
        <w:t>/mm/</w:t>
      </w:r>
      <w:proofErr w:type="spellStart"/>
      <w:r w:rsidRPr="003011EE">
        <w:rPr>
          <w:rFonts w:ascii="Palatino Linotype" w:eastAsia="Palatino Linotype" w:hAnsi="Palatino Linotype" w:cs="Palatino Linotype"/>
          <w:i/>
        </w:rPr>
        <w:t>aaaa</w:t>
      </w:r>
      <w:proofErr w:type="spellEnd"/>
      <w:r w:rsidRPr="003011EE">
        <w:rPr>
          <w:rFonts w:ascii="Palatino Linotype" w:eastAsia="Palatino Linotype" w:hAnsi="Palatino Linotype" w:cs="Palatino Linotype"/>
          <w:i/>
        </w:rPr>
        <w:t xml:space="preserve">) DEL INCIDENTE O EVENTO ● LUGAR DEL INCIDENTE O EVENTO ● UBICACIÓN DEL INCIDENTE O EVENTO ●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de incidente, por lo que cada uno debe contener su hora, fecha, lugar, ubicación y coordenadas geográficas que le corresponde. Requiero se proporcione la información correspondiente al periodo del </w:t>
      </w:r>
      <w:r w:rsidRPr="003011EE">
        <w:rPr>
          <w:rFonts w:ascii="Palatino Linotype" w:eastAsia="Palatino Linotype" w:hAnsi="Palatino Linotype" w:cs="Palatino Linotype"/>
          <w:b/>
          <w:i/>
        </w:rPr>
        <w:t>1 de enero de 2010 a la fecha de la presente solicitud.</w:t>
      </w:r>
      <w:r w:rsidRPr="003011EE">
        <w:rPr>
          <w:rFonts w:ascii="Palatino Linotype" w:eastAsia="Palatino Linotype" w:hAnsi="Palatino Linotype" w:cs="Palatino Linotype"/>
          <w:i/>
        </w:rPr>
        <w:t xml:space="preserve"> 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w:t>
      </w:r>
      <w:proofErr w:type="gramStart"/>
      <w:r w:rsidRPr="003011EE">
        <w:rPr>
          <w:rFonts w:ascii="Palatino Linotype" w:eastAsia="Palatino Linotype" w:hAnsi="Palatino Linotype" w:cs="Palatino Linotype"/>
          <w:i/>
        </w:rPr>
        <w:t>considerada</w:t>
      </w:r>
      <w:proofErr w:type="gramEnd"/>
      <w:r w:rsidRPr="003011EE">
        <w:rPr>
          <w:rFonts w:ascii="Palatino Linotype" w:eastAsia="Palatino Linotype" w:hAnsi="Palatino Linotype" w:cs="Palatino Linotype"/>
          <w:i/>
        </w:rPr>
        <w:t xml:space="preserve"> reservada, en tanto no encuadra en ninguna de las causales señaladas en la normatividad aplicable ya que no supera la prueba de daño que el sujeto debe realizar para demostrar que su publicación afectaría en algún modo en las </w:t>
      </w:r>
      <w:r w:rsidRPr="003011EE">
        <w:rPr>
          <w:rFonts w:ascii="Palatino Linotype" w:eastAsia="Palatino Linotype" w:hAnsi="Palatino Linotype" w:cs="Palatino Linotype"/>
          <w:i/>
        </w:rPr>
        <w:lastRenderedPageBreak/>
        <w:t xml:space="preserve">funciones del sujeto obligado o sus integrantes. Solicito se remita la solicitud a todas las áreas competentes al interior del sujeto obligado, en particular a: Dirección de Seguridad Pública y Tránsito Municipal. Fundamento mi solicitud en las funciones y atribuciones del sujeto obligado, así como las particulares de las áreas señaladas: Ley General del Sistema Nacional de Seguridad Pública, artículos 5, fracción X, 41 fracciones I y II, y 43. Ley Nacional del Registro de Detenciones, artículos 18, 20 y 21 </w:t>
      </w:r>
      <w:proofErr w:type="gramStart"/>
      <w:r w:rsidRPr="003011EE">
        <w:rPr>
          <w:rFonts w:ascii="Palatino Linotype" w:eastAsia="Palatino Linotype" w:hAnsi="Palatino Linotype" w:cs="Palatino Linotype"/>
          <w:i/>
        </w:rPr>
        <w:t>párrafo</w:t>
      </w:r>
      <w:proofErr w:type="gramEnd"/>
      <w:r w:rsidRPr="003011EE">
        <w:rPr>
          <w:rFonts w:ascii="Palatino Linotype" w:eastAsia="Palatino Linotype" w:hAnsi="Palatino Linotype" w:cs="Palatino Linotype"/>
          <w:i/>
        </w:rPr>
        <w:t xml:space="preserve"> I. Código Nacional de Procedimientos Penales, artículos 51 y 132 fracción XIV. Acuerdo por el que se emiten los Lineamientos para el llenado, entrega, recepción, registro, resguardo y consulta del Informe Policial Homologado. Publicado el 20/02/2020”. (Sic)</w:t>
      </w:r>
    </w:p>
    <w:p w:rsidR="004928C0" w:rsidRPr="003011EE" w:rsidRDefault="004928C0">
      <w:pPr>
        <w:spacing w:before="240" w:line="276" w:lineRule="auto"/>
        <w:ind w:left="851" w:right="851"/>
        <w:jc w:val="both"/>
        <w:rPr>
          <w:rFonts w:ascii="Palatino Linotype" w:eastAsia="Palatino Linotype" w:hAnsi="Palatino Linotype" w:cs="Palatino Linotype"/>
          <w:i/>
        </w:rPr>
      </w:pPr>
    </w:p>
    <w:p w:rsidR="004928C0" w:rsidRPr="003011EE" w:rsidRDefault="00C1288B">
      <w:pPr>
        <w:spacing w:after="0" w:line="360" w:lineRule="auto"/>
        <w:ind w:right="850"/>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Modalidad de entrega:</w:t>
      </w:r>
      <w:r w:rsidRPr="003011EE">
        <w:rPr>
          <w:rFonts w:ascii="Palatino Linotype" w:eastAsia="Palatino Linotype" w:hAnsi="Palatino Linotype" w:cs="Palatino Linotype"/>
          <w:sz w:val="24"/>
          <w:szCs w:val="24"/>
        </w:rPr>
        <w:t xml:space="preserve"> A través del </w:t>
      </w:r>
      <w:r w:rsidRPr="003011EE">
        <w:rPr>
          <w:rFonts w:ascii="Palatino Linotype" w:eastAsia="Palatino Linotype" w:hAnsi="Palatino Linotype" w:cs="Palatino Linotype"/>
          <w:b/>
          <w:sz w:val="24"/>
          <w:szCs w:val="24"/>
        </w:rPr>
        <w:t>SAIMEX</w:t>
      </w:r>
      <w:r w:rsidRPr="003011EE">
        <w:rPr>
          <w:rFonts w:ascii="Palatino Linotype" w:eastAsia="Palatino Linotype" w:hAnsi="Palatino Linotype" w:cs="Palatino Linotype"/>
          <w:sz w:val="24"/>
          <w:szCs w:val="24"/>
        </w:rPr>
        <w:t>.</w:t>
      </w:r>
    </w:p>
    <w:p w:rsidR="004928C0" w:rsidRPr="003011EE" w:rsidRDefault="004928C0">
      <w:pPr>
        <w:spacing w:after="0" w:line="360" w:lineRule="auto"/>
        <w:ind w:right="850"/>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2. RESPUESTA. </w:t>
      </w:r>
      <w:r w:rsidRPr="003011EE">
        <w:rPr>
          <w:rFonts w:ascii="Palatino Linotype" w:eastAsia="Palatino Linotype" w:hAnsi="Palatino Linotype" w:cs="Palatino Linotype"/>
          <w:sz w:val="24"/>
          <w:szCs w:val="24"/>
        </w:rPr>
        <w:t xml:space="preserve">Con fecha trece de junio de dos mil veintidós 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envió su respuesta a la solicitud de acceso a la información a través del SAIMEX, la cual versa como sigue: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“En atención a su solicitud de información con No. de folio: 00111/TLALMANA/IP/2022, se le hace llegar la respuesta en PDF., misma brindada por el CMDT. RUFINO JIMENEZ </w:t>
      </w:r>
      <w:proofErr w:type="spellStart"/>
      <w:r w:rsidRPr="003011EE">
        <w:rPr>
          <w:rFonts w:ascii="Palatino Linotype" w:eastAsia="Palatino Linotype" w:hAnsi="Palatino Linotype" w:cs="Palatino Linotype"/>
          <w:i/>
        </w:rPr>
        <w:t>JIMENEZ</w:t>
      </w:r>
      <w:proofErr w:type="spellEnd"/>
      <w:r w:rsidRPr="003011EE">
        <w:rPr>
          <w:rFonts w:ascii="Palatino Linotype" w:eastAsia="Palatino Linotype" w:hAnsi="Palatino Linotype" w:cs="Palatino Linotype"/>
          <w:i/>
        </w:rPr>
        <w:t xml:space="preserve">, COMISARIO DE SEGURIDAD PUBLICA Y TRANSITO MUNICIPAL, sin </w:t>
      </w:r>
      <w:proofErr w:type="spellStart"/>
      <w:r w:rsidRPr="003011EE">
        <w:rPr>
          <w:rFonts w:ascii="Palatino Linotype" w:eastAsia="Palatino Linotype" w:hAnsi="Palatino Linotype" w:cs="Palatino Linotype"/>
          <w:i/>
        </w:rPr>
        <w:t>mas</w:t>
      </w:r>
      <w:proofErr w:type="spellEnd"/>
      <w:r w:rsidRPr="003011EE">
        <w:rPr>
          <w:rFonts w:ascii="Palatino Linotype" w:eastAsia="Palatino Linotype" w:hAnsi="Palatino Linotype" w:cs="Palatino Linotype"/>
          <w:i/>
        </w:rPr>
        <w:t xml:space="preserve"> por el momento que tenga un buen día.</w:t>
      </w:r>
    </w:p>
    <w:p w:rsidR="004928C0" w:rsidRPr="003011EE" w:rsidRDefault="00C1288B">
      <w:pPr>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ATENTAMENTE</w:t>
      </w:r>
    </w:p>
    <w:p w:rsidR="004928C0" w:rsidRPr="003011EE" w:rsidRDefault="00C1288B">
      <w:pPr>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LIC. Luis Enrique Cortes Flores” (Sic)</w:t>
      </w:r>
    </w:p>
    <w:p w:rsidR="004928C0" w:rsidRPr="003011EE" w:rsidRDefault="004928C0">
      <w:pPr>
        <w:rPr>
          <w:rFonts w:ascii="Palatino Linotype" w:eastAsia="Palatino Linotype" w:hAnsi="Palatino Linotype" w:cs="Palatino Linotype"/>
          <w:sz w:val="24"/>
          <w:szCs w:val="24"/>
        </w:rPr>
      </w:pPr>
    </w:p>
    <w:p w:rsidR="004928C0" w:rsidRPr="003011EE" w:rsidRDefault="00C1288B">
      <w:pPr>
        <w:spacing w:after="0" w:line="360" w:lineRule="auto"/>
        <w:ind w:right="193"/>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lastRenderedPageBreak/>
        <w:t>EL SUJETO OBLIGADO</w:t>
      </w:r>
      <w:r w:rsidRPr="003011EE">
        <w:rPr>
          <w:rFonts w:ascii="Palatino Linotype" w:eastAsia="Palatino Linotype" w:hAnsi="Palatino Linotype" w:cs="Palatino Linotype"/>
          <w:sz w:val="24"/>
          <w:szCs w:val="24"/>
        </w:rPr>
        <w:t xml:space="preserve"> adjuntó a su respuesta los archivos electrónicos denominados:</w:t>
      </w:r>
    </w:p>
    <w:p w:rsidR="004928C0" w:rsidRPr="003011EE" w:rsidRDefault="00C1288B">
      <w:pPr>
        <w:spacing w:after="0" w:line="360" w:lineRule="auto"/>
        <w:ind w:right="193"/>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i/>
          <w:sz w:val="24"/>
          <w:szCs w:val="24"/>
          <w:u w:val="single"/>
        </w:rPr>
        <w:t xml:space="preserve">oficio 111 seguridad pública.pdf: </w:t>
      </w:r>
      <w:r w:rsidRPr="003011EE">
        <w:rPr>
          <w:rFonts w:ascii="Palatino Linotype" w:eastAsia="Palatino Linotype" w:hAnsi="Palatino Linotype" w:cs="Palatino Linotype"/>
          <w:sz w:val="24"/>
          <w:szCs w:val="24"/>
        </w:rPr>
        <w:t xml:space="preserve">Oficio DSPM/TLAL/1087/2022, de fecha nueve de junio del año dos mil veintidós, signado por el Comisario de Seguridad Pública y Tránsito Municipal de </w:t>
      </w:r>
      <w:proofErr w:type="spellStart"/>
      <w:r w:rsidRPr="003011EE">
        <w:rPr>
          <w:rFonts w:ascii="Palatino Linotype" w:eastAsia="Palatino Linotype" w:hAnsi="Palatino Linotype" w:cs="Palatino Linotype"/>
          <w:sz w:val="24"/>
          <w:szCs w:val="24"/>
        </w:rPr>
        <w:t>Tlalmanalco</w:t>
      </w:r>
      <w:proofErr w:type="spellEnd"/>
      <w:r w:rsidRPr="003011EE">
        <w:rPr>
          <w:rFonts w:ascii="Palatino Linotype" w:eastAsia="Palatino Linotype" w:hAnsi="Palatino Linotype" w:cs="Palatino Linotype"/>
          <w:sz w:val="24"/>
          <w:szCs w:val="24"/>
        </w:rPr>
        <w:t>, mediante el cual expone lo siguiente:</w:t>
      </w:r>
    </w:p>
    <w:p w:rsidR="004928C0" w:rsidRPr="003011EE" w:rsidRDefault="00C1288B">
      <w:pPr>
        <w:spacing w:after="0" w:line="360" w:lineRule="auto"/>
        <w:ind w:right="193"/>
        <w:jc w:val="both"/>
        <w:rPr>
          <w:rFonts w:ascii="Palatino Linotype" w:eastAsia="Palatino Linotype" w:hAnsi="Palatino Linotype" w:cs="Palatino Linotype"/>
          <w:sz w:val="24"/>
          <w:szCs w:val="24"/>
        </w:rPr>
      </w:pPr>
      <w:r w:rsidRPr="003011EE">
        <w:rPr>
          <w:noProof/>
        </w:rPr>
        <w:drawing>
          <wp:inline distT="0" distB="0" distL="0" distR="0">
            <wp:extent cx="5568152" cy="2311447"/>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35397" t="55220" r="35166" b="23054"/>
                    <a:stretch>
                      <a:fillRect/>
                    </a:stretch>
                  </pic:blipFill>
                  <pic:spPr>
                    <a:xfrm>
                      <a:off x="0" y="0"/>
                      <a:ext cx="5568152" cy="2311447"/>
                    </a:xfrm>
                    <a:prstGeom prst="rect">
                      <a:avLst/>
                    </a:prstGeom>
                    <a:ln/>
                  </pic:spPr>
                </pic:pic>
              </a:graphicData>
            </a:graphic>
          </wp:inline>
        </w:drawing>
      </w:r>
    </w:p>
    <w:p w:rsidR="004928C0" w:rsidRPr="003011EE" w:rsidRDefault="004928C0">
      <w:pPr>
        <w:spacing w:after="0" w:line="360" w:lineRule="auto"/>
        <w:ind w:right="193"/>
        <w:jc w:val="both"/>
        <w:rPr>
          <w:rFonts w:ascii="Palatino Linotype" w:eastAsia="Palatino Linotype" w:hAnsi="Palatino Linotype" w:cs="Palatino Linotype"/>
          <w:sz w:val="24"/>
          <w:szCs w:val="24"/>
        </w:rPr>
      </w:pPr>
    </w:p>
    <w:p w:rsidR="004928C0" w:rsidRPr="003011EE" w:rsidRDefault="00C1288B">
      <w:pPr>
        <w:spacing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i/>
          <w:sz w:val="24"/>
          <w:szCs w:val="24"/>
          <w:u w:val="single"/>
        </w:rPr>
        <w:t xml:space="preserve">TLALMANALCO_2018.pdf </w:t>
      </w:r>
      <w:r w:rsidRPr="003011EE">
        <w:rPr>
          <w:rFonts w:ascii="Palatino Linotype" w:eastAsia="Palatino Linotype" w:hAnsi="Palatino Linotype" w:cs="Palatino Linotype"/>
          <w:sz w:val="24"/>
          <w:szCs w:val="24"/>
        </w:rPr>
        <w:t xml:space="preserve">Relación de la información solicitada correspondiente al año dos mil dieciocho. </w:t>
      </w:r>
    </w:p>
    <w:p w:rsidR="004928C0" w:rsidRPr="003011EE" w:rsidRDefault="004928C0">
      <w:pPr>
        <w:spacing w:after="0" w:line="360" w:lineRule="auto"/>
        <w:ind w:right="49"/>
        <w:jc w:val="both"/>
        <w:rPr>
          <w:rFonts w:ascii="Palatino Linotype" w:eastAsia="Palatino Linotype" w:hAnsi="Palatino Linotype" w:cs="Palatino Linotype"/>
          <w:sz w:val="24"/>
          <w:szCs w:val="24"/>
        </w:rPr>
      </w:pPr>
    </w:p>
    <w:p w:rsidR="004928C0" w:rsidRPr="003011EE" w:rsidRDefault="00C1288B">
      <w:pPr>
        <w:spacing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i/>
          <w:sz w:val="24"/>
          <w:szCs w:val="24"/>
          <w:u w:val="single"/>
        </w:rPr>
        <w:t xml:space="preserve">TLALMANALCO_2019.pdf </w:t>
      </w:r>
      <w:r w:rsidRPr="003011EE">
        <w:rPr>
          <w:rFonts w:ascii="Palatino Linotype" w:eastAsia="Palatino Linotype" w:hAnsi="Palatino Linotype" w:cs="Palatino Linotype"/>
          <w:sz w:val="24"/>
          <w:szCs w:val="24"/>
        </w:rPr>
        <w:t>Relación de la información solicitada correspondiente al año dos mil diecinueve.</w:t>
      </w:r>
    </w:p>
    <w:p w:rsidR="004928C0" w:rsidRPr="003011EE" w:rsidRDefault="004928C0">
      <w:pPr>
        <w:spacing w:after="0" w:line="360" w:lineRule="auto"/>
        <w:ind w:right="49"/>
        <w:jc w:val="both"/>
        <w:rPr>
          <w:rFonts w:ascii="Palatino Linotype" w:eastAsia="Palatino Linotype" w:hAnsi="Palatino Linotype" w:cs="Palatino Linotype"/>
          <w:sz w:val="24"/>
          <w:szCs w:val="24"/>
        </w:rPr>
      </w:pPr>
    </w:p>
    <w:p w:rsidR="004928C0" w:rsidRPr="003011EE" w:rsidRDefault="00C1288B">
      <w:pPr>
        <w:spacing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i/>
          <w:sz w:val="24"/>
          <w:szCs w:val="24"/>
          <w:u w:val="single"/>
        </w:rPr>
        <w:t xml:space="preserve">TLALMANALCO_2021.pdf </w:t>
      </w:r>
      <w:r w:rsidRPr="003011EE">
        <w:rPr>
          <w:rFonts w:ascii="Palatino Linotype" w:eastAsia="Palatino Linotype" w:hAnsi="Palatino Linotype" w:cs="Palatino Linotype"/>
          <w:sz w:val="24"/>
          <w:szCs w:val="24"/>
        </w:rPr>
        <w:t>Relación de la información solicitada correspondiente al año dos mil veintiuno</w:t>
      </w:r>
    </w:p>
    <w:p w:rsidR="004928C0" w:rsidRPr="003011EE" w:rsidRDefault="004928C0">
      <w:pPr>
        <w:spacing w:after="0" w:line="360" w:lineRule="auto"/>
        <w:ind w:right="49"/>
        <w:jc w:val="both"/>
      </w:pPr>
    </w:p>
    <w:p w:rsidR="004928C0" w:rsidRPr="003011EE" w:rsidRDefault="00C1288B">
      <w:pPr>
        <w:spacing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i/>
          <w:sz w:val="24"/>
          <w:szCs w:val="24"/>
          <w:u w:val="single"/>
        </w:rPr>
        <w:t xml:space="preserve">TLALMANALCO_2022.pdf </w:t>
      </w:r>
      <w:r w:rsidRPr="003011EE">
        <w:rPr>
          <w:rFonts w:ascii="Palatino Linotype" w:eastAsia="Palatino Linotype" w:hAnsi="Palatino Linotype" w:cs="Palatino Linotype"/>
          <w:sz w:val="24"/>
          <w:szCs w:val="24"/>
        </w:rPr>
        <w:t>Relación de la información solicitada correspondiente al año dos mil veintidós.</w:t>
      </w:r>
    </w:p>
    <w:p w:rsidR="004928C0" w:rsidRPr="003011EE" w:rsidRDefault="004928C0">
      <w:pPr>
        <w:spacing w:after="0" w:line="360" w:lineRule="auto"/>
        <w:ind w:right="49"/>
        <w:jc w:val="both"/>
        <w:rPr>
          <w:rFonts w:ascii="Palatino Linotype" w:eastAsia="Palatino Linotype" w:hAnsi="Palatino Linotype" w:cs="Palatino Linotype"/>
          <w:sz w:val="24"/>
          <w:szCs w:val="24"/>
        </w:rPr>
      </w:pPr>
    </w:p>
    <w:p w:rsidR="004928C0" w:rsidRPr="003011EE" w:rsidRDefault="00C1288B">
      <w:pPr>
        <w:spacing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i/>
          <w:sz w:val="24"/>
          <w:szCs w:val="24"/>
          <w:u w:val="single"/>
        </w:rPr>
        <w:t xml:space="preserve">TLALMANALCO_2020.pdf </w:t>
      </w:r>
      <w:r w:rsidRPr="003011EE">
        <w:rPr>
          <w:rFonts w:ascii="Palatino Linotype" w:eastAsia="Palatino Linotype" w:hAnsi="Palatino Linotype" w:cs="Palatino Linotype"/>
          <w:sz w:val="24"/>
          <w:szCs w:val="24"/>
        </w:rPr>
        <w:t>Relación de la información solicitada correspondiente al año dos mil veinte.</w:t>
      </w:r>
    </w:p>
    <w:p w:rsidR="004928C0" w:rsidRPr="003011EE" w:rsidRDefault="004928C0">
      <w:pPr>
        <w:spacing w:after="0" w:line="360" w:lineRule="auto"/>
        <w:ind w:right="49"/>
        <w:jc w:val="both"/>
        <w:rPr>
          <w:rFonts w:ascii="Palatino Linotype" w:eastAsia="Palatino Linotype" w:hAnsi="Palatino Linotype" w:cs="Palatino Linotype"/>
          <w:sz w:val="24"/>
          <w:szCs w:val="24"/>
        </w:rPr>
      </w:pPr>
    </w:p>
    <w:p w:rsidR="004928C0" w:rsidRPr="003011EE" w:rsidRDefault="00C1288B">
      <w:pPr>
        <w:spacing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3. DEL RECURSO DE REVISIÓN. </w:t>
      </w:r>
      <w:r w:rsidRPr="003011EE">
        <w:rPr>
          <w:rFonts w:ascii="Palatino Linotype" w:eastAsia="Palatino Linotype" w:hAnsi="Palatino Linotype" w:cs="Palatino Linotype"/>
          <w:sz w:val="24"/>
          <w:szCs w:val="24"/>
        </w:rPr>
        <w:t xml:space="preserve">Inconforme con la respuesta del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w:t>
      </w:r>
      <w:r w:rsidRPr="003011EE">
        <w:rPr>
          <w:rFonts w:ascii="Palatino Linotype" w:eastAsia="Palatino Linotype" w:hAnsi="Palatino Linotype" w:cs="Palatino Linotype"/>
          <w:b/>
          <w:sz w:val="24"/>
          <w:szCs w:val="24"/>
        </w:rPr>
        <w:t xml:space="preserve">EL RECURRENTE </w:t>
      </w:r>
      <w:r w:rsidRPr="003011EE">
        <w:rPr>
          <w:rFonts w:ascii="Palatino Linotype" w:eastAsia="Palatino Linotype" w:hAnsi="Palatino Linotype" w:cs="Palatino Linotype"/>
          <w:sz w:val="24"/>
          <w:szCs w:val="24"/>
        </w:rPr>
        <w:t>interpuso el recurso de revisión, en fecha veintiuno de junio de dos mil veintidós, el cual fue registrado</w:t>
      </w:r>
      <w:r w:rsidRPr="003011EE">
        <w:rPr>
          <w:rFonts w:ascii="Palatino Linotype" w:eastAsia="Palatino Linotype" w:hAnsi="Palatino Linotype" w:cs="Palatino Linotype"/>
          <w:b/>
          <w:sz w:val="24"/>
          <w:szCs w:val="24"/>
        </w:rPr>
        <w:t xml:space="preserve"> </w:t>
      </w:r>
      <w:r w:rsidRPr="003011EE">
        <w:rPr>
          <w:rFonts w:ascii="Palatino Linotype" w:eastAsia="Palatino Linotype" w:hAnsi="Palatino Linotype" w:cs="Palatino Linotype"/>
          <w:sz w:val="24"/>
          <w:szCs w:val="24"/>
        </w:rPr>
        <w:t xml:space="preserve">en el sistema electrónico con el expediente número </w:t>
      </w:r>
      <w:r w:rsidRPr="003011EE">
        <w:rPr>
          <w:rFonts w:ascii="Palatino Linotype" w:eastAsia="Palatino Linotype" w:hAnsi="Palatino Linotype" w:cs="Palatino Linotype"/>
          <w:b/>
          <w:sz w:val="24"/>
          <w:szCs w:val="24"/>
        </w:rPr>
        <w:t>11834/INFOEM/IP/RR/2022</w:t>
      </w:r>
      <w:r w:rsidRPr="003011EE">
        <w:rPr>
          <w:rFonts w:ascii="Palatino Linotype" w:eastAsia="Palatino Linotype" w:hAnsi="Palatino Linotype" w:cs="Palatino Linotype"/>
          <w:sz w:val="24"/>
          <w:szCs w:val="24"/>
        </w:rPr>
        <w:t>, en el cual manifiesta, lo siguiente:</w:t>
      </w:r>
    </w:p>
    <w:p w:rsidR="004928C0" w:rsidRPr="003011EE" w:rsidRDefault="00C1288B">
      <w:pPr>
        <w:numPr>
          <w:ilvl w:val="0"/>
          <w:numId w:val="6"/>
        </w:numPr>
        <w:pBdr>
          <w:top w:val="nil"/>
          <w:left w:val="nil"/>
          <w:bottom w:val="nil"/>
          <w:right w:val="nil"/>
          <w:between w:val="nil"/>
        </w:pBdr>
        <w:spacing w:before="120" w:after="120" w:line="360" w:lineRule="auto"/>
        <w:jc w:val="both"/>
        <w:rPr>
          <w:rFonts w:ascii="Palatino Linotype" w:eastAsia="Palatino Linotype" w:hAnsi="Palatino Linotype" w:cs="Palatino Linotype"/>
          <w:b/>
          <w:sz w:val="24"/>
          <w:szCs w:val="24"/>
        </w:rPr>
      </w:pPr>
      <w:r w:rsidRPr="003011EE">
        <w:rPr>
          <w:rFonts w:ascii="Palatino Linotype" w:eastAsia="Palatino Linotype" w:hAnsi="Palatino Linotype" w:cs="Palatino Linotype"/>
          <w:b/>
          <w:sz w:val="24"/>
          <w:szCs w:val="24"/>
        </w:rPr>
        <w:t>Acto Impugnado:</w:t>
      </w:r>
    </w:p>
    <w:p w:rsidR="004928C0" w:rsidRPr="003011EE" w:rsidRDefault="00C1288B">
      <w:pPr>
        <w:pBdr>
          <w:top w:val="nil"/>
          <w:left w:val="nil"/>
          <w:bottom w:val="nil"/>
          <w:right w:val="nil"/>
          <w:between w:val="nil"/>
        </w:pBdr>
        <w:spacing w:before="120" w:after="0" w:line="240" w:lineRule="auto"/>
        <w:ind w:left="720" w:right="900"/>
        <w:jc w:val="both"/>
        <w:rPr>
          <w:rFonts w:ascii="Palatino Linotype" w:eastAsia="Palatino Linotype" w:hAnsi="Palatino Linotype" w:cs="Palatino Linotype"/>
          <w:i/>
          <w:sz w:val="24"/>
          <w:szCs w:val="24"/>
        </w:rPr>
      </w:pPr>
      <w:r w:rsidRPr="003011EE">
        <w:rPr>
          <w:rFonts w:ascii="Palatino Linotype" w:eastAsia="Palatino Linotype" w:hAnsi="Palatino Linotype" w:cs="Palatino Linotype"/>
          <w:i/>
          <w:sz w:val="24"/>
          <w:szCs w:val="24"/>
        </w:rPr>
        <w:t xml:space="preserve">“No entrega la información completa </w:t>
      </w:r>
      <w:r w:rsidRPr="003011EE">
        <w:rPr>
          <w:rFonts w:ascii="Palatino Linotype" w:eastAsia="Palatino Linotype" w:hAnsi="Palatino Linotype" w:cs="Palatino Linotype"/>
          <w:b/>
          <w:i/>
          <w:sz w:val="24"/>
          <w:szCs w:val="24"/>
          <w:u w:val="single"/>
        </w:rPr>
        <w:t>falta el periodo 2010-2017”</w:t>
      </w:r>
      <w:r w:rsidRPr="003011EE">
        <w:rPr>
          <w:rFonts w:ascii="Palatino Linotype" w:eastAsia="Palatino Linotype" w:hAnsi="Palatino Linotype" w:cs="Palatino Linotype"/>
          <w:i/>
          <w:sz w:val="24"/>
          <w:szCs w:val="24"/>
        </w:rPr>
        <w:t xml:space="preserve"> [Sic]</w:t>
      </w:r>
    </w:p>
    <w:p w:rsidR="004928C0" w:rsidRPr="003011EE" w:rsidRDefault="004928C0">
      <w:pPr>
        <w:pBdr>
          <w:top w:val="nil"/>
          <w:left w:val="nil"/>
          <w:bottom w:val="nil"/>
          <w:right w:val="nil"/>
          <w:between w:val="nil"/>
        </w:pBdr>
        <w:spacing w:before="120" w:after="0" w:line="240" w:lineRule="auto"/>
        <w:ind w:left="720" w:right="900"/>
        <w:jc w:val="both"/>
        <w:rPr>
          <w:rFonts w:ascii="Palatino Linotype" w:eastAsia="Palatino Linotype" w:hAnsi="Palatino Linotype" w:cs="Palatino Linotype"/>
          <w:i/>
          <w:sz w:val="24"/>
          <w:szCs w:val="24"/>
        </w:rPr>
      </w:pPr>
    </w:p>
    <w:p w:rsidR="004928C0" w:rsidRPr="003011EE" w:rsidRDefault="00C1288B">
      <w:pPr>
        <w:numPr>
          <w:ilvl w:val="0"/>
          <w:numId w:val="6"/>
        </w:numPr>
        <w:pBdr>
          <w:top w:val="nil"/>
          <w:left w:val="nil"/>
          <w:bottom w:val="nil"/>
          <w:right w:val="nil"/>
          <w:between w:val="nil"/>
        </w:pBdr>
        <w:spacing w:after="12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Razones o Motivos de Inconformidad</w:t>
      </w:r>
      <w:r w:rsidRPr="003011EE">
        <w:rPr>
          <w:rFonts w:ascii="Palatino Linotype" w:eastAsia="Palatino Linotype" w:hAnsi="Palatino Linotype" w:cs="Palatino Linotype"/>
          <w:sz w:val="24"/>
          <w:szCs w:val="24"/>
        </w:rPr>
        <w:t>:</w:t>
      </w:r>
    </w:p>
    <w:p w:rsidR="004928C0" w:rsidRPr="003011EE" w:rsidRDefault="00C1288B">
      <w:pPr>
        <w:pBdr>
          <w:top w:val="nil"/>
          <w:left w:val="nil"/>
          <w:bottom w:val="nil"/>
          <w:right w:val="nil"/>
          <w:between w:val="nil"/>
        </w:pBdr>
        <w:spacing w:before="120" w:after="120" w:line="240" w:lineRule="auto"/>
        <w:ind w:left="720" w:right="900"/>
        <w:jc w:val="both"/>
        <w:rPr>
          <w:rFonts w:ascii="Palatino Linotype" w:eastAsia="Palatino Linotype" w:hAnsi="Palatino Linotype" w:cs="Palatino Linotype"/>
          <w:i/>
          <w:sz w:val="24"/>
          <w:szCs w:val="24"/>
        </w:rPr>
      </w:pPr>
      <w:r w:rsidRPr="003011EE">
        <w:rPr>
          <w:rFonts w:ascii="Palatino Linotype" w:eastAsia="Palatino Linotype" w:hAnsi="Palatino Linotype" w:cs="Palatino Linotype"/>
          <w:i/>
          <w:sz w:val="24"/>
          <w:szCs w:val="24"/>
        </w:rPr>
        <w:t xml:space="preserve"> “En la respuesta recibida, el Sujeto Obligado envía la información incompleta, ya que remite únicamente la información de los años 2018 a 2022 Por lo anterior, es mi deseo recurrir la respuesta del sujeto obligado, ya que 1) </w:t>
      </w:r>
      <w:r w:rsidRPr="003011EE">
        <w:rPr>
          <w:rFonts w:ascii="Palatino Linotype" w:eastAsia="Palatino Linotype" w:hAnsi="Palatino Linotype" w:cs="Palatino Linotype"/>
          <w:b/>
          <w:i/>
          <w:sz w:val="24"/>
          <w:szCs w:val="24"/>
          <w:u w:val="single"/>
        </w:rPr>
        <w:t>omitió la información desde el año 2010 al 2017</w:t>
      </w:r>
      <w:r w:rsidRPr="003011EE">
        <w:rPr>
          <w:rFonts w:ascii="Palatino Linotype" w:eastAsia="Palatino Linotype" w:hAnsi="Palatino Linotype" w:cs="Palatino Linotype"/>
          <w:i/>
          <w:sz w:val="24"/>
          <w:szCs w:val="24"/>
        </w:rPr>
        <w:t>, Hago mención que no adjunta el acta o Resolución de la Sesión de Comité de Transparencia que confirmara la inexistencia de la información que se omitió, por lo que no tengo certeza jurídica de que se haya realizado la búsqueda exhaustiva de la información solicitada.” [Sic]</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4. TURNO. </w:t>
      </w:r>
      <w:r w:rsidRPr="003011EE">
        <w:rPr>
          <w:rFonts w:ascii="Palatino Linotype" w:eastAsia="Palatino Linotype" w:hAnsi="Palatino Linotype" w:cs="Palatino Linotype"/>
          <w:sz w:val="24"/>
          <w:szCs w:val="24"/>
        </w:rPr>
        <w:t>De conformidad con el artículo 185 Fracción I de la Ley Transparencia y Acceso a la Información Pública, el recurso de revisión número</w:t>
      </w:r>
      <w:r w:rsidRPr="003011EE">
        <w:rPr>
          <w:rFonts w:ascii="Palatino Linotype" w:eastAsia="Palatino Linotype" w:hAnsi="Palatino Linotype" w:cs="Palatino Linotype"/>
          <w:b/>
          <w:sz w:val="24"/>
          <w:szCs w:val="24"/>
        </w:rPr>
        <w:t xml:space="preserve"> 11834/INFOEM/IP/RR/2022 </w:t>
      </w:r>
      <w:r w:rsidRPr="003011EE">
        <w:rPr>
          <w:rFonts w:ascii="Palatino Linotype" w:eastAsia="Palatino Linotype" w:hAnsi="Palatino Linotype" w:cs="Palatino Linotype"/>
          <w:sz w:val="24"/>
          <w:szCs w:val="24"/>
        </w:rPr>
        <w:t xml:space="preserve">fue turnado a la Comisionada Ponente </w:t>
      </w:r>
      <w:r w:rsidRPr="003011EE">
        <w:rPr>
          <w:rFonts w:ascii="Palatino Linotype" w:eastAsia="Palatino Linotype" w:hAnsi="Palatino Linotype" w:cs="Palatino Linotype"/>
          <w:b/>
          <w:sz w:val="24"/>
          <w:szCs w:val="24"/>
        </w:rPr>
        <w:t>Guadalupe Ramírez Peña</w:t>
      </w:r>
      <w:r w:rsidRPr="003011EE">
        <w:rPr>
          <w:rFonts w:ascii="Palatino Linotype" w:eastAsia="Palatino Linotype" w:hAnsi="Palatino Linotype" w:cs="Palatino Linotype"/>
          <w:sz w:val="24"/>
          <w:szCs w:val="24"/>
        </w:rPr>
        <w:t>; a efecto de presentar al Pleno el proyecto de resolución correspondiente.</w:t>
      </w:r>
    </w:p>
    <w:p w:rsidR="004928C0" w:rsidRPr="003011EE" w:rsidRDefault="004928C0"/>
    <w:p w:rsidR="004928C0" w:rsidRPr="003011EE" w:rsidRDefault="00C1288B">
      <w:pPr>
        <w:spacing w:before="120"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5. ADMISIÓN. </w:t>
      </w:r>
      <w:r w:rsidRPr="003011EE">
        <w:rPr>
          <w:rFonts w:ascii="Palatino Linotype" w:eastAsia="Palatino Linotype" w:hAnsi="Palatino Linotype" w:cs="Palatino Linotype"/>
          <w:sz w:val="24"/>
          <w:szCs w:val="24"/>
        </w:rPr>
        <w:t>En fecha veinticuatro de junio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4928C0" w:rsidRPr="003011EE" w:rsidRDefault="004928C0"/>
    <w:p w:rsidR="004928C0" w:rsidRPr="003011EE" w:rsidRDefault="00C1288B">
      <w:pPr>
        <w:spacing w:before="160" w:after="0" w:line="360" w:lineRule="auto"/>
        <w:ind w:right="-234"/>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6. INFORME JUSTIFICADO O MANIFESTACIONES. </w:t>
      </w:r>
      <w:r w:rsidRPr="003011EE">
        <w:rPr>
          <w:rFonts w:ascii="Palatino Linotype" w:eastAsia="Palatino Linotype" w:hAnsi="Palatino Linotype" w:cs="Palatino Linotype"/>
          <w:sz w:val="24"/>
          <w:szCs w:val="24"/>
        </w:rPr>
        <w:t xml:space="preserve">El </w:t>
      </w:r>
      <w:r w:rsidRPr="003011EE">
        <w:rPr>
          <w:rFonts w:ascii="Palatino Linotype" w:eastAsia="Palatino Linotype" w:hAnsi="Palatino Linotype" w:cs="Palatino Linotype"/>
          <w:b/>
          <w:sz w:val="24"/>
          <w:szCs w:val="24"/>
        </w:rPr>
        <w:t>doce de julio de dos mil veintidós</w:t>
      </w:r>
      <w:r w:rsidRPr="003011EE">
        <w:rPr>
          <w:rFonts w:ascii="Palatino Linotype" w:eastAsia="Palatino Linotype" w:hAnsi="Palatino Linotype" w:cs="Palatino Linotype"/>
          <w:sz w:val="24"/>
          <w:szCs w:val="24"/>
        </w:rPr>
        <w:t xml:space="preserve">, se recibió, a través del Sistema de Acceso a la Información Mexiquense (SAIMEX), las manifestaciones de </w:t>
      </w:r>
      <w:r w:rsidRPr="003011EE">
        <w:rPr>
          <w:rFonts w:ascii="Palatino Linotype" w:eastAsia="Palatino Linotype" w:hAnsi="Palatino Linotype" w:cs="Palatino Linotype"/>
          <w:b/>
          <w:sz w:val="24"/>
          <w:szCs w:val="24"/>
        </w:rPr>
        <w:t>LA</w:t>
      </w:r>
      <w:r w:rsidRPr="003011EE">
        <w:rPr>
          <w:rFonts w:ascii="Palatino Linotype" w:eastAsia="Palatino Linotype" w:hAnsi="Palatino Linotype" w:cs="Palatino Linotype"/>
          <w:sz w:val="24"/>
          <w:szCs w:val="24"/>
        </w:rPr>
        <w:t xml:space="preserve">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w:t>
      </w:r>
      <w:r w:rsidRPr="003011EE">
        <w:rPr>
          <w:rFonts w:ascii="Palatino Linotype" w:eastAsia="Palatino Linotype" w:hAnsi="Palatino Linotype" w:cs="Palatino Linotype"/>
          <w:b/>
          <w:sz w:val="24"/>
          <w:szCs w:val="24"/>
        </w:rPr>
        <w:t xml:space="preserve"> </w:t>
      </w:r>
      <w:r w:rsidRPr="003011EE">
        <w:rPr>
          <w:rFonts w:ascii="Palatino Linotype" w:eastAsia="Palatino Linotype" w:hAnsi="Palatino Linotype" w:cs="Palatino Linotype"/>
          <w:sz w:val="24"/>
          <w:szCs w:val="24"/>
        </w:rPr>
        <w:t xml:space="preserve">a través del siguiente archivo electrónico: </w:t>
      </w:r>
    </w:p>
    <w:p w:rsidR="004928C0" w:rsidRPr="003011EE" w:rsidRDefault="004928C0">
      <w:pPr>
        <w:spacing w:after="0" w:line="360" w:lineRule="auto"/>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u w:val="single"/>
        </w:rPr>
        <w:t>RR. 11834</w:t>
      </w:r>
      <w:proofErr w:type="gramStart"/>
      <w:r w:rsidRPr="003011EE">
        <w:rPr>
          <w:rFonts w:ascii="Palatino Linotype" w:eastAsia="Palatino Linotype" w:hAnsi="Palatino Linotype" w:cs="Palatino Linotype"/>
          <w:b/>
          <w:sz w:val="24"/>
          <w:szCs w:val="24"/>
          <w:u w:val="single"/>
        </w:rPr>
        <w:t>.docx</w:t>
      </w:r>
      <w:proofErr w:type="gramEnd"/>
      <w:r w:rsidRPr="003011EE">
        <w:rPr>
          <w:rFonts w:ascii="Palatino Linotype" w:eastAsia="Palatino Linotype" w:hAnsi="Palatino Linotype" w:cs="Palatino Linotype"/>
          <w:sz w:val="24"/>
          <w:szCs w:val="24"/>
        </w:rPr>
        <w:t>: Oficio mediante el cual ratifica en términos generales sus razones y motivos de inconformidad.</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Por lo que respecta al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resulto omiso de emitir su informe justificado.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7. AMPLIACIÓN DEL TÉRMINO PARA RESOLVER</w:t>
      </w:r>
      <w:r w:rsidRPr="003011EE">
        <w:rPr>
          <w:rFonts w:ascii="Palatino Linotype" w:eastAsia="Palatino Linotype" w:hAnsi="Palatino Linotype" w:cs="Palatino Linotype"/>
          <w:sz w:val="24"/>
          <w:szCs w:val="24"/>
        </w:rPr>
        <w:t xml:space="preserve">. En fecha diez de noviembre de dos mil veintidós, se amplió el término para resolver el recurso de revisión en términos del artículo 181 párrafo tercero de la Ley de Transparencia y Acceso a la Información Pública del Estado de México y Municipios.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trike/>
          <w:sz w:val="24"/>
          <w:szCs w:val="24"/>
        </w:rPr>
      </w:pPr>
      <w:r w:rsidRPr="003011E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numPr>
          <w:ilvl w:val="0"/>
          <w:numId w:val="7"/>
        </w:num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4928C0" w:rsidRPr="003011EE" w:rsidRDefault="004928C0">
      <w:pPr>
        <w:spacing w:after="0" w:line="360" w:lineRule="auto"/>
        <w:ind w:left="927"/>
        <w:jc w:val="both"/>
        <w:rPr>
          <w:rFonts w:ascii="Palatino Linotype" w:eastAsia="Palatino Linotype" w:hAnsi="Palatino Linotype" w:cs="Palatino Linotype"/>
          <w:sz w:val="24"/>
          <w:szCs w:val="24"/>
        </w:rPr>
      </w:pPr>
    </w:p>
    <w:p w:rsidR="004928C0" w:rsidRPr="003011EE" w:rsidRDefault="00C1288B">
      <w:pPr>
        <w:numPr>
          <w:ilvl w:val="0"/>
          <w:numId w:val="7"/>
        </w:num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Actividad Procesal del interesado. Acciones u omisiones del interesado.</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numPr>
          <w:ilvl w:val="0"/>
          <w:numId w:val="7"/>
        </w:num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4928C0" w:rsidRPr="003011EE" w:rsidRDefault="00C1288B">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La afectación generada en la situación jurídica de la persona involucrada en el proceso: Violación a sus derechos humanos.</w:t>
      </w:r>
    </w:p>
    <w:p w:rsidR="004928C0" w:rsidRPr="003011EE" w:rsidRDefault="004928C0">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Argumento que encuentra sustento en la jurisprudencia P</w:t>
      </w:r>
      <w:proofErr w:type="gramStart"/>
      <w:r w:rsidRPr="003011EE">
        <w:rPr>
          <w:rFonts w:ascii="Palatino Linotype" w:eastAsia="Palatino Linotype" w:hAnsi="Palatino Linotype" w:cs="Palatino Linotype"/>
          <w:sz w:val="24"/>
          <w:szCs w:val="24"/>
        </w:rPr>
        <w:t>./</w:t>
      </w:r>
      <w:proofErr w:type="gramEnd"/>
      <w:r w:rsidRPr="003011EE">
        <w:rPr>
          <w:rFonts w:ascii="Palatino Linotype" w:eastAsia="Palatino Linotype" w:hAnsi="Palatino Linotype" w:cs="Palatino Linotype"/>
          <w:sz w:val="24"/>
          <w:szCs w:val="24"/>
        </w:rPr>
        <w:t xml:space="preserve">J. 32/92 emitida por el Pleno de la Suprema Corte de Justicia de la Nación de rubro </w:t>
      </w:r>
      <w:r w:rsidRPr="003011EE">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3011EE">
        <w:rPr>
          <w:rFonts w:ascii="Palatino Linotype" w:eastAsia="Palatino Linotype" w:hAnsi="Palatino Linotype" w:cs="Palatino Linotype"/>
          <w:sz w:val="24"/>
          <w:szCs w:val="24"/>
        </w:rPr>
        <w:t>, visible en la Gaceta del Seminario Judicial de la Federación con el registro digital 205635.</w:t>
      </w:r>
    </w:p>
    <w:p w:rsidR="004928C0" w:rsidRPr="003011EE" w:rsidRDefault="004928C0">
      <w:pPr>
        <w:spacing w:after="0" w:line="360" w:lineRule="auto"/>
        <w:jc w:val="both"/>
        <w:rPr>
          <w:rFonts w:ascii="Palatino Linotype" w:eastAsia="Palatino Linotype" w:hAnsi="Palatino Linotype" w:cs="Palatino Linotype"/>
          <w:b/>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 </w:t>
      </w:r>
      <w:r w:rsidRPr="003011EE">
        <w:rPr>
          <w:rFonts w:ascii="Palatino Linotype" w:eastAsia="Palatino Linotype" w:hAnsi="Palatino Linotype" w:cs="Palatino Linotype"/>
          <w:i/>
          <w:sz w:val="24"/>
          <w:szCs w:val="24"/>
        </w:rPr>
        <w:t>“PLAZO RAZONABLE PARA RESOLVER. DIMENSIÓN Y EFECTOS DE ESTE CONCEPTO CUANDO SE ADUCE EXCESIVA CARGA DE TRABAJO.”</w:t>
      </w:r>
      <w:r w:rsidRPr="003011EE">
        <w:rPr>
          <w:rFonts w:ascii="Palatino Linotype" w:eastAsia="Palatino Linotype" w:hAnsi="Palatino Linotype" w:cs="Palatino Linotype"/>
          <w:sz w:val="24"/>
          <w:szCs w:val="24"/>
        </w:rPr>
        <w:t xml:space="preserve"> consultable en el Seminario Judicial de la Federación y su gaceta, con el registro digital 2002351.</w:t>
      </w:r>
    </w:p>
    <w:p w:rsidR="004928C0" w:rsidRPr="003011EE" w:rsidRDefault="004928C0">
      <w:pPr>
        <w:spacing w:after="0" w:line="360" w:lineRule="auto"/>
        <w:jc w:val="both"/>
        <w:rPr>
          <w:rFonts w:ascii="Palatino Linotype" w:eastAsia="Palatino Linotype" w:hAnsi="Palatino Linotype" w:cs="Palatino Linotype"/>
          <w:b/>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3011EE">
        <w:rPr>
          <w:rFonts w:ascii="Palatino Linotype" w:eastAsia="Palatino Linotype" w:hAnsi="Palatino Linotype" w:cs="Palatino Linotype"/>
          <w:sz w:val="24"/>
          <w:szCs w:val="24"/>
        </w:rPr>
        <w:t>, visible en el Seminario Judicial de la Federación y su gaceta, con el registro digital 2002350.</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8. DEL CIERRE DE INSTRUCCIÓN. </w:t>
      </w:r>
      <w:r w:rsidRPr="003011EE">
        <w:rPr>
          <w:rFonts w:ascii="Palatino Linotype" w:eastAsia="Palatino Linotype" w:hAnsi="Palatino Linotype" w:cs="Palatino Linotype"/>
          <w:sz w:val="24"/>
          <w:szCs w:val="24"/>
        </w:rPr>
        <w:t>El diecisiete 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center"/>
        <w:rPr>
          <w:rFonts w:ascii="Palatino Linotype" w:eastAsia="Palatino Linotype" w:hAnsi="Palatino Linotype" w:cs="Palatino Linotype"/>
          <w:b/>
          <w:sz w:val="24"/>
          <w:szCs w:val="24"/>
        </w:rPr>
      </w:pPr>
      <w:r w:rsidRPr="003011EE">
        <w:rPr>
          <w:rFonts w:ascii="Palatino Linotype" w:eastAsia="Palatino Linotype" w:hAnsi="Palatino Linotype" w:cs="Palatino Linotype"/>
          <w:b/>
          <w:sz w:val="24"/>
          <w:szCs w:val="24"/>
        </w:rPr>
        <w:t>CONSIDERANDOS:</w:t>
      </w:r>
    </w:p>
    <w:p w:rsidR="004928C0" w:rsidRPr="003011EE" w:rsidRDefault="004928C0">
      <w:pPr>
        <w:spacing w:after="0" w:line="360" w:lineRule="auto"/>
        <w:jc w:val="center"/>
        <w:rPr>
          <w:rFonts w:ascii="Palatino Linotype" w:eastAsia="Palatino Linotype" w:hAnsi="Palatino Linotype" w:cs="Palatino Linotype"/>
          <w:b/>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bookmarkStart w:id="1" w:name="_heading=h.3dy6vkm" w:colFirst="0" w:colLast="0"/>
      <w:bookmarkEnd w:id="1"/>
      <w:r w:rsidRPr="003011EE">
        <w:rPr>
          <w:rFonts w:ascii="Palatino Linotype" w:eastAsia="Palatino Linotype" w:hAnsi="Palatino Linotype" w:cs="Palatino Linotype"/>
          <w:b/>
          <w:sz w:val="24"/>
          <w:szCs w:val="24"/>
        </w:rPr>
        <w:t xml:space="preserve">PRIMERO. COMPETENCIA. </w:t>
      </w:r>
      <w:r w:rsidRPr="003011EE">
        <w:rPr>
          <w:rFonts w:ascii="Palatino Linotype" w:eastAsia="Palatino Linotype" w:hAnsi="Palatino Linotype" w:cs="Palatino Linotype"/>
          <w:sz w:val="24"/>
          <w:szCs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3011EE">
        <w:rPr>
          <w:rFonts w:ascii="Palatino Linotype" w:eastAsia="Palatino Linotype" w:hAnsi="Palatino Linotype" w:cs="Palatino Linotype"/>
        </w:rPr>
        <w:t xml:space="preserve"> </w:t>
      </w:r>
      <w:r w:rsidRPr="003011EE">
        <w:rPr>
          <w:rFonts w:ascii="Palatino Linotype" w:eastAsia="Palatino Linotype" w:hAnsi="Palatino Linotype" w:cs="Palatino Linotype"/>
          <w:sz w:val="24"/>
          <w:szCs w:val="24"/>
        </w:rPr>
        <w:t>9, fracciones I y XXIV y 11 del Reglamento Interior del Instituto de Transparencia, Acceso a la Información Pública y Protección de Datos Personales del Estado de México y Municipios.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ind w:right="-234"/>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SEGUNDO. OPORTUNIDAD Y PROCEDIBILIDAD DEL RECURSO DE REVISIÓN.  </w:t>
      </w:r>
      <w:r w:rsidRPr="003011EE">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3011EE">
        <w:rPr>
          <w:rFonts w:ascii="Palatino Linotype" w:eastAsia="Palatino Linotype" w:hAnsi="Palatino Linotype" w:cs="Palatino Linotype"/>
          <w:sz w:val="24"/>
          <w:szCs w:val="24"/>
        </w:rPr>
        <w:t>procedibilidad</w:t>
      </w:r>
      <w:proofErr w:type="spellEnd"/>
      <w:r w:rsidRPr="003011EE">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4928C0" w:rsidRPr="003011EE" w:rsidRDefault="004928C0">
      <w:pPr>
        <w:spacing w:after="0" w:line="360" w:lineRule="auto"/>
        <w:ind w:right="-234"/>
        <w:jc w:val="both"/>
        <w:rPr>
          <w:rFonts w:ascii="Palatino Linotype" w:eastAsia="Palatino Linotype" w:hAnsi="Palatino Linotype" w:cs="Palatino Linotype"/>
          <w:sz w:val="24"/>
          <w:szCs w:val="24"/>
        </w:rPr>
      </w:pPr>
    </w:p>
    <w:p w:rsidR="004928C0" w:rsidRPr="003011EE" w:rsidRDefault="00C1288B">
      <w:pPr>
        <w:spacing w:after="0" w:line="360" w:lineRule="auto"/>
        <w:ind w:right="-234"/>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3011EE">
        <w:rPr>
          <w:rFonts w:ascii="Palatino Linotype" w:eastAsia="Palatino Linotype" w:hAnsi="Palatino Linotype" w:cs="Palatino Linotype"/>
          <w:b/>
          <w:sz w:val="24"/>
          <w:szCs w:val="24"/>
        </w:rPr>
        <w:t xml:space="preserve"> EL SUJETO OBLIGADO </w:t>
      </w:r>
      <w:r w:rsidRPr="003011EE">
        <w:rPr>
          <w:rFonts w:ascii="Palatino Linotype" w:eastAsia="Palatino Linotype" w:hAnsi="Palatino Linotype" w:cs="Palatino Linotype"/>
          <w:sz w:val="24"/>
          <w:szCs w:val="24"/>
        </w:rPr>
        <w:t xml:space="preserve">emitió la respuesta, toda vez que esta fue pronunciada el día trece de junio de dos mil veintidós, mientras que la parte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xml:space="preserve"> interpuso el recurso de revisión en fecha veintiuno de junio de dos mil veintidós, esto es al sexto día hábil de haber recibido la respuesta.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Además, por cuanto hace a la </w:t>
      </w:r>
      <w:proofErr w:type="spellStart"/>
      <w:r w:rsidRPr="003011EE">
        <w:rPr>
          <w:rFonts w:ascii="Palatino Linotype" w:eastAsia="Palatino Linotype" w:hAnsi="Palatino Linotype" w:cs="Palatino Linotype"/>
          <w:sz w:val="24"/>
          <w:szCs w:val="24"/>
        </w:rPr>
        <w:t>procedibilidad</w:t>
      </w:r>
      <w:proofErr w:type="spellEnd"/>
      <w:r w:rsidRPr="003011EE">
        <w:rPr>
          <w:rFonts w:ascii="Palatino Linotype" w:eastAsia="Palatino Linotype" w:hAnsi="Palatino Linotype" w:cs="Palatino Linotype"/>
          <w:sz w:val="24"/>
          <w:szCs w:val="24"/>
        </w:rPr>
        <w:t xml:space="preserve"> del recurso de revisión, es de suma importancia señalar que la parte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no señaló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240" w:lineRule="auto"/>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 xml:space="preserve">Las solicitudes </w:t>
      </w:r>
      <w:r w:rsidRPr="003011EE">
        <w:rPr>
          <w:rFonts w:ascii="Palatino Linotype" w:eastAsia="Palatino Linotype" w:hAnsi="Palatino Linotype" w:cs="Palatino Linotype"/>
          <w:i/>
        </w:rPr>
        <w:t xml:space="preserve">anónimas, </w:t>
      </w:r>
      <w:r w:rsidRPr="003011EE">
        <w:rPr>
          <w:rFonts w:ascii="Palatino Linotype" w:eastAsia="Palatino Linotype" w:hAnsi="Palatino Linotype" w:cs="Palatino Linotype"/>
          <w:b/>
          <w:i/>
        </w:rPr>
        <w:t>con nombre incompleto</w:t>
      </w:r>
      <w:r w:rsidRPr="003011EE">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p>
    <w:p w:rsidR="004928C0" w:rsidRPr="003011EE" w:rsidRDefault="004928C0">
      <w:pPr>
        <w:spacing w:after="0" w:line="360" w:lineRule="auto"/>
        <w:ind w:left="851" w:right="902"/>
        <w:jc w:val="both"/>
        <w:rPr>
          <w:rFonts w:ascii="Palatino Linotype" w:eastAsia="Palatino Linotype" w:hAnsi="Palatino Linotype" w:cs="Palatino Linotype"/>
          <w:i/>
        </w:rPr>
      </w:pPr>
    </w:p>
    <w:p w:rsidR="004928C0" w:rsidRPr="003011EE" w:rsidRDefault="00C1288B">
      <w:pPr>
        <w:spacing w:after="0" w:line="360" w:lineRule="auto"/>
        <w:jc w:val="both"/>
        <w:rPr>
          <w:rFonts w:ascii="Palatino Linotype" w:eastAsia="Palatino Linotype" w:hAnsi="Palatino Linotype" w:cs="Palatino Linotype"/>
          <w:b/>
          <w:sz w:val="24"/>
          <w:szCs w:val="24"/>
        </w:rPr>
      </w:pPr>
      <w:r w:rsidRPr="003011EE">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011EE">
        <w:rPr>
          <w:rFonts w:ascii="Palatino Linotype" w:eastAsia="Palatino Linotype" w:hAnsi="Palatino Linotype" w:cs="Palatino Linotype"/>
          <w:b/>
          <w:sz w:val="24"/>
          <w:szCs w:val="24"/>
        </w:rPr>
        <w:t xml:space="preserve">EL SAIMEX.  </w:t>
      </w:r>
    </w:p>
    <w:p w:rsidR="004928C0" w:rsidRPr="003011EE" w:rsidRDefault="004928C0"/>
    <w:p w:rsidR="004928C0" w:rsidRPr="003011EE" w:rsidRDefault="00C1288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Finalmente, resulta procedente la interposición del recurso, según lo aducido por la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rsidR="004928C0" w:rsidRPr="003011EE" w:rsidRDefault="004928C0">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4928C0" w:rsidRPr="003011EE" w:rsidRDefault="00C1288B">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179</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El recurso de revisión</w:t>
      </w:r>
      <w:r w:rsidRPr="003011EE">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011EE">
        <w:rPr>
          <w:rFonts w:ascii="Palatino Linotype" w:eastAsia="Palatino Linotype" w:hAnsi="Palatino Linotype" w:cs="Palatino Linotype"/>
          <w:b/>
          <w:i/>
        </w:rPr>
        <w:t>, y procederá en contra de las siguientes causas</w:t>
      </w:r>
      <w:r w:rsidRPr="003011EE">
        <w:rPr>
          <w:rFonts w:ascii="Palatino Linotype" w:eastAsia="Palatino Linotype" w:hAnsi="Palatino Linotype" w:cs="Palatino Linotype"/>
          <w:i/>
        </w:rPr>
        <w:t>:</w:t>
      </w:r>
    </w:p>
    <w:p w:rsidR="004928C0" w:rsidRPr="003011EE" w:rsidRDefault="004928C0">
      <w:pPr>
        <w:pBdr>
          <w:top w:val="nil"/>
          <w:left w:val="nil"/>
          <w:bottom w:val="nil"/>
          <w:right w:val="nil"/>
          <w:between w:val="nil"/>
        </w:pBdr>
        <w:spacing w:after="0"/>
        <w:ind w:left="992" w:right="1043"/>
        <w:jc w:val="both"/>
        <w:rPr>
          <w:rFonts w:ascii="Palatino Linotype" w:eastAsia="Palatino Linotype" w:hAnsi="Palatino Linotype" w:cs="Palatino Linotype"/>
          <w:i/>
        </w:rPr>
      </w:pPr>
    </w:p>
    <w:p w:rsidR="004928C0" w:rsidRPr="003011EE" w:rsidRDefault="00C1288B">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011EE">
        <w:rPr>
          <w:rFonts w:ascii="Palatino Linotype" w:eastAsia="Palatino Linotype" w:hAnsi="Palatino Linotype" w:cs="Palatino Linotype"/>
          <w:i/>
        </w:rPr>
        <w:t>V. La entrega de información incompleta;”</w:t>
      </w:r>
    </w:p>
    <w:p w:rsidR="004928C0" w:rsidRPr="003011EE" w:rsidRDefault="004928C0"/>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TERCERO. MATERIA DE LA REVISIÓN. </w:t>
      </w:r>
      <w:r w:rsidRPr="003011EE">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es adecuada y suficiente para satisfacer el derecho de acceso a la información pública de la parte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o en su defecto, en caso de ser procedente, ordenar la entrega de información oportuna.</w:t>
      </w:r>
    </w:p>
    <w:p w:rsidR="004928C0" w:rsidRPr="003011EE" w:rsidRDefault="004928C0"/>
    <w:p w:rsidR="004928C0" w:rsidRPr="003011EE" w:rsidRDefault="00C1288B">
      <w:pPr>
        <w:spacing w:before="240"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CUARTO. ESTUDIO Y RESOLUCIÓN DEL ASUNTO.  </w:t>
      </w:r>
      <w:r w:rsidRPr="003011EE">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4928C0" w:rsidRPr="003011EE" w:rsidRDefault="00C1288B">
      <w:pPr>
        <w:tabs>
          <w:tab w:val="left" w:pos="709"/>
        </w:tabs>
        <w:spacing w:line="276" w:lineRule="auto"/>
        <w:ind w:left="851" w:right="850"/>
        <w:jc w:val="both"/>
        <w:rPr>
          <w:rFonts w:ascii="Palatino Linotype" w:eastAsia="Palatino Linotype" w:hAnsi="Palatino Linotype" w:cs="Palatino Linotype"/>
          <w:i/>
        </w:rPr>
      </w:pPr>
      <w:r w:rsidRPr="003011EE">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3011EE">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4928C0" w:rsidRPr="003011EE" w:rsidRDefault="00C1288B">
      <w:pPr>
        <w:tabs>
          <w:tab w:val="left" w:pos="709"/>
        </w:tabs>
        <w:spacing w:line="276" w:lineRule="auto"/>
        <w:ind w:left="851" w:right="850"/>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4928C0" w:rsidRPr="003011EE" w:rsidRDefault="00C1288B">
      <w:pPr>
        <w:tabs>
          <w:tab w:val="left" w:pos="709"/>
        </w:tabs>
        <w:spacing w:line="276" w:lineRule="auto"/>
        <w:ind w:left="851" w:right="850"/>
        <w:jc w:val="both"/>
        <w:rPr>
          <w:rFonts w:ascii="Palatino Linotype" w:eastAsia="Palatino Linotype" w:hAnsi="Palatino Linotype" w:cs="Palatino Linotype"/>
          <w:i/>
        </w:rPr>
      </w:pPr>
      <w:r w:rsidRPr="003011EE">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011EE">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4928C0" w:rsidRPr="003011EE" w:rsidRDefault="00C1288B">
      <w:pPr>
        <w:tabs>
          <w:tab w:val="left" w:pos="709"/>
        </w:tabs>
        <w:ind w:left="851" w:right="850"/>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p>
    <w:p w:rsidR="004928C0" w:rsidRPr="003011EE" w:rsidRDefault="00C1288B">
      <w:pPr>
        <w:ind w:left="851" w:right="901"/>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6o.</w:t>
      </w:r>
    </w:p>
    <w:p w:rsidR="004928C0" w:rsidRPr="003011EE" w:rsidRDefault="00C1288B">
      <w:pPr>
        <w:ind w:left="851" w:right="901"/>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p>
    <w:p w:rsidR="004928C0" w:rsidRPr="003011EE" w:rsidRDefault="00C1288B">
      <w:pPr>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A. Para el ejercicio del derecho de acceso a la información, la Federación y </w:t>
      </w:r>
      <w:r w:rsidRPr="003011EE">
        <w:rPr>
          <w:rFonts w:ascii="Palatino Linotype" w:eastAsia="Palatino Linotype" w:hAnsi="Palatino Linotype" w:cs="Palatino Linotype"/>
          <w:b/>
          <w:i/>
          <w:u w:val="single"/>
        </w:rPr>
        <w:t>las entidades federativas</w:t>
      </w:r>
      <w:r w:rsidRPr="003011EE">
        <w:rPr>
          <w:rFonts w:ascii="Palatino Linotype" w:eastAsia="Palatino Linotype" w:hAnsi="Palatino Linotype" w:cs="Palatino Linotype"/>
          <w:b/>
          <w:i/>
        </w:rPr>
        <w:t>,</w:t>
      </w:r>
      <w:r w:rsidRPr="003011EE">
        <w:rPr>
          <w:rFonts w:ascii="Palatino Linotype" w:eastAsia="Palatino Linotype" w:hAnsi="Palatino Linotype" w:cs="Palatino Linotype"/>
          <w:i/>
        </w:rPr>
        <w:t xml:space="preserve"> en el ámbito de sus respectivas competencias, se regirán por los siguientes principios y bases:</w:t>
      </w:r>
    </w:p>
    <w:p w:rsidR="004928C0" w:rsidRPr="003011EE" w:rsidRDefault="00C1288B">
      <w:pPr>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i/>
        </w:rPr>
        <w:t> </w:t>
      </w: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I. </w:t>
      </w:r>
      <w:r w:rsidRPr="003011EE">
        <w:rPr>
          <w:rFonts w:ascii="Palatino Linotype" w:eastAsia="Palatino Linotype" w:hAnsi="Palatino Linotype" w:cs="Palatino Linotype"/>
          <w:b/>
          <w:i/>
          <w:u w:val="single"/>
        </w:rPr>
        <w:t>Toda la información en posesión de cualquier autoridad, entidad, órgano y organismo de los Poderes</w:t>
      </w:r>
      <w:r w:rsidRPr="003011EE">
        <w:rPr>
          <w:rFonts w:ascii="Palatino Linotype" w:eastAsia="Palatino Linotype" w:hAnsi="Palatino Linotype" w:cs="Palatino Linotype"/>
          <w:i/>
        </w:rPr>
        <w:t xml:space="preserve"> Ejecutivo, Legislativo </w:t>
      </w:r>
      <w:r w:rsidRPr="003011EE">
        <w:rPr>
          <w:rFonts w:ascii="Palatino Linotype" w:eastAsia="Palatino Linotype" w:hAnsi="Palatino Linotype" w:cs="Palatino Linotype"/>
          <w:b/>
          <w:i/>
          <w:u w:val="single"/>
        </w:rPr>
        <w:t>y Judicial</w:t>
      </w:r>
      <w:r w:rsidRPr="003011EE">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011EE">
        <w:rPr>
          <w:rFonts w:ascii="Palatino Linotype" w:eastAsia="Palatino Linotype" w:hAnsi="Palatino Linotype" w:cs="Palatino Linotype"/>
          <w:b/>
          <w:i/>
        </w:rPr>
        <w:t>es pública y sólo podrá ser reservada temporalmente por razones de interés público y seguridad nacional,</w:t>
      </w:r>
      <w:r w:rsidRPr="003011EE">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928C0" w:rsidRPr="003011EE" w:rsidRDefault="00C1288B">
      <w:pPr>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i/>
        </w:rPr>
        <w:t> </w:t>
      </w:r>
    </w:p>
    <w:p w:rsidR="004928C0" w:rsidRPr="003011EE" w:rsidRDefault="00C1288B">
      <w:pPr>
        <w:spacing w:line="276" w:lineRule="auto"/>
        <w:ind w:left="851" w:right="851"/>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i/>
        </w:rPr>
        <w:t> </w:t>
      </w: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III. </w:t>
      </w:r>
      <w:r w:rsidRPr="003011EE">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3011EE">
        <w:rPr>
          <w:rFonts w:ascii="Palatino Linotype" w:eastAsia="Palatino Linotype" w:hAnsi="Palatino Linotype" w:cs="Palatino Linotype"/>
          <w:i/>
        </w:rPr>
        <w:t xml:space="preserve"> a sus datos personales o a la rectificación de éstos.</w:t>
      </w: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i/>
        </w:rPr>
        <w:t> </w:t>
      </w: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IV. </w:t>
      </w:r>
      <w:r w:rsidRPr="003011EE">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4928C0" w:rsidRPr="003011EE" w:rsidRDefault="004928C0">
      <w:pPr>
        <w:spacing w:line="276" w:lineRule="auto"/>
        <w:ind w:left="851" w:right="851"/>
        <w:jc w:val="both"/>
        <w:rPr>
          <w:rFonts w:ascii="Palatino Linotype" w:eastAsia="Palatino Linotype" w:hAnsi="Palatino Linotype" w:cs="Palatino Linotype"/>
          <w:i/>
        </w:rPr>
      </w:pP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V. </w:t>
      </w:r>
      <w:r w:rsidRPr="003011EE">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928C0" w:rsidRPr="003011EE" w:rsidRDefault="00C1288B">
      <w:pPr>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i/>
        </w:rPr>
        <w:t> </w:t>
      </w:r>
    </w:p>
    <w:p w:rsidR="004928C0" w:rsidRPr="003011EE" w:rsidRDefault="00C1288B">
      <w:pPr>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VI. </w:t>
      </w:r>
      <w:r w:rsidRPr="003011EE">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4928C0" w:rsidRPr="003011EE" w:rsidRDefault="00C1288B">
      <w:pPr>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i/>
        </w:rPr>
        <w:t> </w:t>
      </w:r>
    </w:p>
    <w:p w:rsidR="004928C0" w:rsidRPr="003011EE" w:rsidRDefault="00C1288B">
      <w:pPr>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VII. </w:t>
      </w:r>
      <w:r w:rsidRPr="003011EE">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4928C0" w:rsidRPr="003011EE" w:rsidRDefault="004928C0">
      <w:pPr>
        <w:ind w:right="851"/>
        <w:jc w:val="both"/>
        <w:rPr>
          <w:rFonts w:ascii="Palatino Linotype" w:eastAsia="Palatino Linotype" w:hAnsi="Palatino Linotype" w:cs="Palatino Linotype"/>
          <w:i/>
        </w:rPr>
      </w:pPr>
    </w:p>
    <w:p w:rsidR="004928C0" w:rsidRPr="003011EE" w:rsidRDefault="00C1288B">
      <w:pPr>
        <w:tabs>
          <w:tab w:val="left" w:pos="709"/>
        </w:tabs>
        <w:spacing w:before="160"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En primer lugar, es conveniente analizar si la respuesta del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276" w:lineRule="auto"/>
        <w:ind w:left="709" w:right="760"/>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Artículo 4.</w:t>
      </w:r>
      <w:r w:rsidRPr="003011E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928C0" w:rsidRPr="003011EE" w:rsidRDefault="00C1288B">
      <w:pPr>
        <w:spacing w:line="276" w:lineRule="auto"/>
        <w:ind w:left="709" w:right="760"/>
        <w:jc w:val="both"/>
        <w:rPr>
          <w:rFonts w:ascii="Palatino Linotype" w:eastAsia="Palatino Linotype" w:hAnsi="Palatino Linotype" w:cs="Palatino Linotype"/>
          <w:i/>
        </w:rPr>
      </w:pPr>
      <w:r w:rsidRPr="003011E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3011E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928C0" w:rsidRPr="003011EE" w:rsidRDefault="004928C0">
      <w:pPr>
        <w:spacing w:line="276" w:lineRule="auto"/>
        <w:ind w:left="709" w:right="760"/>
        <w:jc w:val="both"/>
        <w:rPr>
          <w:rFonts w:ascii="Palatino Linotype" w:eastAsia="Palatino Linotype" w:hAnsi="Palatino Linotype" w:cs="Palatino Linotype"/>
          <w:i/>
        </w:rPr>
      </w:pPr>
    </w:p>
    <w:p w:rsidR="004928C0" w:rsidRPr="003011EE" w:rsidRDefault="00C1288B">
      <w:pPr>
        <w:spacing w:after="0" w:line="360" w:lineRule="auto"/>
        <w:ind w:left="709" w:right="760"/>
        <w:jc w:val="both"/>
        <w:rPr>
          <w:rFonts w:ascii="Palatino Linotype" w:eastAsia="Palatino Linotype" w:hAnsi="Palatino Linotype" w:cs="Palatino Linotype"/>
          <w:i/>
        </w:rPr>
      </w:pPr>
      <w:r w:rsidRPr="003011E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3011EE">
        <w:rPr>
          <w:rFonts w:ascii="Palatino Linotype" w:eastAsia="Palatino Linotype" w:hAnsi="Palatino Linotype" w:cs="Palatino Linotype"/>
          <w:i/>
        </w:rPr>
        <w:t>.”(Sic)</w:t>
      </w:r>
    </w:p>
    <w:p w:rsidR="004928C0" w:rsidRPr="003011EE" w:rsidRDefault="004928C0">
      <w:pPr>
        <w:spacing w:after="0" w:line="360" w:lineRule="auto"/>
        <w:ind w:left="709" w:right="760"/>
        <w:jc w:val="both"/>
        <w:rPr>
          <w:rFonts w:ascii="Palatino Linotype" w:eastAsia="Palatino Linotype" w:hAnsi="Palatino Linotype" w:cs="Palatino Linotype"/>
          <w:i/>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line="276" w:lineRule="auto"/>
        <w:ind w:left="567" w:right="758"/>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Artículo12.-</w:t>
      </w:r>
      <w:r w:rsidRPr="003011E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4928C0" w:rsidRPr="003011EE" w:rsidRDefault="004928C0">
      <w:pPr>
        <w:spacing w:line="276" w:lineRule="auto"/>
        <w:ind w:left="567" w:right="758"/>
        <w:jc w:val="both"/>
        <w:rPr>
          <w:rFonts w:ascii="Palatino Linotype" w:eastAsia="Palatino Linotype" w:hAnsi="Palatino Linotype" w:cs="Palatino Linotype"/>
          <w:i/>
        </w:rPr>
      </w:pPr>
    </w:p>
    <w:p w:rsidR="004928C0" w:rsidRPr="003011EE" w:rsidRDefault="00C1288B">
      <w:pPr>
        <w:spacing w:after="0" w:line="276" w:lineRule="auto"/>
        <w:ind w:left="567" w:right="758"/>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4928C0" w:rsidRPr="003011EE" w:rsidRDefault="004928C0">
      <w:pPr>
        <w:spacing w:after="0" w:line="360" w:lineRule="auto"/>
        <w:ind w:left="567" w:right="758"/>
        <w:jc w:val="both"/>
        <w:rPr>
          <w:rFonts w:ascii="Palatino Linotype" w:eastAsia="Palatino Linotype" w:hAnsi="Palatino Linotype" w:cs="Palatino Linotype"/>
          <w:i/>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4928C0" w:rsidRPr="003011EE" w:rsidRDefault="004928C0">
      <w:pPr>
        <w:spacing w:line="360" w:lineRule="auto"/>
        <w:jc w:val="both"/>
        <w:rPr>
          <w:rFonts w:ascii="Palatino Linotype" w:eastAsia="Palatino Linotype" w:hAnsi="Palatino Linotype" w:cs="Palatino Linotype"/>
        </w:rPr>
      </w:pP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18.</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3011EE">
        <w:rPr>
          <w:rFonts w:ascii="Palatino Linotype" w:eastAsia="Palatino Linotype" w:hAnsi="Palatino Linotype" w:cs="Palatino Linotype"/>
          <w:i/>
        </w:rPr>
        <w:t xml:space="preserve"> y reutilización de la información que generen.</w:t>
      </w:r>
    </w:p>
    <w:p w:rsidR="004928C0" w:rsidRPr="003011EE" w:rsidRDefault="004928C0">
      <w:pPr>
        <w:spacing w:line="276" w:lineRule="auto"/>
        <w:ind w:left="851" w:right="851"/>
        <w:jc w:val="both"/>
        <w:rPr>
          <w:rFonts w:ascii="Palatino Linotype" w:eastAsia="Palatino Linotype" w:hAnsi="Palatino Linotype" w:cs="Palatino Linotype"/>
          <w:b/>
          <w:i/>
        </w:rPr>
      </w:pP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Artículo 19. </w:t>
      </w:r>
      <w:r w:rsidRPr="003011EE">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3011EE">
        <w:rPr>
          <w:rFonts w:ascii="Palatino Linotype" w:eastAsia="Palatino Linotype" w:hAnsi="Palatino Linotype" w:cs="Palatino Linotype"/>
          <w:i/>
        </w:rPr>
        <w:t>.</w:t>
      </w:r>
    </w:p>
    <w:p w:rsidR="004928C0" w:rsidRPr="003011EE" w:rsidRDefault="004928C0">
      <w:pPr>
        <w:spacing w:line="276" w:lineRule="auto"/>
        <w:ind w:left="851" w:right="851"/>
        <w:jc w:val="both"/>
        <w:rPr>
          <w:rFonts w:ascii="Palatino Linotype" w:eastAsia="Palatino Linotype" w:hAnsi="Palatino Linotype" w:cs="Palatino Linotype"/>
          <w:i/>
        </w:rPr>
      </w:pP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4928C0" w:rsidRPr="003011EE" w:rsidRDefault="00C1288B">
      <w:pPr>
        <w:spacing w:line="276" w:lineRule="auto"/>
        <w:ind w:left="851" w:right="851"/>
        <w:jc w:val="both"/>
        <w:rPr>
          <w:rFonts w:ascii="Palatino Linotype" w:eastAsia="Palatino Linotype" w:hAnsi="Palatino Linotype" w:cs="Palatino Linotype"/>
          <w:i/>
        </w:rPr>
      </w:pPr>
      <w:r w:rsidRPr="003011EE">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line="276" w:lineRule="auto"/>
        <w:ind w:left="851" w:right="899"/>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 xml:space="preserve">Artículo 3. </w:t>
      </w:r>
      <w:r w:rsidRPr="003011EE">
        <w:rPr>
          <w:rFonts w:ascii="Palatino Linotype" w:eastAsia="Palatino Linotype" w:hAnsi="Palatino Linotype" w:cs="Palatino Linotype"/>
          <w:i/>
        </w:rPr>
        <w:t>Para los efectos de la presente Ley se entenderá por:</w:t>
      </w:r>
    </w:p>
    <w:p w:rsidR="004928C0" w:rsidRPr="003011EE" w:rsidRDefault="00C1288B">
      <w:pPr>
        <w:spacing w:line="276" w:lineRule="auto"/>
        <w:ind w:left="851" w:right="899"/>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p>
    <w:p w:rsidR="004928C0" w:rsidRPr="003011EE" w:rsidRDefault="00C1288B">
      <w:pPr>
        <w:spacing w:after="0" w:line="276" w:lineRule="auto"/>
        <w:ind w:left="851" w:right="899"/>
        <w:jc w:val="both"/>
        <w:rPr>
          <w:rFonts w:ascii="Palatino Linotype" w:eastAsia="Palatino Linotype" w:hAnsi="Palatino Linotype" w:cs="Palatino Linotype"/>
          <w:i/>
        </w:rPr>
      </w:pPr>
      <w:r w:rsidRPr="003011EE">
        <w:rPr>
          <w:rFonts w:ascii="Palatino Linotype" w:eastAsia="Palatino Linotype" w:hAnsi="Palatino Linotype" w:cs="Palatino Linotype"/>
          <w:b/>
          <w:i/>
        </w:rPr>
        <w:t>XI. Documento:</w:t>
      </w:r>
      <w:r w:rsidRPr="003011EE">
        <w:rPr>
          <w:rFonts w:ascii="Palatino Linotype" w:eastAsia="Palatino Linotype" w:hAnsi="Palatino Linotype" w:cs="Palatino Linotype"/>
          <w:i/>
        </w:rPr>
        <w:t xml:space="preserve"> Los expedientes, reportes, estudios, actas</w:t>
      </w:r>
      <w:r w:rsidRPr="003011EE">
        <w:rPr>
          <w:rFonts w:ascii="Palatino Linotype" w:eastAsia="Palatino Linotype" w:hAnsi="Palatino Linotype" w:cs="Palatino Linotype"/>
          <w:b/>
          <w:i/>
        </w:rPr>
        <w:t>,</w:t>
      </w:r>
      <w:r w:rsidRPr="003011E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7E5F2F" w:rsidRPr="003011EE" w:rsidRDefault="007E5F2F">
      <w:pPr>
        <w:spacing w:after="0" w:line="276" w:lineRule="auto"/>
        <w:ind w:left="851" w:right="899"/>
        <w:jc w:val="both"/>
        <w:rPr>
          <w:rFonts w:ascii="Palatino Linotype" w:eastAsia="Palatino Linotype" w:hAnsi="Palatino Linotype" w:cs="Palatino Linotype"/>
          <w:i/>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line="276" w:lineRule="auto"/>
        <w:ind w:left="851" w:right="899"/>
        <w:jc w:val="both"/>
        <w:rPr>
          <w:rFonts w:ascii="Palatino Linotype" w:eastAsia="Palatino Linotype" w:hAnsi="Palatino Linotype" w:cs="Palatino Linotype"/>
          <w:b/>
          <w:i/>
        </w:rPr>
      </w:pPr>
      <w:r w:rsidRPr="003011EE">
        <w:rPr>
          <w:rFonts w:ascii="Palatino Linotype" w:eastAsia="Palatino Linotype" w:hAnsi="Palatino Linotype" w:cs="Palatino Linotype"/>
          <w:b/>
        </w:rPr>
        <w:t>“</w:t>
      </w:r>
      <w:r w:rsidRPr="003011EE">
        <w:rPr>
          <w:rFonts w:ascii="Palatino Linotype" w:eastAsia="Palatino Linotype" w:hAnsi="Palatino Linotype" w:cs="Palatino Linotype"/>
          <w:b/>
          <w:i/>
        </w:rPr>
        <w:t>CRITERIO 0002-11</w:t>
      </w:r>
    </w:p>
    <w:p w:rsidR="004928C0" w:rsidRPr="003011EE" w:rsidRDefault="00C1288B">
      <w:pPr>
        <w:spacing w:line="276" w:lineRule="auto"/>
        <w:ind w:left="851" w:right="899"/>
        <w:jc w:val="both"/>
        <w:rPr>
          <w:rFonts w:ascii="Palatino Linotype" w:eastAsia="Palatino Linotype" w:hAnsi="Palatino Linotype" w:cs="Palatino Linotype"/>
          <w:i/>
        </w:rPr>
      </w:pPr>
      <w:r w:rsidRPr="003011E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011E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928C0" w:rsidRPr="003011EE" w:rsidRDefault="00C1288B">
      <w:pPr>
        <w:spacing w:line="276" w:lineRule="auto"/>
        <w:ind w:left="851" w:right="899"/>
        <w:jc w:val="both"/>
        <w:rPr>
          <w:rFonts w:ascii="Palatino Linotype" w:eastAsia="Palatino Linotype" w:hAnsi="Palatino Linotype" w:cs="Palatino Linotype"/>
          <w:i/>
        </w:rPr>
      </w:pPr>
      <w:r w:rsidRPr="003011EE">
        <w:rPr>
          <w:rFonts w:ascii="Palatino Linotype" w:eastAsia="Palatino Linotype" w:hAnsi="Palatino Linotype" w:cs="Palatino Linotype"/>
          <w:i/>
        </w:rPr>
        <w:t>En consecuencia el acceso a la información se refiere a que se cumplan cualquiera de los siguientes tres supuestos:</w:t>
      </w:r>
    </w:p>
    <w:p w:rsidR="004928C0" w:rsidRPr="003011EE" w:rsidRDefault="00C1288B">
      <w:pPr>
        <w:spacing w:line="276" w:lineRule="auto"/>
        <w:ind w:left="851" w:right="899"/>
        <w:jc w:val="both"/>
        <w:rPr>
          <w:rFonts w:ascii="Palatino Linotype" w:eastAsia="Palatino Linotype" w:hAnsi="Palatino Linotype" w:cs="Palatino Linotype"/>
          <w:i/>
        </w:rPr>
      </w:pPr>
      <w:r w:rsidRPr="003011EE">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4928C0" w:rsidRPr="003011EE" w:rsidRDefault="00C1288B">
      <w:pPr>
        <w:spacing w:line="276" w:lineRule="auto"/>
        <w:ind w:left="851" w:right="899"/>
        <w:jc w:val="both"/>
        <w:rPr>
          <w:rFonts w:ascii="Palatino Linotype" w:eastAsia="Palatino Linotype" w:hAnsi="Palatino Linotype" w:cs="Palatino Linotype"/>
          <w:i/>
        </w:rPr>
      </w:pPr>
      <w:r w:rsidRPr="003011EE">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4928C0" w:rsidRPr="003011EE" w:rsidRDefault="00C1288B">
      <w:pPr>
        <w:spacing w:after="0" w:line="276" w:lineRule="auto"/>
        <w:ind w:left="851" w:right="899"/>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r w:rsidRPr="003011EE">
        <w:rPr>
          <w:rFonts w:ascii="Palatino Linotype" w:eastAsia="Palatino Linotype" w:hAnsi="Palatino Linotype" w:cs="Palatino Linotype"/>
          <w:i/>
        </w:rPr>
        <w:tab/>
      </w:r>
    </w:p>
    <w:p w:rsidR="007E5F2F" w:rsidRPr="003011EE" w:rsidRDefault="007E5F2F">
      <w:pPr>
        <w:spacing w:after="0" w:line="276" w:lineRule="auto"/>
        <w:ind w:left="851" w:right="899"/>
        <w:jc w:val="both"/>
        <w:rPr>
          <w:rFonts w:ascii="Palatino Linotype" w:eastAsia="Palatino Linotype" w:hAnsi="Palatino Linotype" w:cs="Palatino Linotype"/>
          <w:i/>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De ahí que 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011EE">
        <w:rPr>
          <w:rFonts w:ascii="Palatino Linotype" w:eastAsia="Palatino Linotype" w:hAnsi="Palatino Linotype" w:cs="Palatino Linotype"/>
          <w:sz w:val="24"/>
          <w:szCs w:val="24"/>
          <w:vertAlign w:val="superscript"/>
        </w:rPr>
        <w:footnoteReference w:id="1"/>
      </w:r>
      <w:r w:rsidRPr="003011EE">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011EE">
        <w:rPr>
          <w:rFonts w:ascii="Palatino Linotype" w:eastAsia="Palatino Linotype" w:hAnsi="Palatino Linotype" w:cs="Palatino Linotype"/>
          <w:sz w:val="24"/>
          <w:szCs w:val="24"/>
          <w:vertAlign w:val="superscript"/>
        </w:rPr>
        <w:footnoteReference w:id="2"/>
      </w:r>
      <w:r w:rsidRPr="003011EE">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xml:space="preserve"> requirió al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le proporcione, lo siguiente:</w:t>
      </w:r>
    </w:p>
    <w:p w:rsidR="004928C0" w:rsidRPr="003011EE" w:rsidRDefault="004928C0"/>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Incidencia delictiva o reporte de incidentes, eventos o cualquier registro o documento  que contenga la siguiente información:</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Tipo de incidente o evento (es decir hechos presuntamente constitutivos de delito y/o falta administrativa, o situación reportada, cualquiera que esta sea, especificando si el hecho fue con o sin violencia).</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Hora del incidente o evento.</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Fecha (</w:t>
      </w:r>
      <w:proofErr w:type="spellStart"/>
      <w:r w:rsidRPr="003011EE">
        <w:rPr>
          <w:rFonts w:ascii="Palatino Linotype" w:eastAsia="Palatino Linotype" w:hAnsi="Palatino Linotype" w:cs="Palatino Linotype"/>
          <w:sz w:val="24"/>
          <w:szCs w:val="24"/>
        </w:rPr>
        <w:t>dd</w:t>
      </w:r>
      <w:proofErr w:type="spellEnd"/>
      <w:r w:rsidRPr="003011EE">
        <w:rPr>
          <w:rFonts w:ascii="Palatino Linotype" w:eastAsia="Palatino Linotype" w:hAnsi="Palatino Linotype" w:cs="Palatino Linotype"/>
          <w:sz w:val="24"/>
          <w:szCs w:val="24"/>
        </w:rPr>
        <w:t>/mm/</w:t>
      </w:r>
      <w:proofErr w:type="spellStart"/>
      <w:r w:rsidRPr="003011EE">
        <w:rPr>
          <w:rFonts w:ascii="Palatino Linotype" w:eastAsia="Palatino Linotype" w:hAnsi="Palatino Linotype" w:cs="Palatino Linotype"/>
          <w:sz w:val="24"/>
          <w:szCs w:val="24"/>
        </w:rPr>
        <w:t>aaaa</w:t>
      </w:r>
      <w:proofErr w:type="spellEnd"/>
      <w:r w:rsidRPr="003011EE">
        <w:rPr>
          <w:rFonts w:ascii="Palatino Linotype" w:eastAsia="Palatino Linotype" w:hAnsi="Palatino Linotype" w:cs="Palatino Linotype"/>
          <w:sz w:val="24"/>
          <w:szCs w:val="24"/>
        </w:rPr>
        <w:t>) del incidente o evento.</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 </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Lugar del incidente o evento.</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 </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Ubicación del incidente o evento.</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 </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Las coordenadas geográficas del incidente o evento, establecidas en la sección “lugar de la intervención” del informe policial homologado para 1) hechos probablemente delictivos o para 2) justicia cívica según corresponda al tipo de incidente.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La información se debe encontrar desglosada y particularizada por tipo de incidente, por lo que cada uno debe contener su hora, fecha, lugar, ubicación y coordenadas geográficas que le corresponde.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La información correspondiente al periodo del 1 de enero de 2010 a la fecha de la presente solicitud.</w:t>
      </w:r>
    </w:p>
    <w:p w:rsidR="004928C0" w:rsidRPr="003011EE" w:rsidRDefault="004928C0">
      <w:pPr>
        <w:spacing w:line="360" w:lineRule="auto"/>
        <w:jc w:val="both"/>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Por su parte 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emitió su respuesta por conducto del Comisario de Seguridad Pública y Tránsito Municipal de </w:t>
      </w:r>
      <w:proofErr w:type="spellStart"/>
      <w:r w:rsidRPr="003011EE">
        <w:rPr>
          <w:rFonts w:ascii="Palatino Linotype" w:eastAsia="Palatino Linotype" w:hAnsi="Palatino Linotype" w:cs="Palatino Linotype"/>
          <w:sz w:val="24"/>
          <w:szCs w:val="24"/>
        </w:rPr>
        <w:t>Tlalmanalco</w:t>
      </w:r>
      <w:proofErr w:type="spellEnd"/>
      <w:r w:rsidRPr="003011EE">
        <w:rPr>
          <w:rFonts w:ascii="Palatino Linotype" w:eastAsia="Palatino Linotype" w:hAnsi="Palatino Linotype" w:cs="Palatino Linotype"/>
          <w:sz w:val="24"/>
          <w:szCs w:val="24"/>
        </w:rPr>
        <w:t xml:space="preserve"> en donde hace entrega de la información solicitada de los años dos mil dieciocho, dos mil diecinueve, dos mil veinte, dos mil veintiuno y dos mil veintidós.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Conocida la respuesta por la particular, al no estar conforme con los términos de la misma, presentó el recurso de revisión que nos ocupa, mediante el cual señaló como motivo de inconformidad en lo medular que omitió la información del año dos mil diez al dos mil diecisiete, omitiendo adjuntar el acta de la Sesión de Comité de Transparencia que confirmara la inexistencia de la información que se omitió, aduciendo que no tiene certeza jurídica de que se haya realizado la búsqueda exhaustiva de la información solicitada.</w:t>
      </w:r>
    </w:p>
    <w:p w:rsidR="004928C0" w:rsidRPr="003011EE" w:rsidRDefault="004928C0">
      <w:pPr>
        <w:spacing w:line="360" w:lineRule="auto"/>
        <w:jc w:val="both"/>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Cabe precisar que una vez notificado el recurso de revisión, </w:t>
      </w:r>
      <w:r w:rsidRPr="003011EE">
        <w:rPr>
          <w:rFonts w:ascii="Palatino Linotype" w:eastAsia="Palatino Linotype" w:hAnsi="Palatino Linotype" w:cs="Palatino Linotype"/>
          <w:b/>
          <w:sz w:val="24"/>
          <w:szCs w:val="24"/>
        </w:rPr>
        <w:t>LA</w:t>
      </w:r>
      <w:r w:rsidRPr="003011EE">
        <w:rPr>
          <w:rFonts w:ascii="Palatino Linotype" w:eastAsia="Palatino Linotype" w:hAnsi="Palatino Linotype" w:cs="Palatino Linotype"/>
          <w:sz w:val="24"/>
          <w:szCs w:val="24"/>
        </w:rPr>
        <w:t xml:space="preserve">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xml:space="preserve">, en manifestaciones ratifica sus razones o motivos de inconformidad, por lo que respecta al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fue omiso de emitir manifestación alguna.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Por lo que respecta a los motivos de inconformidad, se advierte que, la parte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xml:space="preserve">, sólo se inconforma, porque no se le entregó  la información correspondiente del año dos mil diez al año dos mil diecisiete, por consiguiente, la parte de la respuesta, que no fue impugnada debe declararse consentida por el hoy </w:t>
      </w:r>
      <w:r w:rsidRPr="003011EE">
        <w:rPr>
          <w:rFonts w:ascii="Palatino Linotype" w:eastAsia="Palatino Linotype" w:hAnsi="Palatino Linotype" w:cs="Palatino Linotype"/>
          <w:b/>
          <w:sz w:val="24"/>
          <w:szCs w:val="24"/>
        </w:rPr>
        <w:t xml:space="preserve">RECURRENTE </w:t>
      </w:r>
      <w:r w:rsidRPr="003011EE">
        <w:rPr>
          <w:rFonts w:ascii="Palatino Linotype" w:eastAsia="Palatino Linotype" w:hAnsi="Palatino Linotype" w:cs="Palatino Linotype"/>
          <w:sz w:val="24"/>
          <w:szCs w:val="24"/>
        </w:rPr>
        <w:t>en razón de que no se realizaron manifestaciones de inconformidad del año dos mil dieciocho a la fecha de la solicitud por lo que no pueden producirse efectos jurídicos tendentes a revocar, confirmar o modificar el acto reclamado ya que se infiere un consentimiento de la</w:t>
      </w:r>
      <w:r w:rsidRPr="003011EE">
        <w:rPr>
          <w:rFonts w:ascii="Palatino Linotype" w:eastAsia="Palatino Linotype" w:hAnsi="Palatino Linotype" w:cs="Palatino Linotype"/>
          <w:b/>
          <w:sz w:val="24"/>
          <w:szCs w:val="24"/>
        </w:rPr>
        <w:t xml:space="preserve"> </w:t>
      </w:r>
      <w:r w:rsidRPr="003011EE">
        <w:rPr>
          <w:rFonts w:ascii="Palatino Linotype" w:eastAsia="Palatino Linotype" w:hAnsi="Palatino Linotype" w:cs="Palatino Linotype"/>
          <w:sz w:val="24"/>
          <w:szCs w:val="24"/>
        </w:rPr>
        <w:t>parte</w:t>
      </w:r>
      <w:r w:rsidRPr="003011EE">
        <w:rPr>
          <w:rFonts w:ascii="Palatino Linotype" w:eastAsia="Palatino Linotype" w:hAnsi="Palatino Linotype" w:cs="Palatino Linotype"/>
          <w:b/>
          <w:sz w:val="24"/>
          <w:szCs w:val="24"/>
        </w:rPr>
        <w:t xml:space="preserve"> RECURRENTE</w:t>
      </w:r>
      <w:r w:rsidRPr="003011EE">
        <w:rPr>
          <w:rFonts w:ascii="Palatino Linotype" w:eastAsia="Palatino Linotype" w:hAnsi="Palatino Linotype" w:cs="Palatino Linotype"/>
          <w:sz w:val="24"/>
          <w:szCs w:val="24"/>
        </w:rPr>
        <w:t xml:space="preserve"> ante la falta de impugnación eficaz.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hd w:val="clear" w:color="auto" w:fill="FFFFFF"/>
        <w:spacing w:after="120" w:line="276" w:lineRule="auto"/>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ACTOS CONSENTIDOS. SON LOS QUE NO SE IMPUGNAN MEDIANTE EL RECURSO IDÓNEO</w:t>
      </w:r>
      <w:r w:rsidRPr="003011EE">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4928C0" w:rsidRPr="003011EE" w:rsidRDefault="004928C0">
      <w:pPr>
        <w:spacing w:before="120" w:after="0" w:line="360" w:lineRule="auto"/>
        <w:ind w:right="49"/>
        <w:jc w:val="both"/>
        <w:rPr>
          <w:rFonts w:ascii="Palatino Linotype" w:eastAsia="Palatino Linotype" w:hAnsi="Palatino Linotype" w:cs="Palatino Linotype"/>
          <w:sz w:val="24"/>
          <w:szCs w:val="24"/>
        </w:rPr>
      </w:pPr>
    </w:p>
    <w:p w:rsidR="004928C0" w:rsidRPr="003011EE" w:rsidRDefault="00C1288B">
      <w:pPr>
        <w:spacing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Lo anterior es así, debido a que, cuando la parte </w:t>
      </w:r>
      <w:r w:rsidRPr="003011EE">
        <w:rPr>
          <w:rFonts w:ascii="Palatino Linotype" w:eastAsia="Palatino Linotype" w:hAnsi="Palatino Linotype" w:cs="Palatino Linotype"/>
          <w:b/>
          <w:sz w:val="24"/>
          <w:szCs w:val="24"/>
        </w:rPr>
        <w:t xml:space="preserve">RECURRENTE </w:t>
      </w:r>
      <w:r w:rsidRPr="003011EE">
        <w:rPr>
          <w:rFonts w:ascii="Palatino Linotype" w:eastAsia="Palatino Linotype" w:hAnsi="Palatino Linotype" w:cs="Palatino Linotype"/>
          <w:sz w:val="24"/>
          <w:szCs w:val="24"/>
        </w:rPr>
        <w:t xml:space="preserve">impugnó la respuesta del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la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xml:space="preserve"> está conforme con la información al no contravenir la misma.</w:t>
      </w:r>
    </w:p>
    <w:p w:rsidR="004928C0" w:rsidRPr="003011EE" w:rsidRDefault="004928C0">
      <w:pPr>
        <w:spacing w:after="0" w:line="360" w:lineRule="auto"/>
      </w:pPr>
    </w:p>
    <w:p w:rsidR="004928C0" w:rsidRPr="003011EE" w:rsidRDefault="00C1288B">
      <w:pPr>
        <w:spacing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rsidR="004928C0" w:rsidRPr="003011EE" w:rsidRDefault="004928C0">
      <w:pPr>
        <w:spacing w:after="0" w:line="360" w:lineRule="auto"/>
        <w:ind w:right="49"/>
        <w:jc w:val="both"/>
        <w:rPr>
          <w:rFonts w:ascii="Palatino Linotype" w:eastAsia="Palatino Linotype" w:hAnsi="Palatino Linotype" w:cs="Palatino Linotype"/>
          <w:sz w:val="18"/>
          <w:szCs w:val="18"/>
        </w:rPr>
      </w:pPr>
    </w:p>
    <w:p w:rsidR="004928C0" w:rsidRPr="003011EE" w:rsidRDefault="00C1288B">
      <w:pPr>
        <w:spacing w:after="0" w:line="240" w:lineRule="auto"/>
        <w:ind w:left="1080" w:right="918"/>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i/>
        </w:rPr>
        <w:t xml:space="preserve">“REVISIÓN EN AMPARO. LOS RESOLUTIVOS NO COMBATIDOS DEBEN DECLARARSE FIRMES. </w:t>
      </w:r>
      <w:r w:rsidRPr="003011EE">
        <w:rPr>
          <w:rFonts w:ascii="Palatino Linotype" w:eastAsia="Palatino Linotype" w:hAnsi="Palatino Linotype" w:cs="Palatino Linotype"/>
          <w:i/>
        </w:rPr>
        <w:t xml:space="preserve">Cuando algún resolutivo de la sentencia impugnada afecta a la </w:t>
      </w:r>
      <w:r w:rsidRPr="003011EE">
        <w:rPr>
          <w:rFonts w:ascii="Palatino Linotype" w:eastAsia="Palatino Linotype" w:hAnsi="Palatino Linotype" w:cs="Palatino Linotype"/>
          <w:b/>
          <w:i/>
        </w:rPr>
        <w:t>RECURRENTE</w:t>
      </w:r>
      <w:r w:rsidRPr="003011EE">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3011EE">
        <w:rPr>
          <w:rFonts w:ascii="Palatino Linotype" w:eastAsia="Palatino Linotype" w:hAnsi="Palatino Linotype" w:cs="Palatino Linotype"/>
          <w:b/>
          <w:i/>
        </w:rPr>
        <w:t>RECURRENTE</w:t>
      </w:r>
      <w:r w:rsidRPr="003011EE">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8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Puntualizado lo anterior, se observa que los motivos de inconformidad acontecen fundados para modificar la respuesta del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en razón de las consideraciones de derecho que a continuación se exponen:</w:t>
      </w:r>
    </w:p>
    <w:p w:rsidR="007E5F2F" w:rsidRPr="003011EE" w:rsidRDefault="007E5F2F">
      <w:pPr>
        <w:spacing w:after="80" w:line="360" w:lineRule="auto"/>
        <w:jc w:val="both"/>
        <w:rPr>
          <w:rFonts w:ascii="Palatino Linotype" w:eastAsia="Palatino Linotype" w:hAnsi="Palatino Linotype" w:cs="Palatino Linotype"/>
          <w:sz w:val="24"/>
          <w:szCs w:val="24"/>
        </w:rPr>
      </w:pPr>
    </w:p>
    <w:p w:rsidR="004928C0" w:rsidRPr="003011EE" w:rsidRDefault="00C1288B">
      <w:pPr>
        <w:numPr>
          <w:ilvl w:val="0"/>
          <w:numId w:val="8"/>
        </w:numPr>
        <w:pBdr>
          <w:top w:val="nil"/>
          <w:left w:val="nil"/>
          <w:bottom w:val="nil"/>
          <w:right w:val="nil"/>
          <w:between w:val="nil"/>
        </w:pBdr>
        <w:spacing w:before="80" w:after="0" w:line="360" w:lineRule="auto"/>
        <w:jc w:val="both"/>
        <w:rPr>
          <w:rFonts w:ascii="Palatino Linotype" w:eastAsia="Palatino Linotype" w:hAnsi="Palatino Linotype" w:cs="Palatino Linotype"/>
          <w:b/>
          <w:sz w:val="24"/>
          <w:szCs w:val="24"/>
        </w:rPr>
      </w:pPr>
      <w:r w:rsidRPr="003011EE">
        <w:rPr>
          <w:rFonts w:ascii="Palatino Linotype" w:eastAsia="Palatino Linotype" w:hAnsi="Palatino Linotype" w:cs="Palatino Linotype"/>
          <w:b/>
          <w:sz w:val="24"/>
          <w:szCs w:val="24"/>
        </w:rPr>
        <w:t>Naturaleza de la información solicitada.</w:t>
      </w:r>
    </w:p>
    <w:p w:rsidR="004928C0" w:rsidRPr="003011EE" w:rsidRDefault="004928C0">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Al respecto, es oportuno traer a colación los artículos 5, fracción II, XVII, 7, fracción IX, 19, fracción I, 39, inciso b), fracción VI y XI, 118 de la Ley General del Sistema Nacional de Seguridad Pública; disposición legal que dispone lo siguiente: </w:t>
      </w:r>
    </w:p>
    <w:p w:rsidR="004928C0" w:rsidRPr="003011EE" w:rsidRDefault="004928C0">
      <w:pPr>
        <w:tabs>
          <w:tab w:val="left" w:pos="7938"/>
        </w:tabs>
        <w:spacing w:line="276" w:lineRule="auto"/>
        <w:ind w:right="900"/>
        <w:jc w:val="both"/>
        <w:rPr>
          <w:rFonts w:ascii="Palatino Linotype" w:eastAsia="Palatino Linotype" w:hAnsi="Palatino Linotype" w:cs="Palatino Linotype"/>
          <w:b/>
          <w:i/>
        </w:rPr>
      </w:pP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5</w:t>
      </w:r>
      <w:r w:rsidRPr="003011EE">
        <w:rPr>
          <w:rFonts w:ascii="Palatino Linotype" w:eastAsia="Palatino Linotype" w:hAnsi="Palatino Linotype" w:cs="Palatino Linotype"/>
          <w:i/>
        </w:rPr>
        <w:t>.- Para los efectos de esta Ley, se entenderá por:</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III a XVI…</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rsidR="004928C0" w:rsidRPr="003011EE" w:rsidRDefault="004928C0">
      <w:pPr>
        <w:tabs>
          <w:tab w:val="left" w:pos="7938"/>
        </w:tabs>
        <w:spacing w:line="276" w:lineRule="auto"/>
        <w:ind w:left="1134" w:right="900"/>
        <w:jc w:val="both"/>
        <w:rPr>
          <w:rFonts w:ascii="Palatino Linotype" w:eastAsia="Palatino Linotype" w:hAnsi="Palatino Linotype" w:cs="Palatino Linotype"/>
          <w:i/>
        </w:rPr>
      </w:pP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7.-</w:t>
      </w:r>
      <w:r w:rsidRPr="003011EE">
        <w:rPr>
          <w:rFonts w:ascii="Palatino Linotype" w:eastAsia="Palatino Linotype" w:hAnsi="Palatino Linotype" w:cs="Palatino Linotype"/>
          <w:i/>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 a VIII…</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IX. Generar, compartir, intercambiar, ingresar, almacenar y proveer información, archivos y contenidos a las Bases de Datos que integran el Sistema Nacional de Información, de conformidad con lo dispuesto en la legislación en la materia. </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Tratándose de manejo de datos que provengan del Registro Nacional de Detenciones se atendrá a lo dispuesto en la Ley Nacional del Registro de Detenciones;</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 a XVI…</w:t>
      </w:r>
    </w:p>
    <w:p w:rsidR="004928C0" w:rsidRPr="003011EE" w:rsidRDefault="004928C0">
      <w:pPr>
        <w:tabs>
          <w:tab w:val="left" w:pos="7938"/>
        </w:tabs>
        <w:spacing w:line="276" w:lineRule="auto"/>
        <w:ind w:left="1134" w:right="900"/>
        <w:jc w:val="both"/>
        <w:rPr>
          <w:rFonts w:ascii="Palatino Linotype" w:eastAsia="Palatino Linotype" w:hAnsi="Palatino Linotype" w:cs="Palatino Linotype"/>
          <w:i/>
        </w:rPr>
      </w:pP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19.-</w:t>
      </w:r>
      <w:r w:rsidRPr="003011EE">
        <w:rPr>
          <w:rFonts w:ascii="Palatino Linotype" w:eastAsia="Palatino Linotype" w:hAnsi="Palatino Linotype" w:cs="Palatino Linotype"/>
          <w:i/>
        </w:rPr>
        <w:t xml:space="preserve"> El Centro Nacional de Información será el responsable de regular el Sistema Nacional de Información y tendrá, entre otras, las siguientes atribuciones: </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 Determinar los criterios técnicos y de homologación de las Bases de Datos que conforman el Sistema Nacional de Información;</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 a VI…</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b/>
          <w:i/>
          <w:u w:val="single"/>
        </w:rPr>
      </w:pPr>
      <w:r w:rsidRPr="003011EE">
        <w:rPr>
          <w:rFonts w:ascii="Palatino Linotype" w:eastAsia="Palatino Linotype" w:hAnsi="Palatino Linotype" w:cs="Palatino Linotype"/>
          <w:b/>
          <w:i/>
          <w:u w:val="single"/>
        </w:rPr>
        <w:t>Artículo 39.- La concurrencia de facultades entre la Federación, las entidades federativas y los Municipios, quedará distribuida conforme a lo siguiente:</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A…</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b/>
          <w:i/>
          <w:u w:val="single"/>
        </w:rPr>
      </w:pPr>
      <w:r w:rsidRPr="003011EE">
        <w:rPr>
          <w:rFonts w:ascii="Palatino Linotype" w:eastAsia="Palatino Linotype" w:hAnsi="Palatino Linotype" w:cs="Palatino Linotype"/>
          <w:b/>
          <w:i/>
          <w:u w:val="single"/>
        </w:rPr>
        <w:t>B. Corresponde a la Federación, a las entidades federativas y a los Municipios, en el ámbito de sus respectivas competencias:</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 a V…</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VI. Designar a un responsable del control, suministro y adecuado manejo de la información a que se refiere esta Ley;</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XII a X…</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b/>
          <w:i/>
          <w:u w:val="single"/>
        </w:rPr>
      </w:pPr>
      <w:r w:rsidRPr="003011EE">
        <w:rPr>
          <w:rFonts w:ascii="Palatino Linotype" w:eastAsia="Palatino Linotype" w:hAnsi="Palatino Linotype" w:cs="Palatino Linotype"/>
          <w:b/>
          <w:i/>
          <w:u w:val="single"/>
        </w:rPr>
        <w:t xml:space="preserve">XI. Integrar y consultar la información relativa a la operación y Desarrollo Policial para el registro y seguimiento en el Sistema Nacional de Información; </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XII a XV…</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118.-</w:t>
      </w:r>
      <w:r w:rsidRPr="003011EE">
        <w:rPr>
          <w:rFonts w:ascii="Palatino Linotype" w:eastAsia="Palatino Linotype" w:hAnsi="Palatino Linotype" w:cs="Palatino Linotype"/>
          <w:i/>
        </w:rPr>
        <w:t xml:space="preserve"> Las Bases de Datos que integran el Sistema Nacional de Información se actualizarán permanentemente y serán de consulta obligatoria para garantizar la efectividad en las actividades de Seguridad Pública. </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El Registro Nacional de Detenciones se vinculará con las Bases de Datos a que se refiere el presente artículo, mediante el número de identificación al que hace referencia la ley de la materia.”</w:t>
      </w:r>
    </w:p>
    <w:p w:rsidR="004928C0" w:rsidRPr="003011EE" w:rsidRDefault="00C1288B">
      <w:pPr>
        <w:tabs>
          <w:tab w:val="left" w:pos="7938"/>
        </w:tabs>
        <w:spacing w:before="240" w:after="240" w:line="360" w:lineRule="auto"/>
        <w:jc w:val="center"/>
        <w:rPr>
          <w:rFonts w:ascii="Palatino Linotype" w:eastAsia="Palatino Linotype" w:hAnsi="Palatino Linotype" w:cs="Palatino Linotype"/>
          <w:b/>
        </w:rPr>
      </w:pPr>
      <w:r w:rsidRPr="003011EE">
        <w:rPr>
          <w:rFonts w:ascii="Palatino Linotype" w:eastAsia="Palatino Linotype" w:hAnsi="Palatino Linotype" w:cs="Palatino Linotype"/>
          <w:i/>
          <w:sz w:val="24"/>
          <w:szCs w:val="24"/>
        </w:rPr>
        <w:tab/>
      </w:r>
      <w:r w:rsidRPr="003011EE">
        <w:rPr>
          <w:rFonts w:ascii="Palatino Linotype" w:eastAsia="Palatino Linotype" w:hAnsi="Palatino Linotype" w:cs="Palatino Linotype"/>
          <w:b/>
        </w:rPr>
        <w:t>Ley de Seguridad del Estado de México</w:t>
      </w:r>
    </w:p>
    <w:p w:rsidR="004928C0" w:rsidRPr="003011EE" w:rsidRDefault="00C1288B">
      <w:pPr>
        <w:tabs>
          <w:tab w:val="left" w:pos="7938"/>
        </w:tabs>
        <w:spacing w:before="240" w:after="240" w:line="360" w:lineRule="auto"/>
        <w:jc w:val="both"/>
        <w:rPr>
          <w:rFonts w:ascii="Palatino Linotype" w:eastAsia="Palatino Linotype" w:hAnsi="Palatino Linotype" w:cs="Palatino Linotype"/>
          <w:b/>
        </w:rPr>
      </w:pPr>
      <w:r w:rsidRPr="003011EE">
        <w:rPr>
          <w:rFonts w:ascii="Palatino Linotype" w:eastAsia="Palatino Linotype" w:hAnsi="Palatino Linotype" w:cs="Palatino Linotype"/>
          <w:b/>
        </w:rPr>
        <w:t>Decreto número 360 publicado en el Periódico Oficial “Gaceta del Gobierno” del Estado de México, el diecinueve de octubre de dos mil once.</w:t>
      </w:r>
    </w:p>
    <w:p w:rsidR="004928C0" w:rsidRPr="003011EE" w:rsidRDefault="00C1288B">
      <w:pPr>
        <w:tabs>
          <w:tab w:val="left" w:pos="7938"/>
        </w:tabs>
        <w:spacing w:before="240" w:after="240" w:line="360" w:lineRule="auto"/>
        <w:jc w:val="center"/>
        <w:rPr>
          <w:rFonts w:ascii="Palatino Linotype" w:eastAsia="Palatino Linotype" w:hAnsi="Palatino Linotype" w:cs="Palatino Linotype"/>
          <w:b/>
        </w:rPr>
      </w:pPr>
      <w:r w:rsidRPr="003011EE">
        <w:rPr>
          <w:rFonts w:ascii="Palatino Linotype" w:eastAsia="Palatino Linotype" w:hAnsi="Palatino Linotype" w:cs="Palatino Linotype"/>
          <w:i/>
          <w:noProof/>
        </w:rPr>
        <w:drawing>
          <wp:inline distT="0" distB="0" distL="0" distR="0">
            <wp:extent cx="4964433" cy="4812167"/>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964433" cy="4812167"/>
                    </a:xfrm>
                    <a:prstGeom prst="rect">
                      <a:avLst/>
                    </a:prstGeom>
                    <a:ln/>
                  </pic:spPr>
                </pic:pic>
              </a:graphicData>
            </a:graphic>
          </wp:inline>
        </w:drawing>
      </w:r>
    </w:p>
    <w:p w:rsidR="004928C0" w:rsidRPr="003011EE" w:rsidRDefault="00C1288B">
      <w:pPr>
        <w:spacing w:after="0" w:line="360" w:lineRule="auto"/>
        <w:ind w:right="49"/>
        <w:jc w:val="both"/>
        <w:rPr>
          <w:rFonts w:ascii="Palatino Linotype" w:eastAsia="Palatino Linotype" w:hAnsi="Palatino Linotype" w:cs="Palatino Linotype"/>
          <w:i/>
          <w:sz w:val="24"/>
          <w:szCs w:val="24"/>
        </w:rPr>
      </w:pPr>
      <w:r w:rsidRPr="003011EE">
        <w:rPr>
          <w:rFonts w:ascii="Palatino Linotype" w:eastAsia="Palatino Linotype" w:hAnsi="Palatino Linotype" w:cs="Palatino Linotype"/>
          <w:sz w:val="24"/>
          <w:szCs w:val="24"/>
        </w:rPr>
        <w:t>Por otra parte, los numerales 125, fracción VIII y 142 de la Ley Orgánica Municipal del Estado de México, señala lo siguiente:</w:t>
      </w:r>
      <w:r w:rsidRPr="003011EE">
        <w:rPr>
          <w:rFonts w:ascii="Palatino Linotype" w:eastAsia="Palatino Linotype" w:hAnsi="Palatino Linotype" w:cs="Palatino Linotype"/>
          <w:b/>
          <w:i/>
          <w:sz w:val="24"/>
          <w:szCs w:val="24"/>
        </w:rPr>
        <w:t xml:space="preserve"> </w:t>
      </w:r>
    </w:p>
    <w:p w:rsidR="004928C0" w:rsidRPr="003011EE" w:rsidRDefault="004928C0">
      <w:pPr>
        <w:tabs>
          <w:tab w:val="left" w:pos="7938"/>
        </w:tabs>
        <w:spacing w:line="276" w:lineRule="auto"/>
        <w:ind w:left="1134" w:right="900"/>
        <w:jc w:val="both"/>
        <w:rPr>
          <w:rFonts w:ascii="Palatino Linotype" w:eastAsia="Palatino Linotype" w:hAnsi="Palatino Linotype" w:cs="Palatino Linotype"/>
          <w:b/>
          <w:i/>
        </w:rPr>
      </w:pP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 “Artículo 125</w:t>
      </w:r>
      <w:r w:rsidRPr="003011EE">
        <w:rPr>
          <w:rFonts w:ascii="Palatino Linotype" w:eastAsia="Palatino Linotype" w:hAnsi="Palatino Linotype" w:cs="Palatino Linotype"/>
          <w:i/>
        </w:rPr>
        <w:t>.- Los municipios tendrán a su cargo la prestación, explotación, administración y conservación de los servicios públicos municipales, considerándose enunciativa y no limitativamente, los siguientes:</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 a VII…</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VIII. Seguridad pública y tránsito;</w:t>
      </w: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IX a XI…</w:t>
      </w:r>
    </w:p>
    <w:p w:rsidR="004928C0" w:rsidRPr="003011EE" w:rsidRDefault="004928C0">
      <w:pPr>
        <w:tabs>
          <w:tab w:val="left" w:pos="7938"/>
        </w:tabs>
        <w:spacing w:line="276" w:lineRule="auto"/>
        <w:ind w:left="1134" w:right="900"/>
        <w:jc w:val="both"/>
        <w:rPr>
          <w:rFonts w:ascii="Palatino Linotype" w:eastAsia="Palatino Linotype" w:hAnsi="Palatino Linotype" w:cs="Palatino Linotype"/>
          <w:i/>
        </w:rPr>
      </w:pP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142</w:t>
      </w:r>
      <w:r w:rsidRPr="003011EE">
        <w:rPr>
          <w:rFonts w:ascii="Palatino Linotype" w:eastAsia="Palatino Linotype" w:hAnsi="Palatino Linotype" w:cs="Palatino Linotype"/>
          <w:i/>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rsidR="004928C0" w:rsidRPr="003011EE" w:rsidRDefault="004928C0">
      <w:pPr>
        <w:tabs>
          <w:tab w:val="left" w:pos="7938"/>
        </w:tabs>
        <w:spacing w:line="276" w:lineRule="auto"/>
        <w:ind w:left="1134" w:right="900"/>
        <w:jc w:val="both"/>
        <w:rPr>
          <w:rFonts w:ascii="Palatino Linotype" w:eastAsia="Palatino Linotype" w:hAnsi="Palatino Linotype" w:cs="Palatino Linotype"/>
          <w:i/>
        </w:rPr>
      </w:pPr>
    </w:p>
    <w:p w:rsidR="004928C0" w:rsidRPr="003011EE" w:rsidRDefault="00C1288B">
      <w:pPr>
        <w:tabs>
          <w:tab w:val="left" w:pos="7938"/>
        </w:tabs>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 En cada municipio se deberán integrar cuerpos de seguridad pública, de bomberos y, en su caso, de tránsito, estos servidores públicos preferentemente serán vecinos del municipio, de los cuales el presidente municipal será el jefe inmediato.”</w:t>
      </w:r>
    </w:p>
    <w:p w:rsidR="004928C0" w:rsidRPr="003011EE" w:rsidRDefault="004928C0">
      <w:pPr>
        <w:spacing w:after="80" w:line="360" w:lineRule="auto"/>
        <w:ind w:left="567"/>
        <w:jc w:val="both"/>
        <w:rPr>
          <w:rFonts w:ascii="Palatino Linotype" w:eastAsia="Palatino Linotype" w:hAnsi="Palatino Linotype" w:cs="Palatino Linotype"/>
          <w:i/>
          <w:sz w:val="24"/>
          <w:szCs w:val="24"/>
        </w:rPr>
      </w:pPr>
    </w:p>
    <w:p w:rsidR="004928C0" w:rsidRPr="003011EE" w:rsidRDefault="00C1288B">
      <w:pPr>
        <w:spacing w:before="80" w:after="240" w:line="360" w:lineRule="auto"/>
        <w:jc w:val="both"/>
        <w:rPr>
          <w:rFonts w:ascii="Palatino Linotype" w:eastAsia="Palatino Linotype" w:hAnsi="Palatino Linotype" w:cs="Palatino Linotype"/>
          <w:b/>
          <w:sz w:val="24"/>
          <w:szCs w:val="24"/>
        </w:rPr>
      </w:pPr>
      <w:r w:rsidRPr="003011EE">
        <w:rPr>
          <w:rFonts w:ascii="Palatino Linotype" w:eastAsia="Palatino Linotype" w:hAnsi="Palatino Linotype" w:cs="Palatino Linotype"/>
          <w:sz w:val="24"/>
          <w:szCs w:val="24"/>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r w:rsidRPr="003011EE">
        <w:rPr>
          <w:rFonts w:ascii="Palatino Linotype" w:eastAsia="Palatino Linotype" w:hAnsi="Palatino Linotype" w:cs="Palatino Linotype"/>
          <w:b/>
          <w:sz w:val="24"/>
          <w:szCs w:val="24"/>
        </w:rPr>
        <w:t xml:space="preserve">máxime que, desde la entrada en vigor de la Ley de Seguridad del Estado de México </w:t>
      </w:r>
      <w:r w:rsidRPr="003011EE">
        <w:rPr>
          <w:rFonts w:ascii="Palatino Linotype" w:eastAsia="Palatino Linotype" w:hAnsi="Palatino Linotype" w:cs="Palatino Linotype"/>
          <w:b/>
          <w:i/>
          <w:sz w:val="24"/>
          <w:szCs w:val="24"/>
        </w:rPr>
        <w:t xml:space="preserve">-el 20 de octubre de 2011- </w:t>
      </w:r>
      <w:r w:rsidRPr="003011EE">
        <w:rPr>
          <w:rFonts w:ascii="Palatino Linotype" w:eastAsia="Palatino Linotype" w:hAnsi="Palatino Linotype" w:cs="Palatino Linotype"/>
          <w:b/>
          <w:sz w:val="24"/>
          <w:szCs w:val="24"/>
        </w:rPr>
        <w:t xml:space="preserve">se desprende la atribución expresa para que, el Director de Seguridad Pública Municipal, </w:t>
      </w:r>
      <w:r w:rsidRPr="003011EE">
        <w:rPr>
          <w:rFonts w:ascii="Palatino Linotype" w:eastAsia="Palatino Linotype" w:hAnsi="Palatino Linotype" w:cs="Palatino Linotype"/>
          <w:sz w:val="24"/>
          <w:szCs w:val="24"/>
        </w:rPr>
        <w:t xml:space="preserve"> entre otras cosas, </w:t>
      </w:r>
      <w:r w:rsidRPr="003011EE">
        <w:rPr>
          <w:rFonts w:ascii="Palatino Linotype" w:eastAsia="Palatino Linotype" w:hAnsi="Palatino Linotype" w:cs="Palatino Linotype"/>
          <w:b/>
          <w:sz w:val="24"/>
          <w:szCs w:val="24"/>
        </w:rPr>
        <w:t xml:space="preserve">genere estadística delictiva. </w:t>
      </w:r>
    </w:p>
    <w:p w:rsidR="004928C0" w:rsidRPr="003011EE" w:rsidRDefault="00C1288B">
      <w:pPr>
        <w:spacing w:before="240"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Así las cosas,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24</w:t>
      </w:r>
      <w:r w:rsidRPr="003011EE">
        <w:rPr>
          <w:rFonts w:ascii="Palatino Linotype" w:eastAsia="Palatino Linotype" w:hAnsi="Palatino Linotype" w:cs="Palatino Linotype"/>
          <w:i/>
        </w:rPr>
        <w:t>. Para el cumplimiento de los objetivos de esta Ley, los sujetos obligados deberán cumplir con las siguientes obligaciones, según corresponda, de acuerdo a su naturaleza:</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 a XI…</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XII. Publicar y mantener actualizada la información relativa a las obligaciones generales de transparencia previstas en la presente Ley o determinadas así por el Instituto, y en general aquella que sea de interés público;</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XIII a XXV…</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92.</w:t>
      </w:r>
      <w:r w:rsidRPr="003011EE">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 a XXXIII…</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XXXIV. Las estadísticas que generen en cumplimiento de sus facultades, competencias o funciones con la mayor desagregación posible</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XXXV a LII…”</w:t>
      </w:r>
    </w:p>
    <w:p w:rsidR="004928C0" w:rsidRPr="003011EE" w:rsidRDefault="004928C0">
      <w:pPr>
        <w:spacing w:line="276" w:lineRule="auto"/>
        <w:ind w:left="1134" w:right="900"/>
        <w:jc w:val="both"/>
        <w:rPr>
          <w:rFonts w:ascii="Palatino Linotype" w:eastAsia="Palatino Linotype" w:hAnsi="Palatino Linotype" w:cs="Palatino Linotype"/>
          <w:i/>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De forma complementaria, resulta de nuestro particular interés el criterio 11/09 emitido por el hoy Instituto Nacional de Transparencia, Acceso a la Información y Protección de Datos Personales, que a la letra dispone lo siguiente:</w:t>
      </w:r>
    </w:p>
    <w:p w:rsidR="004928C0" w:rsidRPr="003011EE" w:rsidRDefault="004928C0">
      <w:pPr>
        <w:spacing w:line="360" w:lineRule="auto"/>
        <w:jc w:val="both"/>
        <w:rPr>
          <w:rFonts w:ascii="Palatino Linotype" w:eastAsia="Palatino Linotype" w:hAnsi="Palatino Linotype" w:cs="Palatino Linotype"/>
        </w:rPr>
      </w:pPr>
    </w:p>
    <w:p w:rsidR="004928C0" w:rsidRPr="003011EE" w:rsidRDefault="00C1288B">
      <w:pPr>
        <w:spacing w:line="276" w:lineRule="auto"/>
        <w:ind w:left="1134" w:right="900"/>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“LA INFORMACIÓN ESTADÍSTICA ES DE NATURALEZA PÚBLICA, INDEPENDIENTEMENTE DE LA MATERIA CON LA QUE SE ENCUENTRE VINCULADA.</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Así las cosas, se atrae al estudio los Lineamientos para el Llenado, Entrega, </w:t>
      </w:r>
      <w:proofErr w:type="spellStart"/>
      <w:r w:rsidRPr="003011EE">
        <w:rPr>
          <w:rFonts w:ascii="Palatino Linotype" w:eastAsia="Palatino Linotype" w:hAnsi="Palatino Linotype" w:cs="Palatino Linotype"/>
          <w:sz w:val="24"/>
          <w:szCs w:val="24"/>
        </w:rPr>
        <w:t>Recepeción</w:t>
      </w:r>
      <w:proofErr w:type="spellEnd"/>
      <w:r w:rsidRPr="003011EE">
        <w:rPr>
          <w:rFonts w:ascii="Palatino Linotype" w:eastAsia="Palatino Linotype" w:hAnsi="Palatino Linotype" w:cs="Palatino Linotype"/>
          <w:sz w:val="24"/>
          <w:szCs w:val="24"/>
        </w:rPr>
        <w:t>, Registro, Resguardo y Consulta del Informe Policial Homologado del que, se inserta lo siguiente: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line="276" w:lineRule="auto"/>
        <w:ind w:left="1134" w:right="900"/>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PRIMERO. OBJETO Y ÁMBITO DE APLICACIÓN.</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El Informe Policial Homologado es el medio a través del cual </w:t>
      </w:r>
      <w:r w:rsidRPr="003011EE">
        <w:rPr>
          <w:rFonts w:ascii="Palatino Linotype" w:eastAsia="Palatino Linotype" w:hAnsi="Palatino Linotype" w:cs="Palatino Linotype"/>
          <w:b/>
          <w:i/>
        </w:rPr>
        <w:t>los integrantes de las instituciones policiales documentan la información relacionada con las puestas a disposición de personas y/o de objetos derivados de su intervención</w:t>
      </w:r>
      <w:r w:rsidRPr="003011EE">
        <w:rPr>
          <w:rFonts w:ascii="Palatino Linotype" w:eastAsia="Palatino Linotype" w:hAnsi="Palatino Linotype" w:cs="Palatino Linotype"/>
          <w:i/>
        </w:rPr>
        <w:t>, a las autoridades competentes.</w:t>
      </w:r>
    </w:p>
    <w:p w:rsidR="004928C0" w:rsidRPr="003011EE" w:rsidRDefault="004928C0">
      <w:pPr>
        <w:spacing w:line="276" w:lineRule="auto"/>
        <w:ind w:left="1134" w:right="900"/>
        <w:jc w:val="both"/>
        <w:rPr>
          <w:rFonts w:ascii="Palatino Linotype" w:eastAsia="Palatino Linotype" w:hAnsi="Palatino Linotype" w:cs="Palatino Linotype"/>
          <w:i/>
        </w:rPr>
      </w:pP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El Informe Policial Homologado tiene como objeto </w:t>
      </w:r>
      <w:proofErr w:type="spellStart"/>
      <w:r w:rsidRPr="003011EE">
        <w:rPr>
          <w:rFonts w:ascii="Palatino Linotype" w:eastAsia="Palatino Linotype" w:hAnsi="Palatino Linotype" w:cs="Palatino Linotype"/>
          <w:i/>
        </w:rPr>
        <w:t>eficientar</w:t>
      </w:r>
      <w:proofErr w:type="spellEnd"/>
      <w:r w:rsidRPr="003011EE">
        <w:rPr>
          <w:rFonts w:ascii="Palatino Linotype" w:eastAsia="Palatino Linotype" w:hAnsi="Palatino Linotype" w:cs="Palatino Linotype"/>
          <w:i/>
        </w:rPr>
        <w:t xml:space="preserve"> las puestas a disposición, garantizar el debido proceso, y fomentar el uso de la información para acciones de inteligencia.</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Los presentes Lineamientos tienen como objeto señalar los criterios respecto a lo siguiente:</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I a </w:t>
      </w:r>
      <w:proofErr w:type="gramStart"/>
      <w:r w:rsidRPr="003011EE">
        <w:rPr>
          <w:rFonts w:ascii="Palatino Linotype" w:eastAsia="Palatino Linotype" w:hAnsi="Palatino Linotype" w:cs="Palatino Linotype"/>
          <w:i/>
        </w:rPr>
        <w:t>V …</w:t>
      </w:r>
      <w:proofErr w:type="gramEnd"/>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VI.   Resguardo de la base de datos del IPH en el Sistema Nacional de Información en Seguridad Pública;</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VII a IX…</w:t>
      </w:r>
    </w:p>
    <w:p w:rsidR="004928C0" w:rsidRPr="003011EE" w:rsidRDefault="004928C0">
      <w:pPr>
        <w:spacing w:line="276" w:lineRule="auto"/>
        <w:ind w:left="1134" w:right="900"/>
        <w:jc w:val="both"/>
        <w:rPr>
          <w:rFonts w:ascii="Palatino Linotype" w:eastAsia="Palatino Linotype" w:hAnsi="Palatino Linotype" w:cs="Palatino Linotype"/>
          <w:i/>
        </w:rPr>
      </w:pPr>
    </w:p>
    <w:p w:rsidR="004928C0" w:rsidRPr="003011EE" w:rsidRDefault="00C1288B">
      <w:pPr>
        <w:spacing w:line="276" w:lineRule="auto"/>
        <w:ind w:left="1134" w:right="900"/>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SEGUNDO. GLOSARIO DE TÉRMINOS.</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 a IX…</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 IPH: El Informe Policial Homologado de hechos probablemente delictivos o de infracciones administrativas, mismo que puede ser en versión impresa o electrónica.</w:t>
      </w:r>
    </w:p>
    <w:p w:rsidR="004928C0" w:rsidRPr="003011EE" w:rsidRDefault="004928C0">
      <w:pPr>
        <w:spacing w:line="276" w:lineRule="auto"/>
        <w:ind w:left="1134" w:right="900"/>
        <w:jc w:val="both"/>
        <w:rPr>
          <w:rFonts w:ascii="Palatino Linotype" w:eastAsia="Palatino Linotype" w:hAnsi="Palatino Linotype" w:cs="Palatino Linotype"/>
          <w:i/>
        </w:rPr>
      </w:pPr>
    </w:p>
    <w:p w:rsidR="004928C0" w:rsidRPr="003011EE" w:rsidRDefault="00C1288B">
      <w:pPr>
        <w:spacing w:line="276" w:lineRule="auto"/>
        <w:ind w:left="1134" w:right="900"/>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DÉCIMO TERCERO. ENTREGA Y RECEPCIÓN DEL IPH.</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Los integrantes de las instituciones policiales de los tres órdenes de gobierno que realicen el llenado del IPH, </w:t>
      </w:r>
      <w:r w:rsidRPr="003011EE">
        <w:rPr>
          <w:rFonts w:ascii="Palatino Linotype" w:eastAsia="Palatino Linotype" w:hAnsi="Palatino Linotype" w:cs="Palatino Linotype"/>
          <w:b/>
          <w:i/>
        </w:rPr>
        <w:t>deberán entregarlo junto con las personas detenidas y/o arrestadas y/o los objetos asegurados a la autoridad competente</w:t>
      </w:r>
      <w:r w:rsidRPr="003011EE">
        <w:rPr>
          <w:rFonts w:ascii="Palatino Linotype" w:eastAsia="Palatino Linotype" w:hAnsi="Palatino Linotype" w:cs="Palatino Linotype"/>
          <w:i/>
        </w:rPr>
        <w:t>, según se trate de un hecho probablemente delictivo o una infracción administrativa.</w:t>
      </w:r>
    </w:p>
    <w:p w:rsidR="004928C0" w:rsidRPr="003011EE" w:rsidRDefault="00C1288B">
      <w:pPr>
        <w:spacing w:line="276" w:lineRule="auto"/>
        <w:ind w:left="1134" w:right="900"/>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rsidR="004928C0" w:rsidRPr="003011EE" w:rsidRDefault="004928C0">
      <w:pPr>
        <w:spacing w:before="120" w:after="120"/>
        <w:ind w:left="851" w:right="902"/>
        <w:jc w:val="both"/>
        <w:rPr>
          <w:rFonts w:ascii="Palatino Linotype" w:eastAsia="Palatino Linotype" w:hAnsi="Palatino Linotype" w:cs="Palatino Linotype"/>
          <w:b/>
          <w:i/>
        </w:rPr>
      </w:pPr>
    </w:p>
    <w:p w:rsidR="004928C0" w:rsidRPr="003011EE" w:rsidRDefault="00C1288B">
      <w:pPr>
        <w:spacing w:before="120" w:after="120"/>
        <w:ind w:left="851" w:right="902"/>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DÉCIMO CUARTO. REGISTRO DE LA INFORMACIÓN EN LA BASE DE DATOS DEL IPH.</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El registro de la información en la base de datos se llevará a cabo conforme a lo siguiente:</w:t>
      </w:r>
    </w:p>
    <w:p w:rsidR="004928C0" w:rsidRPr="003011EE" w:rsidRDefault="00C1288B">
      <w:pPr>
        <w:numPr>
          <w:ilvl w:val="0"/>
          <w:numId w:val="3"/>
        </w:numPr>
        <w:pBdr>
          <w:top w:val="nil"/>
          <w:left w:val="nil"/>
          <w:bottom w:val="nil"/>
          <w:right w:val="nil"/>
          <w:between w:val="nil"/>
        </w:pBdr>
        <w:tabs>
          <w:tab w:val="left" w:pos="1418"/>
        </w:tabs>
        <w:spacing w:before="120" w:after="120" w:line="240" w:lineRule="auto"/>
        <w:ind w:left="1134" w:right="902" w:firstLine="0"/>
        <w:jc w:val="both"/>
        <w:rPr>
          <w:rFonts w:ascii="Palatino Linotype" w:eastAsia="Palatino Linotype" w:hAnsi="Palatino Linotype" w:cs="Palatino Linotype"/>
          <w:i/>
        </w:rPr>
      </w:pPr>
      <w:r w:rsidRPr="003011EE">
        <w:rPr>
          <w:rFonts w:ascii="Palatino Linotype" w:eastAsia="Palatino Linotype" w:hAnsi="Palatino Linotype" w:cs="Palatino Linotype"/>
          <w:b/>
          <w:i/>
        </w:rPr>
        <w:t>La captura y registro de la información suministrada a la base de datos son obligatorios y estarán a cargo de las instituciones policiales de los tres órdenes de gobierno</w:t>
      </w:r>
      <w:r w:rsidRPr="003011EE">
        <w:rPr>
          <w:rFonts w:ascii="Palatino Linotype" w:eastAsia="Palatino Linotype" w:hAnsi="Palatino Linotype" w:cs="Palatino Linotype"/>
          <w:i/>
        </w:rPr>
        <w:t>;</w:t>
      </w:r>
    </w:p>
    <w:p w:rsidR="004928C0" w:rsidRPr="003011EE" w:rsidRDefault="00C1288B">
      <w:pPr>
        <w:tabs>
          <w:tab w:val="left" w:pos="1418"/>
        </w:tabs>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w:t>
      </w:r>
      <w:r w:rsidRPr="003011EE">
        <w:rPr>
          <w:rFonts w:ascii="Palatino Linotype" w:eastAsia="Palatino Linotype" w:hAnsi="Palatino Linotype" w:cs="Palatino Linotype"/>
          <w:i/>
        </w:rPr>
        <w:t xml:space="preserve"> El suministro de la información se realizará con apego a los datos contenidos en el IPH;</w:t>
      </w:r>
    </w:p>
    <w:p w:rsidR="004928C0" w:rsidRPr="003011EE" w:rsidRDefault="00C1288B">
      <w:pPr>
        <w:tabs>
          <w:tab w:val="left" w:pos="1418"/>
        </w:tabs>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III</w:t>
      </w:r>
      <w:r w:rsidRPr="003011EE">
        <w:rPr>
          <w:rFonts w:ascii="Palatino Linotype" w:eastAsia="Palatino Linotype" w:hAnsi="Palatino Linotype" w:cs="Palatino Linotype"/>
          <w:i/>
        </w:rPr>
        <w:t>. El registro de los datos contenidos en el IPH y su digitalización se harán de manera inmediata, sin que exceda de un término máximo de veinticuatro horas contadas a partir de la hora de recepción por parte de la autoridad competente, y</w:t>
      </w:r>
    </w:p>
    <w:p w:rsidR="004928C0" w:rsidRPr="003011EE" w:rsidRDefault="00C1288B">
      <w:pPr>
        <w:tabs>
          <w:tab w:val="left" w:pos="1418"/>
        </w:tabs>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IV. </w:t>
      </w:r>
      <w:r w:rsidRPr="003011EE">
        <w:rPr>
          <w:rFonts w:ascii="Palatino Linotype" w:eastAsia="Palatino Linotype" w:hAnsi="Palatino Linotype" w:cs="Palatino Linotype"/>
          <w:i/>
        </w:rPr>
        <w:t>La Secretaría garantizará la operación, disponibilidad, interconexión y mantenimiento de los componentes tecnológicos que soporten la base de datos y sistemas informáticos del IPH.”</w:t>
      </w:r>
    </w:p>
    <w:p w:rsidR="004928C0" w:rsidRPr="003011EE" w:rsidRDefault="004928C0">
      <w:pPr>
        <w:spacing w:line="276" w:lineRule="auto"/>
        <w:ind w:left="1134" w:right="900"/>
        <w:jc w:val="both"/>
        <w:rPr>
          <w:rFonts w:ascii="Palatino Linotype" w:eastAsia="Palatino Linotype" w:hAnsi="Palatino Linotype" w:cs="Palatino Linotype"/>
          <w:i/>
        </w:rPr>
      </w:pP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(Énfasis añadido)</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De lo anterior, se deduce que del informe policial homologado, tiene por objeto que las Instituciones policiales documenten la información relacionada con las puestas a disposición de personas y/u objetos derivados de su intervención, para con ello, deben hacer más eficiente el debido proceso y fomentar el uso de la información para acciones de inteligencia; </w:t>
      </w:r>
      <w:r w:rsidRPr="003011EE">
        <w:rPr>
          <w:rFonts w:ascii="Palatino Linotype" w:eastAsia="Palatino Linotype" w:hAnsi="Palatino Linotype" w:cs="Palatino Linotype"/>
          <w:b/>
          <w:sz w:val="24"/>
          <w:szCs w:val="24"/>
        </w:rPr>
        <w:t xml:space="preserve">por lo tanto, dicho informe únicamente es entregado junto con la persona detenida o bien, con los objetos que fueron asegurados en el hecho y/o acto probablemente constitutivo de delito. </w:t>
      </w:r>
      <w:r w:rsidRPr="003011EE">
        <w:rPr>
          <w:rFonts w:ascii="Palatino Linotype" w:eastAsia="Palatino Linotype" w:hAnsi="Palatino Linotype" w:cs="Palatino Linotype"/>
          <w:sz w:val="24"/>
          <w:szCs w:val="24"/>
        </w:rPr>
        <w:t>Es importante dejar de lado que no se están solicitando estos documentos, sino información estadística únicamente.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w:t>
      </w:r>
      <w:r w:rsidRPr="003011EE">
        <w:rPr>
          <w:rFonts w:ascii="Palatino Linotype" w:eastAsia="Palatino Linotype" w:hAnsi="Palatino Linotype" w:cs="Palatino Linotype"/>
          <w:b/>
          <w:sz w:val="24"/>
          <w:szCs w:val="24"/>
        </w:rPr>
        <w:t>es claro que no en todos los casos en que se conoce de una conducta delictiva y se inicia una carpeta de investigación, o se agrega un informe policial homologado</w:t>
      </w:r>
      <w:r w:rsidRPr="003011EE">
        <w:rPr>
          <w:rFonts w:ascii="Palatino Linotype" w:eastAsia="Palatino Linotype" w:hAnsi="Palatino Linotype" w:cs="Palatino Linotype"/>
          <w:sz w:val="24"/>
          <w:szCs w:val="24"/>
        </w:rPr>
        <w:t xml:space="preserve">, pues es evidente que existen diversos tipos de delitos que se pueden configurar sin que se genere el informe en comento, tal como de manera enunciativa más no limitativa, es el caso de la </w:t>
      </w:r>
      <w:r w:rsidRPr="003011EE">
        <w:rPr>
          <w:rFonts w:ascii="Palatino Linotype" w:eastAsia="Palatino Linotype" w:hAnsi="Palatino Linotype" w:cs="Palatino Linotype"/>
          <w:b/>
          <w:sz w:val="24"/>
          <w:szCs w:val="24"/>
        </w:rPr>
        <w:t>extorsión</w:t>
      </w:r>
      <w:r w:rsidRPr="003011EE">
        <w:rPr>
          <w:rFonts w:ascii="Palatino Linotype" w:eastAsia="Palatino Linotype" w:hAnsi="Palatino Linotype" w:cs="Palatino Linotype"/>
          <w:sz w:val="24"/>
          <w:szCs w:val="24"/>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rsidR="007E5F2F" w:rsidRPr="003011EE" w:rsidRDefault="007E5F2F">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w:t>
      </w:r>
      <w:r w:rsidRPr="003011EE">
        <w:rPr>
          <w:rFonts w:ascii="Palatino Linotype" w:eastAsia="Palatino Linotype" w:hAnsi="Palatino Linotype" w:cs="Palatino Linotype"/>
          <w:b/>
          <w:sz w:val="24"/>
          <w:szCs w:val="24"/>
        </w:rPr>
        <w:t>es tema de conocimiento público, que muchas de esas llamadas provienen de centros penitenciarios establecidos en diversas Entidades Federativas,</w:t>
      </w:r>
      <w:r w:rsidRPr="003011EE">
        <w:rPr>
          <w:rFonts w:ascii="Palatino Linotype" w:eastAsia="Palatino Linotype" w:hAnsi="Palatino Linotype" w:cs="Palatino Linotype"/>
          <w:sz w:val="24"/>
          <w:szCs w:val="24"/>
        </w:rPr>
        <w:t xml:space="preserve">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afectada, el único elemento con el que se cuenta y así, procede asentarlo en la estadística de incidencia delictiva generada.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w:t>
      </w:r>
      <w:r w:rsidRPr="003011EE">
        <w:rPr>
          <w:rFonts w:ascii="Palatino Linotype" w:eastAsia="Palatino Linotype" w:hAnsi="Palatino Linotype" w:cs="Palatino Linotype"/>
          <w:b/>
          <w:sz w:val="24"/>
          <w:szCs w:val="24"/>
        </w:rPr>
        <w:t>es preciso reiterar que el Particular solicitó información estadística de la incidencia delictiva,</w:t>
      </w:r>
      <w:r w:rsidRPr="003011EE">
        <w:rPr>
          <w:rFonts w:ascii="Palatino Linotype" w:eastAsia="Palatino Linotype" w:hAnsi="Palatino Linotype" w:cs="Palatino Linotype"/>
          <w:sz w:val="24"/>
          <w:szCs w:val="24"/>
        </w:rPr>
        <w:t xml:space="preserve"> lo cual, </w:t>
      </w:r>
      <w:r w:rsidRPr="003011EE">
        <w:rPr>
          <w:rFonts w:ascii="Palatino Linotype" w:eastAsia="Palatino Linotype" w:hAnsi="Palatino Linotype" w:cs="Palatino Linotype"/>
          <w:b/>
          <w:sz w:val="24"/>
          <w:szCs w:val="24"/>
        </w:rPr>
        <w:t>corresponde únicamente al número de hechos y/o actos de los que se tuvo conocimiento</w:t>
      </w:r>
      <w:r w:rsidRPr="003011EE">
        <w:rPr>
          <w:rFonts w:ascii="Palatino Linotype" w:eastAsia="Palatino Linotype" w:hAnsi="Palatino Linotype" w:cs="Palatino Linotype"/>
          <w:sz w:val="24"/>
          <w:szCs w:val="24"/>
        </w:rPr>
        <w:t xml:space="preserve"> y con base en ello, 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no se encuentra constreñido para buscar en el expediente formado si existe o no, el informe policial homologado, esto, en virtud del artículo 12 de la Ley de Transparencia y Acceso a la Información Pública del Estado de México y Municipios, referido en páginas anteriores.</w:t>
      </w:r>
    </w:p>
    <w:p w:rsidR="004928C0" w:rsidRPr="003011EE" w:rsidRDefault="004928C0">
      <w:pPr>
        <w:spacing w:after="0" w:line="360" w:lineRule="auto"/>
        <w:jc w:val="both"/>
        <w:rPr>
          <w:rFonts w:ascii="Palatino Linotype" w:eastAsia="Palatino Linotype" w:hAnsi="Palatino Linotype" w:cs="Palatino Linotype"/>
          <w:i/>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En esta tesitura, es claro que el nivel de desagregación que solicita el Particular, confiere al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a practicar una investigación dentro de todos los expedientes formados en razón de una denuncia por hechos y/o actos delictivos, para con ello, precisar si se encuentra o no, el informe de policía homologado y en consecuencia, realizar un pronunciamiento</w:t>
      </w:r>
      <w:r w:rsidRPr="003011EE">
        <w:rPr>
          <w:rFonts w:ascii="Palatino Linotype" w:eastAsia="Palatino Linotype" w:hAnsi="Palatino Linotype" w:cs="Palatino Linotype"/>
          <w:i/>
          <w:sz w:val="24"/>
          <w:szCs w:val="24"/>
        </w:rPr>
        <w:t xml:space="preserve"> ad hoc</w:t>
      </w:r>
      <w:r w:rsidRPr="003011EE">
        <w:rPr>
          <w:rFonts w:ascii="Palatino Linotype" w:eastAsia="Palatino Linotype" w:hAnsi="Palatino Linotype" w:cs="Palatino Linotype"/>
          <w:sz w:val="24"/>
          <w:szCs w:val="24"/>
        </w:rPr>
        <w:t xml:space="preserve"> a los intereses de este último, situación que como fue precisado, va en contra del criterio número 03/17 emitido por el Pleno del Instituto Nacional de Transparencia, Acceso a la Información y Protección de Datos Personales, citado con antelación.</w:t>
      </w:r>
    </w:p>
    <w:p w:rsidR="004928C0" w:rsidRPr="003011EE" w:rsidRDefault="004928C0">
      <w:pPr>
        <w:spacing w:after="0" w:line="360" w:lineRule="auto"/>
        <w:jc w:val="both"/>
        <w:rPr>
          <w:rFonts w:ascii="Palatino Linotype" w:eastAsia="Palatino Linotype" w:hAnsi="Palatino Linotype" w:cs="Palatino Linotype"/>
          <w:i/>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Por tales circunstancias para el caso en particular, este Instituto no encuentra sustento legal que permita ordenar la entrega de la información conforme los intereses del Particular; no obstante, es procedente determinar las atribuciones del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para que, de ser el caso, en aras del principio de máxima publicidad, se ordene la entrega de la información con el mayor grado de desagregación posible.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Establecido lo anterior, es de recordar que el Particular en su solicitud señaló que requería la información, con las coordenadas geográficas, establecidas en el lugar de la intervención, por lo que se trae de nueva cuenta la Ley General del Sistema Nacional de Seguridad Pública, en la cual se establece en su artículo 43 lo que debe contener el informe policial homologado como se muestra a continuación:</w:t>
      </w:r>
    </w:p>
    <w:p w:rsidR="004928C0" w:rsidRPr="003011EE" w:rsidRDefault="00C1288B">
      <w:pPr>
        <w:spacing w:after="0" w:line="360" w:lineRule="auto"/>
        <w:jc w:val="both"/>
        <w:rPr>
          <w:rFonts w:ascii="Palatino Linotype" w:eastAsia="Palatino Linotype" w:hAnsi="Palatino Linotype" w:cs="Palatino Linotype"/>
        </w:rPr>
      </w:pPr>
      <w:r w:rsidRPr="003011EE">
        <w:rPr>
          <w:rFonts w:ascii="Palatino Linotype" w:eastAsia="Palatino Linotype" w:hAnsi="Palatino Linotype" w:cs="Palatino Linotype"/>
        </w:rPr>
        <w:t xml:space="preserve"> </w:t>
      </w:r>
    </w:p>
    <w:p w:rsidR="004928C0" w:rsidRPr="003011EE" w:rsidRDefault="00C1288B">
      <w:pPr>
        <w:spacing w:after="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43.-</w:t>
      </w:r>
      <w:r w:rsidRPr="003011EE">
        <w:rPr>
          <w:rFonts w:ascii="Palatino Linotype" w:eastAsia="Palatino Linotype" w:hAnsi="Palatino Linotype" w:cs="Palatino Linotype"/>
          <w:i/>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 El área que lo emite;</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 El usuario capturista;</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III. Los Datos Generales de registro;</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IV. Motivo, que se clasifica en;</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a) Tipo de evento, y</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b) Subtipo de evento.</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V. La ubicación del evento y en su caso, los caminos;</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VI. La descripción de hechos, que deberá detallar modo, tiempo y lugar, entre otros datos.</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VII. Entrevistas realizadas, y</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VIII. En caso de detenciones:</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a) Señalar los motivos de la detención;</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b) Descripción de la persona;</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c) El nombre del detenido y apodo, en su caso;</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d) Descripción de estado físico aparente;</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e) Objetos que le fueron encontrados;</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f) Autoridad a la que fue puesto a disposición, y</w:t>
      </w:r>
    </w:p>
    <w:p w:rsidR="004928C0" w:rsidRPr="003011EE" w:rsidRDefault="00C1288B">
      <w:pPr>
        <w:spacing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g) Lugar en el que fue puesto a disposición.</w:t>
      </w:r>
    </w:p>
    <w:p w:rsidR="004928C0" w:rsidRPr="003011EE" w:rsidRDefault="00C1288B">
      <w:pPr>
        <w:spacing w:after="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rsidR="004928C0" w:rsidRPr="003011EE" w:rsidRDefault="004928C0">
      <w:pPr>
        <w:spacing w:after="80" w:line="360" w:lineRule="auto"/>
        <w:jc w:val="both"/>
        <w:rPr>
          <w:rFonts w:ascii="Palatino Linotype" w:eastAsia="Palatino Linotype" w:hAnsi="Palatino Linotype" w:cs="Palatino Linotype"/>
          <w:sz w:val="24"/>
          <w:szCs w:val="24"/>
        </w:rPr>
      </w:pPr>
    </w:p>
    <w:p w:rsidR="004928C0" w:rsidRPr="003011EE" w:rsidRDefault="00C1288B">
      <w:pPr>
        <w:spacing w:before="80" w:after="240" w:line="360" w:lineRule="auto"/>
        <w:jc w:val="both"/>
        <w:rPr>
          <w:rFonts w:ascii="Palatino Linotype" w:eastAsia="Palatino Linotype" w:hAnsi="Palatino Linotype" w:cs="Palatino Linotype"/>
        </w:rPr>
      </w:pPr>
      <w:r w:rsidRPr="003011EE">
        <w:rPr>
          <w:rFonts w:ascii="Palatino Linotype" w:eastAsia="Palatino Linotype" w:hAnsi="Palatino Linotype" w:cs="Palatino Linotype"/>
        </w:rPr>
        <w:t>Por su parte el Lineamiento Décimo primero de los Lineamientos para el Llenado, Entrega, Recepción, Registro, Resguardo y Consulta del Informe Policial Homologado, dispone lo siguiente:</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DÉCIMO PRIMERO. LLENADO DEL IPH</w:t>
      </w:r>
      <w:r w:rsidRPr="003011EE">
        <w:rPr>
          <w:rFonts w:ascii="Palatino Linotype" w:eastAsia="Palatino Linotype" w:hAnsi="Palatino Linotype" w:cs="Palatino Linotype"/>
          <w:i/>
        </w:rPr>
        <w:t>.</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Los integrantes de las </w:t>
      </w:r>
      <w:r w:rsidRPr="003011EE">
        <w:rPr>
          <w:rFonts w:ascii="Palatino Linotype" w:eastAsia="Palatino Linotype" w:hAnsi="Palatino Linotype" w:cs="Palatino Linotype"/>
          <w:b/>
          <w:i/>
        </w:rPr>
        <w:t>instituciones policiales de los tres órdenes de gobierno</w:t>
      </w:r>
      <w:r w:rsidRPr="003011EE">
        <w:rPr>
          <w:rFonts w:ascii="Palatino Linotype" w:eastAsia="Palatino Linotype" w:hAnsi="Palatino Linotype" w:cs="Palatino Linotype"/>
          <w:i/>
        </w:rPr>
        <w:t xml:space="preserve"> deberán registrar en el IPH la información relacionada con las puestas a disposición de personas y/o de objetos derivados de su intervención.</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El IPH para </w:t>
      </w:r>
      <w:r w:rsidRPr="003011EE">
        <w:rPr>
          <w:rFonts w:ascii="Palatino Linotype" w:eastAsia="Palatino Linotype" w:hAnsi="Palatino Linotype" w:cs="Palatino Linotype"/>
          <w:b/>
          <w:i/>
        </w:rPr>
        <w:t>hechos probablemente delictivos</w:t>
      </w:r>
      <w:r w:rsidRPr="003011EE">
        <w:rPr>
          <w:rFonts w:ascii="Palatino Linotype" w:eastAsia="Palatino Linotype" w:hAnsi="Palatino Linotype" w:cs="Palatino Linotype"/>
          <w:i/>
        </w:rPr>
        <w:t xml:space="preserve"> contendrá al menos los siguientes datos:</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w:t>
      </w:r>
      <w:r w:rsidRPr="003011EE">
        <w:rPr>
          <w:rFonts w:ascii="Palatino Linotype" w:eastAsia="Palatino Linotype" w:hAnsi="Palatino Linotype" w:cs="Palatino Linotype"/>
          <w:i/>
        </w:rPr>
        <w:t xml:space="preserve">     El Número de Referencia o el Número de folio asignado;</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w:t>
      </w:r>
      <w:r w:rsidRPr="003011EE">
        <w:rPr>
          <w:rFonts w:ascii="Palatino Linotype" w:eastAsia="Palatino Linotype" w:hAnsi="Palatino Linotype" w:cs="Palatino Linotype"/>
          <w:i/>
        </w:rPr>
        <w:t xml:space="preserve">     Los datos del o los integrantes de la institución policial que lo emite;</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III.</w:t>
      </w:r>
      <w:r w:rsidRPr="003011EE">
        <w:rPr>
          <w:rFonts w:ascii="Palatino Linotype" w:eastAsia="Palatino Linotype" w:hAnsi="Palatino Linotype" w:cs="Palatino Linotype"/>
          <w:i/>
        </w:rPr>
        <w:t xml:space="preserve">    Los datos de la autoridad competente que lo recibe;</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IV.</w:t>
      </w:r>
      <w:r w:rsidRPr="003011EE">
        <w:rPr>
          <w:rFonts w:ascii="Palatino Linotype" w:eastAsia="Palatino Linotype" w:hAnsi="Palatino Linotype" w:cs="Palatino Linotype"/>
          <w:i/>
        </w:rPr>
        <w:t xml:space="preserve">   Los datos generales de la intervención o actuación;</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V.</w:t>
      </w:r>
      <w:r w:rsidRPr="003011EE">
        <w:rPr>
          <w:rFonts w:ascii="Palatino Linotype" w:eastAsia="Palatino Linotype" w:hAnsi="Palatino Linotype" w:cs="Palatino Linotype"/>
          <w:i/>
        </w:rPr>
        <w:t xml:space="preserve">    El motivo de la intervención o actuación;</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VI.</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La ubicación del o los lugares de la intervención o actuación</w:t>
      </w:r>
      <w:r w:rsidRPr="003011EE">
        <w:rPr>
          <w:rFonts w:ascii="Palatino Linotype" w:eastAsia="Palatino Linotype" w:hAnsi="Palatino Linotype" w:cs="Palatino Linotype"/>
          <w:i/>
        </w:rPr>
        <w:t>;</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VII</w:t>
      </w:r>
      <w:r w:rsidRPr="003011EE">
        <w:rPr>
          <w:rFonts w:ascii="Palatino Linotype" w:eastAsia="Palatino Linotype" w:hAnsi="Palatino Linotype" w:cs="Palatino Linotype"/>
          <w:i/>
        </w:rPr>
        <w:t>.   La descripción de hechos, que deberá detallar modo, tiempo y lugar, entre otros datos. Así como, justificar razonablemente el control provisional preventivo y/o los niveles de contacto;</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VIII</w:t>
      </w:r>
      <w:r w:rsidRPr="003011EE">
        <w:rPr>
          <w:rFonts w:ascii="Palatino Linotype" w:eastAsia="Palatino Linotype" w:hAnsi="Palatino Linotype" w:cs="Palatino Linotype"/>
          <w:i/>
        </w:rPr>
        <w:t>.  En caso de personas detenidas:</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a)</w:t>
      </w:r>
      <w:r w:rsidRPr="003011EE">
        <w:rPr>
          <w:rFonts w:ascii="Palatino Linotype" w:eastAsia="Palatino Linotype" w:hAnsi="Palatino Linotype" w:cs="Palatino Linotype"/>
          <w:i/>
        </w:rPr>
        <w:t xml:space="preserve"> El Número del Registro Nacional de Detenciones;</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b)</w:t>
      </w:r>
      <w:r w:rsidRPr="003011EE">
        <w:rPr>
          <w:rFonts w:ascii="Palatino Linotype" w:eastAsia="Palatino Linotype" w:hAnsi="Palatino Linotype" w:cs="Palatino Linotype"/>
          <w:i/>
        </w:rPr>
        <w:t xml:space="preserve"> Los motivos de la detención;</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c) </w:t>
      </w:r>
      <w:r w:rsidRPr="003011EE">
        <w:rPr>
          <w:rFonts w:ascii="Palatino Linotype" w:eastAsia="Palatino Linotype" w:hAnsi="Palatino Linotype" w:cs="Palatino Linotype"/>
          <w:i/>
        </w:rPr>
        <w:t>Los datos generales de la persona;</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d) </w:t>
      </w:r>
      <w:r w:rsidRPr="003011EE">
        <w:rPr>
          <w:rFonts w:ascii="Palatino Linotype" w:eastAsia="Palatino Linotype" w:hAnsi="Palatino Linotype" w:cs="Palatino Linotype"/>
          <w:i/>
        </w:rPr>
        <w:t>La descripción de la persona, incluyendo su estado físico aparente;</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e) </w:t>
      </w:r>
      <w:r w:rsidRPr="003011EE">
        <w:rPr>
          <w:rFonts w:ascii="Palatino Linotype" w:eastAsia="Palatino Linotype" w:hAnsi="Palatino Linotype" w:cs="Palatino Linotype"/>
          <w:i/>
        </w:rPr>
        <w:t>Las armas de fuego y/o los objetos que le fueron recolectados y/o asegurados, y</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f)</w:t>
      </w:r>
      <w:r w:rsidRPr="003011EE">
        <w:rPr>
          <w:rFonts w:ascii="Palatino Linotype" w:eastAsia="Palatino Linotype" w:hAnsi="Palatino Linotype" w:cs="Palatino Linotype"/>
          <w:i/>
        </w:rPr>
        <w:t xml:space="preserve"> El lugar al que es puesta a disposición la persona;</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IX</w:t>
      </w:r>
      <w:r w:rsidRPr="003011EE">
        <w:rPr>
          <w:rFonts w:ascii="Palatino Linotype" w:eastAsia="Palatino Linotype" w:hAnsi="Palatino Linotype" w:cs="Palatino Linotype"/>
          <w:i/>
        </w:rPr>
        <w:t>.   En caso de lesionados y/o fallecidos, un informe del uso de la fuerza en el que se describa la conducta que lo motivó y el nivel proporcional empleado de acuerdo con lo dispuesto por los artículos 10 y 11 de la Ley Nacional sobre el Uso de la Fuerza. Éste será distinto al reporte pormenorizado señalado en el artículo 32 de la misma Ley;</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X</w:t>
      </w:r>
      <w:r w:rsidRPr="003011EE">
        <w:rPr>
          <w:rFonts w:ascii="Palatino Linotype" w:eastAsia="Palatino Linotype" w:hAnsi="Palatino Linotype" w:cs="Palatino Linotype"/>
          <w:i/>
        </w:rPr>
        <w:t>. En caso de inspección de vehículo, los datos generales sobre sus características;</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XI.</w:t>
      </w:r>
      <w:r w:rsidRPr="003011EE">
        <w:rPr>
          <w:rFonts w:ascii="Palatino Linotype" w:eastAsia="Palatino Linotype" w:hAnsi="Palatino Linotype" w:cs="Palatino Linotype"/>
          <w:i/>
        </w:rPr>
        <w:t xml:space="preserve"> En caso de recolección y/o aseguramiento de armas de fuego u objetos, los datos generales sobre sus características y apariencias;</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XII. </w:t>
      </w:r>
      <w:r w:rsidRPr="003011EE">
        <w:rPr>
          <w:rFonts w:ascii="Palatino Linotype" w:eastAsia="Palatino Linotype" w:hAnsi="Palatino Linotype" w:cs="Palatino Linotype"/>
          <w:i/>
        </w:rPr>
        <w:t>En caso de preservar el lugar de la intervención o actuación, los datos generales sobre su entrega-recepción, y</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XIII</w:t>
      </w:r>
      <w:r w:rsidRPr="003011EE">
        <w:rPr>
          <w:rFonts w:ascii="Palatino Linotype" w:eastAsia="Palatino Linotype" w:hAnsi="Palatino Linotype" w:cs="Palatino Linotype"/>
          <w:i/>
        </w:rPr>
        <w:t>. En caso de entrevistas, los datos generales de la persona entrevistada y el relato de la misma.</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El IPH para </w:t>
      </w:r>
      <w:r w:rsidRPr="003011EE">
        <w:rPr>
          <w:rFonts w:ascii="Palatino Linotype" w:eastAsia="Palatino Linotype" w:hAnsi="Palatino Linotype" w:cs="Palatino Linotype"/>
          <w:b/>
          <w:i/>
        </w:rPr>
        <w:t>infracciones administrativas</w:t>
      </w:r>
      <w:r w:rsidRPr="003011EE">
        <w:rPr>
          <w:rFonts w:ascii="Palatino Linotype" w:eastAsia="Palatino Linotype" w:hAnsi="Palatino Linotype" w:cs="Palatino Linotype"/>
          <w:i/>
        </w:rPr>
        <w:t xml:space="preserve"> contendrá al menos los siguientes datos:</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w:t>
      </w:r>
      <w:r w:rsidRPr="003011EE">
        <w:rPr>
          <w:rFonts w:ascii="Palatino Linotype" w:eastAsia="Palatino Linotype" w:hAnsi="Palatino Linotype" w:cs="Palatino Linotype"/>
          <w:i/>
        </w:rPr>
        <w:t xml:space="preserve"> El Número de Referencia o el Número de folio asignado;</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II. </w:t>
      </w:r>
      <w:r w:rsidRPr="003011EE">
        <w:rPr>
          <w:rFonts w:ascii="Palatino Linotype" w:eastAsia="Palatino Linotype" w:hAnsi="Palatino Linotype" w:cs="Palatino Linotype"/>
          <w:i/>
        </w:rPr>
        <w:t>Los datos del o los integrantes de la institución policial que lo emite;</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III. </w:t>
      </w:r>
      <w:r w:rsidRPr="003011EE">
        <w:rPr>
          <w:rFonts w:ascii="Palatino Linotype" w:eastAsia="Palatino Linotype" w:hAnsi="Palatino Linotype" w:cs="Palatino Linotype"/>
          <w:i/>
        </w:rPr>
        <w:t>Los datos de la autoridad competente que lo recibe;</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IV. </w:t>
      </w:r>
      <w:r w:rsidRPr="003011EE">
        <w:rPr>
          <w:rFonts w:ascii="Palatino Linotype" w:eastAsia="Palatino Linotype" w:hAnsi="Palatino Linotype" w:cs="Palatino Linotype"/>
          <w:i/>
        </w:rPr>
        <w:t>Los datos generales de la intervención o actuación;</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V</w:t>
      </w:r>
      <w:r w:rsidRPr="003011EE">
        <w:rPr>
          <w:rFonts w:ascii="Palatino Linotype" w:eastAsia="Palatino Linotype" w:hAnsi="Palatino Linotype" w:cs="Palatino Linotype"/>
          <w:i/>
        </w:rPr>
        <w:t>. El motivo de la intervención o actuación;</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VI.</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La ubicación del o los lugares de la intervención o actuación</w:t>
      </w:r>
      <w:r w:rsidRPr="003011EE">
        <w:rPr>
          <w:rFonts w:ascii="Palatino Linotype" w:eastAsia="Palatino Linotype" w:hAnsi="Palatino Linotype" w:cs="Palatino Linotype"/>
          <w:i/>
        </w:rPr>
        <w:t>;</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VII</w:t>
      </w:r>
      <w:r w:rsidRPr="003011EE">
        <w:rPr>
          <w:rFonts w:ascii="Palatino Linotype" w:eastAsia="Palatino Linotype" w:hAnsi="Palatino Linotype" w:cs="Palatino Linotype"/>
          <w:i/>
        </w:rPr>
        <w:t>. La descripción de hechos, que deberá detallar modo, tiempo y lugar, entre otros datos. Así como, justificar razonablemente el control provisional preventivo y/o los niveles de contacto;</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VIII</w:t>
      </w:r>
      <w:r w:rsidRPr="003011EE">
        <w:rPr>
          <w:rFonts w:ascii="Palatino Linotype" w:eastAsia="Palatino Linotype" w:hAnsi="Palatino Linotype" w:cs="Palatino Linotype"/>
          <w:i/>
        </w:rPr>
        <w:t>. En caso de personas arrestadas:</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a)</w:t>
      </w:r>
      <w:r w:rsidRPr="003011EE">
        <w:rPr>
          <w:rFonts w:ascii="Palatino Linotype" w:eastAsia="Palatino Linotype" w:hAnsi="Palatino Linotype" w:cs="Palatino Linotype"/>
          <w:i/>
        </w:rPr>
        <w:t xml:space="preserve">   El Número del Registro Nacional de Detenciones;</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b)</w:t>
      </w:r>
      <w:r w:rsidRPr="003011EE">
        <w:rPr>
          <w:rFonts w:ascii="Palatino Linotype" w:eastAsia="Palatino Linotype" w:hAnsi="Palatino Linotype" w:cs="Palatino Linotype"/>
          <w:i/>
        </w:rPr>
        <w:t xml:space="preserve">   Los motivos de la detención;</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c)  </w:t>
      </w:r>
      <w:r w:rsidRPr="003011EE">
        <w:rPr>
          <w:rFonts w:ascii="Palatino Linotype" w:eastAsia="Palatino Linotype" w:hAnsi="Palatino Linotype" w:cs="Palatino Linotype"/>
          <w:i/>
        </w:rPr>
        <w:t xml:space="preserve"> Los datos generales de la persona;</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d)   </w:t>
      </w:r>
      <w:r w:rsidRPr="003011EE">
        <w:rPr>
          <w:rFonts w:ascii="Palatino Linotype" w:eastAsia="Palatino Linotype" w:hAnsi="Palatino Linotype" w:cs="Palatino Linotype"/>
          <w:i/>
        </w:rPr>
        <w:t>La descripción de la persona, incluyendo su estado físico aparente, y</w:t>
      </w:r>
    </w:p>
    <w:p w:rsidR="004928C0" w:rsidRPr="003011EE" w:rsidRDefault="00C1288B">
      <w:pPr>
        <w:spacing w:before="120" w:after="120"/>
        <w:ind w:left="1418"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e)   </w:t>
      </w:r>
      <w:r w:rsidRPr="003011EE">
        <w:rPr>
          <w:rFonts w:ascii="Palatino Linotype" w:eastAsia="Palatino Linotype" w:hAnsi="Palatino Linotype" w:cs="Palatino Linotype"/>
          <w:i/>
        </w:rPr>
        <w:t>El lugar en el que es puesta a disposición la persona, y</w:t>
      </w:r>
    </w:p>
    <w:p w:rsidR="004928C0" w:rsidRPr="003011EE" w:rsidRDefault="00C1288B">
      <w:pPr>
        <w:spacing w:before="120" w:after="120"/>
        <w:ind w:left="1134"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IX.</w:t>
      </w:r>
      <w:r w:rsidRPr="003011EE">
        <w:rPr>
          <w:rFonts w:ascii="Palatino Linotype" w:eastAsia="Palatino Linotype" w:hAnsi="Palatino Linotype" w:cs="Palatino Linotype"/>
          <w:i/>
        </w:rPr>
        <w:t xml:space="preserve"> En caso de involucramiento de vehículo, los datos generales sobre sus características.</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En el llenado del IPH se anotará por completo la información del evento. En caso de no contar con algún dato, no se realice la actividad y/o no aplique su llenado, se deberá dejar constancia de ello, o testar o cancelar el espacio respectivo a fin de que no se haga un mal uso de él.</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No se exigirá la totalidad del llenado y entrega de los Anexos cuando el caso no lo amerite.”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De lo anterior, no se advierte la obligación de que el informe policial homologado deba contener coordenadas geográficas, sino solamente la ubicación del evento, el cual puede ser solventado con la dirección, por lo que la información se debe proporcionar con el mayor grado de desagregación posible, ya que al nivel que solicita el Particular, confiere al Sujeto Obligado a practicar una investigación, por lo que el derecho de acceso a la información pública se satisface en aquellos casos en que se entregue el soporte documental en el que conste la información solicitada, sin necesidad de elaborar documentos </w:t>
      </w:r>
      <w:r w:rsidRPr="003011EE">
        <w:rPr>
          <w:rFonts w:ascii="Palatino Linotype" w:eastAsia="Palatino Linotype" w:hAnsi="Palatino Linotype" w:cs="Palatino Linotype"/>
          <w:i/>
          <w:sz w:val="24"/>
          <w:szCs w:val="24"/>
        </w:rPr>
        <w:t>ad hoc</w:t>
      </w:r>
      <w:r w:rsidRPr="003011EE">
        <w:rPr>
          <w:rFonts w:ascii="Palatino Linotype" w:eastAsia="Palatino Linotype" w:hAnsi="Palatino Linotype" w:cs="Palatino Linotype"/>
          <w:sz w:val="24"/>
          <w:szCs w:val="24"/>
        </w:rPr>
        <w:t>;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previamente citado.</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Además, en el caso de que las coordenadas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3011EE">
        <w:rPr>
          <w:rFonts w:ascii="Palatino Linotype" w:eastAsia="Palatino Linotype" w:hAnsi="Palatino Linotype" w:cs="Palatino Linotype"/>
          <w:b/>
          <w:sz w:val="24"/>
          <w:szCs w:val="24"/>
        </w:rPr>
        <w:t>De las atribuciones del SUJETO OBLIGADO.</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En este tenor de conformidad con lo dispuesto en el Bando Municipal de </w:t>
      </w:r>
      <w:proofErr w:type="spellStart"/>
      <w:r w:rsidRPr="003011EE">
        <w:rPr>
          <w:rFonts w:ascii="Palatino Linotype" w:eastAsia="Palatino Linotype" w:hAnsi="Palatino Linotype" w:cs="Palatino Linotype"/>
          <w:sz w:val="24"/>
          <w:szCs w:val="24"/>
        </w:rPr>
        <w:t>Tlalmanalco</w:t>
      </w:r>
      <w:proofErr w:type="spellEnd"/>
      <w:r w:rsidRPr="003011EE">
        <w:rPr>
          <w:rFonts w:ascii="Palatino Linotype" w:eastAsia="Palatino Linotype" w:hAnsi="Palatino Linotype" w:cs="Palatino Linotype"/>
          <w:sz w:val="24"/>
          <w:szCs w:val="24"/>
        </w:rPr>
        <w:t xml:space="preserve"> del año 2017, se advierte que dentro de las funciones y atribuciones con las que cuenta 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en materia de Seguridad Pública, se encuentra:</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ARTÍCULO 135.- [Atribuciones]</w:t>
      </w:r>
    </w:p>
    <w:p w:rsidR="004928C0" w:rsidRPr="003011EE" w:rsidRDefault="00C1288B">
      <w:pPr>
        <w:spacing w:after="0" w:line="360"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Las atribuciones de las autoridades municipales en esta materia se regirán conforme al marco de la Ley General del Sistema Nacional de Seguridad Publica, la Ley de Seguridad del Estado de México, Ley que Regula el Uso de Tecnologías de la Información y Comunicación para la Seguridad Pública del Estado de México, la ley Orgánica Municipal, y demás disposiciones vinculadas con la materia.</w:t>
      </w:r>
    </w:p>
    <w:p w:rsidR="004928C0" w:rsidRPr="003011EE" w:rsidRDefault="004928C0">
      <w:pPr>
        <w:spacing w:after="0" w:line="360" w:lineRule="auto"/>
        <w:ind w:left="851" w:right="900"/>
        <w:jc w:val="both"/>
        <w:rPr>
          <w:rFonts w:ascii="Palatino Linotype" w:eastAsia="Palatino Linotype" w:hAnsi="Palatino Linotype" w:cs="Palatino Linotype"/>
          <w:i/>
        </w:rPr>
      </w:pPr>
    </w:p>
    <w:p w:rsidR="004928C0" w:rsidRPr="003011EE" w:rsidRDefault="00C1288B">
      <w:pPr>
        <w:spacing w:line="360"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El servicio de Seguridad Pública Municipal, tiene por objeto asegurar el pleno goce de la paz, la tranquilidad y el orden público, así como prevenir la comisión de delitos y la violación de leyes, reglamentos y demás disposiciones de carácter federal, estatal y municipal; para este efecto se auxiliara del centro de mando municipal (C-2), que será el responsable de la </w:t>
      </w:r>
      <w:proofErr w:type="spellStart"/>
      <w:r w:rsidRPr="003011EE">
        <w:rPr>
          <w:rFonts w:ascii="Palatino Linotype" w:eastAsia="Palatino Linotype" w:hAnsi="Palatino Linotype" w:cs="Palatino Linotype"/>
          <w:i/>
        </w:rPr>
        <w:t>videovigilancia</w:t>
      </w:r>
      <w:proofErr w:type="spellEnd"/>
      <w:r w:rsidRPr="003011EE">
        <w:rPr>
          <w:rFonts w:ascii="Palatino Linotype" w:eastAsia="Palatino Linotype" w:hAnsi="Palatino Linotype" w:cs="Palatino Linotype"/>
          <w:i/>
        </w:rPr>
        <w:t xml:space="preserve"> y del </w:t>
      </w:r>
      <w:r w:rsidRPr="003011EE">
        <w:rPr>
          <w:rFonts w:ascii="Palatino Linotype" w:eastAsia="Palatino Linotype" w:hAnsi="Palatino Linotype" w:cs="Palatino Linotype"/>
          <w:i/>
          <w:u w:val="single"/>
        </w:rPr>
        <w:t>manejo de la información obtenida con equipo de sistemas tecnológicos</w:t>
      </w:r>
      <w:r w:rsidRPr="003011EE">
        <w:rPr>
          <w:rFonts w:ascii="Palatino Linotype" w:eastAsia="Palatino Linotype" w:hAnsi="Palatino Linotype" w:cs="Palatino Linotype"/>
          <w:i/>
        </w:rPr>
        <w:t>, con el objetivo de grabar o captar imágenes con y sin sonido, en lugares públicos o privados con acceso al público, así como también cuenta con el Consejo Municipal de Seguridad Pública para establecer los mecanismos, lineamientos y políticas necesarias para cumplir con dicho fin.</w:t>
      </w:r>
    </w:p>
    <w:p w:rsidR="004928C0" w:rsidRPr="003011EE" w:rsidRDefault="004928C0">
      <w:pPr>
        <w:spacing w:after="0" w:line="360" w:lineRule="auto"/>
        <w:rPr>
          <w:rFonts w:ascii="Palatino Linotype" w:eastAsia="Palatino Linotype" w:hAnsi="Palatino Linotype" w:cs="Palatino Linotype"/>
        </w:rPr>
      </w:pPr>
    </w:p>
    <w:p w:rsidR="004928C0" w:rsidRPr="003011EE" w:rsidRDefault="00C1288B">
      <w:pPr>
        <w:tabs>
          <w:tab w:val="left" w:pos="1140"/>
        </w:tabs>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Además, cabe aclarar que la Ley General del Sistema Nacional de Seguridad Pública, se creó desde el año 2009, como se advierte a continuación:</w:t>
      </w:r>
    </w:p>
    <w:p w:rsidR="004928C0" w:rsidRPr="003011EE" w:rsidRDefault="00C1288B">
      <w:pPr>
        <w:tabs>
          <w:tab w:val="left" w:pos="1140"/>
        </w:tabs>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  </w:t>
      </w:r>
      <w:r w:rsidRPr="003011EE">
        <w:rPr>
          <w:noProof/>
        </w:rPr>
        <w:drawing>
          <wp:inline distT="0" distB="0" distL="0" distR="0">
            <wp:extent cx="5505546" cy="1126422"/>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7821" t="37719" r="54805" b="52323"/>
                    <a:stretch>
                      <a:fillRect/>
                    </a:stretch>
                  </pic:blipFill>
                  <pic:spPr>
                    <a:xfrm>
                      <a:off x="0" y="0"/>
                      <a:ext cx="5505546" cy="1126422"/>
                    </a:xfrm>
                    <a:prstGeom prst="rect">
                      <a:avLst/>
                    </a:prstGeom>
                    <a:ln/>
                  </pic:spPr>
                </pic:pic>
              </a:graphicData>
            </a:graphic>
          </wp:inline>
        </w:drawing>
      </w:r>
    </w:p>
    <w:p w:rsidR="004928C0" w:rsidRPr="003011EE" w:rsidRDefault="00C1288B">
      <w:pPr>
        <w:tabs>
          <w:tab w:val="left" w:pos="1140"/>
        </w:tabs>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Desde esa fecha se estableció en su artículo 9 fracción IV que los municipios deberían de establecer una base de datos </w:t>
      </w:r>
      <w:proofErr w:type="spellStart"/>
      <w:r w:rsidRPr="003011EE">
        <w:rPr>
          <w:rFonts w:ascii="Palatino Linotype" w:eastAsia="Palatino Linotype" w:hAnsi="Palatino Linotype" w:cs="Palatino Linotype"/>
          <w:sz w:val="24"/>
          <w:szCs w:val="24"/>
        </w:rPr>
        <w:t>criminalísticos</w:t>
      </w:r>
      <w:proofErr w:type="spellEnd"/>
      <w:r w:rsidRPr="003011EE">
        <w:rPr>
          <w:rFonts w:ascii="Palatino Linotype" w:eastAsia="Palatino Linotype" w:hAnsi="Palatino Linotype" w:cs="Palatino Linotype"/>
          <w:sz w:val="24"/>
          <w:szCs w:val="24"/>
        </w:rPr>
        <w:t>, el cual se inserta a continuación:</w:t>
      </w:r>
    </w:p>
    <w:p w:rsidR="004928C0" w:rsidRPr="003011EE" w:rsidRDefault="004928C0">
      <w:pPr>
        <w:tabs>
          <w:tab w:val="left" w:pos="1140"/>
        </w:tabs>
        <w:spacing w:after="0" w:line="360" w:lineRule="auto"/>
        <w:jc w:val="both"/>
        <w:rPr>
          <w:rFonts w:ascii="Palatino Linotype" w:eastAsia="Palatino Linotype" w:hAnsi="Palatino Linotype" w:cs="Palatino Linotype"/>
          <w:sz w:val="24"/>
          <w:szCs w:val="24"/>
        </w:rPr>
      </w:pPr>
    </w:p>
    <w:p w:rsidR="004928C0" w:rsidRPr="003011EE" w:rsidRDefault="00C1288B">
      <w:pPr>
        <w:tabs>
          <w:tab w:val="left" w:pos="1140"/>
        </w:tabs>
        <w:spacing w:after="0" w:line="276"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“Artículo 9. El presidente de la república, los gobernadores, el jefe de gobierno del Distrito Federal, los procuradores de Justicia y los secretarios de Seguridad Pública de la federación, los estados, el Distrito Federal y los municipios, integrarán el Sistema Nacional de Seguridad Pública, para implantar, en los términos de esta ley y de la leyes locales, los procesos para:</w:t>
      </w:r>
    </w:p>
    <w:p w:rsidR="004928C0" w:rsidRPr="003011EE" w:rsidRDefault="00C1288B">
      <w:pPr>
        <w:tabs>
          <w:tab w:val="left" w:pos="1140"/>
        </w:tabs>
        <w:spacing w:after="0" w:line="276"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p>
    <w:p w:rsidR="004928C0" w:rsidRPr="003011EE" w:rsidRDefault="00C1288B">
      <w:pPr>
        <w:tabs>
          <w:tab w:val="left" w:pos="1140"/>
        </w:tabs>
        <w:spacing w:after="0" w:line="276"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IV. El establecimiento de las bases de datos </w:t>
      </w:r>
      <w:proofErr w:type="spellStart"/>
      <w:r w:rsidRPr="003011EE">
        <w:rPr>
          <w:rFonts w:ascii="Palatino Linotype" w:eastAsia="Palatino Linotype" w:hAnsi="Palatino Linotype" w:cs="Palatino Linotype"/>
          <w:i/>
        </w:rPr>
        <w:t>criminalísticos</w:t>
      </w:r>
      <w:proofErr w:type="spellEnd"/>
      <w:r w:rsidRPr="003011EE">
        <w:rPr>
          <w:rFonts w:ascii="Palatino Linotype" w:eastAsia="Palatino Linotype" w:hAnsi="Palatino Linotype" w:cs="Palatino Linotype"/>
          <w:i/>
        </w:rPr>
        <w:t>, de personal y equipamiento para las instituciones de seguridad pública;” (Sic)</w:t>
      </w:r>
    </w:p>
    <w:p w:rsidR="004928C0" w:rsidRPr="003011EE" w:rsidRDefault="004928C0">
      <w:pPr>
        <w:tabs>
          <w:tab w:val="left" w:pos="1140"/>
        </w:tabs>
        <w:spacing w:after="0" w:line="360" w:lineRule="auto"/>
        <w:jc w:val="both"/>
        <w:rPr>
          <w:rFonts w:ascii="Palatino Linotype" w:eastAsia="Palatino Linotype" w:hAnsi="Palatino Linotype" w:cs="Palatino Linotype"/>
          <w:sz w:val="24"/>
          <w:szCs w:val="24"/>
        </w:rPr>
      </w:pPr>
    </w:p>
    <w:p w:rsidR="004928C0" w:rsidRPr="003011EE" w:rsidRDefault="00C1288B">
      <w:pPr>
        <w:tabs>
          <w:tab w:val="left" w:pos="1140"/>
        </w:tabs>
        <w:spacing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Sin embargo, no se tiene certeza de la búsqueda de la información en el periodo solicitado, ya que no se pronunció de la información solicitada en los años faltantes, por lo que su respuesta careció de los principios de congruencia y exhaustividad ya que sólo señalo la fecha, sin remitir el soporte documental solicitado por la particular como lo es el acta de instalación, como refuerzo de lo anterior, resulta crucial el Criterio 02/17, emitido por el Pleno del Instituto Nacional de Transparencia y Acceso a la Información y Protección de Datos Personales, de título y texto siguientes:</w:t>
      </w:r>
    </w:p>
    <w:p w:rsidR="004928C0" w:rsidRPr="003011EE" w:rsidRDefault="00C1288B">
      <w:pPr>
        <w:spacing w:after="0" w:line="276" w:lineRule="auto"/>
        <w:ind w:left="851" w:right="900"/>
        <w:jc w:val="both"/>
        <w:rPr>
          <w:rFonts w:ascii="Palatino Linotype" w:eastAsia="Palatino Linotype" w:hAnsi="Palatino Linotype" w:cs="Palatino Linotype"/>
          <w:i/>
          <w:sz w:val="20"/>
          <w:szCs w:val="20"/>
        </w:rPr>
      </w:pPr>
      <w:r w:rsidRPr="003011EE">
        <w:rPr>
          <w:rFonts w:ascii="Palatino Linotype" w:eastAsia="Palatino Linotype" w:hAnsi="Palatino Linotype" w:cs="Palatino Linotype"/>
          <w:i/>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Bajo este línea de pensamiento resulta importante señalar que si bien es cierto, se manifestó el servidor público habilitado competente, en este caso el Comisario de Seguridad Pública y Tránsito, para dar respuesta, no menos cierto es que no se colmó el derecho de acceso a la información pública del año 2010 al año 2017, toda vez que únicamente se limitó a entregar información concerniente a los años 2018, 2019, 2020 y 2021 sin que pronuncie de manera clara y precisa las razones por las que no se cuenta con esta información. </w:t>
      </w:r>
    </w:p>
    <w:p w:rsidR="004928C0" w:rsidRPr="003011EE" w:rsidRDefault="00C1288B">
      <w:pPr>
        <w:pBdr>
          <w:top w:val="nil"/>
          <w:left w:val="nil"/>
          <w:bottom w:val="nil"/>
          <w:right w:val="nil"/>
          <w:between w:val="nil"/>
        </w:pBdr>
        <w:spacing w:after="0" w:line="360" w:lineRule="auto"/>
        <w:jc w:val="both"/>
        <w:rPr>
          <w:rFonts w:ascii="Palatino Linotype" w:eastAsia="Palatino Linotype" w:hAnsi="Palatino Linotype" w:cs="Palatino Linotype"/>
        </w:rPr>
      </w:pPr>
      <w:r w:rsidRPr="003011EE">
        <w:rPr>
          <w:rFonts w:ascii="Palatino Linotype" w:eastAsia="Palatino Linotype" w:hAnsi="Palatino Linotype" w:cs="Palatino Linotype"/>
          <w:sz w:val="24"/>
          <w:szCs w:val="24"/>
        </w:rPr>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4928C0" w:rsidRPr="003011EE" w:rsidRDefault="004928C0">
      <w:pPr>
        <w:pBdr>
          <w:top w:val="nil"/>
          <w:left w:val="nil"/>
          <w:bottom w:val="nil"/>
          <w:right w:val="nil"/>
          <w:between w:val="nil"/>
        </w:pBdr>
        <w:spacing w:after="0" w:line="360" w:lineRule="auto"/>
        <w:jc w:val="both"/>
        <w:rPr>
          <w:rFonts w:ascii="Palatino Linotype" w:eastAsia="Palatino Linotype" w:hAnsi="Palatino Linotype" w:cs="Palatino Linotype"/>
        </w:rPr>
      </w:pPr>
    </w:p>
    <w:p w:rsidR="004928C0" w:rsidRPr="003011EE" w:rsidRDefault="00C1288B">
      <w:pPr>
        <w:pBdr>
          <w:top w:val="nil"/>
          <w:left w:val="nil"/>
          <w:bottom w:val="nil"/>
          <w:right w:val="nil"/>
          <w:between w:val="nil"/>
        </w:pBdr>
        <w:spacing w:after="0" w:line="276" w:lineRule="auto"/>
        <w:ind w:left="1134" w:right="900"/>
        <w:jc w:val="both"/>
        <w:rPr>
          <w:rFonts w:ascii="Palatino Linotype" w:eastAsia="Palatino Linotype" w:hAnsi="Palatino Linotype" w:cs="Palatino Linotype"/>
        </w:rPr>
      </w:pPr>
      <w:r w:rsidRPr="003011EE">
        <w:rPr>
          <w:rFonts w:ascii="Palatino Linotype" w:eastAsia="Palatino Linotype" w:hAnsi="Palatino Linotype" w:cs="Palatino Linotype"/>
          <w:i/>
        </w:rPr>
        <w:t xml:space="preserve">Artículo 18. Los sujetos obligados </w:t>
      </w:r>
      <w:r w:rsidRPr="003011EE">
        <w:rPr>
          <w:rFonts w:ascii="Palatino Linotype" w:eastAsia="Palatino Linotype" w:hAnsi="Palatino Linotype" w:cs="Palatino Linotype"/>
          <w:b/>
          <w:i/>
        </w:rPr>
        <w:t>deberán documentar todo acto que derive del ejercicio de sus facultades, competencias o funciones</w:t>
      </w:r>
      <w:r w:rsidRPr="003011EE">
        <w:rPr>
          <w:rFonts w:ascii="Palatino Linotype" w:eastAsia="Palatino Linotype" w:hAnsi="Palatino Linotype" w:cs="Palatino Linotype"/>
          <w:i/>
        </w:rPr>
        <w:t>, considerando desde su origen la eventual publicidad y reutilización de la información que generen.</w:t>
      </w:r>
    </w:p>
    <w:p w:rsidR="004928C0" w:rsidRPr="003011EE" w:rsidRDefault="00C1288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3011EE">
        <w:rPr>
          <w:rFonts w:ascii="Palatino Linotype" w:eastAsia="Palatino Linotype" w:hAnsi="Palatino Linotype" w:cs="Palatino Linotype"/>
          <w:sz w:val="24"/>
          <w:szCs w:val="24"/>
        </w:rPr>
        <w:t> </w:t>
      </w:r>
    </w:p>
    <w:p w:rsidR="004928C0" w:rsidRPr="003011EE" w:rsidRDefault="00C1288B">
      <w:pPr>
        <w:tabs>
          <w:tab w:val="left" w:pos="142"/>
          <w:tab w:val="left" w:pos="284"/>
          <w:tab w:val="left" w:pos="426"/>
        </w:tabs>
        <w:spacing w:after="0" w:line="360" w:lineRule="auto"/>
        <w:jc w:val="both"/>
        <w:rPr>
          <w:rFonts w:ascii="Palatino Linotype" w:eastAsia="Palatino Linotype" w:hAnsi="Palatino Linotype" w:cs="Palatino Linotype"/>
          <w:b/>
          <w:sz w:val="24"/>
          <w:szCs w:val="24"/>
        </w:rPr>
      </w:pPr>
      <w:r w:rsidRPr="003011EE">
        <w:rPr>
          <w:rFonts w:ascii="Palatino Linotype" w:eastAsia="Palatino Linotype" w:hAnsi="Palatino Linotype" w:cs="Palatino Linotype"/>
          <w:sz w:val="24"/>
          <w:szCs w:val="24"/>
        </w:rPr>
        <w:t xml:space="preserve">De lo anterior se entiende que el ejercicio del derecho de acceso a la información pública se centra en la potestad de los particulares de tener </w:t>
      </w:r>
      <w:r w:rsidRPr="003011EE">
        <w:rPr>
          <w:rFonts w:ascii="Palatino Linotype" w:eastAsia="Palatino Linotype" w:hAnsi="Palatino Linotype" w:cs="Palatino Linotype"/>
          <w:b/>
          <w:sz w:val="24"/>
          <w:szCs w:val="24"/>
        </w:rPr>
        <w:t>acceso a los documentos públicos que obren en los archivos de los Sujetos Obligados</w:t>
      </w:r>
      <w:r w:rsidRPr="003011EE">
        <w:rPr>
          <w:rFonts w:ascii="Palatino Linotype" w:eastAsia="Palatino Linotype" w:hAnsi="Palatino Linotype" w:cs="Palatino Linotype"/>
          <w:sz w:val="24"/>
          <w:szCs w:val="24"/>
        </w:rPr>
        <w:t xml:space="preserve">, ya sea porque los generen en el uso de sus atribuciones, los administren o simplemente los posean.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tabs>
          <w:tab w:val="left" w:pos="142"/>
          <w:tab w:val="left" w:pos="284"/>
          <w:tab w:val="left" w:pos="426"/>
        </w:tabs>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En consecuencia,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3011EE">
        <w:rPr>
          <w:rFonts w:ascii="Palatino Linotype" w:eastAsia="Palatino Linotype" w:hAnsi="Palatino Linotype" w:cs="Palatino Linotype"/>
          <w:b/>
          <w:i/>
          <w:sz w:val="24"/>
          <w:szCs w:val="24"/>
        </w:rPr>
        <w:t>ad hoc</w:t>
      </w:r>
      <w:r w:rsidRPr="003011EE">
        <w:rPr>
          <w:rFonts w:ascii="Palatino Linotype" w:eastAsia="Palatino Linotype" w:hAnsi="Palatino Linotype" w:cs="Palatino Linotype"/>
          <w:sz w:val="24"/>
          <w:szCs w:val="24"/>
        </w:rPr>
        <w:t>, para satisfacer el derecho de acceso a la información pública.</w:t>
      </w:r>
    </w:p>
    <w:p w:rsidR="004928C0" w:rsidRPr="003011EE" w:rsidRDefault="004928C0">
      <w:pPr>
        <w:tabs>
          <w:tab w:val="left" w:pos="142"/>
          <w:tab w:val="left" w:pos="284"/>
          <w:tab w:val="left" w:pos="426"/>
        </w:tabs>
        <w:spacing w:after="0" w:line="360" w:lineRule="auto"/>
        <w:jc w:val="both"/>
        <w:rPr>
          <w:rFonts w:ascii="Palatino Linotype" w:eastAsia="Palatino Linotype" w:hAnsi="Palatino Linotype" w:cs="Palatino Linotype"/>
          <w:b/>
          <w:sz w:val="24"/>
          <w:szCs w:val="24"/>
        </w:rPr>
      </w:pPr>
    </w:p>
    <w:p w:rsidR="004928C0" w:rsidRPr="003011EE" w:rsidRDefault="00C1288B">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De la temporalidad en la conservación de los archivos.</w:t>
      </w:r>
    </w:p>
    <w:p w:rsidR="004928C0" w:rsidRPr="003011EE" w:rsidRDefault="004928C0">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En mérito de lo anterior,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tabs>
          <w:tab w:val="left" w:pos="7938"/>
        </w:tabs>
        <w:spacing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“Cuarto.</w:t>
      </w:r>
    </w:p>
    <w:p w:rsidR="004928C0" w:rsidRPr="003011EE" w:rsidRDefault="00C1288B">
      <w:pPr>
        <w:tabs>
          <w:tab w:val="left" w:pos="7938"/>
        </w:tabs>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p>
    <w:p w:rsidR="004928C0" w:rsidRPr="003011EE" w:rsidRDefault="00C1288B">
      <w:pPr>
        <w:tabs>
          <w:tab w:val="left" w:pos="7938"/>
        </w:tabs>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 Archivo: El conjunto orgánico de documentos en cualquier soporte, que son producidos o recibidos por los sujetos obligados o los particulares en el ejercicio de sus atribuciones o en el desarrollo de sus actividades;</w:t>
      </w:r>
    </w:p>
    <w:p w:rsidR="004928C0" w:rsidRPr="003011EE" w:rsidRDefault="00C1288B">
      <w:pPr>
        <w:tabs>
          <w:tab w:val="left" w:pos="7938"/>
        </w:tabs>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III. Archivo de concentración: La unidad de la administración de documentos cuya consulta es esporádica y que permanecen en ella hasta su transferencia secundaria o baja documental;</w:t>
      </w:r>
    </w:p>
    <w:p w:rsidR="004928C0" w:rsidRPr="003011EE" w:rsidRDefault="00C1288B">
      <w:pPr>
        <w:tabs>
          <w:tab w:val="left" w:pos="7938"/>
        </w:tabs>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IV. Archivo histórico. La unidad responsable de la administración de los documentos de conservación permanente y que son fuente de acceso público;</w:t>
      </w:r>
    </w:p>
    <w:p w:rsidR="004928C0" w:rsidRPr="003011EE" w:rsidRDefault="00C1288B">
      <w:pPr>
        <w:tabs>
          <w:tab w:val="left" w:pos="7938"/>
        </w:tabs>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V. Archivo de trámite: La unidad responsable de la administración de documentos de uso cotidiano y necesario para el ejercicio de las atribuciones de una unidad administrativa, los cuales permanecen en ella hasta su transferencia primaria;</w:t>
      </w:r>
    </w:p>
    <w:p w:rsidR="004928C0" w:rsidRPr="003011EE" w:rsidRDefault="00C1288B">
      <w:pPr>
        <w:tabs>
          <w:tab w:val="left" w:pos="7938"/>
        </w:tabs>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VIII. Baja documental. La eliminación de aquella documentación que haya prescrito en sus valores administrativos, legales, fiscales, contables, y que no contenga valores históricos;</w:t>
      </w:r>
    </w:p>
    <w:p w:rsidR="004928C0" w:rsidRPr="003011EE" w:rsidRDefault="00C1288B">
      <w:pPr>
        <w:tabs>
          <w:tab w:val="left" w:pos="7938"/>
        </w:tabs>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p>
    <w:p w:rsidR="004928C0" w:rsidRPr="003011EE" w:rsidRDefault="00C1288B">
      <w:pPr>
        <w:tabs>
          <w:tab w:val="left" w:pos="7938"/>
        </w:tabs>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 Ciclo vital del documento: La etapas de los documentos desde su producción o recepción hasta su baja o transferencia a un archivo histórico;</w:t>
      </w:r>
    </w:p>
    <w:p w:rsidR="004928C0" w:rsidRPr="003011EE" w:rsidRDefault="00C1288B">
      <w:pPr>
        <w:tabs>
          <w:tab w:val="left" w:pos="7938"/>
        </w:tabs>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p>
    <w:p w:rsidR="004928C0" w:rsidRPr="003011EE" w:rsidRDefault="00C1288B">
      <w:pPr>
        <w:tabs>
          <w:tab w:val="left" w:pos="7938"/>
        </w:tabs>
        <w:spacing w:before="240" w:after="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4928C0" w:rsidRPr="003011EE" w:rsidRDefault="004928C0">
      <w:pPr>
        <w:tabs>
          <w:tab w:val="left" w:pos="7938"/>
        </w:tabs>
        <w:spacing w:after="0" w:line="360" w:lineRule="auto"/>
        <w:ind w:left="1134" w:right="900"/>
        <w:jc w:val="both"/>
        <w:rPr>
          <w:rFonts w:ascii="Palatino Linotype" w:eastAsia="Palatino Linotype" w:hAnsi="Palatino Linotype" w:cs="Palatino Linotype"/>
          <w:i/>
        </w:rPr>
      </w:pPr>
    </w:p>
    <w:p w:rsidR="004928C0" w:rsidRPr="003011EE" w:rsidRDefault="00C1288B">
      <w:pPr>
        <w:spacing w:after="0" w:line="360" w:lineRule="auto"/>
        <w:ind w:right="51"/>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4928C0" w:rsidRPr="003011EE" w:rsidRDefault="004928C0">
      <w:pPr>
        <w:spacing w:after="80" w:line="360" w:lineRule="auto"/>
        <w:jc w:val="both"/>
        <w:rPr>
          <w:rFonts w:ascii="Palatino Linotype" w:eastAsia="Palatino Linotype" w:hAnsi="Palatino Linotype" w:cs="Palatino Linotype"/>
          <w:sz w:val="24"/>
          <w:szCs w:val="24"/>
        </w:rPr>
      </w:pPr>
    </w:p>
    <w:p w:rsidR="004928C0" w:rsidRPr="003011EE" w:rsidRDefault="00C1288B">
      <w:pPr>
        <w:spacing w:before="80" w:after="24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Lineamientos para la Valoración, Selección y Baja de los Documentos, Expedientes y Series de Trámite Concluido en los Archivos del Estado de México, que establece lo siguiente:</w:t>
      </w:r>
    </w:p>
    <w:p w:rsidR="004928C0" w:rsidRPr="003011EE" w:rsidRDefault="00C1288B">
      <w:pPr>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Artículo 20.</w:t>
      </w:r>
      <w:r w:rsidRPr="003011EE">
        <w:rPr>
          <w:rFonts w:ascii="Palatino Linotype" w:eastAsia="Palatino Linotype" w:hAnsi="Palatino Linotype" w:cs="Palatino Linotype"/>
          <w:i/>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4928C0" w:rsidRPr="003011EE" w:rsidRDefault="00C1288B">
      <w:pPr>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El periodo señalado se computará a partir del día siguiente a la fecha del documento con el cual se dé por concluido el asunto por el que los expedientes fueron creados.</w:t>
      </w:r>
    </w:p>
    <w:p w:rsidR="004928C0" w:rsidRPr="003011EE" w:rsidRDefault="00C1288B">
      <w:pPr>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Artículo 27.- Las Unidades Administrativas al realizar la transferencia de los expedientes de trámite concluido, señalarán en el Inventario correspondiente los plazos de conservación </w:t>
      </w:r>
      <w:proofErr w:type="spellStart"/>
      <w:r w:rsidRPr="003011EE">
        <w:rPr>
          <w:rFonts w:ascii="Palatino Linotype" w:eastAsia="Palatino Linotype" w:hAnsi="Palatino Linotype" w:cs="Palatino Linotype"/>
          <w:i/>
        </w:rPr>
        <w:t>precaucional</w:t>
      </w:r>
      <w:proofErr w:type="spellEnd"/>
      <w:r w:rsidRPr="003011EE">
        <w:rPr>
          <w:rFonts w:ascii="Palatino Linotype" w:eastAsia="Palatino Linotype" w:hAnsi="Palatino Linotype" w:cs="Palatino Linotype"/>
          <w:i/>
        </w:rPr>
        <w:t xml:space="preserve"> de éstos en el Archivo de Concentración.</w:t>
      </w:r>
    </w:p>
    <w:p w:rsidR="004928C0" w:rsidRPr="003011EE" w:rsidRDefault="00C1288B">
      <w:pPr>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Para determinar el plazo de conservación </w:t>
      </w:r>
      <w:proofErr w:type="spellStart"/>
      <w:r w:rsidRPr="003011EE">
        <w:rPr>
          <w:rFonts w:ascii="Palatino Linotype" w:eastAsia="Palatino Linotype" w:hAnsi="Palatino Linotype" w:cs="Palatino Linotype"/>
          <w:i/>
        </w:rPr>
        <w:t>precaucional</w:t>
      </w:r>
      <w:proofErr w:type="spellEnd"/>
      <w:r w:rsidRPr="003011EE">
        <w:rPr>
          <w:rFonts w:ascii="Palatino Linotype" w:eastAsia="Palatino Linotype" w:hAnsi="Palatino Linotype" w:cs="Palatino Linotype"/>
          <w:i/>
        </w:rPr>
        <w:t xml:space="preserve"> deberán considerar el marco legal o administrativo bajo el cual se produjeron o recibieron los documentos y los siguientes períodos:</w:t>
      </w:r>
    </w:p>
    <w:p w:rsidR="004928C0" w:rsidRPr="003011EE" w:rsidRDefault="00C1288B">
      <w:pPr>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 6 años para expedientes con información administrativa;</w:t>
      </w:r>
    </w:p>
    <w:p w:rsidR="004928C0" w:rsidRPr="003011EE" w:rsidRDefault="00C1288B">
      <w:pPr>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 6 años como mínimo para expedientes con información fiscal y presupuestal contable;</w:t>
      </w:r>
    </w:p>
    <w:p w:rsidR="004928C0" w:rsidRPr="003011EE" w:rsidRDefault="00C1288B">
      <w:pPr>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III. 12 años como mínimo para expedientes con información jurídico-legal, obra pública y activo fijo; y</w:t>
      </w:r>
    </w:p>
    <w:p w:rsidR="004928C0" w:rsidRPr="003011EE" w:rsidRDefault="00C1288B">
      <w:pPr>
        <w:spacing w:before="240" w:after="24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IV. Cuando en la legislación se establezcan períodos de conservación mayores a los señalados en las fracciones I, II y III, se considerarán los estipulados en dicha legislación para efectos de realización del proceso de selección final.</w:t>
      </w:r>
    </w:p>
    <w:p w:rsidR="004928C0" w:rsidRPr="003011EE" w:rsidRDefault="00C1288B">
      <w:pPr>
        <w:spacing w:before="240" w:after="0" w:line="276" w:lineRule="auto"/>
        <w:ind w:left="1134"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V. Cuando las Unidades Administrativas no indique el plazo de conservación </w:t>
      </w:r>
      <w:proofErr w:type="spellStart"/>
      <w:r w:rsidRPr="003011EE">
        <w:rPr>
          <w:rFonts w:ascii="Palatino Linotype" w:eastAsia="Palatino Linotype" w:hAnsi="Palatino Linotype" w:cs="Palatino Linotype"/>
          <w:i/>
        </w:rPr>
        <w:t>precaucional</w:t>
      </w:r>
      <w:proofErr w:type="spellEnd"/>
      <w:r w:rsidRPr="003011EE">
        <w:rPr>
          <w:rFonts w:ascii="Palatino Linotype" w:eastAsia="Palatino Linotype" w:hAnsi="Palatino Linotype" w:cs="Palatino Linotype"/>
          <w:i/>
        </w:rPr>
        <w:t xml:space="preserve"> de sus expedientes en el Inventario correspondiente, los Archivos de Concentración podrán rechazar la transferencia de los expedientes.”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 para lo cual, es necesario precisar la siguiente Reglamentación:</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276" w:lineRule="auto"/>
        <w:ind w:left="851" w:right="900"/>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 xml:space="preserve">REGLAMENTO ORGANICO DE LA ADMINISTRACION </w:t>
      </w:r>
      <w:proofErr w:type="gramStart"/>
      <w:r w:rsidRPr="003011EE">
        <w:rPr>
          <w:rFonts w:ascii="Palatino Linotype" w:eastAsia="Palatino Linotype" w:hAnsi="Palatino Linotype" w:cs="Palatino Linotype"/>
          <w:b/>
          <w:i/>
        </w:rPr>
        <w:t>PUBLICA</w:t>
      </w:r>
      <w:proofErr w:type="gramEnd"/>
      <w:r w:rsidRPr="003011EE">
        <w:rPr>
          <w:rFonts w:ascii="Palatino Linotype" w:eastAsia="Palatino Linotype" w:hAnsi="Palatino Linotype" w:cs="Palatino Linotype"/>
          <w:b/>
          <w:i/>
        </w:rPr>
        <w:t xml:space="preserve"> MUNICIPAL DE TLALMANALCO ESTADO DE MEXICO</w:t>
      </w:r>
    </w:p>
    <w:p w:rsidR="004928C0" w:rsidRPr="003011EE" w:rsidRDefault="004928C0">
      <w:pPr>
        <w:spacing w:after="0" w:line="276" w:lineRule="auto"/>
        <w:ind w:left="851" w:right="900"/>
        <w:jc w:val="both"/>
        <w:rPr>
          <w:rFonts w:ascii="Palatino Linotype" w:eastAsia="Palatino Linotype" w:hAnsi="Palatino Linotype" w:cs="Palatino Linotype"/>
          <w:i/>
        </w:rPr>
      </w:pPr>
    </w:p>
    <w:p w:rsidR="004928C0" w:rsidRPr="003011EE" w:rsidRDefault="00C1288B">
      <w:pPr>
        <w:spacing w:line="276"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Artículo 45. El Archivo Municipal, estará a cargo y bajo la responsabilidad del Secretario del Ayuntamiento, y es área encargada de la administración de documentos administrativos e históricos del Municipio de </w:t>
      </w:r>
      <w:proofErr w:type="spellStart"/>
      <w:r w:rsidRPr="003011EE">
        <w:rPr>
          <w:rFonts w:ascii="Palatino Linotype" w:eastAsia="Palatino Linotype" w:hAnsi="Palatino Linotype" w:cs="Palatino Linotype"/>
          <w:i/>
        </w:rPr>
        <w:t>Tlalmanalco</w:t>
      </w:r>
      <w:proofErr w:type="spellEnd"/>
      <w:r w:rsidRPr="003011EE">
        <w:rPr>
          <w:rFonts w:ascii="Palatino Linotype" w:eastAsia="Palatino Linotype" w:hAnsi="Palatino Linotype" w:cs="Palatino Linotype"/>
          <w:i/>
        </w:rPr>
        <w:t>, entendiendo como documento cualquier objeto o archivo electrónico o de cualquier otra tecnología existente que pueda dar constancia de un hecho, área que tendrá las siguientes facultades:</w:t>
      </w:r>
    </w:p>
    <w:p w:rsidR="004928C0" w:rsidRPr="003011EE" w:rsidRDefault="00C1288B">
      <w:pPr>
        <w:spacing w:line="276"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 Tener a su cargo la recepción, revisión, separación, ordenamiento, catalogación y foliación de documentación de concentración, que se trasladen de cada una de las dependencias del Ayuntamiento, cuando se terminen sus funciones, y de conformidad a la Ley de Documentos Administrativos e Históricos del Estado de México;</w:t>
      </w:r>
    </w:p>
    <w:p w:rsidR="004928C0" w:rsidRPr="003011EE" w:rsidRDefault="00C1288B">
      <w:pPr>
        <w:spacing w:line="276"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 Cuidar y resguardar el acervo documental del Ayuntamiento, levantar inventarios y dar información al público en general que así lo solicite por escrito;</w:t>
      </w:r>
    </w:p>
    <w:p w:rsidR="004928C0" w:rsidRPr="003011EE" w:rsidRDefault="00C1288B">
      <w:pPr>
        <w:spacing w:line="276"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III. Recibir la documentación física y electrónica, procediendo a su organización y resguardo en los espacios e instrumentos tecnológicos que se destinen para tal efecto.</w:t>
      </w:r>
    </w:p>
    <w:p w:rsidR="004928C0" w:rsidRPr="003011EE" w:rsidRDefault="00C1288B">
      <w:pPr>
        <w:spacing w:line="276" w:lineRule="auto"/>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IV. Establecer una identificación, clasificación y catalogación de documentos a fin de que se proporcione el servicio de consulta con la debida oportunidad y eficacia.</w:t>
      </w:r>
    </w:p>
    <w:p w:rsidR="004928C0" w:rsidRPr="003011EE" w:rsidRDefault="004928C0">
      <w:pPr>
        <w:rPr>
          <w:rFonts w:ascii="Palatino Linotype" w:eastAsia="Palatino Linotype" w:hAnsi="Palatino Linotype" w:cs="Palatino Linotype"/>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De acuerdo a lo anterior se observa que el Archivo Municipal, estará a cargo y bajo la responsabilidad del Secretario del Ayuntamiento quien tendrá a su cargo la recepción, revisión, separación, ordenamiento, catalogación y foliación de documentación de concentración, por lo que deberá cuidar, resguardar</w:t>
      </w:r>
      <w:r w:rsidRPr="003011EE">
        <w:rPr>
          <w:sz w:val="24"/>
          <w:szCs w:val="24"/>
        </w:rPr>
        <w:t xml:space="preserve"> y </w:t>
      </w:r>
      <w:r w:rsidRPr="003011EE">
        <w:rPr>
          <w:rFonts w:ascii="Palatino Linotype" w:eastAsia="Palatino Linotype" w:hAnsi="Palatino Linotype" w:cs="Palatino Linotype"/>
          <w:sz w:val="24"/>
          <w:szCs w:val="24"/>
        </w:rPr>
        <w:t xml:space="preserve">recibir la documentación física y electrónica para proporcionar el servicio de consulta al acervo documental del Ayuntamiento.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Por lo que, el Pleno de este Instituto considera que hizo falta agotar la búsqueda exhaustiva y razonable, ya que, por la antigüedad de la información (2010 a 2017), se considera que dichos documentos, pudieran obrar en los archivos de las unidades competentes, en razón de sus atribuciones, señaladas anteriormente.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3011EE">
        <w:rPr>
          <w:rFonts w:ascii="Palatino Linotype" w:eastAsia="Palatino Linotype" w:hAnsi="Palatino Linotype" w:cs="Palatino Linotype"/>
          <w:b/>
          <w:sz w:val="24"/>
          <w:szCs w:val="24"/>
        </w:rPr>
        <w:t>Del acuerdo de inexistencia.</w:t>
      </w:r>
    </w:p>
    <w:p w:rsidR="004928C0" w:rsidRPr="003011EE" w:rsidRDefault="004928C0">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4928C0" w:rsidRPr="003011EE" w:rsidRDefault="00C1288B">
      <w:pPr>
        <w:spacing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Debe apuntarse en este caso en particular que, de actualizarse el supuesto en el que derivado del turno de la solicitud de información a las áreas competentes no se localice el documento alguno con el que se atienda el requerimiento relativo a la incidencia delictiva, lo procedente sería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Artículo 19.</w:t>
      </w:r>
      <w:r w:rsidRPr="003011EE">
        <w:rPr>
          <w:rFonts w:ascii="Palatino Linotype" w:eastAsia="Palatino Linotype" w:hAnsi="Palatino Linotype" w:cs="Palatino Linotype"/>
          <w:i/>
        </w:rPr>
        <w:t xml:space="preserve"> (…)</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sidRPr="003011EE">
        <w:rPr>
          <w:rFonts w:ascii="Palatino Linotype" w:eastAsia="Palatino Linotype" w:hAnsi="Palatino Linotype" w:cs="Palatino Linotype"/>
          <w:i/>
        </w:rPr>
        <w:t>, debidamente fundado y motivado, en el que detalle las razones del por qué no obra en sus archivos.”</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Artículo 49.</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Los Comités de Transparencia</w:t>
      </w:r>
      <w:r w:rsidRPr="003011EE">
        <w:rPr>
          <w:rFonts w:ascii="Palatino Linotype" w:eastAsia="Palatino Linotype" w:hAnsi="Palatino Linotype" w:cs="Palatino Linotype"/>
          <w:i/>
        </w:rPr>
        <w:t xml:space="preserve"> tendrán las siguientes </w:t>
      </w:r>
      <w:r w:rsidRPr="003011EE">
        <w:rPr>
          <w:rFonts w:ascii="Palatino Linotype" w:eastAsia="Palatino Linotype" w:hAnsi="Palatino Linotype" w:cs="Palatino Linotype"/>
          <w:b/>
          <w:i/>
        </w:rPr>
        <w:t>atribuciones</w:t>
      </w:r>
      <w:r w:rsidRPr="003011EE">
        <w:rPr>
          <w:rFonts w:ascii="Palatino Linotype" w:eastAsia="Palatino Linotype" w:hAnsi="Palatino Linotype" w:cs="Palatino Linotype"/>
          <w:i/>
        </w:rPr>
        <w:t>:</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Confirmar, modificar o revocar las determinaciones que en materia de</w:t>
      </w:r>
      <w:r w:rsidRPr="003011EE">
        <w:rPr>
          <w:rFonts w:ascii="Palatino Linotype" w:eastAsia="Palatino Linotype" w:hAnsi="Palatino Linotype" w:cs="Palatino Linotype"/>
          <w:i/>
        </w:rPr>
        <w:t xml:space="preserve"> ampliación del plazo de respuesta, clasificación de la información y </w:t>
      </w:r>
      <w:r w:rsidRPr="003011EE">
        <w:rPr>
          <w:rFonts w:ascii="Palatino Linotype" w:eastAsia="Palatino Linotype" w:hAnsi="Palatino Linotype" w:cs="Palatino Linotype"/>
          <w:b/>
          <w:i/>
        </w:rPr>
        <w:t>declaración de inexistencia</w:t>
      </w:r>
      <w:r w:rsidRPr="003011EE">
        <w:rPr>
          <w:rFonts w:ascii="Palatino Linotype" w:eastAsia="Palatino Linotype" w:hAnsi="Palatino Linotype" w:cs="Palatino Linotype"/>
          <w:i/>
        </w:rPr>
        <w:t xml:space="preserve"> o de incompetencia realicen los titulares de las áreas de los sujetos obligados;</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XIII</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Dictaminar las declaratorias de inexistencia de la información</w:t>
      </w:r>
      <w:r w:rsidRPr="003011EE">
        <w:rPr>
          <w:rFonts w:ascii="Palatino Linotype" w:eastAsia="Palatino Linotype" w:hAnsi="Palatino Linotype" w:cs="Palatino Linotype"/>
          <w:i/>
        </w:rPr>
        <w:t xml:space="preserve"> que les remitan las unidades administrativas y resolver en consecuencia…”</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Artículo 169</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Cuando la información no se encuentre en los archivos del sujeto obligado, el Comité de Transparencia</w:t>
      </w:r>
      <w:r w:rsidRPr="003011EE">
        <w:rPr>
          <w:rFonts w:ascii="Palatino Linotype" w:eastAsia="Palatino Linotype" w:hAnsi="Palatino Linotype" w:cs="Palatino Linotype"/>
          <w:i/>
        </w:rPr>
        <w:t xml:space="preserve">: </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w:t>
      </w:r>
      <w:r w:rsidRPr="003011EE">
        <w:rPr>
          <w:rFonts w:ascii="Palatino Linotype" w:eastAsia="Palatino Linotype" w:hAnsi="Palatino Linotype" w:cs="Palatino Linotype"/>
          <w:i/>
        </w:rPr>
        <w:t xml:space="preserve"> Analizará el caso y tomará las medidas necesarias para localizar la información; </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Expedirá una resolución que confirme la inexistencia del documento</w:t>
      </w:r>
      <w:r w:rsidRPr="003011EE">
        <w:rPr>
          <w:rFonts w:ascii="Palatino Linotype" w:eastAsia="Palatino Linotype" w:hAnsi="Palatino Linotype" w:cs="Palatino Linotype"/>
          <w:i/>
        </w:rPr>
        <w:t xml:space="preserve">; </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III.</w:t>
      </w:r>
      <w:r w:rsidRPr="003011EE">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IV.</w:t>
      </w:r>
      <w:r w:rsidRPr="003011EE">
        <w:rPr>
          <w:rFonts w:ascii="Palatino Linotype" w:eastAsia="Palatino Linotype" w:hAnsi="Palatino Linotype" w:cs="Palatino Linotype"/>
          <w:i/>
        </w:rPr>
        <w:t xml:space="preserve"> Notificará al órgano interno de control o equivalente del sujeto obligado quien, en su caso, deberá iniciar el procedimiento de responsabilidad administrativa que corresponda. </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La Unidad de Transparencia deberá notificarlo al solicitante por escrito, en un plazo que no exceda de quince días hábiles contados a partir del día siguiente a la presentación de la solicitud. </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Artículo 170.</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La resolución del Comité de Transparencia que confirme la inexistencia de la información solicitada contendrá los elementos mínimos</w:t>
      </w:r>
      <w:r w:rsidRPr="003011EE">
        <w:rPr>
          <w:rFonts w:ascii="Palatino Linotype" w:eastAsia="Palatino Linotype" w:hAnsi="Palatino Linotype" w:cs="Palatino Linotype"/>
          <w:i/>
        </w:rPr>
        <w:t xml:space="preserve"> </w:t>
      </w:r>
      <w:r w:rsidRPr="003011EE">
        <w:rPr>
          <w:rFonts w:ascii="Palatino Linotype" w:eastAsia="Palatino Linotype" w:hAnsi="Palatino Linotype" w:cs="Palatino Linotype"/>
          <w:b/>
          <w:i/>
        </w:rPr>
        <w:t>que permitan al solicitante tener la certeza de que se utilizó un criterio de búsqueda exhaustivo</w:t>
      </w:r>
      <w:r w:rsidRPr="003011EE">
        <w:rPr>
          <w:rFonts w:ascii="Palatino Linotype" w:eastAsia="Palatino Linotype" w:hAnsi="Palatino Linotype" w:cs="Palatino Linotype"/>
          <w:i/>
        </w:rPr>
        <w:t>, además de señalar las circunstancias de tiempo, modo y lugar que generaron la existencia en cuestión y señalará al servidor público responsable de contar con la misma.”</w:t>
      </w:r>
    </w:p>
    <w:p w:rsidR="004928C0" w:rsidRPr="003011EE" w:rsidRDefault="00C1288B">
      <w:pPr>
        <w:spacing w:before="240"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Dicho de otro modo, deberá procederse a la emisión de una resolución que confirme la inexistencia de la información solicitada por parte del Comité de Transparencia del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xml:space="preserve"> y comprobar la inexistencia de la información.</w:t>
      </w:r>
    </w:p>
    <w:p w:rsidR="004928C0" w:rsidRPr="003011EE" w:rsidRDefault="00C1288B">
      <w:pPr>
        <w:spacing w:line="360" w:lineRule="auto"/>
        <w:jc w:val="both"/>
        <w:rPr>
          <w:rFonts w:ascii="Palatino Linotype" w:eastAsia="Palatino Linotype" w:hAnsi="Palatino Linotype" w:cs="Palatino Linotype"/>
        </w:rPr>
      </w:pPr>
      <w:r w:rsidRPr="003011EE">
        <w:rPr>
          <w:rFonts w:ascii="Palatino Linotype" w:eastAsia="Palatino Linotype" w:hAnsi="Palatino Linotype" w:cs="Palatino Linotype"/>
          <w:sz w:val="24"/>
          <w:szCs w:val="24"/>
        </w:rPr>
        <w:t>Tiene aplicación al respecto el criterio de interpretación en el orden administrativo número 0004-11 emitido por este Instituto, cuyo contenido es del tenor literal siguiente</w:t>
      </w:r>
      <w:r w:rsidRPr="003011EE">
        <w:rPr>
          <w:rFonts w:ascii="Palatino Linotype" w:eastAsia="Palatino Linotype" w:hAnsi="Palatino Linotype" w:cs="Palatino Linotype"/>
        </w:rPr>
        <w:t>:</w:t>
      </w:r>
    </w:p>
    <w:p w:rsidR="004928C0" w:rsidRPr="003011EE" w:rsidRDefault="00C1288B">
      <w:pPr>
        <w:spacing w:before="240" w:after="240"/>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INEXISTENCIA. DECLARATORIA DE LA. ALCANCES Y PROCEDIMIENTOS</w:t>
      </w:r>
      <w:r w:rsidRPr="003011EE">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4928C0" w:rsidRPr="003011EE" w:rsidRDefault="00C1288B">
      <w:pPr>
        <w:spacing w:before="240" w:after="240"/>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Bajo el entendido de que dicha búsqueda exhaustiva permitirá dos determinaciones: </w:t>
      </w:r>
    </w:p>
    <w:p w:rsidR="004928C0" w:rsidRPr="003011EE" w:rsidRDefault="00C1288B">
      <w:pPr>
        <w:spacing w:before="240" w:after="240"/>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1ª)</w:t>
      </w:r>
      <w:r w:rsidRPr="003011EE">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rsidR="004928C0" w:rsidRPr="003011EE" w:rsidRDefault="00C1288B">
      <w:pPr>
        <w:spacing w:before="240" w:after="240"/>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b/>
          <w:i/>
        </w:rPr>
        <w:t>2ª)</w:t>
      </w:r>
      <w:r w:rsidRPr="003011EE">
        <w:rPr>
          <w:rFonts w:ascii="Palatino Linotype" w:eastAsia="Palatino Linotype" w:hAnsi="Palatino Linotype" w:cs="Palatino Linotype"/>
          <w:i/>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4928C0" w:rsidRPr="003011EE" w:rsidRDefault="00C1288B">
      <w:pPr>
        <w:spacing w:before="240" w:after="240"/>
        <w:ind w:left="851" w:right="900"/>
        <w:jc w:val="both"/>
        <w:rPr>
          <w:rFonts w:ascii="Palatino Linotype" w:eastAsia="Palatino Linotype" w:hAnsi="Palatino Linotype" w:cs="Palatino Linotype"/>
        </w:rPr>
      </w:pPr>
      <w:r w:rsidRPr="003011EE">
        <w:rPr>
          <w:rFonts w:ascii="Palatino Linotype" w:eastAsia="Palatino Linotype" w:hAnsi="Palatino Linotype" w:cs="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4928C0" w:rsidRPr="003011EE" w:rsidRDefault="00C1288B">
      <w:pPr>
        <w:spacing w:before="240"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rsidR="004928C0" w:rsidRPr="003011EE" w:rsidRDefault="00C1288B">
      <w:pPr>
        <w:spacing w:before="240" w:after="240"/>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INEXISTENCIA, CONCEPTO DE, EN MATERIA DE TRANSPARENCIA</w:t>
      </w:r>
      <w:r w:rsidRPr="003011EE">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3011EE">
        <w:rPr>
          <w:rFonts w:ascii="Palatino Linotype" w:eastAsia="Palatino Linotype" w:hAnsi="Palatino Linotype" w:cs="Palatino Linotype"/>
          <w:b/>
          <w:i/>
        </w:rPr>
        <w:t>supuestos:</w:t>
      </w:r>
      <w:r w:rsidRPr="003011EE">
        <w:rPr>
          <w:rFonts w:ascii="Palatino Linotype" w:eastAsia="Palatino Linotype" w:hAnsi="Palatino Linotype" w:cs="Palatino Linotype"/>
          <w:i/>
        </w:rPr>
        <w:t xml:space="preserve"> </w:t>
      </w:r>
    </w:p>
    <w:p w:rsidR="004928C0" w:rsidRPr="003011EE" w:rsidRDefault="00C1288B">
      <w:pPr>
        <w:numPr>
          <w:ilvl w:val="0"/>
          <w:numId w:val="1"/>
        </w:numPr>
        <w:pBdr>
          <w:top w:val="nil"/>
          <w:left w:val="nil"/>
          <w:bottom w:val="nil"/>
          <w:right w:val="nil"/>
          <w:between w:val="nil"/>
        </w:pBdr>
        <w:tabs>
          <w:tab w:val="left" w:pos="1276"/>
        </w:tabs>
        <w:spacing w:before="240" w:after="0" w:line="240" w:lineRule="auto"/>
        <w:ind w:left="993" w:right="900" w:firstLine="0"/>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4928C0" w:rsidRPr="003011EE" w:rsidRDefault="00C1288B">
      <w:pPr>
        <w:numPr>
          <w:ilvl w:val="0"/>
          <w:numId w:val="1"/>
        </w:numPr>
        <w:pBdr>
          <w:top w:val="nil"/>
          <w:left w:val="nil"/>
          <w:bottom w:val="nil"/>
          <w:right w:val="nil"/>
          <w:between w:val="nil"/>
        </w:pBdr>
        <w:tabs>
          <w:tab w:val="left" w:pos="1276"/>
        </w:tabs>
        <w:spacing w:after="240" w:line="240" w:lineRule="auto"/>
        <w:ind w:left="993" w:right="900" w:firstLine="0"/>
        <w:jc w:val="both"/>
        <w:rPr>
          <w:rFonts w:ascii="Palatino Linotype" w:eastAsia="Palatino Linotype" w:hAnsi="Palatino Linotype" w:cs="Palatino Linotype"/>
          <w:b/>
          <w:i/>
        </w:rPr>
      </w:pPr>
      <w:r w:rsidRPr="003011EE">
        <w:rPr>
          <w:rFonts w:ascii="Palatino Linotype" w:eastAsia="Palatino Linotype" w:hAnsi="Palatino Linotype" w:cs="Palatino Linotype"/>
          <w:b/>
          <w:i/>
        </w:rPr>
        <w:t xml:space="preserve">En los casos en que por las atribuciones conferidas al Sujeto Obligado éste debió generar, administrar o poseer la información, pero en incumplimiento a la normatividad respectiva no llevó a cabo </w:t>
      </w:r>
      <w:proofErr w:type="gramStart"/>
      <w:r w:rsidRPr="003011EE">
        <w:rPr>
          <w:rFonts w:ascii="Palatino Linotype" w:eastAsia="Palatino Linotype" w:hAnsi="Palatino Linotype" w:cs="Palatino Linotype"/>
          <w:b/>
          <w:i/>
        </w:rPr>
        <w:t>ninguna</w:t>
      </w:r>
      <w:proofErr w:type="gramEnd"/>
      <w:r w:rsidRPr="003011EE">
        <w:rPr>
          <w:rFonts w:ascii="Palatino Linotype" w:eastAsia="Palatino Linotype" w:hAnsi="Palatino Linotype" w:cs="Palatino Linotype"/>
          <w:b/>
          <w:i/>
        </w:rPr>
        <w:t xml:space="preserve"> de esas acciones. </w:t>
      </w:r>
    </w:p>
    <w:p w:rsidR="004928C0" w:rsidRPr="003011EE" w:rsidRDefault="00C1288B">
      <w:pPr>
        <w:spacing w:before="240" w:after="240"/>
        <w:ind w:left="851" w:right="900"/>
        <w:jc w:val="both"/>
        <w:rPr>
          <w:rFonts w:ascii="Palatino Linotype" w:eastAsia="Palatino Linotype" w:hAnsi="Palatino Linotype" w:cs="Palatino Linotype"/>
          <w:i/>
        </w:rPr>
      </w:pPr>
      <w:r w:rsidRPr="003011EE">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4928C0" w:rsidRPr="003011EE" w:rsidRDefault="00C1288B">
      <w:pPr>
        <w:spacing w:before="240"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Por tanto, la declaratoria de inexistencia no es un mero trámite por el cual de manera mecánica o simple manifieste que la información no existe en sus archivos</w:t>
      </w:r>
      <w:r w:rsidRPr="003011EE">
        <w:rPr>
          <w:rFonts w:ascii="Palatino Linotype" w:eastAsia="Palatino Linotype" w:hAnsi="Palatino Linotype" w:cs="Palatino Linotype"/>
          <w:b/>
          <w:sz w:val="24"/>
          <w:szCs w:val="24"/>
        </w:rPr>
        <w:t xml:space="preserve">, </w:t>
      </w:r>
      <w:r w:rsidRPr="003011EE">
        <w:rPr>
          <w:rFonts w:ascii="Palatino Linotype" w:eastAsia="Palatino Linotype" w:hAnsi="Palatino Linotype" w:cs="Palatino Linotype"/>
          <w:sz w:val="24"/>
          <w:szCs w:val="24"/>
        </w:rPr>
        <w:t xml:space="preserve">cuando la misma por disposición legal debería de obrar, sino que su contenido y alcance implica la responsabilidad y atribución del Comité de Transparencia del </w:t>
      </w:r>
      <w:r w:rsidRPr="003011EE">
        <w:rPr>
          <w:rFonts w:ascii="Palatino Linotype" w:eastAsia="Palatino Linotype" w:hAnsi="Palatino Linotype" w:cs="Palatino Linotype"/>
          <w:b/>
          <w:sz w:val="24"/>
          <w:szCs w:val="24"/>
        </w:rPr>
        <w:t xml:space="preserve">Sujeto Obligado, </w:t>
      </w:r>
      <w:r w:rsidRPr="003011EE">
        <w:rPr>
          <w:rFonts w:ascii="Palatino Linotype" w:eastAsia="Palatino Linotype" w:hAnsi="Palatino Linotype" w:cs="Palatino Linotype"/>
          <w:sz w:val="24"/>
          <w:szCs w:val="24"/>
        </w:rPr>
        <w:t>de instruir una búsqueda exhaustiva a todas y cada una de las áreas administrativas de las que se compone, que permitirá:</w:t>
      </w:r>
    </w:p>
    <w:p w:rsidR="004928C0" w:rsidRPr="003011EE" w:rsidRDefault="00C1288B">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4928C0" w:rsidRPr="003011EE" w:rsidRDefault="00C1288B">
      <w:pPr>
        <w:spacing w:before="240"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De actualizarse esta primera hipótesis, la información debe entregarse al </w:t>
      </w:r>
      <w:r w:rsidRPr="003011EE">
        <w:rPr>
          <w:rFonts w:ascii="Palatino Linotype" w:eastAsia="Palatino Linotype" w:hAnsi="Palatino Linotype" w:cs="Palatino Linotype"/>
          <w:b/>
          <w:i/>
          <w:sz w:val="24"/>
          <w:szCs w:val="24"/>
        </w:rPr>
        <w:t xml:space="preserve">Recurrente </w:t>
      </w:r>
      <w:r w:rsidRPr="003011EE">
        <w:rPr>
          <w:rFonts w:ascii="Palatino Linotype" w:eastAsia="Palatino Linotype" w:hAnsi="Palatino Linotype" w:cs="Palatino Linotype"/>
          <w:sz w:val="24"/>
          <w:szCs w:val="24"/>
        </w:rPr>
        <w:t>a través del o los documentos fuente.</w:t>
      </w:r>
    </w:p>
    <w:p w:rsidR="004928C0" w:rsidRPr="003011EE" w:rsidRDefault="00C1288B">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Que no se localice documento alguno que contenga la información requerida, en este supuesto, el Comité de Transparencia deberá resolver la declaratoria de inexistencia de la información y notificarla al recurrente</w:t>
      </w:r>
      <w:r w:rsidRPr="003011EE">
        <w:rPr>
          <w:rFonts w:ascii="Palatino Linotype" w:eastAsia="Palatino Linotype" w:hAnsi="Palatino Linotype" w:cs="Palatino Linotype"/>
          <w:b/>
          <w:i/>
          <w:sz w:val="24"/>
          <w:szCs w:val="24"/>
        </w:rPr>
        <w:t xml:space="preserve"> </w:t>
      </w:r>
      <w:r w:rsidRPr="003011EE">
        <w:rPr>
          <w:rFonts w:ascii="Palatino Linotype" w:eastAsia="Palatino Linotype" w:hAnsi="Palatino Linotype" w:cs="Palatino Linotype"/>
          <w:sz w:val="24"/>
          <w:szCs w:val="24"/>
        </w:rPr>
        <w:t>y a este Pleno.</w:t>
      </w:r>
    </w:p>
    <w:p w:rsidR="004928C0" w:rsidRPr="003011EE" w:rsidRDefault="00C1288B">
      <w:pPr>
        <w:numPr>
          <w:ilvl w:val="0"/>
          <w:numId w:val="5"/>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Que se ordene siempre que sea materialmente posible, que se genere o reponga la información en caso de que ésta tuviera que existir, derivado del ejercicio de sus facultades.</w:t>
      </w:r>
    </w:p>
    <w:p w:rsidR="004928C0" w:rsidRPr="003011EE" w:rsidRDefault="00C1288B">
      <w:pPr>
        <w:spacing w:before="240"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Lo anterior no es así respecto de la incidencia relacionada con faltas o infracciones administrativas, en virtud de que la existencia de dicha información se encuentra supeditada a la actualización de los supuestos que la normatividad contemple, por lo que,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ind w:left="851" w:right="902"/>
        <w:jc w:val="both"/>
        <w:rPr>
          <w:rFonts w:ascii="Palatino Linotype" w:eastAsia="Palatino Linotype" w:hAnsi="Palatino Linotype" w:cs="Palatino Linotype"/>
          <w:i/>
          <w:sz w:val="24"/>
          <w:szCs w:val="24"/>
        </w:rPr>
      </w:pPr>
      <w:r w:rsidRPr="003011EE">
        <w:rPr>
          <w:rFonts w:ascii="Palatino Linotype" w:eastAsia="Palatino Linotype" w:hAnsi="Palatino Linotype" w:cs="Palatino Linotype"/>
          <w:i/>
          <w:sz w:val="24"/>
          <w:szCs w:val="24"/>
        </w:rPr>
        <w:t>“</w:t>
      </w:r>
      <w:r w:rsidRPr="003011EE">
        <w:rPr>
          <w:rFonts w:ascii="Palatino Linotype" w:eastAsia="Palatino Linotype" w:hAnsi="Palatino Linotype" w:cs="Palatino Linotype"/>
          <w:b/>
          <w:i/>
          <w:sz w:val="24"/>
          <w:szCs w:val="24"/>
        </w:rPr>
        <w:t>Artículo 19</w:t>
      </w:r>
      <w:r w:rsidRPr="003011EE">
        <w:rPr>
          <w:rFonts w:ascii="Palatino Linotype" w:eastAsia="Palatino Linotype" w:hAnsi="Palatino Linotype" w:cs="Palatino Linotype"/>
          <w:i/>
          <w:sz w:val="24"/>
          <w:szCs w:val="24"/>
        </w:rPr>
        <w:t>…</w:t>
      </w:r>
    </w:p>
    <w:p w:rsidR="004928C0" w:rsidRPr="003011EE" w:rsidRDefault="00C1288B">
      <w:pPr>
        <w:spacing w:after="0" w:line="360" w:lineRule="auto"/>
        <w:ind w:left="851" w:right="902"/>
        <w:jc w:val="both"/>
        <w:rPr>
          <w:rFonts w:ascii="Palatino Linotype" w:eastAsia="Palatino Linotype" w:hAnsi="Palatino Linotype" w:cs="Palatino Linotype"/>
          <w:i/>
          <w:sz w:val="24"/>
          <w:szCs w:val="24"/>
        </w:rPr>
      </w:pPr>
      <w:r w:rsidRPr="003011EE">
        <w:rPr>
          <w:rFonts w:ascii="Palatino Linotype" w:eastAsia="Palatino Linotype" w:hAnsi="Palatino Linotype" w:cs="Palatino Linotype"/>
          <w:i/>
          <w:sz w:val="24"/>
          <w:szCs w:val="24"/>
        </w:rPr>
        <w:t>En los casos en que ciertas facultades, competencias o funciones no se hayan ejercido, se debe motivar la respuesta en función de las causas que motiven tal circunstancia.”</w:t>
      </w:r>
    </w:p>
    <w:p w:rsidR="004928C0" w:rsidRPr="003011EE" w:rsidRDefault="004928C0">
      <w:pPr>
        <w:spacing w:after="0" w:line="360" w:lineRule="auto"/>
        <w:ind w:left="851" w:right="902"/>
        <w:jc w:val="both"/>
        <w:rPr>
          <w:rFonts w:ascii="Palatino Linotype" w:eastAsia="Palatino Linotype" w:hAnsi="Palatino Linotype" w:cs="Palatino Linotype"/>
          <w:i/>
          <w:sz w:val="24"/>
          <w:szCs w:val="24"/>
        </w:rPr>
      </w:pPr>
    </w:p>
    <w:p w:rsidR="004928C0" w:rsidRPr="003011EE" w:rsidRDefault="00C1288B">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3011EE">
        <w:rPr>
          <w:rFonts w:ascii="Palatino Linotype" w:eastAsia="Palatino Linotype" w:hAnsi="Palatino Linotype" w:cs="Palatino Linotype"/>
          <w:b/>
          <w:sz w:val="24"/>
          <w:szCs w:val="24"/>
        </w:rPr>
        <w:t>De las coordenadas geográficas.</w:t>
      </w:r>
    </w:p>
    <w:p w:rsidR="004928C0" w:rsidRPr="003011EE" w:rsidRDefault="004928C0">
      <w:pPr>
        <w:pBdr>
          <w:top w:val="nil"/>
          <w:left w:val="nil"/>
          <w:bottom w:val="nil"/>
          <w:right w:val="nil"/>
          <w:between w:val="nil"/>
        </w:pBdr>
        <w:spacing w:after="0" w:line="360" w:lineRule="auto"/>
        <w:ind w:left="720"/>
        <w:jc w:val="both"/>
        <w:rPr>
          <w:rFonts w:ascii="Palatino Linotype" w:eastAsia="Palatino Linotype" w:hAnsi="Palatino Linotype" w:cs="Palatino Linotype"/>
          <w:b/>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Para el caso de contar con información relacionada con las coordenadas geográficas de los lugares donde sucedieron los hechos presuntamente delictivos o de faltas administrativa, es pertinente señalar que esta información permite localizar domicilios concretos, que pueden pertenecen a particulares, corresponde a datos personales confidenciales, conforme a los siguientes razonamientos: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Domicilio particular.</w:t>
      </w:r>
      <w:r w:rsidRPr="003011EE">
        <w:rPr>
          <w:rFonts w:ascii="Palatino Linotype" w:eastAsia="Palatino Linotype" w:hAnsi="Palatino Linotype" w:cs="Palatino Linotype"/>
          <w:sz w:val="24"/>
          <w:szCs w:val="24"/>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b/>
          <w:sz w:val="24"/>
          <w:szCs w:val="24"/>
        </w:rPr>
      </w:pPr>
      <w:r w:rsidRPr="003011EE">
        <w:rPr>
          <w:rFonts w:ascii="Palatino Linotype" w:eastAsia="Palatino Linotype" w:hAnsi="Palatino Linotype" w:cs="Palatino Linotype"/>
          <w:sz w:val="24"/>
          <w:szCs w:val="24"/>
        </w:rPr>
        <w:t>De la misma manera, lo establece el artículo 29 del Código Civil Federal, al precisar que el domicilio de personas físicas</w:t>
      </w:r>
      <w:r w:rsidRPr="003011EE">
        <w:rPr>
          <w:rFonts w:ascii="Palatino Linotype" w:eastAsia="Palatino Linotype" w:hAnsi="Palatino Linotype" w:cs="Palatino Linotype"/>
          <w:b/>
          <w:sz w:val="24"/>
          <w:szCs w:val="24"/>
        </w:rPr>
        <w:t xml:space="preserve">, es el lugar donde residen habitualmente, el lugar del centro principal de sus negocios, donde residan o el lugar donde se encuentren. </w:t>
      </w:r>
      <w:r w:rsidRPr="003011EE">
        <w:rPr>
          <w:rFonts w:ascii="Palatino Linotype" w:eastAsia="Palatino Linotype" w:hAnsi="Palatino Linotype" w:cs="Palatino Linotype"/>
          <w:sz w:val="24"/>
          <w:szCs w:val="24"/>
        </w:rPr>
        <w:t>Además, respecto al domicilio particular se presume que corresponde al lugar donde reside habitualmente</w:t>
      </w:r>
      <w:r w:rsidRPr="003011EE">
        <w:rPr>
          <w:rFonts w:ascii="Palatino Linotype" w:eastAsia="Palatino Linotype" w:hAnsi="Palatino Linotype" w:cs="Palatino Linotype"/>
          <w:b/>
          <w:sz w:val="24"/>
          <w:szCs w:val="24"/>
        </w:rPr>
        <w:t>.</w:t>
      </w:r>
    </w:p>
    <w:p w:rsidR="004928C0" w:rsidRPr="003011EE" w:rsidRDefault="004928C0">
      <w:pPr>
        <w:spacing w:after="0" w:line="360" w:lineRule="auto"/>
        <w:jc w:val="both"/>
        <w:rPr>
          <w:rFonts w:ascii="Palatino Linotype" w:eastAsia="Palatino Linotype" w:hAnsi="Palatino Linotype" w:cs="Palatino Linotype"/>
          <w:b/>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Así pues, el domicilio y los elementos que puedan identificarlo deben ser considerados como información confidencial, en los términos antes expuestos, por lo que de ser el caso la información debe ser acompañada del acuerdo que para tales efectos emita su Comité de Transparencia de conformidad con los artículos 49, fracciones II y VIII, 143, fracción I y 149 de la Ley de Transparencia y Acceso a la Información Pública del Estado de México y Municipios; en la que se testen las coordenadas geográficas que permiten identificar domicilios.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A5757A" w:rsidRPr="003011EE" w:rsidRDefault="00C1288B" w:rsidP="00A5757A">
      <w:pPr>
        <w:spacing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De lo hasta aquí expuesto, se concluye que los motivos de inconformidad de la parte </w:t>
      </w:r>
      <w:r w:rsidRPr="003011EE">
        <w:rPr>
          <w:rFonts w:ascii="Palatino Linotype" w:eastAsia="Palatino Linotype" w:hAnsi="Palatino Linotype" w:cs="Palatino Linotype"/>
          <w:b/>
          <w:sz w:val="24"/>
          <w:szCs w:val="24"/>
        </w:rPr>
        <w:t xml:space="preserve">RECURRENTE </w:t>
      </w:r>
      <w:r w:rsidRPr="003011EE">
        <w:rPr>
          <w:rFonts w:ascii="Palatino Linotype" w:eastAsia="Palatino Linotype" w:hAnsi="Palatino Linotype" w:cs="Palatino Linotype"/>
          <w:sz w:val="24"/>
          <w:szCs w:val="24"/>
        </w:rPr>
        <w:t xml:space="preserve">devienen fundados, siendo procedente </w:t>
      </w:r>
      <w:r w:rsidRPr="003011EE">
        <w:rPr>
          <w:rFonts w:ascii="Palatino Linotype" w:eastAsia="Palatino Linotype" w:hAnsi="Palatino Linotype" w:cs="Palatino Linotype"/>
          <w:i/>
          <w:sz w:val="24"/>
          <w:szCs w:val="24"/>
        </w:rPr>
        <w:t>Modificar</w:t>
      </w:r>
      <w:r w:rsidRPr="003011EE">
        <w:rPr>
          <w:rFonts w:ascii="Palatino Linotype" w:eastAsia="Palatino Linotype" w:hAnsi="Palatino Linotype" w:cs="Palatino Linotype"/>
          <w:sz w:val="24"/>
          <w:szCs w:val="24"/>
        </w:rPr>
        <w:t xml:space="preserve"> la respuesta proporcionada por el </w:t>
      </w:r>
      <w:r w:rsidRPr="003011EE">
        <w:rPr>
          <w:rFonts w:ascii="Palatino Linotype" w:eastAsia="Palatino Linotype" w:hAnsi="Palatino Linotype" w:cs="Palatino Linotype"/>
          <w:b/>
          <w:sz w:val="24"/>
          <w:szCs w:val="24"/>
        </w:rPr>
        <w:t xml:space="preserve">SUJETO OBLIGADO </w:t>
      </w:r>
      <w:r w:rsidRPr="003011EE">
        <w:rPr>
          <w:rFonts w:ascii="Palatino Linotype" w:eastAsia="Palatino Linotype" w:hAnsi="Palatino Linotype" w:cs="Palatino Linotype"/>
          <w:sz w:val="24"/>
          <w:szCs w:val="24"/>
        </w:rPr>
        <w:t>en términos del artículo 186 fracción III de la Ley de Transparencia y Acceso a la Información Pública del Estado de México y Municipios.</w:t>
      </w:r>
    </w:p>
    <w:p w:rsidR="00A5757A" w:rsidRPr="003011EE" w:rsidRDefault="00A5757A" w:rsidP="00A5757A">
      <w:pPr>
        <w:spacing w:after="0" w:line="360" w:lineRule="auto"/>
        <w:ind w:right="49"/>
        <w:jc w:val="both"/>
        <w:rPr>
          <w:rFonts w:ascii="Palatino Linotype" w:eastAsia="Palatino Linotype" w:hAnsi="Palatino Linotype" w:cs="Palatino Linotype"/>
          <w:sz w:val="24"/>
          <w:szCs w:val="24"/>
        </w:rPr>
      </w:pPr>
    </w:p>
    <w:p w:rsidR="004928C0" w:rsidRPr="003011EE" w:rsidRDefault="00A5757A">
      <w:pPr>
        <w:spacing w:after="0" w:line="360" w:lineRule="auto"/>
        <w:ind w:right="49"/>
        <w:jc w:val="both"/>
        <w:rPr>
          <w:rFonts w:ascii="Palatino Linotype" w:eastAsia="Palatino Linotype" w:hAnsi="Palatino Linotype" w:cs="Palatino Linotype"/>
          <w:sz w:val="24"/>
          <w:szCs w:val="24"/>
        </w:rPr>
      </w:pPr>
      <w:r w:rsidRPr="003011EE">
        <w:rPr>
          <w:rFonts w:ascii="Palatino Linotype" w:hAnsi="Palatino Linotype"/>
          <w:sz w:val="24"/>
          <w:szCs w:val="24"/>
        </w:rPr>
        <w:t xml:space="preserve">Finalmente, del soporte documental remitido en atención a la solicitud de información, se advierte que el Sujeto Obligado proporcionó coordenadas geográficas; información que debió proteger, ya que como ha sido expuesto a lo largo del presente estudio, es considerada como información confidencial en términos de lo dispuesto por el artículo 143, fracción I, de la Ley de Transparencia y Acceso a la Información Pública del Estado de México y Municipios, por lo que se le insta a cumplir con las disposiciones jurídicas aplicables en la materia. </w:t>
      </w:r>
    </w:p>
    <w:p w:rsidR="004928C0" w:rsidRPr="003011EE" w:rsidRDefault="00C1288B">
      <w:pPr>
        <w:spacing w:after="0" w:line="360" w:lineRule="auto"/>
        <w:ind w:right="49"/>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QUINTO. VERSIÓN PÚBLICA. </w:t>
      </w:r>
      <w:r w:rsidRPr="003011EE">
        <w:rPr>
          <w:rFonts w:ascii="Palatino Linotype" w:eastAsia="Palatino Linotype" w:hAnsi="Palatino Linotype" w:cs="Palatino Linotype"/>
          <w:sz w:val="24"/>
          <w:szCs w:val="24"/>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4928C0" w:rsidRPr="003011EE" w:rsidRDefault="004928C0">
      <w:pPr>
        <w:spacing w:after="0" w:line="360" w:lineRule="auto"/>
        <w:ind w:right="49"/>
        <w:jc w:val="both"/>
        <w:rPr>
          <w:rFonts w:ascii="Palatino Linotype" w:eastAsia="Palatino Linotype" w:hAnsi="Palatino Linotype" w:cs="Palatino Linotype"/>
          <w:sz w:val="24"/>
          <w:szCs w:val="24"/>
        </w:rPr>
      </w:pPr>
    </w:p>
    <w:p w:rsidR="004928C0" w:rsidRPr="003011EE" w:rsidRDefault="00C1288B">
      <w:pPr>
        <w:spacing w:after="0" w:line="360" w:lineRule="auto"/>
        <w:ind w:right="50"/>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 xml:space="preserve">Lo anterior, de conformidad a lo que señalan los artículos 3 fracciones IX, XX, XXI y XLV, 91, 132 fracciones II y III, y 143 </w:t>
      </w:r>
      <w:proofErr w:type="gramStart"/>
      <w:r w:rsidRPr="003011EE">
        <w:rPr>
          <w:rFonts w:ascii="Palatino Linotype" w:eastAsia="Palatino Linotype" w:hAnsi="Palatino Linotype" w:cs="Palatino Linotype"/>
          <w:sz w:val="24"/>
          <w:szCs w:val="24"/>
        </w:rPr>
        <w:t>fracción</w:t>
      </w:r>
      <w:proofErr w:type="gramEnd"/>
      <w:r w:rsidRPr="003011EE">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rsidR="004928C0" w:rsidRPr="003011EE" w:rsidRDefault="004928C0">
      <w:pPr>
        <w:spacing w:after="0" w:line="360" w:lineRule="auto"/>
        <w:ind w:right="50"/>
        <w:jc w:val="both"/>
        <w:rPr>
          <w:rFonts w:ascii="Palatino Linotype" w:eastAsia="Palatino Linotype" w:hAnsi="Palatino Linotype" w:cs="Palatino Linotype"/>
          <w:sz w:val="24"/>
          <w:szCs w:val="24"/>
        </w:rPr>
      </w:pPr>
    </w:p>
    <w:p w:rsidR="004928C0" w:rsidRPr="003011EE" w:rsidRDefault="00C1288B">
      <w:pPr>
        <w:spacing w:after="120" w:line="276" w:lineRule="auto"/>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Artículo 3</w:t>
      </w:r>
      <w:r w:rsidRPr="003011EE">
        <w:rPr>
          <w:rFonts w:ascii="Palatino Linotype" w:eastAsia="Palatino Linotype" w:hAnsi="Palatino Linotype" w:cs="Palatino Linotype"/>
          <w:i/>
        </w:rPr>
        <w:t>. Para los efectos de la presente Ley se entenderá por:</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IX. Datos personales:</w:t>
      </w:r>
      <w:r w:rsidRPr="003011EE">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XX. Información clasificada</w:t>
      </w:r>
      <w:r w:rsidRPr="003011EE">
        <w:rPr>
          <w:rFonts w:ascii="Palatino Linotype" w:eastAsia="Palatino Linotype" w:hAnsi="Palatino Linotype" w:cs="Palatino Linotype"/>
          <w:i/>
        </w:rPr>
        <w:t>: Aquella considerada por la presente Ley como reservada o confidencial;</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XXI. Información confidencial:</w:t>
      </w:r>
      <w:r w:rsidRPr="003011EE">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XLV. Versión pública:</w:t>
      </w:r>
      <w:r w:rsidRPr="003011EE">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p>
    <w:p w:rsidR="004928C0" w:rsidRPr="003011EE" w:rsidRDefault="00C1288B">
      <w:pPr>
        <w:spacing w:before="120" w:after="120" w:line="276" w:lineRule="auto"/>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Artículo 91. </w:t>
      </w:r>
      <w:r w:rsidRPr="003011EE">
        <w:rPr>
          <w:rFonts w:ascii="Palatino Linotype" w:eastAsia="Palatino Linotype" w:hAnsi="Palatino Linotype" w:cs="Palatino Linotype"/>
          <w:i/>
        </w:rPr>
        <w:t>El acceso a la información pública será restringido excepcionalmente, cuando ésta sea clasificada como reservada o confidencial.</w:t>
      </w:r>
    </w:p>
    <w:p w:rsidR="004928C0" w:rsidRPr="003011EE" w:rsidRDefault="00C1288B">
      <w:pPr>
        <w:spacing w:before="120" w:after="120" w:line="276" w:lineRule="auto"/>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 xml:space="preserve">Artículo 132. </w:t>
      </w:r>
      <w:r w:rsidRPr="003011EE">
        <w:rPr>
          <w:rFonts w:ascii="Palatino Linotype" w:eastAsia="Palatino Linotype" w:hAnsi="Palatino Linotype" w:cs="Palatino Linotype"/>
          <w:i/>
        </w:rPr>
        <w:t>La clasificación de la información se llevará a cabo en el momento en que:</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w:t>
      </w:r>
      <w:r w:rsidRPr="003011EE">
        <w:rPr>
          <w:rFonts w:ascii="Palatino Linotype" w:eastAsia="Palatino Linotype" w:hAnsi="Palatino Linotype" w:cs="Palatino Linotype"/>
          <w:i/>
        </w:rPr>
        <w:t>. Se reciba una solicitud de acceso a la información;</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w:t>
      </w:r>
      <w:r w:rsidRPr="003011EE">
        <w:rPr>
          <w:rFonts w:ascii="Palatino Linotype" w:eastAsia="Palatino Linotype" w:hAnsi="Palatino Linotype" w:cs="Palatino Linotype"/>
          <w:i/>
        </w:rPr>
        <w:t>. Se determine mediante resolución de autoridad competente; o</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III</w:t>
      </w:r>
      <w:r w:rsidRPr="003011EE">
        <w:rPr>
          <w:rFonts w:ascii="Palatino Linotype" w:eastAsia="Palatino Linotype" w:hAnsi="Palatino Linotype" w:cs="Palatino Linotype"/>
          <w:i/>
        </w:rPr>
        <w:t>. Se generen versiones públicas para dar cumplimiento a las obligaciones de transparencia previstas en esta Ley.</w:t>
      </w:r>
    </w:p>
    <w:p w:rsidR="004928C0" w:rsidRPr="003011EE" w:rsidRDefault="00C1288B">
      <w:pPr>
        <w:spacing w:before="120" w:after="120" w:line="276" w:lineRule="auto"/>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p>
    <w:p w:rsidR="004928C0" w:rsidRPr="003011EE" w:rsidRDefault="00C1288B">
      <w:pPr>
        <w:spacing w:before="120" w:after="120" w:line="276" w:lineRule="auto"/>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Artículo 143</w:t>
      </w:r>
      <w:r w:rsidRPr="003011EE">
        <w:rPr>
          <w:rFonts w:ascii="Palatino Linotype" w:eastAsia="Palatino Linotype" w:hAnsi="Palatino Linotype" w:cs="Palatino Linotype"/>
          <w:i/>
        </w:rPr>
        <w:t>. Para los efectos de esta Ley se considera información confidencial, la clasificada como tal, de manera permanente, por su naturaleza, cuando:</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w:t>
      </w:r>
      <w:r w:rsidRPr="003011EE">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3011EE">
        <w:rPr>
          <w:rFonts w:ascii="Palatino Linotype" w:eastAsia="Palatino Linotype" w:hAnsi="Palatino Linotype" w:cs="Palatino Linotype"/>
          <w:i/>
        </w:rPr>
        <w:t>jurídico</w:t>
      </w:r>
      <w:proofErr w:type="gramEnd"/>
      <w:r w:rsidRPr="003011EE">
        <w:rPr>
          <w:rFonts w:ascii="Palatino Linotype" w:eastAsia="Palatino Linotype" w:hAnsi="Palatino Linotype" w:cs="Palatino Linotype"/>
          <w:i/>
        </w:rPr>
        <w:t xml:space="preserve"> colectiva identificada o identificable;</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w:t>
      </w:r>
      <w:r w:rsidRPr="003011EE">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4928C0" w:rsidRPr="003011EE" w:rsidRDefault="00C1288B">
      <w:pPr>
        <w:spacing w:before="120" w:after="120" w:line="276" w:lineRule="auto"/>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III</w:t>
      </w:r>
      <w:r w:rsidRPr="003011EE">
        <w:rPr>
          <w:rFonts w:ascii="Palatino Linotype" w:eastAsia="Palatino Linotype" w:hAnsi="Palatino Linotype" w:cs="Palatino Linotype"/>
          <w:i/>
        </w:rPr>
        <w:t>. La que presenten los particulares a los sujetos obligados, de conformidad con lo dispuesto por las leyes o los tratados internacionales.</w:t>
      </w:r>
    </w:p>
    <w:p w:rsidR="004928C0" w:rsidRPr="003011EE" w:rsidRDefault="00C1288B">
      <w:pPr>
        <w:spacing w:before="120" w:after="120" w:line="276" w:lineRule="auto"/>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4928C0" w:rsidRPr="003011EE" w:rsidRDefault="00C1288B">
      <w:pPr>
        <w:spacing w:before="120" w:after="0" w:line="276" w:lineRule="auto"/>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4928C0" w:rsidRPr="003011EE" w:rsidRDefault="004928C0">
      <w:pPr>
        <w:spacing w:after="0" w:line="276" w:lineRule="auto"/>
        <w:ind w:left="851" w:right="902"/>
        <w:jc w:val="both"/>
        <w:rPr>
          <w:rFonts w:ascii="Palatino Linotype" w:eastAsia="Palatino Linotype" w:hAnsi="Palatino Linotype" w:cs="Palatino Linotype"/>
          <w:i/>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4928C0" w:rsidRPr="003011EE" w:rsidRDefault="004928C0">
      <w:pPr>
        <w:spacing w:after="0" w:line="360" w:lineRule="auto"/>
        <w:jc w:val="both"/>
        <w:rPr>
          <w:rFonts w:ascii="Palatino Linotype" w:eastAsia="Palatino Linotype" w:hAnsi="Palatino Linotype" w:cs="Palatino Linotype"/>
        </w:rPr>
      </w:pPr>
    </w:p>
    <w:p w:rsidR="004928C0" w:rsidRPr="003011EE" w:rsidRDefault="00C1288B">
      <w:pPr>
        <w:spacing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w:t>
      </w:r>
      <w:r w:rsidRPr="003011EE">
        <w:rPr>
          <w:rFonts w:ascii="Palatino Linotype" w:eastAsia="Palatino Linotype" w:hAnsi="Palatino Linotype" w:cs="Palatino Linotype"/>
          <w:b/>
          <w:i/>
        </w:rPr>
        <w:t>Quincuagésimo sexto</w:t>
      </w:r>
      <w:r w:rsidRPr="003011EE">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Quincuagésimo séptimo</w:t>
      </w:r>
      <w:r w:rsidRPr="003011EE">
        <w:rPr>
          <w:rFonts w:ascii="Palatino Linotype" w:eastAsia="Palatino Linotype" w:hAnsi="Palatino Linotype" w:cs="Palatino Linotype"/>
          <w:i/>
        </w:rPr>
        <w:t xml:space="preserve">. Se considera, en principio, como información pública y no podrá omitirse de las versiones públicas la siguiente: </w:t>
      </w:r>
    </w:p>
    <w:p w:rsidR="004928C0" w:rsidRPr="003011EE" w:rsidRDefault="00C1288B">
      <w:pPr>
        <w:spacing w:before="120" w:after="120"/>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w:t>
      </w:r>
      <w:r w:rsidRPr="003011EE">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4928C0" w:rsidRPr="003011EE" w:rsidRDefault="00C1288B">
      <w:pPr>
        <w:spacing w:before="120" w:after="120"/>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w:t>
      </w:r>
      <w:r w:rsidRPr="003011EE">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4928C0" w:rsidRPr="003011EE" w:rsidRDefault="00C1288B">
      <w:pPr>
        <w:spacing w:before="120" w:after="120"/>
        <w:ind w:left="993"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III.</w:t>
      </w:r>
      <w:r w:rsidRPr="003011EE">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4928C0" w:rsidRPr="003011EE" w:rsidRDefault="00C1288B">
      <w:pPr>
        <w:spacing w:before="120" w:after="120"/>
        <w:ind w:left="851" w:right="902"/>
        <w:jc w:val="both"/>
        <w:rPr>
          <w:rFonts w:ascii="Palatino Linotype" w:eastAsia="Palatino Linotype" w:hAnsi="Palatino Linotype" w:cs="Palatino Linotype"/>
          <w:i/>
        </w:rPr>
      </w:pPr>
      <w:r w:rsidRPr="003011EE">
        <w:rPr>
          <w:rFonts w:ascii="Palatino Linotype" w:eastAsia="Palatino Linotype" w:hAnsi="Palatino Linotype" w:cs="Palatino Linotype"/>
          <w:b/>
          <w:i/>
        </w:rPr>
        <w:t>Quincuagésimo octavo</w:t>
      </w:r>
      <w:r w:rsidRPr="003011EE">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4928C0" w:rsidRPr="003011EE" w:rsidRDefault="004928C0">
      <w:pPr>
        <w:spacing w:before="120" w:after="120"/>
        <w:ind w:left="851" w:right="902"/>
        <w:jc w:val="both"/>
        <w:rPr>
          <w:rFonts w:ascii="Palatino Linotype" w:eastAsia="Palatino Linotype" w:hAnsi="Palatino Linotype" w:cs="Palatino Linotype"/>
          <w:i/>
        </w:rPr>
      </w:pPr>
    </w:p>
    <w:p w:rsidR="004928C0" w:rsidRPr="003011EE" w:rsidRDefault="00C1288B">
      <w:pPr>
        <w:spacing w:before="120"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928C0" w:rsidRPr="003011EE" w:rsidRDefault="004928C0">
      <w:pPr>
        <w:spacing w:after="80" w:line="360" w:lineRule="auto"/>
        <w:jc w:val="both"/>
        <w:rPr>
          <w:rFonts w:ascii="Palatino Linotype" w:eastAsia="Palatino Linotype" w:hAnsi="Palatino Linotype" w:cs="Palatino Linotype"/>
          <w:sz w:val="24"/>
          <w:szCs w:val="24"/>
        </w:rPr>
      </w:pPr>
    </w:p>
    <w:p w:rsidR="004928C0" w:rsidRPr="003011EE" w:rsidRDefault="00C1288B">
      <w:pPr>
        <w:spacing w:before="80"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3011EE" w:rsidRPr="003011EE">
        <w:tc>
          <w:tcPr>
            <w:tcW w:w="4253" w:type="dxa"/>
            <w:gridSpan w:val="2"/>
            <w:tcBorders>
              <w:top w:val="nil"/>
              <w:left w:val="nil"/>
              <w:right w:val="nil"/>
            </w:tcBorders>
          </w:tcPr>
          <w:p w:rsidR="004928C0" w:rsidRPr="003011EE" w:rsidRDefault="00C1288B">
            <w:pPr>
              <w:jc w:val="center"/>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4928C0" w:rsidRPr="003011EE" w:rsidRDefault="00C1288B">
            <w:pPr>
              <w:jc w:val="center"/>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Total</w:t>
            </w:r>
          </w:p>
        </w:tc>
      </w:tr>
      <w:tr w:rsidR="003011EE" w:rsidRPr="003011EE">
        <w:tc>
          <w:tcPr>
            <w:tcW w:w="1134" w:type="dxa"/>
          </w:tcPr>
          <w:p w:rsidR="004928C0" w:rsidRPr="003011EE" w:rsidRDefault="00C1288B">
            <w:pPr>
              <w:jc w:val="center"/>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Concepto</w:t>
            </w:r>
          </w:p>
        </w:tc>
        <w:tc>
          <w:tcPr>
            <w:tcW w:w="3119" w:type="dxa"/>
          </w:tcPr>
          <w:p w:rsidR="004928C0" w:rsidRPr="003011EE" w:rsidRDefault="00C1288B">
            <w:pPr>
              <w:jc w:val="center"/>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Dónde</w:t>
            </w:r>
          </w:p>
        </w:tc>
        <w:tc>
          <w:tcPr>
            <w:tcW w:w="1129" w:type="dxa"/>
          </w:tcPr>
          <w:p w:rsidR="004928C0" w:rsidRPr="003011EE" w:rsidRDefault="00C1288B">
            <w:pPr>
              <w:jc w:val="center"/>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Concepto</w:t>
            </w:r>
          </w:p>
        </w:tc>
        <w:tc>
          <w:tcPr>
            <w:tcW w:w="3446" w:type="dxa"/>
          </w:tcPr>
          <w:p w:rsidR="004928C0" w:rsidRPr="003011EE" w:rsidRDefault="00C1288B">
            <w:pPr>
              <w:jc w:val="center"/>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Dónde</w:t>
            </w:r>
          </w:p>
        </w:tc>
      </w:tr>
      <w:tr w:rsidR="003011EE" w:rsidRPr="003011EE">
        <w:tc>
          <w:tcPr>
            <w:tcW w:w="8828" w:type="dxa"/>
            <w:gridSpan w:val="4"/>
          </w:tcPr>
          <w:p w:rsidR="004928C0" w:rsidRPr="003011EE" w:rsidRDefault="00C1288B">
            <w:pPr>
              <w:jc w:val="center"/>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Sello oficial o logotipo del sujeto obligado</w:t>
            </w:r>
          </w:p>
        </w:tc>
      </w:tr>
      <w:tr w:rsidR="003011EE" w:rsidRPr="003011EE">
        <w:tc>
          <w:tcPr>
            <w:tcW w:w="1134"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Fecha de clasificación</w:t>
            </w:r>
          </w:p>
        </w:tc>
        <w:tc>
          <w:tcPr>
            <w:tcW w:w="3119"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Fecha de clasificación</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011EE" w:rsidRPr="003011EE">
        <w:tc>
          <w:tcPr>
            <w:tcW w:w="1134"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Área</w:t>
            </w:r>
          </w:p>
        </w:tc>
        <w:tc>
          <w:tcPr>
            <w:tcW w:w="3119"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señalará el nombre del área del cual es titular quien clasifica.</w:t>
            </w: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Área</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señalará el nombre del área de la cual es el titular quien clasifica.</w:t>
            </w:r>
          </w:p>
        </w:tc>
      </w:tr>
      <w:tr w:rsidR="003011EE" w:rsidRPr="003011EE">
        <w:tc>
          <w:tcPr>
            <w:tcW w:w="1134"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Información reservada</w:t>
            </w:r>
          </w:p>
        </w:tc>
        <w:tc>
          <w:tcPr>
            <w:tcW w:w="3119"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3011EE">
              <w:rPr>
                <w:rFonts w:ascii="Palatino Linotype" w:eastAsia="Palatino Linotype" w:hAnsi="Palatino Linotype" w:cs="Palatino Linotype"/>
                <w:sz w:val="12"/>
                <w:szCs w:val="12"/>
              </w:rPr>
              <w:t>anotarán</w:t>
            </w:r>
            <w:proofErr w:type="gramEnd"/>
            <w:r w:rsidRPr="003011EE">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Reservado</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Leyenda de información RESERVADA.</w:t>
            </w:r>
          </w:p>
        </w:tc>
      </w:tr>
      <w:tr w:rsidR="003011EE" w:rsidRPr="003011EE">
        <w:tc>
          <w:tcPr>
            <w:tcW w:w="1134"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Fundamento legal</w:t>
            </w:r>
          </w:p>
        </w:tc>
        <w:tc>
          <w:tcPr>
            <w:tcW w:w="3119"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Periodo de reserva</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011EE" w:rsidRPr="003011EE">
        <w:tc>
          <w:tcPr>
            <w:tcW w:w="1134"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Ampliación del periodo de reserva</w:t>
            </w:r>
          </w:p>
        </w:tc>
        <w:tc>
          <w:tcPr>
            <w:tcW w:w="3119"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Fundamento legal</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011EE" w:rsidRPr="003011EE">
        <w:tc>
          <w:tcPr>
            <w:tcW w:w="1134"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Confidencial</w:t>
            </w:r>
          </w:p>
        </w:tc>
        <w:tc>
          <w:tcPr>
            <w:tcW w:w="3119"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Ampliación del periodo de reserva</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011EE" w:rsidRPr="003011EE">
        <w:tc>
          <w:tcPr>
            <w:tcW w:w="1134"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Fundamento legal</w:t>
            </w:r>
          </w:p>
        </w:tc>
        <w:tc>
          <w:tcPr>
            <w:tcW w:w="3119"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Confidencial</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Leyenda de información CONFIDENCIAL.</w:t>
            </w:r>
          </w:p>
        </w:tc>
      </w:tr>
      <w:tr w:rsidR="003011EE" w:rsidRPr="003011EE">
        <w:tc>
          <w:tcPr>
            <w:tcW w:w="1134"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Rúbrica del titular del área</w:t>
            </w:r>
          </w:p>
        </w:tc>
        <w:tc>
          <w:tcPr>
            <w:tcW w:w="3119"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Rúbrica autógrafa de quien clasifica.</w:t>
            </w: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Fundamento legal</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011EE" w:rsidRPr="003011EE">
        <w:tc>
          <w:tcPr>
            <w:tcW w:w="1134"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Fecha de desclasificación</w:t>
            </w:r>
          </w:p>
        </w:tc>
        <w:tc>
          <w:tcPr>
            <w:tcW w:w="3119"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anotará la fecha en que se desclasifica el documento.</w:t>
            </w: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Rúbrica del titular del área</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Rúbrica autógrafa de quien clasifica.</w:t>
            </w:r>
          </w:p>
        </w:tc>
      </w:tr>
      <w:tr w:rsidR="003011EE" w:rsidRPr="003011EE">
        <w:tc>
          <w:tcPr>
            <w:tcW w:w="1134"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Rúbrica y cargo del servidor público</w:t>
            </w:r>
          </w:p>
        </w:tc>
        <w:tc>
          <w:tcPr>
            <w:tcW w:w="3119"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Rúbrica autógrafa de quien desclasifica.</w:t>
            </w: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Fecha de desclasificación</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Se anotará la fecha en que se desclasifica.</w:t>
            </w:r>
          </w:p>
        </w:tc>
      </w:tr>
      <w:tr w:rsidR="003011EE" w:rsidRPr="003011EE">
        <w:tc>
          <w:tcPr>
            <w:tcW w:w="1134" w:type="dxa"/>
          </w:tcPr>
          <w:p w:rsidR="004928C0" w:rsidRPr="003011EE" w:rsidRDefault="004928C0">
            <w:pPr>
              <w:jc w:val="both"/>
              <w:rPr>
                <w:rFonts w:ascii="Palatino Linotype" w:eastAsia="Palatino Linotype" w:hAnsi="Palatino Linotype" w:cs="Palatino Linotype"/>
                <w:b/>
                <w:sz w:val="12"/>
                <w:szCs w:val="12"/>
              </w:rPr>
            </w:pPr>
          </w:p>
        </w:tc>
        <w:tc>
          <w:tcPr>
            <w:tcW w:w="3119" w:type="dxa"/>
          </w:tcPr>
          <w:p w:rsidR="004928C0" w:rsidRPr="003011EE" w:rsidRDefault="004928C0">
            <w:pPr>
              <w:jc w:val="both"/>
              <w:rPr>
                <w:rFonts w:ascii="Palatino Linotype" w:eastAsia="Palatino Linotype" w:hAnsi="Palatino Linotype" w:cs="Palatino Linotype"/>
                <w:sz w:val="12"/>
                <w:szCs w:val="12"/>
              </w:rPr>
            </w:pP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Partes o secciones reservadas o confidenciales</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 xml:space="preserve">En caso que una vez desclasificado el expediente, </w:t>
            </w:r>
            <w:proofErr w:type="spellStart"/>
            <w:r w:rsidRPr="003011EE">
              <w:rPr>
                <w:rFonts w:ascii="Palatino Linotype" w:eastAsia="Palatino Linotype" w:hAnsi="Palatino Linotype" w:cs="Palatino Linotype"/>
                <w:sz w:val="12"/>
                <w:szCs w:val="12"/>
              </w:rPr>
              <w:t>subsistanpartes</w:t>
            </w:r>
            <w:proofErr w:type="spellEnd"/>
            <w:r w:rsidRPr="003011EE">
              <w:rPr>
                <w:rFonts w:ascii="Palatino Linotype" w:eastAsia="Palatino Linotype" w:hAnsi="Palatino Linotype" w:cs="Palatino Linotype"/>
                <w:sz w:val="12"/>
                <w:szCs w:val="12"/>
              </w:rPr>
              <w:t xml:space="preserve"> o secciones del mismo reservadas o confidenciales, se señalará este hecho.</w:t>
            </w:r>
          </w:p>
        </w:tc>
      </w:tr>
      <w:tr w:rsidR="003011EE" w:rsidRPr="003011EE">
        <w:tc>
          <w:tcPr>
            <w:tcW w:w="1134" w:type="dxa"/>
          </w:tcPr>
          <w:p w:rsidR="004928C0" w:rsidRPr="003011EE" w:rsidRDefault="004928C0">
            <w:pPr>
              <w:jc w:val="both"/>
              <w:rPr>
                <w:rFonts w:ascii="Palatino Linotype" w:eastAsia="Palatino Linotype" w:hAnsi="Palatino Linotype" w:cs="Palatino Linotype"/>
                <w:b/>
                <w:sz w:val="12"/>
                <w:szCs w:val="12"/>
              </w:rPr>
            </w:pPr>
          </w:p>
        </w:tc>
        <w:tc>
          <w:tcPr>
            <w:tcW w:w="3119" w:type="dxa"/>
          </w:tcPr>
          <w:p w:rsidR="004928C0" w:rsidRPr="003011EE" w:rsidRDefault="004928C0">
            <w:pPr>
              <w:jc w:val="both"/>
              <w:rPr>
                <w:rFonts w:ascii="Palatino Linotype" w:eastAsia="Palatino Linotype" w:hAnsi="Palatino Linotype" w:cs="Palatino Linotype"/>
                <w:sz w:val="12"/>
                <w:szCs w:val="12"/>
              </w:rPr>
            </w:pPr>
          </w:p>
        </w:tc>
        <w:tc>
          <w:tcPr>
            <w:tcW w:w="1129" w:type="dxa"/>
          </w:tcPr>
          <w:p w:rsidR="004928C0" w:rsidRPr="003011EE" w:rsidRDefault="00C1288B">
            <w:pPr>
              <w:jc w:val="both"/>
              <w:rPr>
                <w:rFonts w:ascii="Palatino Linotype" w:eastAsia="Palatino Linotype" w:hAnsi="Palatino Linotype" w:cs="Palatino Linotype"/>
                <w:b/>
                <w:sz w:val="12"/>
                <w:szCs w:val="12"/>
              </w:rPr>
            </w:pPr>
            <w:r w:rsidRPr="003011EE">
              <w:rPr>
                <w:rFonts w:ascii="Palatino Linotype" w:eastAsia="Palatino Linotype" w:hAnsi="Palatino Linotype" w:cs="Palatino Linotype"/>
                <w:b/>
                <w:sz w:val="12"/>
                <w:szCs w:val="12"/>
              </w:rPr>
              <w:t>Rúbrica y cargo del servidor público</w:t>
            </w:r>
          </w:p>
        </w:tc>
        <w:tc>
          <w:tcPr>
            <w:tcW w:w="3446" w:type="dxa"/>
          </w:tcPr>
          <w:p w:rsidR="004928C0" w:rsidRPr="003011EE" w:rsidRDefault="00C1288B">
            <w:pPr>
              <w:jc w:val="both"/>
              <w:rPr>
                <w:rFonts w:ascii="Palatino Linotype" w:eastAsia="Palatino Linotype" w:hAnsi="Palatino Linotype" w:cs="Palatino Linotype"/>
                <w:sz w:val="12"/>
                <w:szCs w:val="12"/>
              </w:rPr>
            </w:pPr>
            <w:r w:rsidRPr="003011EE">
              <w:rPr>
                <w:rFonts w:ascii="Palatino Linotype" w:eastAsia="Palatino Linotype" w:hAnsi="Palatino Linotype" w:cs="Palatino Linotype"/>
                <w:sz w:val="12"/>
                <w:szCs w:val="12"/>
              </w:rPr>
              <w:t>Rúbrica autógrafa de quien desclasifica.</w:t>
            </w:r>
          </w:p>
        </w:tc>
      </w:tr>
    </w:tbl>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pBdr>
          <w:top w:val="nil"/>
          <w:left w:val="nil"/>
          <w:bottom w:val="nil"/>
          <w:right w:val="nil"/>
          <w:between w:val="nil"/>
        </w:pBdr>
        <w:spacing w:after="0" w:line="360" w:lineRule="auto"/>
        <w:ind w:left="1080"/>
        <w:jc w:val="center"/>
        <w:rPr>
          <w:rFonts w:ascii="Palatino Linotype" w:eastAsia="Palatino Linotype" w:hAnsi="Palatino Linotype" w:cs="Palatino Linotype"/>
          <w:b/>
          <w:sz w:val="24"/>
          <w:szCs w:val="24"/>
        </w:rPr>
      </w:pPr>
      <w:bookmarkStart w:id="2" w:name="_heading=h.gjdgxs" w:colFirst="0" w:colLast="0"/>
      <w:bookmarkEnd w:id="2"/>
      <w:r w:rsidRPr="003011EE">
        <w:rPr>
          <w:rFonts w:ascii="Palatino Linotype" w:eastAsia="Palatino Linotype" w:hAnsi="Palatino Linotype" w:cs="Palatino Linotype"/>
          <w:b/>
          <w:sz w:val="24"/>
          <w:szCs w:val="24"/>
        </w:rPr>
        <w:t>R E S U E L V E</w:t>
      </w:r>
    </w:p>
    <w:p w:rsidR="004928C0" w:rsidRPr="003011EE" w:rsidRDefault="004928C0">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PRIMERO. </w:t>
      </w:r>
      <w:r w:rsidRPr="003011EE">
        <w:rPr>
          <w:rFonts w:ascii="Palatino Linotype" w:eastAsia="Palatino Linotype" w:hAnsi="Palatino Linotype" w:cs="Palatino Linotype"/>
          <w:sz w:val="24"/>
          <w:szCs w:val="24"/>
        </w:rPr>
        <w:t xml:space="preserve">Resultan fundados los motivos de inconformidad hechos valer por el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xml:space="preserve"> en el Recurso de Revisión </w:t>
      </w:r>
      <w:r w:rsidRPr="003011EE">
        <w:rPr>
          <w:rFonts w:ascii="Palatino Linotype" w:eastAsia="Palatino Linotype" w:hAnsi="Palatino Linotype" w:cs="Palatino Linotype"/>
          <w:b/>
          <w:sz w:val="24"/>
          <w:szCs w:val="24"/>
        </w:rPr>
        <w:t xml:space="preserve">11834/INFOEM/IP/RR/2022, </w:t>
      </w:r>
      <w:r w:rsidRPr="003011EE">
        <w:rPr>
          <w:rFonts w:ascii="Palatino Linotype" w:eastAsia="Palatino Linotype" w:hAnsi="Palatino Linotype" w:cs="Palatino Linotype"/>
          <w:sz w:val="24"/>
          <w:szCs w:val="24"/>
        </w:rPr>
        <w:t xml:space="preserve">por lo que, en términos del considerando </w:t>
      </w:r>
      <w:r w:rsidRPr="003011EE">
        <w:rPr>
          <w:rFonts w:ascii="Palatino Linotype" w:eastAsia="Palatino Linotype" w:hAnsi="Palatino Linotype" w:cs="Palatino Linotype"/>
          <w:b/>
          <w:sz w:val="24"/>
          <w:szCs w:val="24"/>
        </w:rPr>
        <w:t xml:space="preserve">Cuarto </w:t>
      </w:r>
      <w:r w:rsidRPr="003011EE">
        <w:rPr>
          <w:rFonts w:ascii="Palatino Linotype" w:eastAsia="Palatino Linotype" w:hAnsi="Palatino Linotype" w:cs="Palatino Linotype"/>
          <w:sz w:val="24"/>
          <w:szCs w:val="24"/>
        </w:rPr>
        <w:t xml:space="preserve">de esta resolución, se </w:t>
      </w:r>
      <w:r w:rsidRPr="003011EE">
        <w:rPr>
          <w:rFonts w:ascii="Palatino Linotype" w:eastAsia="Palatino Linotype" w:hAnsi="Palatino Linotype" w:cs="Palatino Linotype"/>
          <w:b/>
          <w:sz w:val="24"/>
          <w:szCs w:val="24"/>
        </w:rPr>
        <w:t xml:space="preserve">MODIFICA </w:t>
      </w:r>
      <w:r w:rsidRPr="003011EE">
        <w:rPr>
          <w:rFonts w:ascii="Palatino Linotype" w:eastAsia="Palatino Linotype" w:hAnsi="Palatino Linotype" w:cs="Palatino Linotype"/>
          <w:sz w:val="24"/>
          <w:szCs w:val="24"/>
        </w:rPr>
        <w:t xml:space="preserve">la respuesta emitida por 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24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SEGUNDO. </w:t>
      </w:r>
      <w:r w:rsidRPr="003011EE">
        <w:rPr>
          <w:rFonts w:ascii="Palatino Linotype" w:eastAsia="Palatino Linotype" w:hAnsi="Palatino Linotype" w:cs="Palatino Linotype"/>
          <w:sz w:val="24"/>
          <w:szCs w:val="24"/>
        </w:rPr>
        <w:t>Se</w:t>
      </w:r>
      <w:r w:rsidRPr="003011EE">
        <w:rPr>
          <w:rFonts w:ascii="Palatino Linotype" w:eastAsia="Palatino Linotype" w:hAnsi="Palatino Linotype" w:cs="Palatino Linotype"/>
          <w:b/>
          <w:sz w:val="24"/>
          <w:szCs w:val="24"/>
        </w:rPr>
        <w:t xml:space="preserve"> ORDENA </w:t>
      </w:r>
      <w:r w:rsidRPr="003011EE">
        <w:rPr>
          <w:rFonts w:ascii="Palatino Linotype" w:eastAsia="Palatino Linotype" w:hAnsi="Palatino Linotype" w:cs="Palatino Linotype"/>
          <w:sz w:val="24"/>
          <w:szCs w:val="24"/>
        </w:rPr>
        <w:t xml:space="preserve">al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a que,</w:t>
      </w:r>
      <w:r w:rsidRPr="003011EE">
        <w:rPr>
          <w:rFonts w:ascii="Palatino Linotype" w:eastAsia="Palatino Linotype" w:hAnsi="Palatino Linotype" w:cs="Palatino Linotype"/>
          <w:b/>
          <w:sz w:val="24"/>
          <w:szCs w:val="24"/>
        </w:rPr>
        <w:t xml:space="preserve"> </w:t>
      </w:r>
      <w:r w:rsidRPr="003011EE">
        <w:rPr>
          <w:rFonts w:ascii="Palatino Linotype" w:eastAsia="Palatino Linotype" w:hAnsi="Palatino Linotype" w:cs="Palatino Linotype"/>
          <w:sz w:val="24"/>
          <w:szCs w:val="24"/>
        </w:rPr>
        <w:t xml:space="preserve">en términos de los Considerandos Cuarto y Quinto de la presente resolución, previa búsqueda exhaustiva y razonable, haga entrega vía </w:t>
      </w:r>
      <w:r w:rsidRPr="003011EE">
        <w:rPr>
          <w:rFonts w:ascii="Palatino Linotype" w:eastAsia="Palatino Linotype" w:hAnsi="Palatino Linotype" w:cs="Palatino Linotype"/>
          <w:b/>
          <w:sz w:val="24"/>
          <w:szCs w:val="24"/>
        </w:rPr>
        <w:t>SAIMEX A LA RECURRENTE</w:t>
      </w:r>
      <w:r w:rsidRPr="003011EE">
        <w:rPr>
          <w:rFonts w:ascii="Palatino Linotype" w:eastAsia="Palatino Linotype" w:hAnsi="Palatino Linotype" w:cs="Palatino Linotype"/>
          <w:sz w:val="24"/>
          <w:szCs w:val="24"/>
        </w:rPr>
        <w:t>, en versión pública de ser procedente, del documento o documentos en donde conste lo siguiente:</w:t>
      </w:r>
    </w:p>
    <w:p w:rsidR="004928C0" w:rsidRPr="003011EE" w:rsidRDefault="00C1288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1. La estadística de faltas administrativas, al mayor grado de desagregación posible, del uno de enero de dos mil diez al  treinta y uno de diciembre de dos mil diecisiete.</w:t>
      </w:r>
    </w:p>
    <w:p w:rsidR="004928C0" w:rsidRPr="003011EE" w:rsidRDefault="004928C0">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rsidR="004928C0" w:rsidRPr="003011EE" w:rsidRDefault="00C1288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sz w:val="24"/>
          <w:szCs w:val="24"/>
        </w:rPr>
        <w:t>2. La estadística de incidencia delictiva al mayor grado de desagregación posible, del periodo comprendido del uno de enero de dos mil diez al treinta y uno de diciembre de dos mil diecisiete.</w:t>
      </w:r>
    </w:p>
    <w:p w:rsidR="004928C0" w:rsidRPr="003011EE" w:rsidRDefault="004928C0">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rsidR="004928C0" w:rsidRPr="003011EE" w:rsidRDefault="00C1288B">
      <w:pPr>
        <w:spacing w:before="240" w:after="240"/>
        <w:ind w:left="284"/>
        <w:jc w:val="both"/>
        <w:rPr>
          <w:rFonts w:ascii="Palatino Linotype" w:eastAsia="Palatino Linotype" w:hAnsi="Palatino Linotype" w:cs="Palatino Linotype"/>
          <w:b/>
          <w:i/>
          <w:sz w:val="20"/>
          <w:szCs w:val="20"/>
        </w:rPr>
      </w:pPr>
      <w:r w:rsidRPr="003011EE">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3011EE">
        <w:rPr>
          <w:rFonts w:ascii="Palatino Linotype" w:eastAsia="Palatino Linotype" w:hAnsi="Palatino Linotype" w:cs="Palatino Linotype"/>
          <w:b/>
          <w:i/>
          <w:sz w:val="20"/>
          <w:szCs w:val="20"/>
        </w:rPr>
        <w:t>Recurrente.</w:t>
      </w:r>
    </w:p>
    <w:p w:rsidR="004928C0" w:rsidRPr="003011EE" w:rsidRDefault="00C1288B">
      <w:pPr>
        <w:ind w:left="284"/>
        <w:jc w:val="both"/>
        <w:rPr>
          <w:rFonts w:ascii="Palatino Linotype" w:eastAsia="Palatino Linotype" w:hAnsi="Palatino Linotype" w:cs="Palatino Linotype"/>
          <w:i/>
          <w:sz w:val="20"/>
          <w:szCs w:val="20"/>
        </w:rPr>
      </w:pPr>
      <w:r w:rsidRPr="003011EE">
        <w:rPr>
          <w:rFonts w:ascii="Palatino Linotype" w:eastAsia="Palatino Linotype" w:hAnsi="Palatino Linotype" w:cs="Palatino Linotype"/>
          <w:i/>
          <w:sz w:val="20"/>
          <w:szCs w:val="20"/>
        </w:rPr>
        <w:t xml:space="preserve">En el supuesto que la información ordenada relativa a en el punto 1 no obre en los archivos del </w:t>
      </w:r>
      <w:r w:rsidRPr="003011EE">
        <w:rPr>
          <w:rFonts w:ascii="Palatino Linotype" w:eastAsia="Palatino Linotype" w:hAnsi="Palatino Linotype" w:cs="Palatino Linotype"/>
          <w:b/>
          <w:i/>
          <w:sz w:val="20"/>
          <w:szCs w:val="20"/>
        </w:rPr>
        <w:t xml:space="preserve">Sujeto Obligado </w:t>
      </w:r>
      <w:r w:rsidRPr="003011EE">
        <w:rPr>
          <w:rFonts w:ascii="Palatino Linotype" w:eastAsia="Palatino Linotype" w:hAnsi="Palatino Linotype" w:cs="Palatino Linotype"/>
          <w:i/>
          <w:sz w:val="20"/>
          <w:szCs w:val="20"/>
        </w:rPr>
        <w:t xml:space="preserve">por no haberse generado, bastará con que así lo haga del conocimiento de la parte </w:t>
      </w:r>
      <w:r w:rsidRPr="003011EE">
        <w:rPr>
          <w:rFonts w:ascii="Palatino Linotype" w:eastAsia="Palatino Linotype" w:hAnsi="Palatino Linotype" w:cs="Palatino Linotype"/>
          <w:b/>
          <w:i/>
          <w:sz w:val="20"/>
          <w:szCs w:val="20"/>
        </w:rPr>
        <w:t>Recurrente</w:t>
      </w:r>
      <w:r w:rsidRPr="003011EE">
        <w:rPr>
          <w:rFonts w:ascii="Palatino Linotype" w:eastAsia="Palatino Linotype" w:hAnsi="Palatino Linotype" w:cs="Palatino Linotype"/>
          <w:i/>
          <w:sz w:val="20"/>
          <w:szCs w:val="20"/>
        </w:rPr>
        <w:t>, de manera fundada y motivada, para tener por colmado el requerimiento de información.</w:t>
      </w:r>
    </w:p>
    <w:p w:rsidR="004928C0" w:rsidRPr="003011EE" w:rsidRDefault="00C1288B">
      <w:pPr>
        <w:spacing w:before="240" w:after="240"/>
        <w:ind w:left="284" w:right="49"/>
        <w:jc w:val="both"/>
        <w:rPr>
          <w:rFonts w:ascii="Palatino Linotype" w:eastAsia="Palatino Linotype" w:hAnsi="Palatino Linotype" w:cs="Palatino Linotype"/>
          <w:i/>
          <w:sz w:val="20"/>
          <w:szCs w:val="20"/>
        </w:rPr>
      </w:pPr>
      <w:r w:rsidRPr="003011EE">
        <w:rPr>
          <w:rFonts w:ascii="Palatino Linotype" w:eastAsia="Palatino Linotype" w:hAnsi="Palatino Linotype" w:cs="Palatino Linotype"/>
          <w:i/>
          <w:sz w:val="20"/>
          <w:szCs w:val="20"/>
        </w:rPr>
        <w:t xml:space="preserve">En el caso que derivado de la búsqueda exhaustiva y razonable, no se localice la información que se ordena  en el punto 2, el </w:t>
      </w:r>
      <w:r w:rsidRPr="003011EE">
        <w:rPr>
          <w:rFonts w:ascii="Palatino Linotype" w:eastAsia="Palatino Linotype" w:hAnsi="Palatino Linotype" w:cs="Palatino Linotype"/>
          <w:b/>
          <w:i/>
          <w:sz w:val="20"/>
          <w:szCs w:val="20"/>
        </w:rPr>
        <w:t>Sujeto Obligado</w:t>
      </w:r>
      <w:r w:rsidRPr="003011EE">
        <w:rPr>
          <w:rFonts w:ascii="Palatino Linotype" w:eastAsia="Palatino Linotype" w:hAnsi="Palatino Linotype" w:cs="Palatino Linotype"/>
          <w:i/>
          <w:sz w:val="20"/>
          <w:szCs w:val="20"/>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4928C0" w:rsidRPr="003011EE" w:rsidRDefault="004928C0">
      <w:pPr>
        <w:spacing w:before="240" w:after="0" w:line="360" w:lineRule="auto"/>
        <w:ind w:left="567" w:right="49"/>
        <w:jc w:val="both"/>
        <w:rPr>
          <w:rFonts w:ascii="Palatino Linotype" w:eastAsia="Palatino Linotype" w:hAnsi="Palatino Linotype" w:cs="Palatino Linotype"/>
          <w:i/>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TERCERO. Notifíquese vía SAIMEX,</w:t>
      </w:r>
      <w:r w:rsidRPr="003011EE">
        <w:rPr>
          <w:rFonts w:ascii="Palatino Linotype" w:eastAsia="Palatino Linotype" w:hAnsi="Palatino Linotype" w:cs="Palatino Linotype"/>
          <w:b/>
          <w:i/>
          <w:sz w:val="24"/>
          <w:szCs w:val="24"/>
        </w:rPr>
        <w:t xml:space="preserve"> </w:t>
      </w:r>
      <w:r w:rsidRPr="003011EE">
        <w:rPr>
          <w:rFonts w:ascii="Palatino Linotype" w:eastAsia="Palatino Linotype" w:hAnsi="Palatino Linotype" w:cs="Palatino Linotype"/>
          <w:sz w:val="24"/>
          <w:szCs w:val="24"/>
        </w:rPr>
        <w:t xml:space="preserve">al Responsable de la Unidad de Transparencia del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 xml:space="preserve">CUARTO. </w:t>
      </w:r>
      <w:r w:rsidRPr="003011EE">
        <w:rPr>
          <w:rFonts w:ascii="Palatino Linotype" w:eastAsia="Palatino Linotype" w:hAnsi="Palatino Linotype" w:cs="Palatino Linotype"/>
          <w:sz w:val="24"/>
          <w:szCs w:val="24"/>
        </w:rPr>
        <w:t xml:space="preserve">Notifíquese, vía </w:t>
      </w:r>
      <w:r w:rsidRPr="003011EE">
        <w:rPr>
          <w:rFonts w:ascii="Palatino Linotype" w:eastAsia="Palatino Linotype" w:hAnsi="Palatino Linotype" w:cs="Palatino Linotype"/>
          <w:b/>
          <w:sz w:val="24"/>
          <w:szCs w:val="24"/>
        </w:rPr>
        <w:t>SAIMEX</w:t>
      </w:r>
      <w:r w:rsidRPr="003011EE">
        <w:rPr>
          <w:rFonts w:ascii="Palatino Linotype" w:eastAsia="Palatino Linotype" w:hAnsi="Palatino Linotype" w:cs="Palatino Linotype"/>
          <w:sz w:val="24"/>
          <w:szCs w:val="24"/>
        </w:rPr>
        <w:t xml:space="preserve">, al </w:t>
      </w:r>
      <w:r w:rsidRPr="003011EE">
        <w:rPr>
          <w:rFonts w:ascii="Palatino Linotype" w:eastAsia="Palatino Linotype" w:hAnsi="Palatino Linotype" w:cs="Palatino Linotype"/>
          <w:b/>
          <w:sz w:val="24"/>
          <w:szCs w:val="24"/>
        </w:rPr>
        <w:t>RECURRENTE</w:t>
      </w:r>
      <w:r w:rsidRPr="003011EE">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4928C0" w:rsidRPr="003011EE" w:rsidRDefault="004928C0">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pPr>
      <w:r w:rsidRPr="003011EE">
        <w:rPr>
          <w:rFonts w:ascii="Palatino Linotype" w:eastAsia="Palatino Linotype" w:hAnsi="Palatino Linotype" w:cs="Palatino Linotype"/>
          <w:b/>
          <w:sz w:val="24"/>
          <w:szCs w:val="24"/>
        </w:rPr>
        <w:t>QUINTO.</w:t>
      </w:r>
      <w:r w:rsidRPr="003011EE">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3011EE">
        <w:rPr>
          <w:rFonts w:ascii="Palatino Linotype" w:eastAsia="Palatino Linotype" w:hAnsi="Palatino Linotype" w:cs="Palatino Linotype"/>
          <w:b/>
          <w:sz w:val="24"/>
          <w:szCs w:val="24"/>
        </w:rPr>
        <w:t>SUJETO OBLIGADO</w:t>
      </w:r>
      <w:r w:rsidRPr="003011EE">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7E5F2F" w:rsidRPr="003011EE" w:rsidRDefault="007E5F2F">
      <w:pPr>
        <w:spacing w:after="0" w:line="360" w:lineRule="auto"/>
        <w:jc w:val="both"/>
        <w:rPr>
          <w:rFonts w:ascii="Palatino Linotype" w:eastAsia="Palatino Linotype" w:hAnsi="Palatino Linotype" w:cs="Palatino Linotype"/>
          <w:sz w:val="24"/>
          <w:szCs w:val="24"/>
        </w:rPr>
      </w:pPr>
    </w:p>
    <w:p w:rsidR="004928C0" w:rsidRPr="003011EE" w:rsidRDefault="00C1288B">
      <w:pPr>
        <w:spacing w:after="0" w:line="360" w:lineRule="auto"/>
        <w:jc w:val="both"/>
        <w:rPr>
          <w:rFonts w:ascii="Palatino Linotype" w:eastAsia="Palatino Linotype" w:hAnsi="Palatino Linotype" w:cs="Palatino Linotype"/>
          <w:sz w:val="24"/>
          <w:szCs w:val="24"/>
        </w:rPr>
        <w:sectPr w:rsidR="004928C0" w:rsidRPr="003011EE">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r w:rsidRPr="003011EE">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D64824" w:rsidRPr="003011EE">
        <w:rPr>
          <w:rFonts w:ascii="Palatino Linotype" w:eastAsia="Palatino Linotype" w:hAnsi="Palatino Linotype" w:cs="Palatino Linotype"/>
          <w:sz w:val="24"/>
          <w:szCs w:val="24"/>
        </w:rPr>
        <w:t xml:space="preserve"> EMITIENDO VOTO PARTICULAR</w:t>
      </w:r>
      <w:r w:rsidRPr="003011EE">
        <w:rPr>
          <w:rFonts w:ascii="Palatino Linotype" w:eastAsia="Palatino Linotype" w:hAnsi="Palatino Linotype" w:cs="Palatino Linotype"/>
          <w:sz w:val="24"/>
          <w:szCs w:val="24"/>
        </w:rPr>
        <w:t xml:space="preserve">, SHARON CRISTINA MORALES MARTÍNEZ, LUIS GUSTAVO PARRA NORIEGA Y GUADALUPE RAMÍREZ PEÑA; EN LA CUADRAGÉSIMA TERCERA SESIÓN ORDINARIA CELEBRADA EL TREINTA DE NOVIEMBRE DEL DOS MIL VEINTIDÓS, ANTE EL SECRETARIO TÉCNICO DEL PLENO ALEXIS TAPIA RAMÍREZ.  </w:t>
      </w:r>
    </w:p>
    <w:p w:rsidR="004928C0" w:rsidRPr="003011EE" w:rsidRDefault="004928C0">
      <w:pPr>
        <w:spacing w:line="360" w:lineRule="auto"/>
        <w:jc w:val="both"/>
        <w:rPr>
          <w:rFonts w:ascii="Palatino Linotype" w:eastAsia="Palatino Linotype" w:hAnsi="Palatino Linotype" w:cs="Palatino Linotype"/>
          <w:sz w:val="24"/>
          <w:szCs w:val="24"/>
        </w:rPr>
      </w:pPr>
    </w:p>
    <w:sectPr w:rsidR="004928C0" w:rsidRPr="003011EE">
      <w:headerReference w:type="default" r:id="rId16"/>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D9B" w:rsidRDefault="006E1D9B">
      <w:pPr>
        <w:spacing w:after="0" w:line="240" w:lineRule="auto"/>
      </w:pPr>
      <w:r>
        <w:separator/>
      </w:r>
    </w:p>
  </w:endnote>
  <w:endnote w:type="continuationSeparator" w:id="0">
    <w:p w:rsidR="006E1D9B" w:rsidRDefault="006E1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Noto Sans">
    <w:altName w:val="Arial"/>
    <w:charset w:val="00"/>
    <w:family w:val="swiss"/>
    <w:pitch w:val="variable"/>
    <w:sig w:usb0="00000001"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D9B" w:rsidRDefault="006E1D9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F743F">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F743F">
      <w:rPr>
        <w:rFonts w:ascii="Arial" w:eastAsia="Arial" w:hAnsi="Arial" w:cs="Arial"/>
        <w:b/>
        <w:noProof/>
        <w:color w:val="000000"/>
        <w:sz w:val="20"/>
        <w:szCs w:val="20"/>
      </w:rPr>
      <w:t>73</w:t>
    </w:r>
    <w:r>
      <w:rPr>
        <w:rFonts w:ascii="Arial" w:eastAsia="Arial" w:hAnsi="Arial" w:cs="Arial"/>
        <w:b/>
        <w:color w:val="000000"/>
        <w:sz w:val="20"/>
        <w:szCs w:val="20"/>
      </w:rPr>
      <w:fldChar w:fldCharType="end"/>
    </w:r>
  </w:p>
  <w:p w:rsidR="006E1D9B" w:rsidRDefault="006E1D9B">
    <w:pPr>
      <w:pBdr>
        <w:top w:val="nil"/>
        <w:left w:val="nil"/>
        <w:bottom w:val="nil"/>
        <w:right w:val="nil"/>
        <w:between w:val="nil"/>
      </w:pBdr>
      <w:tabs>
        <w:tab w:val="center" w:pos="4252"/>
        <w:tab w:val="right" w:pos="8504"/>
      </w:tabs>
      <w:rPr>
        <w:color w:val="000000"/>
      </w:rPr>
    </w:pPr>
  </w:p>
  <w:p w:rsidR="006E1D9B" w:rsidRDefault="006E1D9B">
    <w:pPr>
      <w:pBdr>
        <w:top w:val="nil"/>
        <w:left w:val="nil"/>
        <w:bottom w:val="nil"/>
        <w:right w:val="nil"/>
        <w:between w:val="nil"/>
      </w:pBdr>
      <w:tabs>
        <w:tab w:val="center" w:pos="4252"/>
        <w:tab w:val="right" w:pos="8504"/>
      </w:tabs>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D9B" w:rsidRDefault="006E1D9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F743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F743F">
      <w:rPr>
        <w:rFonts w:ascii="Arial" w:eastAsia="Arial" w:hAnsi="Arial" w:cs="Arial"/>
        <w:b/>
        <w:noProof/>
        <w:color w:val="000000"/>
        <w:sz w:val="20"/>
        <w:szCs w:val="20"/>
      </w:rPr>
      <w:t>73</w:t>
    </w:r>
    <w:r>
      <w:rPr>
        <w:rFonts w:ascii="Arial" w:eastAsia="Arial" w:hAnsi="Arial" w:cs="Arial"/>
        <w:b/>
        <w:color w:val="000000"/>
        <w:sz w:val="20"/>
        <w:szCs w:val="20"/>
      </w:rPr>
      <w:fldChar w:fldCharType="end"/>
    </w:r>
  </w:p>
  <w:p w:rsidR="006E1D9B" w:rsidRDefault="006E1D9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D9B" w:rsidRDefault="006E1D9B">
      <w:pPr>
        <w:spacing w:after="0" w:line="240" w:lineRule="auto"/>
      </w:pPr>
      <w:r>
        <w:separator/>
      </w:r>
    </w:p>
  </w:footnote>
  <w:footnote w:type="continuationSeparator" w:id="0">
    <w:p w:rsidR="006E1D9B" w:rsidRDefault="006E1D9B">
      <w:pPr>
        <w:spacing w:after="0" w:line="240" w:lineRule="auto"/>
      </w:pPr>
      <w:r>
        <w:continuationSeparator/>
      </w:r>
    </w:p>
  </w:footnote>
  <w:footnote w:id="1">
    <w:p w:rsidR="006E1D9B" w:rsidRDefault="006E1D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6E1D9B" w:rsidRDefault="006E1D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D9B" w:rsidRDefault="006E1D9B">
    <w:pPr>
      <w:widowControl w:val="0"/>
      <w:pBdr>
        <w:top w:val="nil"/>
        <w:left w:val="nil"/>
        <w:bottom w:val="nil"/>
        <w:right w:val="nil"/>
        <w:between w:val="nil"/>
      </w:pBdr>
      <w:spacing w:after="0" w:line="276" w:lineRule="auto"/>
      <w:rPr>
        <w:color w:val="000000"/>
      </w:rPr>
    </w:pPr>
  </w:p>
  <w:tbl>
    <w:tblPr>
      <w:tblStyle w:val="a1"/>
      <w:tblW w:w="10302" w:type="dxa"/>
      <w:tblInd w:w="-1281" w:type="dxa"/>
      <w:tblLayout w:type="fixed"/>
      <w:tblLook w:val="0400" w:firstRow="0" w:lastRow="0" w:firstColumn="0" w:lastColumn="0" w:noHBand="0" w:noVBand="1"/>
    </w:tblPr>
    <w:tblGrid>
      <w:gridCol w:w="5660"/>
      <w:gridCol w:w="4642"/>
    </w:tblGrid>
    <w:tr w:rsidR="006E1D9B">
      <w:trPr>
        <w:trHeight w:val="260"/>
      </w:trPr>
      <w:tc>
        <w:tcPr>
          <w:tcW w:w="5660" w:type="dxa"/>
        </w:tcPr>
        <w:p w:rsidR="006E1D9B" w:rsidRDefault="006E1D9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6E1D9B" w:rsidRDefault="006E1D9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11834/INFOEM/IP/RR/2022.</w:t>
          </w:r>
        </w:p>
      </w:tc>
    </w:tr>
    <w:tr w:rsidR="006E1D9B">
      <w:trPr>
        <w:trHeight w:val="224"/>
      </w:trPr>
      <w:tc>
        <w:tcPr>
          <w:tcW w:w="5660" w:type="dxa"/>
        </w:tcPr>
        <w:p w:rsidR="006E1D9B" w:rsidRDefault="006E1D9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6E1D9B" w:rsidRDefault="006E1D9B">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6E1D9B">
      <w:trPr>
        <w:trHeight w:val="278"/>
      </w:trPr>
      <w:tc>
        <w:tcPr>
          <w:tcW w:w="5660" w:type="dxa"/>
        </w:tcPr>
        <w:p w:rsidR="006E1D9B" w:rsidRDefault="006E1D9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6E1D9B" w:rsidRDefault="006E1D9B">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proofErr w:type="spellStart"/>
          <w:r>
            <w:rPr>
              <w:rFonts w:ascii="Palatino Linotype" w:eastAsia="Palatino Linotype" w:hAnsi="Palatino Linotype" w:cs="Palatino Linotype"/>
              <w:sz w:val="24"/>
              <w:szCs w:val="24"/>
            </w:rPr>
            <w:t>Tlalmanalco</w:t>
          </w:r>
          <w:proofErr w:type="spellEnd"/>
          <w:r>
            <w:rPr>
              <w:rFonts w:ascii="Palatino Linotype" w:eastAsia="Palatino Linotype" w:hAnsi="Palatino Linotype" w:cs="Palatino Linotype"/>
              <w:sz w:val="24"/>
              <w:szCs w:val="24"/>
            </w:rPr>
            <w:t>.</w:t>
          </w:r>
        </w:p>
      </w:tc>
    </w:tr>
    <w:tr w:rsidR="006E1D9B">
      <w:trPr>
        <w:trHeight w:val="393"/>
      </w:trPr>
      <w:tc>
        <w:tcPr>
          <w:tcW w:w="5660" w:type="dxa"/>
        </w:tcPr>
        <w:p w:rsidR="006E1D9B" w:rsidRDefault="006E1D9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6E1D9B" w:rsidRDefault="006E1D9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E1D9B" w:rsidRDefault="006E1D9B">
    <w:pPr>
      <w:pBdr>
        <w:top w:val="nil"/>
        <w:left w:val="nil"/>
        <w:bottom w:val="nil"/>
        <w:right w:val="nil"/>
        <w:between w:val="nil"/>
      </w:pBdr>
      <w:tabs>
        <w:tab w:val="center" w:pos="4252"/>
        <w:tab w:val="right" w:pos="8504"/>
        <w:tab w:val="left" w:pos="2326"/>
      </w:tabs>
      <w:rPr>
        <w:color w:val="000000"/>
      </w:rPr>
    </w:pPr>
    <w:r>
      <w:rPr>
        <w:noProof/>
      </w:rPr>
      <w:drawing>
        <wp:anchor distT="0" distB="0" distL="0" distR="0" simplePos="0" relativeHeight="251658240" behindDoc="1" locked="0" layoutInCell="1" hidden="0" allowOverlap="1">
          <wp:simplePos x="0" y="0"/>
          <wp:positionH relativeFrom="column">
            <wp:posOffset>-817244</wp:posOffset>
          </wp:positionH>
          <wp:positionV relativeFrom="paragraph">
            <wp:posOffset>-1511934</wp:posOffset>
          </wp:positionV>
          <wp:extent cx="7867650" cy="10133330"/>
          <wp:effectExtent l="0" t="0" r="0" b="0"/>
          <wp:wrapNone/>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D9B" w:rsidRDefault="006E1D9B">
    <w:pPr>
      <w:pBdr>
        <w:top w:val="nil"/>
        <w:left w:val="nil"/>
        <w:bottom w:val="nil"/>
        <w:right w:val="nil"/>
        <w:between w:val="nil"/>
      </w:pBdr>
      <w:tabs>
        <w:tab w:val="center" w:pos="4252"/>
        <w:tab w:val="right" w:pos="8504"/>
      </w:tabs>
      <w:jc w:val="both"/>
      <w:rPr>
        <w:color w:val="000000"/>
      </w:rPr>
    </w:pPr>
    <w:r>
      <w:rPr>
        <w:noProof/>
      </w:rPr>
      <w:drawing>
        <wp:anchor distT="0" distB="0" distL="0" distR="0" simplePos="0" relativeHeight="251659264" behindDoc="1" locked="0" layoutInCell="1" hidden="0" allowOverlap="1">
          <wp:simplePos x="0" y="0"/>
          <wp:positionH relativeFrom="column">
            <wp:posOffset>-874394</wp:posOffset>
          </wp:positionH>
          <wp:positionV relativeFrom="paragraph">
            <wp:posOffset>-138429</wp:posOffset>
          </wp:positionV>
          <wp:extent cx="7867650" cy="10133330"/>
          <wp:effectExtent l="0" t="0" r="0" b="0"/>
          <wp:wrapNone/>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tbl>
    <w:tblPr>
      <w:tblStyle w:val="a0"/>
      <w:tblW w:w="10302" w:type="dxa"/>
      <w:tblInd w:w="-1281" w:type="dxa"/>
      <w:tblLayout w:type="fixed"/>
      <w:tblLook w:val="0400" w:firstRow="0" w:lastRow="0" w:firstColumn="0" w:lastColumn="0" w:noHBand="0" w:noVBand="1"/>
    </w:tblPr>
    <w:tblGrid>
      <w:gridCol w:w="5660"/>
      <w:gridCol w:w="4642"/>
    </w:tblGrid>
    <w:tr w:rsidR="006E1D9B">
      <w:trPr>
        <w:trHeight w:val="260"/>
      </w:trPr>
      <w:tc>
        <w:tcPr>
          <w:tcW w:w="5660" w:type="dxa"/>
        </w:tcPr>
        <w:p w:rsidR="006E1D9B" w:rsidRDefault="006E1D9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6E1D9B" w:rsidRDefault="006E1D9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11834/INFOEM/IP/RR/2022.</w:t>
          </w:r>
        </w:p>
      </w:tc>
    </w:tr>
    <w:tr w:rsidR="006E1D9B">
      <w:trPr>
        <w:trHeight w:val="224"/>
      </w:trPr>
      <w:tc>
        <w:tcPr>
          <w:tcW w:w="5660" w:type="dxa"/>
        </w:tcPr>
        <w:p w:rsidR="006E1D9B" w:rsidRDefault="006E1D9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6E1D9B" w:rsidRDefault="006E1D9B" w:rsidP="006E1D9B">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XXXXXX </w:t>
          </w:r>
          <w:proofErr w:type="spellStart"/>
          <w:r>
            <w:rPr>
              <w:rFonts w:ascii="Palatino Linotype" w:eastAsia="Palatino Linotype" w:hAnsi="Palatino Linotype" w:cs="Palatino Linotype"/>
              <w:color w:val="000000"/>
              <w:sz w:val="24"/>
              <w:szCs w:val="24"/>
            </w:rPr>
            <w:t>XXXXXX</w:t>
          </w:r>
          <w:proofErr w:type="spellEnd"/>
        </w:p>
      </w:tc>
    </w:tr>
    <w:tr w:rsidR="006E1D9B">
      <w:trPr>
        <w:trHeight w:val="278"/>
      </w:trPr>
      <w:tc>
        <w:tcPr>
          <w:tcW w:w="5660" w:type="dxa"/>
        </w:tcPr>
        <w:p w:rsidR="006E1D9B" w:rsidRDefault="006E1D9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6E1D9B" w:rsidRDefault="006E1D9B">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proofErr w:type="spellStart"/>
          <w:r>
            <w:rPr>
              <w:rFonts w:ascii="Palatino Linotype" w:eastAsia="Palatino Linotype" w:hAnsi="Palatino Linotype" w:cs="Palatino Linotype"/>
              <w:sz w:val="24"/>
              <w:szCs w:val="24"/>
            </w:rPr>
            <w:t>Tlalmanalco</w:t>
          </w:r>
          <w:proofErr w:type="spellEnd"/>
          <w:r>
            <w:rPr>
              <w:rFonts w:ascii="Palatino Linotype" w:eastAsia="Palatino Linotype" w:hAnsi="Palatino Linotype" w:cs="Palatino Linotype"/>
              <w:sz w:val="24"/>
              <w:szCs w:val="24"/>
            </w:rPr>
            <w:t>.</w:t>
          </w:r>
        </w:p>
      </w:tc>
    </w:tr>
    <w:tr w:rsidR="006E1D9B">
      <w:trPr>
        <w:trHeight w:val="393"/>
      </w:trPr>
      <w:tc>
        <w:tcPr>
          <w:tcW w:w="5660" w:type="dxa"/>
        </w:tcPr>
        <w:p w:rsidR="006E1D9B" w:rsidRDefault="006E1D9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6E1D9B" w:rsidRDefault="006E1D9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E1D9B" w:rsidRDefault="006E1D9B">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D9B" w:rsidRDefault="006E1D9B">
    <w:pPr>
      <w:widowControl w:val="0"/>
      <w:pBdr>
        <w:top w:val="nil"/>
        <w:left w:val="nil"/>
        <w:bottom w:val="nil"/>
        <w:right w:val="nil"/>
        <w:between w:val="nil"/>
      </w:pBdr>
      <w:spacing w:after="0" w:line="276" w:lineRule="auto"/>
      <w:rPr>
        <w:color w:val="000000"/>
      </w:rPr>
    </w:pPr>
  </w:p>
  <w:tbl>
    <w:tblPr>
      <w:tblStyle w:val="a2"/>
      <w:tblW w:w="10302" w:type="dxa"/>
      <w:tblInd w:w="-1281" w:type="dxa"/>
      <w:tblLayout w:type="fixed"/>
      <w:tblLook w:val="0400" w:firstRow="0" w:lastRow="0" w:firstColumn="0" w:lastColumn="0" w:noHBand="0" w:noVBand="1"/>
    </w:tblPr>
    <w:tblGrid>
      <w:gridCol w:w="5660"/>
      <w:gridCol w:w="4642"/>
    </w:tblGrid>
    <w:tr w:rsidR="006E1D9B">
      <w:trPr>
        <w:trHeight w:val="260"/>
      </w:trPr>
      <w:tc>
        <w:tcPr>
          <w:tcW w:w="5660" w:type="dxa"/>
        </w:tcPr>
        <w:p w:rsidR="006E1D9B" w:rsidRDefault="006E1D9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6E1D9B" w:rsidRDefault="006E1D9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11834/INFOEM/IP/RR/2022.</w:t>
          </w:r>
        </w:p>
      </w:tc>
    </w:tr>
    <w:tr w:rsidR="006E1D9B">
      <w:trPr>
        <w:trHeight w:val="224"/>
      </w:trPr>
      <w:tc>
        <w:tcPr>
          <w:tcW w:w="5660" w:type="dxa"/>
        </w:tcPr>
        <w:p w:rsidR="006E1D9B" w:rsidRDefault="006E1D9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6E1D9B" w:rsidRDefault="006E1D9B">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MONICA ROBLES. </w:t>
          </w:r>
        </w:p>
      </w:tc>
    </w:tr>
    <w:tr w:rsidR="006E1D9B">
      <w:trPr>
        <w:trHeight w:val="278"/>
      </w:trPr>
      <w:tc>
        <w:tcPr>
          <w:tcW w:w="5660" w:type="dxa"/>
        </w:tcPr>
        <w:p w:rsidR="006E1D9B" w:rsidRDefault="006E1D9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6E1D9B" w:rsidRDefault="006E1D9B">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proofErr w:type="spellStart"/>
          <w:r>
            <w:rPr>
              <w:rFonts w:ascii="Palatino Linotype" w:eastAsia="Palatino Linotype" w:hAnsi="Palatino Linotype" w:cs="Palatino Linotype"/>
              <w:sz w:val="24"/>
              <w:szCs w:val="24"/>
            </w:rPr>
            <w:t>Tlalmanalco</w:t>
          </w:r>
          <w:proofErr w:type="spellEnd"/>
          <w:r>
            <w:rPr>
              <w:rFonts w:ascii="Palatino Linotype" w:eastAsia="Palatino Linotype" w:hAnsi="Palatino Linotype" w:cs="Palatino Linotype"/>
              <w:sz w:val="24"/>
              <w:szCs w:val="24"/>
            </w:rPr>
            <w:t>.</w:t>
          </w:r>
        </w:p>
      </w:tc>
    </w:tr>
    <w:tr w:rsidR="006E1D9B">
      <w:trPr>
        <w:trHeight w:val="393"/>
      </w:trPr>
      <w:tc>
        <w:tcPr>
          <w:tcW w:w="5660" w:type="dxa"/>
        </w:tcPr>
        <w:p w:rsidR="006E1D9B" w:rsidRDefault="006E1D9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6E1D9B" w:rsidRDefault="006E1D9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E1D9B" w:rsidRDefault="006E1D9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05681"/>
    <w:multiLevelType w:val="multilevel"/>
    <w:tmpl w:val="A89AC588"/>
    <w:lvl w:ilvl="0">
      <w:start w:val="4"/>
      <w:numFmt w:val="bullet"/>
      <w:lvlText w:val="-"/>
      <w:lvlJc w:val="left"/>
      <w:pPr>
        <w:ind w:left="720" w:hanging="360"/>
      </w:pPr>
      <w:rPr>
        <w:rFonts w:ascii="Palatino Linotype" w:eastAsia="Palatino Linotype" w:hAnsi="Palatino Linotype" w:cs="Palatino Linotype"/>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CF75C9D"/>
    <w:multiLevelType w:val="multilevel"/>
    <w:tmpl w:val="95FECD4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7775881"/>
    <w:multiLevelType w:val="multilevel"/>
    <w:tmpl w:val="242E7556"/>
    <w:lvl w:ilvl="0">
      <w:start w:val="1"/>
      <w:numFmt w:val="bullet"/>
      <w:pStyle w:val="Listaconvietas2"/>
      <w:lvlText w:val="●"/>
      <w:lvlJc w:val="left"/>
      <w:pPr>
        <w:ind w:left="786"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nsid w:val="4CA05C8E"/>
    <w:multiLevelType w:val="multilevel"/>
    <w:tmpl w:val="01D47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17C4559"/>
    <w:multiLevelType w:val="multilevel"/>
    <w:tmpl w:val="72A80F1C"/>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53E361D4"/>
    <w:multiLevelType w:val="multilevel"/>
    <w:tmpl w:val="BA444164"/>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nsid w:val="6E0B621E"/>
    <w:multiLevelType w:val="multilevel"/>
    <w:tmpl w:val="AE74340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71CC74DB"/>
    <w:multiLevelType w:val="multilevel"/>
    <w:tmpl w:val="842C31C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783C74D1"/>
    <w:multiLevelType w:val="multilevel"/>
    <w:tmpl w:val="9A7060B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4"/>
  </w:num>
  <w:num w:numId="2">
    <w:abstractNumId w:val="0"/>
  </w:num>
  <w:num w:numId="3">
    <w:abstractNumId w:val="5"/>
  </w:num>
  <w:num w:numId="4">
    <w:abstractNumId w:val="8"/>
  </w:num>
  <w:num w:numId="5">
    <w:abstractNumId w:val="3"/>
  </w:num>
  <w:num w:numId="6">
    <w:abstractNumId w:val="1"/>
  </w:num>
  <w:num w:numId="7">
    <w:abstractNumId w:val="6"/>
  </w:num>
  <w:num w:numId="8">
    <w:abstractNumId w:val="2"/>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8C0"/>
    <w:rsid w:val="00194892"/>
    <w:rsid w:val="00270A15"/>
    <w:rsid w:val="003011EE"/>
    <w:rsid w:val="003A6F01"/>
    <w:rsid w:val="00431BCB"/>
    <w:rsid w:val="004928C0"/>
    <w:rsid w:val="004F743F"/>
    <w:rsid w:val="005B13BB"/>
    <w:rsid w:val="006E1D9B"/>
    <w:rsid w:val="007E5F2F"/>
    <w:rsid w:val="008141E6"/>
    <w:rsid w:val="00A02AB2"/>
    <w:rsid w:val="00A5757A"/>
    <w:rsid w:val="00AE78AB"/>
    <w:rsid w:val="00BD5976"/>
    <w:rsid w:val="00C1288B"/>
    <w:rsid w:val="00D64824"/>
    <w:rsid w:val="00DD622E"/>
    <w:rsid w:val="00E25642"/>
    <w:rsid w:val="00EF79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43146-AD32-4EC9-9188-95174A6B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DB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893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3DB5"/>
  </w:style>
  <w:style w:type="paragraph" w:styleId="Piedepgina">
    <w:name w:val="footer"/>
    <w:basedOn w:val="Normal"/>
    <w:link w:val="PiedepginaCar"/>
    <w:uiPriority w:val="99"/>
    <w:unhideWhenUsed/>
    <w:rsid w:val="00893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3DB5"/>
  </w:style>
  <w:style w:type="paragraph" w:styleId="Prrafodelista">
    <w:name w:val="List Paragraph"/>
    <w:basedOn w:val="Normal"/>
    <w:uiPriority w:val="34"/>
    <w:qFormat/>
    <w:rsid w:val="00893DB5"/>
    <w:pPr>
      <w:ind w:left="720"/>
      <w:contextualSpacing/>
    </w:pPr>
  </w:style>
  <w:style w:type="character" w:styleId="Hipervnculo">
    <w:name w:val="Hyperlink"/>
    <w:basedOn w:val="Fuentedeprrafopredeter"/>
    <w:uiPriority w:val="99"/>
    <w:semiHidden/>
    <w:unhideWhenUsed/>
    <w:rsid w:val="00720B99"/>
    <w:rPr>
      <w:color w:val="0000FF"/>
      <w:u w:val="single"/>
    </w:rPr>
  </w:style>
  <w:style w:type="paragraph" w:styleId="Listaconvietas2">
    <w:name w:val="List Bullet 2"/>
    <w:basedOn w:val="Normal"/>
    <w:uiPriority w:val="99"/>
    <w:unhideWhenUsed/>
    <w:rsid w:val="00456820"/>
    <w:pPr>
      <w:numPr>
        <w:numId w:val="8"/>
      </w:numPr>
      <w:spacing w:after="0" w:line="240" w:lineRule="auto"/>
      <w:contextualSpacing/>
    </w:pPr>
    <w:rPr>
      <w:rFonts w:ascii="Times New Roman" w:eastAsia="Times New Roman" w:hAnsi="Times New Roman" w:cs="Times New Roman"/>
      <w:sz w:val="24"/>
      <w:szCs w:val="24"/>
    </w:rPr>
  </w:style>
  <w:style w:type="paragraph" w:styleId="Listaconvietas3">
    <w:name w:val="List Bullet 3"/>
    <w:basedOn w:val="Normal"/>
    <w:uiPriority w:val="99"/>
    <w:unhideWhenUsed/>
    <w:rsid w:val="00FB5EAF"/>
    <w:pPr>
      <w:numPr>
        <w:numId w:val="9"/>
      </w:numPr>
      <w:spacing w:after="0" w:line="240" w:lineRule="auto"/>
      <w:contextualSpacing/>
    </w:pPr>
    <w:rPr>
      <w:rFonts w:ascii="Times New Roman" w:eastAsia="Times New Roman" w:hAnsi="Times New Roman" w:cs="Times New Roman"/>
      <w:sz w:val="24"/>
      <w:szCs w:val="24"/>
    </w:rPr>
  </w:style>
  <w:style w:type="paragraph" w:styleId="Listaconvietas">
    <w:name w:val="List Bullet"/>
    <w:basedOn w:val="Normal"/>
    <w:uiPriority w:val="99"/>
    <w:unhideWhenUsed/>
    <w:rsid w:val="00FB5EAF"/>
    <w:pPr>
      <w:tabs>
        <w:tab w:val="num" w:pos="720"/>
      </w:tabs>
      <w:spacing w:after="0" w:line="240" w:lineRule="auto"/>
      <w:ind w:left="720" w:hanging="720"/>
      <w:contextualSpacing/>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5p3A7JP/9ZM+qu5wowRiz89MvQ==">AMUW2mUTENt5dPDVGugMxJZ/P2lUmlgr5Xzfh4y5ieaY5hQXdpF9xqHSluK/KT+KkQohQpq3+q4Z+UbOkELcrKzLkOz+/vjrRJ+5koxq0vPzc5G5b2asHEptuMK/pezYELsrrfz29vGpOwPQGzb0M+wjoBr0zbZ0Eg==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0F244C-679B-45A8-B11D-8B9E83F6E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15394</Words>
  <Characters>84671</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2022-12-02T20:23:00Z</cp:lastPrinted>
  <dcterms:created xsi:type="dcterms:W3CDTF">2022-12-07T17:15:00Z</dcterms:created>
  <dcterms:modified xsi:type="dcterms:W3CDTF">2022-12-07T17:15:00Z</dcterms:modified>
</cp:coreProperties>
</file>