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55290" w:rsidRDefault="009F09BC" w:rsidP="00855290">
      <w:pPr>
        <w:tabs>
          <w:tab w:val="left" w:pos="3465"/>
        </w:tabs>
        <w:spacing w:line="360" w:lineRule="auto"/>
        <w:jc w:val="both"/>
        <w:rPr>
          <w:rFonts w:ascii="Palatino Linotype" w:hAnsi="Palatino Linotype"/>
        </w:rPr>
      </w:pPr>
      <w:r w:rsidRPr="0085529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97AB8">
        <w:rPr>
          <w:rFonts w:ascii="Palatino Linotype" w:hAnsi="Palatino Linotype"/>
        </w:rPr>
        <w:t>treinta y uno</w:t>
      </w:r>
      <w:r w:rsidR="006A04B6" w:rsidRPr="00855290">
        <w:rPr>
          <w:rFonts w:ascii="Palatino Linotype" w:hAnsi="Palatino Linotype"/>
        </w:rPr>
        <w:t xml:space="preserve"> (</w:t>
      </w:r>
      <w:r w:rsidR="00097AB8">
        <w:rPr>
          <w:rFonts w:ascii="Palatino Linotype" w:hAnsi="Palatino Linotype"/>
        </w:rPr>
        <w:t>31</w:t>
      </w:r>
      <w:r w:rsidRPr="00855290">
        <w:rPr>
          <w:rFonts w:ascii="Palatino Linotype" w:hAnsi="Palatino Linotype"/>
        </w:rPr>
        <w:t xml:space="preserve">) de </w:t>
      </w:r>
      <w:r w:rsidR="004525CB" w:rsidRPr="00855290">
        <w:rPr>
          <w:rFonts w:ascii="Palatino Linotype" w:hAnsi="Palatino Linotype"/>
        </w:rPr>
        <w:t>a</w:t>
      </w:r>
      <w:r w:rsidR="001927C5">
        <w:rPr>
          <w:rFonts w:ascii="Palatino Linotype" w:hAnsi="Palatino Linotype"/>
        </w:rPr>
        <w:t>gosto</w:t>
      </w:r>
      <w:r w:rsidR="004525CB" w:rsidRPr="00855290">
        <w:rPr>
          <w:rFonts w:ascii="Palatino Linotype" w:hAnsi="Palatino Linotype"/>
        </w:rPr>
        <w:t xml:space="preserve"> de dos mil veintidós</w:t>
      </w:r>
      <w:r w:rsidRPr="00855290">
        <w:rPr>
          <w:rFonts w:ascii="Palatino Linotype" w:hAnsi="Palatino Linotype"/>
        </w:rPr>
        <w:t>.</w:t>
      </w:r>
    </w:p>
    <w:p w:rsidR="00A054B6" w:rsidRPr="00855290" w:rsidRDefault="00A054B6" w:rsidP="00855290">
      <w:pPr>
        <w:tabs>
          <w:tab w:val="left" w:pos="3465"/>
        </w:tabs>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r w:rsidRPr="00855290">
        <w:rPr>
          <w:rFonts w:ascii="Palatino Linotype" w:hAnsi="Palatino Linotype"/>
          <w:b/>
        </w:rPr>
        <w:t>VISTO</w:t>
      </w:r>
      <w:r w:rsidRPr="00855290">
        <w:rPr>
          <w:rFonts w:ascii="Palatino Linotype" w:hAnsi="Palatino Linotype"/>
        </w:rPr>
        <w:t xml:space="preserve"> </w:t>
      </w:r>
      <w:r w:rsidR="008A699B" w:rsidRPr="00855290">
        <w:rPr>
          <w:rFonts w:ascii="Palatino Linotype" w:hAnsi="Palatino Linotype"/>
        </w:rPr>
        <w:t>e</w:t>
      </w:r>
      <w:r w:rsidRPr="00855290">
        <w:rPr>
          <w:rFonts w:ascii="Palatino Linotype" w:hAnsi="Palatino Linotype"/>
        </w:rPr>
        <w:t xml:space="preserve">l expediente electrónico formado con motivo del recurso de revisión </w:t>
      </w:r>
      <w:r w:rsidR="00EC649B">
        <w:rPr>
          <w:rFonts w:ascii="Palatino Linotype" w:hAnsi="Palatino Linotype"/>
          <w:b/>
        </w:rPr>
        <w:t>02123/INFOEM/IP/RR/2022</w:t>
      </w:r>
      <w:r w:rsidRPr="00855290">
        <w:rPr>
          <w:rFonts w:ascii="Palatino Linotype" w:hAnsi="Palatino Linotype"/>
        </w:rPr>
        <w:t>,</w:t>
      </w:r>
      <w:r w:rsidRPr="00855290">
        <w:rPr>
          <w:rFonts w:ascii="Palatino Linotype" w:hAnsi="Palatino Linotype" w:cs="Arial"/>
          <w:b/>
          <w:bCs/>
        </w:rPr>
        <w:t xml:space="preserve"> </w:t>
      </w:r>
      <w:r w:rsidRPr="00855290">
        <w:rPr>
          <w:rFonts w:ascii="Palatino Linotype" w:hAnsi="Palatino Linotype"/>
        </w:rPr>
        <w:t xml:space="preserve">promovido por </w:t>
      </w:r>
      <w:r w:rsidR="008A699B" w:rsidRPr="00855290">
        <w:rPr>
          <w:rFonts w:ascii="Palatino Linotype" w:hAnsi="Palatino Linotype"/>
          <w:b/>
        </w:rPr>
        <w:t>una persona que no dejó datos de registro</w:t>
      </w:r>
      <w:r w:rsidRPr="00855290">
        <w:rPr>
          <w:rFonts w:ascii="Palatino Linotype" w:hAnsi="Palatino Linotype"/>
        </w:rPr>
        <w:t xml:space="preserve">, a quien en lo sucesivo se le identificará como </w:t>
      </w:r>
      <w:r w:rsidRPr="00855290">
        <w:rPr>
          <w:rFonts w:ascii="Palatino Linotype" w:hAnsi="Palatino Linotype"/>
          <w:b/>
        </w:rPr>
        <w:t>EL RECURRENTE</w:t>
      </w:r>
      <w:r w:rsidRPr="00855290">
        <w:rPr>
          <w:rFonts w:ascii="Palatino Linotype" w:hAnsi="Palatino Linotype" w:cs="Arial"/>
        </w:rPr>
        <w:t xml:space="preserve">, en contra de la respuesta del </w:t>
      </w:r>
      <w:r w:rsidR="001927C5">
        <w:rPr>
          <w:rFonts w:ascii="Palatino Linotype" w:hAnsi="Palatino Linotype" w:cs="Arial"/>
          <w:b/>
        </w:rPr>
        <w:t>Ayuntamiento de Metepec</w:t>
      </w:r>
      <w:r w:rsidRPr="00855290">
        <w:rPr>
          <w:rFonts w:ascii="Palatino Linotype" w:hAnsi="Palatino Linotype" w:cs="Arial"/>
          <w:b/>
        </w:rPr>
        <w:t>,</w:t>
      </w:r>
      <w:r w:rsidRPr="00855290">
        <w:rPr>
          <w:rFonts w:ascii="Palatino Linotype" w:hAnsi="Palatino Linotype"/>
          <w:b/>
        </w:rPr>
        <w:t xml:space="preserve"> </w:t>
      </w:r>
      <w:r w:rsidRPr="00855290">
        <w:rPr>
          <w:rFonts w:ascii="Palatino Linotype" w:hAnsi="Palatino Linotype"/>
        </w:rPr>
        <w:t>en lo sucesivo el</w:t>
      </w:r>
      <w:r w:rsidRPr="00855290">
        <w:rPr>
          <w:rFonts w:ascii="Palatino Linotype" w:hAnsi="Palatino Linotype"/>
          <w:b/>
        </w:rPr>
        <w:t xml:space="preserve"> SUJETO OBLIGADO</w:t>
      </w:r>
      <w:r w:rsidRPr="00855290">
        <w:rPr>
          <w:rFonts w:ascii="Palatino Linotype" w:hAnsi="Palatino Linotype"/>
        </w:rPr>
        <w:t>, se procede a dictar la presente resolución, con base en los siguientes:</w:t>
      </w:r>
    </w:p>
    <w:p w:rsidR="007C3761" w:rsidRPr="00855290" w:rsidRDefault="007C3761" w:rsidP="00855290">
      <w:pPr>
        <w:spacing w:line="360" w:lineRule="auto"/>
        <w:jc w:val="both"/>
        <w:rPr>
          <w:rFonts w:ascii="Palatino Linotype" w:hAnsi="Palatino Linotype"/>
          <w:b/>
        </w:rPr>
      </w:pPr>
    </w:p>
    <w:p w:rsidR="009F09BC" w:rsidRPr="00855290"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55290">
        <w:rPr>
          <w:rFonts w:ascii="Palatino Linotype" w:hAnsi="Palatino Linotype"/>
          <w:b/>
          <w:color w:val="000000" w:themeColor="text1"/>
          <w:sz w:val="24"/>
          <w:szCs w:val="24"/>
        </w:rPr>
        <w:t>ANTECEDENTES</w:t>
      </w:r>
      <w:bookmarkEnd w:id="0"/>
      <w:bookmarkEnd w:id="1"/>
      <w:bookmarkEnd w:id="2"/>
    </w:p>
    <w:p w:rsidR="007C3761" w:rsidRPr="00855290" w:rsidRDefault="007C3761" w:rsidP="00855290">
      <w:pPr>
        <w:spacing w:line="360" w:lineRule="auto"/>
        <w:rPr>
          <w:rFonts w:ascii="Palatino Linotype" w:hAnsi="Palatino Linotype"/>
        </w:rPr>
      </w:pPr>
    </w:p>
    <w:p w:rsidR="009F09BC" w:rsidRPr="00855290" w:rsidRDefault="009F09BC" w:rsidP="00DC1346">
      <w:pPr>
        <w:pStyle w:val="Prrafodelista"/>
        <w:numPr>
          <w:ilvl w:val="0"/>
          <w:numId w:val="1"/>
        </w:numPr>
        <w:spacing w:line="360" w:lineRule="auto"/>
        <w:ind w:left="0" w:firstLine="0"/>
        <w:jc w:val="both"/>
        <w:rPr>
          <w:rFonts w:ascii="Palatino Linotype" w:eastAsia="Calibri" w:hAnsi="Palatino Linotype" w:cs="Arial"/>
          <w:lang w:val="es-ES"/>
        </w:rPr>
      </w:pPr>
      <w:r w:rsidRPr="00855290">
        <w:rPr>
          <w:rFonts w:ascii="Palatino Linotype" w:eastAsia="Calibri" w:hAnsi="Palatino Linotype" w:cs="Arial"/>
          <w:lang w:val="es-ES"/>
        </w:rPr>
        <w:t xml:space="preserve">El día </w:t>
      </w:r>
      <w:r w:rsidR="003B15A3">
        <w:rPr>
          <w:rFonts w:ascii="Palatino Linotype" w:eastAsia="Calibri" w:hAnsi="Palatino Linotype" w:cs="Arial"/>
          <w:lang w:val="es-ES"/>
        </w:rPr>
        <w:t>di</w:t>
      </w:r>
      <w:r w:rsidR="00E56AF3" w:rsidRPr="00855290">
        <w:rPr>
          <w:rFonts w:ascii="Palatino Linotype" w:eastAsia="Calibri" w:hAnsi="Palatino Linotype" w:cs="Arial"/>
          <w:lang w:val="es-ES"/>
        </w:rPr>
        <w:t>e</w:t>
      </w:r>
      <w:r w:rsidR="003B15A3">
        <w:rPr>
          <w:rFonts w:ascii="Palatino Linotype" w:eastAsia="Calibri" w:hAnsi="Palatino Linotype" w:cs="Arial"/>
          <w:lang w:val="es-ES"/>
        </w:rPr>
        <w:t>z</w:t>
      </w:r>
      <w:r w:rsidRPr="00855290">
        <w:rPr>
          <w:rFonts w:ascii="Palatino Linotype" w:eastAsia="Calibri" w:hAnsi="Palatino Linotype" w:cs="Arial"/>
          <w:lang w:val="es-ES"/>
        </w:rPr>
        <w:t xml:space="preserve"> (</w:t>
      </w:r>
      <w:r w:rsidR="008A699B" w:rsidRPr="00855290">
        <w:rPr>
          <w:rFonts w:ascii="Palatino Linotype" w:eastAsia="Calibri" w:hAnsi="Palatino Linotype" w:cs="Arial"/>
          <w:lang w:val="es-ES"/>
        </w:rPr>
        <w:t>1</w:t>
      </w:r>
      <w:r w:rsidR="003B15A3">
        <w:rPr>
          <w:rFonts w:ascii="Palatino Linotype" w:eastAsia="Calibri" w:hAnsi="Palatino Linotype" w:cs="Arial"/>
          <w:lang w:val="es-ES"/>
        </w:rPr>
        <w:t>0</w:t>
      </w:r>
      <w:r w:rsidRPr="00855290">
        <w:rPr>
          <w:rFonts w:ascii="Palatino Linotype" w:eastAsia="Calibri" w:hAnsi="Palatino Linotype" w:cs="Arial"/>
          <w:lang w:val="es-ES"/>
        </w:rPr>
        <w:t xml:space="preserve">) de </w:t>
      </w:r>
      <w:r w:rsidR="003B15A3">
        <w:rPr>
          <w:rFonts w:ascii="Palatino Linotype" w:eastAsia="Calibri" w:hAnsi="Palatino Linotype" w:cs="Arial"/>
          <w:lang w:val="es-ES"/>
        </w:rPr>
        <w:t>enero</w:t>
      </w:r>
      <w:r w:rsidRPr="00855290">
        <w:rPr>
          <w:rFonts w:ascii="Palatino Linotype" w:eastAsia="Calibri" w:hAnsi="Palatino Linotype" w:cs="Arial"/>
          <w:lang w:val="es-ES"/>
        </w:rPr>
        <w:t xml:space="preserve"> de dos mil </w:t>
      </w:r>
      <w:r w:rsidR="003B15A3" w:rsidRPr="00855290">
        <w:rPr>
          <w:rFonts w:ascii="Palatino Linotype" w:eastAsia="Calibri" w:hAnsi="Palatino Linotype" w:cs="Arial"/>
          <w:lang w:val="es-ES"/>
        </w:rPr>
        <w:t>veinti</w:t>
      </w:r>
      <w:r w:rsidR="003B15A3">
        <w:rPr>
          <w:rFonts w:ascii="Palatino Linotype" w:eastAsia="Calibri" w:hAnsi="Palatino Linotype" w:cs="Arial"/>
          <w:lang w:val="es-ES"/>
        </w:rPr>
        <w:t>d</w:t>
      </w:r>
      <w:r w:rsidR="003B15A3" w:rsidRPr="00855290">
        <w:rPr>
          <w:rFonts w:ascii="Palatino Linotype" w:eastAsia="Calibri" w:hAnsi="Palatino Linotype" w:cs="Arial"/>
          <w:lang w:val="es-ES"/>
        </w:rPr>
        <w:t>ó</w:t>
      </w:r>
      <w:r w:rsidR="003B15A3">
        <w:rPr>
          <w:rFonts w:ascii="Palatino Linotype" w:eastAsia="Calibri" w:hAnsi="Palatino Linotype" w:cs="Arial"/>
          <w:lang w:val="es-ES"/>
        </w:rPr>
        <w:t>s</w:t>
      </w:r>
      <w:r w:rsidRPr="00855290">
        <w:rPr>
          <w:rFonts w:ascii="Palatino Linotype" w:hAnsi="Palatino Linotype"/>
          <w:b/>
        </w:rPr>
        <w:t xml:space="preserve">, </w:t>
      </w:r>
      <w:r w:rsidRPr="00855290">
        <w:rPr>
          <w:rFonts w:ascii="Palatino Linotype" w:eastAsia="Calibri" w:hAnsi="Palatino Linotype" w:cs="Arial"/>
          <w:lang w:val="es-ES"/>
        </w:rPr>
        <w:t xml:space="preserve">se presentó ante el </w:t>
      </w:r>
      <w:r w:rsidRPr="00855290">
        <w:rPr>
          <w:rFonts w:ascii="Palatino Linotype" w:eastAsia="Calibri" w:hAnsi="Palatino Linotype" w:cs="Arial"/>
          <w:b/>
          <w:lang w:val="es-ES"/>
        </w:rPr>
        <w:t>SUJETO OBLIGADO</w:t>
      </w:r>
      <w:r w:rsidRPr="00855290">
        <w:rPr>
          <w:rFonts w:ascii="Palatino Linotype" w:eastAsia="Calibri" w:hAnsi="Palatino Linotype" w:cs="Arial"/>
        </w:rPr>
        <w:t xml:space="preserve"> vía </w:t>
      </w:r>
      <w:r w:rsidR="008A699B" w:rsidRPr="00855290">
        <w:rPr>
          <w:rFonts w:ascii="Palatino Linotype" w:eastAsia="Calibri" w:hAnsi="Palatino Linotype" w:cs="Arial"/>
          <w:lang w:val="es-ES"/>
        </w:rPr>
        <w:t>SAIMEX, la solicitud</w:t>
      </w:r>
      <w:r w:rsidRPr="00855290">
        <w:rPr>
          <w:rFonts w:ascii="Palatino Linotype" w:eastAsia="Calibri" w:hAnsi="Palatino Linotype" w:cs="Arial"/>
          <w:lang w:val="es-ES"/>
        </w:rPr>
        <w:t xml:space="preserve"> de información pública</w:t>
      </w:r>
      <w:r w:rsidR="008A699B" w:rsidRPr="00855290">
        <w:rPr>
          <w:rFonts w:ascii="Palatino Linotype" w:eastAsia="Calibri" w:hAnsi="Palatino Linotype" w:cs="Arial"/>
          <w:lang w:val="es-ES"/>
        </w:rPr>
        <w:t xml:space="preserve"> registrada</w:t>
      </w:r>
      <w:r w:rsidRPr="00855290">
        <w:rPr>
          <w:rFonts w:ascii="Palatino Linotype" w:eastAsia="Calibri" w:hAnsi="Palatino Linotype" w:cs="Arial"/>
          <w:lang w:val="es-ES"/>
        </w:rPr>
        <w:t xml:space="preserve"> con </w:t>
      </w:r>
      <w:r w:rsidR="008A699B" w:rsidRPr="00855290">
        <w:rPr>
          <w:rFonts w:ascii="Palatino Linotype" w:eastAsia="Calibri" w:hAnsi="Palatino Linotype" w:cs="Arial"/>
          <w:lang w:val="es-ES"/>
        </w:rPr>
        <w:t xml:space="preserve">el </w:t>
      </w:r>
      <w:r w:rsidRPr="00855290">
        <w:rPr>
          <w:rFonts w:ascii="Palatino Linotype" w:eastAsia="Calibri" w:hAnsi="Palatino Linotype" w:cs="Arial"/>
          <w:lang w:val="es-ES"/>
        </w:rPr>
        <w:t>número</w:t>
      </w:r>
      <w:r w:rsidRPr="00855290">
        <w:rPr>
          <w:rFonts w:ascii="Palatino Linotype" w:hAnsi="Palatino Linotype"/>
          <w:b/>
          <w:bCs/>
          <w:color w:val="000000" w:themeColor="text1"/>
        </w:rPr>
        <w:t xml:space="preserve"> </w:t>
      </w:r>
      <w:r w:rsidR="00B24ADA" w:rsidRPr="00B24ADA">
        <w:rPr>
          <w:rFonts w:ascii="Palatino Linotype" w:hAnsi="Palatino Linotype"/>
          <w:b/>
          <w:bCs/>
          <w:color w:val="000000" w:themeColor="text1"/>
        </w:rPr>
        <w:t>00495/METEPEC/IP/2022</w:t>
      </w:r>
      <w:r w:rsidRPr="00855290">
        <w:rPr>
          <w:rFonts w:ascii="Palatino Linotype" w:hAnsi="Palatino Linotype"/>
          <w:b/>
          <w:bCs/>
          <w:color w:val="000000" w:themeColor="text1"/>
        </w:rPr>
        <w:t xml:space="preserve">; </w:t>
      </w:r>
      <w:r w:rsidRPr="00855290">
        <w:rPr>
          <w:rFonts w:ascii="Palatino Linotype" w:eastAsia="Calibri" w:hAnsi="Palatino Linotype" w:cs="Arial"/>
          <w:lang w:val="es-ES"/>
        </w:rPr>
        <w:t>mediante las cuales se solicitó la siguiente información:</w:t>
      </w:r>
    </w:p>
    <w:p w:rsidR="008A699B" w:rsidRPr="00855290" w:rsidRDefault="008A699B" w:rsidP="00855290">
      <w:pPr>
        <w:pStyle w:val="Prrafodelista"/>
        <w:spacing w:line="360" w:lineRule="auto"/>
        <w:ind w:left="0"/>
        <w:jc w:val="both"/>
        <w:rPr>
          <w:rFonts w:ascii="Palatino Linotype" w:eastAsia="Calibri" w:hAnsi="Palatino Linotype" w:cs="Arial"/>
          <w:lang w:val="es-ES"/>
        </w:rPr>
      </w:pPr>
    </w:p>
    <w:p w:rsidR="009F09BC" w:rsidRPr="00855290" w:rsidRDefault="008A699B" w:rsidP="00855290">
      <w:pPr>
        <w:pStyle w:val="Prrafodelista"/>
        <w:spacing w:line="360" w:lineRule="auto"/>
        <w:ind w:left="426" w:right="474"/>
        <w:jc w:val="both"/>
        <w:rPr>
          <w:rFonts w:ascii="Palatino Linotype" w:hAnsi="Palatino Linotype"/>
          <w:i/>
        </w:rPr>
      </w:pPr>
      <w:r w:rsidRPr="00855290">
        <w:rPr>
          <w:rFonts w:ascii="Palatino Linotype" w:hAnsi="Palatino Linotype"/>
          <w:i/>
        </w:rPr>
        <w:t>“</w:t>
      </w:r>
      <w:r w:rsidR="00EC649B" w:rsidRPr="00EC649B">
        <w:rPr>
          <w:rFonts w:ascii="Palatino Linotype" w:hAnsi="Palatino Linotype"/>
          <w:i/>
        </w:rPr>
        <w:t>Solicito las constancias de no inhabilitación del personal que causó alta en la primera quincena de enero del año 2022 en el Ayuntamiento de Metepec.</w:t>
      </w:r>
      <w:r w:rsidRPr="00855290">
        <w:rPr>
          <w:rFonts w:ascii="Palatino Linotype" w:hAnsi="Palatino Linotype"/>
          <w:i/>
        </w:rPr>
        <w:t>”</w:t>
      </w:r>
    </w:p>
    <w:p w:rsidR="008A699B" w:rsidRPr="001927C5" w:rsidRDefault="008A699B" w:rsidP="001927C5">
      <w:pPr>
        <w:spacing w:line="360" w:lineRule="auto"/>
        <w:ind w:right="34"/>
        <w:jc w:val="both"/>
        <w:rPr>
          <w:rFonts w:ascii="Palatino Linotype" w:hAnsi="Palatino Linotype"/>
        </w:rPr>
      </w:pPr>
    </w:p>
    <w:p w:rsidR="009F09BC" w:rsidRPr="00855290" w:rsidRDefault="009F09BC" w:rsidP="00DC1346">
      <w:pPr>
        <w:pStyle w:val="Prrafodelista"/>
        <w:numPr>
          <w:ilvl w:val="0"/>
          <w:numId w:val="2"/>
        </w:numPr>
        <w:spacing w:line="360" w:lineRule="auto"/>
        <w:ind w:left="709" w:right="34" w:hanging="283"/>
        <w:jc w:val="both"/>
        <w:rPr>
          <w:rFonts w:ascii="Palatino Linotype" w:hAnsi="Palatino Linotype"/>
        </w:rPr>
      </w:pPr>
      <w:r w:rsidRPr="00855290">
        <w:rPr>
          <w:rFonts w:ascii="Palatino Linotype" w:eastAsia="Times New Roman" w:hAnsi="Palatino Linotype" w:cs="Arial"/>
          <w:lang w:val="es-ES"/>
        </w:rPr>
        <w:t>Se eligió como modalidad de entrega de la información</w:t>
      </w:r>
      <w:r w:rsidRPr="00855290">
        <w:rPr>
          <w:rFonts w:ascii="Palatino Linotype" w:hAnsi="Palatino Linotype"/>
        </w:rPr>
        <w:t xml:space="preserve">: A través del </w:t>
      </w:r>
      <w:r w:rsidRPr="00855290">
        <w:rPr>
          <w:rFonts w:ascii="Palatino Linotype" w:hAnsi="Palatino Linotype"/>
          <w:b/>
        </w:rPr>
        <w:t>SAIMEX</w:t>
      </w:r>
    </w:p>
    <w:p w:rsidR="001927C5" w:rsidRPr="001A1658" w:rsidRDefault="001927C5" w:rsidP="00DC134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55290">
        <w:rPr>
          <w:rFonts w:ascii="Palatino Linotype" w:hAnsi="Palatino Linotype" w:cs="Arial"/>
          <w:color w:val="000000" w:themeColor="text1"/>
        </w:rPr>
        <w:lastRenderedPageBreak/>
        <w:t xml:space="preserve">El </w:t>
      </w:r>
      <w:r w:rsidR="00097AB8">
        <w:rPr>
          <w:rFonts w:ascii="Palatino Linotype" w:hAnsi="Palatino Linotype" w:cs="Arial"/>
          <w:color w:val="000000" w:themeColor="text1"/>
        </w:rPr>
        <w:t>veintinueve</w:t>
      </w:r>
      <w:r w:rsidRPr="00855290">
        <w:rPr>
          <w:rFonts w:ascii="Palatino Linotype" w:hAnsi="Palatino Linotype" w:cs="Arial"/>
          <w:color w:val="000000" w:themeColor="text1"/>
        </w:rPr>
        <w:t xml:space="preserve"> (</w:t>
      </w:r>
      <w:r w:rsidR="00097AB8">
        <w:rPr>
          <w:rFonts w:ascii="Palatino Linotype" w:hAnsi="Palatino Linotype" w:cs="Arial"/>
          <w:color w:val="000000" w:themeColor="text1"/>
        </w:rPr>
        <w:t>29</w:t>
      </w:r>
      <w:r w:rsidRPr="00855290">
        <w:rPr>
          <w:rFonts w:ascii="Palatino Linotype" w:hAnsi="Palatino Linotype" w:cs="Arial"/>
          <w:color w:val="000000" w:themeColor="text1"/>
        </w:rPr>
        <w:t xml:space="preserve">) de </w:t>
      </w:r>
      <w:r w:rsidR="00097AB8">
        <w:rPr>
          <w:rFonts w:ascii="Palatino Linotype" w:hAnsi="Palatino Linotype" w:cs="Arial"/>
          <w:color w:val="000000" w:themeColor="text1"/>
        </w:rPr>
        <w:t>ener</w:t>
      </w:r>
      <w:r>
        <w:rPr>
          <w:rFonts w:ascii="Palatino Linotype" w:hAnsi="Palatino Linotype" w:cs="Arial"/>
          <w:color w:val="000000" w:themeColor="text1"/>
        </w:rPr>
        <w:t>o</w:t>
      </w:r>
      <w:r w:rsidRPr="00855290">
        <w:rPr>
          <w:rFonts w:ascii="Palatino Linotype" w:hAnsi="Palatino Linotype" w:cs="Arial"/>
          <w:color w:val="000000" w:themeColor="text1"/>
        </w:rPr>
        <w:t xml:space="preserve"> de dos mil veintidós, el </w:t>
      </w:r>
      <w:r w:rsidRPr="00855290">
        <w:rPr>
          <w:rFonts w:ascii="Palatino Linotype" w:hAnsi="Palatino Linotype" w:cs="Arial"/>
          <w:b/>
          <w:color w:val="000000" w:themeColor="text1"/>
        </w:rPr>
        <w:t>SUJETO OBLIGADO,</w:t>
      </w:r>
      <w:r w:rsidRPr="00855290">
        <w:rPr>
          <w:rFonts w:ascii="Palatino Linotype" w:hAnsi="Palatino Linotype" w:cs="Arial"/>
          <w:color w:val="000000" w:themeColor="text1"/>
        </w:rPr>
        <w:t xml:space="preserve"> </w:t>
      </w:r>
      <w:r>
        <w:rPr>
          <w:rFonts w:ascii="Palatino Linotype" w:hAnsi="Palatino Linotype" w:cs="Arial"/>
          <w:color w:val="000000" w:themeColor="text1"/>
        </w:rPr>
        <w:t xml:space="preserve">solicitó una prórroga para dar atención a la solicitud de información </w:t>
      </w:r>
      <w:r w:rsidRPr="001927C5">
        <w:rPr>
          <w:rFonts w:ascii="Palatino Linotype" w:hAnsi="Palatino Linotype" w:cs="Arial"/>
          <w:color w:val="000000" w:themeColor="text1"/>
        </w:rPr>
        <w:t>mediante la primera sesión extraordinaria de fecha 21 de enero de 2022, adjunta</w:t>
      </w:r>
      <w:r>
        <w:rPr>
          <w:rFonts w:ascii="Palatino Linotype" w:hAnsi="Palatino Linotype" w:cs="Arial"/>
          <w:color w:val="000000" w:themeColor="text1"/>
        </w:rPr>
        <w:t>do para tal efecto el acta del comité número</w:t>
      </w:r>
      <w:r w:rsidRPr="001927C5">
        <w:rPr>
          <w:rFonts w:ascii="Palatino Linotype" w:hAnsi="Palatino Linotype" w:cs="Arial"/>
          <w:color w:val="000000" w:themeColor="text1"/>
        </w:rPr>
        <w:t xml:space="preserve"> CT/MET/1RASE/2022.</w:t>
      </w:r>
    </w:p>
    <w:p w:rsidR="001927C5" w:rsidRPr="001927C5" w:rsidRDefault="001927C5" w:rsidP="001927C5">
      <w:pPr>
        <w:pStyle w:val="Prrafodelista"/>
        <w:tabs>
          <w:tab w:val="left" w:pos="0"/>
        </w:tabs>
        <w:spacing w:line="360" w:lineRule="auto"/>
        <w:ind w:left="0" w:right="49"/>
        <w:jc w:val="both"/>
        <w:rPr>
          <w:rFonts w:ascii="Palatino Linotype" w:hAnsi="Palatino Linotype" w:cs="Arial"/>
          <w:i/>
          <w:color w:val="000000" w:themeColor="text1"/>
        </w:rPr>
      </w:pPr>
    </w:p>
    <w:p w:rsidR="002C4997" w:rsidRPr="001A1658" w:rsidRDefault="004525CB" w:rsidP="00DC134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55290">
        <w:rPr>
          <w:rFonts w:ascii="Palatino Linotype" w:hAnsi="Palatino Linotype" w:cs="Arial"/>
          <w:color w:val="000000" w:themeColor="text1"/>
        </w:rPr>
        <w:t xml:space="preserve">El </w:t>
      </w:r>
      <w:r w:rsidR="00EC649B">
        <w:rPr>
          <w:rFonts w:ascii="Palatino Linotype" w:hAnsi="Palatino Linotype" w:cs="Arial"/>
          <w:color w:val="000000" w:themeColor="text1"/>
        </w:rPr>
        <w:t>día diez</w:t>
      </w:r>
      <w:r w:rsidR="009F09BC" w:rsidRPr="00855290">
        <w:rPr>
          <w:rFonts w:ascii="Palatino Linotype" w:hAnsi="Palatino Linotype" w:cs="Arial"/>
          <w:color w:val="000000" w:themeColor="text1"/>
        </w:rPr>
        <w:t xml:space="preserve"> (</w:t>
      </w:r>
      <w:r w:rsidR="00097AB8">
        <w:rPr>
          <w:rFonts w:ascii="Palatino Linotype" w:hAnsi="Palatino Linotype" w:cs="Arial"/>
          <w:color w:val="000000" w:themeColor="text1"/>
        </w:rPr>
        <w:t>1</w:t>
      </w:r>
      <w:r w:rsidR="00EC649B">
        <w:rPr>
          <w:rFonts w:ascii="Palatino Linotype" w:hAnsi="Palatino Linotype" w:cs="Arial"/>
          <w:color w:val="000000" w:themeColor="text1"/>
        </w:rPr>
        <w:t>0</w:t>
      </w:r>
      <w:r w:rsidR="009F09BC" w:rsidRPr="00855290">
        <w:rPr>
          <w:rFonts w:ascii="Palatino Linotype" w:hAnsi="Palatino Linotype" w:cs="Arial"/>
          <w:color w:val="000000" w:themeColor="text1"/>
        </w:rPr>
        <w:t xml:space="preserve">) </w:t>
      </w:r>
      <w:r w:rsidR="00492B32">
        <w:rPr>
          <w:rFonts w:ascii="Palatino Linotype" w:hAnsi="Palatino Linotype" w:cs="Arial"/>
          <w:color w:val="000000" w:themeColor="text1"/>
        </w:rPr>
        <w:t xml:space="preserve">de febrero </w:t>
      </w:r>
      <w:r w:rsidR="005504FC">
        <w:rPr>
          <w:rFonts w:ascii="Palatino Linotype" w:hAnsi="Palatino Linotype" w:cs="Arial"/>
          <w:color w:val="000000" w:themeColor="text1"/>
        </w:rPr>
        <w:t>de</w:t>
      </w:r>
      <w:r w:rsidR="00492B32">
        <w:rPr>
          <w:rFonts w:ascii="Palatino Linotype" w:hAnsi="Palatino Linotype" w:cs="Arial"/>
          <w:color w:val="000000" w:themeColor="text1"/>
        </w:rPr>
        <w:t xml:space="preserve"> dos mil veintidós</w:t>
      </w:r>
      <w:r w:rsidR="009F09BC" w:rsidRPr="00855290">
        <w:rPr>
          <w:rFonts w:ascii="Palatino Linotype" w:hAnsi="Palatino Linotype" w:cs="Arial"/>
          <w:color w:val="000000" w:themeColor="text1"/>
        </w:rPr>
        <w:t xml:space="preserve">, el </w:t>
      </w:r>
      <w:r w:rsidR="009F09BC" w:rsidRPr="00855290">
        <w:rPr>
          <w:rFonts w:ascii="Palatino Linotype" w:hAnsi="Palatino Linotype" w:cs="Arial"/>
          <w:b/>
          <w:color w:val="000000" w:themeColor="text1"/>
        </w:rPr>
        <w:t>SUJETO OBLIGADO,</w:t>
      </w:r>
      <w:r w:rsidR="009F09BC" w:rsidRPr="00855290">
        <w:rPr>
          <w:rFonts w:ascii="Palatino Linotype" w:hAnsi="Palatino Linotype" w:cs="Arial"/>
          <w:color w:val="000000" w:themeColor="text1"/>
        </w:rPr>
        <w:t xml:space="preserve"> dio respuesta </w:t>
      </w:r>
      <w:r w:rsidR="005504FC">
        <w:rPr>
          <w:rFonts w:ascii="Palatino Linotype" w:hAnsi="Palatino Linotype" w:cs="Arial"/>
          <w:color w:val="000000" w:themeColor="text1"/>
        </w:rPr>
        <w:t>a través del siguiente oficio</w:t>
      </w:r>
      <w:r w:rsidR="00B47955" w:rsidRPr="00855290">
        <w:rPr>
          <w:rFonts w:ascii="Palatino Linotype" w:hAnsi="Palatino Linotype" w:cs="Arial"/>
          <w:color w:val="000000" w:themeColor="text1"/>
        </w:rPr>
        <w:t>:</w:t>
      </w:r>
    </w:p>
    <w:p w:rsidR="001A1658" w:rsidRPr="005504FC" w:rsidRDefault="001A1658" w:rsidP="001A1658">
      <w:pPr>
        <w:pStyle w:val="Prrafodelista"/>
        <w:tabs>
          <w:tab w:val="left" w:pos="0"/>
        </w:tabs>
        <w:spacing w:line="360" w:lineRule="auto"/>
        <w:ind w:left="0" w:right="49"/>
        <w:jc w:val="both"/>
        <w:rPr>
          <w:rFonts w:ascii="Palatino Linotype" w:hAnsi="Palatino Linotype" w:cs="Arial"/>
          <w:i/>
          <w:color w:val="000000" w:themeColor="text1"/>
          <w:sz w:val="16"/>
          <w:szCs w:val="16"/>
        </w:rPr>
      </w:pPr>
    </w:p>
    <w:p w:rsidR="005504FC" w:rsidRDefault="00EC649B" w:rsidP="005504FC">
      <w:pPr>
        <w:pStyle w:val="Prrafodelista"/>
        <w:tabs>
          <w:tab w:val="left" w:pos="0"/>
        </w:tabs>
        <w:spacing w:line="360" w:lineRule="auto"/>
        <w:ind w:left="0" w:right="49"/>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4933950" cy="40290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029075"/>
                    </a:xfrm>
                    <a:prstGeom prst="rect">
                      <a:avLst/>
                    </a:prstGeom>
                    <a:noFill/>
                    <a:ln>
                      <a:solidFill>
                        <a:schemeClr val="tx1"/>
                      </a:solidFill>
                    </a:ln>
                  </pic:spPr>
                </pic:pic>
              </a:graphicData>
            </a:graphic>
          </wp:inline>
        </w:drawing>
      </w:r>
    </w:p>
    <w:p w:rsidR="001754D6" w:rsidRPr="005504FC" w:rsidRDefault="001754D6" w:rsidP="005504FC">
      <w:pPr>
        <w:pStyle w:val="Prrafodelista"/>
        <w:tabs>
          <w:tab w:val="left" w:pos="0"/>
        </w:tabs>
        <w:spacing w:line="360" w:lineRule="auto"/>
        <w:ind w:left="0" w:right="49"/>
        <w:jc w:val="center"/>
        <w:rPr>
          <w:rFonts w:ascii="Palatino Linotype" w:hAnsi="Palatino Linotype" w:cs="Arial"/>
          <w:color w:val="000000" w:themeColor="text1"/>
        </w:rPr>
      </w:pPr>
    </w:p>
    <w:p w:rsidR="009F09BC" w:rsidRPr="00855290" w:rsidRDefault="009F09BC" w:rsidP="00DC134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55290">
        <w:rPr>
          <w:rFonts w:ascii="Palatino Linotype" w:eastAsia="Times New Roman" w:hAnsi="Palatino Linotype" w:cs="Arial"/>
          <w:color w:val="000000" w:themeColor="text1"/>
          <w:lang w:val="es-ES"/>
        </w:rPr>
        <w:lastRenderedPageBreak/>
        <w:t>E</w:t>
      </w:r>
      <w:r w:rsidR="002C4997" w:rsidRPr="00855290">
        <w:rPr>
          <w:rFonts w:ascii="Palatino Linotype" w:eastAsia="Times New Roman" w:hAnsi="Palatino Linotype" w:cs="Arial"/>
          <w:color w:val="000000" w:themeColor="text1"/>
          <w:lang w:val="es-ES"/>
        </w:rPr>
        <w:t xml:space="preserve">l </w:t>
      </w:r>
      <w:r w:rsidR="00492B32">
        <w:rPr>
          <w:rFonts w:ascii="Palatino Linotype" w:eastAsia="Times New Roman" w:hAnsi="Palatino Linotype" w:cs="Arial"/>
          <w:color w:val="000000" w:themeColor="text1"/>
          <w:lang w:val="es-ES"/>
        </w:rPr>
        <w:t>veintiocho</w:t>
      </w:r>
      <w:r w:rsidR="00C23EB6" w:rsidRPr="00855290">
        <w:rPr>
          <w:rFonts w:ascii="Palatino Linotype" w:eastAsia="Times New Roman" w:hAnsi="Palatino Linotype" w:cs="Arial"/>
          <w:color w:val="000000" w:themeColor="text1"/>
          <w:lang w:val="es-ES"/>
        </w:rPr>
        <w:t xml:space="preserve"> (</w:t>
      </w:r>
      <w:r w:rsidR="00492B32">
        <w:rPr>
          <w:rFonts w:ascii="Palatino Linotype" w:eastAsia="Times New Roman" w:hAnsi="Palatino Linotype" w:cs="Arial"/>
          <w:color w:val="000000" w:themeColor="text1"/>
          <w:lang w:val="es-ES"/>
        </w:rPr>
        <w:t>28</w:t>
      </w:r>
      <w:r w:rsidR="00C23EB6" w:rsidRPr="00855290">
        <w:rPr>
          <w:rFonts w:ascii="Palatino Linotype" w:eastAsia="Times New Roman" w:hAnsi="Palatino Linotype" w:cs="Arial"/>
          <w:color w:val="000000" w:themeColor="text1"/>
          <w:lang w:val="es-ES"/>
        </w:rPr>
        <w:t>)</w:t>
      </w:r>
      <w:r w:rsidRPr="00855290">
        <w:rPr>
          <w:rFonts w:ascii="Palatino Linotype" w:eastAsia="Times New Roman" w:hAnsi="Palatino Linotype" w:cs="Arial"/>
          <w:color w:val="000000" w:themeColor="text1"/>
          <w:lang w:val="es-ES"/>
        </w:rPr>
        <w:t xml:space="preserve"> de </w:t>
      </w:r>
      <w:r w:rsidR="00492B32">
        <w:rPr>
          <w:rFonts w:ascii="Palatino Linotype" w:eastAsia="Times New Roman" w:hAnsi="Palatino Linotype" w:cs="Arial"/>
          <w:color w:val="000000" w:themeColor="text1"/>
          <w:lang w:val="es-ES"/>
        </w:rPr>
        <w:t>febrer</w:t>
      </w:r>
      <w:r w:rsidRPr="00855290">
        <w:rPr>
          <w:rFonts w:ascii="Palatino Linotype" w:eastAsia="Times New Roman" w:hAnsi="Palatino Linotype" w:cs="Arial"/>
          <w:color w:val="000000" w:themeColor="text1"/>
          <w:lang w:val="es-ES"/>
        </w:rPr>
        <w:t xml:space="preserve">o de </w:t>
      </w:r>
      <w:r w:rsidR="007C3761" w:rsidRPr="00855290">
        <w:rPr>
          <w:rFonts w:ascii="Palatino Linotype" w:eastAsia="Times New Roman" w:hAnsi="Palatino Linotype" w:cs="Arial"/>
          <w:color w:val="000000" w:themeColor="text1"/>
          <w:lang w:val="es-ES"/>
        </w:rPr>
        <w:t>dos mil veintidós</w:t>
      </w:r>
      <w:r w:rsidRPr="00855290">
        <w:rPr>
          <w:rFonts w:ascii="Palatino Linotype" w:eastAsia="Times New Roman" w:hAnsi="Palatino Linotype" w:cs="Arial"/>
          <w:color w:val="000000" w:themeColor="text1"/>
          <w:lang w:val="es-ES"/>
        </w:rPr>
        <w:t xml:space="preserve">, el particular interpuso </w:t>
      </w:r>
      <w:r w:rsidR="002C4997" w:rsidRPr="00855290">
        <w:rPr>
          <w:rFonts w:ascii="Palatino Linotype" w:eastAsia="Times New Roman" w:hAnsi="Palatino Linotype" w:cs="Arial"/>
          <w:color w:val="000000" w:themeColor="text1"/>
          <w:lang w:val="es-ES"/>
        </w:rPr>
        <w:t>e</w:t>
      </w:r>
      <w:r w:rsidRPr="00855290">
        <w:rPr>
          <w:rFonts w:ascii="Palatino Linotype" w:eastAsia="Times New Roman" w:hAnsi="Palatino Linotype" w:cs="Arial"/>
          <w:color w:val="000000" w:themeColor="text1"/>
          <w:lang w:val="es-ES"/>
        </w:rPr>
        <w:t xml:space="preserve">l recurso de revisión en contra de la respuesta, </w:t>
      </w:r>
      <w:r w:rsidR="00306BC0">
        <w:rPr>
          <w:rFonts w:ascii="Palatino Linotype" w:eastAsia="Times New Roman" w:hAnsi="Palatino Linotype" w:cs="Arial"/>
          <w:color w:val="000000" w:themeColor="text1"/>
          <w:lang w:val="es-ES"/>
        </w:rPr>
        <w:t>con</w:t>
      </w:r>
      <w:r w:rsidRPr="00855290">
        <w:rPr>
          <w:rFonts w:ascii="Palatino Linotype" w:eastAsia="Times New Roman" w:hAnsi="Palatino Linotype" w:cs="Arial"/>
          <w:color w:val="000000" w:themeColor="text1"/>
          <w:lang w:val="es-ES"/>
        </w:rPr>
        <w:t xml:space="preserve"> l</w:t>
      </w:r>
      <w:r w:rsidR="002C4997" w:rsidRPr="00855290">
        <w:rPr>
          <w:rFonts w:ascii="Palatino Linotype" w:eastAsia="Times New Roman" w:hAnsi="Palatino Linotype" w:cs="Arial"/>
          <w:color w:val="000000" w:themeColor="text1"/>
          <w:lang w:val="es-ES"/>
        </w:rPr>
        <w:t>a</w:t>
      </w:r>
      <w:r w:rsidRPr="00855290">
        <w:rPr>
          <w:rFonts w:ascii="Palatino Linotype" w:eastAsia="Times New Roman" w:hAnsi="Palatino Linotype" w:cs="Arial"/>
          <w:color w:val="000000" w:themeColor="text1"/>
          <w:lang w:val="es-ES"/>
        </w:rPr>
        <w:t xml:space="preserve">s </w:t>
      </w:r>
      <w:r w:rsidR="002C4997" w:rsidRPr="00855290">
        <w:rPr>
          <w:rFonts w:ascii="Palatino Linotype" w:eastAsia="Times New Roman" w:hAnsi="Palatino Linotype" w:cs="Arial"/>
          <w:color w:val="000000" w:themeColor="text1"/>
          <w:lang w:val="es-ES"/>
        </w:rPr>
        <w:t>siguientes</w:t>
      </w:r>
      <w:r w:rsidRPr="00855290">
        <w:rPr>
          <w:rFonts w:ascii="Palatino Linotype" w:eastAsia="Times New Roman" w:hAnsi="Palatino Linotype" w:cs="Arial"/>
          <w:color w:val="000000" w:themeColor="text1"/>
          <w:lang w:val="es-ES"/>
        </w:rPr>
        <w:t xml:space="preserve"> razones o motivos de inconformidad:</w:t>
      </w:r>
    </w:p>
    <w:p w:rsidR="009F09BC" w:rsidRPr="00855290"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855290" w:rsidRDefault="009F09BC" w:rsidP="00DC1346">
      <w:pPr>
        <w:pStyle w:val="Prrafodelista"/>
        <w:numPr>
          <w:ilvl w:val="0"/>
          <w:numId w:val="2"/>
        </w:numPr>
        <w:spacing w:line="360" w:lineRule="auto"/>
        <w:ind w:left="709"/>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55290">
        <w:rPr>
          <w:rStyle w:val="Ttulo2Car"/>
          <w:rFonts w:ascii="Palatino Linotype" w:hAnsi="Palatino Linotype"/>
          <w:b/>
          <w:color w:val="auto"/>
          <w:sz w:val="24"/>
          <w:szCs w:val="24"/>
        </w:rPr>
        <w:t>Acto impugnado</w:t>
      </w:r>
      <w:bookmarkEnd w:id="3"/>
      <w:r w:rsidRPr="00855290">
        <w:rPr>
          <w:rStyle w:val="Ttulo2Car"/>
          <w:rFonts w:ascii="Palatino Linotype" w:hAnsi="Palatino Linotype"/>
          <w:b/>
          <w:color w:val="000000" w:themeColor="text1"/>
          <w:sz w:val="24"/>
          <w:szCs w:val="24"/>
        </w:rPr>
        <w:t xml:space="preserve">: </w:t>
      </w:r>
      <w:r w:rsidRPr="00855290">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EC649B" w:rsidRPr="00EC649B">
        <w:rPr>
          <w:rStyle w:val="Ttulo2Car"/>
          <w:rFonts w:ascii="Palatino Linotype" w:hAnsi="Palatino Linotype"/>
          <w:i/>
          <w:color w:val="000000" w:themeColor="text1"/>
          <w:sz w:val="24"/>
          <w:szCs w:val="24"/>
        </w:rPr>
        <w:t>La respuesta proporcionada por el Sujeto Obligado.</w:t>
      </w:r>
      <w:r w:rsidRPr="00855290">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855290" w:rsidRDefault="009F09BC" w:rsidP="00855290">
      <w:pPr>
        <w:pStyle w:val="Prrafodelista"/>
        <w:spacing w:line="360" w:lineRule="auto"/>
        <w:ind w:left="1004"/>
        <w:jc w:val="both"/>
        <w:rPr>
          <w:rFonts w:ascii="Palatino Linotype" w:hAnsi="Palatino Linotype"/>
          <w:i/>
          <w:color w:val="000000" w:themeColor="text1"/>
        </w:rPr>
      </w:pPr>
    </w:p>
    <w:p w:rsidR="009F09BC" w:rsidRPr="00855290" w:rsidRDefault="009F09BC" w:rsidP="00DC1346">
      <w:pPr>
        <w:pStyle w:val="Prrafodelista"/>
        <w:numPr>
          <w:ilvl w:val="0"/>
          <w:numId w:val="2"/>
        </w:numPr>
        <w:spacing w:line="360" w:lineRule="auto"/>
        <w:ind w:left="709"/>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55290">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55290">
        <w:rPr>
          <w:rFonts w:ascii="Palatino Linotype" w:hAnsi="Palatino Linotype"/>
          <w:b/>
          <w:color w:val="000000" w:themeColor="text1"/>
        </w:rPr>
        <w:t xml:space="preserve"> </w:t>
      </w:r>
      <w:r w:rsidRPr="00855290">
        <w:rPr>
          <w:rFonts w:ascii="Palatino Linotype" w:hAnsi="Palatino Linotype"/>
          <w:i/>
          <w:color w:val="000000" w:themeColor="text1"/>
        </w:rPr>
        <w:t>“</w:t>
      </w:r>
      <w:r w:rsidR="00EC649B" w:rsidRPr="00EC649B">
        <w:rPr>
          <w:rFonts w:ascii="Palatino Linotype" w:hAnsi="Palatino Linotype"/>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w:t>
      </w:r>
      <w:r w:rsidR="00EC649B" w:rsidRPr="00EC649B">
        <w:rPr>
          <w:rFonts w:ascii="Palatino Linotype" w:hAnsi="Palatino Linotype"/>
          <w:i/>
          <w:color w:val="000000" w:themeColor="text1"/>
        </w:rPr>
        <w:lastRenderedPageBreak/>
        <w:t>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55290">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855290" w:rsidRDefault="009F09BC" w:rsidP="00855290">
      <w:pPr>
        <w:pStyle w:val="Prrafodelista"/>
        <w:spacing w:line="360" w:lineRule="auto"/>
        <w:ind w:left="1004"/>
        <w:jc w:val="both"/>
        <w:rPr>
          <w:rFonts w:ascii="Palatino Linotype" w:hAnsi="Palatino Linotype"/>
          <w:i/>
          <w:color w:val="000000" w:themeColor="text1"/>
        </w:rPr>
      </w:pPr>
    </w:p>
    <w:p w:rsidR="009F09BC" w:rsidRPr="00855290" w:rsidRDefault="00CC5B2F" w:rsidP="00DC1346">
      <w:pPr>
        <w:pStyle w:val="Prrafodelista"/>
        <w:numPr>
          <w:ilvl w:val="0"/>
          <w:numId w:val="1"/>
        </w:numPr>
        <w:spacing w:line="360" w:lineRule="auto"/>
        <w:ind w:left="0" w:firstLine="0"/>
        <w:jc w:val="both"/>
        <w:rPr>
          <w:rFonts w:ascii="Palatino Linotype" w:hAnsi="Palatino Linotype"/>
          <w:i/>
        </w:rPr>
      </w:pPr>
      <w:r w:rsidRPr="00855290">
        <w:rPr>
          <w:rFonts w:ascii="Palatino Linotype" w:eastAsia="Calibri" w:hAnsi="Palatino Linotype" w:cs="Arial"/>
          <w:lang w:val="es-ES"/>
        </w:rPr>
        <w:lastRenderedPageBreak/>
        <w:t>La Comisionada</w:t>
      </w:r>
      <w:r w:rsidR="009F09BC" w:rsidRPr="00855290">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492B32">
        <w:rPr>
          <w:rFonts w:ascii="Palatino Linotype" w:eastAsia="Calibri" w:hAnsi="Palatino Linotype" w:cs="Arial"/>
          <w:lang w:val="es-ES"/>
        </w:rPr>
        <w:t>cuatro</w:t>
      </w:r>
      <w:r w:rsidR="009F09BC" w:rsidRPr="00855290">
        <w:rPr>
          <w:rFonts w:ascii="Palatino Linotype" w:eastAsia="Calibri" w:hAnsi="Palatino Linotype" w:cs="Arial"/>
          <w:lang w:val="es-ES"/>
        </w:rPr>
        <w:t xml:space="preserve"> (</w:t>
      </w:r>
      <w:r w:rsidR="00492B32">
        <w:rPr>
          <w:rFonts w:ascii="Palatino Linotype" w:eastAsia="Calibri" w:hAnsi="Palatino Linotype" w:cs="Arial"/>
          <w:lang w:val="es-ES"/>
        </w:rPr>
        <w:t>04</w:t>
      </w:r>
      <w:r w:rsidR="009F09BC" w:rsidRPr="00855290">
        <w:rPr>
          <w:rFonts w:ascii="Palatino Linotype" w:eastAsia="Calibri" w:hAnsi="Palatino Linotype" w:cs="Arial"/>
          <w:lang w:val="es-ES"/>
        </w:rPr>
        <w:t xml:space="preserve">) de </w:t>
      </w:r>
      <w:r w:rsidR="005504FC">
        <w:rPr>
          <w:rFonts w:ascii="Palatino Linotype" w:eastAsia="Calibri" w:hAnsi="Palatino Linotype" w:cs="Arial"/>
          <w:lang w:val="es-ES"/>
        </w:rPr>
        <w:t>marz</w:t>
      </w:r>
      <w:r w:rsidR="00DA782E" w:rsidRPr="00855290">
        <w:rPr>
          <w:rFonts w:ascii="Palatino Linotype" w:eastAsia="Calibri" w:hAnsi="Palatino Linotype" w:cs="Arial"/>
          <w:lang w:val="es-ES"/>
        </w:rPr>
        <w:t>o</w:t>
      </w:r>
      <w:r w:rsidR="009F09BC" w:rsidRPr="00855290">
        <w:rPr>
          <w:rFonts w:ascii="Palatino Linotype" w:eastAsia="Calibri" w:hAnsi="Palatino Linotype" w:cs="Arial"/>
          <w:lang w:val="es-ES"/>
        </w:rPr>
        <w:t xml:space="preserve"> del año en curso, </w:t>
      </w:r>
      <w:r w:rsidR="00DA782E" w:rsidRPr="00855290">
        <w:rPr>
          <w:rFonts w:ascii="Palatino Linotype" w:eastAsia="Calibri" w:hAnsi="Palatino Linotype" w:cs="Arial"/>
          <w:lang w:val="es-ES"/>
        </w:rPr>
        <w:t xml:space="preserve">se </w:t>
      </w:r>
      <w:r w:rsidR="009F09BC" w:rsidRPr="00855290">
        <w:rPr>
          <w:rFonts w:ascii="Palatino Linotype" w:eastAsia="Calibri" w:hAnsi="Palatino Linotype" w:cs="Arial"/>
          <w:lang w:val="es-ES"/>
        </w:rPr>
        <w:t xml:space="preserve">puso a disposición de las partes el expediente electrónico </w:t>
      </w:r>
      <w:r w:rsidR="009F09BC" w:rsidRPr="00855290">
        <w:rPr>
          <w:rFonts w:ascii="Palatino Linotype" w:eastAsia="Calibri" w:hAnsi="Palatino Linotype" w:cs="Arial"/>
        </w:rPr>
        <w:t xml:space="preserve">vía </w:t>
      </w:r>
      <w:r w:rsidR="009F09BC" w:rsidRPr="00855290">
        <w:rPr>
          <w:rFonts w:ascii="Palatino Linotype" w:eastAsia="Calibri" w:hAnsi="Palatino Linotype" w:cs="Arial"/>
          <w:b/>
          <w:lang w:val="es-ES"/>
        </w:rPr>
        <w:t xml:space="preserve">SAIMEX </w:t>
      </w:r>
      <w:r w:rsidR="009F09BC" w:rsidRPr="0085529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55290">
        <w:rPr>
          <w:rFonts w:ascii="Palatino Linotype" w:eastAsia="Calibri" w:hAnsi="Palatino Linotype" w:cs="Arial"/>
          <w:b/>
          <w:lang w:val="es-ES"/>
        </w:rPr>
        <w:t>SUJETO OBLIGADO</w:t>
      </w:r>
      <w:r w:rsidR="009F09BC" w:rsidRPr="00855290">
        <w:rPr>
          <w:rFonts w:ascii="Palatino Linotype" w:eastAsia="Calibri" w:hAnsi="Palatino Linotype" w:cs="Arial"/>
          <w:lang w:val="es-ES"/>
        </w:rPr>
        <w:t xml:space="preserve"> presentará el Informe Justificado procedente.</w:t>
      </w:r>
    </w:p>
    <w:p w:rsidR="009F09BC" w:rsidRPr="00855290" w:rsidRDefault="009F09BC" w:rsidP="00855290">
      <w:pPr>
        <w:pStyle w:val="Prrafodelista"/>
        <w:spacing w:line="360" w:lineRule="auto"/>
        <w:ind w:left="0"/>
        <w:jc w:val="both"/>
        <w:rPr>
          <w:rFonts w:ascii="Palatino Linotype" w:hAnsi="Palatino Linotype"/>
        </w:rPr>
      </w:pPr>
    </w:p>
    <w:p w:rsidR="009F09BC" w:rsidRPr="00855290" w:rsidRDefault="009F09BC" w:rsidP="00DC1346">
      <w:pPr>
        <w:pStyle w:val="Prrafodelista"/>
        <w:numPr>
          <w:ilvl w:val="0"/>
          <w:numId w:val="1"/>
        </w:numPr>
        <w:spacing w:line="360" w:lineRule="auto"/>
        <w:ind w:left="0" w:firstLine="0"/>
        <w:jc w:val="both"/>
        <w:rPr>
          <w:rFonts w:ascii="Palatino Linotype" w:hAnsi="Palatino Linotype"/>
        </w:rPr>
      </w:pPr>
      <w:r w:rsidRPr="00855290">
        <w:rPr>
          <w:rFonts w:ascii="Palatino Linotype" w:hAnsi="Palatino Linotype"/>
          <w:color w:val="000000"/>
        </w:rPr>
        <w:t xml:space="preserve">El </w:t>
      </w:r>
      <w:r w:rsidRPr="00855290">
        <w:rPr>
          <w:rFonts w:ascii="Palatino Linotype" w:hAnsi="Palatino Linotype"/>
          <w:b/>
          <w:color w:val="000000"/>
        </w:rPr>
        <w:t>SUJETO OBLIGADO</w:t>
      </w:r>
      <w:r w:rsidR="007A6A1A" w:rsidRPr="00855290">
        <w:rPr>
          <w:rFonts w:ascii="Palatino Linotype" w:hAnsi="Palatino Linotype"/>
          <w:color w:val="000000"/>
        </w:rPr>
        <w:t xml:space="preserve"> </w:t>
      </w:r>
      <w:r w:rsidR="003C7D52">
        <w:rPr>
          <w:rFonts w:ascii="Palatino Linotype" w:hAnsi="Palatino Linotype"/>
          <w:color w:val="000000"/>
        </w:rPr>
        <w:t>fue omiso en rendir el informe justificado correspondiente</w:t>
      </w:r>
      <w:r w:rsidR="002947D2">
        <w:rPr>
          <w:rFonts w:ascii="Palatino Linotype" w:hAnsi="Palatino Linotype"/>
          <w:color w:val="000000"/>
        </w:rPr>
        <w:t>.</w:t>
      </w:r>
      <w:r w:rsidR="002C4997" w:rsidRPr="00855290">
        <w:rPr>
          <w:rFonts w:ascii="Palatino Linotype" w:hAnsi="Palatino Linotype"/>
          <w:color w:val="000000"/>
        </w:rPr>
        <w:t xml:space="preserve"> </w:t>
      </w:r>
      <w:r w:rsidRPr="00855290">
        <w:rPr>
          <w:rFonts w:ascii="Palatino Linotype" w:hAnsi="Palatino Linotype"/>
          <w:color w:val="000000"/>
        </w:rPr>
        <w:t xml:space="preserve">Por su parte </w:t>
      </w:r>
      <w:r w:rsidRPr="00855290">
        <w:rPr>
          <w:rFonts w:ascii="Palatino Linotype" w:hAnsi="Palatino Linotype"/>
          <w:b/>
          <w:color w:val="000000"/>
        </w:rPr>
        <w:t xml:space="preserve">EL PARTICULAR </w:t>
      </w:r>
      <w:r w:rsidRPr="00855290">
        <w:rPr>
          <w:rFonts w:ascii="Palatino Linotype" w:hAnsi="Palatino Linotype"/>
          <w:color w:val="000000"/>
        </w:rPr>
        <w:t>dejó de realizar manifestaciones que a su derecho conviniera y asistiera.</w:t>
      </w:r>
    </w:p>
    <w:p w:rsidR="00004D06" w:rsidRDefault="00004D06" w:rsidP="00004D06">
      <w:pPr>
        <w:spacing w:line="360" w:lineRule="auto"/>
        <w:ind w:left="-567"/>
        <w:jc w:val="center"/>
        <w:rPr>
          <w:rFonts w:ascii="Palatino Linotype" w:hAnsi="Palatino Linotype"/>
          <w:sz w:val="18"/>
        </w:rPr>
      </w:pPr>
    </w:p>
    <w:p w:rsidR="00004D06" w:rsidRDefault="00004D06" w:rsidP="00DC1346">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 xml:space="preserve">Este organismo garante no pasa por alto justificar, que la dilación en la resolución del </w:t>
      </w:r>
      <w:r>
        <w:rPr>
          <w:rFonts w:ascii="Palatino Linotype" w:hAnsi="Palatino Linotype"/>
          <w:lang w:val="es-MX"/>
        </w:rPr>
        <w:t>presente</w:t>
      </w:r>
      <w:r>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004D06" w:rsidRDefault="00004D06" w:rsidP="00004D06">
      <w:pPr>
        <w:spacing w:line="360" w:lineRule="auto"/>
        <w:jc w:val="both"/>
        <w:rPr>
          <w:rFonts w:ascii="Palatino Linotype" w:hAnsi="Palatino Linotype"/>
          <w:sz w:val="18"/>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rsidR="00004D06" w:rsidRDefault="00004D06" w:rsidP="00004D06">
      <w:pPr>
        <w:spacing w:line="360" w:lineRule="auto"/>
        <w:jc w:val="both"/>
        <w:rPr>
          <w:rFonts w:ascii="Palatino Linotype" w:hAnsi="Palatino Linotype"/>
          <w:sz w:val="18"/>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4D06" w:rsidRDefault="00004D06" w:rsidP="00004D06">
      <w:pPr>
        <w:spacing w:line="360" w:lineRule="auto"/>
        <w:jc w:val="both"/>
        <w:rPr>
          <w:rFonts w:ascii="Palatino Linotype" w:hAnsi="Palatino Linotype"/>
          <w:sz w:val="18"/>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4D06" w:rsidRPr="00004D06" w:rsidRDefault="00004D06" w:rsidP="00004D06">
      <w:pPr>
        <w:pStyle w:val="Prrafodelista"/>
        <w:rPr>
          <w:rFonts w:ascii="Palatino Linotype" w:hAnsi="Palatino Linotype"/>
        </w:rPr>
      </w:pPr>
    </w:p>
    <w:p w:rsidR="00004D06" w:rsidRDefault="00004D06" w:rsidP="00004D06">
      <w:pPr>
        <w:pStyle w:val="Prrafodelista"/>
        <w:spacing w:line="360" w:lineRule="auto"/>
        <w:ind w:left="0"/>
        <w:jc w:val="both"/>
        <w:rPr>
          <w:rFonts w:ascii="Palatino Linotype" w:hAnsi="Palatino Linotype"/>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04D06" w:rsidRDefault="00004D06" w:rsidP="00004D06">
      <w:pPr>
        <w:pStyle w:val="Prrafodelista"/>
        <w:rPr>
          <w:rFonts w:ascii="Palatino Linotype" w:hAnsi="Palatino Linotype"/>
        </w:rPr>
      </w:pPr>
    </w:p>
    <w:p w:rsidR="00004D06" w:rsidRDefault="00004D06" w:rsidP="00DC1346">
      <w:pPr>
        <w:pStyle w:val="Prrafodelista"/>
        <w:numPr>
          <w:ilvl w:val="0"/>
          <w:numId w:val="11"/>
        </w:numPr>
        <w:spacing w:line="360" w:lineRule="auto"/>
        <w:jc w:val="both"/>
        <w:rPr>
          <w:rFonts w:ascii="Palatino Linotype" w:hAnsi="Palatino Linotype"/>
        </w:rPr>
      </w:pPr>
      <w:r>
        <w:rPr>
          <w:rFonts w:ascii="Palatino Linotype" w:hAnsi="Palatino Linotype"/>
        </w:rPr>
        <w:t xml:space="preserve">Complejidad del Asunto: La complejidad de la prueba, la pluralidad de sujetos procesales, el tiempo transcurrido, las características y contexto del recurso. </w:t>
      </w:r>
    </w:p>
    <w:p w:rsidR="00004D06" w:rsidRDefault="00004D06" w:rsidP="00004D06">
      <w:pPr>
        <w:pStyle w:val="Prrafodelista"/>
        <w:spacing w:line="360" w:lineRule="auto"/>
        <w:ind w:left="927"/>
        <w:jc w:val="both"/>
        <w:rPr>
          <w:rFonts w:ascii="Palatino Linotype" w:hAnsi="Palatino Linotype"/>
        </w:rPr>
      </w:pPr>
    </w:p>
    <w:p w:rsidR="00004D06" w:rsidRDefault="00004D06" w:rsidP="00DC1346">
      <w:pPr>
        <w:pStyle w:val="Prrafodelista"/>
        <w:numPr>
          <w:ilvl w:val="0"/>
          <w:numId w:val="11"/>
        </w:numPr>
        <w:spacing w:line="360" w:lineRule="auto"/>
        <w:jc w:val="both"/>
        <w:rPr>
          <w:rFonts w:ascii="Palatino Linotype" w:hAnsi="Palatino Linotype"/>
        </w:rPr>
      </w:pPr>
      <w:r>
        <w:rPr>
          <w:rFonts w:ascii="Palatino Linotype" w:hAnsi="Palatino Linotype"/>
        </w:rPr>
        <w:t>Actividad Procesal del interesado. Acciones u omisiones del interesado.</w:t>
      </w:r>
    </w:p>
    <w:p w:rsidR="00004D06" w:rsidRDefault="00004D06" w:rsidP="00004D06">
      <w:pPr>
        <w:spacing w:line="360" w:lineRule="auto"/>
        <w:jc w:val="both"/>
        <w:rPr>
          <w:rFonts w:ascii="Palatino Linotype" w:hAnsi="Palatino Linotype"/>
        </w:rPr>
      </w:pPr>
    </w:p>
    <w:p w:rsidR="00004D06" w:rsidRDefault="00004D06" w:rsidP="00DC1346">
      <w:pPr>
        <w:pStyle w:val="Prrafodelista"/>
        <w:numPr>
          <w:ilvl w:val="0"/>
          <w:numId w:val="11"/>
        </w:numPr>
        <w:spacing w:line="360" w:lineRule="auto"/>
        <w:jc w:val="both"/>
        <w:rPr>
          <w:rFonts w:ascii="Palatino Linotype" w:hAnsi="Palatino Linotype"/>
        </w:rPr>
      </w:pPr>
      <w:r>
        <w:rPr>
          <w:rFonts w:ascii="Palatino Linotype" w:hAnsi="Palatino Linotype"/>
        </w:rPr>
        <w:lastRenderedPageBreak/>
        <w:t>Conducta de la Autoridad: Las Acciones u omisiones realizadas en el procedimiento. Así como si la autoridad actuó con la debida diligencia.</w:t>
      </w:r>
    </w:p>
    <w:p w:rsidR="00004D06" w:rsidRDefault="00004D06" w:rsidP="00004D06">
      <w:pPr>
        <w:pStyle w:val="Prrafodelista"/>
        <w:spacing w:line="360" w:lineRule="auto"/>
        <w:rPr>
          <w:rFonts w:ascii="Palatino Linotype" w:hAnsi="Palatino Linotype"/>
        </w:rPr>
      </w:pPr>
    </w:p>
    <w:p w:rsidR="00004D06" w:rsidRDefault="00004D06" w:rsidP="00004D06">
      <w:pPr>
        <w:spacing w:line="360" w:lineRule="auto"/>
        <w:ind w:left="851" w:hanging="284"/>
        <w:jc w:val="both"/>
        <w:rPr>
          <w:rFonts w:ascii="Palatino Linotype" w:hAnsi="Palatino Linotype"/>
        </w:rPr>
      </w:pPr>
      <w:r>
        <w:rPr>
          <w:rFonts w:ascii="Palatino Linotype" w:hAnsi="Palatino Linotype"/>
        </w:rPr>
        <w:t>d) La afectación generada en la situación jurídica de la persona involucrada en el proceso: Violación a sus derechos humanos.</w:t>
      </w:r>
    </w:p>
    <w:p w:rsidR="00004D06" w:rsidRDefault="00004D06" w:rsidP="00004D06">
      <w:pPr>
        <w:spacing w:line="360" w:lineRule="auto"/>
        <w:jc w:val="both"/>
        <w:rPr>
          <w:rFonts w:ascii="Palatino Linotype" w:hAnsi="Palatino Linotype"/>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4D06" w:rsidRDefault="00004D06" w:rsidP="00004D06">
      <w:pPr>
        <w:spacing w:line="360" w:lineRule="auto"/>
        <w:jc w:val="both"/>
        <w:rPr>
          <w:rFonts w:ascii="Palatino Linotype" w:hAnsi="Palatino Linotype"/>
          <w:sz w:val="18"/>
        </w:rPr>
      </w:pPr>
    </w:p>
    <w:p w:rsidR="00004D06" w:rsidRDefault="00004D06" w:rsidP="00DC1346">
      <w:pPr>
        <w:pStyle w:val="Prrafodelista"/>
        <w:numPr>
          <w:ilvl w:val="0"/>
          <w:numId w:val="10"/>
        </w:numPr>
        <w:spacing w:line="360" w:lineRule="auto"/>
        <w:ind w:left="0" w:firstLine="0"/>
        <w:jc w:val="both"/>
        <w:rPr>
          <w:rFonts w:ascii="Palatino Linotype" w:hAnsi="Palatino Linotype"/>
          <w:b/>
        </w:rPr>
      </w:pPr>
      <w:r>
        <w:rPr>
          <w:rFonts w:ascii="Palatino Linotype" w:hAnsi="Palatino Linotype"/>
        </w:rPr>
        <w:t>Argumento que encuentra sustento en la jurisprudencia P</w:t>
      </w:r>
      <w:proofErr w:type="gramStart"/>
      <w:r>
        <w:rPr>
          <w:rFonts w:ascii="Palatino Linotype" w:hAnsi="Palatino Linotype"/>
        </w:rPr>
        <w:t>./</w:t>
      </w:r>
      <w:proofErr w:type="gramEnd"/>
      <w:r>
        <w:rPr>
          <w:rFonts w:ascii="Palatino Linotype" w:hAnsi="Palatino Linotype"/>
        </w:rPr>
        <w:t xml:space="preserve">J. 32/92 emitida por el Pleno de la Suprema Corte de Justicia de la Nación de rubro </w:t>
      </w:r>
      <w:r>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rPr>
        <w:t>, visible en la Gaceta del Seminario Judicial de la Federación con el registro digital 205635.</w:t>
      </w:r>
    </w:p>
    <w:p w:rsidR="00004D06" w:rsidRDefault="00004D06" w:rsidP="00004D06">
      <w:pPr>
        <w:spacing w:line="360" w:lineRule="auto"/>
        <w:jc w:val="both"/>
        <w:rPr>
          <w:rFonts w:ascii="Palatino Linotype" w:hAnsi="Palatino Linotype"/>
          <w:sz w:val="18"/>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4D06" w:rsidRDefault="00004D06" w:rsidP="00004D06">
      <w:pPr>
        <w:spacing w:line="360" w:lineRule="auto"/>
        <w:jc w:val="both"/>
        <w:rPr>
          <w:rFonts w:ascii="Palatino Linotype" w:hAnsi="Palatino Linotype"/>
          <w:sz w:val="18"/>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04D06" w:rsidRDefault="00004D06" w:rsidP="00004D06">
      <w:pPr>
        <w:spacing w:line="360" w:lineRule="auto"/>
        <w:jc w:val="both"/>
        <w:rPr>
          <w:rFonts w:ascii="Palatino Linotype" w:hAnsi="Palatino Linotype"/>
          <w:sz w:val="18"/>
        </w:rPr>
      </w:pPr>
    </w:p>
    <w:p w:rsidR="00004D06" w:rsidRDefault="00004D06" w:rsidP="00DC1346">
      <w:pPr>
        <w:pStyle w:val="Prrafodelista"/>
        <w:numPr>
          <w:ilvl w:val="0"/>
          <w:numId w:val="10"/>
        </w:numPr>
        <w:spacing w:line="360" w:lineRule="auto"/>
        <w:ind w:left="0" w:firstLine="0"/>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04D06" w:rsidRDefault="00004D06" w:rsidP="00004D06">
      <w:pPr>
        <w:spacing w:line="360" w:lineRule="auto"/>
        <w:jc w:val="both"/>
        <w:rPr>
          <w:rFonts w:ascii="Palatino Linotype" w:hAnsi="Palatino Linotype"/>
        </w:rPr>
      </w:pPr>
    </w:p>
    <w:p w:rsidR="00004D06" w:rsidRDefault="00004D06" w:rsidP="00004D06">
      <w:pPr>
        <w:spacing w:line="360" w:lineRule="auto"/>
        <w:ind w:left="426" w:right="474"/>
        <w:jc w:val="both"/>
        <w:rPr>
          <w:rFonts w:ascii="Palatino Linotype" w:hAnsi="Palatino Linotype"/>
        </w:rPr>
      </w:pPr>
      <w:r>
        <w:rPr>
          <w:rFonts w:ascii="Palatino Linotype" w:hAnsi="Palatino Linotype"/>
        </w:rPr>
        <w:t xml:space="preserve"> </w:t>
      </w: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rsidR="00004D06" w:rsidRDefault="00004D06" w:rsidP="00004D06">
      <w:pPr>
        <w:spacing w:line="360" w:lineRule="auto"/>
        <w:ind w:left="426" w:right="474"/>
        <w:jc w:val="both"/>
        <w:rPr>
          <w:rFonts w:ascii="Palatino Linotype" w:hAnsi="Palatino Linotype"/>
          <w:b/>
        </w:rPr>
      </w:pPr>
    </w:p>
    <w:p w:rsidR="00004D06" w:rsidRDefault="00004D06" w:rsidP="00004D06">
      <w:pPr>
        <w:spacing w:line="360" w:lineRule="auto"/>
        <w:ind w:left="426" w:right="474"/>
        <w:jc w:val="both"/>
        <w:rPr>
          <w:rFonts w:ascii="Palatino Linotype" w:hAnsi="Palatino Linotype"/>
        </w:rPr>
      </w:pPr>
      <w:r>
        <w:rPr>
          <w:rFonts w:ascii="Palatino Linotype" w:hAnsi="Palatino Linotype"/>
          <w:i/>
        </w:rPr>
        <w:t xml:space="preserve">“PLAZO RAZONABLE PARA RESOLVER. CONCEPTO Y ELEMENTOS QUE LO INTEGRAN A LA LUZ DEL DERECHO INTERNACIONAL DE LOS </w:t>
      </w:r>
      <w:r>
        <w:rPr>
          <w:rFonts w:ascii="Palatino Linotype" w:hAnsi="Palatino Linotype"/>
          <w:i/>
        </w:rPr>
        <w:lastRenderedPageBreak/>
        <w:t>DERECHOS HUMANOS.”</w:t>
      </w:r>
      <w:r>
        <w:rPr>
          <w:rFonts w:ascii="Palatino Linotype" w:hAnsi="Palatino Linotype"/>
        </w:rPr>
        <w:t>, visible en el Seminario Judicial de la Federación y su gaceta, con el registro digital 2002350.</w:t>
      </w:r>
    </w:p>
    <w:p w:rsidR="00004D06" w:rsidRDefault="00004D06" w:rsidP="00004D06">
      <w:pPr>
        <w:pStyle w:val="Prrafodelista"/>
        <w:spacing w:line="360" w:lineRule="auto"/>
        <w:ind w:left="0"/>
        <w:jc w:val="both"/>
        <w:rPr>
          <w:rFonts w:ascii="Palatino Linotype" w:hAnsi="Palatino Linotype"/>
        </w:rPr>
      </w:pPr>
    </w:p>
    <w:p w:rsidR="00ED6E75" w:rsidRPr="00855290" w:rsidRDefault="00ED6E75" w:rsidP="00855290">
      <w:pPr>
        <w:pStyle w:val="Prrafodelista"/>
        <w:spacing w:line="360" w:lineRule="auto"/>
        <w:ind w:left="0"/>
        <w:jc w:val="both"/>
        <w:rPr>
          <w:rFonts w:ascii="Palatino Linotype" w:hAnsi="Palatino Linotype"/>
        </w:rPr>
      </w:pPr>
    </w:p>
    <w:p w:rsidR="009F09BC" w:rsidRPr="00855290" w:rsidRDefault="00052A8F" w:rsidP="00DC1346">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t>Mediante acuerdo</w:t>
      </w:r>
      <w:r w:rsidR="007371AC">
        <w:rPr>
          <w:rFonts w:ascii="Palatino Linotype" w:hAnsi="Palatino Linotype"/>
        </w:rPr>
        <w:t>s</w:t>
      </w:r>
      <w:r>
        <w:rPr>
          <w:rFonts w:ascii="Palatino Linotype" w:hAnsi="Palatino Linotype"/>
        </w:rPr>
        <w:t xml:space="preserve"> de fecha</w:t>
      </w:r>
      <w:r w:rsidR="0001674C" w:rsidRPr="00855290">
        <w:rPr>
          <w:rFonts w:ascii="Palatino Linotype" w:hAnsi="Palatino Linotype"/>
        </w:rPr>
        <w:t xml:space="preserve"> </w:t>
      </w:r>
      <w:r w:rsidR="003C7D52">
        <w:rPr>
          <w:rFonts w:ascii="Palatino Linotype" w:hAnsi="Palatino Linotype"/>
        </w:rPr>
        <w:t xml:space="preserve">veintitrés </w:t>
      </w:r>
      <w:r w:rsidR="0001674C" w:rsidRPr="00855290">
        <w:rPr>
          <w:rFonts w:ascii="Palatino Linotype" w:hAnsi="Palatino Linotype"/>
        </w:rPr>
        <w:t>(</w:t>
      </w:r>
      <w:r w:rsidR="003C7D52">
        <w:rPr>
          <w:rFonts w:ascii="Palatino Linotype" w:hAnsi="Palatino Linotype"/>
        </w:rPr>
        <w:t>23</w:t>
      </w:r>
      <w:r w:rsidR="0001674C" w:rsidRPr="00855290">
        <w:rPr>
          <w:rFonts w:ascii="Palatino Linotype" w:hAnsi="Palatino Linotype"/>
        </w:rPr>
        <w:t xml:space="preserve">) de </w:t>
      </w:r>
      <w:r w:rsidR="007371AC">
        <w:rPr>
          <w:rFonts w:ascii="Palatino Linotype" w:hAnsi="Palatino Linotype"/>
        </w:rPr>
        <w:t>agost</w:t>
      </w:r>
      <w:r w:rsidR="002947D2">
        <w:rPr>
          <w:rFonts w:ascii="Palatino Linotype" w:hAnsi="Palatino Linotype"/>
        </w:rPr>
        <w:t>o</w:t>
      </w:r>
      <w:r w:rsidR="0001674C" w:rsidRPr="00855290">
        <w:rPr>
          <w:rFonts w:ascii="Palatino Linotype" w:hAnsi="Palatino Linotype"/>
        </w:rPr>
        <w:t xml:space="preserve"> de</w:t>
      </w:r>
      <w:r w:rsidR="00933A28" w:rsidRPr="00855290">
        <w:rPr>
          <w:rFonts w:ascii="Palatino Linotype" w:hAnsi="Palatino Linotype"/>
        </w:rPr>
        <w:t xml:space="preserve"> dos mil veintidós</w:t>
      </w:r>
      <w:r w:rsidR="0001674C" w:rsidRPr="00855290">
        <w:rPr>
          <w:rFonts w:ascii="Palatino Linotype" w:hAnsi="Palatino Linotype"/>
        </w:rPr>
        <w:t xml:space="preserve">, </w:t>
      </w:r>
      <w:r w:rsidR="00933A28" w:rsidRPr="00855290">
        <w:rPr>
          <w:rFonts w:ascii="Palatino Linotype" w:hAnsi="Palatino Linotype"/>
        </w:rPr>
        <w:t xml:space="preserve">se </w:t>
      </w:r>
      <w:r w:rsidR="007210B9" w:rsidRPr="00855290">
        <w:rPr>
          <w:rFonts w:ascii="Palatino Linotype" w:hAnsi="Palatino Linotype"/>
        </w:rPr>
        <w:t>amplió</w:t>
      </w:r>
      <w:r w:rsidR="00933A28" w:rsidRPr="00855290">
        <w:rPr>
          <w:rFonts w:ascii="Palatino Linotype" w:hAnsi="Palatino Linotype"/>
        </w:rPr>
        <w:t xml:space="preserve"> el termino para resolver</w:t>
      </w:r>
      <w:r w:rsidR="002947D2">
        <w:rPr>
          <w:rFonts w:ascii="Palatino Linotype" w:hAnsi="Palatino Linotype"/>
        </w:rPr>
        <w:t xml:space="preserve">, </w:t>
      </w:r>
      <w:r w:rsidR="007371AC">
        <w:rPr>
          <w:rFonts w:ascii="Palatino Linotype" w:hAnsi="Palatino Linotype"/>
        </w:rPr>
        <w:t xml:space="preserve">y </w:t>
      </w:r>
      <w:r w:rsidR="0001674C" w:rsidRPr="00855290">
        <w:rPr>
          <w:rFonts w:ascii="Palatino Linotype" w:hAnsi="Palatino Linotype"/>
        </w:rPr>
        <w:t xml:space="preserve">se decretó el cierre de instrucción, </w:t>
      </w:r>
      <w:r w:rsidR="009F09BC" w:rsidRPr="00855290">
        <w:rPr>
          <w:rFonts w:ascii="Palatino Linotype" w:hAnsi="Palatino Linotype" w:cs="Arial"/>
        </w:rPr>
        <w:t>por lo que no habiendo más que hacer constar, y --------------------------</w:t>
      </w:r>
      <w:r w:rsidR="0001674C" w:rsidRPr="00855290">
        <w:rPr>
          <w:rFonts w:ascii="Palatino Linotype" w:hAnsi="Palatino Linotype" w:cs="Arial"/>
        </w:rPr>
        <w:t>---</w:t>
      </w:r>
      <w:r>
        <w:rPr>
          <w:rFonts w:ascii="Palatino Linotype" w:hAnsi="Palatino Linotype" w:cs="Arial"/>
        </w:rPr>
        <w:t>----------------</w:t>
      </w:r>
      <w:r w:rsidR="002947D2">
        <w:rPr>
          <w:rFonts w:ascii="Palatino Linotype" w:hAnsi="Palatino Linotype" w:cs="Arial"/>
        </w:rPr>
        <w:t>---------</w:t>
      </w:r>
      <w:r w:rsidR="007371AC">
        <w:rPr>
          <w:rFonts w:ascii="Palatino Linotype" w:hAnsi="Palatino Linotype" w:cs="Arial"/>
        </w:rPr>
        <w:t>------</w:t>
      </w:r>
      <w:r w:rsidR="003C7D52">
        <w:rPr>
          <w:rFonts w:ascii="Palatino Linotype" w:hAnsi="Palatino Linotype" w:cs="Arial"/>
        </w:rPr>
        <w:t>----</w:t>
      </w:r>
    </w:p>
    <w:p w:rsidR="00933A28" w:rsidRPr="00855290" w:rsidRDefault="00933A28" w:rsidP="00855290">
      <w:pPr>
        <w:pStyle w:val="Prrafodelista"/>
        <w:spacing w:line="360" w:lineRule="auto"/>
        <w:rPr>
          <w:rFonts w:ascii="Palatino Linotype" w:hAnsi="Palatino Linotype"/>
          <w:b/>
          <w:color w:val="000000" w:themeColor="text1"/>
        </w:rPr>
      </w:pPr>
    </w:p>
    <w:p w:rsidR="009F09BC" w:rsidRPr="00855290"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855290">
        <w:rPr>
          <w:rFonts w:ascii="Palatino Linotype" w:hAnsi="Palatino Linotype"/>
          <w:b/>
          <w:color w:val="000000" w:themeColor="text1"/>
          <w:sz w:val="24"/>
          <w:szCs w:val="24"/>
        </w:rPr>
        <w:t>CONSIDERANDO</w:t>
      </w:r>
      <w:bookmarkEnd w:id="133"/>
      <w:bookmarkEnd w:id="134"/>
    </w:p>
    <w:p w:rsidR="009F09BC" w:rsidRPr="00855290" w:rsidRDefault="009F09BC" w:rsidP="00855290">
      <w:pPr>
        <w:spacing w:line="360" w:lineRule="auto"/>
        <w:rPr>
          <w:rFonts w:ascii="Palatino Linotype" w:hAnsi="Palatino Linotype"/>
          <w:lang w:val="es-MX" w:eastAsia="en-US"/>
        </w:rPr>
      </w:pPr>
    </w:p>
    <w:p w:rsidR="009F09BC" w:rsidRPr="00855290"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855290">
        <w:rPr>
          <w:rFonts w:ascii="Palatino Linotype" w:hAnsi="Palatino Linotype"/>
          <w:b/>
          <w:color w:val="auto"/>
          <w:sz w:val="24"/>
          <w:szCs w:val="24"/>
        </w:rPr>
        <w:t>PRIMERO. De la competencia</w:t>
      </w:r>
      <w:bookmarkEnd w:id="135"/>
      <w:bookmarkEnd w:id="136"/>
    </w:p>
    <w:p w:rsidR="009F09BC" w:rsidRPr="00855290" w:rsidRDefault="009F09BC" w:rsidP="00855290">
      <w:pPr>
        <w:spacing w:line="360" w:lineRule="auto"/>
        <w:rPr>
          <w:rFonts w:ascii="Palatino Linotype" w:hAnsi="Palatino Linotype"/>
          <w:lang w:val="es-MX" w:eastAsia="en-US"/>
        </w:rPr>
      </w:pPr>
    </w:p>
    <w:p w:rsidR="00353F1D" w:rsidRDefault="00353F1D" w:rsidP="00DC1346">
      <w:pPr>
        <w:pStyle w:val="Prrafodelista"/>
        <w:numPr>
          <w:ilvl w:val="0"/>
          <w:numId w:val="1"/>
        </w:numPr>
        <w:spacing w:line="360" w:lineRule="auto"/>
        <w:ind w:left="0" w:firstLine="0"/>
        <w:jc w:val="both"/>
        <w:rPr>
          <w:rFonts w:ascii="Palatino Linotype" w:hAnsi="Palatino Linotype"/>
          <w:color w:val="000000" w:themeColor="text1"/>
        </w:rPr>
      </w:pPr>
      <w:r w:rsidRPr="00855290">
        <w:rPr>
          <w:rFonts w:ascii="Palatino Linotype" w:hAnsi="Palatino Linotype"/>
          <w:color w:val="000000" w:themeColor="text1"/>
        </w:rPr>
        <w:t xml:space="preserve">El </w:t>
      </w:r>
      <w:r w:rsidRPr="00855290">
        <w:rPr>
          <w:rFonts w:ascii="Palatino Linotype" w:hAnsi="Palatino Linotype"/>
        </w:rPr>
        <w:t>Instituto</w:t>
      </w:r>
      <w:r w:rsidRPr="00855290">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855290">
        <w:rPr>
          <w:rFonts w:ascii="Palatino Linotype" w:hAnsi="Palatino Linotype"/>
          <w:color w:val="000000" w:themeColor="text1"/>
        </w:rPr>
        <w:lastRenderedPageBreak/>
        <w:t>Transparencia, Acceso a la Información Pública y Protección de Datos Personales del Estado de México y Municipios.</w:t>
      </w:r>
    </w:p>
    <w:p w:rsidR="007210B9" w:rsidRPr="00855290" w:rsidRDefault="007210B9" w:rsidP="007210B9">
      <w:pPr>
        <w:pStyle w:val="Prrafodelista"/>
        <w:spacing w:line="360" w:lineRule="auto"/>
        <w:ind w:left="0"/>
        <w:jc w:val="both"/>
        <w:rPr>
          <w:rFonts w:ascii="Palatino Linotype" w:hAnsi="Palatino Linotype"/>
          <w:color w:val="000000" w:themeColor="text1"/>
        </w:rPr>
      </w:pPr>
    </w:p>
    <w:p w:rsidR="009F09BC" w:rsidRPr="00855290"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855290">
        <w:rPr>
          <w:rFonts w:ascii="Palatino Linotype" w:hAnsi="Palatino Linotype"/>
          <w:b/>
          <w:color w:val="auto"/>
          <w:sz w:val="24"/>
          <w:szCs w:val="24"/>
        </w:rPr>
        <w:t>SEGUNDO. De la oportunidad y procedencia.</w:t>
      </w:r>
      <w:bookmarkEnd w:id="137"/>
      <w:bookmarkEnd w:id="138"/>
    </w:p>
    <w:p w:rsidR="009F09BC" w:rsidRPr="00855290" w:rsidRDefault="009F09BC" w:rsidP="00855290">
      <w:pPr>
        <w:spacing w:line="360" w:lineRule="auto"/>
        <w:rPr>
          <w:rFonts w:ascii="Palatino Linotype" w:hAnsi="Palatino Linotype"/>
          <w:lang w:val="es-MX" w:eastAsia="en-US"/>
        </w:rPr>
      </w:pPr>
    </w:p>
    <w:p w:rsidR="009F09BC" w:rsidRPr="00855290" w:rsidRDefault="00425842" w:rsidP="00DC1346">
      <w:pPr>
        <w:pStyle w:val="Prrafodelista"/>
        <w:numPr>
          <w:ilvl w:val="0"/>
          <w:numId w:val="1"/>
        </w:numPr>
        <w:spacing w:line="360" w:lineRule="auto"/>
        <w:ind w:left="0" w:firstLine="0"/>
        <w:jc w:val="both"/>
        <w:rPr>
          <w:rFonts w:ascii="Palatino Linotype" w:hAnsi="Palatino Linotype"/>
        </w:rPr>
      </w:pPr>
      <w:r w:rsidRPr="00855290">
        <w:rPr>
          <w:rFonts w:ascii="Palatino Linotype" w:eastAsia="Calibri" w:hAnsi="Palatino Linotype" w:cs="Arial"/>
        </w:rPr>
        <w:t>El</w:t>
      </w:r>
      <w:r w:rsidR="00AD63B4" w:rsidRPr="00855290">
        <w:rPr>
          <w:rFonts w:ascii="Palatino Linotype" w:eastAsia="Calibri" w:hAnsi="Palatino Linotype" w:cs="Arial"/>
        </w:rPr>
        <w:t xml:space="preserve"> </w:t>
      </w:r>
      <w:r w:rsidR="009F09BC" w:rsidRPr="00855290">
        <w:rPr>
          <w:rFonts w:ascii="Palatino Linotype" w:eastAsia="Calibri" w:hAnsi="Palatino Linotype" w:cs="Arial"/>
        </w:rPr>
        <w:t xml:space="preserve">medio de impugnación fue presentado a través del </w:t>
      </w:r>
      <w:r w:rsidR="009F09BC" w:rsidRPr="00855290">
        <w:rPr>
          <w:rFonts w:ascii="Palatino Linotype" w:eastAsia="Calibri" w:hAnsi="Palatino Linotype" w:cs="Arial"/>
          <w:b/>
        </w:rPr>
        <w:t>SAIMEX,</w:t>
      </w:r>
      <w:r w:rsidR="009F09BC" w:rsidRPr="0085529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855290">
        <w:rPr>
          <w:rFonts w:ascii="Palatino Linotype" w:eastAsia="Calibri" w:hAnsi="Palatino Linotype" w:cs="Arial"/>
          <w:b/>
        </w:rPr>
        <w:t>SUJETO OBLIGADO</w:t>
      </w:r>
      <w:r w:rsidRPr="00855290">
        <w:rPr>
          <w:rFonts w:ascii="Palatino Linotype" w:eastAsia="Calibri" w:hAnsi="Palatino Linotype" w:cs="Arial"/>
        </w:rPr>
        <w:t xml:space="preserve"> entregó su</w:t>
      </w:r>
      <w:r w:rsidR="009F09BC" w:rsidRPr="00855290">
        <w:rPr>
          <w:rFonts w:ascii="Palatino Linotype" w:eastAsia="Calibri" w:hAnsi="Palatino Linotype" w:cs="Arial"/>
        </w:rPr>
        <w:t xml:space="preserve"> respuesta </w:t>
      </w:r>
      <w:r w:rsidRPr="00855290">
        <w:rPr>
          <w:rFonts w:ascii="Palatino Linotype" w:eastAsia="Calibri" w:hAnsi="Palatino Linotype" w:cs="Arial"/>
        </w:rPr>
        <w:t>e</w:t>
      </w:r>
      <w:r w:rsidR="009F09BC" w:rsidRPr="00855290">
        <w:rPr>
          <w:rFonts w:ascii="Palatino Linotype" w:eastAsia="Calibri" w:hAnsi="Palatino Linotype" w:cs="Arial"/>
        </w:rPr>
        <w:t xml:space="preserve">l </w:t>
      </w:r>
      <w:r w:rsidR="007371AC">
        <w:rPr>
          <w:rFonts w:ascii="Palatino Linotype" w:eastAsia="Calibri" w:hAnsi="Palatino Linotype" w:cs="Arial"/>
        </w:rPr>
        <w:t>diez</w:t>
      </w:r>
      <w:r w:rsidRPr="00855290">
        <w:rPr>
          <w:rFonts w:ascii="Palatino Linotype" w:eastAsia="Calibri" w:hAnsi="Palatino Linotype" w:cs="Arial"/>
        </w:rPr>
        <w:t xml:space="preserve"> (</w:t>
      </w:r>
      <w:r w:rsidR="00933A28" w:rsidRPr="00855290">
        <w:rPr>
          <w:rFonts w:ascii="Palatino Linotype" w:eastAsia="Calibri" w:hAnsi="Palatino Linotype" w:cs="Arial"/>
        </w:rPr>
        <w:t>1</w:t>
      </w:r>
      <w:r w:rsidR="007371AC">
        <w:rPr>
          <w:rFonts w:ascii="Palatino Linotype" w:eastAsia="Calibri" w:hAnsi="Palatino Linotype" w:cs="Arial"/>
        </w:rPr>
        <w:t>0</w:t>
      </w:r>
      <w:r w:rsidR="009F09BC" w:rsidRPr="00855290">
        <w:rPr>
          <w:rFonts w:ascii="Palatino Linotype" w:eastAsia="Calibri" w:hAnsi="Palatino Linotype" w:cs="Arial"/>
        </w:rPr>
        <w:t xml:space="preserve">) de </w:t>
      </w:r>
      <w:r w:rsidR="00052A8F">
        <w:rPr>
          <w:rFonts w:ascii="Palatino Linotype" w:eastAsia="Calibri" w:hAnsi="Palatino Linotype" w:cs="Arial"/>
        </w:rPr>
        <w:t>febre</w:t>
      </w:r>
      <w:r w:rsidRPr="00855290">
        <w:rPr>
          <w:rFonts w:ascii="Palatino Linotype" w:eastAsia="Calibri" w:hAnsi="Palatino Linotype" w:cs="Arial"/>
        </w:rPr>
        <w:t>ro de dos mil veintidós</w:t>
      </w:r>
      <w:r w:rsidR="009F09BC" w:rsidRPr="00855290">
        <w:rPr>
          <w:rFonts w:ascii="Palatino Linotype" w:eastAsia="Calibri" w:hAnsi="Palatino Linotype" w:cs="Arial"/>
        </w:rPr>
        <w:t xml:space="preserve">, </w:t>
      </w:r>
      <w:r w:rsidR="009F09BC" w:rsidRPr="00855290">
        <w:rPr>
          <w:rFonts w:ascii="Palatino Linotype" w:hAnsi="Palatino Linotype" w:cs="Arial"/>
        </w:rPr>
        <w:t xml:space="preserve">de tal forma que </w:t>
      </w:r>
      <w:r w:rsidRPr="00855290">
        <w:rPr>
          <w:rFonts w:ascii="Palatino Linotype" w:hAnsi="Palatino Linotype" w:cs="Arial"/>
        </w:rPr>
        <w:t>e</w:t>
      </w:r>
      <w:r w:rsidR="009F09BC" w:rsidRPr="00855290">
        <w:rPr>
          <w:rFonts w:ascii="Palatino Linotype" w:hAnsi="Palatino Linotype" w:cs="Arial"/>
        </w:rPr>
        <w:t xml:space="preserve">l plazo para interponer </w:t>
      </w:r>
      <w:r w:rsidRPr="00855290">
        <w:rPr>
          <w:rFonts w:ascii="Palatino Linotype" w:hAnsi="Palatino Linotype" w:cs="Arial"/>
        </w:rPr>
        <w:t>e</w:t>
      </w:r>
      <w:r w:rsidR="009F09BC" w:rsidRPr="00855290">
        <w:rPr>
          <w:rFonts w:ascii="Palatino Linotype" w:hAnsi="Palatino Linotype" w:cs="Arial"/>
        </w:rPr>
        <w:t xml:space="preserve">l recurso de revisión </w:t>
      </w:r>
      <w:r w:rsidRPr="00855290">
        <w:rPr>
          <w:rFonts w:ascii="Palatino Linotype" w:hAnsi="Palatino Linotype" w:cs="Arial"/>
        </w:rPr>
        <w:t>transcurrió</w:t>
      </w:r>
      <w:r w:rsidR="009F09BC" w:rsidRPr="00855290">
        <w:rPr>
          <w:rFonts w:ascii="Palatino Linotype" w:hAnsi="Palatino Linotype" w:cs="Arial"/>
        </w:rPr>
        <w:t xml:space="preserve"> del día </w:t>
      </w:r>
      <w:r w:rsidR="007371AC">
        <w:rPr>
          <w:rFonts w:ascii="Palatino Linotype" w:hAnsi="Palatino Linotype" w:cs="Arial"/>
        </w:rPr>
        <w:t>once</w:t>
      </w:r>
      <w:r w:rsidRPr="00855290">
        <w:rPr>
          <w:rFonts w:ascii="Palatino Linotype" w:hAnsi="Palatino Linotype" w:cs="Arial"/>
        </w:rPr>
        <w:t xml:space="preserve"> (</w:t>
      </w:r>
      <w:r w:rsidR="001634DC">
        <w:rPr>
          <w:rFonts w:ascii="Palatino Linotype" w:hAnsi="Palatino Linotype" w:cs="Arial"/>
        </w:rPr>
        <w:t>1</w:t>
      </w:r>
      <w:r w:rsidR="007371AC">
        <w:rPr>
          <w:rFonts w:ascii="Palatino Linotype" w:hAnsi="Palatino Linotype" w:cs="Arial"/>
        </w:rPr>
        <w:t>1</w:t>
      </w:r>
      <w:r w:rsidR="009F09BC" w:rsidRPr="00855290">
        <w:rPr>
          <w:rFonts w:ascii="Palatino Linotype" w:hAnsi="Palatino Linotype" w:cs="Arial"/>
        </w:rPr>
        <w:t xml:space="preserve">) de </w:t>
      </w:r>
      <w:r w:rsidR="0032678A">
        <w:rPr>
          <w:rFonts w:ascii="Palatino Linotype" w:hAnsi="Palatino Linotype" w:cs="Arial"/>
        </w:rPr>
        <w:t>febre</w:t>
      </w:r>
      <w:r w:rsidRPr="00855290">
        <w:rPr>
          <w:rFonts w:ascii="Palatino Linotype" w:hAnsi="Palatino Linotype" w:cs="Arial"/>
        </w:rPr>
        <w:t>ro</w:t>
      </w:r>
      <w:r w:rsidR="006F3EF7" w:rsidRPr="00855290">
        <w:rPr>
          <w:rFonts w:ascii="Palatino Linotype" w:hAnsi="Palatino Linotype" w:cs="Arial"/>
        </w:rPr>
        <w:t xml:space="preserve"> al </w:t>
      </w:r>
      <w:r w:rsidR="007371AC">
        <w:rPr>
          <w:rFonts w:ascii="Palatino Linotype" w:hAnsi="Palatino Linotype" w:cs="Arial"/>
        </w:rPr>
        <w:t>cuatro</w:t>
      </w:r>
      <w:r w:rsidR="009F09BC" w:rsidRPr="00855290">
        <w:rPr>
          <w:rFonts w:ascii="Palatino Linotype" w:hAnsi="Palatino Linotype" w:cs="Arial"/>
        </w:rPr>
        <w:t xml:space="preserve"> (</w:t>
      </w:r>
      <w:r w:rsidR="002947D2">
        <w:rPr>
          <w:rFonts w:ascii="Palatino Linotype" w:hAnsi="Palatino Linotype" w:cs="Arial"/>
        </w:rPr>
        <w:t>0</w:t>
      </w:r>
      <w:r w:rsidR="007371AC">
        <w:rPr>
          <w:rFonts w:ascii="Palatino Linotype" w:hAnsi="Palatino Linotype" w:cs="Arial"/>
        </w:rPr>
        <w:t>4</w:t>
      </w:r>
      <w:r w:rsidR="009F09BC" w:rsidRPr="00855290">
        <w:rPr>
          <w:rFonts w:ascii="Palatino Linotype" w:hAnsi="Palatino Linotype" w:cs="Arial"/>
        </w:rPr>
        <w:t>)</w:t>
      </w:r>
      <w:r w:rsidR="0001674C" w:rsidRPr="00855290">
        <w:rPr>
          <w:rFonts w:ascii="Palatino Linotype" w:hAnsi="Palatino Linotype" w:cs="Arial"/>
        </w:rPr>
        <w:t xml:space="preserve"> de </w:t>
      </w:r>
      <w:r w:rsidR="0032678A">
        <w:rPr>
          <w:rFonts w:ascii="Palatino Linotype" w:hAnsi="Palatino Linotype" w:cs="Arial"/>
        </w:rPr>
        <w:t>marz</w:t>
      </w:r>
      <w:r w:rsidRPr="00855290">
        <w:rPr>
          <w:rFonts w:ascii="Palatino Linotype" w:hAnsi="Palatino Linotype" w:cs="Arial"/>
        </w:rPr>
        <w:t>o</w:t>
      </w:r>
      <w:r w:rsidR="0001674C" w:rsidRPr="00855290">
        <w:rPr>
          <w:rFonts w:ascii="Palatino Linotype" w:hAnsi="Palatino Linotype" w:cs="Arial"/>
        </w:rPr>
        <w:t xml:space="preserve"> de dos mil </w:t>
      </w:r>
      <w:r w:rsidRPr="00855290">
        <w:rPr>
          <w:rFonts w:ascii="Palatino Linotype" w:hAnsi="Palatino Linotype" w:cs="Arial"/>
        </w:rPr>
        <w:t>veintidós</w:t>
      </w:r>
      <w:r w:rsidR="0001674C" w:rsidRPr="00855290">
        <w:rPr>
          <w:rFonts w:ascii="Palatino Linotype" w:hAnsi="Palatino Linotype" w:cs="Arial"/>
        </w:rPr>
        <w:t>; e</w:t>
      </w:r>
      <w:r w:rsidR="009F09BC" w:rsidRPr="00855290">
        <w:rPr>
          <w:rFonts w:ascii="Palatino Linotype" w:hAnsi="Palatino Linotype" w:cs="Arial"/>
        </w:rPr>
        <w:t xml:space="preserve">n consecuencia, el ahora </w:t>
      </w:r>
      <w:r w:rsidR="009F09BC" w:rsidRPr="00855290">
        <w:rPr>
          <w:rFonts w:ascii="Palatino Linotype" w:hAnsi="Palatino Linotype" w:cs="Arial"/>
          <w:b/>
        </w:rPr>
        <w:t>RECURRENTE</w:t>
      </w:r>
      <w:r w:rsidR="009F09BC" w:rsidRPr="00855290">
        <w:rPr>
          <w:rFonts w:ascii="Palatino Linotype" w:hAnsi="Palatino Linotype" w:cs="Arial"/>
        </w:rPr>
        <w:t xml:space="preserve"> presentó </w:t>
      </w:r>
      <w:r w:rsidR="00CA1063" w:rsidRPr="00855290">
        <w:rPr>
          <w:rFonts w:ascii="Palatino Linotype" w:hAnsi="Palatino Linotype" w:cs="Arial"/>
        </w:rPr>
        <w:t xml:space="preserve">su inconformidad el día </w:t>
      </w:r>
      <w:r w:rsidR="002947D2">
        <w:rPr>
          <w:rFonts w:ascii="Palatino Linotype" w:hAnsi="Palatino Linotype" w:cs="Arial"/>
        </w:rPr>
        <w:t>veintiocho</w:t>
      </w:r>
      <w:r w:rsidR="009F09BC" w:rsidRPr="00855290">
        <w:rPr>
          <w:rFonts w:ascii="Palatino Linotype" w:hAnsi="Palatino Linotype" w:cs="Arial"/>
        </w:rPr>
        <w:t xml:space="preserve"> (</w:t>
      </w:r>
      <w:r w:rsidR="002947D2">
        <w:rPr>
          <w:rFonts w:ascii="Palatino Linotype" w:hAnsi="Palatino Linotype" w:cs="Arial"/>
        </w:rPr>
        <w:t>28</w:t>
      </w:r>
      <w:r w:rsidR="009F09BC" w:rsidRPr="00855290">
        <w:rPr>
          <w:rFonts w:ascii="Palatino Linotype" w:hAnsi="Palatino Linotype" w:cs="Arial"/>
        </w:rPr>
        <w:t xml:space="preserve">) de </w:t>
      </w:r>
      <w:r w:rsidR="002947D2">
        <w:rPr>
          <w:rFonts w:ascii="Palatino Linotype" w:hAnsi="Palatino Linotype" w:cs="Arial"/>
        </w:rPr>
        <w:t>febrer</w:t>
      </w:r>
      <w:r w:rsidR="006F3EF7" w:rsidRPr="00855290">
        <w:rPr>
          <w:rFonts w:ascii="Palatino Linotype" w:hAnsi="Palatino Linotype" w:cs="Arial"/>
        </w:rPr>
        <w:t>o de dos mil veintidós</w:t>
      </w:r>
      <w:r w:rsidR="009F09BC" w:rsidRPr="00855290">
        <w:rPr>
          <w:rFonts w:ascii="Palatino Linotype" w:hAnsi="Palatino Linotype" w:cs="Arial"/>
        </w:rPr>
        <w:t xml:space="preserve">; </w:t>
      </w:r>
      <w:r w:rsidR="001634DC">
        <w:rPr>
          <w:rFonts w:ascii="Palatino Linotype" w:hAnsi="Palatino Linotype" w:cs="Arial"/>
        </w:rPr>
        <w:t xml:space="preserve">es decir, </w:t>
      </w:r>
      <w:r w:rsidR="0032678A">
        <w:rPr>
          <w:rFonts w:ascii="Palatino Linotype" w:hAnsi="Palatino Linotype" w:cs="Arial"/>
        </w:rPr>
        <w:t>dentro</w:t>
      </w:r>
      <w:r w:rsidR="001634DC">
        <w:rPr>
          <w:rFonts w:ascii="Palatino Linotype" w:hAnsi="Palatino Linotype" w:cs="Arial"/>
        </w:rPr>
        <w:t xml:space="preserve"> </w:t>
      </w:r>
      <w:r w:rsidR="0032678A">
        <w:rPr>
          <w:rFonts w:ascii="Palatino Linotype" w:hAnsi="Palatino Linotype" w:cs="Arial"/>
        </w:rPr>
        <w:t>d</w:t>
      </w:r>
      <w:r w:rsidR="009F09BC" w:rsidRPr="00855290">
        <w:rPr>
          <w:rFonts w:ascii="Palatino Linotype" w:hAnsi="Palatino Linotype" w:cs="Arial"/>
        </w:rPr>
        <w:t>el lapso legalmente establecido para tal efecto.</w:t>
      </w:r>
    </w:p>
    <w:p w:rsidR="009F09BC" w:rsidRPr="00855290" w:rsidRDefault="009F09BC" w:rsidP="00855290">
      <w:pPr>
        <w:pStyle w:val="Prrafodelista"/>
        <w:spacing w:line="360" w:lineRule="auto"/>
        <w:rPr>
          <w:rFonts w:ascii="Palatino Linotype" w:hAnsi="Palatino Linotype"/>
        </w:rPr>
      </w:pPr>
    </w:p>
    <w:p w:rsidR="001634DC" w:rsidRDefault="0032678A" w:rsidP="00DC1346">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Por otro lado</w:t>
      </w:r>
      <w:r w:rsidR="001634DC">
        <w:rPr>
          <w:rFonts w:ascii="Palatino Linotype" w:hAnsi="Palatino Linotype"/>
        </w:rPr>
        <w:t>, d</w:t>
      </w:r>
      <w:r w:rsidR="001634DC" w:rsidRPr="009B7FA3">
        <w:rPr>
          <w:rFonts w:ascii="Palatino Linotype" w:hAnsi="Palatino Linotype"/>
        </w:rPr>
        <w:t xml:space="preserve">e la revisión al expediente electrónico del SAIMEX se desprende que la </w:t>
      </w:r>
      <w:r w:rsidR="001634DC" w:rsidRPr="000D3738">
        <w:rPr>
          <w:rFonts w:ascii="Palatino Linotype" w:eastAsia="Calibri" w:hAnsi="Palatino Linotype" w:cs="Arial"/>
        </w:rPr>
        <w:t>parte</w:t>
      </w:r>
      <w:r w:rsidR="001634DC"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sidR="001634DC">
        <w:rPr>
          <w:rFonts w:ascii="Palatino Linotype" w:hAnsi="Palatino Linotype"/>
        </w:rPr>
        <w:t>za sobre su identidad;</w:t>
      </w:r>
      <w:r w:rsidR="001634DC"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634DC" w:rsidRDefault="001634DC" w:rsidP="001634DC">
      <w:pPr>
        <w:pStyle w:val="Prrafodelista"/>
        <w:spacing w:line="360" w:lineRule="auto"/>
        <w:ind w:left="0"/>
        <w:jc w:val="both"/>
        <w:rPr>
          <w:rFonts w:ascii="Palatino Linotype" w:hAnsi="Palatino Linotype"/>
        </w:rPr>
      </w:pPr>
    </w:p>
    <w:p w:rsidR="001634DC" w:rsidRDefault="001634DC" w:rsidP="00DC1346">
      <w:pPr>
        <w:pStyle w:val="Prrafodelista"/>
        <w:numPr>
          <w:ilvl w:val="0"/>
          <w:numId w:val="1"/>
        </w:numPr>
        <w:spacing w:line="360" w:lineRule="auto"/>
        <w:ind w:left="0" w:firstLine="0"/>
        <w:jc w:val="both"/>
        <w:rPr>
          <w:rFonts w:ascii="Palatino Linotype" w:hAnsi="Palatino Linotype"/>
        </w:rPr>
      </w:pPr>
      <w:r w:rsidRPr="009B7FA3">
        <w:rPr>
          <w:rFonts w:ascii="Palatino Linotype" w:hAnsi="Palatino Linotype"/>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634DC" w:rsidRPr="00BE1923" w:rsidRDefault="001634DC" w:rsidP="001634DC">
      <w:pPr>
        <w:pStyle w:val="Prrafodelista"/>
        <w:rPr>
          <w:rFonts w:ascii="Palatino Linotype" w:hAnsi="Palatino Linotype"/>
        </w:rPr>
      </w:pPr>
    </w:p>
    <w:p w:rsidR="001634DC" w:rsidRDefault="001634DC" w:rsidP="00DC1346">
      <w:pPr>
        <w:pStyle w:val="Prrafodelista"/>
        <w:numPr>
          <w:ilvl w:val="0"/>
          <w:numId w:val="1"/>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60605" w:rsidRPr="00160605" w:rsidRDefault="00160605" w:rsidP="00160605">
      <w:pPr>
        <w:pStyle w:val="Prrafodelista"/>
        <w:rPr>
          <w:rFonts w:ascii="Palatino Linotype" w:hAnsi="Palatino Linotype"/>
        </w:rPr>
      </w:pPr>
    </w:p>
    <w:p w:rsidR="001634DC" w:rsidRDefault="001634DC" w:rsidP="00DC1346">
      <w:pPr>
        <w:pStyle w:val="Prrafodelista"/>
        <w:numPr>
          <w:ilvl w:val="0"/>
          <w:numId w:val="1"/>
        </w:numPr>
        <w:spacing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634DC" w:rsidRPr="00BE1923" w:rsidRDefault="001634DC" w:rsidP="001634DC">
      <w:pPr>
        <w:pStyle w:val="Prrafodelista"/>
        <w:rPr>
          <w:rFonts w:ascii="Palatino Linotype" w:hAnsi="Palatino Linotype"/>
        </w:rPr>
      </w:pPr>
    </w:p>
    <w:p w:rsidR="007C3761" w:rsidRPr="001634DC" w:rsidRDefault="001634DC" w:rsidP="00DC1346">
      <w:pPr>
        <w:pStyle w:val="Prrafodelista"/>
        <w:numPr>
          <w:ilvl w:val="0"/>
          <w:numId w:val="1"/>
        </w:numPr>
        <w:spacing w:line="360" w:lineRule="auto"/>
        <w:ind w:left="0" w:firstLine="0"/>
        <w:jc w:val="both"/>
        <w:rPr>
          <w:rFonts w:ascii="Palatino Linotype" w:hAnsi="Palatino Linotype"/>
        </w:rPr>
      </w:pPr>
      <w:r w:rsidRPr="009B7FA3">
        <w:rPr>
          <w:rFonts w:ascii="Palatino Linotype" w:hAnsi="Palatino Linotype"/>
        </w:rPr>
        <w:lastRenderedPageBreak/>
        <w:t xml:space="preserve">Por lo que el nombre del solicitando y recurrente no puede ser considerado un requisito indispensable de </w:t>
      </w:r>
      <w:proofErr w:type="spellStart"/>
      <w:r w:rsidRPr="009B7FA3">
        <w:rPr>
          <w:rFonts w:ascii="Palatino Linotype" w:hAnsi="Palatino Linotype"/>
        </w:rPr>
        <w:t>procedibilidad</w:t>
      </w:r>
      <w:proofErr w:type="spellEnd"/>
      <w:r w:rsidRPr="009B7FA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7FA3">
        <w:rPr>
          <w:rFonts w:ascii="Palatino Linotype" w:hAnsi="Palatino Linotype"/>
        </w:rPr>
        <w:t>Resolutor</w:t>
      </w:r>
      <w:proofErr w:type="spellEnd"/>
      <w:r w:rsidRPr="009B7FA3">
        <w:rPr>
          <w:rFonts w:ascii="Palatino Linotype" w:hAnsi="Palatino Linotype"/>
        </w:rPr>
        <w:t>.</w:t>
      </w:r>
    </w:p>
    <w:p w:rsidR="007C3761" w:rsidRPr="00855290" w:rsidRDefault="007C3761" w:rsidP="00855290">
      <w:pPr>
        <w:pStyle w:val="Prrafodelista"/>
        <w:spacing w:line="360" w:lineRule="auto"/>
        <w:rPr>
          <w:rFonts w:ascii="Palatino Linotype" w:eastAsia="Calibri" w:hAnsi="Palatino Linotype" w:cs="Arial"/>
        </w:rPr>
      </w:pPr>
    </w:p>
    <w:p w:rsidR="009F09BC" w:rsidRPr="00015C80" w:rsidRDefault="009F09BC" w:rsidP="00DC1346">
      <w:pPr>
        <w:pStyle w:val="Prrafodelista"/>
        <w:numPr>
          <w:ilvl w:val="0"/>
          <w:numId w:val="1"/>
        </w:numPr>
        <w:spacing w:line="360" w:lineRule="auto"/>
        <w:ind w:left="0" w:firstLine="0"/>
        <w:jc w:val="both"/>
        <w:rPr>
          <w:rFonts w:ascii="Palatino Linotype" w:hAnsi="Palatino Linotype"/>
        </w:rPr>
      </w:pPr>
      <w:r w:rsidRPr="00855290">
        <w:rPr>
          <w:rFonts w:ascii="Palatino Linotype" w:eastAsia="Calibri" w:hAnsi="Palatino Linotype" w:cs="Arial"/>
        </w:rPr>
        <w:t xml:space="preserve">Asimismo, </w:t>
      </w:r>
      <w:r w:rsidR="00CF0D2B" w:rsidRPr="00855290">
        <w:rPr>
          <w:rFonts w:ascii="Palatino Linotype" w:eastAsia="Calibri" w:hAnsi="Palatino Linotype" w:cs="Arial"/>
        </w:rPr>
        <w:t>e</w:t>
      </w:r>
      <w:r w:rsidRPr="00855290">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15C80" w:rsidRPr="00015C80" w:rsidRDefault="00015C80" w:rsidP="00015C80">
      <w:pPr>
        <w:pStyle w:val="Prrafodelista"/>
        <w:rPr>
          <w:rFonts w:ascii="Palatino Linotype" w:hAnsi="Palatino Linotype"/>
        </w:rPr>
      </w:pPr>
    </w:p>
    <w:p w:rsidR="0032678A" w:rsidRPr="0032678A" w:rsidRDefault="0032678A" w:rsidP="0032678A">
      <w:pPr>
        <w:pStyle w:val="Prrafodelista"/>
        <w:rPr>
          <w:rFonts w:ascii="Palatino Linotype" w:hAnsi="Palatino Linotype"/>
        </w:rPr>
      </w:pPr>
    </w:p>
    <w:p w:rsidR="00C70E5B" w:rsidRPr="00855290" w:rsidRDefault="00004D06" w:rsidP="00C70E5B">
      <w:pPr>
        <w:pStyle w:val="Ttulo2"/>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Pr>
          <w:rFonts w:ascii="Palatino Linotype" w:hAnsi="Palatino Linotype"/>
          <w:b/>
          <w:color w:val="000000" w:themeColor="text1"/>
          <w:sz w:val="24"/>
          <w:szCs w:val="24"/>
        </w:rPr>
        <w:t>TERCERO</w:t>
      </w:r>
      <w:r w:rsidR="009F09BC" w:rsidRPr="00855290">
        <w:rPr>
          <w:rFonts w:ascii="Palatino Linotype" w:hAnsi="Palatino Linotype"/>
          <w:b/>
          <w:color w:val="000000" w:themeColor="text1"/>
          <w:sz w:val="24"/>
          <w:szCs w:val="24"/>
        </w:rPr>
        <w:t xml:space="preserve">. </w:t>
      </w:r>
      <w:bookmarkEnd w:id="139"/>
      <w:bookmarkEnd w:id="140"/>
      <w:bookmarkEnd w:id="141"/>
      <w:bookmarkEnd w:id="142"/>
      <w:r w:rsidR="00C70E5B" w:rsidRPr="00041972">
        <w:rPr>
          <w:rFonts w:ascii="Palatino Linotype" w:hAnsi="Palatino Linotype"/>
          <w:b/>
          <w:color w:val="000000" w:themeColor="text1"/>
          <w:sz w:val="24"/>
          <w:szCs w:val="24"/>
        </w:rPr>
        <w:t>De</w:t>
      </w:r>
      <w:r w:rsidR="007C2591">
        <w:rPr>
          <w:rFonts w:ascii="Palatino Linotype" w:hAnsi="Palatino Linotype"/>
          <w:b/>
          <w:color w:val="000000" w:themeColor="text1"/>
          <w:sz w:val="24"/>
          <w:szCs w:val="24"/>
        </w:rPr>
        <w:t xml:space="preserve">l planteamiento de la </w:t>
      </w:r>
      <w:r w:rsidR="007C2591" w:rsidRPr="007C2591">
        <w:rPr>
          <w:rFonts w:ascii="Palatino Linotype" w:hAnsi="Palatino Linotype"/>
          <w:b/>
          <w:i/>
          <w:color w:val="000000" w:themeColor="text1"/>
          <w:sz w:val="24"/>
          <w:szCs w:val="24"/>
        </w:rPr>
        <w:t>Litis</w:t>
      </w:r>
      <w:r w:rsidR="00C70E5B">
        <w:rPr>
          <w:rFonts w:ascii="Palatino Linotype" w:hAnsi="Palatino Linotype"/>
          <w:b/>
          <w:color w:val="000000" w:themeColor="text1"/>
          <w:sz w:val="24"/>
          <w:szCs w:val="24"/>
        </w:rPr>
        <w:t>.</w:t>
      </w:r>
    </w:p>
    <w:p w:rsidR="009F09BC" w:rsidRPr="00855290" w:rsidRDefault="009F09BC" w:rsidP="00855290">
      <w:pPr>
        <w:spacing w:line="360" w:lineRule="auto"/>
        <w:rPr>
          <w:rFonts w:ascii="Palatino Linotype" w:hAnsi="Palatino Linotype"/>
          <w:lang w:val="es-MX" w:eastAsia="en-US"/>
        </w:rPr>
      </w:pPr>
    </w:p>
    <w:p w:rsidR="009F09BC" w:rsidRPr="00855290" w:rsidRDefault="009F09BC" w:rsidP="00DC1346">
      <w:pPr>
        <w:pStyle w:val="Prrafodelista"/>
        <w:numPr>
          <w:ilvl w:val="0"/>
          <w:numId w:val="1"/>
        </w:numPr>
        <w:spacing w:line="360" w:lineRule="auto"/>
        <w:ind w:left="0" w:firstLine="0"/>
        <w:jc w:val="both"/>
        <w:rPr>
          <w:rFonts w:ascii="Palatino Linotype" w:hAnsi="Palatino Linotype" w:cs="Arial"/>
        </w:rPr>
      </w:pPr>
      <w:r w:rsidRPr="00855290">
        <w:rPr>
          <w:rFonts w:ascii="Palatino Linotype" w:hAnsi="Palatino Linotype" w:cs="Arial"/>
        </w:rPr>
        <w:t xml:space="preserve">Se </w:t>
      </w:r>
      <w:r w:rsidRPr="00855290">
        <w:rPr>
          <w:rFonts w:ascii="Palatino Linotype" w:eastAsia="Calibri" w:hAnsi="Palatino Linotype" w:cs="Arial"/>
        </w:rPr>
        <w:t>solicitó</w:t>
      </w:r>
      <w:r w:rsidRPr="00855290">
        <w:rPr>
          <w:rFonts w:ascii="Palatino Linotype" w:hAnsi="Palatino Linotype" w:cs="Arial"/>
        </w:rPr>
        <w:t xml:space="preserve"> </w:t>
      </w:r>
      <w:r w:rsidR="00AD63B4" w:rsidRPr="00855290">
        <w:rPr>
          <w:rFonts w:ascii="Palatino Linotype" w:hAnsi="Palatino Linotype" w:cs="Arial"/>
        </w:rPr>
        <w:t xml:space="preserve">tener acceso, a la </w:t>
      </w:r>
      <w:r w:rsidRPr="00855290">
        <w:rPr>
          <w:rFonts w:ascii="Palatino Linotype" w:hAnsi="Palatino Linotype" w:cs="Arial"/>
        </w:rPr>
        <w:t>información que a continuación se desagrega:</w:t>
      </w:r>
    </w:p>
    <w:p w:rsidR="009F09BC" w:rsidRPr="00855290" w:rsidRDefault="009F09BC" w:rsidP="00855290">
      <w:pPr>
        <w:pStyle w:val="Prrafodelista"/>
        <w:spacing w:line="360" w:lineRule="auto"/>
        <w:ind w:left="0"/>
        <w:jc w:val="both"/>
        <w:rPr>
          <w:rFonts w:ascii="Palatino Linotype" w:hAnsi="Palatino Linotype" w:cs="Arial"/>
        </w:rPr>
      </w:pPr>
    </w:p>
    <w:p w:rsidR="00015C80" w:rsidRDefault="000551FB" w:rsidP="00DC1346">
      <w:pPr>
        <w:pStyle w:val="Prrafodelista"/>
        <w:numPr>
          <w:ilvl w:val="1"/>
          <w:numId w:val="4"/>
        </w:numPr>
        <w:spacing w:line="360" w:lineRule="auto"/>
        <w:ind w:left="993"/>
        <w:jc w:val="both"/>
        <w:rPr>
          <w:rFonts w:ascii="Palatino Linotype" w:hAnsi="Palatino Linotype" w:cs="Arial"/>
          <w:b/>
        </w:rPr>
      </w:pPr>
      <w:r w:rsidRPr="000551FB">
        <w:rPr>
          <w:rFonts w:ascii="Palatino Linotype" w:hAnsi="Palatino Linotype" w:cs="Arial"/>
          <w:b/>
        </w:rPr>
        <w:t>Constancias de no inhabilitación del personal que causó alta en la primera</w:t>
      </w:r>
      <w:r>
        <w:rPr>
          <w:rFonts w:ascii="Palatino Linotype" w:hAnsi="Palatino Linotype" w:cs="Arial"/>
          <w:b/>
        </w:rPr>
        <w:t xml:space="preserve"> quincena de enero del año 2022.</w:t>
      </w:r>
    </w:p>
    <w:p w:rsidR="000551FB" w:rsidRPr="000551FB" w:rsidRDefault="000551FB" w:rsidP="000551FB">
      <w:pPr>
        <w:pStyle w:val="Prrafodelista"/>
        <w:spacing w:line="360" w:lineRule="auto"/>
        <w:ind w:left="993"/>
        <w:jc w:val="both"/>
        <w:rPr>
          <w:rFonts w:ascii="Palatino Linotype" w:hAnsi="Palatino Linotype" w:cs="Arial"/>
          <w:b/>
        </w:rPr>
      </w:pPr>
    </w:p>
    <w:p w:rsidR="006F3EF7" w:rsidRDefault="006F3EF7" w:rsidP="00DC1346">
      <w:pPr>
        <w:numPr>
          <w:ilvl w:val="0"/>
          <w:numId w:val="1"/>
        </w:numPr>
        <w:spacing w:line="360" w:lineRule="auto"/>
        <w:ind w:left="0" w:firstLine="0"/>
        <w:contextualSpacing/>
        <w:jc w:val="both"/>
        <w:rPr>
          <w:rFonts w:ascii="Palatino Linotype" w:hAnsi="Palatino Linotype" w:cs="Arial"/>
        </w:rPr>
      </w:pPr>
      <w:r w:rsidRPr="00855290">
        <w:rPr>
          <w:rFonts w:ascii="Palatino Linotype" w:hAnsi="Palatino Linotype" w:cs="Arial"/>
        </w:rPr>
        <w:t xml:space="preserve">En respuesta, el </w:t>
      </w:r>
      <w:r w:rsidRPr="00855290">
        <w:rPr>
          <w:rFonts w:ascii="Palatino Linotype" w:hAnsi="Palatino Linotype" w:cs="Arial"/>
          <w:b/>
        </w:rPr>
        <w:t>SUJETO OBLIGADO</w:t>
      </w:r>
      <w:r w:rsidRPr="00855290">
        <w:rPr>
          <w:rFonts w:ascii="Palatino Linotype" w:hAnsi="Palatino Linotype" w:cs="Arial"/>
        </w:rPr>
        <w:t xml:space="preserve"> </w:t>
      </w:r>
      <w:r w:rsidR="009A1604" w:rsidRPr="00855290">
        <w:rPr>
          <w:rFonts w:ascii="Palatino Linotype" w:hAnsi="Palatino Linotype" w:cs="Arial"/>
        </w:rPr>
        <w:t xml:space="preserve">señaló </w:t>
      </w:r>
      <w:r w:rsidR="00B24ADA">
        <w:rPr>
          <w:rFonts w:ascii="Palatino Linotype" w:hAnsi="Palatino Linotype" w:cs="Arial"/>
        </w:rPr>
        <w:t>a través del Director General de Administración en su calidad de servidor público habilitado, que luego de una búsqueda en los archivos de la Subdirección de Recursos Humanos, no se encontró información al respecto.</w:t>
      </w:r>
    </w:p>
    <w:p w:rsidR="0046393D" w:rsidRPr="00855290" w:rsidRDefault="0046393D" w:rsidP="0046393D">
      <w:pPr>
        <w:spacing w:line="360" w:lineRule="auto"/>
        <w:ind w:left="360"/>
        <w:contextualSpacing/>
        <w:jc w:val="both"/>
        <w:rPr>
          <w:rFonts w:ascii="Palatino Linotype" w:hAnsi="Palatino Linotype" w:cs="Arial"/>
        </w:rPr>
      </w:pPr>
    </w:p>
    <w:p w:rsidR="009F09BC" w:rsidRPr="00855290" w:rsidRDefault="009F09BC" w:rsidP="00DC1346">
      <w:pPr>
        <w:numPr>
          <w:ilvl w:val="0"/>
          <w:numId w:val="1"/>
        </w:numPr>
        <w:spacing w:line="360" w:lineRule="auto"/>
        <w:ind w:left="0" w:firstLine="0"/>
        <w:contextualSpacing/>
        <w:jc w:val="both"/>
        <w:rPr>
          <w:rFonts w:ascii="Palatino Linotype" w:hAnsi="Palatino Linotype" w:cs="Arial"/>
        </w:rPr>
      </w:pPr>
      <w:r w:rsidRPr="00855290">
        <w:rPr>
          <w:rFonts w:ascii="Palatino Linotype" w:hAnsi="Palatino Linotype" w:cs="Arial"/>
          <w:b/>
        </w:rPr>
        <w:lastRenderedPageBreak/>
        <w:t>EL PARTICULAR</w:t>
      </w:r>
      <w:r w:rsidR="00112D7E" w:rsidRPr="00855290">
        <w:rPr>
          <w:rFonts w:ascii="Palatino Linotype" w:hAnsi="Palatino Linotype" w:cs="Arial"/>
          <w:b/>
        </w:rPr>
        <w:t>,</w:t>
      </w:r>
      <w:r w:rsidRPr="00855290">
        <w:rPr>
          <w:rFonts w:ascii="Palatino Linotype" w:hAnsi="Palatino Linotype" w:cs="Arial"/>
          <w:b/>
        </w:rPr>
        <w:t xml:space="preserve"> </w:t>
      </w:r>
      <w:r w:rsidRPr="00855290">
        <w:rPr>
          <w:rFonts w:ascii="Palatino Linotype" w:hAnsi="Palatino Linotype" w:cs="Arial"/>
        </w:rPr>
        <w:t>inconforme con la respuesta</w:t>
      </w:r>
      <w:r w:rsidR="00402466" w:rsidRPr="00855290">
        <w:rPr>
          <w:rFonts w:ascii="Palatino Linotype" w:hAnsi="Palatino Linotype" w:cs="Arial"/>
        </w:rPr>
        <w:t xml:space="preserve"> interpuso recurso de revisión</w:t>
      </w:r>
      <w:r w:rsidRPr="00855290">
        <w:rPr>
          <w:rFonts w:ascii="Palatino Linotype" w:hAnsi="Palatino Linotype" w:cs="Arial"/>
        </w:rPr>
        <w:t xml:space="preserve">, </w:t>
      </w:r>
      <w:r w:rsidR="00402466" w:rsidRPr="00855290">
        <w:rPr>
          <w:rFonts w:ascii="Palatino Linotype" w:hAnsi="Palatino Linotype" w:cs="Arial"/>
        </w:rPr>
        <w:t>señalando</w:t>
      </w:r>
      <w:r w:rsidRPr="00855290">
        <w:rPr>
          <w:rFonts w:ascii="Palatino Linotype" w:hAnsi="Palatino Linotype" w:cs="Arial"/>
        </w:rPr>
        <w:t xml:space="preserve"> </w:t>
      </w:r>
      <w:r w:rsidR="00CF0D2B" w:rsidRPr="00855290">
        <w:rPr>
          <w:rFonts w:ascii="Palatino Linotype" w:hAnsi="Palatino Linotype" w:cs="Arial"/>
          <w:i/>
        </w:rPr>
        <w:t>grosso modo</w:t>
      </w:r>
      <w:r w:rsidR="00CF0D2B" w:rsidRPr="00855290">
        <w:rPr>
          <w:rFonts w:ascii="Palatino Linotype" w:hAnsi="Palatino Linotype" w:cs="Arial"/>
        </w:rPr>
        <w:t xml:space="preserve"> </w:t>
      </w:r>
      <w:r w:rsidR="0046393D">
        <w:rPr>
          <w:rFonts w:ascii="Palatino Linotype" w:hAnsi="Palatino Linotype" w:cs="Arial"/>
        </w:rPr>
        <w:t>deficiencias en la respuesta de conformidad con la legislación aplicable</w:t>
      </w:r>
      <w:r w:rsidR="00EF522A">
        <w:rPr>
          <w:rFonts w:ascii="Palatino Linotype" w:hAnsi="Palatino Linotype" w:cs="Arial"/>
        </w:rPr>
        <w:t xml:space="preserve">, </w:t>
      </w:r>
      <w:r w:rsidR="00EF522A" w:rsidRPr="00EF522A">
        <w:rPr>
          <w:rFonts w:ascii="Palatino Linotype" w:hAnsi="Palatino Linotype" w:cs="Arial"/>
        </w:rPr>
        <w:t>violando su derecho de acceso a la información pública.</w:t>
      </w:r>
    </w:p>
    <w:p w:rsidR="009F09BC" w:rsidRPr="00855290" w:rsidRDefault="009F09BC" w:rsidP="00855290">
      <w:pPr>
        <w:pStyle w:val="Prrafodelista"/>
        <w:spacing w:line="360" w:lineRule="auto"/>
        <w:rPr>
          <w:rFonts w:ascii="Palatino Linotype" w:hAnsi="Palatino Linotype" w:cs="Arial"/>
        </w:rPr>
      </w:pPr>
    </w:p>
    <w:p w:rsidR="009F09BC" w:rsidRPr="00C4379D" w:rsidRDefault="009F09BC" w:rsidP="00DC1346">
      <w:pPr>
        <w:numPr>
          <w:ilvl w:val="0"/>
          <w:numId w:val="1"/>
        </w:numPr>
        <w:spacing w:line="360" w:lineRule="auto"/>
        <w:ind w:left="0" w:firstLine="0"/>
        <w:contextualSpacing/>
        <w:jc w:val="both"/>
        <w:rPr>
          <w:rFonts w:ascii="Palatino Linotype" w:eastAsia="MS Mincho" w:hAnsi="Palatino Linotype" w:cs="Arial"/>
        </w:rPr>
      </w:pPr>
      <w:r w:rsidRPr="00855290">
        <w:rPr>
          <w:rFonts w:ascii="Palatino Linotype" w:eastAsia="MS Mincho" w:hAnsi="Palatino Linotype" w:cs="Arial"/>
        </w:rPr>
        <w:t xml:space="preserve">En </w:t>
      </w:r>
      <w:r w:rsidRPr="00855290">
        <w:rPr>
          <w:rFonts w:ascii="Palatino Linotype" w:hAnsi="Palatino Linotype" w:cs="Arial"/>
          <w:lang w:eastAsia="es-MX"/>
        </w:rPr>
        <w:t>dichas</w:t>
      </w:r>
      <w:r w:rsidRPr="00855290">
        <w:rPr>
          <w:rFonts w:ascii="Palatino Linotype" w:eastAsia="Times New Roman" w:hAnsi="Palatino Linotype" w:cs="Arial"/>
        </w:rPr>
        <w:t xml:space="preserve"> condiciones, la </w:t>
      </w:r>
      <w:r w:rsidRPr="00855290">
        <w:rPr>
          <w:rFonts w:ascii="Palatino Linotype" w:eastAsia="Times New Roman" w:hAnsi="Palatino Linotype" w:cs="Arial"/>
          <w:i/>
        </w:rPr>
        <w:t>Litis</w:t>
      </w:r>
      <w:r w:rsidRPr="00855290">
        <w:rPr>
          <w:rFonts w:ascii="Palatino Linotype" w:eastAsia="Times New Roman" w:hAnsi="Palatino Linotype" w:cs="Arial"/>
        </w:rPr>
        <w:t xml:space="preserve"> a resolver en este recurso se circunscribe a determinar </w:t>
      </w:r>
      <w:r w:rsidRPr="00855290">
        <w:rPr>
          <w:rFonts w:ascii="Palatino Linotype" w:hAnsi="Palatino Linotype" w:cs="Arial"/>
          <w:b/>
        </w:rPr>
        <w:t>si</w:t>
      </w:r>
      <w:r w:rsidRPr="00855290">
        <w:rPr>
          <w:rFonts w:ascii="Palatino Linotype" w:eastAsia="Times New Roman" w:hAnsi="Palatino Linotype" w:cs="Arial"/>
        </w:rPr>
        <w:t xml:space="preserve"> </w:t>
      </w:r>
      <w:r w:rsidR="009A1604" w:rsidRPr="00855290">
        <w:rPr>
          <w:rFonts w:ascii="Palatino Linotype" w:eastAsia="MS Mincho" w:hAnsi="Palatino Linotype" w:cs="Arial"/>
        </w:rPr>
        <w:t>se actualizan la causal</w:t>
      </w:r>
      <w:r w:rsidRPr="00855290">
        <w:rPr>
          <w:rFonts w:ascii="Palatino Linotype" w:eastAsia="MS Mincho" w:hAnsi="Palatino Linotype" w:cs="Arial"/>
        </w:rPr>
        <w:t xml:space="preserve"> de procedencia prevista en el artículo 179, fracción </w:t>
      </w:r>
      <w:r w:rsidR="0046393D">
        <w:rPr>
          <w:rFonts w:ascii="Palatino Linotype" w:eastAsia="MS Mincho" w:hAnsi="Palatino Linotype" w:cs="Arial"/>
        </w:rPr>
        <w:t>XIII</w:t>
      </w:r>
      <w:r w:rsidR="00EF522A">
        <w:rPr>
          <w:rFonts w:ascii="Palatino Linotype" w:eastAsia="MS Mincho" w:hAnsi="Palatino Linotype" w:cs="Arial"/>
        </w:rPr>
        <w:t xml:space="preserve"> </w:t>
      </w:r>
      <w:r w:rsidRPr="00855290">
        <w:rPr>
          <w:rFonts w:ascii="Palatino Linotype" w:eastAsia="MS Mincho" w:hAnsi="Palatino Linotype" w:cs="Arial"/>
        </w:rPr>
        <w:t xml:space="preserve">de la </w:t>
      </w:r>
      <w:r w:rsidRPr="00855290">
        <w:rPr>
          <w:rFonts w:ascii="Palatino Linotype" w:eastAsia="MS Mincho" w:hAnsi="Palatino Linotype" w:cs="Arial"/>
          <w:b/>
        </w:rPr>
        <w:t xml:space="preserve">Ley de </w:t>
      </w:r>
      <w:r w:rsidRPr="007B659C">
        <w:rPr>
          <w:rFonts w:ascii="Palatino Linotype" w:hAnsi="Palatino Linotype" w:cs="Arial"/>
          <w:b/>
        </w:rPr>
        <w:t>Transparencia</w:t>
      </w:r>
      <w:r w:rsidRPr="00855290">
        <w:rPr>
          <w:rFonts w:ascii="Palatino Linotype" w:eastAsia="MS Mincho" w:hAnsi="Palatino Linotype" w:cs="Arial"/>
          <w:b/>
        </w:rPr>
        <w:t xml:space="preserve"> y Acceso a la Información Pública del Estado de México y Municipios</w:t>
      </w:r>
      <w:r w:rsidRPr="00855290">
        <w:rPr>
          <w:rFonts w:ascii="Palatino Linotype" w:eastAsia="MS Mincho" w:hAnsi="Palatino Linotype" w:cs="Arial"/>
        </w:rPr>
        <w:t xml:space="preserve">; </w:t>
      </w:r>
      <w:r w:rsidR="009A1604" w:rsidRPr="00855290">
        <w:rPr>
          <w:rFonts w:ascii="Palatino Linotype" w:eastAsia="Times New Roman" w:hAnsi="Palatino Linotype" w:cs="Arial"/>
          <w:color w:val="000000" w:themeColor="text1"/>
          <w:lang w:val="es-ES" w:eastAsia="es-MX"/>
        </w:rPr>
        <w:t>fracción</w:t>
      </w:r>
      <w:r w:rsidRPr="00855290">
        <w:rPr>
          <w:rFonts w:ascii="Palatino Linotype" w:eastAsia="Times New Roman" w:hAnsi="Palatino Linotype" w:cs="Arial"/>
          <w:color w:val="000000" w:themeColor="text1"/>
          <w:lang w:val="es-ES" w:eastAsia="es-MX"/>
        </w:rPr>
        <w:t xml:space="preserve"> que determina </w:t>
      </w:r>
      <w:r w:rsidR="009A1604" w:rsidRPr="00855290">
        <w:rPr>
          <w:rFonts w:ascii="Palatino Linotype" w:eastAsia="Times New Roman" w:hAnsi="Palatino Linotype" w:cs="Arial"/>
          <w:color w:val="000000" w:themeColor="text1"/>
          <w:lang w:val="es-ES" w:eastAsia="es-MX"/>
        </w:rPr>
        <w:t>la hipótesis jurídica</w:t>
      </w:r>
      <w:r w:rsidRPr="00855290">
        <w:rPr>
          <w:rFonts w:ascii="Palatino Linotype" w:eastAsia="Times New Roman" w:hAnsi="Palatino Linotype" w:cs="Arial"/>
          <w:color w:val="000000" w:themeColor="text1"/>
          <w:lang w:val="es-ES" w:eastAsia="es-MX"/>
        </w:rPr>
        <w:t xml:space="preserve"> </w:t>
      </w:r>
      <w:r w:rsidR="007B659C">
        <w:rPr>
          <w:rFonts w:ascii="Palatino Linotype" w:eastAsia="Times New Roman" w:hAnsi="Palatino Linotype" w:cs="Arial"/>
          <w:color w:val="000000" w:themeColor="text1"/>
          <w:lang w:val="es-ES" w:eastAsia="es-MX"/>
        </w:rPr>
        <w:t>relativa a l</w:t>
      </w:r>
      <w:r w:rsidR="007B659C" w:rsidRPr="007B659C">
        <w:rPr>
          <w:rFonts w:ascii="Palatino Linotype" w:eastAsia="Times New Roman" w:hAnsi="Palatino Linotype" w:cs="Arial"/>
          <w:color w:val="000000" w:themeColor="text1"/>
          <w:lang w:val="es-ES" w:eastAsia="es-MX"/>
        </w:rPr>
        <w:t>a falta, deficiencia o insuficiencia de la fundamentación y/o motivación en la respuesta</w:t>
      </w:r>
      <w:r w:rsidRPr="00855290">
        <w:rPr>
          <w:rFonts w:ascii="Palatino Linotype" w:eastAsia="Times New Roman" w:hAnsi="Palatino Linotype" w:cs="Arial"/>
          <w:color w:val="000000" w:themeColor="text1"/>
          <w:lang w:val="es-ES" w:eastAsia="es-MX"/>
        </w:rPr>
        <w:t xml:space="preserve">; </w:t>
      </w:r>
      <w:r w:rsidRPr="00855290">
        <w:rPr>
          <w:rFonts w:ascii="Palatino Linotype" w:eastAsia="MS Mincho" w:hAnsi="Palatino Linotype" w:cs="Arial"/>
        </w:rPr>
        <w:t xml:space="preserve">contexto del cual </w:t>
      </w:r>
      <w:r w:rsidR="00015C80">
        <w:rPr>
          <w:rFonts w:ascii="Palatino Linotype" w:eastAsia="MS Mincho" w:hAnsi="Palatino Linotype" w:cs="Arial"/>
        </w:rPr>
        <w:t>(</w:t>
      </w:r>
      <w:r w:rsidRPr="007B659C">
        <w:rPr>
          <w:rFonts w:ascii="Palatino Linotype" w:eastAsia="MS Mincho" w:hAnsi="Palatino Linotype" w:cs="Arial"/>
          <w:b/>
        </w:rPr>
        <w:t xml:space="preserve">se </w:t>
      </w:r>
      <w:r w:rsidR="007B659C" w:rsidRPr="007B659C">
        <w:rPr>
          <w:rFonts w:ascii="Palatino Linotype" w:eastAsia="MS Mincho" w:hAnsi="Palatino Linotype" w:cs="Arial"/>
          <w:b/>
        </w:rPr>
        <w:t>colige</w:t>
      </w:r>
      <w:r w:rsidR="00015C80">
        <w:rPr>
          <w:rFonts w:ascii="Palatino Linotype" w:eastAsia="MS Mincho" w:hAnsi="Palatino Linotype" w:cs="Arial"/>
          <w:b/>
        </w:rPr>
        <w:t>)</w:t>
      </w:r>
      <w:r w:rsidR="007B659C">
        <w:rPr>
          <w:rFonts w:ascii="Palatino Linotype" w:eastAsia="MS Mincho" w:hAnsi="Palatino Linotype" w:cs="Arial"/>
        </w:rPr>
        <w:t xml:space="preserve"> </w:t>
      </w:r>
      <w:r w:rsidR="00015C80">
        <w:rPr>
          <w:rFonts w:ascii="Palatino Linotype" w:eastAsia="MS Mincho" w:hAnsi="Palatino Linotype" w:cs="Arial"/>
        </w:rPr>
        <w:t xml:space="preserve">se </w:t>
      </w:r>
      <w:r w:rsidRPr="00855290">
        <w:rPr>
          <w:rFonts w:ascii="Palatino Linotype" w:eastAsia="MS Mincho" w:hAnsi="Palatino Linotype" w:cs="Arial"/>
        </w:rPr>
        <w:t xml:space="preserve">dolió </w:t>
      </w:r>
      <w:r w:rsidRPr="00855290">
        <w:rPr>
          <w:rFonts w:ascii="Palatino Linotype" w:eastAsia="MS Mincho" w:hAnsi="Palatino Linotype" w:cs="Arial"/>
          <w:b/>
        </w:rPr>
        <w:t xml:space="preserve">EL RECURRENTE </w:t>
      </w:r>
      <w:r w:rsidRPr="00855290">
        <w:rPr>
          <w:rFonts w:ascii="Palatino Linotype" w:eastAsia="MS Mincho" w:hAnsi="Palatino Linotype" w:cs="Arial"/>
        </w:rPr>
        <w:t>al momento de interponer su inconformidad.</w:t>
      </w:r>
      <w:r w:rsidRPr="00855290">
        <w:rPr>
          <w:rFonts w:ascii="Palatino Linotype" w:eastAsia="Times New Roman" w:hAnsi="Palatino Linotype" w:cs="Arial"/>
          <w:color w:val="000000" w:themeColor="text1"/>
          <w:lang w:val="es-ES" w:eastAsia="es-MX"/>
        </w:rPr>
        <w:t xml:space="preserve"> De modo tal </w:t>
      </w:r>
      <w:r w:rsidRPr="00855290">
        <w:rPr>
          <w:rFonts w:ascii="Palatino Linotype" w:hAnsi="Palatino Linotype" w:cs="Arial"/>
          <w:color w:val="000000" w:themeColor="text1"/>
        </w:rPr>
        <w:t xml:space="preserve">que el presente recurso de revisión se abocara en determinar si el </w:t>
      </w:r>
      <w:r w:rsidRPr="00855290">
        <w:rPr>
          <w:rFonts w:ascii="Palatino Linotype" w:hAnsi="Palatino Linotype" w:cs="Arial"/>
          <w:b/>
          <w:color w:val="000000" w:themeColor="text1"/>
        </w:rPr>
        <w:t>SUJETO</w:t>
      </w:r>
      <w:r w:rsidRPr="00855290">
        <w:rPr>
          <w:rFonts w:ascii="Palatino Linotype" w:hAnsi="Palatino Linotype" w:cs="Arial"/>
          <w:color w:val="000000" w:themeColor="text1"/>
        </w:rPr>
        <w:t xml:space="preserve"> </w:t>
      </w:r>
      <w:r w:rsidRPr="00855290">
        <w:rPr>
          <w:rFonts w:ascii="Palatino Linotype" w:hAnsi="Palatino Linotype" w:cs="Arial"/>
          <w:b/>
          <w:color w:val="000000" w:themeColor="text1"/>
        </w:rPr>
        <w:t>OBLIGADO</w:t>
      </w:r>
      <w:r w:rsidRPr="00855290">
        <w:rPr>
          <w:rFonts w:ascii="Palatino Linotype" w:hAnsi="Palatino Linotype" w:cs="Arial"/>
          <w:color w:val="000000" w:themeColor="text1"/>
        </w:rPr>
        <w:t xml:space="preserve"> con su respuesta ciertamente </w:t>
      </w:r>
      <w:r w:rsidRPr="00855290">
        <w:rPr>
          <w:rFonts w:ascii="Palatino Linotype" w:eastAsia="Times New Roman" w:hAnsi="Palatino Linotype"/>
          <w:color w:val="000000" w:themeColor="text1"/>
        </w:rPr>
        <w:t>actualiza la causal de procedencia</w:t>
      </w:r>
      <w:r w:rsidRPr="00855290">
        <w:rPr>
          <w:rFonts w:ascii="Palatino Linotype" w:eastAsia="Times New Roman" w:hAnsi="Palatino Linotype"/>
          <w:b/>
          <w:color w:val="000000" w:themeColor="text1"/>
        </w:rPr>
        <w:t xml:space="preserve"> </w:t>
      </w:r>
      <w:r w:rsidRPr="00855290">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4379D" w:rsidRDefault="00C4379D" w:rsidP="00C4379D">
      <w:pPr>
        <w:pStyle w:val="Prrafodelista"/>
        <w:rPr>
          <w:rFonts w:ascii="Palatino Linotype" w:eastAsia="MS Mincho" w:hAnsi="Palatino Linotype" w:cs="Arial"/>
        </w:rPr>
      </w:pPr>
    </w:p>
    <w:p w:rsidR="00C4379D" w:rsidRPr="00855290" w:rsidRDefault="00004D06" w:rsidP="00C4379D">
      <w:pPr>
        <w:pStyle w:val="Ttulo2"/>
        <w:spacing w:before="0" w:line="360" w:lineRule="auto"/>
        <w:rPr>
          <w:rFonts w:ascii="Palatino Linotype" w:hAnsi="Palatino Linotype"/>
          <w:b/>
          <w:color w:val="000000" w:themeColor="text1"/>
          <w:sz w:val="24"/>
          <w:szCs w:val="24"/>
        </w:rPr>
      </w:pPr>
      <w:r>
        <w:rPr>
          <w:rFonts w:ascii="Palatino Linotype" w:hAnsi="Palatino Linotype"/>
          <w:b/>
          <w:color w:val="000000" w:themeColor="text1"/>
          <w:sz w:val="24"/>
          <w:szCs w:val="24"/>
        </w:rPr>
        <w:t>CUARTO</w:t>
      </w:r>
      <w:r w:rsidR="00C4379D" w:rsidRPr="00855290">
        <w:rPr>
          <w:rFonts w:ascii="Palatino Linotype" w:hAnsi="Palatino Linotype"/>
          <w:b/>
          <w:color w:val="000000" w:themeColor="text1"/>
          <w:sz w:val="24"/>
          <w:szCs w:val="24"/>
        </w:rPr>
        <w:t xml:space="preserve">. </w:t>
      </w:r>
      <w:r w:rsidR="00C4379D">
        <w:rPr>
          <w:rFonts w:ascii="Palatino Linotype" w:hAnsi="Palatino Linotype"/>
          <w:b/>
          <w:color w:val="000000" w:themeColor="text1"/>
          <w:sz w:val="24"/>
          <w:szCs w:val="24"/>
        </w:rPr>
        <w:t>Del estudio y resolución del asunto.</w:t>
      </w:r>
    </w:p>
    <w:p w:rsidR="007210B9" w:rsidRDefault="007210B9" w:rsidP="007210B9">
      <w:pPr>
        <w:pStyle w:val="Prrafodelista"/>
        <w:rPr>
          <w:rFonts w:ascii="Palatino Linotype" w:eastAsia="MS Mincho" w:hAnsi="Palatino Linotype" w:cs="Arial"/>
        </w:rPr>
      </w:pPr>
    </w:p>
    <w:p w:rsidR="00B54047" w:rsidRPr="00B24ADA" w:rsidRDefault="00C70E5B" w:rsidP="00DC1346">
      <w:pPr>
        <w:numPr>
          <w:ilvl w:val="0"/>
          <w:numId w:val="1"/>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Ahora bien, p</w:t>
      </w:r>
      <w:r w:rsidR="00B54047" w:rsidRPr="00855290">
        <w:rPr>
          <w:rFonts w:ascii="Palatino Linotype" w:hAnsi="Palatino Linotype"/>
          <w:color w:val="000000" w:themeColor="text1"/>
        </w:rPr>
        <w:t>rimeramente es menester precisar</w:t>
      </w:r>
      <w:r w:rsidR="00B54047" w:rsidRPr="00855290">
        <w:rPr>
          <w:rFonts w:ascii="Palatino Linotype" w:hAnsi="Palatino Linotype"/>
          <w:bCs/>
          <w:color w:val="000000" w:themeColor="text1"/>
          <w:lang w:val="es-MX"/>
        </w:rPr>
        <w:t xml:space="preserve"> que </w:t>
      </w:r>
      <w:r w:rsidR="00B54047" w:rsidRPr="00855290">
        <w:rPr>
          <w:rFonts w:ascii="Palatino Linotype" w:hAnsi="Palatino Linotype"/>
          <w:bCs/>
          <w:color w:val="000000" w:themeColor="text1"/>
        </w:rPr>
        <w:t xml:space="preserve">este Órgano Garante parte del hecho que el </w:t>
      </w:r>
      <w:r w:rsidR="00B54047" w:rsidRPr="00855290">
        <w:rPr>
          <w:rFonts w:ascii="Palatino Linotype" w:eastAsia="MS Mincho" w:hAnsi="Palatino Linotype" w:cs="Arial"/>
        </w:rPr>
        <w:t>Derecho</w:t>
      </w:r>
      <w:r w:rsidR="00B54047" w:rsidRPr="00855290">
        <w:rPr>
          <w:rFonts w:ascii="Palatino Linotype" w:hAnsi="Palatino Linotype"/>
          <w:bCs/>
          <w:color w:val="000000" w:themeColor="text1"/>
        </w:rPr>
        <w:t xml:space="preserve"> de </w:t>
      </w:r>
      <w:r w:rsidR="00B54047" w:rsidRPr="00855290">
        <w:rPr>
          <w:rFonts w:ascii="Palatino Linotype" w:eastAsia="MS Mincho" w:hAnsi="Palatino Linotype" w:cs="Arial"/>
        </w:rPr>
        <w:t>Acceso</w:t>
      </w:r>
      <w:r w:rsidR="00B54047" w:rsidRPr="00855290">
        <w:rPr>
          <w:rFonts w:ascii="Palatino Linotype" w:hAnsi="Palatino Linotype"/>
          <w:bCs/>
          <w:color w:val="000000" w:themeColor="text1"/>
        </w:rPr>
        <w:t xml:space="preserve"> a la Información Pública, es un derecho humano </w:t>
      </w:r>
      <w:r w:rsidR="00B54047" w:rsidRPr="00855290">
        <w:rPr>
          <w:rFonts w:ascii="Palatino Linotype" w:eastAsia="MS Mincho" w:hAnsi="Palatino Linotype" w:cs="Arial"/>
        </w:rPr>
        <w:t>reconocido</w:t>
      </w:r>
      <w:r w:rsidR="00B54047" w:rsidRPr="00855290">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855290">
        <w:rPr>
          <w:rFonts w:ascii="Palatino Linotype" w:hAnsi="Palatino Linotype"/>
          <w:b/>
          <w:bCs/>
          <w:color w:val="000000" w:themeColor="text1"/>
        </w:rPr>
        <w:t>SUJETO OBLIGADO</w:t>
      </w:r>
      <w:r w:rsidR="00B54047" w:rsidRPr="00855290">
        <w:rPr>
          <w:rFonts w:ascii="Palatino Linotype" w:hAnsi="Palatino Linotype"/>
          <w:bCs/>
          <w:color w:val="000000" w:themeColor="text1"/>
        </w:rPr>
        <w:t xml:space="preserve"> debe ser cuidadoso del debido cumplimiento de las </w:t>
      </w:r>
      <w:r w:rsidR="00B54047" w:rsidRPr="00855290">
        <w:rPr>
          <w:rFonts w:ascii="Palatino Linotype" w:hAnsi="Palatino Linotype"/>
          <w:bCs/>
          <w:color w:val="000000" w:themeColor="text1"/>
        </w:rPr>
        <w:lastRenderedPageBreak/>
        <w:t xml:space="preserve">obligaciones constitucionales que se le imponen, en consecuencia, a todas las autoridades, en el ámbito de su competencia, según lo dispone el tercer párrafo del artículo primero de la </w:t>
      </w:r>
      <w:r w:rsidR="00B54047" w:rsidRPr="00855290">
        <w:rPr>
          <w:rFonts w:ascii="Palatino Linotype" w:hAnsi="Palatino Linotype"/>
          <w:b/>
          <w:bCs/>
          <w:color w:val="000000" w:themeColor="text1"/>
        </w:rPr>
        <w:t xml:space="preserve">Constitución Política de los Estados Unidos Mexicanos </w:t>
      </w:r>
      <w:r w:rsidR="00B54047" w:rsidRPr="00855290">
        <w:rPr>
          <w:rFonts w:ascii="Palatino Linotype" w:hAnsi="Palatino Linotype"/>
          <w:bCs/>
          <w:color w:val="000000" w:themeColor="text1"/>
        </w:rPr>
        <w:t xml:space="preserve">al señalar la obligación de “promover, respetar, proteger y </w:t>
      </w:r>
      <w:r w:rsidR="00B54047" w:rsidRPr="00855290">
        <w:rPr>
          <w:rFonts w:ascii="Palatino Linotype" w:hAnsi="Palatino Linotype"/>
          <w:b/>
          <w:bCs/>
          <w:color w:val="000000" w:themeColor="text1"/>
        </w:rPr>
        <w:t>garantizar</w:t>
      </w:r>
      <w:r w:rsidR="00B54047" w:rsidRPr="00855290">
        <w:rPr>
          <w:rFonts w:ascii="Palatino Linotype" w:hAnsi="Palatino Linotype"/>
          <w:bCs/>
          <w:color w:val="000000" w:themeColor="text1"/>
        </w:rPr>
        <w:t xml:space="preserve"> los derechos humanos”, entre los cuales se encuentra dicho derecho.</w:t>
      </w:r>
    </w:p>
    <w:p w:rsidR="00B24ADA" w:rsidRDefault="00B24ADA" w:rsidP="00B24ADA">
      <w:pPr>
        <w:pStyle w:val="Prrafodelista"/>
        <w:rPr>
          <w:rFonts w:ascii="Palatino Linotype" w:hAnsi="Palatino Linotype"/>
          <w:color w:val="000000" w:themeColor="text1"/>
        </w:rPr>
      </w:pPr>
    </w:p>
    <w:p w:rsidR="00B54047" w:rsidRPr="006C54D7" w:rsidRDefault="00B54047" w:rsidP="00DC1346">
      <w:pPr>
        <w:numPr>
          <w:ilvl w:val="0"/>
          <w:numId w:val="1"/>
        </w:numPr>
        <w:spacing w:line="360" w:lineRule="auto"/>
        <w:ind w:left="0" w:firstLine="0"/>
        <w:contextualSpacing/>
        <w:jc w:val="both"/>
        <w:rPr>
          <w:rFonts w:ascii="Palatino Linotype" w:hAnsi="Palatino Linotype"/>
          <w:color w:val="000000" w:themeColor="text1"/>
        </w:rPr>
      </w:pPr>
      <w:r w:rsidRPr="00855290">
        <w:rPr>
          <w:rFonts w:ascii="Palatino Linotype" w:hAnsi="Palatino Linotype"/>
          <w:color w:val="000000" w:themeColor="text1"/>
        </w:rPr>
        <w:t xml:space="preserve">Por </w:t>
      </w:r>
      <w:r w:rsidRPr="00855290">
        <w:rPr>
          <w:rFonts w:ascii="Palatino Linotype" w:hAnsi="Palatino Linotype"/>
          <w:color w:val="000000" w:themeColor="text1"/>
          <w:lang w:val="es-MX"/>
        </w:rPr>
        <w:t xml:space="preserve">lo anterior, se deduce que el derecho de acceso a la información pública es un </w:t>
      </w:r>
      <w:r w:rsidRPr="00855290">
        <w:rPr>
          <w:rFonts w:ascii="Palatino Linotype" w:hAnsi="Palatino Linotype"/>
          <w:color w:val="000000" w:themeColor="text1"/>
        </w:rPr>
        <w:t>derecho</w:t>
      </w:r>
      <w:r w:rsidRPr="00855290">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C54D7" w:rsidRDefault="006C54D7" w:rsidP="006C54D7">
      <w:pPr>
        <w:pStyle w:val="Prrafodelista"/>
        <w:rPr>
          <w:rFonts w:ascii="Palatino Linotype" w:hAnsi="Palatino Linotype"/>
          <w:color w:val="000000" w:themeColor="text1"/>
        </w:rPr>
      </w:pPr>
    </w:p>
    <w:p w:rsidR="00B54047" w:rsidRPr="00015C80" w:rsidRDefault="00B54047" w:rsidP="00DC1346">
      <w:pPr>
        <w:numPr>
          <w:ilvl w:val="0"/>
          <w:numId w:val="1"/>
        </w:numPr>
        <w:spacing w:line="360" w:lineRule="auto"/>
        <w:ind w:left="0" w:firstLine="0"/>
        <w:contextualSpacing/>
        <w:jc w:val="both"/>
        <w:rPr>
          <w:rFonts w:ascii="Palatino Linotype" w:hAnsi="Palatino Linotype"/>
          <w:color w:val="000000" w:themeColor="text1"/>
        </w:rPr>
      </w:pPr>
      <w:r w:rsidRPr="00855290">
        <w:rPr>
          <w:rFonts w:ascii="Palatino Linotype" w:hAnsi="Palatino Linotype"/>
          <w:color w:val="000000" w:themeColor="text1"/>
        </w:rPr>
        <w:t xml:space="preserve">Así las cosas, </w:t>
      </w:r>
      <w:r w:rsidRPr="00855290">
        <w:rPr>
          <w:rFonts w:ascii="Palatino Linotype" w:hAnsi="Palatino Linotype"/>
          <w:color w:val="000000" w:themeColor="text1"/>
          <w:lang w:val="es-MX"/>
        </w:rPr>
        <w:t xml:space="preserve">podemos definir el Derecho de Acceso a la Información Pública </w:t>
      </w:r>
      <w:r w:rsidRPr="00855290">
        <w:rPr>
          <w:rFonts w:ascii="Palatino Linotype" w:hAnsi="Palatino Linotype"/>
          <w:color w:val="000000" w:themeColor="text1"/>
        </w:rPr>
        <w:t>como</w:t>
      </w:r>
      <w:r w:rsidRPr="00855290">
        <w:rPr>
          <w:rFonts w:ascii="Palatino Linotype" w:hAnsi="Palatino Linotype"/>
          <w:color w:val="000000" w:themeColor="text1"/>
          <w:lang w:val="es-MX"/>
        </w:rPr>
        <w:t xml:space="preserve">: </w:t>
      </w:r>
      <w:r w:rsidRPr="00855290">
        <w:rPr>
          <w:rFonts w:ascii="Palatino Linotype" w:hAnsi="Palatino Linotype"/>
          <w:i/>
          <w:color w:val="000000" w:themeColor="text1"/>
          <w:lang w:val="es-MX"/>
        </w:rPr>
        <w:t xml:space="preserve">La </w:t>
      </w:r>
      <w:r w:rsidRPr="00855290">
        <w:rPr>
          <w:rFonts w:ascii="Palatino Linotype" w:hAnsi="Palatino Linotype"/>
          <w:color w:val="000000" w:themeColor="text1"/>
        </w:rPr>
        <w:t>igualdad</w:t>
      </w:r>
      <w:r w:rsidRPr="00855290">
        <w:rPr>
          <w:rFonts w:ascii="Palatino Linotype" w:hAnsi="Palatino Linotype"/>
          <w:i/>
          <w:color w:val="000000" w:themeColor="text1"/>
          <w:lang w:val="es-MX"/>
        </w:rPr>
        <w:t xml:space="preserve"> de oportunidades para recibir, buscar e impartir información</w:t>
      </w:r>
      <w:r w:rsidRPr="00855290">
        <w:rPr>
          <w:rFonts w:ascii="Palatino Linotype" w:hAnsi="Palatino Linotype"/>
          <w:i/>
          <w:color w:val="000000" w:themeColor="text1"/>
          <w:vertAlign w:val="superscript"/>
          <w:lang w:val="es-MX"/>
        </w:rPr>
        <w:footnoteReference w:id="1"/>
      </w:r>
      <w:r w:rsidRPr="00855290">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55290">
        <w:rPr>
          <w:rFonts w:ascii="Palatino Linotype" w:hAnsi="Palatino Linotype"/>
          <w:i/>
          <w:color w:val="000000" w:themeColor="text1"/>
          <w:vertAlign w:val="superscript"/>
          <w:lang w:val="es-MX"/>
        </w:rPr>
        <w:footnoteReference w:id="2"/>
      </w:r>
      <w:r w:rsidRPr="00855290">
        <w:rPr>
          <w:rFonts w:ascii="Palatino Linotype" w:hAnsi="Palatino Linotype"/>
          <w:color w:val="000000" w:themeColor="text1"/>
          <w:lang w:val="es-MX"/>
        </w:rPr>
        <w:t>que se constituye como una herramienta fundamental para ejercer</w:t>
      </w:r>
      <w:r w:rsidRPr="00855290">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855290">
        <w:rPr>
          <w:rFonts w:ascii="Palatino Linotype" w:hAnsi="Palatino Linotype"/>
          <w:i/>
          <w:color w:val="000000" w:themeColor="text1"/>
          <w:vertAlign w:val="superscript"/>
          <w:lang w:val="es-MX"/>
        </w:rPr>
        <w:footnoteReference w:id="3"/>
      </w:r>
      <w:r w:rsidRPr="00855290">
        <w:rPr>
          <w:rFonts w:ascii="Palatino Linotype" w:hAnsi="Palatino Linotype"/>
          <w:i/>
          <w:color w:val="000000" w:themeColor="text1"/>
          <w:lang w:val="es-MX"/>
        </w:rPr>
        <w:t xml:space="preserve"> </w:t>
      </w:r>
      <w:r w:rsidRPr="00855290">
        <w:rPr>
          <w:rFonts w:ascii="Palatino Linotype" w:hAnsi="Palatino Linotype"/>
          <w:color w:val="000000" w:themeColor="text1"/>
          <w:lang w:val="es-MX"/>
        </w:rPr>
        <w:t>fomentando</w:t>
      </w:r>
      <w:r w:rsidRPr="00855290">
        <w:rPr>
          <w:rFonts w:ascii="Palatino Linotype" w:hAnsi="Palatino Linotype"/>
          <w:i/>
          <w:color w:val="000000" w:themeColor="text1"/>
          <w:lang w:val="es-MX"/>
        </w:rPr>
        <w:t xml:space="preserve"> la transparencia de las actividades estatales y </w:t>
      </w:r>
      <w:r w:rsidRPr="00855290">
        <w:rPr>
          <w:rFonts w:ascii="Palatino Linotype" w:hAnsi="Palatino Linotype"/>
          <w:color w:val="000000" w:themeColor="text1"/>
          <w:lang w:val="es-MX"/>
        </w:rPr>
        <w:t>promoviendo</w:t>
      </w:r>
      <w:r w:rsidRPr="00855290">
        <w:rPr>
          <w:rFonts w:ascii="Palatino Linotype" w:hAnsi="Palatino Linotype"/>
          <w:i/>
          <w:color w:val="000000" w:themeColor="text1"/>
          <w:lang w:val="es-MX"/>
        </w:rPr>
        <w:t xml:space="preserve"> la responsabilidad de los funcionarios sobre su gestión </w:t>
      </w:r>
      <w:r w:rsidRPr="00855290">
        <w:rPr>
          <w:rFonts w:ascii="Palatino Linotype" w:hAnsi="Palatino Linotype"/>
          <w:i/>
          <w:color w:val="000000" w:themeColor="text1"/>
          <w:lang w:val="es-MX"/>
        </w:rPr>
        <w:lastRenderedPageBreak/>
        <w:t>pública,</w:t>
      </w:r>
      <w:r w:rsidRPr="00855290">
        <w:rPr>
          <w:rFonts w:ascii="Palatino Linotype" w:hAnsi="Palatino Linotype"/>
          <w:i/>
          <w:color w:val="000000" w:themeColor="text1"/>
          <w:vertAlign w:val="superscript"/>
          <w:lang w:val="es-MX"/>
        </w:rPr>
        <w:footnoteReference w:id="4"/>
      </w:r>
      <w:r w:rsidRPr="00855290">
        <w:rPr>
          <w:rFonts w:ascii="Palatino Linotype" w:hAnsi="Palatino Linotype"/>
          <w:color w:val="000000" w:themeColor="text1"/>
          <w:lang w:val="es-MX"/>
        </w:rPr>
        <w:t>que permite</w:t>
      </w:r>
      <w:r w:rsidRPr="00855290">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Default="00015C80" w:rsidP="00015C80">
      <w:pPr>
        <w:pStyle w:val="Prrafodelista"/>
        <w:rPr>
          <w:rFonts w:ascii="Palatino Linotype" w:hAnsi="Palatino Linotype"/>
          <w:color w:val="000000" w:themeColor="text1"/>
        </w:rPr>
      </w:pPr>
    </w:p>
    <w:p w:rsidR="00B54047" w:rsidRPr="00855290" w:rsidRDefault="00B54047" w:rsidP="00DC1346">
      <w:pPr>
        <w:numPr>
          <w:ilvl w:val="0"/>
          <w:numId w:val="1"/>
        </w:numPr>
        <w:spacing w:line="360" w:lineRule="auto"/>
        <w:ind w:left="0" w:firstLine="0"/>
        <w:contextualSpacing/>
        <w:jc w:val="both"/>
        <w:rPr>
          <w:rFonts w:ascii="Palatino Linotype" w:hAnsi="Palatino Linotype"/>
          <w:color w:val="000000" w:themeColor="text1"/>
        </w:rPr>
      </w:pPr>
      <w:r w:rsidRPr="00855290">
        <w:rPr>
          <w:rFonts w:ascii="Palatino Linotype" w:hAnsi="Palatino Linotype"/>
          <w:color w:val="000000" w:themeColor="text1"/>
        </w:rPr>
        <w:t xml:space="preserve">Por otro lado, </w:t>
      </w:r>
      <w:r w:rsidRPr="00855290">
        <w:rPr>
          <w:rFonts w:ascii="Palatino Linotype" w:hAnsi="Palatino Linotype"/>
          <w:color w:val="000000" w:themeColor="text1"/>
          <w:lang w:val="es-MX"/>
        </w:rPr>
        <w:t xml:space="preserve">la Ley de Transparencia y Acceso a la Información Pública del Estado de </w:t>
      </w:r>
      <w:r w:rsidRPr="00855290">
        <w:rPr>
          <w:rFonts w:ascii="Palatino Linotype" w:hAnsi="Palatino Linotype"/>
          <w:color w:val="000000" w:themeColor="text1"/>
        </w:rPr>
        <w:t>México</w:t>
      </w:r>
      <w:r w:rsidRPr="00855290">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855290" w:rsidRDefault="00B54047" w:rsidP="00855290">
      <w:pPr>
        <w:pStyle w:val="Prrafodelista"/>
        <w:spacing w:line="360" w:lineRule="auto"/>
        <w:ind w:left="0"/>
        <w:jc w:val="both"/>
        <w:rPr>
          <w:rFonts w:ascii="Palatino Linotype" w:eastAsia="MS Mincho" w:hAnsi="Palatino Linotype" w:cs="Arial"/>
        </w:rPr>
      </w:pPr>
    </w:p>
    <w:p w:rsidR="00041972" w:rsidRDefault="00B54047" w:rsidP="00DC1346">
      <w:pPr>
        <w:numPr>
          <w:ilvl w:val="0"/>
          <w:numId w:val="1"/>
        </w:numPr>
        <w:spacing w:line="360" w:lineRule="auto"/>
        <w:ind w:left="0" w:firstLine="0"/>
        <w:contextualSpacing/>
        <w:jc w:val="both"/>
        <w:rPr>
          <w:rFonts w:ascii="Palatino Linotype" w:hAnsi="Palatino Linotype"/>
          <w:color w:val="000000"/>
        </w:rPr>
      </w:pPr>
      <w:r w:rsidRPr="002F7469">
        <w:rPr>
          <w:rFonts w:ascii="Palatino Linotype" w:hAnsi="Palatino Linotype"/>
          <w:color w:val="000000" w:themeColor="text1"/>
        </w:rPr>
        <w:t>Acotado</w:t>
      </w:r>
      <w:r w:rsidRPr="002F7469">
        <w:rPr>
          <w:rFonts w:ascii="Palatino Linotype" w:hAnsi="Palatino Linotype"/>
          <w:color w:val="000000"/>
        </w:rPr>
        <w:t xml:space="preserve"> lo anterior, es dable primeramente señalar, que como se </w:t>
      </w:r>
      <w:r w:rsidR="00F03D89">
        <w:rPr>
          <w:rFonts w:ascii="Palatino Linotype" w:hAnsi="Palatino Linotype"/>
          <w:color w:val="000000"/>
        </w:rPr>
        <w:t>refiri</w:t>
      </w:r>
      <w:r w:rsidR="002F7469">
        <w:rPr>
          <w:rFonts w:ascii="Palatino Linotype" w:hAnsi="Palatino Linotype"/>
          <w:color w:val="000000"/>
        </w:rPr>
        <w:t>ó en párrafos anteriores</w:t>
      </w:r>
      <w:r w:rsidR="00F03D89">
        <w:rPr>
          <w:rFonts w:ascii="Palatino Linotype" w:hAnsi="Palatino Linotype"/>
          <w:i/>
          <w:color w:val="000000"/>
        </w:rPr>
        <w:t xml:space="preserve">, </w:t>
      </w:r>
      <w:r w:rsidR="00F03D89">
        <w:rPr>
          <w:rFonts w:ascii="Palatino Linotype" w:hAnsi="Palatino Linotype"/>
          <w:color w:val="000000"/>
        </w:rPr>
        <w:t xml:space="preserve">la contestación del </w:t>
      </w:r>
      <w:r w:rsidR="00F03D89">
        <w:rPr>
          <w:rFonts w:ascii="Palatino Linotype" w:hAnsi="Palatino Linotype"/>
          <w:b/>
          <w:color w:val="000000"/>
        </w:rPr>
        <w:t>SUJETO OBLIGADO</w:t>
      </w:r>
      <w:r w:rsidR="00F03D89">
        <w:rPr>
          <w:rFonts w:ascii="Palatino Linotype" w:hAnsi="Palatino Linotype"/>
          <w:color w:val="000000"/>
        </w:rPr>
        <w:t xml:space="preserve"> fue encaminada a </w:t>
      </w:r>
      <w:r w:rsidR="007B659C">
        <w:rPr>
          <w:rFonts w:ascii="Palatino Linotype" w:hAnsi="Palatino Linotype"/>
          <w:color w:val="000000"/>
        </w:rPr>
        <w:t>manifestar que luego de una búsqueda exhaustiva y razonable del soporte documental requerido, no se encontró información al respecto, en el lapso temporal requerido.</w:t>
      </w:r>
    </w:p>
    <w:p w:rsidR="00F03D89" w:rsidRDefault="00F03D89" w:rsidP="00F03D89">
      <w:pPr>
        <w:pStyle w:val="Prrafodelista"/>
        <w:rPr>
          <w:rFonts w:ascii="Palatino Linotype" w:hAnsi="Palatino Linotype"/>
          <w:color w:val="000000"/>
        </w:rPr>
      </w:pPr>
    </w:p>
    <w:p w:rsidR="00FC5F33" w:rsidRPr="00FC5F33" w:rsidRDefault="00FC5F33" w:rsidP="00DC1346">
      <w:pPr>
        <w:numPr>
          <w:ilvl w:val="0"/>
          <w:numId w:val="1"/>
        </w:numPr>
        <w:spacing w:line="360" w:lineRule="auto"/>
        <w:ind w:left="0" w:firstLine="0"/>
        <w:contextualSpacing/>
        <w:jc w:val="both"/>
        <w:rPr>
          <w:rFonts w:ascii="Palatino Linotype" w:hAnsi="Palatino Linotype" w:cs="Arial"/>
          <w:color w:val="000000" w:themeColor="text1"/>
        </w:rPr>
      </w:pPr>
      <w:r w:rsidRPr="00FC5F33">
        <w:rPr>
          <w:rFonts w:ascii="Palatino Linotype" w:hAnsi="Palatino Linotype" w:cs="Arial"/>
          <w:color w:val="000000" w:themeColor="text1"/>
        </w:rPr>
        <w:t xml:space="preserve">En ese sentido, de las razones o motivos de inconformidad, vertidos en </w:t>
      </w:r>
      <w:r>
        <w:rPr>
          <w:rFonts w:ascii="Palatino Linotype" w:hAnsi="Palatino Linotype" w:cs="Arial"/>
          <w:color w:val="000000" w:themeColor="text1"/>
        </w:rPr>
        <w:t>el recurso de revisión,</w:t>
      </w:r>
      <w:r w:rsidRPr="00FC5F33">
        <w:rPr>
          <w:rFonts w:ascii="Palatino Linotype" w:hAnsi="Palatino Linotype" w:cs="Arial"/>
          <w:color w:val="000000" w:themeColor="text1"/>
        </w:rPr>
        <w:t xml:space="preserve"> se observa que el particular </w:t>
      </w:r>
      <w:r w:rsidRPr="00B935FD">
        <w:rPr>
          <w:rFonts w:ascii="Palatino Linotype" w:hAnsi="Palatino Linotype" w:cs="Arial"/>
          <w:b/>
          <w:color w:val="000000" w:themeColor="text1"/>
          <w:u w:val="single"/>
        </w:rPr>
        <w:t>no se inconforma por la respuesta emitida por el SUJETO OBLIGADO</w:t>
      </w:r>
      <w:r w:rsidR="00015C80" w:rsidRPr="00B935FD">
        <w:rPr>
          <w:rFonts w:ascii="Palatino Linotype" w:hAnsi="Palatino Linotype" w:cs="Arial"/>
          <w:b/>
          <w:color w:val="000000" w:themeColor="text1"/>
          <w:u w:val="single"/>
        </w:rPr>
        <w:t xml:space="preserve"> ni de la información solicitada inicialmente</w:t>
      </w:r>
      <w:r w:rsidRPr="00FC5F33">
        <w:rPr>
          <w:rFonts w:ascii="Palatino Linotype" w:hAnsi="Palatino Linotype" w:cs="Arial"/>
          <w:color w:val="000000" w:themeColor="text1"/>
        </w:rPr>
        <w:t xml:space="preserve">; </w:t>
      </w:r>
      <w:r w:rsidRPr="00FC5F33">
        <w:rPr>
          <w:rFonts w:ascii="Palatino Linotype" w:hAnsi="Palatino Linotype" w:cs="Arial"/>
          <w:color w:val="000000" w:themeColor="text1"/>
        </w:rPr>
        <w:lastRenderedPageBreak/>
        <w:t xml:space="preserve">sino que </w:t>
      </w:r>
      <w:r>
        <w:rPr>
          <w:rFonts w:ascii="Palatino Linotype" w:hAnsi="Palatino Linotype" w:cs="Arial"/>
          <w:color w:val="000000" w:themeColor="text1"/>
        </w:rPr>
        <w:t>realiza</w:t>
      </w:r>
      <w:r w:rsidRPr="00FC5F33">
        <w:rPr>
          <w:rFonts w:ascii="Palatino Linotype" w:hAnsi="Palatino Linotype" w:cs="Arial"/>
          <w:color w:val="000000" w:themeColor="text1"/>
        </w:rPr>
        <w:t xml:space="preserve"> una serie de manifestaciones en uso de su derecho a la libertad de expresión, pero que -se insiste- no guardan relación con el asunto de mérito.</w:t>
      </w:r>
      <w:r w:rsidR="00C4379D">
        <w:rPr>
          <w:rFonts w:ascii="Palatino Linotype" w:hAnsi="Palatino Linotype" w:cs="Arial"/>
          <w:color w:val="000000" w:themeColor="text1"/>
        </w:rPr>
        <w:t xml:space="preserve"> </w:t>
      </w:r>
    </w:p>
    <w:p w:rsidR="00FC5F33" w:rsidRPr="00FC5F33" w:rsidRDefault="00FC5F33" w:rsidP="00FC5F33">
      <w:pPr>
        <w:spacing w:line="360" w:lineRule="auto"/>
        <w:ind w:left="360"/>
        <w:contextualSpacing/>
        <w:jc w:val="both"/>
        <w:rPr>
          <w:rFonts w:ascii="Palatino Linotype" w:hAnsi="Palatino Linotype" w:cs="Arial"/>
          <w:color w:val="000000" w:themeColor="text1"/>
        </w:rPr>
      </w:pPr>
    </w:p>
    <w:p w:rsidR="00FC5F33" w:rsidRPr="00FC5F33" w:rsidRDefault="00FC5F33" w:rsidP="00DC1346">
      <w:pPr>
        <w:numPr>
          <w:ilvl w:val="0"/>
          <w:numId w:val="1"/>
        </w:numPr>
        <w:spacing w:line="360" w:lineRule="auto"/>
        <w:ind w:left="0" w:firstLine="0"/>
        <w:contextualSpacing/>
        <w:jc w:val="both"/>
        <w:rPr>
          <w:rFonts w:ascii="Palatino Linotype" w:hAnsi="Palatino Linotype" w:cs="Arial"/>
          <w:color w:val="000000" w:themeColor="text1"/>
        </w:rPr>
      </w:pPr>
      <w:r w:rsidRPr="00FC5F33">
        <w:rPr>
          <w:rFonts w:ascii="Palatino Linotype" w:hAnsi="Palatino Linotype" w:cs="Arial"/>
          <w:color w:val="000000" w:themeColor="text1"/>
        </w:rPr>
        <w:t xml:space="preserve">Atento a lo anterior, se procede a analizar las </w:t>
      </w:r>
      <w:r>
        <w:rPr>
          <w:rFonts w:ascii="Palatino Linotype" w:hAnsi="Palatino Linotype" w:cs="Arial"/>
          <w:color w:val="000000" w:themeColor="text1"/>
        </w:rPr>
        <w:t xml:space="preserve">citadas </w:t>
      </w:r>
      <w:r w:rsidRPr="00FC5F33">
        <w:rPr>
          <w:rFonts w:ascii="Palatino Linotype" w:hAnsi="Palatino Linotype" w:cs="Arial"/>
          <w:color w:val="000000" w:themeColor="text1"/>
        </w:rPr>
        <w:t>razones o motivos de inconformidad ya transcritos en su literalidad en el anterior párrafo 2, y que son conformadas de la siguiente manera:</w:t>
      </w:r>
    </w:p>
    <w:p w:rsidR="00FC5F33" w:rsidRPr="00FC5F33" w:rsidRDefault="00FC5F33" w:rsidP="00FC5F33">
      <w:pPr>
        <w:spacing w:line="360" w:lineRule="auto"/>
        <w:ind w:left="360"/>
        <w:contextualSpacing/>
        <w:jc w:val="both"/>
        <w:rPr>
          <w:rFonts w:ascii="Palatino Linotype" w:hAnsi="Palatino Linotype" w:cs="Arial"/>
          <w:color w:val="000000" w:themeColor="text1"/>
        </w:rPr>
      </w:pPr>
    </w:p>
    <w:p w:rsidR="00FC5F33" w:rsidRPr="0049310C" w:rsidRDefault="00FC5F33" w:rsidP="00DC1346">
      <w:pPr>
        <w:pStyle w:val="Prrafodelista"/>
        <w:numPr>
          <w:ilvl w:val="0"/>
          <w:numId w:val="6"/>
        </w:numPr>
        <w:spacing w:line="360" w:lineRule="auto"/>
        <w:ind w:left="709"/>
        <w:jc w:val="both"/>
        <w:rPr>
          <w:rFonts w:ascii="Palatino Linotype" w:hAnsi="Palatino Linotype" w:cs="Arial"/>
          <w:color w:val="000000" w:themeColor="text1"/>
        </w:rPr>
      </w:pPr>
      <w:r w:rsidRPr="0049310C">
        <w:rPr>
          <w:rFonts w:ascii="Palatino Linotype" w:hAnsi="Palatino Linotype" w:cs="Arial"/>
          <w:color w:val="000000" w:themeColor="text1"/>
        </w:rPr>
        <w:t xml:space="preserve">Se </w:t>
      </w:r>
      <w:r w:rsidR="00015C80">
        <w:rPr>
          <w:rFonts w:ascii="Palatino Linotype" w:hAnsi="Palatino Linotype" w:cs="Arial"/>
          <w:color w:val="000000" w:themeColor="text1"/>
        </w:rPr>
        <w:t>citan</w:t>
      </w:r>
      <w:r w:rsidRPr="0049310C">
        <w:rPr>
          <w:rFonts w:ascii="Palatino Linotype" w:hAnsi="Palatino Linotype" w:cs="Arial"/>
          <w:color w:val="000000" w:themeColor="text1"/>
        </w:rPr>
        <w:t xml:space="preserve"> una serie de preceptos jurídicos encaminados a exponer el principio de máxima publicidad al que deben dar observancia los sujetos obligados</w:t>
      </w:r>
      <w:r w:rsidR="006C54D7">
        <w:rPr>
          <w:rFonts w:ascii="Palatino Linotype" w:hAnsi="Palatino Linotype" w:cs="Arial"/>
          <w:color w:val="000000" w:themeColor="text1"/>
        </w:rPr>
        <w:t>, sin que se argumente su vínculo con el asunto de mérito</w:t>
      </w:r>
      <w:r w:rsidRPr="0049310C">
        <w:rPr>
          <w:rFonts w:ascii="Palatino Linotype" w:hAnsi="Palatino Linotype" w:cs="Arial"/>
          <w:color w:val="000000" w:themeColor="text1"/>
        </w:rPr>
        <w:t>.</w:t>
      </w:r>
    </w:p>
    <w:p w:rsidR="00FC5F33" w:rsidRPr="00FC5F33" w:rsidRDefault="00FC5F33" w:rsidP="0049310C">
      <w:pPr>
        <w:spacing w:line="360" w:lineRule="auto"/>
        <w:ind w:left="709"/>
        <w:contextualSpacing/>
        <w:jc w:val="both"/>
        <w:rPr>
          <w:rFonts w:ascii="Palatino Linotype" w:hAnsi="Palatino Linotype" w:cs="Arial"/>
          <w:color w:val="000000" w:themeColor="text1"/>
        </w:rPr>
      </w:pPr>
    </w:p>
    <w:p w:rsidR="00FC5F33" w:rsidRDefault="00FC5F33" w:rsidP="00DC1346">
      <w:pPr>
        <w:pStyle w:val="Prrafodelista"/>
        <w:numPr>
          <w:ilvl w:val="0"/>
          <w:numId w:val="6"/>
        </w:numPr>
        <w:spacing w:line="360" w:lineRule="auto"/>
        <w:ind w:left="709"/>
        <w:jc w:val="both"/>
        <w:rPr>
          <w:rFonts w:ascii="Palatino Linotype" w:hAnsi="Palatino Linotype" w:cs="Arial"/>
          <w:color w:val="000000" w:themeColor="text1"/>
        </w:rPr>
      </w:pPr>
      <w:r w:rsidRPr="0049310C">
        <w:rPr>
          <w:rFonts w:ascii="Palatino Linotype" w:hAnsi="Palatino Linotype" w:cs="Arial"/>
          <w:color w:val="000000" w:themeColor="text1"/>
        </w:rPr>
        <w:t>Se señala brevemente como es que el derecho de acceso a la información se garantiza mediante el manejo y la conservación del patrimonio documental.</w:t>
      </w:r>
    </w:p>
    <w:p w:rsidR="006C54D7" w:rsidRPr="006C54D7" w:rsidRDefault="006C54D7" w:rsidP="006C54D7">
      <w:pPr>
        <w:pStyle w:val="Prrafodelista"/>
        <w:rPr>
          <w:rFonts w:ascii="Palatino Linotype" w:hAnsi="Palatino Linotype" w:cs="Arial"/>
          <w:color w:val="000000" w:themeColor="text1"/>
        </w:rPr>
      </w:pPr>
    </w:p>
    <w:p w:rsidR="00FC5F33" w:rsidRPr="0049310C" w:rsidRDefault="00FC5F33" w:rsidP="00DC1346">
      <w:pPr>
        <w:pStyle w:val="Prrafodelista"/>
        <w:numPr>
          <w:ilvl w:val="0"/>
          <w:numId w:val="6"/>
        </w:numPr>
        <w:spacing w:line="360" w:lineRule="auto"/>
        <w:ind w:left="709"/>
        <w:jc w:val="both"/>
        <w:rPr>
          <w:rFonts w:ascii="Palatino Linotype" w:hAnsi="Palatino Linotype" w:cs="Arial"/>
          <w:color w:val="000000" w:themeColor="text1"/>
        </w:rPr>
      </w:pPr>
      <w:r w:rsidRPr="0049310C">
        <w:rPr>
          <w:rFonts w:ascii="Palatino Linotype" w:hAnsi="Palatino Linotype" w:cs="Arial"/>
          <w:color w:val="000000" w:themeColor="text1"/>
        </w:rPr>
        <w:t xml:space="preserve">Se menciona una supuesta omisión del </w:t>
      </w:r>
      <w:r w:rsidRPr="0049310C">
        <w:rPr>
          <w:rFonts w:ascii="Palatino Linotype" w:hAnsi="Palatino Linotype" w:cs="Arial"/>
          <w:b/>
          <w:color w:val="000000" w:themeColor="text1"/>
        </w:rPr>
        <w:t xml:space="preserve">SUJETO OBLIGADO </w:t>
      </w:r>
      <w:r w:rsidRPr="0049310C">
        <w:rPr>
          <w:rFonts w:ascii="Palatino Linotype" w:hAnsi="Palatino Linotype" w:cs="Arial"/>
          <w:color w:val="000000" w:themeColor="text1"/>
        </w:rPr>
        <w:t>en las formalidades de clasificación de la información.</w:t>
      </w:r>
    </w:p>
    <w:p w:rsidR="00FC5F33" w:rsidRPr="00FC5F33" w:rsidRDefault="00FC5F33" w:rsidP="0049310C">
      <w:pPr>
        <w:spacing w:line="360" w:lineRule="auto"/>
        <w:ind w:left="709"/>
        <w:contextualSpacing/>
        <w:jc w:val="both"/>
        <w:rPr>
          <w:rFonts w:ascii="Palatino Linotype" w:hAnsi="Palatino Linotype" w:cs="Arial"/>
          <w:color w:val="000000" w:themeColor="text1"/>
        </w:rPr>
      </w:pPr>
    </w:p>
    <w:p w:rsidR="00FC5F33" w:rsidRPr="0049310C" w:rsidRDefault="00FC5F33" w:rsidP="00DC1346">
      <w:pPr>
        <w:pStyle w:val="Prrafodelista"/>
        <w:numPr>
          <w:ilvl w:val="0"/>
          <w:numId w:val="6"/>
        </w:numPr>
        <w:spacing w:line="360" w:lineRule="auto"/>
        <w:ind w:left="709"/>
        <w:jc w:val="both"/>
        <w:rPr>
          <w:rFonts w:ascii="Palatino Linotype" w:hAnsi="Palatino Linotype" w:cs="Arial"/>
          <w:color w:val="000000" w:themeColor="text1"/>
        </w:rPr>
      </w:pPr>
      <w:r w:rsidRPr="0049310C">
        <w:rPr>
          <w:rFonts w:ascii="Palatino Linotype" w:hAnsi="Palatino Linotype" w:cs="Arial"/>
          <w:color w:val="000000" w:themeColor="text1"/>
        </w:rPr>
        <w:t xml:space="preserve">Se pretende interponer una denuncia ante la Contraloría Interna y Órgano de Control y Vigilancia de este Instituto para </w:t>
      </w:r>
      <w:r w:rsidR="0049310C" w:rsidRPr="0049310C">
        <w:rPr>
          <w:rFonts w:ascii="Palatino Linotype" w:hAnsi="Palatino Linotype" w:cs="Arial"/>
          <w:color w:val="000000" w:themeColor="text1"/>
        </w:rPr>
        <w:t>que,</w:t>
      </w:r>
      <w:r w:rsidRPr="0049310C">
        <w:rPr>
          <w:rFonts w:ascii="Palatino Linotype" w:hAnsi="Palatino Linotype" w:cs="Arial"/>
          <w:color w:val="000000" w:themeColor="text1"/>
        </w:rPr>
        <w:t xml:space="preserve"> en términos de la Ley de Responsabilidades de los Servidores Públicos del Estado y Municipios, determine el grado de responsabilidad de quienes </w:t>
      </w:r>
      <w:r w:rsidR="0049310C" w:rsidRPr="0049310C">
        <w:rPr>
          <w:rFonts w:ascii="Palatino Linotype" w:hAnsi="Palatino Linotype" w:cs="Arial"/>
          <w:color w:val="000000" w:themeColor="text1"/>
        </w:rPr>
        <w:t>incumplieron</w:t>
      </w:r>
      <w:r w:rsidRPr="0049310C">
        <w:rPr>
          <w:rFonts w:ascii="Palatino Linotype" w:hAnsi="Palatino Linotype" w:cs="Arial"/>
          <w:color w:val="000000" w:themeColor="text1"/>
        </w:rPr>
        <w:t xml:space="preserve"> lo anteriormente </w:t>
      </w:r>
      <w:r w:rsidR="0049310C" w:rsidRPr="0049310C">
        <w:rPr>
          <w:rFonts w:ascii="Palatino Linotype" w:hAnsi="Palatino Linotype" w:cs="Arial"/>
          <w:color w:val="000000" w:themeColor="text1"/>
        </w:rPr>
        <w:t>referido,</w:t>
      </w:r>
      <w:r w:rsidRPr="0049310C">
        <w:rPr>
          <w:rFonts w:ascii="Palatino Linotype" w:hAnsi="Palatino Linotype" w:cs="Arial"/>
          <w:color w:val="000000" w:themeColor="text1"/>
        </w:rPr>
        <w:t xml:space="preserve"> </w:t>
      </w:r>
      <w:r w:rsidR="0049310C" w:rsidRPr="0049310C">
        <w:rPr>
          <w:rFonts w:ascii="Palatino Linotype" w:hAnsi="Palatino Linotype" w:cs="Arial"/>
          <w:color w:val="000000" w:themeColor="text1"/>
        </w:rPr>
        <w:t>así</w:t>
      </w:r>
      <w:r w:rsidRPr="0049310C">
        <w:rPr>
          <w:rFonts w:ascii="Palatino Linotype" w:hAnsi="Palatino Linotype" w:cs="Arial"/>
          <w:color w:val="000000" w:themeColor="text1"/>
        </w:rPr>
        <w:t xml:space="preserve"> como las obligaciones de la Ley de la materia.</w:t>
      </w:r>
    </w:p>
    <w:p w:rsidR="00FC5F33" w:rsidRDefault="00FC5F33" w:rsidP="00FC5F33">
      <w:pPr>
        <w:pStyle w:val="Prrafodelista"/>
        <w:rPr>
          <w:rFonts w:ascii="Palatino Linotype" w:hAnsi="Palatino Linotype"/>
          <w:color w:val="000000"/>
        </w:rPr>
      </w:pPr>
    </w:p>
    <w:p w:rsidR="002A6CFA" w:rsidRPr="006C669E" w:rsidRDefault="002A6CFA" w:rsidP="00DC1346">
      <w:pPr>
        <w:numPr>
          <w:ilvl w:val="0"/>
          <w:numId w:val="1"/>
        </w:numPr>
        <w:spacing w:line="360" w:lineRule="auto"/>
        <w:ind w:left="0" w:firstLine="0"/>
        <w:contextualSpacing/>
        <w:jc w:val="both"/>
        <w:rPr>
          <w:rFonts w:ascii="Palatino Linotype" w:eastAsia="MS Mincho" w:hAnsi="Palatino Linotype" w:cs="Arial"/>
        </w:rPr>
      </w:pPr>
      <w:r>
        <w:rPr>
          <w:rFonts w:ascii="Palatino Linotype" w:hAnsi="Palatino Linotype" w:cs="Arial"/>
        </w:rPr>
        <w:t xml:space="preserve">De lo anterior, se desprende </w:t>
      </w:r>
      <w:r w:rsidR="00015C80">
        <w:rPr>
          <w:rFonts w:ascii="Palatino Linotype" w:hAnsi="Palatino Linotype" w:cs="Arial"/>
        </w:rPr>
        <w:t xml:space="preserve">con claridad </w:t>
      </w:r>
      <w:r>
        <w:rPr>
          <w:rFonts w:ascii="Palatino Linotype" w:hAnsi="Palatino Linotype" w:cs="Arial"/>
        </w:rPr>
        <w:t xml:space="preserve">que no se impugna ninguna parte de la respuesta emitida y que tampoco existe </w:t>
      </w:r>
      <w:r w:rsidRPr="00B07531">
        <w:rPr>
          <w:rFonts w:ascii="Palatino Linotype" w:eastAsia="MS Mincho" w:hAnsi="Palatino Linotype" w:cs="Arial"/>
        </w:rPr>
        <w:t xml:space="preserve">inconformidad respecto </w:t>
      </w:r>
      <w:r>
        <w:rPr>
          <w:rFonts w:ascii="Palatino Linotype" w:eastAsia="MS Mincho" w:hAnsi="Palatino Linotype" w:cs="Arial"/>
        </w:rPr>
        <w:t xml:space="preserve">a la </w:t>
      </w:r>
      <w:r>
        <w:rPr>
          <w:rFonts w:ascii="Palatino Linotype" w:eastAsia="MS Mincho" w:hAnsi="Palatino Linotype" w:cs="Arial"/>
        </w:rPr>
        <w:lastRenderedPageBreak/>
        <w:t>información solicitada inicialmente</w:t>
      </w:r>
      <w:r w:rsidR="00C4379D">
        <w:rPr>
          <w:rFonts w:ascii="Palatino Linotype" w:eastAsia="MS Mincho" w:hAnsi="Palatino Linotype" w:cs="Arial"/>
        </w:rPr>
        <w:t xml:space="preserve">. No </w:t>
      </w:r>
      <w:r w:rsidR="00E01E22">
        <w:rPr>
          <w:rFonts w:ascii="Palatino Linotype" w:eastAsia="MS Mincho" w:hAnsi="Palatino Linotype" w:cs="Arial"/>
        </w:rPr>
        <w:t>obstante</w:t>
      </w:r>
      <w:r w:rsidR="00C4379D">
        <w:rPr>
          <w:rFonts w:ascii="Palatino Linotype" w:eastAsia="MS Mincho" w:hAnsi="Palatino Linotype" w:cs="Arial"/>
        </w:rPr>
        <w:t xml:space="preserve"> lo anterior</w:t>
      </w:r>
      <w:r w:rsidR="00E01E22">
        <w:rPr>
          <w:rFonts w:ascii="Palatino Linotype" w:eastAsia="MS Mincho" w:hAnsi="Palatino Linotype" w:cs="Arial"/>
        </w:rPr>
        <w:t>,</w:t>
      </w:r>
      <w:r w:rsidR="00C4379D">
        <w:rPr>
          <w:rFonts w:ascii="Palatino Linotype" w:eastAsia="MS Mincho" w:hAnsi="Palatino Linotype" w:cs="Arial"/>
        </w:rPr>
        <w:t xml:space="preserve"> bajo la óptica de un escenario garantista del derecho de acceso a la información pública, se procede al análisis de fondo de la respuesta emitida.</w:t>
      </w:r>
    </w:p>
    <w:p w:rsidR="002A6CFA" w:rsidRDefault="002A6CFA" w:rsidP="002A6CFA">
      <w:pPr>
        <w:pStyle w:val="Prrafodelista"/>
        <w:rPr>
          <w:rFonts w:ascii="Palatino Linotype" w:eastAsia="MS Mincho" w:hAnsi="Palatino Linotype" w:cs="Arial"/>
        </w:rPr>
      </w:pPr>
    </w:p>
    <w:p w:rsidR="002A6CFA" w:rsidRPr="002A6CFA" w:rsidRDefault="00C4379D" w:rsidP="00DC1346">
      <w:pPr>
        <w:numPr>
          <w:ilvl w:val="0"/>
          <w:numId w:val="1"/>
        </w:numPr>
        <w:spacing w:line="360" w:lineRule="auto"/>
        <w:ind w:left="0" w:firstLine="0"/>
        <w:contextualSpacing/>
        <w:jc w:val="both"/>
        <w:rPr>
          <w:rFonts w:ascii="Palatino Linotype" w:hAnsi="Palatino Linotype"/>
        </w:rPr>
      </w:pPr>
      <w:r>
        <w:rPr>
          <w:rFonts w:ascii="Palatino Linotype" w:eastAsia="MS Mincho" w:hAnsi="Palatino Linotype" w:cs="Arial"/>
        </w:rPr>
        <w:t>Primeramente señalar que</w:t>
      </w:r>
      <w:r w:rsidR="002A6CFA">
        <w:rPr>
          <w:rFonts w:ascii="Palatino Linotype" w:eastAsia="MS Mincho" w:hAnsi="Palatino Linotype" w:cs="Arial"/>
        </w:rPr>
        <w:t xml:space="preserve"> si bien es cierto </w:t>
      </w:r>
      <w:r w:rsidR="002A6CFA" w:rsidRPr="00AB76AB">
        <w:rPr>
          <w:rFonts w:ascii="Palatino Linotype" w:eastAsia="Palatino Linotype" w:hAnsi="Palatino Linotype" w:cs="Palatino Linotype"/>
          <w:color w:val="000000"/>
        </w:rPr>
        <w:t xml:space="preserve">este </w:t>
      </w:r>
      <w:r w:rsidR="002A6CFA" w:rsidRPr="00192D1E">
        <w:rPr>
          <w:rFonts w:ascii="Palatino Linotype" w:eastAsia="MS Mincho" w:hAnsi="Palatino Linotype" w:cs="Arial"/>
        </w:rPr>
        <w:t>Instituto</w:t>
      </w:r>
      <w:r w:rsidR="002A6CFA" w:rsidRPr="00AB76AB">
        <w:rPr>
          <w:rFonts w:ascii="Palatino Linotype" w:eastAsia="Palatino Linotype" w:hAnsi="Palatino Linotype" w:cs="Palatino Linotype"/>
          <w:color w:val="000000"/>
        </w:rPr>
        <w:t xml:space="preserve"> no está facultado para dudar de la veracidad de </w:t>
      </w:r>
      <w:r w:rsidR="002A6CFA">
        <w:rPr>
          <w:rFonts w:ascii="Palatino Linotype" w:eastAsia="Palatino Linotype" w:hAnsi="Palatino Linotype" w:cs="Palatino Linotype"/>
          <w:color w:val="000000"/>
        </w:rPr>
        <w:t xml:space="preserve">la </w:t>
      </w:r>
      <w:r w:rsidR="002A6CFA" w:rsidRPr="00D45D1F">
        <w:rPr>
          <w:rFonts w:ascii="Palatino Linotype" w:eastAsia="MS Mincho" w:hAnsi="Palatino Linotype" w:cs="Arial"/>
        </w:rPr>
        <w:t>información</w:t>
      </w:r>
      <w:r w:rsidR="002A6CFA">
        <w:rPr>
          <w:rFonts w:ascii="Palatino Linotype" w:eastAsia="Palatino Linotype" w:hAnsi="Palatino Linotype" w:cs="Palatino Linotype"/>
          <w:color w:val="000000"/>
        </w:rPr>
        <w:t xml:space="preserve"> que le fue entregada al hoy </w:t>
      </w:r>
      <w:r w:rsidR="002A6CFA">
        <w:rPr>
          <w:rFonts w:ascii="Palatino Linotype" w:eastAsia="Palatino Linotype" w:hAnsi="Palatino Linotype" w:cs="Palatino Linotype"/>
          <w:b/>
          <w:color w:val="000000"/>
        </w:rPr>
        <w:t>RECURRENTE</w:t>
      </w:r>
      <w:r w:rsidR="002A6CFA">
        <w:rPr>
          <w:rFonts w:ascii="Palatino Linotype" w:eastAsia="Palatino Linotype" w:hAnsi="Palatino Linotype" w:cs="Palatino Linotype"/>
          <w:color w:val="000000"/>
        </w:rPr>
        <w:t xml:space="preserve"> en el presente asunto, ni de </w:t>
      </w:r>
      <w:r w:rsidR="002A6CFA" w:rsidRPr="00AB76AB">
        <w:rPr>
          <w:rFonts w:ascii="Palatino Linotype" w:eastAsia="Palatino Linotype" w:hAnsi="Palatino Linotype" w:cs="Palatino Linotype"/>
          <w:color w:val="000000"/>
        </w:rPr>
        <w:t>las respuestas</w:t>
      </w:r>
      <w:r w:rsidR="002A6CFA">
        <w:rPr>
          <w:rFonts w:ascii="Palatino Linotype" w:eastAsia="Palatino Linotype" w:hAnsi="Palatino Linotype" w:cs="Palatino Linotype"/>
          <w:color w:val="000000"/>
        </w:rPr>
        <w:t>,</w:t>
      </w:r>
      <w:r w:rsidR="002A6CFA" w:rsidRPr="00AB76AB">
        <w:rPr>
          <w:rFonts w:ascii="Palatino Linotype" w:eastAsia="Palatino Linotype" w:hAnsi="Palatino Linotype" w:cs="Palatino Linotype"/>
          <w:color w:val="000000"/>
        </w:rPr>
        <w:t xml:space="preserve"> ni de las documentales que ponen a disposición de los solicitantes</w:t>
      </w:r>
      <w:r w:rsidR="002A6CFA">
        <w:rPr>
          <w:rFonts w:ascii="Palatino Linotype" w:eastAsia="Palatino Linotype" w:hAnsi="Palatino Linotype" w:cs="Palatino Linotype"/>
          <w:color w:val="000000"/>
        </w:rPr>
        <w:t xml:space="preserve"> los sujetos obligados</w:t>
      </w:r>
      <w:r w:rsidR="002A6CFA" w:rsidRPr="00AB76AB">
        <w:rPr>
          <w:rFonts w:ascii="Palatino Linotype" w:eastAsia="Palatino Linotype" w:hAnsi="Palatino Linotype" w:cs="Palatino Linotype"/>
          <w:color w:val="000000"/>
        </w:rPr>
        <w:t xml:space="preserve">, </w:t>
      </w:r>
      <w:r w:rsidR="002A6CFA" w:rsidRPr="00AB76AB">
        <w:rPr>
          <w:rFonts w:ascii="Palatino Linotype" w:hAnsi="Palatino Linotype" w:cs="Arial"/>
        </w:rPr>
        <w:t xml:space="preserve">situación que se aleja de las atribuciones de este Instituto </w:t>
      </w:r>
      <w:r w:rsidR="002A6CFA" w:rsidRPr="00AB76AB">
        <w:rPr>
          <w:rFonts w:ascii="Palatino Linotype" w:hAnsi="Palatino Linotype"/>
          <w:i/>
          <w:color w:val="000000"/>
        </w:rPr>
        <w:t>máxime</w:t>
      </w:r>
      <w:r w:rsidR="002A6CFA" w:rsidRPr="00AB76A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2A6CFA" w:rsidRPr="0098151A" w:rsidRDefault="002A6CFA" w:rsidP="002A6CFA">
      <w:pPr>
        <w:pStyle w:val="Prrafodelista"/>
        <w:spacing w:line="360" w:lineRule="auto"/>
        <w:ind w:left="0"/>
        <w:contextualSpacing w:val="0"/>
        <w:jc w:val="both"/>
        <w:rPr>
          <w:rFonts w:ascii="Palatino Linotype" w:hAnsi="Palatino Linotype"/>
        </w:rPr>
      </w:pPr>
    </w:p>
    <w:p w:rsidR="002A6CFA" w:rsidRPr="00AB76AB" w:rsidRDefault="002A6CFA" w:rsidP="00DC1346">
      <w:pPr>
        <w:numPr>
          <w:ilvl w:val="0"/>
          <w:numId w:val="1"/>
        </w:numPr>
        <w:spacing w:line="360" w:lineRule="auto"/>
        <w:ind w:left="0" w:firstLine="0"/>
        <w:contextualSpacing/>
        <w:jc w:val="both"/>
        <w:rPr>
          <w:rFonts w:ascii="Palatino Linotype" w:hAnsi="Palatino Linotype"/>
        </w:rPr>
      </w:pPr>
      <w:r w:rsidRPr="00D45D1F">
        <w:rPr>
          <w:rFonts w:ascii="Palatino Linotype" w:eastAsia="Palatino Linotype" w:hAnsi="Palatino Linotype" w:cs="Palatino Linotype"/>
          <w:color w:val="000000"/>
        </w:rPr>
        <w:t>Sirviendo</w:t>
      </w:r>
      <w:r w:rsidRPr="00AB76AB">
        <w:rPr>
          <w:rFonts w:ascii="Palatino Linotype" w:hAnsi="Palatino Linotype"/>
        </w:rPr>
        <w:t xml:space="preserve"> de apoyo a lo anterior por analogía, el criterio 31-10 emitido por el ahora </w:t>
      </w:r>
      <w:r w:rsidRPr="002A6CFA">
        <w:rPr>
          <w:rFonts w:ascii="Palatino Linotype" w:eastAsia="MS Mincho" w:hAnsi="Palatino Linotype" w:cs="Arial"/>
        </w:rPr>
        <w:t>Instituto</w:t>
      </w:r>
      <w:r w:rsidRPr="00AB76AB">
        <w:rPr>
          <w:rFonts w:ascii="Palatino Linotype" w:hAnsi="Palatino Linotype"/>
        </w:rPr>
        <w:t xml:space="preserve"> </w:t>
      </w:r>
      <w:r w:rsidRPr="00864032">
        <w:rPr>
          <w:rFonts w:ascii="Palatino Linotype" w:eastAsia="Palatino Linotype" w:hAnsi="Palatino Linotype" w:cs="Palatino Linotype"/>
          <w:color w:val="000000"/>
        </w:rPr>
        <w:t>Nacional</w:t>
      </w:r>
      <w:r w:rsidRPr="00AB76AB">
        <w:rPr>
          <w:rFonts w:ascii="Palatino Linotype" w:hAnsi="Palatino Linotype"/>
        </w:rPr>
        <w:t xml:space="preserve"> de Transparencia, Acceso a la Información y Protección de Datos Personales, que a la letra dice:</w:t>
      </w:r>
    </w:p>
    <w:p w:rsidR="002A6CFA" w:rsidRPr="00AB76AB" w:rsidRDefault="002A6CFA" w:rsidP="002A6CFA">
      <w:pPr>
        <w:pStyle w:val="Prrafodelista"/>
        <w:rPr>
          <w:rFonts w:ascii="Palatino Linotype" w:hAnsi="Palatino Linotype"/>
        </w:rPr>
      </w:pPr>
    </w:p>
    <w:p w:rsidR="002A6CFA" w:rsidRDefault="002A6CFA" w:rsidP="002A6CFA">
      <w:pPr>
        <w:pStyle w:val="Default"/>
        <w:spacing w:line="360" w:lineRule="auto"/>
        <w:ind w:left="851" w:right="850"/>
        <w:jc w:val="both"/>
        <w:rPr>
          <w:rFonts w:ascii="Palatino Linotype" w:hAnsi="Palatino Linotype"/>
          <w:i/>
        </w:rPr>
      </w:pPr>
      <w:r w:rsidRPr="00AB76AB">
        <w:rPr>
          <w:rFonts w:ascii="Palatino Linotype" w:hAnsi="Palatino Linotype"/>
          <w:i/>
        </w:rPr>
        <w:t xml:space="preserve">“El Instituto Federal de Acceso a la Información y Protección de Datos </w:t>
      </w:r>
      <w:r w:rsidRPr="00AB76AB">
        <w:rPr>
          <w:rFonts w:ascii="Palatino Linotype" w:hAnsi="Palatino Linotype"/>
          <w:b/>
          <w:i/>
        </w:rPr>
        <w:t>no cuenta con facultades para pronunciarse respecto de la veracidad de los documentos proporcionados por los sujetos obligados.</w:t>
      </w:r>
      <w:r w:rsidRPr="00AB76A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AB76AB">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A6CFA" w:rsidRPr="00AB76AB" w:rsidRDefault="002A6CFA" w:rsidP="002A6CFA">
      <w:pPr>
        <w:pStyle w:val="Default"/>
        <w:spacing w:line="360" w:lineRule="auto"/>
        <w:ind w:left="851" w:right="850"/>
        <w:jc w:val="both"/>
        <w:rPr>
          <w:rFonts w:ascii="Palatino Linotype" w:hAnsi="Palatino Linotype"/>
          <w:i/>
        </w:rPr>
      </w:pPr>
    </w:p>
    <w:p w:rsidR="002A6CFA" w:rsidRPr="00192D1E" w:rsidRDefault="002A6CFA" w:rsidP="00DC1346">
      <w:pPr>
        <w:numPr>
          <w:ilvl w:val="0"/>
          <w:numId w:val="1"/>
        </w:numPr>
        <w:spacing w:line="360" w:lineRule="auto"/>
        <w:ind w:left="0" w:firstLine="0"/>
        <w:contextualSpacing/>
        <w:jc w:val="both"/>
        <w:rPr>
          <w:rFonts w:ascii="Palatino Linotype" w:hAnsi="Palatino Linotype"/>
          <w:i/>
        </w:rPr>
      </w:pPr>
      <w:r w:rsidRPr="00AB76AB">
        <w:rPr>
          <w:rFonts w:ascii="Palatino Linotype" w:hAnsi="Palatino Linotype" w:cs="Arial"/>
        </w:rPr>
        <w:t>Así como lo dispuesto por</w:t>
      </w:r>
      <w:r w:rsidRPr="00AB76AB">
        <w:rPr>
          <w:rFonts w:ascii="Palatino Linotype" w:hAnsi="Palatino Linotype"/>
        </w:rPr>
        <w:t xml:space="preserve"> la </w:t>
      </w:r>
      <w:r w:rsidRPr="00AB76AB">
        <w:rPr>
          <w:rFonts w:ascii="Palatino Linotype" w:hAnsi="Palatino Linotype"/>
          <w:b/>
        </w:rPr>
        <w:t xml:space="preserve">Ley de Transparencia y Acceso a la Información Pública del </w:t>
      </w:r>
      <w:r w:rsidRPr="002A6CFA">
        <w:rPr>
          <w:rFonts w:ascii="Palatino Linotype" w:eastAsia="Palatino Linotype" w:hAnsi="Palatino Linotype" w:cs="Palatino Linotype"/>
          <w:color w:val="000000"/>
        </w:rPr>
        <w:t>Estado</w:t>
      </w:r>
      <w:r w:rsidRPr="00AB76AB">
        <w:rPr>
          <w:rFonts w:ascii="Palatino Linotype" w:hAnsi="Palatino Linotype"/>
          <w:b/>
        </w:rPr>
        <w:t xml:space="preserve"> de México y Municipios</w:t>
      </w:r>
      <w:r w:rsidRPr="00AB76A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2A6CFA" w:rsidRPr="00AB76AB" w:rsidRDefault="002A6CFA" w:rsidP="002A6CFA">
      <w:pPr>
        <w:pStyle w:val="Prrafodelista"/>
        <w:spacing w:line="360" w:lineRule="auto"/>
        <w:ind w:left="0"/>
        <w:jc w:val="both"/>
        <w:rPr>
          <w:rFonts w:ascii="Palatino Linotype" w:hAnsi="Palatino Linotype"/>
          <w:i/>
        </w:rPr>
      </w:pPr>
    </w:p>
    <w:p w:rsidR="002A6CFA" w:rsidRPr="00AB76AB" w:rsidRDefault="002A6CFA" w:rsidP="002A6CFA">
      <w:pPr>
        <w:pStyle w:val="Prrafodelista"/>
        <w:spacing w:line="360" w:lineRule="auto"/>
        <w:ind w:left="567" w:right="680"/>
        <w:jc w:val="both"/>
        <w:rPr>
          <w:rFonts w:ascii="Palatino Linotype" w:hAnsi="Palatino Linotype" w:cs="Arial"/>
          <w:b/>
          <w:i/>
        </w:rPr>
      </w:pPr>
      <w:r w:rsidRPr="00AB76A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B76A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2A6CFA" w:rsidRPr="003829E5" w:rsidRDefault="002A6CFA" w:rsidP="002A6CFA">
      <w:pPr>
        <w:spacing w:line="360" w:lineRule="auto"/>
        <w:ind w:right="902"/>
        <w:jc w:val="both"/>
        <w:rPr>
          <w:rFonts w:ascii="Palatino Linotype" w:hAnsi="Palatino Linotype" w:cs="Arial"/>
          <w:b/>
        </w:rPr>
      </w:pPr>
    </w:p>
    <w:p w:rsidR="002A6CFA" w:rsidRDefault="002A6CFA" w:rsidP="00DC1346">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7E5F61">
        <w:rPr>
          <w:rFonts w:ascii="Palatino Linotype" w:hAnsi="Palatino Linotype" w:cs="Arial"/>
        </w:rPr>
        <w:lastRenderedPageBreak/>
        <w:t>Numerales</w:t>
      </w:r>
      <w:r w:rsidRPr="007E5F61">
        <w:rPr>
          <w:rFonts w:ascii="Palatino Linotype" w:hAnsi="Palatino Linotype" w:cs="Arial"/>
          <w:noProof/>
          <w:lang w:eastAsia="es-MX"/>
        </w:rPr>
        <w:t xml:space="preserve"> que compelen al </w:t>
      </w:r>
      <w:r w:rsidRPr="007E5F61">
        <w:rPr>
          <w:rFonts w:ascii="Palatino Linotype" w:hAnsi="Palatino Linotype" w:cs="Arial"/>
          <w:b/>
          <w:noProof/>
          <w:lang w:eastAsia="es-MX"/>
        </w:rPr>
        <w:t>SUJETO OBLIGADO</w:t>
      </w:r>
      <w:r w:rsidRPr="007E5F61">
        <w:rPr>
          <w:rFonts w:ascii="Palatino Linotype" w:hAnsi="Palatino Linotype" w:cs="Arial"/>
          <w:noProof/>
          <w:lang w:eastAsia="es-MX"/>
        </w:rPr>
        <w:t xml:space="preserve"> apegarse en todo momento a los </w:t>
      </w:r>
      <w:r w:rsidRPr="007E5F61">
        <w:rPr>
          <w:rFonts w:ascii="Palatino Linotype" w:hAnsi="Palatino Linotype" w:cs="Arial"/>
        </w:rPr>
        <w:t>criterios</w:t>
      </w:r>
      <w:r w:rsidRPr="007E5F61">
        <w:rPr>
          <w:rFonts w:ascii="Palatino Linotype" w:hAnsi="Palatino Linotype" w:cs="Arial"/>
          <w:noProof/>
          <w:lang w:eastAsia="es-MX"/>
        </w:rPr>
        <w:t xml:space="preserve"> ya expuestos, impidiendo a este Órgano Colegiado cuestionar la veracidad de la información;</w:t>
      </w:r>
      <w:r w:rsidRPr="007E5F61">
        <w:rPr>
          <w:rFonts w:ascii="Palatino Linotype" w:eastAsia="Palatino Linotype" w:hAnsi="Palatino Linotype" w:cs="Palatino Linotype"/>
          <w:color w:val="000000"/>
        </w:rPr>
        <w:t xml:space="preserve"> luego entonces, se tienen por colmadas las solicitudes de información de mérito.</w:t>
      </w:r>
    </w:p>
    <w:p w:rsidR="002A6CFA" w:rsidRPr="00C804FB" w:rsidRDefault="002A6CFA" w:rsidP="002A6CFA">
      <w:pPr>
        <w:spacing w:line="360" w:lineRule="auto"/>
        <w:jc w:val="both"/>
        <w:rPr>
          <w:rFonts w:ascii="Palatino Linotype" w:hAnsi="Palatino Linotype"/>
          <w:color w:val="000000" w:themeColor="text1"/>
        </w:rPr>
      </w:pPr>
    </w:p>
    <w:p w:rsidR="00A26715" w:rsidRPr="00A62237" w:rsidRDefault="00A26715" w:rsidP="00DC1346">
      <w:pPr>
        <w:numPr>
          <w:ilvl w:val="0"/>
          <w:numId w:val="1"/>
        </w:numPr>
        <w:spacing w:line="360" w:lineRule="auto"/>
        <w:ind w:left="0" w:firstLine="0"/>
        <w:contextualSpacing/>
        <w:jc w:val="both"/>
        <w:rPr>
          <w:rFonts w:ascii="Palatino Linotype" w:hAnsi="Palatino Linotype"/>
        </w:rPr>
      </w:pPr>
      <w:r>
        <w:rPr>
          <w:rFonts w:ascii="Palatino Linotype" w:hAnsi="Palatino Linotype" w:cs="Arial"/>
        </w:rPr>
        <w:t>También lo es que</w:t>
      </w:r>
      <w:r w:rsidR="00E01E22">
        <w:rPr>
          <w:rFonts w:ascii="Palatino Linotype" w:hAnsi="Palatino Linotype" w:cs="Arial"/>
        </w:rPr>
        <w:t>,</w:t>
      </w:r>
      <w:r>
        <w:rPr>
          <w:rFonts w:ascii="Palatino Linotype" w:hAnsi="Palatino Linotype" w:cs="Arial"/>
        </w:rPr>
        <w:t xml:space="preserve"> </w:t>
      </w:r>
      <w:r w:rsidRPr="00A62237">
        <w:rPr>
          <w:rFonts w:ascii="Palatino Linotype" w:hAnsi="Palatino Linotype"/>
        </w:rPr>
        <w:t xml:space="preserve">la </w:t>
      </w:r>
      <w:r w:rsidRPr="002A02C5">
        <w:rPr>
          <w:rFonts w:ascii="Palatino Linotype" w:hAnsi="Palatino Linotype"/>
          <w:b/>
        </w:rPr>
        <w:t>Ley del Trabajo de los Servidores Públicos del Estado y Municipio</w:t>
      </w:r>
      <w:r w:rsidRPr="00A62237">
        <w:rPr>
          <w:rFonts w:ascii="Palatino Linotype" w:hAnsi="Palatino Linotype"/>
        </w:rPr>
        <w:t>, regula las relaciones de trabajo, comprendidas entre los poderes públicos del Estado y los Municipios y sus respectivos servidores públicos, lo anterior de conformidad con lo dispuesto por los artículos 1 y 2, que son del tenor literal siguiente:</w:t>
      </w:r>
    </w:p>
    <w:p w:rsidR="00A26715" w:rsidRPr="00A62237" w:rsidRDefault="00A26715" w:rsidP="00A26715">
      <w:pPr>
        <w:spacing w:line="360" w:lineRule="auto"/>
        <w:jc w:val="both"/>
        <w:rPr>
          <w:rFonts w:ascii="Palatino Linotype" w:hAnsi="Palatino Linotype"/>
        </w:rPr>
      </w:pPr>
    </w:p>
    <w:p w:rsidR="00A26715" w:rsidRPr="00A62237" w:rsidRDefault="00A26715" w:rsidP="00A26715">
      <w:pPr>
        <w:spacing w:line="360" w:lineRule="auto"/>
        <w:ind w:left="709" w:right="566"/>
        <w:jc w:val="both"/>
        <w:rPr>
          <w:rFonts w:ascii="Palatino Linotype" w:hAnsi="Palatino Linotype"/>
          <w:i/>
        </w:rPr>
      </w:pPr>
      <w:r w:rsidRPr="00A62237">
        <w:rPr>
          <w:rFonts w:ascii="Palatino Linotype" w:hAnsi="Palatino Linotype"/>
          <w:i/>
        </w:rPr>
        <w:t>“ARTÍCULO 1.- Ésta ley es de orden público e interés social y tiene por objeto regular las relaciones de trabajo, comprendidas entre los poderes públicos del Estado y los Municipios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determinen y sus servidores públicos.</w:t>
      </w:r>
    </w:p>
    <w:p w:rsidR="00A26715" w:rsidRPr="00A62237" w:rsidRDefault="00A26715" w:rsidP="00A26715">
      <w:pPr>
        <w:spacing w:line="360" w:lineRule="auto"/>
        <w:ind w:left="709" w:right="566"/>
        <w:jc w:val="both"/>
        <w:rPr>
          <w:rFonts w:ascii="Palatino Linotype" w:hAnsi="Palatino Linotype"/>
          <w:i/>
        </w:rPr>
      </w:pPr>
      <w:r w:rsidRPr="00A62237">
        <w:rPr>
          <w:rFonts w:ascii="Palatino Linotype" w:hAnsi="Palatino Linotype"/>
          <w:i/>
        </w:rPr>
        <w:t xml:space="preserve">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w:t>
      </w:r>
      <w:r w:rsidRPr="00A62237">
        <w:rPr>
          <w:rFonts w:ascii="Palatino Linotype" w:hAnsi="Palatino Linotype"/>
          <w:i/>
        </w:rPr>
        <w:lastRenderedPageBreak/>
        <w:t>ley, considerando las modalidades y términos específicos que se señalen en los convenios respectivos.</w:t>
      </w:r>
    </w:p>
    <w:p w:rsidR="00A26715" w:rsidRPr="00A62237" w:rsidRDefault="00A26715" w:rsidP="00A26715">
      <w:pPr>
        <w:spacing w:line="360" w:lineRule="auto"/>
        <w:ind w:left="709" w:right="566"/>
        <w:jc w:val="both"/>
        <w:rPr>
          <w:rFonts w:ascii="Palatino Linotype" w:hAnsi="Palatino Linotype"/>
          <w:i/>
        </w:rPr>
      </w:pPr>
    </w:p>
    <w:p w:rsidR="00A26715" w:rsidRPr="00A62237" w:rsidRDefault="00E01E22" w:rsidP="00A26715">
      <w:pPr>
        <w:spacing w:line="360" w:lineRule="auto"/>
        <w:ind w:left="709" w:right="566"/>
        <w:jc w:val="both"/>
        <w:rPr>
          <w:rFonts w:ascii="Palatino Linotype" w:hAnsi="Palatino Linotype"/>
          <w:i/>
        </w:rPr>
      </w:pPr>
      <w:r w:rsidRPr="00E01E22">
        <w:rPr>
          <w:rFonts w:ascii="Palatino Linotype" w:hAnsi="Palatino Linotype"/>
          <w:i/>
        </w:rPr>
        <w:t>ARTÍCULO 2. Son sujetos de esta ley los servidores públicos y las instituciones públicas.</w:t>
      </w:r>
      <w:r w:rsidR="00A26715" w:rsidRPr="00A62237">
        <w:rPr>
          <w:rFonts w:ascii="Palatino Linotype" w:hAnsi="Palatino Linotype"/>
          <w:i/>
        </w:rPr>
        <w:t xml:space="preserve"> “</w:t>
      </w:r>
    </w:p>
    <w:p w:rsidR="00A26715" w:rsidRPr="00A62237" w:rsidRDefault="00A26715" w:rsidP="00A26715">
      <w:pPr>
        <w:spacing w:line="360" w:lineRule="auto"/>
        <w:jc w:val="both"/>
        <w:rPr>
          <w:rFonts w:ascii="Palatino Linotype" w:hAnsi="Palatino Linotype"/>
        </w:rPr>
      </w:pPr>
    </w:p>
    <w:p w:rsidR="00A26715" w:rsidRPr="00A62237" w:rsidRDefault="00A26715" w:rsidP="00DC1346">
      <w:pPr>
        <w:numPr>
          <w:ilvl w:val="0"/>
          <w:numId w:val="1"/>
        </w:numPr>
        <w:spacing w:line="360" w:lineRule="auto"/>
        <w:ind w:left="0" w:firstLine="0"/>
        <w:contextualSpacing/>
        <w:jc w:val="both"/>
        <w:rPr>
          <w:rFonts w:ascii="Palatino Linotype" w:hAnsi="Palatino Linotype"/>
        </w:rPr>
      </w:pPr>
      <w:r w:rsidRPr="00A62237">
        <w:rPr>
          <w:rFonts w:ascii="Palatino Linotype" w:hAnsi="Palatino Linotype"/>
        </w:rPr>
        <w:t>Ahora bien, es de destacar que la citada la Ley del Trabajo de los Servidores Públicos del Estado de México establece en su artículo 47 como requisitos para ingresar al servicio público los siguientes:</w:t>
      </w:r>
    </w:p>
    <w:p w:rsidR="00A26715" w:rsidRPr="00A62237" w:rsidRDefault="00A26715" w:rsidP="00A26715">
      <w:pPr>
        <w:spacing w:line="360" w:lineRule="auto"/>
        <w:jc w:val="both"/>
        <w:rPr>
          <w:rFonts w:ascii="Palatino Linotype" w:hAnsi="Palatino Linotype"/>
        </w:rPr>
      </w:pPr>
    </w:p>
    <w:p w:rsidR="00E01E22" w:rsidRDefault="00A26715" w:rsidP="00A26715">
      <w:pPr>
        <w:spacing w:line="360" w:lineRule="auto"/>
        <w:ind w:left="709" w:right="566"/>
        <w:jc w:val="both"/>
        <w:rPr>
          <w:rFonts w:ascii="Palatino Linotype" w:hAnsi="Palatino Linotype"/>
          <w:i/>
        </w:rPr>
      </w:pPr>
      <w:r w:rsidRPr="00A62237">
        <w:rPr>
          <w:rFonts w:ascii="Palatino Linotype" w:hAnsi="Palatino Linotype"/>
          <w:i/>
        </w:rPr>
        <w:t xml:space="preserve">“ARTÍCULO 47.- Para ingresar al servicio público se requiere: </w:t>
      </w:r>
    </w:p>
    <w:p w:rsidR="00E01E22" w:rsidRDefault="00A26715" w:rsidP="00A26715">
      <w:pPr>
        <w:spacing w:line="360" w:lineRule="auto"/>
        <w:ind w:left="709" w:right="566"/>
        <w:jc w:val="both"/>
        <w:rPr>
          <w:rFonts w:ascii="Palatino Linotype" w:hAnsi="Palatino Linotype"/>
          <w:i/>
        </w:rPr>
      </w:pPr>
      <w:r w:rsidRPr="00A62237">
        <w:rPr>
          <w:rFonts w:ascii="Palatino Linotype" w:hAnsi="Palatino Linotype"/>
          <w:i/>
        </w:rPr>
        <w:t xml:space="preserve">I. Presentar una solicitud utilizando la forma oficial que se autorice por la institución pública o dependencia correspondiente; </w:t>
      </w:r>
    </w:p>
    <w:p w:rsidR="00E01E22" w:rsidRDefault="00A26715" w:rsidP="00A26715">
      <w:pPr>
        <w:spacing w:line="360" w:lineRule="auto"/>
        <w:ind w:left="709" w:right="566"/>
        <w:jc w:val="both"/>
        <w:rPr>
          <w:rFonts w:ascii="Palatino Linotype" w:hAnsi="Palatino Linotype"/>
          <w:i/>
        </w:rPr>
      </w:pPr>
      <w:r w:rsidRPr="00A62237">
        <w:rPr>
          <w:rFonts w:ascii="Palatino Linotype" w:hAnsi="Palatino Linotype"/>
          <w:i/>
        </w:rPr>
        <w:t xml:space="preserve">II. Ser de nacionalidad mexicana, con la excepción prevista en el artículo 17 de la presente ley; </w:t>
      </w:r>
    </w:p>
    <w:p w:rsidR="00E01E22" w:rsidRDefault="00A26715" w:rsidP="00A26715">
      <w:pPr>
        <w:spacing w:line="360" w:lineRule="auto"/>
        <w:ind w:left="709" w:right="566"/>
        <w:jc w:val="both"/>
        <w:rPr>
          <w:rFonts w:ascii="Palatino Linotype" w:hAnsi="Palatino Linotype"/>
          <w:i/>
        </w:rPr>
      </w:pPr>
      <w:r w:rsidRPr="00A62237">
        <w:rPr>
          <w:rFonts w:ascii="Palatino Linotype" w:hAnsi="Palatino Linotype"/>
          <w:i/>
        </w:rPr>
        <w:t xml:space="preserve">III. Estar en pleno ejercicio de sus derechos civiles y políticos, en su caso; </w:t>
      </w:r>
    </w:p>
    <w:p w:rsidR="00E01E22" w:rsidRDefault="00A26715" w:rsidP="00A26715">
      <w:pPr>
        <w:spacing w:line="360" w:lineRule="auto"/>
        <w:ind w:left="709" w:right="566"/>
        <w:jc w:val="both"/>
        <w:rPr>
          <w:rFonts w:ascii="Palatino Linotype" w:hAnsi="Palatino Linotype"/>
          <w:i/>
        </w:rPr>
      </w:pPr>
      <w:r w:rsidRPr="00A62237">
        <w:rPr>
          <w:rFonts w:ascii="Palatino Linotype" w:hAnsi="Palatino Linotype"/>
          <w:i/>
        </w:rPr>
        <w:t xml:space="preserve">IV. Acreditar, cuando proceda, el cumplimiento de la Ley del Servicio Militar Nacional; V. No tener antecedentes penales por delitos intencionales; </w:t>
      </w:r>
    </w:p>
    <w:p w:rsidR="00A26715" w:rsidRPr="00A62237" w:rsidRDefault="00A26715" w:rsidP="00A26715">
      <w:pPr>
        <w:spacing w:line="360" w:lineRule="auto"/>
        <w:ind w:left="709" w:right="566"/>
        <w:jc w:val="both"/>
        <w:rPr>
          <w:rFonts w:ascii="Palatino Linotype" w:hAnsi="Palatino Linotype"/>
          <w:i/>
        </w:rPr>
      </w:pPr>
      <w:r w:rsidRPr="00A62237">
        <w:rPr>
          <w:rFonts w:ascii="Palatino Linotype" w:hAnsi="Palatino Linotype"/>
          <w:i/>
        </w:rPr>
        <w:t>VI. No haber sido separado anteriormente del servicio por las causas previstas en la fracción V del artículo 89 y en el artículo 93 de la presente ley;</w:t>
      </w:r>
    </w:p>
    <w:p w:rsidR="00A26715" w:rsidRPr="00A62237" w:rsidRDefault="00A26715" w:rsidP="00A26715">
      <w:pPr>
        <w:spacing w:line="360" w:lineRule="auto"/>
        <w:ind w:left="709" w:right="567"/>
        <w:jc w:val="both"/>
        <w:rPr>
          <w:rFonts w:ascii="Palatino Linotype" w:hAnsi="Palatino Linotype"/>
          <w:i/>
        </w:rPr>
      </w:pPr>
      <w:r w:rsidRPr="00A62237">
        <w:rPr>
          <w:rFonts w:ascii="Palatino Linotype" w:hAnsi="Palatino Linotype"/>
          <w:i/>
        </w:rPr>
        <w:t xml:space="preserve">VII. Tener buena salud, lo que se comprobará con los certificados médicos correspondientes, en la forma en que se establezca en cada institución pública; VIII. Cumplir con los requisitos que se establezcan para los diferentes puestos; </w:t>
      </w:r>
      <w:proofErr w:type="spellStart"/>
      <w:r w:rsidRPr="00A62237">
        <w:rPr>
          <w:rFonts w:ascii="Palatino Linotype" w:hAnsi="Palatino Linotype"/>
          <w:i/>
        </w:rPr>
        <w:lastRenderedPageBreak/>
        <w:t>IX.Acreditar</w:t>
      </w:r>
      <w:proofErr w:type="spellEnd"/>
      <w:r w:rsidRPr="00A62237">
        <w:rPr>
          <w:rFonts w:ascii="Palatino Linotype" w:hAnsi="Palatino Linotype"/>
          <w:i/>
        </w:rPr>
        <w:t xml:space="preserve"> por medio de los exámenes correspondientes los conocimientos y aptitudes necesarios para el desempeño del puesto; y</w:t>
      </w:r>
    </w:p>
    <w:p w:rsidR="00A26715" w:rsidRPr="00A62237" w:rsidRDefault="00A26715" w:rsidP="00A26715">
      <w:pPr>
        <w:spacing w:line="360" w:lineRule="auto"/>
        <w:ind w:left="709" w:right="567"/>
        <w:jc w:val="both"/>
        <w:rPr>
          <w:rFonts w:ascii="Palatino Linotype" w:hAnsi="Palatino Linotype"/>
          <w:b/>
          <w:i/>
        </w:rPr>
      </w:pPr>
      <w:r w:rsidRPr="00A62237">
        <w:rPr>
          <w:rFonts w:ascii="Palatino Linotype" w:hAnsi="Palatino Linotype"/>
          <w:b/>
          <w:i/>
        </w:rPr>
        <w:t>X. No estar inhabilitado para el ejercicio del servicio público.”</w:t>
      </w:r>
    </w:p>
    <w:p w:rsidR="00A26715" w:rsidRDefault="00A26715" w:rsidP="00A26715">
      <w:pPr>
        <w:spacing w:line="360" w:lineRule="auto"/>
        <w:ind w:left="709" w:right="566"/>
        <w:jc w:val="both"/>
        <w:rPr>
          <w:rFonts w:ascii="Palatino Linotype" w:hAnsi="Palatino Linotype"/>
        </w:rPr>
      </w:pPr>
      <w:r w:rsidRPr="00A62237">
        <w:rPr>
          <w:rFonts w:ascii="Palatino Linotype" w:hAnsi="Palatino Linotype"/>
        </w:rPr>
        <w:t>(Énfasis añadido.)</w:t>
      </w:r>
    </w:p>
    <w:p w:rsidR="00A26715" w:rsidRPr="00A62237" w:rsidRDefault="00A26715" w:rsidP="00A26715">
      <w:pPr>
        <w:spacing w:line="360" w:lineRule="auto"/>
        <w:ind w:left="709" w:right="566"/>
        <w:jc w:val="both"/>
        <w:rPr>
          <w:rFonts w:ascii="Palatino Linotype" w:hAnsi="Palatino Linotype"/>
        </w:rPr>
      </w:pPr>
    </w:p>
    <w:p w:rsidR="00A26715" w:rsidRDefault="00A26715" w:rsidP="00DC1346">
      <w:pPr>
        <w:numPr>
          <w:ilvl w:val="0"/>
          <w:numId w:val="1"/>
        </w:numPr>
        <w:spacing w:line="360" w:lineRule="auto"/>
        <w:ind w:left="0" w:firstLine="0"/>
        <w:contextualSpacing/>
        <w:jc w:val="both"/>
        <w:rPr>
          <w:rFonts w:ascii="Palatino Linotype" w:hAnsi="Palatino Linotype"/>
        </w:rPr>
      </w:pPr>
      <w:r w:rsidRPr="00A62237">
        <w:rPr>
          <w:rFonts w:ascii="Palatino Linotype" w:hAnsi="Palatino Linotype"/>
        </w:rPr>
        <w:t xml:space="preserve">Correlativo a ello, el artículo 42 fracción XXIX de la </w:t>
      </w:r>
      <w:r w:rsidRPr="002A02C5">
        <w:rPr>
          <w:rFonts w:ascii="Palatino Linotype" w:hAnsi="Palatino Linotype"/>
          <w:b/>
        </w:rPr>
        <w:t>Ley de Responsabilidades de los Servidores Públicos del Estado de México y Municipios</w:t>
      </w:r>
      <w:r w:rsidRPr="00A62237">
        <w:rPr>
          <w:rFonts w:ascii="Palatino Linotype" w:hAnsi="Palatino Linotype"/>
        </w:rPr>
        <w:t xml:space="preserve"> prevé que las autoridades deberán abstenerse de contratar como servidores públicos a quienes se encuentren inhabilitados para desempeñar algún empleo, cargo o comisión en el servicio público o quien se encuentre sujeto a un procedimiento administrativo. </w:t>
      </w:r>
    </w:p>
    <w:p w:rsidR="00A26715" w:rsidRPr="00A62237" w:rsidRDefault="00A26715" w:rsidP="00A26715">
      <w:pPr>
        <w:spacing w:line="360" w:lineRule="auto"/>
        <w:contextualSpacing/>
        <w:jc w:val="both"/>
        <w:rPr>
          <w:rFonts w:ascii="Palatino Linotype" w:hAnsi="Palatino Linotype"/>
        </w:rPr>
      </w:pPr>
    </w:p>
    <w:p w:rsidR="0083662A" w:rsidRDefault="00A26715" w:rsidP="00DC1346">
      <w:pPr>
        <w:numPr>
          <w:ilvl w:val="0"/>
          <w:numId w:val="1"/>
        </w:numPr>
        <w:spacing w:line="360" w:lineRule="auto"/>
        <w:ind w:left="0" w:firstLine="0"/>
        <w:contextualSpacing/>
        <w:jc w:val="both"/>
        <w:rPr>
          <w:rFonts w:ascii="Palatino Linotype" w:hAnsi="Palatino Linotype"/>
        </w:rPr>
      </w:pPr>
      <w:r w:rsidRPr="00A62237">
        <w:rPr>
          <w:rFonts w:ascii="Palatino Linotype" w:hAnsi="Palatino Linotype"/>
        </w:rPr>
        <w:t xml:space="preserve">Conforme a lo expuesto, se tiene que las dependencias públicas del Estado de México deberán, para una respectiva contratación, verificar que la persona que desee ingresar al servicio público no hubiera sido inhabilitado o sujeto a procedimiento </w:t>
      </w:r>
      <w:r w:rsidRPr="0083662A">
        <w:rPr>
          <w:rFonts w:ascii="Palatino Linotype" w:hAnsi="Palatino Linotype"/>
        </w:rPr>
        <w:t>administrativo alguno</w:t>
      </w:r>
      <w:r w:rsidR="002B32B4" w:rsidRPr="0083662A">
        <w:rPr>
          <w:rFonts w:ascii="Palatino Linotype" w:hAnsi="Palatino Linotype"/>
        </w:rPr>
        <w:t>, por lo que si bien el Ayuntamiento de Metepec no genera las constancias de referencia, si las posee y administra</w:t>
      </w:r>
      <w:r w:rsidRPr="0083662A">
        <w:rPr>
          <w:rFonts w:ascii="Palatino Linotype" w:hAnsi="Palatino Linotype"/>
        </w:rPr>
        <w:t xml:space="preserve">. </w:t>
      </w:r>
    </w:p>
    <w:p w:rsidR="0083662A" w:rsidRDefault="0083662A" w:rsidP="0083662A">
      <w:pPr>
        <w:pStyle w:val="Prrafodelista"/>
        <w:rPr>
          <w:rFonts w:ascii="Palatino Linotype" w:hAnsi="Palatino Linotype"/>
        </w:rPr>
      </w:pPr>
    </w:p>
    <w:p w:rsidR="0083662A" w:rsidRDefault="00A26715" w:rsidP="00DC1346">
      <w:pPr>
        <w:numPr>
          <w:ilvl w:val="0"/>
          <w:numId w:val="1"/>
        </w:numPr>
        <w:spacing w:line="360" w:lineRule="auto"/>
        <w:ind w:left="0" w:firstLine="0"/>
        <w:contextualSpacing/>
        <w:jc w:val="both"/>
        <w:rPr>
          <w:rFonts w:ascii="Palatino Linotype" w:hAnsi="Palatino Linotype"/>
        </w:rPr>
      </w:pPr>
      <w:r w:rsidRPr="0083662A">
        <w:rPr>
          <w:rFonts w:ascii="Palatino Linotype" w:hAnsi="Palatino Linotype"/>
        </w:rPr>
        <w:t xml:space="preserve">Luego entonces, </w:t>
      </w:r>
      <w:r w:rsidR="0083662A" w:rsidRPr="0083662A">
        <w:rPr>
          <w:rFonts w:ascii="Palatino Linotype" w:hAnsi="Palatino Linotype"/>
        </w:rPr>
        <w:t xml:space="preserve">resulta dable que el </w:t>
      </w:r>
      <w:r w:rsidR="0083662A" w:rsidRPr="0083662A">
        <w:rPr>
          <w:rFonts w:ascii="Palatino Linotype" w:hAnsi="Palatino Linotype"/>
          <w:b/>
        </w:rPr>
        <w:t xml:space="preserve">SUJETO OBLIGADO </w:t>
      </w:r>
      <w:r w:rsidR="0083662A" w:rsidRPr="0083662A">
        <w:rPr>
          <w:rFonts w:ascii="Palatino Linotype" w:hAnsi="Palatino Linotype"/>
        </w:rPr>
        <w:t xml:space="preserve">realice una nueva </w:t>
      </w:r>
      <w:r w:rsidR="003D6BC7" w:rsidRPr="0083662A">
        <w:rPr>
          <w:rFonts w:ascii="Palatino Linotype" w:hAnsi="Palatino Linotype"/>
        </w:rPr>
        <w:t xml:space="preserve">una búsqueda exhaustiva de la información </w:t>
      </w:r>
      <w:r w:rsidR="0083662A" w:rsidRPr="0083662A">
        <w:rPr>
          <w:rFonts w:ascii="Palatino Linotype" w:hAnsi="Palatino Linotype"/>
        </w:rPr>
        <w:t>y la entregue</w:t>
      </w:r>
      <w:r w:rsidR="0083662A">
        <w:rPr>
          <w:rFonts w:ascii="Palatino Linotype" w:hAnsi="Palatino Linotype"/>
        </w:rPr>
        <w:t xml:space="preserve"> de ser el caso en versión pública; en virtud que de las constancias de referencia eventualmente pueden obrar datos personales susceptibles de ser protegidos, y que de manera enunciativa mas no limitativa pu</w:t>
      </w:r>
      <w:r w:rsidR="002A02C5">
        <w:rPr>
          <w:rFonts w:ascii="Palatino Linotype" w:hAnsi="Palatino Linotype"/>
        </w:rPr>
        <w:t>de</w:t>
      </w:r>
      <w:r w:rsidR="0083662A">
        <w:rPr>
          <w:rFonts w:ascii="Palatino Linotype" w:hAnsi="Palatino Linotype"/>
        </w:rPr>
        <w:t xml:space="preserve"> ser el RFC de los servidores públicos.</w:t>
      </w:r>
    </w:p>
    <w:p w:rsidR="0083662A" w:rsidRDefault="0083662A" w:rsidP="0083662A">
      <w:pPr>
        <w:pStyle w:val="Prrafodelista"/>
        <w:rPr>
          <w:rFonts w:ascii="Palatino Linotype" w:hAnsi="Palatino Linotype"/>
        </w:rPr>
      </w:pPr>
    </w:p>
    <w:p w:rsidR="00BE1A21" w:rsidRPr="00A62237" w:rsidRDefault="0083662A" w:rsidP="00DC1346">
      <w:pPr>
        <w:numPr>
          <w:ilvl w:val="0"/>
          <w:numId w:val="1"/>
        </w:numPr>
        <w:spacing w:line="360" w:lineRule="auto"/>
        <w:ind w:left="0" w:firstLine="0"/>
        <w:contextualSpacing/>
        <w:jc w:val="both"/>
        <w:rPr>
          <w:rFonts w:ascii="Palatino Linotype" w:hAnsi="Palatino Linotype"/>
        </w:rPr>
      </w:pPr>
      <w:r>
        <w:rPr>
          <w:rFonts w:ascii="Palatino Linotype" w:hAnsi="Palatino Linotype"/>
        </w:rPr>
        <w:lastRenderedPageBreak/>
        <w:t>En esa tesitura, clarificar que si bien es cierto el servidor público competente ya se pronunció en el sentido de que realizó una búsqueda de la información en el área administrativa adecuada y no encontró nada al respecto y que este Instituto no puede dudar de la veracidad de esa respuesta; también lo es que existe una inconsistencia en la solicitud de información en el sentido siguiente.</w:t>
      </w:r>
    </w:p>
    <w:p w:rsidR="00C4379D" w:rsidRDefault="00C4379D" w:rsidP="002948D9">
      <w:pPr>
        <w:pStyle w:val="Prrafodelista"/>
        <w:spacing w:line="360" w:lineRule="auto"/>
        <w:ind w:left="0"/>
        <w:jc w:val="both"/>
        <w:rPr>
          <w:rFonts w:ascii="Palatino Linotype" w:hAnsi="Palatino Linotype" w:cs="Arial"/>
        </w:rPr>
      </w:pPr>
    </w:p>
    <w:p w:rsidR="002A02C5" w:rsidRPr="002A02C5" w:rsidRDefault="002948D9" w:rsidP="00DC1346">
      <w:pPr>
        <w:pStyle w:val="Prrafodelista"/>
        <w:numPr>
          <w:ilvl w:val="0"/>
          <w:numId w:val="1"/>
        </w:numPr>
        <w:spacing w:line="360" w:lineRule="auto"/>
        <w:ind w:left="0" w:firstLine="0"/>
        <w:jc w:val="both"/>
        <w:rPr>
          <w:rFonts w:ascii="Palatino Linotype" w:eastAsia="MS Mincho" w:hAnsi="Palatino Linotype" w:cs="Arial"/>
        </w:rPr>
      </w:pPr>
      <w:r>
        <w:rPr>
          <w:rFonts w:ascii="Palatino Linotype" w:hAnsi="Palatino Linotype" w:cs="Arial"/>
        </w:rPr>
        <w:t>D</w:t>
      </w:r>
      <w:r w:rsidR="002A6CFA">
        <w:rPr>
          <w:rFonts w:ascii="Palatino Linotype" w:hAnsi="Palatino Linotype" w:cs="Arial"/>
        </w:rPr>
        <w:t>e lo</w:t>
      </w:r>
      <w:r>
        <w:rPr>
          <w:rFonts w:ascii="Palatino Linotype" w:hAnsi="Palatino Linotype" w:cs="Arial"/>
        </w:rPr>
        <w:t>s antecedentes del asunto previamente expuestos, se desprende que</w:t>
      </w:r>
      <w:r w:rsidR="00E11E5C">
        <w:rPr>
          <w:rFonts w:ascii="Palatino Linotype" w:hAnsi="Palatino Linotype" w:cs="Arial"/>
        </w:rPr>
        <w:t xml:space="preserve"> la interposición de la solicitud de información </w:t>
      </w:r>
      <w:r w:rsidR="00E11E5C" w:rsidRPr="002A02C5">
        <w:rPr>
          <w:rFonts w:ascii="Palatino Linotype" w:hAnsi="Palatino Linotype" w:cs="Arial"/>
          <w:b/>
        </w:rPr>
        <w:t>se materializó</w:t>
      </w:r>
      <w:r w:rsidR="00E11E5C">
        <w:rPr>
          <w:rFonts w:ascii="Palatino Linotype" w:hAnsi="Palatino Linotype" w:cs="Arial"/>
        </w:rPr>
        <w:t xml:space="preserve"> el día </w:t>
      </w:r>
      <w:r w:rsidR="00B24ADA" w:rsidRPr="002948D9">
        <w:rPr>
          <w:rFonts w:ascii="Palatino Linotype" w:hAnsi="Palatino Linotype" w:cs="Arial"/>
          <w:b/>
          <w:u w:val="single"/>
        </w:rPr>
        <w:t>seis</w:t>
      </w:r>
      <w:r w:rsidR="00E11E5C" w:rsidRPr="002948D9">
        <w:rPr>
          <w:rFonts w:ascii="Palatino Linotype" w:hAnsi="Palatino Linotype" w:cs="Arial"/>
          <w:b/>
          <w:u w:val="single"/>
        </w:rPr>
        <w:t xml:space="preserve"> de enero de dos mil veintidós</w:t>
      </w:r>
      <w:r w:rsidR="00E11E5C">
        <w:rPr>
          <w:rFonts w:ascii="Palatino Linotype" w:hAnsi="Palatino Linotype" w:cs="Arial"/>
        </w:rPr>
        <w:t xml:space="preserve">, quedando registrada en SAIMEX hasta el siguiente día hábil; es decir en el día </w:t>
      </w:r>
      <w:r w:rsidR="00E11E5C" w:rsidRPr="002948D9">
        <w:rPr>
          <w:rFonts w:ascii="Palatino Linotype" w:hAnsi="Palatino Linotype" w:cs="Arial"/>
          <w:b/>
        </w:rPr>
        <w:t>diez del mismo mes y año</w:t>
      </w:r>
      <w:r w:rsidR="00E11E5C">
        <w:rPr>
          <w:rFonts w:ascii="Palatino Linotype" w:hAnsi="Palatino Linotype" w:cs="Arial"/>
        </w:rPr>
        <w:t>.</w:t>
      </w:r>
    </w:p>
    <w:p w:rsidR="002A02C5" w:rsidRPr="002A02C5" w:rsidRDefault="002A02C5" w:rsidP="002A02C5">
      <w:pPr>
        <w:pStyle w:val="Prrafodelista"/>
        <w:rPr>
          <w:rFonts w:ascii="Palatino Linotype" w:hAnsi="Palatino Linotype" w:cs="Arial"/>
        </w:rPr>
      </w:pPr>
    </w:p>
    <w:p w:rsidR="009C50FF" w:rsidRDefault="00E11E5C" w:rsidP="00DC1346">
      <w:pPr>
        <w:pStyle w:val="Prrafodelista"/>
        <w:numPr>
          <w:ilvl w:val="0"/>
          <w:numId w:val="1"/>
        </w:numPr>
        <w:spacing w:line="360" w:lineRule="auto"/>
        <w:ind w:left="0" w:firstLine="0"/>
        <w:jc w:val="both"/>
        <w:rPr>
          <w:rFonts w:ascii="Palatino Linotype" w:eastAsia="MS Mincho" w:hAnsi="Palatino Linotype" w:cs="Arial"/>
        </w:rPr>
      </w:pPr>
      <w:r>
        <w:rPr>
          <w:rFonts w:ascii="Palatino Linotype" w:hAnsi="Palatino Linotype" w:cs="Arial"/>
        </w:rPr>
        <w:t xml:space="preserve">Con lo anterior lo que se pretende subrayar es que </w:t>
      </w:r>
      <w:r w:rsidR="00B24ADA">
        <w:rPr>
          <w:rFonts w:ascii="Palatino Linotype" w:hAnsi="Palatino Linotype" w:cs="Arial"/>
        </w:rPr>
        <w:t xml:space="preserve">se requirió información de la primera quincena del mes de enero del año en curso, lo que resulta inconsecuente al no haber transcurrido aun dicho periodo al momento de interponer la solicitud de información, de lo que </w:t>
      </w:r>
      <w:r w:rsidR="009C50FF">
        <w:rPr>
          <w:rFonts w:ascii="Palatino Linotype" w:eastAsia="MS Mincho" w:hAnsi="Palatino Linotype" w:cs="Arial"/>
        </w:rPr>
        <w:t>se concluye que se pretendía tener acceso a hechos futuros, lo que resulta improcedent</w:t>
      </w:r>
      <w:r w:rsidR="007E3AFE">
        <w:rPr>
          <w:rFonts w:ascii="Palatino Linotype" w:eastAsia="MS Mincho" w:hAnsi="Palatino Linotype" w:cs="Arial"/>
        </w:rPr>
        <w:t>e por lo anteriormente señalado.</w:t>
      </w:r>
    </w:p>
    <w:p w:rsidR="009C50FF" w:rsidRDefault="009C50FF" w:rsidP="009C50FF">
      <w:pPr>
        <w:pStyle w:val="Prrafodelista"/>
        <w:rPr>
          <w:rFonts w:ascii="Palatino Linotype" w:eastAsia="MS Mincho" w:hAnsi="Palatino Linotype" w:cs="Arial"/>
        </w:rPr>
      </w:pPr>
    </w:p>
    <w:p w:rsidR="009C50FF" w:rsidRPr="0036206D" w:rsidRDefault="009C50FF" w:rsidP="00DC1346">
      <w:pPr>
        <w:numPr>
          <w:ilvl w:val="0"/>
          <w:numId w:val="1"/>
        </w:numPr>
        <w:spacing w:line="360" w:lineRule="auto"/>
        <w:ind w:left="0" w:firstLine="0"/>
        <w:contextualSpacing/>
        <w:jc w:val="both"/>
        <w:rPr>
          <w:color w:val="000000"/>
        </w:rPr>
      </w:pPr>
      <w:r w:rsidRPr="0036206D">
        <w:rPr>
          <w:rFonts w:ascii="Palatino Linotype" w:eastAsia="Palatino Linotype" w:hAnsi="Palatino Linotype" w:cs="Palatino Linotype"/>
          <w:color w:val="000000"/>
        </w:rPr>
        <w:t xml:space="preserve">Sirve como </w:t>
      </w:r>
      <w:r w:rsidRPr="0036206D">
        <w:rPr>
          <w:rFonts w:ascii="Palatino Linotype" w:eastAsia="MS Mincho" w:hAnsi="Palatino Linotype" w:cs="Arial"/>
        </w:rPr>
        <w:t>referencia</w:t>
      </w:r>
      <w:r w:rsidRPr="0036206D">
        <w:rPr>
          <w:rFonts w:ascii="Palatino Linotype" w:eastAsia="Palatino Linotype" w:hAnsi="Palatino Linotype" w:cs="Palatino Linotype"/>
          <w:color w:val="000000"/>
        </w:rPr>
        <w:t xml:space="preserve"> la Jurisprudencia emitida por la Suprema Corte de Justicia de la Nación, que es del texto y rubro siguiente:</w:t>
      </w:r>
    </w:p>
    <w:p w:rsidR="009C50FF" w:rsidRDefault="009C50FF" w:rsidP="009C50FF">
      <w:pPr>
        <w:pStyle w:val="Prrafodelista"/>
        <w:rPr>
          <w:color w:val="000000"/>
        </w:rPr>
      </w:pPr>
    </w:p>
    <w:p w:rsidR="009C50FF" w:rsidRDefault="009C50FF" w:rsidP="009C50FF">
      <w:pPr>
        <w:pStyle w:val="Prrafodelista"/>
        <w:pBdr>
          <w:top w:val="nil"/>
          <w:left w:val="nil"/>
          <w:bottom w:val="nil"/>
          <w:right w:val="nil"/>
          <w:between w:val="nil"/>
        </w:pBdr>
        <w:spacing w:after="120" w:line="276" w:lineRule="auto"/>
        <w:ind w:left="360" w:right="616"/>
        <w:jc w:val="both"/>
        <w:rPr>
          <w:rFonts w:ascii="Palatino Linotype" w:eastAsia="Palatino Linotype" w:hAnsi="Palatino Linotype" w:cs="Palatino Linotype"/>
          <w:i/>
          <w:color w:val="000000"/>
          <w:sz w:val="22"/>
          <w:szCs w:val="22"/>
        </w:rPr>
      </w:pPr>
      <w:r w:rsidRPr="0036206D">
        <w:rPr>
          <w:rFonts w:ascii="Palatino Linotype" w:eastAsia="Palatino Linotype" w:hAnsi="Palatino Linotype" w:cs="Palatino Linotype"/>
          <w:b/>
          <w:i/>
          <w:color w:val="000000"/>
          <w:sz w:val="22"/>
          <w:szCs w:val="22"/>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36206D">
        <w:rPr>
          <w:rFonts w:ascii="Palatino Linotype" w:eastAsia="Palatino Linotype" w:hAnsi="Palatino Linotype" w:cs="Palatino Linotype"/>
          <w:i/>
          <w:color w:val="000000"/>
          <w:sz w:val="22"/>
          <w:szCs w:val="22"/>
        </w:rPr>
        <w:t xml:space="preserve"> El artículo 145 de la Ley de Amparo faculta al Juez de Distrito para desechar la demanda de amparo indirecto cuando al examinarla aparezca un motivo manifiesto e indudable de improcedencia; sin </w:t>
      </w:r>
      <w:r w:rsidRPr="0036206D">
        <w:rPr>
          <w:rFonts w:ascii="Palatino Linotype" w:eastAsia="Palatino Linotype" w:hAnsi="Palatino Linotype" w:cs="Palatino Linotype"/>
          <w:i/>
          <w:color w:val="000000"/>
          <w:sz w:val="22"/>
          <w:szCs w:val="22"/>
        </w:rPr>
        <w:lastRenderedPageBreak/>
        <w:t>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 (Sic)</w:t>
      </w:r>
    </w:p>
    <w:p w:rsidR="009C50FF" w:rsidRPr="0036206D" w:rsidRDefault="009C50FF" w:rsidP="009C50FF">
      <w:pPr>
        <w:pStyle w:val="Prrafodelista"/>
        <w:pBdr>
          <w:top w:val="nil"/>
          <w:left w:val="nil"/>
          <w:bottom w:val="nil"/>
          <w:right w:val="nil"/>
          <w:between w:val="nil"/>
        </w:pBdr>
        <w:spacing w:after="120" w:line="276" w:lineRule="auto"/>
        <w:ind w:left="360" w:right="900"/>
        <w:jc w:val="both"/>
        <w:rPr>
          <w:rFonts w:ascii="Palatino Linotype" w:eastAsia="Palatino Linotype" w:hAnsi="Palatino Linotype" w:cs="Palatino Linotype"/>
          <w:i/>
          <w:color w:val="000000"/>
          <w:sz w:val="22"/>
          <w:szCs w:val="22"/>
        </w:rPr>
      </w:pPr>
    </w:p>
    <w:p w:rsidR="00787A2E" w:rsidRPr="00787A2E" w:rsidRDefault="00787A2E" w:rsidP="00787A2E">
      <w:pPr>
        <w:pStyle w:val="Prrafodelista"/>
        <w:rPr>
          <w:rFonts w:ascii="Palatino Linotype" w:hAnsi="Palatino Linotype" w:cs="Arial"/>
        </w:rPr>
      </w:pPr>
    </w:p>
    <w:p w:rsidR="0083662A" w:rsidRDefault="0083662A" w:rsidP="00DC1346">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Luego entonces, al no existir plena certeza del lapso temporal en el que se realizó la búsqueda referida en la solicitud de información es que se determina la nueva búsqueda exhaustiva y razonable de la información de mérito del día 1 al 10 de enero de dos mil veintidós, fecha en que quedó registrada la solicitud de información en el SAIMEX.</w:t>
      </w:r>
    </w:p>
    <w:p w:rsidR="0083662A" w:rsidRDefault="0083662A" w:rsidP="0083662A">
      <w:pPr>
        <w:pStyle w:val="Prrafodelista"/>
        <w:spacing w:line="360" w:lineRule="auto"/>
        <w:ind w:left="0"/>
        <w:jc w:val="both"/>
        <w:rPr>
          <w:rFonts w:ascii="Palatino Linotype" w:hAnsi="Palatino Linotype" w:cs="Arial"/>
        </w:rPr>
      </w:pPr>
    </w:p>
    <w:p w:rsidR="0083662A" w:rsidRDefault="0083662A" w:rsidP="00DC1346">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Ahora bien, si luego de la nueva búsqueda exhaustiva y razonable de la información prevaleciera la no localización de la información ordenada, deberá emitirse el Acuerdo de Inexistencia correspondiente</w:t>
      </w:r>
      <w:r w:rsidR="007C2591">
        <w:rPr>
          <w:rFonts w:ascii="Palatino Linotype" w:hAnsi="Palatino Linotype" w:cs="Arial"/>
        </w:rPr>
        <w:t>.</w:t>
      </w:r>
    </w:p>
    <w:p w:rsidR="007C2591" w:rsidRPr="007C2591" w:rsidRDefault="007C2591" w:rsidP="007C2591">
      <w:pPr>
        <w:pStyle w:val="Prrafodelista"/>
        <w:rPr>
          <w:rFonts w:ascii="Palatino Linotype" w:hAnsi="Palatino Linotype" w:cs="Arial"/>
        </w:rPr>
      </w:pPr>
    </w:p>
    <w:p w:rsidR="007C2591" w:rsidRPr="007E2043" w:rsidRDefault="007C2591" w:rsidP="00DC1346">
      <w:pPr>
        <w:pStyle w:val="Prrafodelista"/>
        <w:numPr>
          <w:ilvl w:val="0"/>
          <w:numId w:val="1"/>
        </w:numPr>
        <w:spacing w:line="360" w:lineRule="auto"/>
        <w:ind w:left="0" w:firstLine="0"/>
        <w:jc w:val="both"/>
        <w:rPr>
          <w:rFonts w:ascii="Palatino Linotype" w:hAnsi="Palatino Linotype" w:cs="Tahoma"/>
        </w:rPr>
      </w:pPr>
      <w:r w:rsidRPr="007E2043">
        <w:rPr>
          <w:rFonts w:ascii="Palatino Linotype" w:hAnsi="Palatino Linotype" w:cs="Tahoma"/>
        </w:rPr>
        <w:lastRenderedPageBreak/>
        <w:t xml:space="preserve">Así, es posible concluir que la </w:t>
      </w:r>
      <w:r w:rsidRPr="007E2043">
        <w:rPr>
          <w:rFonts w:ascii="Palatino Linotype" w:hAnsi="Palatino Linotype" w:cs="Tahoma"/>
          <w:b/>
        </w:rPr>
        <w:t>inexistencia</w:t>
      </w:r>
      <w:r w:rsidRPr="007E2043">
        <w:rPr>
          <w:rFonts w:ascii="Palatino Linotype" w:hAnsi="Palatino Linotype" w:cs="Tahoma"/>
        </w:rPr>
        <w:t xml:space="preserve"> presupone la competencia del sujeto obligado para conocer de la información, pero por alguna circunstancia, la documentación solicitada no obra en sus archivos. 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rsidR="007C2591" w:rsidRPr="007E2043" w:rsidRDefault="007C2591" w:rsidP="007C2591">
      <w:pPr>
        <w:shd w:val="clear" w:color="auto" w:fill="FFFFFF" w:themeFill="background1"/>
        <w:spacing w:line="360" w:lineRule="auto"/>
        <w:jc w:val="both"/>
        <w:rPr>
          <w:rFonts w:ascii="Palatino Linotype" w:eastAsia="Calibri" w:hAnsi="Palatino Linotype" w:cs="Tahoma"/>
          <w:bCs/>
          <w:lang w:eastAsia="en-US"/>
        </w:rPr>
      </w:pPr>
    </w:p>
    <w:p w:rsidR="007C2591" w:rsidRPr="007E2043" w:rsidRDefault="007C2591" w:rsidP="00DC1346">
      <w:pPr>
        <w:pStyle w:val="Prrafodelista"/>
        <w:numPr>
          <w:ilvl w:val="0"/>
          <w:numId w:val="1"/>
        </w:numPr>
        <w:spacing w:line="360" w:lineRule="auto"/>
        <w:ind w:left="0" w:firstLine="0"/>
        <w:jc w:val="both"/>
        <w:rPr>
          <w:rFonts w:ascii="Palatino Linotype" w:hAnsi="Palatino Linotype" w:cs="Arial"/>
        </w:rPr>
      </w:pPr>
      <w:r w:rsidRPr="007E2043">
        <w:rPr>
          <w:rFonts w:ascii="Palatino Linotype" w:hAnsi="Palatino Linotype" w:cs="Arial"/>
        </w:rPr>
        <w:t>En ese orden de ideas, el Criterio 12/10 emitido por el Pleno del Instituto Nacional de Transparencia, Acceso a la Información y Protección de Datos Personales, mismo que se cita por analogía, en el que se establece lo siguiente:</w:t>
      </w:r>
    </w:p>
    <w:p w:rsidR="007C2591" w:rsidRPr="007E2043" w:rsidRDefault="007C2591" w:rsidP="007C2591">
      <w:pPr>
        <w:tabs>
          <w:tab w:val="left" w:pos="4667"/>
        </w:tabs>
        <w:spacing w:line="360" w:lineRule="auto"/>
        <w:jc w:val="both"/>
        <w:rPr>
          <w:rFonts w:ascii="Palatino Linotype" w:hAnsi="Palatino Linotype" w:cs="Arial"/>
          <w:color w:val="000000" w:themeColor="text1"/>
        </w:rPr>
      </w:pPr>
    </w:p>
    <w:p w:rsidR="007C2591" w:rsidRPr="007E2043" w:rsidRDefault="007C2591" w:rsidP="007C2591">
      <w:pPr>
        <w:tabs>
          <w:tab w:val="left" w:pos="4253"/>
        </w:tabs>
        <w:spacing w:line="360" w:lineRule="auto"/>
        <w:ind w:left="567" w:right="559"/>
        <w:jc w:val="both"/>
        <w:rPr>
          <w:rFonts w:ascii="Palatino Linotype" w:hAnsi="Palatino Linotype" w:cs="Arial"/>
          <w:b/>
          <w:bCs/>
          <w:i/>
        </w:rPr>
      </w:pPr>
      <w:r w:rsidRPr="007E2043">
        <w:rPr>
          <w:rFonts w:ascii="Palatino Linotype" w:hAnsi="Palatino Linotype" w:cs="Arial"/>
          <w:b/>
          <w:bCs/>
          <w:i/>
        </w:rPr>
        <w:t xml:space="preserve">“Propósito de la declaración formal de inexistencia. </w:t>
      </w:r>
      <w:r w:rsidRPr="007E2043">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7E2043">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w:t>
      </w:r>
      <w:r w:rsidRPr="007E2043">
        <w:rPr>
          <w:rFonts w:ascii="Palatino Linotype" w:hAnsi="Palatino Linotype" w:cs="Arial"/>
          <w:b/>
          <w:bCs/>
          <w:i/>
        </w:rPr>
        <w:lastRenderedPageBreak/>
        <w:t xml:space="preserve">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007C2591" w:rsidRPr="007E2043" w:rsidRDefault="007C2591" w:rsidP="007C2591">
      <w:pPr>
        <w:tabs>
          <w:tab w:val="left" w:pos="4667"/>
        </w:tabs>
        <w:spacing w:line="360" w:lineRule="auto"/>
        <w:jc w:val="both"/>
        <w:rPr>
          <w:rFonts w:ascii="Palatino Linotype" w:hAnsi="Palatino Linotype" w:cs="Arial"/>
          <w:color w:val="000000" w:themeColor="text1"/>
        </w:rPr>
      </w:pPr>
    </w:p>
    <w:p w:rsidR="007C2591" w:rsidRPr="007E2043" w:rsidRDefault="007C2591" w:rsidP="00DC1346">
      <w:pPr>
        <w:pStyle w:val="Prrafodelista"/>
        <w:numPr>
          <w:ilvl w:val="0"/>
          <w:numId w:val="1"/>
        </w:numPr>
        <w:spacing w:line="360" w:lineRule="auto"/>
        <w:ind w:left="0" w:firstLine="0"/>
        <w:jc w:val="both"/>
        <w:rPr>
          <w:rFonts w:ascii="Palatino Linotype" w:hAnsi="Palatino Linotype" w:cs="Arial"/>
          <w:color w:val="000000" w:themeColor="text1"/>
        </w:rPr>
      </w:pPr>
      <w:r w:rsidRPr="007E2043">
        <w:rPr>
          <w:rFonts w:ascii="Palatino Linotype" w:hAnsi="Palatino Linotype" w:cs="Arial"/>
          <w:color w:val="000000" w:themeColor="text1"/>
        </w:rPr>
        <w:t xml:space="preserve">De la misma manera, el Criterio 14/19 emitido por el Instituto de </w:t>
      </w:r>
      <w:r w:rsidRPr="007C2591">
        <w:rPr>
          <w:rFonts w:ascii="Palatino Linotype" w:hAnsi="Palatino Linotype" w:cs="Arial"/>
        </w:rPr>
        <w:t>Transparencia</w:t>
      </w:r>
      <w:r w:rsidRPr="007E2043">
        <w:rPr>
          <w:rFonts w:ascii="Palatino Linotype" w:hAnsi="Palatino Linotype" w:cs="Arial"/>
          <w:color w:val="000000" w:themeColor="text1"/>
        </w:rPr>
        <w:t>, Acceso a la Información y Protección de Datos Personales, establece lo siguiente:</w:t>
      </w:r>
    </w:p>
    <w:p w:rsidR="007C2591" w:rsidRPr="007E2043" w:rsidRDefault="007C2591" w:rsidP="007C2591">
      <w:pPr>
        <w:tabs>
          <w:tab w:val="left" w:pos="4667"/>
        </w:tabs>
        <w:spacing w:line="360" w:lineRule="auto"/>
        <w:jc w:val="both"/>
        <w:rPr>
          <w:rFonts w:ascii="Palatino Linotype" w:hAnsi="Palatino Linotype" w:cs="Arial"/>
          <w:color w:val="000000" w:themeColor="text1"/>
        </w:rPr>
      </w:pPr>
    </w:p>
    <w:p w:rsidR="007C2591" w:rsidRPr="007E2043" w:rsidRDefault="007C2591" w:rsidP="007C2591">
      <w:pPr>
        <w:tabs>
          <w:tab w:val="left" w:pos="4667"/>
        </w:tabs>
        <w:spacing w:line="360" w:lineRule="auto"/>
        <w:ind w:left="567" w:right="567"/>
        <w:jc w:val="both"/>
        <w:rPr>
          <w:rFonts w:ascii="Palatino Linotype" w:hAnsi="Palatino Linotype" w:cs="Arial"/>
          <w:bCs/>
          <w:i/>
        </w:rPr>
      </w:pPr>
      <w:r w:rsidRPr="007E2043">
        <w:rPr>
          <w:rFonts w:ascii="Palatino Linotype" w:hAnsi="Palatino Linotype" w:cs="Arial"/>
          <w:b/>
          <w:i/>
        </w:rPr>
        <w:t>“Propósito de la declaración formal de inexistencia.</w:t>
      </w:r>
      <w:r w:rsidRPr="007E2043">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7C2591" w:rsidRPr="007E2043" w:rsidRDefault="007C2591" w:rsidP="007C2591">
      <w:pPr>
        <w:tabs>
          <w:tab w:val="left" w:pos="4667"/>
        </w:tabs>
        <w:spacing w:line="360" w:lineRule="auto"/>
        <w:jc w:val="both"/>
        <w:rPr>
          <w:rFonts w:ascii="Palatino Linotype" w:hAnsi="Palatino Linotype" w:cs="Arial"/>
          <w:color w:val="000000" w:themeColor="text1"/>
        </w:rPr>
      </w:pPr>
    </w:p>
    <w:p w:rsidR="007C2591" w:rsidRPr="007E2043" w:rsidRDefault="007C2591" w:rsidP="00DC1346">
      <w:pPr>
        <w:pStyle w:val="Prrafodelista"/>
        <w:numPr>
          <w:ilvl w:val="0"/>
          <w:numId w:val="1"/>
        </w:numPr>
        <w:spacing w:line="360" w:lineRule="auto"/>
        <w:ind w:left="0" w:firstLine="0"/>
        <w:jc w:val="both"/>
        <w:rPr>
          <w:rFonts w:ascii="Palatino Linotype" w:hAnsi="Palatino Linotype" w:cs="Arial"/>
          <w:color w:val="000000" w:themeColor="text1"/>
        </w:rPr>
      </w:pPr>
      <w:r w:rsidRPr="007E2043">
        <w:rPr>
          <w:rFonts w:ascii="Palatino Linotype" w:hAnsi="Palatino Linotype" w:cs="Arial"/>
          <w:color w:val="000000" w:themeColor="text1"/>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w:t>
      </w:r>
      <w:r w:rsidRPr="007E2043">
        <w:rPr>
          <w:rFonts w:ascii="Palatino Linotype" w:hAnsi="Palatino Linotype" w:cs="Arial"/>
          <w:color w:val="000000" w:themeColor="text1"/>
        </w:rPr>
        <w:lastRenderedPageBreak/>
        <w:t>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rsidR="007C2591" w:rsidRPr="007E2043" w:rsidRDefault="007C2591" w:rsidP="007C2591">
      <w:pPr>
        <w:spacing w:line="360" w:lineRule="auto"/>
        <w:ind w:right="-93"/>
        <w:jc w:val="both"/>
        <w:rPr>
          <w:rFonts w:ascii="Palatino Linotype" w:hAnsi="Palatino Linotype" w:cs="Tahoma"/>
          <w:lang w:val="es-ES"/>
        </w:rPr>
      </w:pPr>
    </w:p>
    <w:p w:rsidR="007C2591" w:rsidRPr="007E2043" w:rsidRDefault="007C2591" w:rsidP="00DC1346">
      <w:pPr>
        <w:pStyle w:val="Prrafodelista"/>
        <w:numPr>
          <w:ilvl w:val="0"/>
          <w:numId w:val="1"/>
        </w:numPr>
        <w:spacing w:line="360" w:lineRule="auto"/>
        <w:ind w:left="0" w:firstLine="0"/>
        <w:jc w:val="both"/>
        <w:rPr>
          <w:rFonts w:ascii="Palatino Linotype" w:hAnsi="Palatino Linotype" w:cs="Tahoma"/>
          <w:bCs/>
        </w:rPr>
      </w:pPr>
      <w:r w:rsidRPr="007E2043">
        <w:rPr>
          <w:rFonts w:ascii="Palatino Linotype" w:hAnsi="Palatino Linotype" w:cs="Tahoma"/>
          <w:bCs/>
        </w:rPr>
        <w:t xml:space="preserve">Además, según Calero, Natalia (2016), en la “Ley General de Transparencia y Acceso a la </w:t>
      </w:r>
      <w:r w:rsidRPr="007E2043">
        <w:rPr>
          <w:rFonts w:ascii="Palatino Linotype" w:hAnsi="Palatino Linotype" w:cs="Arial"/>
          <w:color w:val="000000" w:themeColor="text1"/>
        </w:rPr>
        <w:t>Información</w:t>
      </w:r>
      <w:r w:rsidRPr="007E2043">
        <w:rPr>
          <w:rFonts w:ascii="Palatino Linotype" w:hAnsi="Palatino Linotype" w:cs="Tahoma"/>
          <w:bCs/>
        </w:rPr>
        <w:t xml:space="preserve"> Pública Comentada” (p. 419), establece que las declaraciones de inexistencia deben contener lo siguiente:</w:t>
      </w:r>
    </w:p>
    <w:p w:rsidR="007C2591" w:rsidRPr="007E2043" w:rsidRDefault="007C2591" w:rsidP="007C2591">
      <w:pPr>
        <w:spacing w:line="360" w:lineRule="auto"/>
        <w:ind w:right="-93"/>
        <w:jc w:val="both"/>
        <w:rPr>
          <w:rFonts w:ascii="Palatino Linotype" w:hAnsi="Palatino Linotype" w:cs="Tahoma"/>
          <w:bCs/>
        </w:rPr>
      </w:pPr>
    </w:p>
    <w:p w:rsidR="007C2591" w:rsidRPr="007E2043" w:rsidRDefault="007C2591" w:rsidP="00DC1346">
      <w:pPr>
        <w:pStyle w:val="Prrafodelista"/>
        <w:numPr>
          <w:ilvl w:val="0"/>
          <w:numId w:val="5"/>
        </w:numPr>
        <w:spacing w:line="360" w:lineRule="auto"/>
        <w:ind w:right="-93"/>
        <w:jc w:val="both"/>
        <w:rPr>
          <w:rFonts w:ascii="Palatino Linotype" w:hAnsi="Palatino Linotype" w:cs="Tahoma"/>
          <w:b/>
          <w:bCs/>
        </w:rPr>
      </w:pPr>
      <w:r w:rsidRPr="007E2043">
        <w:rPr>
          <w:rFonts w:ascii="Palatino Linotype" w:hAnsi="Palatino Linotype" w:cs="Tahoma"/>
          <w:b/>
          <w:bCs/>
        </w:rPr>
        <w:t>Los elementos que le permitan a los solicitantes tener certeza de que el Sujeto Obligado utilizó un criterio de búsqueda exhaustivo:</w:t>
      </w:r>
      <w:r w:rsidRPr="007E2043">
        <w:rPr>
          <w:rFonts w:ascii="Palatino Linotype" w:hAnsi="Palatino Linotype" w:cs="Tahoma"/>
          <w:bCs/>
        </w:rPr>
        <w:t xml:space="preserve"> Para atender dicho supuesto, se debe precisar en qué unidades administrativas buscó, así como en el tipo de archivos y la manera en que realizó la indagación;</w:t>
      </w:r>
    </w:p>
    <w:p w:rsidR="007C2591" w:rsidRPr="007E2043" w:rsidRDefault="007C2591" w:rsidP="007C2591">
      <w:pPr>
        <w:pStyle w:val="Prrafodelista"/>
        <w:spacing w:line="360" w:lineRule="auto"/>
        <w:ind w:right="-93"/>
        <w:jc w:val="both"/>
        <w:rPr>
          <w:rFonts w:ascii="Palatino Linotype" w:hAnsi="Palatino Linotype" w:cs="Tahoma"/>
          <w:b/>
          <w:bCs/>
        </w:rPr>
      </w:pPr>
    </w:p>
    <w:p w:rsidR="007C2591" w:rsidRPr="007E2043" w:rsidRDefault="007C2591" w:rsidP="00DC1346">
      <w:pPr>
        <w:pStyle w:val="Prrafodelista"/>
        <w:numPr>
          <w:ilvl w:val="0"/>
          <w:numId w:val="5"/>
        </w:numPr>
        <w:spacing w:line="360" w:lineRule="auto"/>
        <w:ind w:right="-93"/>
        <w:jc w:val="both"/>
        <w:rPr>
          <w:rFonts w:ascii="Palatino Linotype" w:hAnsi="Palatino Linotype" w:cs="Tahoma"/>
          <w:b/>
          <w:bCs/>
        </w:rPr>
      </w:pPr>
      <w:r w:rsidRPr="007E2043">
        <w:rPr>
          <w:rFonts w:ascii="Palatino Linotype" w:hAnsi="Palatino Linotype" w:cs="Tahoma"/>
          <w:b/>
          <w:bCs/>
        </w:rPr>
        <w:t xml:space="preserve">Las circunstancias de tiempo, modo y lugar que motiven las razones por las cuales la información es inexistente: </w:t>
      </w:r>
      <w:r w:rsidRPr="007E2043">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sidRPr="007E2043">
        <w:rPr>
          <w:rFonts w:ascii="Palatino Linotype" w:hAnsi="Palatino Linotype" w:cs="Tahoma"/>
          <w:b/>
          <w:bCs/>
        </w:rPr>
        <w:t>,</w:t>
      </w:r>
      <w:r w:rsidRPr="007E2043">
        <w:rPr>
          <w:rFonts w:ascii="Palatino Linotype" w:hAnsi="Palatino Linotype" w:cs="Tahoma"/>
          <w:bCs/>
        </w:rPr>
        <w:t xml:space="preserve"> y</w:t>
      </w:r>
    </w:p>
    <w:p w:rsidR="007C2591" w:rsidRPr="007E2043" w:rsidRDefault="007C2591" w:rsidP="007C2591">
      <w:pPr>
        <w:pStyle w:val="Prrafodelista"/>
        <w:rPr>
          <w:rFonts w:ascii="Palatino Linotype" w:hAnsi="Palatino Linotype" w:cs="Tahoma"/>
          <w:b/>
          <w:bCs/>
        </w:rPr>
      </w:pPr>
    </w:p>
    <w:p w:rsidR="007C2591" w:rsidRPr="007C2591" w:rsidRDefault="007C2591" w:rsidP="00DC1346">
      <w:pPr>
        <w:pStyle w:val="Prrafodelista"/>
        <w:numPr>
          <w:ilvl w:val="0"/>
          <w:numId w:val="5"/>
        </w:numPr>
        <w:spacing w:line="360" w:lineRule="auto"/>
        <w:ind w:right="-93"/>
        <w:jc w:val="both"/>
        <w:rPr>
          <w:rFonts w:ascii="Palatino Linotype" w:hAnsi="Palatino Linotype" w:cs="Tahoma"/>
          <w:b/>
          <w:bCs/>
        </w:rPr>
      </w:pPr>
      <w:r w:rsidRPr="007E2043">
        <w:rPr>
          <w:rFonts w:ascii="Palatino Linotype" w:hAnsi="Palatino Linotype" w:cs="Tahoma"/>
          <w:b/>
          <w:bCs/>
        </w:rPr>
        <w:t>El servidor público responsable de contar con esta</w:t>
      </w:r>
      <w:r w:rsidRPr="007E2043">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rsidR="007C2591" w:rsidRDefault="007C2591" w:rsidP="00DC1346">
      <w:pPr>
        <w:pStyle w:val="Prrafodelista"/>
        <w:numPr>
          <w:ilvl w:val="0"/>
          <w:numId w:val="1"/>
        </w:numPr>
        <w:spacing w:line="360" w:lineRule="auto"/>
        <w:ind w:left="0" w:firstLine="0"/>
        <w:contextualSpacing w:val="0"/>
        <w:jc w:val="both"/>
        <w:rPr>
          <w:rFonts w:ascii="Palatino Linotype" w:hAnsi="Palatino Linotype" w:cs="Tahoma"/>
          <w:bCs/>
          <w:lang w:eastAsia="es-MX"/>
        </w:rPr>
      </w:pPr>
      <w:r w:rsidRPr="007E2043">
        <w:rPr>
          <w:rFonts w:ascii="Palatino Linotype" w:hAnsi="Palatino Linotype" w:cs="Tahoma"/>
          <w:lang w:eastAsia="es-MX"/>
        </w:rPr>
        <w:lastRenderedPageBreak/>
        <w:t xml:space="preserve">Conforme a lo anterior, en el presente caso, se considera que en el caso de que la </w:t>
      </w:r>
      <w:r w:rsidRPr="007E2043">
        <w:rPr>
          <w:rFonts w:ascii="Palatino Linotype" w:hAnsi="Palatino Linotype" w:cs="Tahoma"/>
          <w:bCs/>
        </w:rPr>
        <w:t>información</w:t>
      </w:r>
      <w:r w:rsidRPr="007E2043">
        <w:rPr>
          <w:rFonts w:ascii="Palatino Linotype" w:hAnsi="Palatino Linotype" w:cs="Tahoma"/>
          <w:lang w:eastAsia="es-MX"/>
        </w:rPr>
        <w:t xml:space="preserve"> solicitada por el </w:t>
      </w:r>
      <w:r w:rsidRPr="003A3D95">
        <w:rPr>
          <w:rFonts w:ascii="Palatino Linotype" w:hAnsi="Palatino Linotype" w:cs="Tahoma"/>
          <w:b/>
          <w:lang w:eastAsia="es-MX"/>
        </w:rPr>
        <w:t>RECURRENTE</w:t>
      </w:r>
      <w:r w:rsidRPr="007E2043">
        <w:rPr>
          <w:rFonts w:ascii="Palatino Linotype" w:hAnsi="Palatino Linotype" w:cs="Tahoma"/>
          <w:lang w:eastAsia="es-MX"/>
        </w:rPr>
        <w:t xml:space="preserve"> no obre en los archivos del </w:t>
      </w:r>
      <w:r w:rsidRPr="003A3D95">
        <w:rPr>
          <w:rFonts w:ascii="Palatino Linotype" w:hAnsi="Palatino Linotype" w:cs="Tahoma"/>
          <w:b/>
          <w:lang w:eastAsia="es-MX"/>
        </w:rPr>
        <w:t>SUJETO OBLIGADO</w:t>
      </w:r>
      <w:r w:rsidRPr="007E2043">
        <w:rPr>
          <w:rFonts w:ascii="Palatino Linotype" w:hAnsi="Palatino Linotype" w:cs="Tahoma"/>
          <w:lang w:eastAsia="es-MX"/>
        </w:rPr>
        <w:t xml:space="preserve">, es necesario que </w:t>
      </w:r>
      <w:r>
        <w:rPr>
          <w:rFonts w:ascii="Palatino Linotype" w:hAnsi="Palatino Linotype" w:cs="Tahoma"/>
          <w:lang w:eastAsia="es-MX"/>
        </w:rPr>
        <w:t>el Ayuntamiento de Metepec</w:t>
      </w:r>
      <w:r w:rsidRPr="007E2043">
        <w:rPr>
          <w:rFonts w:ascii="Palatino Linotype" w:hAnsi="Palatino Linotype" w:cs="Tahoma"/>
          <w:lang w:eastAsia="es-MX"/>
        </w:rPr>
        <w:t xml:space="preserve"> </w:t>
      </w:r>
      <w:r w:rsidRPr="007E2043">
        <w:rPr>
          <w:rFonts w:ascii="Palatino Linotype" w:hAnsi="Palatino Linotype" w:cs="Tahoma"/>
          <w:bCs/>
          <w:lang w:eastAsia="es-MX"/>
        </w:rPr>
        <w:t xml:space="preserve">declare por medio de su Comité de Transparencia, la inexistencia de la información solicitada, </w:t>
      </w:r>
      <w:r>
        <w:rPr>
          <w:rFonts w:ascii="Palatino Linotype" w:hAnsi="Palatino Linotype" w:cs="Tahoma"/>
          <w:bCs/>
          <w:lang w:eastAsia="es-MX"/>
        </w:rPr>
        <w:t>y ponerla a disposición del particular recurrente</w:t>
      </w:r>
      <w:r w:rsidRPr="007E2043">
        <w:rPr>
          <w:rFonts w:ascii="Palatino Linotype" w:hAnsi="Palatino Linotype" w:cs="Tahoma"/>
          <w:bCs/>
          <w:lang w:eastAsia="es-MX"/>
        </w:rPr>
        <w:t>.</w:t>
      </w:r>
    </w:p>
    <w:p w:rsidR="007C2591" w:rsidRPr="007E2043" w:rsidRDefault="007C2591" w:rsidP="007C2591">
      <w:pPr>
        <w:pStyle w:val="Prrafodelista"/>
        <w:spacing w:line="360" w:lineRule="auto"/>
        <w:ind w:left="0"/>
        <w:contextualSpacing w:val="0"/>
        <w:jc w:val="both"/>
        <w:rPr>
          <w:rFonts w:ascii="Palatino Linotype" w:hAnsi="Palatino Linotype" w:cs="Tahoma"/>
          <w:bCs/>
          <w:lang w:eastAsia="es-MX"/>
        </w:rPr>
      </w:pPr>
    </w:p>
    <w:p w:rsidR="00E75651" w:rsidRPr="009C50FF" w:rsidRDefault="009C50FF" w:rsidP="00DC1346">
      <w:pPr>
        <w:pStyle w:val="Prrafodelista"/>
        <w:numPr>
          <w:ilvl w:val="0"/>
          <w:numId w:val="1"/>
        </w:numPr>
        <w:spacing w:line="360" w:lineRule="auto"/>
        <w:ind w:left="0" w:firstLine="0"/>
        <w:jc w:val="both"/>
        <w:rPr>
          <w:rFonts w:ascii="Palatino Linotype" w:hAnsi="Palatino Linotype" w:cs="Arial"/>
        </w:rPr>
      </w:pPr>
      <w:r w:rsidRPr="009C50FF">
        <w:rPr>
          <w:rFonts w:ascii="Palatino Linotype" w:hAnsi="Palatino Linotype" w:cs="Arial"/>
        </w:rPr>
        <w:t>Por otro lado</w:t>
      </w:r>
      <w:r w:rsidR="00787A2E" w:rsidRPr="009C50FF">
        <w:rPr>
          <w:rFonts w:ascii="Palatino Linotype" w:hAnsi="Palatino Linotype" w:cs="Arial"/>
        </w:rPr>
        <w:t xml:space="preserve">, </w:t>
      </w:r>
      <w:r w:rsidR="007C2591">
        <w:rPr>
          <w:rFonts w:ascii="Palatino Linotype" w:hAnsi="Palatino Linotype" w:cs="Arial"/>
        </w:rPr>
        <w:t>señalar que de la respuesta no</w:t>
      </w:r>
      <w:r w:rsidR="00787A2E" w:rsidRPr="009C50FF">
        <w:rPr>
          <w:rFonts w:ascii="Palatino Linotype" w:hAnsi="Palatino Linotype" w:cs="Arial"/>
        </w:rPr>
        <w:t xml:space="preserve"> </w:t>
      </w:r>
      <w:r w:rsidR="0049310C" w:rsidRPr="009C50FF">
        <w:rPr>
          <w:rFonts w:ascii="Palatino Linotype" w:hAnsi="Palatino Linotype" w:cs="Arial"/>
        </w:rPr>
        <w:t xml:space="preserve">se </w:t>
      </w:r>
      <w:r w:rsidR="00787A2E" w:rsidRPr="009C50FF">
        <w:rPr>
          <w:rFonts w:ascii="Palatino Linotype" w:hAnsi="Palatino Linotype" w:cs="Arial"/>
        </w:rPr>
        <w:t xml:space="preserve">propuso o se </w:t>
      </w:r>
      <w:r w:rsidR="0049310C" w:rsidRPr="009C50FF">
        <w:rPr>
          <w:rFonts w:ascii="Palatino Linotype" w:hAnsi="Palatino Linotype" w:cs="Arial"/>
        </w:rPr>
        <w:t>realizó ninguna clasificación de la información, resultando incongruente</w:t>
      </w:r>
      <w:r w:rsidR="007C2591">
        <w:rPr>
          <w:rFonts w:ascii="Palatino Linotype" w:hAnsi="Palatino Linotype" w:cs="Arial"/>
        </w:rPr>
        <w:t xml:space="preserve"> el motivo de inconformidad,</w:t>
      </w:r>
      <w:r w:rsidR="0049310C" w:rsidRPr="009C50FF">
        <w:rPr>
          <w:rFonts w:ascii="Palatino Linotype" w:hAnsi="Palatino Linotype" w:cs="Arial"/>
        </w:rPr>
        <w:t xml:space="preserve"> con las constancias que obran en el expediente electrónico en que se actúa.</w:t>
      </w:r>
    </w:p>
    <w:p w:rsidR="00E75651" w:rsidRPr="003221A5" w:rsidRDefault="00E75651" w:rsidP="00E75651">
      <w:pPr>
        <w:pStyle w:val="Prrafodelista"/>
        <w:spacing w:line="360" w:lineRule="auto"/>
        <w:ind w:left="0"/>
        <w:jc w:val="both"/>
        <w:rPr>
          <w:rFonts w:ascii="Palatino Linotype" w:hAnsi="Palatino Linotype" w:cs="Arial"/>
        </w:rPr>
      </w:pPr>
    </w:p>
    <w:p w:rsidR="00E75651" w:rsidRPr="009C50FF" w:rsidRDefault="00E75651" w:rsidP="00DC1346">
      <w:pPr>
        <w:pStyle w:val="Prrafodelista"/>
        <w:numPr>
          <w:ilvl w:val="0"/>
          <w:numId w:val="1"/>
        </w:numPr>
        <w:spacing w:line="360" w:lineRule="auto"/>
        <w:ind w:left="0" w:firstLine="0"/>
        <w:jc w:val="both"/>
        <w:rPr>
          <w:rFonts w:ascii="Palatino Linotype" w:hAnsi="Palatino Linotype" w:cs="Arial"/>
        </w:rPr>
      </w:pPr>
      <w:r w:rsidRPr="003221A5">
        <w:rPr>
          <w:rFonts w:ascii="Palatino Linotype" w:hAnsi="Palatino Linotype" w:cs="Arial"/>
          <w:color w:val="000000"/>
        </w:rPr>
        <w:t xml:space="preserve">Sirve de sustento </w:t>
      </w:r>
      <w:r w:rsidRPr="003221A5">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9C50FF" w:rsidRPr="009C50FF" w:rsidRDefault="009C50FF" w:rsidP="009C50FF">
      <w:pPr>
        <w:pStyle w:val="Prrafodelista"/>
        <w:rPr>
          <w:rFonts w:ascii="Palatino Linotype" w:hAnsi="Palatino Linotype" w:cs="Arial"/>
        </w:rPr>
      </w:pPr>
    </w:p>
    <w:p w:rsidR="00E75651" w:rsidRDefault="00E75651" w:rsidP="00702E71">
      <w:pPr>
        <w:shd w:val="clear" w:color="auto" w:fill="FFFFFF"/>
        <w:spacing w:line="360" w:lineRule="auto"/>
        <w:ind w:left="567" w:right="567"/>
        <w:jc w:val="both"/>
        <w:rPr>
          <w:rFonts w:ascii="Palatino Linotype" w:hAnsi="Palatino Linotype"/>
          <w:i/>
          <w:iCs/>
          <w:color w:val="000000"/>
        </w:rPr>
      </w:pPr>
      <w:r w:rsidRPr="003221A5">
        <w:rPr>
          <w:rFonts w:ascii="Palatino Linotype" w:hAnsi="Palatino Linotype"/>
          <w:b/>
          <w:bCs/>
          <w:i/>
          <w:iCs/>
          <w:color w:val="000000"/>
        </w:rPr>
        <w:t>AGRAVIOS EN LA REVISION. DEBEN ESTAR EN RELACION DIRECTA CON LOS FUNDAMENTOS Y CONSIDERACIONES DE LA SENTENCIA</w:t>
      </w:r>
      <w:r w:rsidRPr="003221A5">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w:t>
      </w:r>
      <w:r w:rsidRPr="003221A5">
        <w:rPr>
          <w:rFonts w:ascii="Palatino Linotype" w:hAnsi="Palatino Linotype"/>
          <w:i/>
          <w:iCs/>
          <w:color w:val="000000"/>
        </w:rPr>
        <w:lastRenderedPageBreak/>
        <w:t xml:space="preserve">que se combate, con vista de los motivos de inconformidad que plantean los recurrentes. </w:t>
      </w:r>
    </w:p>
    <w:p w:rsidR="002A02C5" w:rsidRDefault="002A02C5" w:rsidP="00702E71">
      <w:pPr>
        <w:shd w:val="clear" w:color="auto" w:fill="FFFFFF"/>
        <w:spacing w:line="360" w:lineRule="auto"/>
        <w:ind w:left="567" w:right="567"/>
        <w:jc w:val="both"/>
        <w:rPr>
          <w:rFonts w:ascii="Palatino Linotype" w:hAnsi="Palatino Linotype"/>
          <w:i/>
          <w:iCs/>
          <w:color w:val="000000"/>
        </w:rPr>
      </w:pPr>
    </w:p>
    <w:p w:rsidR="006F24A2" w:rsidRPr="00D06ECC" w:rsidRDefault="0049310C" w:rsidP="00DC1346">
      <w:pPr>
        <w:numPr>
          <w:ilvl w:val="0"/>
          <w:numId w:val="1"/>
        </w:numPr>
        <w:spacing w:line="360" w:lineRule="auto"/>
        <w:ind w:left="0" w:firstLine="0"/>
        <w:contextualSpacing/>
        <w:jc w:val="both"/>
        <w:rPr>
          <w:rFonts w:ascii="Palatino Linotype" w:eastAsia="Calibri" w:hAnsi="Palatino Linotype"/>
        </w:rPr>
      </w:pPr>
      <w:r>
        <w:rPr>
          <w:rFonts w:ascii="Palatino Linotype" w:eastAsia="Calibri" w:hAnsi="Palatino Linotype" w:cs="Arial"/>
        </w:rPr>
        <w:t xml:space="preserve">Por </w:t>
      </w:r>
      <w:r w:rsidR="0059524C">
        <w:rPr>
          <w:rFonts w:ascii="Palatino Linotype" w:eastAsia="Calibri" w:hAnsi="Palatino Linotype" w:cs="Arial"/>
        </w:rPr>
        <w:t>último</w:t>
      </w:r>
      <w:r>
        <w:rPr>
          <w:rFonts w:ascii="Palatino Linotype" w:eastAsia="Calibri" w:hAnsi="Palatino Linotype" w:cs="Arial"/>
        </w:rPr>
        <w:t xml:space="preserve">, </w:t>
      </w:r>
      <w:r w:rsidR="0059524C">
        <w:rPr>
          <w:rFonts w:ascii="Palatino Linotype" w:eastAsia="Calibri" w:hAnsi="Palatino Linotype" w:cs="Arial"/>
        </w:rPr>
        <w:t>exponer que relativo</w:t>
      </w:r>
      <w:r>
        <w:rPr>
          <w:rFonts w:ascii="Palatino Linotype" w:eastAsia="Calibri" w:hAnsi="Palatino Linotype" w:cs="Arial"/>
        </w:rPr>
        <w:t xml:space="preserve"> a la pretendida interposición de una denuncia ante la </w:t>
      </w:r>
      <w:r w:rsidRPr="0049310C">
        <w:rPr>
          <w:rFonts w:ascii="Palatino Linotype" w:eastAsia="Calibri" w:hAnsi="Palatino Linotype" w:cs="Arial"/>
        </w:rPr>
        <w:t>Contraloría Interna y Órgano de Control y Vigilancia</w:t>
      </w:r>
      <w:r>
        <w:rPr>
          <w:rFonts w:ascii="Palatino Linotype" w:eastAsia="Calibri" w:hAnsi="Palatino Linotype" w:cs="Arial"/>
        </w:rPr>
        <w:t xml:space="preserve"> del </w:t>
      </w:r>
      <w:proofErr w:type="spellStart"/>
      <w:r>
        <w:rPr>
          <w:rFonts w:ascii="Palatino Linotype" w:eastAsia="Calibri" w:hAnsi="Palatino Linotype" w:cs="Arial"/>
        </w:rPr>
        <w:t>Infoem</w:t>
      </w:r>
      <w:proofErr w:type="spellEnd"/>
      <w:r>
        <w:rPr>
          <w:rFonts w:ascii="Palatino Linotype" w:eastAsia="Calibri" w:hAnsi="Palatino Linotype" w:cs="Arial"/>
        </w:rPr>
        <w:t xml:space="preserve">, ha sido </w:t>
      </w:r>
      <w:r w:rsidR="006F24A2">
        <w:rPr>
          <w:rFonts w:ascii="Palatino Linotype" w:eastAsia="Calibri" w:hAnsi="Palatino Linotype" w:cs="Arial"/>
        </w:rPr>
        <w:t>criterio</w:t>
      </w:r>
      <w:r>
        <w:rPr>
          <w:rFonts w:ascii="Palatino Linotype" w:eastAsia="Calibri" w:hAnsi="Palatino Linotype" w:cs="Arial"/>
        </w:rPr>
        <w:t xml:space="preserve"> del Pleno de este </w:t>
      </w:r>
      <w:r w:rsidR="006F24A2">
        <w:rPr>
          <w:rFonts w:ascii="Palatino Linotype" w:eastAsia="Calibri" w:hAnsi="Palatino Linotype" w:cs="Arial"/>
        </w:rPr>
        <w:t>Órgano</w:t>
      </w:r>
      <w:r>
        <w:rPr>
          <w:rFonts w:ascii="Palatino Linotype" w:eastAsia="Calibri" w:hAnsi="Palatino Linotype" w:cs="Arial"/>
        </w:rPr>
        <w:t xml:space="preserve"> Garante </w:t>
      </w:r>
      <w:r w:rsidR="006F24A2">
        <w:rPr>
          <w:rFonts w:ascii="Palatino Linotype" w:hAnsi="Palatino Linotype"/>
          <w:bCs/>
          <w:iCs/>
          <w:lang w:val="es-MX"/>
        </w:rPr>
        <w:t xml:space="preserve">que </w:t>
      </w:r>
      <w:r w:rsidR="006F24A2" w:rsidRPr="00D06ECC">
        <w:rPr>
          <w:rFonts w:ascii="Palatino Linotype" w:hAnsi="Palatino Linotype"/>
          <w:b/>
          <w:bCs/>
          <w:iCs/>
          <w:lang w:val="es-MX"/>
        </w:rPr>
        <w:t>el recurso de revisión no es la vía para interponer denuncias</w:t>
      </w:r>
      <w:r w:rsidR="006F24A2">
        <w:rPr>
          <w:rFonts w:ascii="Palatino Linotype" w:hAnsi="Palatino Linotype"/>
          <w:bCs/>
          <w:iCs/>
          <w:lang w:val="es-MX"/>
        </w:rPr>
        <w:t xml:space="preserve">, en virtud que </w:t>
      </w:r>
      <w:r w:rsidR="006F24A2" w:rsidRPr="007C3761">
        <w:rPr>
          <w:rFonts w:ascii="Palatino Linotype" w:hAnsi="Palatino Linotype"/>
          <w:color w:val="000000" w:themeColor="text1"/>
          <w:lang w:val="es-MX"/>
        </w:rPr>
        <w:t>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r w:rsidR="006F24A2">
        <w:rPr>
          <w:rFonts w:ascii="Palatino Linotype" w:hAnsi="Palatino Linotype"/>
          <w:color w:val="000000" w:themeColor="text1"/>
          <w:lang w:val="es-MX"/>
        </w:rPr>
        <w:t>.</w:t>
      </w:r>
    </w:p>
    <w:p w:rsidR="006F24A2" w:rsidRPr="00D06ECC" w:rsidRDefault="006F24A2" w:rsidP="006F24A2">
      <w:pPr>
        <w:spacing w:line="360" w:lineRule="auto"/>
        <w:contextualSpacing/>
        <w:jc w:val="both"/>
        <w:rPr>
          <w:rFonts w:ascii="Palatino Linotype" w:eastAsia="Calibri" w:hAnsi="Palatino Linotype"/>
        </w:rPr>
      </w:pPr>
    </w:p>
    <w:p w:rsidR="006F24A2" w:rsidRDefault="006F24A2" w:rsidP="00DC1346">
      <w:pPr>
        <w:numPr>
          <w:ilvl w:val="0"/>
          <w:numId w:val="1"/>
        </w:numPr>
        <w:spacing w:line="360" w:lineRule="auto"/>
        <w:ind w:left="0" w:firstLine="0"/>
        <w:contextualSpacing/>
        <w:jc w:val="both"/>
        <w:rPr>
          <w:rFonts w:ascii="Palatino Linotype" w:eastAsia="Calibri" w:hAnsi="Palatino Linotype"/>
        </w:rPr>
      </w:pPr>
      <w:r>
        <w:rPr>
          <w:rFonts w:ascii="Palatino Linotype" w:eastAsia="Calibri" w:hAnsi="Palatino Linotype"/>
        </w:rPr>
        <w:t xml:space="preserve">Luego entonces, resulta improcedente dar atención a la solicitud del hoy </w:t>
      </w:r>
      <w:r>
        <w:rPr>
          <w:rFonts w:ascii="Palatino Linotype" w:eastAsia="Calibri" w:hAnsi="Palatino Linotype"/>
          <w:b/>
        </w:rPr>
        <w:t>RECURRENTE</w:t>
      </w:r>
      <w:r w:rsidR="0059524C">
        <w:rPr>
          <w:rFonts w:ascii="Palatino Linotype" w:eastAsia="Calibri" w:hAnsi="Palatino Linotype"/>
        </w:rPr>
        <w:t>;</w:t>
      </w:r>
      <w:r>
        <w:rPr>
          <w:rFonts w:ascii="Palatino Linotype" w:eastAsia="Calibri" w:hAnsi="Palatino Linotype"/>
        </w:rPr>
        <w:t xml:space="preserve"> no obstante, de considerar que </w:t>
      </w:r>
      <w:r w:rsidR="00015C80">
        <w:rPr>
          <w:rFonts w:ascii="Palatino Linotype" w:eastAsia="Calibri" w:hAnsi="Palatino Linotype"/>
        </w:rPr>
        <w:t xml:space="preserve">probablemente </w:t>
      </w:r>
      <w:r>
        <w:rPr>
          <w:rFonts w:ascii="Palatino Linotype" w:eastAsia="Calibri" w:hAnsi="Palatino Linotype"/>
        </w:rPr>
        <w:t>se actualiza alguna causal de responsabilidad administrativa derivado del presente asunto, se dejan a salvo sus derechos para interponer la denuncia que a sus intereses considere, ante la instancia correspondiente.</w:t>
      </w:r>
    </w:p>
    <w:p w:rsidR="007C2591" w:rsidRDefault="007C2591" w:rsidP="007C2591">
      <w:pPr>
        <w:pStyle w:val="Prrafodelista"/>
        <w:rPr>
          <w:rFonts w:ascii="Palatino Linotype" w:eastAsia="Calibri" w:hAnsi="Palatino Linotype"/>
        </w:rPr>
      </w:pPr>
    </w:p>
    <w:p w:rsidR="007C2591" w:rsidRDefault="00004D06" w:rsidP="007C2591">
      <w:pPr>
        <w:pStyle w:val="Ttulo2"/>
        <w:rPr>
          <w:rFonts w:ascii="Palatino Linotype" w:hAnsi="Palatino Linotype"/>
          <w:b/>
          <w:color w:val="auto"/>
          <w:sz w:val="24"/>
        </w:rPr>
      </w:pPr>
      <w:bookmarkStart w:id="143" w:name="_Toc86848768"/>
      <w:r>
        <w:rPr>
          <w:rFonts w:ascii="Palatino Linotype" w:hAnsi="Palatino Linotype"/>
          <w:b/>
          <w:color w:val="auto"/>
          <w:sz w:val="24"/>
        </w:rPr>
        <w:t>QUINTO.</w:t>
      </w:r>
      <w:r w:rsidR="007C2591">
        <w:rPr>
          <w:rFonts w:ascii="Palatino Linotype" w:hAnsi="Palatino Linotype"/>
          <w:b/>
          <w:color w:val="auto"/>
          <w:sz w:val="24"/>
        </w:rPr>
        <w:t xml:space="preserve"> De la versión pública</w:t>
      </w:r>
      <w:bookmarkEnd w:id="143"/>
    </w:p>
    <w:p w:rsidR="007C2591" w:rsidRDefault="007C2591" w:rsidP="007C2591">
      <w:pPr>
        <w:rPr>
          <w:lang w:eastAsia="en-US"/>
        </w:rPr>
      </w:pPr>
    </w:p>
    <w:p w:rsidR="007C2591" w:rsidRDefault="007C2591" w:rsidP="00DC1346">
      <w:pPr>
        <w:numPr>
          <w:ilvl w:val="0"/>
          <w:numId w:val="1"/>
        </w:numPr>
        <w:spacing w:line="360" w:lineRule="auto"/>
        <w:ind w:left="0" w:firstLine="0"/>
        <w:contextualSpacing/>
        <w:jc w:val="both"/>
        <w:rPr>
          <w:rFonts w:ascii="Palatino Linotype" w:hAnsi="Palatino Linotype"/>
        </w:rPr>
      </w:pPr>
      <w:r>
        <w:rPr>
          <w:rFonts w:ascii="Palatino Linotype" w:hAnsi="Palatino Linotype"/>
        </w:rPr>
        <w:t xml:space="preserve">Debe destacarse que la información que se ha tenido a bien ordenar, dada su propia y especial naturaleza, eventualmente puede contener datos personales susceptibles de ser protegidos mediante una versión pública, la cual deberá estar soportada por el Acta del Comité de Transparencia que se emita para tal efecto, </w:t>
      </w:r>
      <w:r>
        <w:rPr>
          <w:rFonts w:ascii="Palatino Linotype" w:hAnsi="Palatino Linotype"/>
        </w:rPr>
        <w:lastRenderedPageBreak/>
        <w:t xml:space="preserve">debiéndola poner a disposición del hoy </w:t>
      </w:r>
      <w:r>
        <w:rPr>
          <w:rFonts w:ascii="Palatino Linotype" w:hAnsi="Palatino Linotype"/>
          <w:b/>
        </w:rPr>
        <w:t>RECURRENTE</w:t>
      </w:r>
      <w:r>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rsidR="007C2591" w:rsidRDefault="007C2591" w:rsidP="007C2591">
      <w:pPr>
        <w:pStyle w:val="Prrafodelista"/>
        <w:spacing w:line="360" w:lineRule="auto"/>
        <w:ind w:left="0"/>
        <w:jc w:val="both"/>
        <w:rPr>
          <w:rFonts w:ascii="Palatino Linotype" w:hAnsi="Palatino Linotype"/>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sidRPr="00A71801">
        <w:rPr>
          <w:rFonts w:ascii="Palatino Linotype" w:hAnsi="Palatino Linotype"/>
        </w:rPr>
        <w:t>La</w:t>
      </w:r>
      <w:r>
        <w:rPr>
          <w:rFonts w:ascii="Palatino Linotype" w:eastAsia="MS Gothic" w:hAnsi="Palatino Linotype"/>
          <w:szCs w:val="26"/>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eastAsia="MS Gothic" w:hAnsi="Palatino Linotype"/>
          <w:szCs w:val="26"/>
          <w:vertAlign w:val="superscript"/>
        </w:rPr>
        <w:footnoteReference w:id="5"/>
      </w:r>
      <w:r>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Pr>
          <w:rFonts w:ascii="Palatino Linotype" w:eastAsia="MS Gothic" w:hAnsi="Palatino Linotype"/>
          <w:szCs w:val="26"/>
          <w:vertAlign w:val="superscript"/>
        </w:rPr>
        <w:footnoteReference w:id="6"/>
      </w:r>
      <w:r>
        <w:rPr>
          <w:rFonts w:ascii="Palatino Linotype" w:eastAsia="MS Gothic" w:hAnsi="Palatino Linotype"/>
          <w:szCs w:val="26"/>
        </w:rPr>
        <w:t xml:space="preserve"> En este caso, la clasificación total o parcial de la información es un </w:t>
      </w:r>
      <w:r>
        <w:rPr>
          <w:rFonts w:ascii="Palatino Linotype" w:eastAsia="MS Gothic" w:hAnsi="Palatino Linotype"/>
          <w:szCs w:val="26"/>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El grave problema que enfrentamos en general, los acuerdos de clasificación de la </w:t>
      </w:r>
      <w:r w:rsidRPr="00A71801">
        <w:rPr>
          <w:rFonts w:ascii="Palatino Linotype" w:hAnsi="Palatino Linotype"/>
        </w:rPr>
        <w:t>información</w:t>
      </w:r>
      <w:r>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DC1346">
      <w:pPr>
        <w:pStyle w:val="Prrafodelista"/>
        <w:numPr>
          <w:ilvl w:val="0"/>
          <w:numId w:val="7"/>
        </w:numPr>
        <w:tabs>
          <w:tab w:val="left" w:pos="142"/>
          <w:tab w:val="left" w:pos="284"/>
          <w:tab w:val="left" w:pos="426"/>
        </w:tabs>
        <w:spacing w:line="360" w:lineRule="auto"/>
        <w:jc w:val="both"/>
        <w:outlineLvl w:val="2"/>
        <w:rPr>
          <w:rFonts w:ascii="Palatino Linotype" w:hAnsi="Palatino Linotype" w:cs="Arial"/>
          <w:b/>
        </w:rPr>
      </w:pPr>
      <w:bookmarkStart w:id="144" w:name="_Toc86848769"/>
      <w:bookmarkStart w:id="145" w:name="_Toc83128591"/>
      <w:bookmarkStart w:id="146" w:name="_Toc71674122"/>
      <w:bookmarkStart w:id="147" w:name="_Toc71291223"/>
      <w:bookmarkStart w:id="148" w:name="_Toc71290717"/>
      <w:bookmarkStart w:id="149" w:name="_Toc70593358"/>
      <w:bookmarkStart w:id="150" w:name="_Toc70070911"/>
      <w:bookmarkStart w:id="151" w:name="_Toc67584835"/>
      <w:bookmarkStart w:id="152" w:name="_Toc66371800"/>
      <w:bookmarkStart w:id="153" w:name="_Toc65170174"/>
      <w:bookmarkStart w:id="154" w:name="_Toc57154368"/>
      <w:bookmarkStart w:id="155" w:name="_Toc52444649"/>
      <w:bookmarkStart w:id="156" w:name="_Toc51863315"/>
      <w:r>
        <w:rPr>
          <w:rFonts w:ascii="Palatino Linotype" w:hAnsi="Palatino Linotype" w:cs="Arial"/>
          <w:b/>
        </w:rPr>
        <w:t>Requisitos previos.</w:t>
      </w:r>
      <w:bookmarkEnd w:id="144"/>
      <w:bookmarkEnd w:id="145"/>
      <w:bookmarkEnd w:id="146"/>
      <w:bookmarkEnd w:id="147"/>
      <w:bookmarkEnd w:id="148"/>
      <w:bookmarkEnd w:id="149"/>
      <w:bookmarkEnd w:id="150"/>
      <w:bookmarkEnd w:id="151"/>
      <w:bookmarkEnd w:id="152"/>
      <w:bookmarkEnd w:id="153"/>
      <w:bookmarkEnd w:id="154"/>
      <w:bookmarkEnd w:id="155"/>
      <w:bookmarkEnd w:id="156"/>
    </w:p>
    <w:p w:rsidR="007C2591" w:rsidRDefault="007C2591" w:rsidP="007C2591">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Los artículos 122 y 100 de la Ley Estatal y de la Ley General, respectivamente, señalan </w:t>
      </w:r>
      <w:r w:rsidRPr="00A71801">
        <w:rPr>
          <w:rFonts w:ascii="Palatino Linotype" w:hAnsi="Palatino Linotype"/>
        </w:rPr>
        <w:t>que</w:t>
      </w:r>
      <w:r>
        <w:rPr>
          <w:rFonts w:ascii="Palatino Linotype" w:eastAsia="MS Gothic" w:hAnsi="Palatino Linotype"/>
          <w:szCs w:val="26"/>
        </w:rPr>
        <w:t xml:space="preserv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C2591" w:rsidRDefault="007C2591" w:rsidP="007C2591">
      <w:pPr>
        <w:pStyle w:val="Prrafodelista"/>
        <w:rPr>
          <w:rFonts w:ascii="Palatino Linotype" w:hAnsi="Palatino Linotype" w:cs="Arial"/>
        </w:rPr>
      </w:pPr>
    </w:p>
    <w:p w:rsidR="007C2591" w:rsidRPr="00A50B0C"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Pr>
          <w:rFonts w:ascii="Palatino Linotype" w:eastAsia="MS Gothic" w:hAnsi="Palatino Linotype"/>
          <w:b/>
          <w:szCs w:val="26"/>
          <w:u w:val="single"/>
        </w:rPr>
        <w:t>no se puede hacer un acuerdo para clasificar de manera general todos los documentos de un expediente o área</w:t>
      </w:r>
      <w:r>
        <w:rPr>
          <w:rFonts w:ascii="Palatino Linotype" w:eastAsia="MS Gothic" w:hAnsi="Palatino Linotype"/>
          <w:b/>
          <w:szCs w:val="26"/>
        </w:rPr>
        <w:t xml:space="preserve">,  </w:t>
      </w:r>
      <w:r>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rsidR="007C2591" w:rsidRDefault="007C2591" w:rsidP="00DC1346">
      <w:pPr>
        <w:pStyle w:val="Prrafodelista"/>
        <w:numPr>
          <w:ilvl w:val="0"/>
          <w:numId w:val="7"/>
        </w:numPr>
        <w:tabs>
          <w:tab w:val="left" w:pos="142"/>
          <w:tab w:val="left" w:pos="284"/>
          <w:tab w:val="left" w:pos="426"/>
        </w:tabs>
        <w:spacing w:line="360" w:lineRule="auto"/>
        <w:jc w:val="both"/>
        <w:outlineLvl w:val="2"/>
        <w:rPr>
          <w:rFonts w:ascii="Palatino Linotype" w:hAnsi="Palatino Linotype" w:cs="Arial"/>
          <w:b/>
        </w:rPr>
      </w:pPr>
      <w:bookmarkStart w:id="157" w:name="_Toc86848770"/>
      <w:bookmarkStart w:id="158" w:name="_Toc83128592"/>
      <w:bookmarkStart w:id="159" w:name="_Toc71674123"/>
      <w:bookmarkStart w:id="160" w:name="_Toc71291224"/>
      <w:bookmarkStart w:id="161" w:name="_Toc71290718"/>
      <w:bookmarkStart w:id="162" w:name="_Toc70593359"/>
      <w:bookmarkStart w:id="163" w:name="_Toc70070912"/>
      <w:bookmarkStart w:id="164" w:name="_Toc67584836"/>
      <w:bookmarkStart w:id="165" w:name="_Toc66371801"/>
      <w:bookmarkStart w:id="166" w:name="_Toc65170175"/>
      <w:bookmarkStart w:id="167" w:name="_Toc57154369"/>
      <w:bookmarkStart w:id="168" w:name="_Toc52444650"/>
      <w:bookmarkStart w:id="169" w:name="_Toc51863316"/>
      <w:r>
        <w:rPr>
          <w:rFonts w:ascii="Palatino Linotype" w:hAnsi="Palatino Linotype" w:cs="Arial"/>
          <w:b/>
        </w:rPr>
        <w:t>Supuestos de clasificación.</w:t>
      </w:r>
      <w:bookmarkEnd w:id="157"/>
      <w:bookmarkEnd w:id="158"/>
      <w:bookmarkEnd w:id="159"/>
      <w:bookmarkEnd w:id="160"/>
      <w:bookmarkEnd w:id="161"/>
      <w:bookmarkEnd w:id="162"/>
      <w:bookmarkEnd w:id="163"/>
      <w:bookmarkEnd w:id="164"/>
      <w:bookmarkEnd w:id="165"/>
      <w:bookmarkEnd w:id="166"/>
      <w:bookmarkEnd w:id="167"/>
      <w:bookmarkEnd w:id="168"/>
      <w:bookmarkEnd w:id="169"/>
    </w:p>
    <w:p w:rsidR="007C2591" w:rsidRDefault="007C2591" w:rsidP="007C2591">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Las disposiciones constitucionales y legales en la materia establecen los dos supuestos generales para clasificar la información: por reserva y por confidencialidad.</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7C259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Pr>
          <w:rFonts w:ascii="Palatino Linotype" w:hAnsi="Palatino Linotype" w:cs="Bookman Old Style"/>
          <w:bCs/>
          <w:i/>
          <w:color w:val="000000"/>
        </w:rPr>
        <w:t xml:space="preserve">“I. </w:t>
      </w:r>
      <w:r>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7C2591" w:rsidRDefault="007C2591" w:rsidP="007C259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Pr>
          <w:rFonts w:ascii="Palatino Linotype" w:hAnsi="Palatino Linotype" w:cs="Bookman Old Style"/>
          <w:bCs/>
          <w:i/>
          <w:color w:val="000000"/>
        </w:rPr>
        <w:lastRenderedPageBreak/>
        <w:t xml:space="preserve">II. </w:t>
      </w:r>
      <w:r>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C2591" w:rsidRDefault="007C2591" w:rsidP="007C259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Pr>
          <w:rFonts w:ascii="Palatino Linotype" w:hAnsi="Palatino Linotype" w:cs="Bookman Old Style"/>
          <w:bCs/>
          <w:i/>
          <w:color w:val="000000"/>
        </w:rPr>
        <w:t xml:space="preserve">III. </w:t>
      </w:r>
      <w:r>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7C2591" w:rsidRDefault="007C2591" w:rsidP="007C259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7C2591" w:rsidRDefault="007C2591" w:rsidP="007C259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Pr="00A7180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C2591" w:rsidRDefault="007C2591" w:rsidP="007C2591">
      <w:pPr>
        <w:pStyle w:val="Prrafodelista"/>
        <w:spacing w:line="360" w:lineRule="auto"/>
        <w:ind w:left="0"/>
        <w:jc w:val="both"/>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Como consecuencia de lo anterior, el </w:t>
      </w:r>
      <w:r>
        <w:rPr>
          <w:rFonts w:ascii="Palatino Linotype" w:eastAsia="MS Gothic" w:hAnsi="Palatino Linotype"/>
          <w:b/>
          <w:szCs w:val="26"/>
        </w:rPr>
        <w:t>SUJETO OBLIGADO</w:t>
      </w:r>
      <w:r>
        <w:rPr>
          <w:rFonts w:ascii="Palatino Linotype" w:eastAsia="MS Gothic" w:hAnsi="Palatino Linotype"/>
          <w:szCs w:val="26"/>
        </w:rPr>
        <w:t xml:space="preserve"> debe identificar claramente el tipo de información y hacer un juicio de subsunción o encaje</w:t>
      </w:r>
      <w:r>
        <w:rPr>
          <w:rFonts w:ascii="Palatino Linotype" w:eastAsia="MS Gothic" w:hAnsi="Palatino Linotype"/>
          <w:szCs w:val="26"/>
          <w:vertAlign w:val="superscript"/>
        </w:rPr>
        <w:footnoteReference w:id="7"/>
      </w:r>
      <w:r>
        <w:rPr>
          <w:rFonts w:ascii="Palatino Linotype" w:eastAsia="MS Gothic" w:hAnsi="Palatino Linotype"/>
          <w:szCs w:val="26"/>
        </w:rPr>
        <w:t xml:space="preserve"> para </w:t>
      </w:r>
      <w:r>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rsidR="007C2591" w:rsidRDefault="007C2591" w:rsidP="007C2591">
      <w:pPr>
        <w:pStyle w:val="Prrafodelista"/>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7C2591" w:rsidRDefault="007C2591" w:rsidP="007C2591">
      <w:pPr>
        <w:pStyle w:val="Prrafodelista"/>
        <w:rPr>
          <w:rFonts w:ascii="Palatino Linotype" w:hAnsi="Palatino Linotype" w:cs="Arial"/>
        </w:rPr>
      </w:pP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Quincuagésimo.</w:t>
      </w:r>
      <w:r>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b/>
          <w:i/>
        </w:rPr>
        <w:t>Quincuagésimo primero.</w:t>
      </w:r>
      <w:r>
        <w:rPr>
          <w:rFonts w:ascii="Palatino Linotype" w:hAnsi="Palatino Linotype" w:cs="Arial"/>
          <w:i/>
        </w:rPr>
        <w:t xml:space="preserve"> La leyenda en los documentos clasificados indicará:</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I. La fecha de sesión del Comité de Transparencia en donde se confirmó la clasificación, en su caso;</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II. El nombre del área;</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III. La palabra reservado o confidencial;</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IV. Las partes o secciones reservadas o confidenciales, en su caso;</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V. El fundamento legal;</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VI. El periodo de reserva, y</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VII. La rúbrica del titular del área.</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b/>
          <w:i/>
        </w:rPr>
        <w:lastRenderedPageBreak/>
        <w:t>Quincuagésimo segundo.</w:t>
      </w:r>
      <w:r>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7C2591" w:rsidRDefault="007C2591" w:rsidP="007C2591">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b/>
          <w:i/>
        </w:rPr>
        <w:t>Quincuagésimo tercero.</w:t>
      </w:r>
      <w:r>
        <w:rPr>
          <w:rFonts w:ascii="Palatino Linotype" w:hAnsi="Palatino Linotype" w:cs="Arial"/>
          <w:i/>
        </w:rPr>
        <w:t xml:space="preserve"> El formato para señalar la clasificación parcial de un documento, es el siguiente:</w:t>
      </w:r>
    </w:p>
    <w:p w:rsidR="007C2591" w:rsidRDefault="007C2591" w:rsidP="007C2591">
      <w:pPr>
        <w:pStyle w:val="Prrafodelista"/>
        <w:tabs>
          <w:tab w:val="left" w:pos="142"/>
          <w:tab w:val="left" w:pos="284"/>
          <w:tab w:val="left" w:pos="426"/>
        </w:tabs>
        <w:spacing w:line="360" w:lineRule="auto"/>
        <w:ind w:left="0"/>
        <w:jc w:val="center"/>
        <w:rPr>
          <w:rFonts w:ascii="Palatino Linotype" w:hAnsi="Palatino Linotype" w:cs="Arial"/>
        </w:rPr>
      </w:pPr>
      <w:r>
        <w:rPr>
          <w:rFonts w:ascii="Palatino Linotype" w:hAnsi="Palatino Linotype" w:cs="Arial"/>
          <w:i/>
          <w:noProof/>
          <w:lang w:val="es-MX" w:eastAsia="es-MX"/>
        </w:rPr>
        <w:drawing>
          <wp:inline distT="0" distB="0" distL="0" distR="0" wp14:anchorId="47437E9F" wp14:editId="035D7002">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Pr="002A02C5"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lastRenderedPageBreak/>
        <w:t>Una vez hecho lo anterior, se remite la información al Titular de la Unidad de Transparencia, con el acuerdo de clasificación correspondiente, para que sea sometido al conocimiento del Comité de Transparencia.</w:t>
      </w:r>
    </w:p>
    <w:p w:rsidR="002A02C5" w:rsidRDefault="002A02C5" w:rsidP="002A02C5">
      <w:pPr>
        <w:spacing w:line="360" w:lineRule="auto"/>
        <w:contextualSpacing/>
        <w:jc w:val="both"/>
        <w:rPr>
          <w:rFonts w:ascii="Palatino Linotype" w:hAnsi="Palatino Linotype" w:cs="Arial"/>
        </w:rPr>
      </w:pPr>
    </w:p>
    <w:p w:rsidR="007C2591" w:rsidRDefault="007C2591" w:rsidP="007C259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0" w:name="_Toc86848771"/>
      <w:bookmarkStart w:id="171" w:name="_Toc83128593"/>
      <w:bookmarkStart w:id="172" w:name="_Toc71674124"/>
      <w:bookmarkStart w:id="173" w:name="_Toc71291225"/>
      <w:bookmarkStart w:id="174" w:name="_Toc71290719"/>
      <w:bookmarkStart w:id="175" w:name="_Toc70593360"/>
      <w:bookmarkStart w:id="176" w:name="_Toc70070913"/>
      <w:bookmarkStart w:id="177" w:name="_Toc67584837"/>
      <w:bookmarkStart w:id="178" w:name="_Toc66371802"/>
      <w:bookmarkStart w:id="179" w:name="_Toc65170176"/>
      <w:bookmarkStart w:id="180" w:name="_Toc57154370"/>
      <w:bookmarkStart w:id="181" w:name="_Toc52444651"/>
      <w:bookmarkStart w:id="182" w:name="_Toc51863317"/>
      <w:r>
        <w:rPr>
          <w:rFonts w:ascii="Palatino Linotype" w:hAnsi="Palatino Linotype" w:cs="Arial"/>
          <w:b/>
        </w:rPr>
        <w:t>III. La intervención del Comité de Transparencia.</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b/>
        </w:rPr>
      </w:pPr>
      <w:r>
        <w:rPr>
          <w:rFonts w:ascii="Palatino Linotype" w:hAnsi="Palatino Linotype" w:cs="Arial"/>
          <w:b/>
        </w:rPr>
        <w:t>a) Formalidades para emitir el Acuerdo de Clasificación.</w:t>
      </w: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Pr>
          <w:rFonts w:ascii="Palatino Linotype" w:eastAsia="MS Gothic" w:hAnsi="Palatino Linotype"/>
          <w:b/>
          <w:szCs w:val="26"/>
          <w:u w:val="single"/>
        </w:rPr>
        <w:t>confirmar, modificar o revocar</w:t>
      </w:r>
      <w:r>
        <w:rPr>
          <w:rFonts w:ascii="Palatino Linotype" w:eastAsia="MS Gothic" w:hAnsi="Palatino Linotype"/>
          <w:szCs w:val="26"/>
        </w:rPr>
        <w:t xml:space="preserve"> la clasificación de la información que ha hecho el titular del área que administra la información. Por lo tanto, el Comité </w:t>
      </w:r>
      <w:r>
        <w:rPr>
          <w:rFonts w:ascii="Palatino Linotype" w:eastAsia="MS Gothic" w:hAnsi="Palatino Linotype"/>
          <w:b/>
          <w:szCs w:val="26"/>
          <w:u w:val="single"/>
        </w:rPr>
        <w:t>no aprueba</w:t>
      </w:r>
      <w:r>
        <w:rPr>
          <w:rFonts w:ascii="Palatino Linotype" w:eastAsia="MS Gothic" w:hAnsi="Palatino Linotype"/>
          <w:szCs w:val="26"/>
        </w:rPr>
        <w:t xml:space="preserve"> la clasificación, sino que revisa lo que ha hecho el titular del área y confirma, modifica o revoca la decisión a través de un acuerdo.</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Pr="002A02C5"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Pr>
          <w:rFonts w:ascii="Palatino Linotype" w:eastAsia="MS Gothic" w:hAnsi="Palatino Linotype"/>
          <w:b/>
          <w:szCs w:val="26"/>
          <w:u w:val="single"/>
        </w:rPr>
        <w:t>el acto reúna con los requisitos elementales</w:t>
      </w:r>
      <w:r>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Pr>
          <w:rFonts w:ascii="Palatino Linotype" w:eastAsia="MS Gothic" w:hAnsi="Palatino Linotype"/>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A02C5" w:rsidRDefault="002A02C5" w:rsidP="002A02C5">
      <w:pPr>
        <w:pStyle w:val="Prrafodelista"/>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DC1346">
      <w:pPr>
        <w:pStyle w:val="Prrafodelista"/>
        <w:numPr>
          <w:ilvl w:val="0"/>
          <w:numId w:val="8"/>
        </w:numPr>
        <w:tabs>
          <w:tab w:val="left" w:pos="142"/>
          <w:tab w:val="left" w:pos="284"/>
          <w:tab w:val="left" w:pos="426"/>
        </w:tabs>
        <w:spacing w:line="360" w:lineRule="auto"/>
        <w:jc w:val="both"/>
        <w:rPr>
          <w:rFonts w:ascii="Palatino Linotype" w:hAnsi="Palatino Linotype" w:cs="Arial"/>
          <w:b/>
        </w:rPr>
      </w:pPr>
      <w:r>
        <w:rPr>
          <w:rFonts w:ascii="Palatino Linotype" w:hAnsi="Palatino Linotype" w:cs="Arial"/>
          <w:b/>
        </w:rPr>
        <w:t>Requisitos de fondo del Acuerdo de Clasificación.</w:t>
      </w:r>
    </w:p>
    <w:p w:rsidR="007C2591" w:rsidRP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C2591" w:rsidRDefault="007C2591" w:rsidP="007C2591">
      <w:pPr>
        <w:spacing w:line="360" w:lineRule="auto"/>
        <w:contextualSpacing/>
        <w:jc w:val="both"/>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C2591" w:rsidRDefault="007C2591" w:rsidP="007C2591">
      <w:pPr>
        <w:pStyle w:val="Prrafodelista"/>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eastAsia="MS Gothic" w:hAnsi="Palatino Linotype"/>
          <w:szCs w:val="26"/>
        </w:rPr>
        <w:t>....”</w:t>
      </w:r>
      <w:r>
        <w:rPr>
          <w:rFonts w:ascii="Palatino Linotype" w:eastAsia="MS Gothic" w:hAnsi="Palatino Linotype"/>
          <w:szCs w:val="26"/>
          <w:vertAlign w:val="superscript"/>
        </w:rPr>
        <w:footnoteReference w:id="8"/>
      </w:r>
    </w:p>
    <w:p w:rsidR="007C2591" w:rsidRDefault="007C2591" w:rsidP="007C2591">
      <w:pPr>
        <w:pStyle w:val="Prrafodelista"/>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 </w:t>
      </w:r>
      <w:r w:rsidRPr="007C2591">
        <w:rPr>
          <w:rFonts w:ascii="Palatino Linotype" w:eastAsia="MS Gothic" w:hAnsi="Palatino Linotype"/>
          <w:szCs w:val="26"/>
        </w:rPr>
        <w:t>Por</w:t>
      </w:r>
      <w:r>
        <w:rPr>
          <w:rFonts w:ascii="Palatino Linotype" w:hAnsi="Palatino Linotype" w:cs="Arial"/>
        </w:rPr>
        <w:t xml:space="preserve"> su parte, el intérprete judicial del país ha establecido una jurisprudencia respecto a qué debe entenderse por fundamentación y motivación, en los siguientes términos:</w:t>
      </w:r>
    </w:p>
    <w:p w:rsidR="007C2591" w:rsidRDefault="007C2591" w:rsidP="007C2591">
      <w:pPr>
        <w:spacing w:line="276" w:lineRule="auto"/>
        <w:ind w:left="567" w:right="618"/>
        <w:contextualSpacing/>
        <w:jc w:val="both"/>
        <w:rPr>
          <w:rFonts w:ascii="Palatino Linotype" w:hAnsi="Palatino Linotype" w:cs="Arial"/>
          <w:i/>
          <w:color w:val="000000"/>
        </w:rPr>
      </w:pPr>
      <w:r>
        <w:rPr>
          <w:rFonts w:ascii="Palatino Linotype" w:hAnsi="Palatino Linotype" w:cs="Arial"/>
          <w:b/>
          <w:i/>
          <w:color w:val="000000"/>
        </w:rPr>
        <w:lastRenderedPageBreak/>
        <w:t>FUNDAMENTACIÓN Y MOTIVACIÓN.</w:t>
      </w:r>
      <w:r>
        <w:rPr>
          <w:rFonts w:ascii="Palatino Linotype" w:hAnsi="Palatino Linotype" w:cs="Arial"/>
          <w:i/>
          <w:color w:val="000000"/>
        </w:rPr>
        <w:t xml:space="preserve"> “La </w:t>
      </w:r>
      <w:r>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hAnsi="Palatino Linotype" w:cs="Arial"/>
          <w:i/>
          <w:color w:val="000000"/>
        </w:rPr>
        <w:t>.”</w:t>
      </w:r>
    </w:p>
    <w:p w:rsidR="007C2591" w:rsidRDefault="007C2591" w:rsidP="007C2591">
      <w:pPr>
        <w:spacing w:line="276" w:lineRule="auto"/>
        <w:ind w:left="567" w:right="618"/>
        <w:contextualSpacing/>
        <w:jc w:val="both"/>
        <w:rPr>
          <w:rFonts w:ascii="Palatino Linotype" w:hAnsi="Palatino Linotype" w:cs="Arial"/>
          <w:i/>
          <w:color w:val="000000"/>
        </w:rPr>
      </w:pPr>
    </w:p>
    <w:p w:rsidR="007C2591" w:rsidRDefault="007C2591" w:rsidP="007C2591">
      <w:pPr>
        <w:spacing w:line="360" w:lineRule="auto"/>
        <w:ind w:left="851" w:right="618"/>
        <w:contextualSpacing/>
        <w:jc w:val="both"/>
        <w:rPr>
          <w:rFonts w:ascii="Palatino Linotype" w:hAnsi="Palatino Linotype" w:cs="Arial"/>
          <w:i/>
          <w:color w:val="000000"/>
        </w:rPr>
      </w:pPr>
      <w:r>
        <w:rPr>
          <w:rFonts w:ascii="Palatino Linotype" w:hAnsi="Palatino Linotype" w:cs="Arial"/>
          <w:i/>
          <w:color w:val="000000"/>
        </w:rPr>
        <w:t>SEGUNDO TRIBUNAL COLEGIADO DEL SEXTO CIRCUITO.</w:t>
      </w:r>
    </w:p>
    <w:p w:rsidR="007C2591" w:rsidRDefault="007C2591" w:rsidP="007C2591">
      <w:pPr>
        <w:spacing w:line="360" w:lineRule="auto"/>
        <w:ind w:left="851" w:right="618"/>
        <w:contextualSpacing/>
        <w:jc w:val="both"/>
        <w:rPr>
          <w:rFonts w:ascii="Palatino Linotype" w:hAnsi="Palatino Linotype" w:cs="Arial"/>
          <w:i/>
          <w:color w:val="000000"/>
        </w:rPr>
      </w:pPr>
      <w:r>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7C2591" w:rsidRDefault="007C2591" w:rsidP="007C2591">
      <w:pPr>
        <w:spacing w:line="360" w:lineRule="auto"/>
        <w:ind w:left="851" w:right="618"/>
        <w:contextualSpacing/>
        <w:jc w:val="both"/>
        <w:rPr>
          <w:rFonts w:ascii="Palatino Linotype" w:hAnsi="Palatino Linotype" w:cs="Arial"/>
          <w:i/>
          <w:color w:val="000000"/>
        </w:rPr>
      </w:pPr>
      <w:r>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Pr>
          <w:rFonts w:ascii="Palatino Linotype" w:hAnsi="Palatino Linotype" w:cs="Arial"/>
          <w:i/>
          <w:color w:val="000000"/>
        </w:rPr>
        <w:t>Esponda</w:t>
      </w:r>
      <w:proofErr w:type="spellEnd"/>
      <w:r>
        <w:rPr>
          <w:rFonts w:ascii="Palatino Linotype" w:hAnsi="Palatino Linotype" w:cs="Arial"/>
          <w:i/>
          <w:color w:val="000000"/>
        </w:rPr>
        <w:t xml:space="preserve"> Rincón.</w:t>
      </w:r>
    </w:p>
    <w:p w:rsidR="007C2591" w:rsidRDefault="007C2591" w:rsidP="007C2591">
      <w:pPr>
        <w:spacing w:line="360" w:lineRule="auto"/>
        <w:ind w:left="851" w:right="618"/>
        <w:contextualSpacing/>
        <w:jc w:val="both"/>
        <w:rPr>
          <w:rFonts w:ascii="Palatino Linotype" w:hAnsi="Palatino Linotype" w:cs="Arial"/>
          <w:i/>
          <w:color w:val="000000"/>
        </w:rPr>
      </w:pPr>
      <w:r>
        <w:rPr>
          <w:rFonts w:ascii="Palatino Linotype" w:hAnsi="Palatino Linotype" w:cs="Arial"/>
          <w:i/>
          <w:color w:val="000000"/>
        </w:rPr>
        <w:t xml:space="preserve">Amparo en revisión 333/88. </w:t>
      </w:r>
      <w:proofErr w:type="spellStart"/>
      <w:r>
        <w:rPr>
          <w:rFonts w:ascii="Palatino Linotype" w:hAnsi="Palatino Linotype" w:cs="Arial"/>
          <w:i/>
          <w:color w:val="000000"/>
        </w:rPr>
        <w:t>Adilia</w:t>
      </w:r>
      <w:proofErr w:type="spellEnd"/>
      <w:r>
        <w:rPr>
          <w:rFonts w:ascii="Palatino Linotype" w:hAnsi="Palatino Linotype" w:cs="Arial"/>
          <w:i/>
          <w:color w:val="000000"/>
        </w:rPr>
        <w:t xml:space="preserve"> Romero. 26 de octubre de 1988. Unanimidad de votos. Ponente: Arnoldo Nájera Virgen. Secretario: Enrique Crispín Campos Ramírez.</w:t>
      </w:r>
    </w:p>
    <w:p w:rsidR="007C2591" w:rsidRDefault="007C2591" w:rsidP="007C2591">
      <w:pPr>
        <w:spacing w:line="360" w:lineRule="auto"/>
        <w:ind w:left="851" w:right="618"/>
        <w:contextualSpacing/>
        <w:jc w:val="both"/>
        <w:rPr>
          <w:rFonts w:ascii="Palatino Linotype" w:hAnsi="Palatino Linotype" w:cs="Arial"/>
          <w:i/>
          <w:color w:val="000000"/>
        </w:rPr>
      </w:pPr>
      <w:r>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Pr>
          <w:rFonts w:ascii="Palatino Linotype" w:hAnsi="Palatino Linotype" w:cs="Arial"/>
          <w:i/>
          <w:color w:val="000000"/>
        </w:rPr>
        <w:t>Goyzueta</w:t>
      </w:r>
      <w:proofErr w:type="spellEnd"/>
      <w:r>
        <w:rPr>
          <w:rFonts w:ascii="Palatino Linotype" w:hAnsi="Palatino Linotype" w:cs="Arial"/>
          <w:i/>
          <w:color w:val="000000"/>
        </w:rPr>
        <w:t>. Secretario: Gonzalo Carrera Molina.</w:t>
      </w:r>
    </w:p>
    <w:p w:rsidR="007C2591" w:rsidRDefault="007C2591" w:rsidP="007C2591">
      <w:pPr>
        <w:spacing w:line="360" w:lineRule="auto"/>
        <w:ind w:left="851" w:right="618"/>
        <w:contextualSpacing/>
        <w:jc w:val="both"/>
        <w:rPr>
          <w:rFonts w:ascii="Palatino Linotype" w:hAnsi="Palatino Linotype" w:cs="Arial"/>
          <w:i/>
          <w:color w:val="000000"/>
        </w:rPr>
      </w:pPr>
      <w:r>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Pr>
          <w:rFonts w:ascii="Palatino Linotype" w:hAnsi="Palatino Linotype" w:cs="Arial"/>
          <w:i/>
          <w:color w:val="000000"/>
        </w:rPr>
        <w:t>Baigts</w:t>
      </w:r>
      <w:proofErr w:type="spellEnd"/>
      <w:r>
        <w:rPr>
          <w:rFonts w:ascii="Palatino Linotype" w:hAnsi="Palatino Linotype" w:cs="Arial"/>
          <w:i/>
          <w:color w:val="000000"/>
        </w:rPr>
        <w:t xml:space="preserve"> Muñoz.</w:t>
      </w:r>
    </w:p>
    <w:p w:rsidR="007C2591" w:rsidRDefault="007C2591" w:rsidP="007C2591">
      <w:pPr>
        <w:spacing w:line="360" w:lineRule="auto"/>
        <w:ind w:left="851" w:right="618"/>
        <w:contextualSpacing/>
        <w:jc w:val="both"/>
        <w:rPr>
          <w:rFonts w:ascii="Palatino Linotype" w:hAnsi="Palatino Linotype" w:cs="Arial"/>
          <w:i/>
          <w:color w:val="000000"/>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rPr>
        <w:t xml:space="preserve"> Así, en un acto de autoridad se cumple con la debida fundamentación cuando se cita el precepto legal aplicable al caso concreto y la debida motivación </w:t>
      </w:r>
      <w:r>
        <w:rPr>
          <w:rFonts w:ascii="Palatino Linotype" w:eastAsia="MS Gothic" w:hAnsi="Palatino Linotype"/>
        </w:rPr>
        <w:lastRenderedPageBreak/>
        <w:t xml:space="preserve">cuando se </w:t>
      </w:r>
      <w:r w:rsidRPr="00A71801">
        <w:rPr>
          <w:rFonts w:ascii="Palatino Linotype" w:hAnsi="Palatino Linotype" w:cs="Arial"/>
        </w:rPr>
        <w:t>expresan</w:t>
      </w:r>
      <w:r>
        <w:rPr>
          <w:rFonts w:ascii="Palatino Linotype" w:eastAsia="MS Gothic" w:hAnsi="Palatino Linotype"/>
        </w:rPr>
        <w:t xml:space="preserve"> las razones, motivos o circunstancias que tomó en cuenta la autoridad para adecuar el hecho a los fundamentos de derecho.</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Default="007C2591" w:rsidP="00DC1346">
      <w:pPr>
        <w:numPr>
          <w:ilvl w:val="0"/>
          <w:numId w:val="1"/>
        </w:numPr>
        <w:spacing w:line="360" w:lineRule="auto"/>
        <w:ind w:left="0" w:firstLine="0"/>
        <w:contextualSpacing/>
        <w:jc w:val="both"/>
        <w:rPr>
          <w:rFonts w:ascii="Palatino Linotype" w:hAnsi="Palatino Linotype" w:cs="Arial"/>
        </w:rPr>
      </w:pPr>
      <w:r>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rsidR="007C2591" w:rsidRDefault="007C2591" w:rsidP="007C2591">
      <w:pPr>
        <w:pStyle w:val="Prrafodelista"/>
        <w:tabs>
          <w:tab w:val="left" w:pos="142"/>
          <w:tab w:val="left" w:pos="284"/>
          <w:tab w:val="left" w:pos="426"/>
        </w:tabs>
        <w:spacing w:line="360" w:lineRule="auto"/>
        <w:ind w:left="0"/>
        <w:jc w:val="both"/>
        <w:rPr>
          <w:rFonts w:ascii="Palatino Linotype" w:hAnsi="Palatino Linotype" w:cs="Arial"/>
        </w:rPr>
      </w:pPr>
    </w:p>
    <w:p w:rsidR="007C2591" w:rsidRPr="00333F97" w:rsidRDefault="007C2591" w:rsidP="00DC1346">
      <w:pPr>
        <w:numPr>
          <w:ilvl w:val="0"/>
          <w:numId w:val="1"/>
        </w:numPr>
        <w:spacing w:line="360" w:lineRule="auto"/>
        <w:ind w:left="0" w:firstLine="0"/>
        <w:contextualSpacing/>
        <w:jc w:val="both"/>
        <w:rPr>
          <w:rFonts w:ascii="Palatino Linotype" w:hAnsi="Palatino Linotype" w:cs="Arial"/>
        </w:rPr>
      </w:pPr>
      <w:r w:rsidRPr="00333F97">
        <w:rPr>
          <w:rFonts w:ascii="Palatino Linotype" w:eastAsia="MS Gothic" w:hAnsi="Palatino Linotype"/>
        </w:rPr>
        <w:t xml:space="preserve">Ahora bien, </w:t>
      </w:r>
      <w:r w:rsidRPr="00333F97">
        <w:rPr>
          <w:rFonts w:ascii="Palatino Linotype" w:eastAsia="MS Gothic" w:hAnsi="Palatino Linotype"/>
          <w:b/>
          <w:u w:val="single"/>
        </w:rPr>
        <w:t>para cada caso además de fundar y motivar</w:t>
      </w:r>
      <w:r w:rsidRPr="00333F97">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Pr>
          <w:rFonts w:ascii="Palatino Linotype" w:eastAsia="MS Gothic" w:hAnsi="Palatino Linotype"/>
          <w:vertAlign w:val="superscript"/>
        </w:rPr>
        <w:footnoteReference w:id="9"/>
      </w:r>
      <w:r w:rsidRPr="00333F97">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w:t>
      </w:r>
      <w:r>
        <w:rPr>
          <w:rFonts w:ascii="Palatino Linotype" w:eastAsia="MS Gothic" w:hAnsi="Palatino Linotype"/>
        </w:rPr>
        <w:t>ral de Contribuyentes (R.F.C.)</w:t>
      </w:r>
    </w:p>
    <w:p w:rsidR="00C70E5B" w:rsidRPr="0059524C" w:rsidRDefault="00C70E5B" w:rsidP="00DC1346">
      <w:pPr>
        <w:pStyle w:val="Prrafodelista"/>
        <w:numPr>
          <w:ilvl w:val="0"/>
          <w:numId w:val="1"/>
        </w:numPr>
        <w:spacing w:line="360" w:lineRule="auto"/>
        <w:ind w:left="0" w:firstLine="0"/>
        <w:jc w:val="both"/>
        <w:rPr>
          <w:rFonts w:ascii="Palatino Linotype" w:hAnsi="Palatino Linotype" w:cs="Arial"/>
        </w:rPr>
      </w:pPr>
      <w:r w:rsidRPr="003221A5">
        <w:rPr>
          <w:rFonts w:ascii="Palatino Linotype" w:hAnsi="Palatino Linotype" w:cs="Arial"/>
          <w:color w:val="222222"/>
        </w:rPr>
        <w:lastRenderedPageBreak/>
        <w:t xml:space="preserve">Por lo anteriormente expuesto y fundado, este </w:t>
      </w:r>
      <w:r w:rsidRPr="003221A5">
        <w:rPr>
          <w:rFonts w:ascii="Palatino Linotype" w:hAnsi="Palatino Linotype" w:cs="Arial"/>
          <w:b/>
          <w:bCs/>
          <w:color w:val="222222"/>
        </w:rPr>
        <w:t>ÓRGANO GARANTE</w:t>
      </w:r>
      <w:r w:rsidRPr="003221A5">
        <w:rPr>
          <w:rFonts w:ascii="Palatino Linotype" w:hAnsi="Palatino Linotype" w:cs="Arial"/>
          <w:color w:val="222222"/>
        </w:rPr>
        <w:t xml:space="preserve"> emite los siguientes:</w:t>
      </w:r>
    </w:p>
    <w:p w:rsidR="0059524C" w:rsidRDefault="0059524C" w:rsidP="0059524C">
      <w:pPr>
        <w:pStyle w:val="Prrafodelista"/>
        <w:rPr>
          <w:rFonts w:ascii="Palatino Linotype" w:hAnsi="Palatino Linotype" w:cs="Arial"/>
        </w:rPr>
      </w:pPr>
    </w:p>
    <w:p w:rsidR="00C70E5B" w:rsidRPr="003221A5" w:rsidRDefault="00C70E5B" w:rsidP="00C70E5B">
      <w:pPr>
        <w:pStyle w:val="Ttulo1"/>
        <w:spacing w:before="0" w:line="360" w:lineRule="auto"/>
        <w:jc w:val="center"/>
        <w:rPr>
          <w:rFonts w:ascii="Palatino Linotype" w:eastAsia="Calibri" w:hAnsi="Palatino Linotype"/>
          <w:b/>
          <w:color w:val="000000" w:themeColor="text1"/>
          <w:sz w:val="24"/>
          <w:szCs w:val="24"/>
          <w:lang w:val="es-ES"/>
        </w:rPr>
      </w:pPr>
      <w:bookmarkStart w:id="183" w:name="_Toc504500693"/>
      <w:bookmarkStart w:id="184" w:name="_Toc534742545"/>
      <w:bookmarkStart w:id="185" w:name="_Toc2248738"/>
      <w:bookmarkStart w:id="186" w:name="_Toc34819440"/>
      <w:bookmarkStart w:id="187" w:name="_Toc51259595"/>
      <w:bookmarkStart w:id="188" w:name="_Toc82611052"/>
      <w:r w:rsidRPr="003221A5">
        <w:rPr>
          <w:rFonts w:ascii="Palatino Linotype" w:eastAsia="Calibri" w:hAnsi="Palatino Linotype"/>
          <w:b/>
          <w:color w:val="000000" w:themeColor="text1"/>
          <w:sz w:val="24"/>
          <w:szCs w:val="24"/>
          <w:lang w:val="es-ES"/>
        </w:rPr>
        <w:t>R E S O L U T I V O S</w:t>
      </w:r>
      <w:bookmarkEnd w:id="183"/>
      <w:bookmarkEnd w:id="184"/>
      <w:bookmarkEnd w:id="185"/>
      <w:bookmarkEnd w:id="186"/>
      <w:bookmarkEnd w:id="187"/>
      <w:bookmarkEnd w:id="188"/>
      <w:r w:rsidRPr="003221A5">
        <w:rPr>
          <w:rFonts w:ascii="Palatino Linotype" w:eastAsia="Calibri" w:hAnsi="Palatino Linotype"/>
          <w:b/>
          <w:color w:val="000000" w:themeColor="text1"/>
          <w:sz w:val="24"/>
          <w:szCs w:val="24"/>
          <w:lang w:val="es-ES"/>
        </w:rPr>
        <w:t xml:space="preserve"> </w:t>
      </w:r>
    </w:p>
    <w:p w:rsidR="00C70E5B" w:rsidRPr="003221A5" w:rsidRDefault="00C70E5B" w:rsidP="00C70E5B">
      <w:pPr>
        <w:rPr>
          <w:lang w:val="es-ES"/>
        </w:rPr>
      </w:pPr>
    </w:p>
    <w:p w:rsidR="007C2591" w:rsidRDefault="007C2591" w:rsidP="007C2591">
      <w:pPr>
        <w:spacing w:line="360" w:lineRule="auto"/>
        <w:jc w:val="both"/>
        <w:rPr>
          <w:rFonts w:ascii="Palatino Linotype" w:hAnsi="Palatino Linotype" w:cs="Arial"/>
          <w:lang w:val="es-ES"/>
        </w:rPr>
      </w:pPr>
      <w:r>
        <w:rPr>
          <w:rFonts w:ascii="Palatino Linotype" w:hAnsi="Palatino Linotype" w:cs="Arial"/>
          <w:b/>
        </w:rPr>
        <w:t>PRIMERO</w:t>
      </w:r>
      <w:r>
        <w:rPr>
          <w:rFonts w:ascii="Palatino Linotype" w:hAnsi="Palatino Linotype" w:cs="Arial"/>
          <w:lang w:val="es-ES"/>
        </w:rPr>
        <w:t xml:space="preserve">. Resultan parcialmente fundadas las razones o motivos de inconformidad hechos valer en el Recurso de Revisión </w:t>
      </w:r>
      <w:r>
        <w:rPr>
          <w:rFonts w:ascii="Palatino Linotype" w:hAnsi="Palatino Linotype"/>
          <w:b/>
        </w:rPr>
        <w:t>02123/INFOEM/IP/RR/2022</w:t>
      </w:r>
      <w:r>
        <w:rPr>
          <w:rFonts w:ascii="Palatino Linotype" w:hAnsi="Palatino Linotype"/>
        </w:rPr>
        <w:t>,</w:t>
      </w:r>
      <w:r>
        <w:rPr>
          <w:rFonts w:ascii="Palatino Linotype" w:hAnsi="Palatino Linotype" w:cs="Arial"/>
          <w:b/>
          <w:lang w:val="es-ES"/>
        </w:rPr>
        <w:t xml:space="preserve"> </w:t>
      </w:r>
      <w:r>
        <w:rPr>
          <w:rFonts w:ascii="Palatino Linotype" w:hAnsi="Palatino Linotype" w:cs="Arial"/>
          <w:lang w:val="es-ES"/>
        </w:rPr>
        <w:t xml:space="preserve">en términos de los Considerandos </w:t>
      </w:r>
      <w:r w:rsidR="00004D06" w:rsidRPr="00004D06">
        <w:rPr>
          <w:rFonts w:ascii="Palatino Linotype" w:hAnsi="Palatino Linotype" w:cs="Arial"/>
          <w:b/>
          <w:lang w:val="es-ES"/>
        </w:rPr>
        <w:t>CUARTO y</w:t>
      </w:r>
      <w:r w:rsidR="00004D06">
        <w:rPr>
          <w:rFonts w:ascii="Palatino Linotype" w:hAnsi="Palatino Linotype" w:cs="Arial"/>
          <w:lang w:val="es-ES"/>
        </w:rPr>
        <w:t xml:space="preserve"> </w:t>
      </w:r>
      <w:r w:rsidR="00004D06">
        <w:rPr>
          <w:rFonts w:ascii="Palatino Linotype" w:hAnsi="Palatino Linotype" w:cs="Arial"/>
          <w:b/>
          <w:lang w:val="es-ES"/>
        </w:rPr>
        <w:t xml:space="preserve">QUINTO </w:t>
      </w:r>
      <w:r>
        <w:rPr>
          <w:rFonts w:ascii="Palatino Linotype" w:hAnsi="Palatino Linotype" w:cs="Arial"/>
          <w:lang w:val="es-ES"/>
        </w:rPr>
        <w:t xml:space="preserve">de la presente resolución. </w:t>
      </w:r>
    </w:p>
    <w:p w:rsidR="007C2591" w:rsidRDefault="007C2591" w:rsidP="007C2591">
      <w:pPr>
        <w:spacing w:line="360" w:lineRule="auto"/>
        <w:jc w:val="both"/>
        <w:rPr>
          <w:rFonts w:ascii="Palatino Linotype" w:hAnsi="Palatino Linotype" w:cs="Arial"/>
          <w:lang w:val="es-ES"/>
        </w:rPr>
      </w:pPr>
    </w:p>
    <w:p w:rsidR="007C2591" w:rsidRPr="00004D06" w:rsidRDefault="007C2591" w:rsidP="007C2591">
      <w:pPr>
        <w:spacing w:line="360" w:lineRule="auto"/>
        <w:jc w:val="both"/>
        <w:rPr>
          <w:rFonts w:ascii="Palatino Linotype" w:eastAsia="MS Mincho" w:hAnsi="Palatino Linotype"/>
          <w:color w:val="000000" w:themeColor="text1"/>
          <w:highlight w:val="yellow"/>
        </w:rPr>
      </w:pPr>
      <w:bookmarkStart w:id="189" w:name="_Toc511647818"/>
      <w:bookmarkStart w:id="190" w:name="_Toc511647757"/>
      <w:bookmarkStart w:id="191" w:name="_Toc503891607"/>
      <w:bookmarkStart w:id="192" w:name="_Toc454301155"/>
      <w:bookmarkStart w:id="193" w:name="_Toc453696502"/>
      <w:bookmarkStart w:id="194" w:name="_Toc462653937"/>
      <w:bookmarkStart w:id="195" w:name="_Toc492590391"/>
      <w:bookmarkStart w:id="196" w:name="_Toc481576259"/>
      <w:bookmarkStart w:id="197" w:name="_Toc477891858"/>
      <w:bookmarkStart w:id="198" w:name="_Toc477891768"/>
      <w:r>
        <w:rPr>
          <w:rFonts w:ascii="Palatino Linotype" w:hAnsi="Palatino Linotype"/>
          <w:b/>
        </w:rPr>
        <w:t>SEGUNDO.</w:t>
      </w:r>
      <w:bookmarkEnd w:id="189"/>
      <w:bookmarkEnd w:id="190"/>
      <w:bookmarkEnd w:id="191"/>
      <w:r>
        <w:rPr>
          <w:rFonts w:ascii="Palatino Linotype" w:hAnsi="Palatino Linotype"/>
          <w:b/>
        </w:rPr>
        <w:t xml:space="preserve"> </w:t>
      </w:r>
      <w:bookmarkEnd w:id="192"/>
      <w:bookmarkEnd w:id="193"/>
      <w:bookmarkEnd w:id="194"/>
      <w:bookmarkEnd w:id="195"/>
      <w:bookmarkEnd w:id="196"/>
      <w:bookmarkEnd w:id="197"/>
      <w:bookmarkEnd w:id="198"/>
      <w:r>
        <w:rPr>
          <w:rFonts w:ascii="Palatino Linotype" w:eastAsia="MS Mincho" w:hAnsi="Palatino Linotype"/>
          <w:color w:val="000000" w:themeColor="text1"/>
        </w:rPr>
        <w:t xml:space="preserve">Se </w:t>
      </w:r>
      <w:r w:rsidRPr="00004D06">
        <w:rPr>
          <w:rFonts w:ascii="Palatino Linotype" w:eastAsia="MS Mincho" w:hAnsi="Palatino Linotype"/>
          <w:b/>
          <w:color w:val="000000" w:themeColor="text1"/>
          <w:highlight w:val="yellow"/>
        </w:rPr>
        <w:t xml:space="preserve">MODIFICA </w:t>
      </w:r>
      <w:r w:rsidRPr="00004D06">
        <w:rPr>
          <w:rFonts w:ascii="Palatino Linotype" w:eastAsia="MS Mincho" w:hAnsi="Palatino Linotype"/>
          <w:color w:val="000000" w:themeColor="text1"/>
          <w:highlight w:val="yellow"/>
        </w:rPr>
        <w:t xml:space="preserve">la respuesta emitida por el </w:t>
      </w:r>
      <w:r w:rsidRPr="00004D06">
        <w:rPr>
          <w:rFonts w:ascii="Palatino Linotype" w:hAnsi="Palatino Linotype"/>
          <w:b/>
          <w:bCs/>
          <w:color w:val="000000"/>
          <w:highlight w:val="yellow"/>
        </w:rPr>
        <w:t>Ayuntamiento de Metepec</w:t>
      </w:r>
      <w:r w:rsidRPr="00004D06">
        <w:rPr>
          <w:rFonts w:ascii="Palatino Linotype" w:eastAsia="MS Mincho" w:hAnsi="Palatino Linotype"/>
          <w:b/>
          <w:color w:val="000000" w:themeColor="text1"/>
          <w:highlight w:val="yellow"/>
        </w:rPr>
        <w:t xml:space="preserve"> </w:t>
      </w:r>
      <w:r w:rsidRPr="00004D06">
        <w:rPr>
          <w:rFonts w:ascii="Palatino Linotype" w:eastAsia="MS Mincho" w:hAnsi="Palatino Linotype"/>
          <w:color w:val="000000" w:themeColor="text1"/>
          <w:highlight w:val="yellow"/>
        </w:rPr>
        <w:t xml:space="preserve">y se </w:t>
      </w:r>
      <w:r w:rsidRPr="00004D06">
        <w:rPr>
          <w:rFonts w:ascii="Palatino Linotype" w:eastAsia="MS Mincho" w:hAnsi="Palatino Linotype"/>
          <w:b/>
          <w:color w:val="000000" w:themeColor="text1"/>
          <w:highlight w:val="yellow"/>
        </w:rPr>
        <w:t>ORDENA</w:t>
      </w:r>
      <w:r w:rsidRPr="00004D06">
        <w:rPr>
          <w:rFonts w:ascii="Palatino Linotype" w:eastAsia="MS Mincho" w:hAnsi="Palatino Linotype"/>
          <w:color w:val="000000" w:themeColor="text1"/>
          <w:highlight w:val="yellow"/>
        </w:rPr>
        <w:t xml:space="preserve"> entregar vía Sistema de Acceso a la Información Mexiquense </w:t>
      </w:r>
      <w:r w:rsidRPr="00004D06">
        <w:rPr>
          <w:rFonts w:ascii="Palatino Linotype" w:eastAsia="MS Mincho" w:hAnsi="Palatino Linotype"/>
          <w:b/>
          <w:color w:val="000000" w:themeColor="text1"/>
          <w:highlight w:val="yellow"/>
        </w:rPr>
        <w:t>(SAIMEX)</w:t>
      </w:r>
      <w:r w:rsidRPr="00004D06">
        <w:rPr>
          <w:rFonts w:ascii="Palatino Linotype" w:eastAsia="MS Mincho" w:hAnsi="Palatino Linotype"/>
          <w:color w:val="000000" w:themeColor="text1"/>
          <w:highlight w:val="yellow"/>
        </w:rPr>
        <w:t xml:space="preserve">, </w:t>
      </w:r>
      <w:r w:rsidR="00E01E22" w:rsidRPr="00004D06">
        <w:rPr>
          <w:rFonts w:ascii="Palatino Linotype" w:eastAsia="MS Mincho" w:hAnsi="Palatino Linotype"/>
          <w:color w:val="000000" w:themeColor="text1"/>
          <w:highlight w:val="yellow"/>
        </w:rPr>
        <w:t xml:space="preserve">previa búsqueda exhaustiva y razonable, </w:t>
      </w:r>
      <w:r w:rsidRPr="00004D06">
        <w:rPr>
          <w:rFonts w:ascii="Palatino Linotype" w:eastAsia="MS Mincho" w:hAnsi="Palatino Linotype"/>
          <w:color w:val="000000" w:themeColor="text1"/>
          <w:highlight w:val="yellow"/>
        </w:rPr>
        <w:t xml:space="preserve">de ser el caso en versión pública, la siguiente información: </w:t>
      </w:r>
    </w:p>
    <w:p w:rsidR="007C2591" w:rsidRPr="00004D06" w:rsidRDefault="007C2591" w:rsidP="007C2591">
      <w:pPr>
        <w:spacing w:line="360" w:lineRule="auto"/>
        <w:jc w:val="both"/>
        <w:rPr>
          <w:rFonts w:ascii="Palatino Linotype" w:eastAsia="MS Mincho" w:hAnsi="Palatino Linotype"/>
          <w:color w:val="000000" w:themeColor="text1"/>
          <w:highlight w:val="yellow"/>
        </w:rPr>
      </w:pPr>
      <w:r w:rsidRPr="00004D06">
        <w:rPr>
          <w:rFonts w:ascii="Palatino Linotype" w:eastAsia="MS Mincho" w:hAnsi="Palatino Linotype"/>
          <w:color w:val="000000" w:themeColor="text1"/>
          <w:highlight w:val="yellow"/>
        </w:rPr>
        <w:t xml:space="preserve">  </w:t>
      </w:r>
    </w:p>
    <w:p w:rsidR="007C2591" w:rsidRPr="00004D06" w:rsidRDefault="00E01E22" w:rsidP="00DC1346">
      <w:pPr>
        <w:pStyle w:val="Prrafodelista"/>
        <w:numPr>
          <w:ilvl w:val="0"/>
          <w:numId w:val="9"/>
        </w:numPr>
        <w:spacing w:line="360" w:lineRule="auto"/>
        <w:jc w:val="both"/>
        <w:rPr>
          <w:rFonts w:ascii="Palatino Linotype" w:hAnsi="Palatino Linotype" w:cs="Arial"/>
          <w:b/>
          <w:highlight w:val="yellow"/>
        </w:rPr>
      </w:pPr>
      <w:bookmarkStart w:id="199" w:name="_Toc503891610"/>
      <w:bookmarkStart w:id="200" w:name="_Toc492590392"/>
      <w:bookmarkStart w:id="201" w:name="_Toc481576260"/>
      <w:bookmarkStart w:id="202" w:name="_Toc477891859"/>
      <w:bookmarkStart w:id="203" w:name="_Toc477891769"/>
      <w:bookmarkStart w:id="204" w:name="_Toc462653938"/>
      <w:bookmarkStart w:id="205" w:name="_Toc454301156"/>
      <w:bookmarkStart w:id="206" w:name="_Toc453696503"/>
      <w:r w:rsidRPr="00004D06">
        <w:rPr>
          <w:rFonts w:ascii="Palatino Linotype" w:hAnsi="Palatino Linotype"/>
          <w:b/>
          <w:color w:val="000000"/>
          <w:highlight w:val="yellow"/>
        </w:rPr>
        <w:t>Constancias de No Inhabilitación, del personal que causó alta del 1 al 10 de enero de 2022.</w:t>
      </w:r>
    </w:p>
    <w:p w:rsidR="007C2591" w:rsidRPr="00004D06" w:rsidRDefault="007C2591" w:rsidP="007C2591">
      <w:pPr>
        <w:pStyle w:val="Prrafodelista"/>
        <w:spacing w:line="360" w:lineRule="auto"/>
        <w:jc w:val="both"/>
        <w:rPr>
          <w:rFonts w:ascii="Palatino Linotype" w:hAnsi="Palatino Linotype" w:cs="Arial"/>
          <w:b/>
          <w:highlight w:val="yellow"/>
        </w:rPr>
      </w:pPr>
    </w:p>
    <w:p w:rsidR="007C2591" w:rsidRDefault="007C2591" w:rsidP="007C2591">
      <w:pPr>
        <w:spacing w:line="360" w:lineRule="auto"/>
        <w:jc w:val="both"/>
        <w:rPr>
          <w:rFonts w:ascii="Palatino Linotype" w:eastAsia="Calibri" w:hAnsi="Palatino Linotype" w:cs="Arial"/>
          <w:b/>
        </w:rPr>
      </w:pPr>
      <w:r w:rsidRPr="00004D06">
        <w:rPr>
          <w:rFonts w:ascii="Palatino Linotype" w:eastAsia="Calibri" w:hAnsi="Palatino Linotype" w:cs="Arial"/>
          <w:highlight w:val="yellow"/>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04D06">
        <w:rPr>
          <w:rFonts w:ascii="Palatino Linotype" w:eastAsia="Calibri" w:hAnsi="Palatino Linotype" w:cs="Arial"/>
          <w:b/>
          <w:highlight w:val="yellow"/>
        </w:rPr>
        <w:t>EL RECURRENTE.</w:t>
      </w:r>
    </w:p>
    <w:p w:rsidR="007C2591" w:rsidRDefault="007C2591" w:rsidP="007C2591">
      <w:pPr>
        <w:spacing w:line="360" w:lineRule="auto"/>
        <w:jc w:val="both"/>
        <w:rPr>
          <w:rFonts w:ascii="Palatino Linotype" w:eastAsia="Calibri" w:hAnsi="Palatino Linotype" w:cs="Arial"/>
          <w:b/>
        </w:rPr>
      </w:pPr>
    </w:p>
    <w:p w:rsidR="007C2591" w:rsidRPr="003A3D95" w:rsidRDefault="007C2591" w:rsidP="007C2591">
      <w:pPr>
        <w:tabs>
          <w:tab w:val="left" w:pos="993"/>
        </w:tabs>
        <w:spacing w:line="360" w:lineRule="auto"/>
        <w:ind w:right="-28"/>
        <w:jc w:val="both"/>
        <w:rPr>
          <w:rFonts w:ascii="Palatino Linotype" w:hAnsi="Palatino Linotype" w:cs="Tahoma"/>
          <w:bCs/>
          <w:iCs/>
          <w:szCs w:val="22"/>
        </w:rPr>
      </w:pPr>
      <w:r w:rsidRPr="003A3D95">
        <w:rPr>
          <w:rFonts w:ascii="Palatino Linotype" w:hAnsi="Palatino Linotype" w:cs="Tahoma"/>
          <w:bCs/>
          <w:iCs/>
          <w:szCs w:val="22"/>
        </w:rPr>
        <w:lastRenderedPageBreak/>
        <w:t xml:space="preserve">Para el caso de que el </w:t>
      </w:r>
      <w:r w:rsidRPr="003A3D95">
        <w:rPr>
          <w:rFonts w:ascii="Palatino Linotype" w:hAnsi="Palatino Linotype" w:cs="Tahoma"/>
          <w:b/>
          <w:bCs/>
          <w:iCs/>
          <w:szCs w:val="22"/>
        </w:rPr>
        <w:t>SUJETO OBLIGADO</w:t>
      </w:r>
      <w:r w:rsidRPr="003A3D95">
        <w:rPr>
          <w:rFonts w:ascii="Palatino Linotype" w:hAnsi="Palatino Linotype" w:cs="Tahoma"/>
          <w:bCs/>
          <w:iCs/>
          <w:szCs w:val="22"/>
        </w:rPr>
        <w:t xml:space="preserve"> derivado de la</w:t>
      </w:r>
      <w:r w:rsidR="00E01E22">
        <w:rPr>
          <w:rFonts w:ascii="Palatino Linotype" w:hAnsi="Palatino Linotype" w:cs="Tahoma"/>
          <w:bCs/>
          <w:iCs/>
          <w:szCs w:val="22"/>
        </w:rPr>
        <w:t xml:space="preserve"> nueva</w:t>
      </w:r>
      <w:r w:rsidRPr="003A3D95">
        <w:rPr>
          <w:rFonts w:ascii="Palatino Linotype" w:hAnsi="Palatino Linotype" w:cs="Tahoma"/>
          <w:bCs/>
          <w:iCs/>
          <w:szCs w:val="22"/>
        </w:rPr>
        <w:t xml:space="preserve"> búsqueda</w:t>
      </w:r>
      <w:r w:rsidR="00E01E22">
        <w:rPr>
          <w:rFonts w:ascii="Palatino Linotype" w:hAnsi="Palatino Linotype" w:cs="Tahoma"/>
          <w:bCs/>
          <w:iCs/>
          <w:szCs w:val="22"/>
        </w:rPr>
        <w:t xml:space="preserve"> exhaustiva y razonable,</w:t>
      </w:r>
      <w:r w:rsidRPr="003A3D95">
        <w:rPr>
          <w:rFonts w:ascii="Palatino Linotype" w:hAnsi="Palatino Linotype" w:cs="Tahoma"/>
          <w:bCs/>
          <w:iCs/>
          <w:szCs w:val="22"/>
        </w:rPr>
        <w:t xml:space="preserve"> no localice </w:t>
      </w:r>
      <w:r>
        <w:rPr>
          <w:rFonts w:ascii="Palatino Linotype" w:hAnsi="Palatino Linotype" w:cs="Tahoma"/>
          <w:bCs/>
          <w:iCs/>
          <w:szCs w:val="22"/>
        </w:rPr>
        <w:t xml:space="preserve">la información que se ordena en el </w:t>
      </w:r>
      <w:r w:rsidRPr="003A3D95">
        <w:rPr>
          <w:rFonts w:ascii="Palatino Linotype" w:hAnsi="Palatino Linotype" w:cs="Tahoma"/>
          <w:b/>
          <w:bCs/>
          <w:iCs/>
          <w:szCs w:val="22"/>
        </w:rPr>
        <w:t>Inciso a)</w:t>
      </w:r>
      <w:r>
        <w:rPr>
          <w:rFonts w:ascii="Palatino Linotype" w:hAnsi="Palatino Linotype" w:cs="Tahoma"/>
          <w:bCs/>
          <w:iCs/>
          <w:szCs w:val="22"/>
        </w:rPr>
        <w:t>, deberá proporcionar el A</w:t>
      </w:r>
      <w:r w:rsidRPr="003A3D95">
        <w:rPr>
          <w:rFonts w:ascii="Palatino Linotype" w:hAnsi="Palatino Linotype" w:cs="Tahoma"/>
          <w:bCs/>
          <w:iCs/>
          <w:szCs w:val="22"/>
        </w:rPr>
        <w:t xml:space="preserve">cuerdo del Comité de Transparencia, donde </w:t>
      </w:r>
      <w:r w:rsidR="002A02C5">
        <w:rPr>
          <w:rFonts w:ascii="Palatino Linotype" w:hAnsi="Palatino Linotype" w:cs="Tahoma"/>
          <w:bCs/>
          <w:iCs/>
          <w:szCs w:val="22"/>
        </w:rPr>
        <w:t>declare</w:t>
      </w:r>
      <w:r w:rsidRPr="003A3D95">
        <w:rPr>
          <w:rFonts w:ascii="Palatino Linotype" w:hAnsi="Palatino Linotype" w:cs="Tahoma"/>
          <w:bCs/>
          <w:iCs/>
          <w:szCs w:val="22"/>
        </w:rPr>
        <w:t xml:space="preserve"> la inexistencia de la información, de conformidad con lo previsto en los artículos 19, párrafo tercero y 169 de la Ley de Transparencia y Acceso a la Información Pública del</w:t>
      </w:r>
      <w:r>
        <w:rPr>
          <w:rFonts w:ascii="Palatino Linotype" w:hAnsi="Palatino Linotype" w:cs="Tahoma"/>
          <w:bCs/>
          <w:iCs/>
          <w:szCs w:val="22"/>
        </w:rPr>
        <w:t xml:space="preserve"> Estado de México y Municipios</w:t>
      </w:r>
      <w:r w:rsidR="00E01E22">
        <w:rPr>
          <w:rFonts w:ascii="Palatino Linotype" w:hAnsi="Palatino Linotype" w:cs="Tahoma"/>
          <w:bCs/>
          <w:iCs/>
          <w:szCs w:val="22"/>
        </w:rPr>
        <w:t>.</w:t>
      </w:r>
      <w:r w:rsidRPr="003A3D95">
        <w:rPr>
          <w:rFonts w:ascii="Palatino Linotype" w:hAnsi="Palatino Linotype" w:cs="Tahoma"/>
          <w:bCs/>
          <w:iCs/>
          <w:szCs w:val="22"/>
        </w:rPr>
        <w:t xml:space="preserve"> </w:t>
      </w:r>
    </w:p>
    <w:p w:rsidR="007C2591" w:rsidRDefault="007C2591" w:rsidP="007C2591">
      <w:pPr>
        <w:spacing w:line="360" w:lineRule="auto"/>
        <w:jc w:val="both"/>
        <w:rPr>
          <w:rFonts w:ascii="Palatino Linotype" w:eastAsia="Calibri" w:hAnsi="Palatino Linotype" w:cs="Arial"/>
          <w:b/>
        </w:rPr>
      </w:pPr>
    </w:p>
    <w:p w:rsidR="007C2591" w:rsidRDefault="007C2591" w:rsidP="007C2591">
      <w:pPr>
        <w:spacing w:line="360" w:lineRule="auto"/>
        <w:jc w:val="both"/>
        <w:rPr>
          <w:rFonts w:ascii="Palatino Linotype" w:hAnsi="Palatino Linotype"/>
          <w:shd w:val="clear" w:color="auto" w:fill="FFFFFF"/>
        </w:rPr>
      </w:pPr>
      <w:bookmarkStart w:id="207" w:name="_Toc511647819"/>
      <w:bookmarkStart w:id="208" w:name="_Toc511647758"/>
      <w:r>
        <w:rPr>
          <w:rFonts w:ascii="Palatino Linotype" w:hAnsi="Palatino Linotype" w:cs="Arial"/>
          <w:b/>
        </w:rPr>
        <w:t>TERCERO</w:t>
      </w:r>
      <w:r>
        <w:rPr>
          <w:rFonts w:ascii="Palatino Linotype" w:hAnsi="Palatino Linotype" w:cs="Arial"/>
          <w:lang w:val="es-ES"/>
        </w:rPr>
        <w:t>.</w:t>
      </w:r>
      <w:bookmarkEnd w:id="199"/>
      <w:bookmarkEnd w:id="207"/>
      <w:bookmarkEnd w:id="208"/>
      <w:r>
        <w:rPr>
          <w:rFonts w:ascii="Palatino Linotype" w:hAnsi="Palatino Linotype"/>
          <w:b/>
        </w:rPr>
        <w:t xml:space="preserve"> </w:t>
      </w:r>
      <w:bookmarkEnd w:id="200"/>
      <w:bookmarkEnd w:id="201"/>
      <w:bookmarkEnd w:id="202"/>
      <w:bookmarkEnd w:id="203"/>
      <w:bookmarkEnd w:id="204"/>
      <w:bookmarkEnd w:id="205"/>
      <w:bookmarkEnd w:id="206"/>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Pr>
          <w:rFonts w:ascii="Palatino Linotype" w:hAnsi="Palatino Linotype"/>
          <w:shd w:val="clear" w:color="auto" w:fill="FFFFFF"/>
        </w:rPr>
        <w:t xml:space="preserve">vigente, dé cumplimiento a lo ordenado dentro del plazo de </w:t>
      </w:r>
      <w:r>
        <w:rPr>
          <w:rFonts w:ascii="Palatino Linotype" w:hAnsi="Palatino Linotype"/>
          <w:b/>
          <w:shd w:val="clear" w:color="auto" w:fill="FFFFFF"/>
        </w:rPr>
        <w:t>diez días hábiles</w:t>
      </w:r>
      <w:r>
        <w:rPr>
          <w:rFonts w:ascii="Palatino Linotype" w:hAnsi="Palatino Linotype"/>
          <w:shd w:val="clear" w:color="auto" w:fill="FFFFFF"/>
        </w:rPr>
        <w:t>, debiendo rendir a este Instituto el informe de cumplimiento de la resolución en un plazo de tres días hábiles posteriores.</w:t>
      </w:r>
    </w:p>
    <w:p w:rsidR="007C2591" w:rsidRDefault="007C2591" w:rsidP="007C2591">
      <w:pPr>
        <w:spacing w:line="360" w:lineRule="auto"/>
        <w:jc w:val="both"/>
        <w:rPr>
          <w:rFonts w:ascii="Palatino Linotype" w:hAnsi="Palatino Linotype" w:cs="Arial"/>
          <w:b/>
          <w:sz w:val="20"/>
        </w:rPr>
      </w:pPr>
    </w:p>
    <w:p w:rsidR="007C2591" w:rsidRDefault="007C2591" w:rsidP="007C2591">
      <w:pPr>
        <w:spacing w:line="360" w:lineRule="auto"/>
        <w:jc w:val="both"/>
        <w:rPr>
          <w:rFonts w:ascii="Palatino Linotype" w:eastAsia="Calibri" w:hAnsi="Palatino Linotype" w:cs="Arial"/>
          <w:bCs/>
        </w:rPr>
      </w:pPr>
      <w:r>
        <w:rPr>
          <w:rFonts w:ascii="Palatino Linotype" w:hAnsi="Palatino Linotype" w:cs="Arial"/>
          <w:b/>
        </w:rPr>
        <w:t xml:space="preserve">CUARTO. </w:t>
      </w:r>
      <w:r>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Pr>
          <w:rFonts w:ascii="Palatino Linotype" w:eastAsia="Calibri" w:hAnsi="Palatino Linotype" w:cs="Arial"/>
          <w:b/>
          <w:bCs/>
        </w:rPr>
        <w:t>SUJETO OBLIGADO</w:t>
      </w:r>
      <w:r>
        <w:rPr>
          <w:rFonts w:ascii="Palatino Linotype" w:eastAsia="Calibri" w:hAnsi="Palatino Linotype" w:cs="Arial"/>
          <w:bCs/>
        </w:rPr>
        <w:t xml:space="preserve"> de manera fundada y motivada, podrá solicitar una ampliación de plazo para el cumplimiento de la presente resolución.</w:t>
      </w:r>
    </w:p>
    <w:p w:rsidR="007C2591" w:rsidRDefault="007C2591" w:rsidP="007C2591">
      <w:pPr>
        <w:tabs>
          <w:tab w:val="left" w:pos="8080"/>
        </w:tabs>
        <w:spacing w:before="240" w:line="360" w:lineRule="auto"/>
        <w:ind w:right="49"/>
        <w:jc w:val="both"/>
        <w:rPr>
          <w:rFonts w:ascii="Palatino Linotype" w:hAnsi="Palatino Linotype" w:cs="Arial"/>
          <w:b/>
          <w:lang w:val="es-ES"/>
        </w:rPr>
      </w:pPr>
      <w:bookmarkStart w:id="209" w:name="_Toc511647820"/>
      <w:bookmarkStart w:id="210" w:name="_Toc511647759"/>
      <w:bookmarkStart w:id="211" w:name="_Toc503891611"/>
      <w:bookmarkStart w:id="212" w:name="_Toc492590393"/>
      <w:r>
        <w:rPr>
          <w:rFonts w:ascii="Palatino Linotype" w:hAnsi="Palatino Linotype"/>
          <w:b/>
        </w:rPr>
        <w:t xml:space="preserve">QUINTO. </w:t>
      </w:r>
      <w:r>
        <w:rPr>
          <w:rFonts w:ascii="Palatino Linotype" w:hAnsi="Palatino Linotype"/>
        </w:rPr>
        <w:t>Notifíquese</w:t>
      </w:r>
      <w:bookmarkEnd w:id="209"/>
      <w:bookmarkEnd w:id="210"/>
      <w:bookmarkEnd w:id="211"/>
      <w:bookmarkEnd w:id="212"/>
      <w:r>
        <w:rPr>
          <w:rFonts w:ascii="Palatino Linotype" w:hAnsi="Palatino Linotype"/>
        </w:rPr>
        <w:t xml:space="preserve"> a </w:t>
      </w:r>
      <w:r>
        <w:rPr>
          <w:rFonts w:ascii="Palatino Linotype" w:hAnsi="Palatino Linotype"/>
          <w:b/>
        </w:rPr>
        <w:t>EL RECURRENTE</w:t>
      </w:r>
      <w:r>
        <w:rPr>
          <w:rFonts w:ascii="Palatino Linotype" w:hAnsi="Palatino Linotype"/>
        </w:rPr>
        <w:t xml:space="preserve"> la presente</w:t>
      </w:r>
      <w:r>
        <w:rPr>
          <w:rFonts w:ascii="Palatino Linotype" w:hAnsi="Palatino Linotype"/>
          <w:lang w:val="es-ES"/>
        </w:rPr>
        <w:t xml:space="preserve"> resolución, vía SAIMEX.</w:t>
      </w:r>
    </w:p>
    <w:p w:rsidR="007C2591" w:rsidRDefault="007C2591" w:rsidP="007C2591">
      <w:pPr>
        <w:shd w:val="clear" w:color="auto" w:fill="FFFFFF"/>
        <w:spacing w:before="240" w:after="360" w:line="360" w:lineRule="auto"/>
        <w:jc w:val="both"/>
        <w:rPr>
          <w:rFonts w:ascii="Palatino Linotype" w:hAnsi="Palatino Linotype"/>
          <w:lang w:val="es-ES"/>
        </w:rPr>
      </w:pPr>
      <w:r>
        <w:rPr>
          <w:rFonts w:ascii="Palatino Linotype" w:eastAsia="Calibri" w:hAnsi="Palatino Linotype"/>
          <w:b/>
          <w:lang w:eastAsia="en-US"/>
        </w:rPr>
        <w:t>SEXTO.</w:t>
      </w:r>
      <w:r>
        <w:rPr>
          <w:rFonts w:ascii="Palatino Linotype" w:eastAsia="Calibri" w:hAnsi="Palatino Linotype"/>
          <w:lang w:eastAsia="en-US"/>
        </w:rPr>
        <w:t xml:space="preserve"> </w:t>
      </w:r>
      <w:r>
        <w:rPr>
          <w:rFonts w:ascii="Palatino Linotype" w:hAnsi="Palatino Linotype"/>
          <w:lang w:val="es-ES"/>
        </w:rPr>
        <w:t xml:space="preserve">Se hace del conocimiento de </w:t>
      </w:r>
      <w:r>
        <w:rPr>
          <w:rFonts w:ascii="Palatino Linotype" w:hAnsi="Palatino Linotype"/>
          <w:b/>
          <w:lang w:val="es-ES"/>
        </w:rPr>
        <w:t>EL RECURRENTE</w:t>
      </w:r>
      <w:r>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w:t>
      </w:r>
      <w:r>
        <w:rPr>
          <w:rFonts w:ascii="Palatino Linotype" w:hAnsi="Palatino Linotype"/>
          <w:lang w:val="es-ES"/>
        </w:rPr>
        <w:lastRenderedPageBreak/>
        <w:t>resolución le cause algún perjuicio podrá impugnarla </w:t>
      </w:r>
      <w:r>
        <w:rPr>
          <w:rFonts w:ascii="Palatino Linotype" w:hAnsi="Palatino Linotype"/>
          <w:bCs/>
          <w:lang w:val="es-ES"/>
        </w:rPr>
        <w:t>vía Juicio de Amparo</w:t>
      </w:r>
      <w:r>
        <w:rPr>
          <w:rFonts w:ascii="Palatino Linotype" w:hAnsi="Palatino Linotype"/>
          <w:lang w:val="es-ES"/>
        </w:rPr>
        <w:t> en los términos de las leyes aplicables.</w:t>
      </w:r>
    </w:p>
    <w:p w:rsidR="00B66B10" w:rsidRDefault="00B66B10" w:rsidP="00B66B10">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TRIGÉSIMA PRIMERA </w:t>
      </w:r>
      <w:r w:rsidRPr="00A0054B">
        <w:rPr>
          <w:rFonts w:ascii="Palatino Linotype" w:hAnsi="Palatino Linotype"/>
        </w:rPr>
        <w:t xml:space="preserve">SESIÓN ORDINARIA CELEBRADA EL </w:t>
      </w:r>
      <w:r>
        <w:rPr>
          <w:rFonts w:ascii="Palatino Linotype" w:hAnsi="Palatino Linotype"/>
        </w:rPr>
        <w:t>TREINTA Y UNO (31)</w:t>
      </w:r>
      <w:r w:rsidRPr="00A0054B">
        <w:rPr>
          <w:rFonts w:ascii="Palatino Linotype" w:hAnsi="Palatino Linotype"/>
        </w:rPr>
        <w:t xml:space="preserve"> DE </w:t>
      </w:r>
      <w:r>
        <w:rPr>
          <w:rFonts w:ascii="Palatino Linotype" w:hAnsi="Palatino Linotype"/>
        </w:rPr>
        <w:t>AGOSTO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bookmarkStart w:id="213" w:name="_GoBack"/>
      <w:bookmarkEnd w:id="213"/>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015C80">
      <w:headerReference w:type="even" r:id="rId10"/>
      <w:headerReference w:type="default" r:id="rId11"/>
      <w:footerReference w:type="default" r:id="rId12"/>
      <w:headerReference w:type="first" r:id="rId13"/>
      <w:footerReference w:type="first" r:id="rId14"/>
      <w:pgSz w:w="12240" w:h="15840"/>
      <w:pgMar w:top="2410"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B7" w:rsidRDefault="00DB07B7" w:rsidP="003B7751">
      <w:r>
        <w:separator/>
      </w:r>
    </w:p>
  </w:endnote>
  <w:endnote w:type="continuationSeparator" w:id="0">
    <w:p w:rsidR="00DB07B7" w:rsidRDefault="00DB07B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B10">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6B10">
              <w:rPr>
                <w:rFonts w:ascii="Palatino Linotype" w:hAnsi="Palatino Linotype"/>
                <w:bCs/>
                <w:noProof/>
                <w:sz w:val="20"/>
              </w:rPr>
              <w:t>43</w:t>
            </w:r>
            <w:r>
              <w:rPr>
                <w:rFonts w:ascii="Palatino Linotype" w:hAnsi="Palatino Linotype"/>
                <w:bCs/>
                <w:noProof/>
                <w:sz w:val="20"/>
              </w:rPr>
              <w:fldChar w:fldCharType="end"/>
            </w:r>
          </w:p>
        </w:sdtContent>
      </w:sdt>
    </w:sdtContent>
  </w:sdt>
  <w:p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B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66B10">
      <w:rPr>
        <w:rFonts w:ascii="Palatino Linotype" w:hAnsi="Palatino Linotype"/>
        <w:bCs/>
        <w:noProof/>
        <w:sz w:val="20"/>
      </w:rPr>
      <w:t>43</w:t>
    </w:r>
    <w:r>
      <w:rPr>
        <w:rFonts w:ascii="Palatino Linotype" w:hAnsi="Palatino Linotype"/>
        <w:bCs/>
        <w:noProof/>
        <w:sz w:val="20"/>
      </w:rPr>
      <w:fldChar w:fldCharType="end"/>
    </w:r>
  </w:p>
  <w:p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B7" w:rsidRDefault="00DB07B7" w:rsidP="003B7751">
      <w:r>
        <w:separator/>
      </w:r>
    </w:p>
  </w:footnote>
  <w:footnote w:type="continuationSeparator" w:id="0">
    <w:p w:rsidR="00DB07B7" w:rsidRDefault="00DB07B7" w:rsidP="003B7751">
      <w:r>
        <w:continuationSeparator/>
      </w:r>
    </w:p>
  </w:footnote>
  <w:footnote w:id="1">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7C2591" w:rsidRDefault="007C2591" w:rsidP="007C259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7C2591" w:rsidRDefault="007C2591" w:rsidP="007C2591">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rsidR="007C2591" w:rsidRDefault="007C2591" w:rsidP="007C259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7C2591" w:rsidRDefault="007C2591" w:rsidP="007C259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C2591" w:rsidRDefault="007C2591" w:rsidP="007C259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C2591" w:rsidRDefault="007C2591" w:rsidP="007C259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rsidR="007C2591" w:rsidRDefault="007C2591" w:rsidP="007C259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9">
    <w:p w:rsidR="007C2591" w:rsidRDefault="007C2591" w:rsidP="007C259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7C2591" w:rsidRDefault="007C2591" w:rsidP="007C2591">
      <w:pPr>
        <w:pStyle w:val="Textonotapie"/>
        <w:jc w:val="both"/>
        <w:rPr>
          <w:rFonts w:ascii="Palatino Linotype" w:hAnsi="Palatino Linotype"/>
          <w:sz w:val="18"/>
        </w:rPr>
      </w:pPr>
      <w:r>
        <w:rPr>
          <w:rFonts w:ascii="Palatino Linotype" w:hAnsi="Palatino Linotype"/>
          <w:sz w:val="18"/>
        </w:rPr>
        <w:t xml:space="preserve"> (…)</w:t>
      </w:r>
    </w:p>
    <w:p w:rsidR="007C2591" w:rsidRDefault="007C2591" w:rsidP="007C259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Default="00DB07B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rsidTr="006A04B6">
      <w:trPr>
        <w:trHeight w:val="227"/>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403A" w:rsidRPr="00485ED8" w:rsidRDefault="00EC649B" w:rsidP="00EC649B">
          <w:pPr>
            <w:pStyle w:val="Encabezado"/>
            <w:rPr>
              <w:rFonts w:ascii="Palatino Linotype" w:hAnsi="Palatino Linotype"/>
              <w:b/>
              <w:sz w:val="22"/>
              <w:szCs w:val="22"/>
            </w:rPr>
          </w:pPr>
          <w:r>
            <w:rPr>
              <w:rFonts w:ascii="Palatino Linotype" w:hAnsi="Palatino Linotype" w:cs="Arial"/>
              <w:b/>
              <w:bCs/>
              <w:sz w:val="22"/>
              <w:szCs w:val="22"/>
              <w:lang w:eastAsia="es-MX"/>
            </w:rPr>
            <w:t>02123</w:t>
          </w:r>
          <w:r w:rsidR="00D4403A" w:rsidRPr="00485ED8">
            <w:rPr>
              <w:rFonts w:ascii="Palatino Linotype" w:hAnsi="Palatino Linotype" w:cs="Arial"/>
              <w:b/>
              <w:bCs/>
              <w:sz w:val="22"/>
              <w:szCs w:val="22"/>
              <w:lang w:eastAsia="es-MX"/>
            </w:rPr>
            <w:t>/INFOEM/IP/RR/202</w:t>
          </w:r>
          <w:r w:rsidR="00D4403A">
            <w:rPr>
              <w:rFonts w:ascii="Palatino Linotype" w:hAnsi="Palatino Linotype" w:cs="Arial"/>
              <w:b/>
              <w:bCs/>
              <w:sz w:val="22"/>
              <w:szCs w:val="22"/>
              <w:lang w:eastAsia="es-MX"/>
            </w:rPr>
            <w:t>2</w:t>
          </w:r>
        </w:p>
      </w:tc>
    </w:tr>
    <w:tr w:rsidR="00D4403A" w:rsidTr="006A04B6">
      <w:trPr>
        <w:trHeight w:val="2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403A" w:rsidRPr="00485ED8" w:rsidRDefault="00297994" w:rsidP="0032678A">
          <w:pPr>
            <w:pStyle w:val="Encabezado"/>
            <w:jc w:val="both"/>
            <w:rPr>
              <w:rFonts w:ascii="Palatino Linotype" w:hAnsi="Palatino Linotype"/>
              <w:b/>
              <w:sz w:val="22"/>
              <w:szCs w:val="22"/>
            </w:rPr>
          </w:pPr>
          <w:r w:rsidRPr="00297994">
            <w:rPr>
              <w:rFonts w:ascii="Palatino Linotype" w:hAnsi="Palatino Linotype"/>
              <w:b/>
              <w:bCs/>
              <w:color w:val="000000"/>
              <w:sz w:val="22"/>
              <w:szCs w:val="22"/>
            </w:rPr>
            <w:t xml:space="preserve">Ayuntamiento de </w:t>
          </w:r>
          <w:r w:rsidR="0032678A">
            <w:rPr>
              <w:rFonts w:ascii="Palatino Linotype" w:hAnsi="Palatino Linotype"/>
              <w:b/>
              <w:bCs/>
              <w:color w:val="000000"/>
              <w:sz w:val="22"/>
              <w:szCs w:val="22"/>
            </w:rPr>
            <w:t>Metepec</w:t>
          </w:r>
        </w:p>
      </w:tc>
    </w:tr>
    <w:tr w:rsidR="00D4403A" w:rsidTr="006A04B6">
      <w:trPr>
        <w:trHeight w:val="3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403A" w:rsidRPr="00AE046A" w:rsidRDefault="00DB07B7"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rsidTr="006A04B6">
      <w:trPr>
        <w:trHeight w:val="227"/>
      </w:trPr>
      <w:tc>
        <w:tcPr>
          <w:tcW w:w="2977" w:type="dxa"/>
          <w:vAlign w:val="center"/>
          <w:hideMark/>
        </w:tcPr>
        <w:p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403A" w:rsidRPr="00485ED8" w:rsidRDefault="0067027F" w:rsidP="0067027F">
          <w:pPr>
            <w:pStyle w:val="Encabezado"/>
            <w:rPr>
              <w:rFonts w:ascii="Palatino Linotype" w:hAnsi="Palatino Linotype"/>
              <w:b/>
              <w:sz w:val="22"/>
              <w:szCs w:val="22"/>
            </w:rPr>
          </w:pPr>
          <w:r>
            <w:rPr>
              <w:rFonts w:ascii="Palatino Linotype" w:hAnsi="Palatino Linotype" w:cs="Arial"/>
              <w:b/>
              <w:bCs/>
              <w:sz w:val="22"/>
              <w:szCs w:val="22"/>
              <w:lang w:eastAsia="es-MX"/>
            </w:rPr>
            <w:t>02123</w:t>
          </w:r>
          <w:r w:rsidR="00F71FED" w:rsidRPr="00F71FED">
            <w:rPr>
              <w:rFonts w:ascii="Palatino Linotype" w:hAnsi="Palatino Linotype" w:cs="Arial"/>
              <w:b/>
              <w:bCs/>
              <w:sz w:val="22"/>
              <w:szCs w:val="22"/>
              <w:lang w:eastAsia="es-MX"/>
            </w:rPr>
            <w:t>/INFOEM/IP/RR/2022</w:t>
          </w:r>
        </w:p>
      </w:tc>
    </w:tr>
    <w:tr w:rsidR="00D4403A" w:rsidTr="006A04B6">
      <w:trPr>
        <w:trHeight w:val="242"/>
      </w:trPr>
      <w:tc>
        <w:tcPr>
          <w:tcW w:w="2977" w:type="dxa"/>
          <w:vAlign w:val="center"/>
          <w:hideMark/>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403A" w:rsidRPr="00B75F20" w:rsidRDefault="00D4403A" w:rsidP="009F09BC">
          <w:pPr>
            <w:pStyle w:val="Encabezado"/>
            <w:tabs>
              <w:tab w:val="left" w:pos="521"/>
            </w:tabs>
            <w:rPr>
              <w:rFonts w:ascii="Palatino Linotype" w:hAnsi="Palatino Linotype"/>
              <w:b/>
              <w:sz w:val="22"/>
              <w:szCs w:val="22"/>
            </w:rPr>
          </w:pP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403A" w:rsidRPr="00674A46" w:rsidRDefault="001927C5" w:rsidP="009F09BC">
          <w:pPr>
            <w:pStyle w:val="Encabezado"/>
            <w:jc w:val="both"/>
            <w:rPr>
              <w:rFonts w:ascii="Palatino Linotype" w:hAnsi="Palatino Linotype"/>
              <w:b/>
              <w:sz w:val="22"/>
              <w:szCs w:val="22"/>
            </w:rPr>
          </w:pPr>
          <w:r w:rsidRPr="001927C5">
            <w:rPr>
              <w:rFonts w:ascii="Palatino Linotype" w:hAnsi="Palatino Linotype"/>
              <w:b/>
              <w:bCs/>
              <w:color w:val="000000"/>
              <w:sz w:val="22"/>
              <w:szCs w:val="22"/>
            </w:rPr>
            <w:t>Ayuntamiento de Metepec</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403A" w:rsidRPr="00C222C0" w:rsidRDefault="00DB07B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0337F73"/>
    <w:multiLevelType w:val="hybridMultilevel"/>
    <w:tmpl w:val="51E4F7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8"/>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4D06"/>
    <w:rsid w:val="000067B3"/>
    <w:rsid w:val="00010C43"/>
    <w:rsid w:val="00015C80"/>
    <w:rsid w:val="0001674C"/>
    <w:rsid w:val="00020780"/>
    <w:rsid w:val="000237A5"/>
    <w:rsid w:val="00030FBC"/>
    <w:rsid w:val="000373F6"/>
    <w:rsid w:val="00040869"/>
    <w:rsid w:val="00041972"/>
    <w:rsid w:val="00051287"/>
    <w:rsid w:val="00052A8F"/>
    <w:rsid w:val="000551FB"/>
    <w:rsid w:val="0008243D"/>
    <w:rsid w:val="00097AB8"/>
    <w:rsid w:val="000E1A02"/>
    <w:rsid w:val="000E4891"/>
    <w:rsid w:val="00112D7E"/>
    <w:rsid w:val="00113D9A"/>
    <w:rsid w:val="00114502"/>
    <w:rsid w:val="00126C85"/>
    <w:rsid w:val="001352F5"/>
    <w:rsid w:val="00140817"/>
    <w:rsid w:val="00160605"/>
    <w:rsid w:val="00161BBF"/>
    <w:rsid w:val="001634DC"/>
    <w:rsid w:val="001754D6"/>
    <w:rsid w:val="001927C5"/>
    <w:rsid w:val="001A1658"/>
    <w:rsid w:val="001A18E7"/>
    <w:rsid w:val="001A2A72"/>
    <w:rsid w:val="001C4290"/>
    <w:rsid w:val="001C4E9C"/>
    <w:rsid w:val="001D23C1"/>
    <w:rsid w:val="001D373F"/>
    <w:rsid w:val="001D5404"/>
    <w:rsid w:val="00223C06"/>
    <w:rsid w:val="00246A14"/>
    <w:rsid w:val="0025096A"/>
    <w:rsid w:val="00272CA2"/>
    <w:rsid w:val="00277FAC"/>
    <w:rsid w:val="002901F4"/>
    <w:rsid w:val="00291500"/>
    <w:rsid w:val="002947D2"/>
    <w:rsid w:val="002948D9"/>
    <w:rsid w:val="00297994"/>
    <w:rsid w:val="002A02C5"/>
    <w:rsid w:val="002A6CFA"/>
    <w:rsid w:val="002B32B4"/>
    <w:rsid w:val="002C0D3C"/>
    <w:rsid w:val="002C40FB"/>
    <w:rsid w:val="002C4997"/>
    <w:rsid w:val="002F7469"/>
    <w:rsid w:val="002F75F9"/>
    <w:rsid w:val="0030094A"/>
    <w:rsid w:val="00306BC0"/>
    <w:rsid w:val="00310233"/>
    <w:rsid w:val="00312281"/>
    <w:rsid w:val="00323FFD"/>
    <w:rsid w:val="0032678A"/>
    <w:rsid w:val="003437D9"/>
    <w:rsid w:val="003522EE"/>
    <w:rsid w:val="00353F1D"/>
    <w:rsid w:val="00372672"/>
    <w:rsid w:val="00375B0E"/>
    <w:rsid w:val="003833B3"/>
    <w:rsid w:val="003A15C8"/>
    <w:rsid w:val="003B15A3"/>
    <w:rsid w:val="003B7751"/>
    <w:rsid w:val="003C13F1"/>
    <w:rsid w:val="003C7D52"/>
    <w:rsid w:val="003D6BC7"/>
    <w:rsid w:val="003E66D2"/>
    <w:rsid w:val="00402466"/>
    <w:rsid w:val="00407FDA"/>
    <w:rsid w:val="004118FA"/>
    <w:rsid w:val="00425842"/>
    <w:rsid w:val="00437672"/>
    <w:rsid w:val="004525CB"/>
    <w:rsid w:val="00456CFF"/>
    <w:rsid w:val="0046393D"/>
    <w:rsid w:val="0046395B"/>
    <w:rsid w:val="00472376"/>
    <w:rsid w:val="00486BCF"/>
    <w:rsid w:val="00492B32"/>
    <w:rsid w:val="0049310C"/>
    <w:rsid w:val="004A4393"/>
    <w:rsid w:val="004C139A"/>
    <w:rsid w:val="004E4EE6"/>
    <w:rsid w:val="004E6CE4"/>
    <w:rsid w:val="004F34D1"/>
    <w:rsid w:val="005432D0"/>
    <w:rsid w:val="00546076"/>
    <w:rsid w:val="00547ACE"/>
    <w:rsid w:val="005504FC"/>
    <w:rsid w:val="005507B0"/>
    <w:rsid w:val="00554A21"/>
    <w:rsid w:val="00556E0A"/>
    <w:rsid w:val="00563F2E"/>
    <w:rsid w:val="0057514F"/>
    <w:rsid w:val="00582AC4"/>
    <w:rsid w:val="00592F5C"/>
    <w:rsid w:val="0059524C"/>
    <w:rsid w:val="005B076D"/>
    <w:rsid w:val="005B3B95"/>
    <w:rsid w:val="005C5021"/>
    <w:rsid w:val="005D2F1C"/>
    <w:rsid w:val="005D4C57"/>
    <w:rsid w:val="00614B85"/>
    <w:rsid w:val="006365DB"/>
    <w:rsid w:val="00647F7C"/>
    <w:rsid w:val="006569AA"/>
    <w:rsid w:val="00657639"/>
    <w:rsid w:val="0067027F"/>
    <w:rsid w:val="0068269C"/>
    <w:rsid w:val="00686187"/>
    <w:rsid w:val="006972C5"/>
    <w:rsid w:val="006A04B6"/>
    <w:rsid w:val="006A6390"/>
    <w:rsid w:val="006C54D7"/>
    <w:rsid w:val="006D15D0"/>
    <w:rsid w:val="006D6CC1"/>
    <w:rsid w:val="006E237E"/>
    <w:rsid w:val="006E7397"/>
    <w:rsid w:val="006E7C94"/>
    <w:rsid w:val="006F24A2"/>
    <w:rsid w:val="006F3EF7"/>
    <w:rsid w:val="00702E71"/>
    <w:rsid w:val="00705EFD"/>
    <w:rsid w:val="00711062"/>
    <w:rsid w:val="00716BCA"/>
    <w:rsid w:val="00720371"/>
    <w:rsid w:val="007210B9"/>
    <w:rsid w:val="0073654B"/>
    <w:rsid w:val="007371AC"/>
    <w:rsid w:val="00742823"/>
    <w:rsid w:val="00775EB2"/>
    <w:rsid w:val="00782A12"/>
    <w:rsid w:val="007851DB"/>
    <w:rsid w:val="00787A2E"/>
    <w:rsid w:val="007A6A1A"/>
    <w:rsid w:val="007B659C"/>
    <w:rsid w:val="007C095D"/>
    <w:rsid w:val="007C2591"/>
    <w:rsid w:val="007C3761"/>
    <w:rsid w:val="007E3AFE"/>
    <w:rsid w:val="007F5B58"/>
    <w:rsid w:val="00814271"/>
    <w:rsid w:val="00831B89"/>
    <w:rsid w:val="0083662A"/>
    <w:rsid w:val="00843EFF"/>
    <w:rsid w:val="0084683D"/>
    <w:rsid w:val="008526F4"/>
    <w:rsid w:val="00855290"/>
    <w:rsid w:val="008563C8"/>
    <w:rsid w:val="008573BF"/>
    <w:rsid w:val="0086288E"/>
    <w:rsid w:val="00862AD1"/>
    <w:rsid w:val="0086792A"/>
    <w:rsid w:val="00873EB6"/>
    <w:rsid w:val="008A699B"/>
    <w:rsid w:val="008B0637"/>
    <w:rsid w:val="008C0866"/>
    <w:rsid w:val="008C1ED7"/>
    <w:rsid w:val="008C71E7"/>
    <w:rsid w:val="008E330F"/>
    <w:rsid w:val="008E6050"/>
    <w:rsid w:val="008E6574"/>
    <w:rsid w:val="008F6D18"/>
    <w:rsid w:val="009072B7"/>
    <w:rsid w:val="00911A75"/>
    <w:rsid w:val="009126F1"/>
    <w:rsid w:val="009335F9"/>
    <w:rsid w:val="00933A28"/>
    <w:rsid w:val="00945135"/>
    <w:rsid w:val="009A1104"/>
    <w:rsid w:val="009A1604"/>
    <w:rsid w:val="009A2251"/>
    <w:rsid w:val="009B0D6B"/>
    <w:rsid w:val="009C30BF"/>
    <w:rsid w:val="009C50FF"/>
    <w:rsid w:val="009D5A32"/>
    <w:rsid w:val="009D65DE"/>
    <w:rsid w:val="009F09BC"/>
    <w:rsid w:val="00A054B6"/>
    <w:rsid w:val="00A23E82"/>
    <w:rsid w:val="00A26715"/>
    <w:rsid w:val="00A626EB"/>
    <w:rsid w:val="00A8787D"/>
    <w:rsid w:val="00AA0C54"/>
    <w:rsid w:val="00AD316E"/>
    <w:rsid w:val="00AD63B4"/>
    <w:rsid w:val="00AE7AEB"/>
    <w:rsid w:val="00AF4BBC"/>
    <w:rsid w:val="00AF4EB9"/>
    <w:rsid w:val="00B07BF8"/>
    <w:rsid w:val="00B24ADA"/>
    <w:rsid w:val="00B47955"/>
    <w:rsid w:val="00B54047"/>
    <w:rsid w:val="00B66B10"/>
    <w:rsid w:val="00B935FD"/>
    <w:rsid w:val="00B964BE"/>
    <w:rsid w:val="00BE1A21"/>
    <w:rsid w:val="00BF3FB5"/>
    <w:rsid w:val="00C0715F"/>
    <w:rsid w:val="00C105CC"/>
    <w:rsid w:val="00C14F2A"/>
    <w:rsid w:val="00C21FAE"/>
    <w:rsid w:val="00C23EB6"/>
    <w:rsid w:val="00C26D12"/>
    <w:rsid w:val="00C31F35"/>
    <w:rsid w:val="00C41B2B"/>
    <w:rsid w:val="00C4379D"/>
    <w:rsid w:val="00C54D99"/>
    <w:rsid w:val="00C5781C"/>
    <w:rsid w:val="00C57BFB"/>
    <w:rsid w:val="00C674FC"/>
    <w:rsid w:val="00C70E5B"/>
    <w:rsid w:val="00C85E64"/>
    <w:rsid w:val="00C87396"/>
    <w:rsid w:val="00C90814"/>
    <w:rsid w:val="00C91F0F"/>
    <w:rsid w:val="00C93764"/>
    <w:rsid w:val="00CA1063"/>
    <w:rsid w:val="00CA3A63"/>
    <w:rsid w:val="00CC5B2F"/>
    <w:rsid w:val="00CF0D2B"/>
    <w:rsid w:val="00CF1B6E"/>
    <w:rsid w:val="00D021A5"/>
    <w:rsid w:val="00D0395B"/>
    <w:rsid w:val="00D06ECC"/>
    <w:rsid w:val="00D16FC7"/>
    <w:rsid w:val="00D4403A"/>
    <w:rsid w:val="00D47231"/>
    <w:rsid w:val="00D6224B"/>
    <w:rsid w:val="00D81329"/>
    <w:rsid w:val="00DA6538"/>
    <w:rsid w:val="00DA6D37"/>
    <w:rsid w:val="00DA782E"/>
    <w:rsid w:val="00DB07B7"/>
    <w:rsid w:val="00DB753F"/>
    <w:rsid w:val="00DC1346"/>
    <w:rsid w:val="00E01E22"/>
    <w:rsid w:val="00E02175"/>
    <w:rsid w:val="00E069C1"/>
    <w:rsid w:val="00E118BA"/>
    <w:rsid w:val="00E11E5C"/>
    <w:rsid w:val="00E17429"/>
    <w:rsid w:val="00E43FC8"/>
    <w:rsid w:val="00E56172"/>
    <w:rsid w:val="00E5636B"/>
    <w:rsid w:val="00E566C9"/>
    <w:rsid w:val="00E56AF3"/>
    <w:rsid w:val="00E61DA9"/>
    <w:rsid w:val="00E75651"/>
    <w:rsid w:val="00E819F3"/>
    <w:rsid w:val="00E92E04"/>
    <w:rsid w:val="00EA3B95"/>
    <w:rsid w:val="00EC649B"/>
    <w:rsid w:val="00ED1D6B"/>
    <w:rsid w:val="00ED3A35"/>
    <w:rsid w:val="00ED6E75"/>
    <w:rsid w:val="00EF522A"/>
    <w:rsid w:val="00F03D89"/>
    <w:rsid w:val="00F24A04"/>
    <w:rsid w:val="00F30E97"/>
    <w:rsid w:val="00F35B0C"/>
    <w:rsid w:val="00F42ADB"/>
    <w:rsid w:val="00F71FED"/>
    <w:rsid w:val="00F7371C"/>
    <w:rsid w:val="00F81B92"/>
    <w:rsid w:val="00F946B5"/>
    <w:rsid w:val="00FC0A83"/>
    <w:rsid w:val="00FC5F3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57598">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3E4B-FB14-407B-9243-A9625708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43</Pages>
  <Words>8926</Words>
  <Characters>49097</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2022-08-24T23:18:00Z</dcterms:created>
  <dcterms:modified xsi:type="dcterms:W3CDTF">2022-08-31T17:55:00Z</dcterms:modified>
</cp:coreProperties>
</file>