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5C9B9" w14:textId="77777777" w:rsidR="00973055" w:rsidRDefault="001B6194">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dieciséis de febrero de dos mil veintidós. </w:t>
      </w:r>
    </w:p>
    <w:p w14:paraId="2D88A576" w14:textId="77777777" w:rsidR="00973055" w:rsidRDefault="001B6194" w:rsidP="004502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05989/INFOEM/IP/RR/2021, </w:t>
      </w:r>
      <w:r>
        <w:rPr>
          <w:rFonts w:ascii="Palatino Linotype" w:eastAsia="Palatino Linotype" w:hAnsi="Palatino Linotype" w:cs="Palatino Linotype"/>
        </w:rPr>
        <w:t>interpuesto por</w:t>
      </w:r>
      <w:r>
        <w:rPr>
          <w:rFonts w:ascii="Palatino Linotype" w:eastAsia="Palatino Linotype" w:hAnsi="Palatino Linotype" w:cs="Palatino Linotype"/>
          <w:b/>
        </w:rPr>
        <w:t xml:space="preserve"> </w:t>
      </w:r>
      <w:r w:rsidR="0045020F">
        <w:rPr>
          <w:rFonts w:ascii="Palatino Linotype" w:eastAsia="Palatino Linotype" w:hAnsi="Palatino Linotype" w:cs="Palatino Linotype"/>
          <w:b/>
          <w:sz w:val="22"/>
          <w:szCs w:val="22"/>
        </w:rPr>
        <w:t>XXXXX XXXXXXX XXXX</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Ecatepec de Morelos, </w:t>
      </w:r>
      <w:r>
        <w:rPr>
          <w:rFonts w:ascii="Palatino Linotype" w:eastAsia="Palatino Linotype" w:hAnsi="Palatino Linotype" w:cs="Palatino Linotype"/>
        </w:rPr>
        <w:t>en lo sucesi</w:t>
      </w:r>
      <w:r>
        <w:rPr>
          <w:rFonts w:ascii="Palatino Linotype" w:eastAsia="Palatino Linotype" w:hAnsi="Palatino Linotype" w:cs="Palatino Linotype"/>
        </w:rPr>
        <w:t xml:space="preserve">vo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 procede a dictar la presente resolución con base en los siguientes: </w:t>
      </w:r>
    </w:p>
    <w:p w14:paraId="6E405EE1" w14:textId="77777777" w:rsidR="00973055" w:rsidRPr="0045020F" w:rsidRDefault="001B6194">
      <w:pPr>
        <w:spacing w:before="240" w:after="240" w:line="360" w:lineRule="auto"/>
        <w:jc w:val="center"/>
        <w:rPr>
          <w:rFonts w:ascii="Palatino Linotype" w:eastAsia="Palatino Linotype" w:hAnsi="Palatino Linotype" w:cs="Palatino Linotype"/>
          <w:b/>
          <w:sz w:val="28"/>
          <w:szCs w:val="28"/>
          <w:lang w:val="pt-BR"/>
        </w:rPr>
      </w:pPr>
      <w:r w:rsidRPr="0045020F">
        <w:rPr>
          <w:rFonts w:ascii="Palatino Linotype" w:eastAsia="Palatino Linotype" w:hAnsi="Palatino Linotype" w:cs="Palatino Linotype"/>
          <w:b/>
          <w:lang w:val="pt-BR"/>
        </w:rPr>
        <w:t xml:space="preserve">I. </w:t>
      </w:r>
      <w:r w:rsidRPr="0045020F">
        <w:rPr>
          <w:rFonts w:ascii="Palatino Linotype" w:eastAsia="Palatino Linotype" w:hAnsi="Palatino Linotype" w:cs="Palatino Linotype"/>
          <w:b/>
          <w:lang w:val="pt-BR"/>
        </w:rPr>
        <w:tab/>
        <w:t>A N T E C E D E N T E S</w:t>
      </w:r>
    </w:p>
    <w:p w14:paraId="3684D4BA" w14:textId="77777777" w:rsidR="00973055" w:rsidRDefault="001B6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veintisiete de octubre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presentó, través del Si</w:t>
      </w:r>
      <w:r>
        <w:rPr>
          <w:rFonts w:ascii="Palatino Linotype" w:eastAsia="Palatino Linotype" w:hAnsi="Palatino Linotype" w:cs="Palatino Linotype"/>
        </w:rPr>
        <w:t xml:space="preserve">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w:t>
      </w:r>
      <w:r>
        <w:rPr>
          <w:rFonts w:ascii="Palatino Linotype" w:eastAsia="Palatino Linotype" w:hAnsi="Palatino Linotype" w:cs="Palatino Linotype"/>
          <w:b/>
        </w:rPr>
        <w:t xml:space="preserve">00769/ECATEPEC/IP/2021, </w:t>
      </w:r>
      <w:r>
        <w:rPr>
          <w:rFonts w:ascii="Palatino Linotype" w:eastAsia="Palatino Linotype" w:hAnsi="Palatino Linotype" w:cs="Palatino Linotype"/>
        </w:rPr>
        <w:t>mediante la cual requirió la información siguiente:</w:t>
      </w:r>
    </w:p>
    <w:p w14:paraId="20E1A822" w14:textId="77777777" w:rsidR="00973055" w:rsidRDefault="001B6194">
      <w:pPr>
        <w:spacing w:line="276" w:lineRule="auto"/>
        <w:ind w:left="900" w:right="918"/>
        <w:jc w:val="both"/>
        <w:rPr>
          <w:rFonts w:ascii="Palatino Linotype" w:eastAsia="Palatino Linotype" w:hAnsi="Palatino Linotype" w:cs="Palatino Linotype"/>
          <w:i/>
        </w:rPr>
      </w:pPr>
      <w:bookmarkStart w:id="0" w:name="_heading=h.gjdgxs" w:colFirst="0" w:colLast="0"/>
      <w:bookmarkEnd w:id="0"/>
      <w:r>
        <w:rPr>
          <w:rFonts w:ascii="Palatino Linotype" w:eastAsia="Palatino Linotype" w:hAnsi="Palatino Linotype" w:cs="Palatino Linotype"/>
        </w:rPr>
        <w:t>“</w:t>
      </w:r>
      <w:r>
        <w:rPr>
          <w:rFonts w:ascii="Palatino Linotype" w:eastAsia="Palatino Linotype" w:hAnsi="Palatino Linotype" w:cs="Palatino Linotype"/>
          <w:i/>
        </w:rPr>
        <w:t>se me entregue toda la información en versión pública de aquellos que hayan sido beneficiados con condonaciones y/o cancelaciones de créditos fiscales por parte de ese Ayuntamiento durante los años 2019, 2020 y 2021</w:t>
      </w:r>
      <w:r>
        <w:rPr>
          <w:rFonts w:ascii="Palatino Linotype" w:eastAsia="Palatino Linotype" w:hAnsi="Palatino Linotype" w:cs="Palatino Linotype"/>
        </w:rPr>
        <w:t>.” (sic)</w:t>
      </w:r>
    </w:p>
    <w:p w14:paraId="0BFBDB8C" w14:textId="77777777" w:rsidR="00973055" w:rsidRDefault="00973055">
      <w:pPr>
        <w:jc w:val="both"/>
        <w:rPr>
          <w:rFonts w:ascii="Palatino Linotype" w:eastAsia="Palatino Linotype" w:hAnsi="Palatino Linotype" w:cs="Palatino Linotype"/>
          <w:i/>
        </w:rPr>
      </w:pPr>
    </w:p>
    <w:p w14:paraId="5822505E" w14:textId="77777777" w:rsidR="00973055" w:rsidRDefault="001B6194">
      <w:pPr>
        <w:spacing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no adjuntó arch</w:t>
      </w:r>
      <w:r>
        <w:rPr>
          <w:rFonts w:ascii="Palatino Linotype" w:eastAsia="Palatino Linotype" w:hAnsi="Palatino Linotype" w:cs="Palatino Linotype"/>
        </w:rPr>
        <w:t>ivos a su solicitud.</w:t>
      </w:r>
    </w:p>
    <w:p w14:paraId="3771FD11" w14:textId="77777777" w:rsidR="00973055" w:rsidRDefault="001B6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2B0643A1" w14:textId="77777777" w:rsidR="00973055" w:rsidRDefault="001B6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diecinueve de noviembre de dos mil veintiuno, EL SUJETO OBLIGADO</w:t>
      </w:r>
      <w:r>
        <w:rPr>
          <w:rFonts w:ascii="Palatino Linotype" w:eastAsia="Palatino Linotype" w:hAnsi="Palatino Linotype" w:cs="Palatino Linotype"/>
        </w:rPr>
        <w:t xml:space="preserve"> envió respuesta a la solicitud de acceso a la información a través de </w:t>
      </w:r>
      <w:r>
        <w:rPr>
          <w:rFonts w:ascii="Palatino Linotype" w:eastAsia="Palatino Linotype" w:hAnsi="Palatino Linotype" w:cs="Palatino Linotype"/>
          <w:b/>
        </w:rPr>
        <w:t>SAIMEX,</w:t>
      </w:r>
      <w:r>
        <w:rPr>
          <w:rFonts w:ascii="Palatino Linotype" w:eastAsia="Palatino Linotype" w:hAnsi="Palatino Linotype" w:cs="Palatino Linotype"/>
        </w:rPr>
        <w:t xml:space="preserve"> sustancialmente en los tér</w:t>
      </w:r>
      <w:r>
        <w:rPr>
          <w:rFonts w:ascii="Palatino Linotype" w:eastAsia="Palatino Linotype" w:hAnsi="Palatino Linotype" w:cs="Palatino Linotype"/>
        </w:rPr>
        <w:t>minos siguientes:</w:t>
      </w:r>
    </w:p>
    <w:p w14:paraId="2A5D31C9" w14:textId="77777777" w:rsidR="00973055" w:rsidRDefault="001B6194">
      <w:pPr>
        <w:spacing w:before="240" w:after="240" w:line="276" w:lineRule="auto"/>
        <w:ind w:left="900" w:right="918"/>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w:t>
      </w:r>
      <w:r>
        <w:rPr>
          <w:rFonts w:ascii="Palatino Linotype" w:eastAsia="Palatino Linotype" w:hAnsi="Palatino Linotype" w:cs="Palatino Linotype"/>
          <w:i/>
        </w:rPr>
        <w:t xml:space="preserve"> contestamos que:</w:t>
      </w:r>
    </w:p>
    <w:p w14:paraId="544BABA2" w14:textId="77777777" w:rsidR="00973055" w:rsidRDefault="001B6194">
      <w:pPr>
        <w:spacing w:before="240" w:after="240" w:line="276" w:lineRule="auto"/>
        <w:ind w:left="900" w:right="918"/>
        <w:jc w:val="both"/>
        <w:rPr>
          <w:rFonts w:ascii="Palatino Linotype" w:eastAsia="Palatino Linotype" w:hAnsi="Palatino Linotype" w:cs="Palatino Linotype"/>
          <w:i/>
        </w:rPr>
      </w:pPr>
      <w:r>
        <w:rPr>
          <w:rFonts w:ascii="Palatino Linotype" w:eastAsia="Palatino Linotype" w:hAnsi="Palatino Linotype" w:cs="Palatino Linotype"/>
          <w:i/>
        </w:rPr>
        <w:t xml:space="preserve">El H. Ayuntamiento Constitucional de Ecatepec de Morelos hace de su conocimiento la respuesta emitida por: </w:t>
      </w:r>
      <w:r>
        <w:rPr>
          <w:rFonts w:ascii="Palatino Linotype" w:eastAsia="Palatino Linotype" w:hAnsi="Palatino Linotype" w:cs="Palatino Linotype"/>
          <w:i/>
        </w:rPr>
        <w:t> TESORERÍA MUNICIPAL Se anexa a la presente en formato PDF de respuesta emitida por las áreas antes mencionadas.</w:t>
      </w:r>
    </w:p>
    <w:p w14:paraId="760447DB" w14:textId="77777777" w:rsidR="00973055" w:rsidRDefault="001B6194">
      <w:pPr>
        <w:spacing w:before="240" w:after="240" w:line="276" w:lineRule="auto"/>
        <w:ind w:left="900" w:right="918"/>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1D458CE1" w14:textId="77777777" w:rsidR="00973055" w:rsidRDefault="001B6194">
      <w:pPr>
        <w:spacing w:before="240" w:after="240" w:line="276" w:lineRule="auto"/>
        <w:ind w:left="900" w:right="918"/>
        <w:jc w:val="both"/>
        <w:rPr>
          <w:rFonts w:ascii="Palatino Linotype" w:eastAsia="Palatino Linotype" w:hAnsi="Palatino Linotype" w:cs="Palatino Linotype"/>
          <w:i/>
        </w:rPr>
      </w:pPr>
      <w:r>
        <w:rPr>
          <w:rFonts w:ascii="Palatino Linotype" w:eastAsia="Palatino Linotype" w:hAnsi="Palatino Linotype" w:cs="Palatino Linotype"/>
          <w:i/>
        </w:rPr>
        <w:t xml:space="preserve">Lic. </w:t>
      </w:r>
      <w:r>
        <w:rPr>
          <w:rFonts w:ascii="Palatino Linotype" w:eastAsia="Palatino Linotype" w:hAnsi="Palatino Linotype" w:cs="Palatino Linotype"/>
          <w:i/>
        </w:rPr>
        <w:t>Brianda Eunice Iberri Estrada” (Sic)</w:t>
      </w:r>
    </w:p>
    <w:p w14:paraId="103A5202" w14:textId="77777777" w:rsidR="00973055" w:rsidRDefault="001B619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documento</w:t>
      </w:r>
      <w:r>
        <w:t xml:space="preserve"> </w:t>
      </w:r>
      <w:r>
        <w:rPr>
          <w:rFonts w:ascii="Palatino Linotype" w:eastAsia="Palatino Linotype" w:hAnsi="Palatino Linotype" w:cs="Palatino Linotype"/>
          <w:b/>
          <w:i/>
        </w:rPr>
        <w:t>796-.pdf</w:t>
      </w:r>
      <w:r>
        <w:rPr>
          <w:rFonts w:ascii="Palatino Linotype" w:eastAsia="Palatino Linotype" w:hAnsi="Palatino Linotype" w:cs="Palatino Linotype"/>
        </w:rPr>
        <w:t>., el cual será analizado en líneas posteriores.</w:t>
      </w:r>
    </w:p>
    <w:p w14:paraId="2868C808" w14:textId="77777777" w:rsidR="00973055" w:rsidRDefault="001B619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treinta de noviembre de dos mil veintiuno,</w:t>
      </w:r>
      <w:r>
        <w:rPr>
          <w:rFonts w:ascii="Palatino Linotype" w:eastAsia="Palatino Linotype" w:hAnsi="Palatino Linotype" w:cs="Palatino Linotype"/>
        </w:rPr>
        <w:t xml:space="preserve"> E</w:t>
      </w:r>
      <w:r>
        <w:rPr>
          <w:rFonts w:ascii="Palatino Linotype" w:eastAsia="Palatino Linotype" w:hAnsi="Palatino Linotype" w:cs="Palatino Linotype"/>
          <w:b/>
        </w:rPr>
        <w:t>L RECURRENTE</w:t>
      </w:r>
      <w:r>
        <w:rPr>
          <w:rFonts w:ascii="Palatino Linotype" w:eastAsia="Palatino Linotype" w:hAnsi="Palatino Linotype" w:cs="Palatino Linotype"/>
        </w:rPr>
        <w:t xml:space="preserve"> interpuso el recurso de revisión a través del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expuso lo siguiente:</w:t>
      </w:r>
    </w:p>
    <w:p w14:paraId="56CEA250" w14:textId="77777777" w:rsidR="00973055" w:rsidRDefault="001B6194">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5035B4DF" w14:textId="77777777" w:rsidR="00973055" w:rsidRDefault="001B6194">
      <w:pPr>
        <w:spacing w:line="360" w:lineRule="auto"/>
        <w:ind w:left="709" w:right="629"/>
        <w:jc w:val="both"/>
        <w:rPr>
          <w:rFonts w:ascii="Palatino Linotype" w:eastAsia="Palatino Linotype" w:hAnsi="Palatino Linotype" w:cs="Palatino Linotype"/>
          <w:i/>
        </w:rPr>
      </w:pPr>
      <w:r>
        <w:rPr>
          <w:rFonts w:ascii="Palatino Linotype" w:eastAsia="Palatino Linotype" w:hAnsi="Palatino Linotype" w:cs="Palatino Linotype"/>
          <w:i/>
        </w:rPr>
        <w:t>“la respuesta.” (sic)</w:t>
      </w:r>
    </w:p>
    <w:p w14:paraId="3768B8BD" w14:textId="77777777" w:rsidR="00973055" w:rsidRDefault="001B6194">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Razones o motivos de inconformidad: </w:t>
      </w:r>
    </w:p>
    <w:p w14:paraId="4783E973" w14:textId="77777777" w:rsidR="00973055" w:rsidRDefault="001B6194">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“me inconformo con la respuesta debido a que no se entrega la información completa y  además solo se refiere a un año, careciendo de la exhaustividad exigida por la le.” (Sic)</w:t>
      </w:r>
    </w:p>
    <w:p w14:paraId="2A9FC2DC" w14:textId="77777777" w:rsidR="00973055" w:rsidRDefault="00973055">
      <w:pPr>
        <w:spacing w:line="360" w:lineRule="auto"/>
        <w:jc w:val="both"/>
        <w:rPr>
          <w:rFonts w:ascii="Palatino Linotype" w:eastAsia="Palatino Linotype" w:hAnsi="Palatino Linotype" w:cs="Palatino Linotype"/>
          <w:sz w:val="2"/>
          <w:szCs w:val="2"/>
        </w:rPr>
      </w:pPr>
    </w:p>
    <w:p w14:paraId="4E0342D8" w14:textId="77777777" w:rsidR="00973055" w:rsidRDefault="001B6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185 fracción I de la Ley de Transparen</w:t>
      </w:r>
      <w:r>
        <w:rPr>
          <w:rFonts w:ascii="Palatino Linotype" w:eastAsia="Palatino Linotype" w:hAnsi="Palatino Linotype" w:cs="Palatino Linotype"/>
        </w:rPr>
        <w:t xml:space="preserve">cia y Acceso a la Información Pública del Estado de México y Municipios vigente, fecha </w:t>
      </w:r>
      <w:r>
        <w:rPr>
          <w:rFonts w:ascii="Palatino Linotype" w:eastAsia="Palatino Linotype" w:hAnsi="Palatino Linotype" w:cs="Palatino Linotype"/>
          <w:b/>
        </w:rPr>
        <w:t>treinta de noviembre de dos mil veintiuno,</w:t>
      </w:r>
      <w:r>
        <w:rPr>
          <w:rFonts w:ascii="Palatino Linotype" w:eastAsia="Palatino Linotype" w:hAnsi="Palatino Linotype" w:cs="Palatino Linotype"/>
        </w:rPr>
        <w:t xml:space="preserve"> el presente recurso de revisión se turnó por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Comisionada</w:t>
      </w:r>
      <w:r>
        <w:rPr>
          <w:rFonts w:ascii="Palatino Linotype" w:eastAsia="Palatino Linotype" w:hAnsi="Palatino Linotype" w:cs="Palatino Linotype"/>
          <w:b/>
        </w:rPr>
        <w:t xml:space="preserve"> Guadalupe Ramírez Peña, </w:t>
      </w:r>
      <w:r>
        <w:rPr>
          <w:rFonts w:ascii="Palatino Linotype" w:eastAsia="Palatino Linotype" w:hAnsi="Palatino Linotype" w:cs="Palatino Linotype"/>
        </w:rPr>
        <w:t>a efecto de que analice sobre</w:t>
      </w:r>
      <w:r>
        <w:rPr>
          <w:rFonts w:ascii="Palatino Linotype" w:eastAsia="Palatino Linotype" w:hAnsi="Palatino Linotype" w:cs="Palatino Linotype"/>
        </w:rPr>
        <w:t xml:space="preserve"> su admisión o su desechamiento.</w:t>
      </w:r>
    </w:p>
    <w:p w14:paraId="6E2838E6" w14:textId="77777777" w:rsidR="00973055" w:rsidRDefault="001B619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seis de diciembre de dos mil veintiuno, </w:t>
      </w:r>
      <w:r>
        <w:rPr>
          <w:rFonts w:ascii="Palatino Linotype" w:eastAsia="Palatino Linotype" w:hAnsi="Palatino Linotype" w:cs="Palatino Linotype"/>
        </w:rPr>
        <w:t>este Instituto de Transparencia, Acceso a la Información Pública y Protección de Datos Personales del Estado de México y Municipios, adm</w:t>
      </w:r>
      <w:r>
        <w:rPr>
          <w:rFonts w:ascii="Palatino Linotype" w:eastAsia="Palatino Linotype" w:hAnsi="Palatino Linotype" w:cs="Palatino Linotype"/>
        </w:rPr>
        <w:t xml:space="preserve">itió a trámite el recurso de revisión que ahora se resuelve, dando un plazo máximo de siete días hábiles para que las partes manifestaran lo que a su derecho resultara conveniente, ofrecieran pruebas, formularan alegatos y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presentara su </w:t>
      </w:r>
      <w:r>
        <w:rPr>
          <w:rFonts w:ascii="Palatino Linotype" w:eastAsia="Palatino Linotype" w:hAnsi="Palatino Linotype" w:cs="Palatino Linotype"/>
        </w:rPr>
        <w:t>informe justificado.</w:t>
      </w:r>
    </w:p>
    <w:p w14:paraId="181BC6FE" w14:textId="77777777" w:rsidR="00973055" w:rsidRDefault="001B6194">
      <w:pPr>
        <w:widowControl w:val="0"/>
        <w:spacing w:before="240" w:after="240" w:line="360" w:lineRule="auto"/>
        <w:jc w:val="both"/>
        <w:rPr>
          <w:rFonts w:ascii="Palatino Linotype" w:eastAsia="Palatino Linotype" w:hAnsi="Palatino Linotype" w:cs="Palatino Linotype"/>
          <w:b/>
          <w:highlight w:val="yellow"/>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el expediente electrónico que nos ocupa, se advierte que el </w:t>
      </w:r>
      <w:r>
        <w:rPr>
          <w:rFonts w:ascii="Palatino Linotype" w:eastAsia="Palatino Linotype" w:hAnsi="Palatino Linotype" w:cs="Palatino Linotype"/>
          <w:b/>
        </w:rPr>
        <w:t>dieciséis de diciembre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informe justificado, como se muestra en la siguiente captura de pantalla, mismo que se puso a la vista del</w:t>
      </w:r>
      <w:r>
        <w:rPr>
          <w:rFonts w:ascii="Palatino Linotype" w:eastAsia="Palatino Linotype" w:hAnsi="Palatino Linotype" w:cs="Palatino Linotype"/>
          <w:b/>
        </w:rPr>
        <w:t xml:space="preserve"> RECURRENTE. </w:t>
      </w:r>
    </w:p>
    <w:p w14:paraId="7CADC66D" w14:textId="77777777" w:rsidR="00973055" w:rsidRDefault="001B619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ES_tradnl" w:eastAsia="zh-CN"/>
        </w:rPr>
        <w:lastRenderedPageBreak/>
        <w:drawing>
          <wp:inline distT="0" distB="0" distL="0" distR="0" wp14:anchorId="08B22185" wp14:editId="34BCA071">
            <wp:extent cx="5612130" cy="2795270"/>
            <wp:effectExtent l="0" t="0" r="0" b="0"/>
            <wp:docPr id="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130" cy="2795270"/>
                    </a:xfrm>
                    <a:prstGeom prst="rect">
                      <a:avLst/>
                    </a:prstGeom>
                    <a:ln/>
                  </pic:spPr>
                </pic:pic>
              </a:graphicData>
            </a:graphic>
          </wp:inline>
        </w:drawing>
      </w:r>
    </w:p>
    <w:p w14:paraId="31A240BB" w14:textId="77777777" w:rsidR="00973055" w:rsidRDefault="001B619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fue omiso en expresar alegato alguno y ofrecer pruebas en el plazo establecido para tal efecto.</w:t>
      </w:r>
    </w:p>
    <w:p w14:paraId="389A0699" w14:textId="77777777" w:rsidR="00973055" w:rsidRDefault="001B619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b/>
        </w:rPr>
        <w:t xml:space="preserve">. Ampliación del plazo.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catorce de febrero de dos mil veintidós </w:t>
      </w:r>
      <w:r>
        <w:rPr>
          <w:rFonts w:ascii="Palatino Linotype" w:eastAsia="Palatino Linotype" w:hAnsi="Palatino Linotype" w:cs="Palatino Linotype"/>
        </w:rPr>
        <w:t>con fundamento en el artículo 181, párrafo tercero de la Ley de Transparencia y Acceso a la Información Pública del Estado de México y Municipios, se acordó la ampliación del plazo pa</w:t>
      </w:r>
      <w:r>
        <w:rPr>
          <w:rFonts w:ascii="Palatino Linotype" w:eastAsia="Palatino Linotype" w:hAnsi="Palatino Linotype" w:cs="Palatino Linotype"/>
        </w:rPr>
        <w:t xml:space="preserve">ra la resolución del presente recurso de revisión. </w:t>
      </w:r>
    </w:p>
    <w:p w14:paraId="07FBEC0F" w14:textId="77777777" w:rsidR="00973055" w:rsidRDefault="001B619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catorce de febrero de dos m</w:t>
      </w:r>
      <w:r>
        <w:rPr>
          <w:rFonts w:ascii="Palatino Linotype" w:eastAsia="Palatino Linotype" w:hAnsi="Palatino Linotype" w:cs="Palatino Linotype"/>
          <w:b/>
        </w:rPr>
        <w:t>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69BB212" w14:textId="77777777" w:rsidR="00973055" w:rsidRDefault="001B619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razón de que fue debidamente sustancia</w:t>
      </w:r>
      <w:r>
        <w:rPr>
          <w:rFonts w:ascii="Palatino Linotype" w:eastAsia="Palatino Linotype" w:hAnsi="Palatino Linotype" w:cs="Palatino Linotype"/>
        </w:rPr>
        <w:t xml:space="preserve">do el expediente electrónico y no existe diligencia pendiente de desahogo, se emite la Resolución que conforme a Derecho proceda, de acuerdo con los siguientes: </w:t>
      </w:r>
    </w:p>
    <w:p w14:paraId="7E0B4656" w14:textId="77777777" w:rsidR="00973055" w:rsidRPr="0045020F" w:rsidRDefault="001B6194">
      <w:pPr>
        <w:widowControl w:val="0"/>
        <w:spacing w:before="240" w:after="240" w:line="360" w:lineRule="auto"/>
        <w:jc w:val="center"/>
        <w:rPr>
          <w:rFonts w:ascii="Palatino Linotype" w:eastAsia="Palatino Linotype" w:hAnsi="Palatino Linotype" w:cs="Palatino Linotype"/>
          <w:b/>
          <w:lang w:val="pt-BR"/>
        </w:rPr>
      </w:pPr>
      <w:r w:rsidRPr="0045020F">
        <w:rPr>
          <w:rFonts w:ascii="Palatino Linotype" w:eastAsia="Palatino Linotype" w:hAnsi="Palatino Linotype" w:cs="Palatino Linotype"/>
          <w:b/>
          <w:lang w:val="pt-BR"/>
        </w:rPr>
        <w:t xml:space="preserve">II. </w:t>
      </w:r>
      <w:r w:rsidRPr="0045020F">
        <w:rPr>
          <w:rFonts w:ascii="Palatino Linotype" w:eastAsia="Palatino Linotype" w:hAnsi="Palatino Linotype" w:cs="Palatino Linotype"/>
          <w:b/>
          <w:lang w:val="pt-BR"/>
        </w:rPr>
        <w:tab/>
        <w:t>C O N S I D E R A N D O S</w:t>
      </w:r>
    </w:p>
    <w:p w14:paraId="11963D5E" w14:textId="77777777" w:rsidR="00973055" w:rsidRDefault="001B6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w:t>
      </w:r>
      <w:r>
        <w:rPr>
          <w:rFonts w:ascii="Palatino Linotype" w:eastAsia="Palatino Linotype" w:hAnsi="Palatino Linotype" w:cs="Palatino Linotype"/>
        </w:rPr>
        <w:t xml:space="preserve">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EL RECURRENTE</w:t>
      </w:r>
      <w:r>
        <w:rPr>
          <w:rFonts w:ascii="Palatino Linotype" w:eastAsia="Palatino Linotype" w:hAnsi="Palatino Linotype" w:cs="Palatino Linotype"/>
        </w:rPr>
        <w:t>, conforme a lo dispuesto en los artículos 6, apartado A de la Cons</w:t>
      </w:r>
      <w:r>
        <w:rPr>
          <w:rFonts w:ascii="Palatino Linotype" w:eastAsia="Palatino Linotype" w:hAnsi="Palatino Linotype" w:cs="Palatino Linotype"/>
        </w:rPr>
        <w:t>titución Política de los Estados Unidos Mexicanos; 5 párrafos trigésimo, trigésimo primero y trigésimo segundo fracciones IV y V de la Constitución Política del Estado Libre y Soberano de México; 2, fracción II; 29, 36 fracciones I y II; 176, 178, 181, 185</w:t>
      </w:r>
      <w:r>
        <w:rPr>
          <w:rFonts w:ascii="Palatino Linotype" w:eastAsia="Palatino Linotype" w:hAnsi="Palatino Linotype" w:cs="Palatino Linotype"/>
        </w:rPr>
        <w:t>, fracción I, 186 y 188 de la Ley Transparencia y Acceso a la Información Pública del Estado de México y Municipios; 9, fracciones I y XXIV y 11 del Reglamento Interior del Instituto de Transparencia, Acceso a la Información Pública y Protección de Datos P</w:t>
      </w:r>
      <w:r>
        <w:rPr>
          <w:rFonts w:ascii="Palatino Linotype" w:eastAsia="Palatino Linotype" w:hAnsi="Palatino Linotype" w:cs="Palatino Linotype"/>
        </w:rPr>
        <w:t>ersonales del Estado de México y Municipios.</w:t>
      </w:r>
    </w:p>
    <w:p w14:paraId="4BBCF6D2" w14:textId="77777777" w:rsidR="00973055" w:rsidRDefault="001B6194">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w:t>
      </w:r>
      <w:r>
        <w:rPr>
          <w:rFonts w:ascii="Palatino Linotype" w:eastAsia="Palatino Linotype" w:hAnsi="Palatino Linotype" w:cs="Palatino Linotype"/>
        </w:rPr>
        <w:t>interpuesto, previstos en los artículos 178 y 180 de la Ley de Transparencia y Acceso a la Información Pública del Estado de México y Municipios.</w:t>
      </w:r>
    </w:p>
    <w:p w14:paraId="2B55AE8E" w14:textId="77777777" w:rsidR="00973055" w:rsidRDefault="001B619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El recurso de revisión fue interpuesto por</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dentro del plazo de quince días hábiles, previsto en </w:t>
      </w:r>
      <w:r>
        <w:rPr>
          <w:rFonts w:ascii="Palatino Linotype" w:eastAsia="Palatino Linotype" w:hAnsi="Palatino Linotype" w:cs="Palatino Linotype"/>
        </w:rPr>
        <w:t xml:space="preserve">el artículo 178 de la Ley de Transparencia y Acceso a la Información Pública del Estado de México y Municipios, toda vez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la respuesta a la solicitud de información en fecha </w:t>
      </w:r>
      <w:r>
        <w:rPr>
          <w:rFonts w:ascii="Palatino Linotype" w:eastAsia="Palatino Linotype" w:hAnsi="Palatino Linotype" w:cs="Palatino Linotype"/>
          <w:b/>
        </w:rPr>
        <w:t xml:space="preserve">diecinueve de noviembre de dos mil veintiuno, </w:t>
      </w:r>
      <w:r>
        <w:rPr>
          <w:rFonts w:ascii="Palatino Linotype" w:eastAsia="Palatino Linotype" w:hAnsi="Palatino Linotype" w:cs="Palatino Linotype"/>
        </w:rPr>
        <w:t>mientr</w:t>
      </w:r>
      <w:r>
        <w:rPr>
          <w:rFonts w:ascii="Palatino Linotype" w:eastAsia="Palatino Linotype" w:hAnsi="Palatino Linotype" w:cs="Palatino Linotype"/>
        </w:rPr>
        <w:t>as que el recurso de revisión interpuesto por</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se tuvo por presentado el </w:t>
      </w:r>
      <w:r>
        <w:rPr>
          <w:rFonts w:ascii="Palatino Linotype" w:eastAsia="Palatino Linotype" w:hAnsi="Palatino Linotype" w:cs="Palatino Linotype"/>
          <w:b/>
        </w:rPr>
        <w:t>treinta de noviembre de dos mi veintiuno,</w:t>
      </w:r>
      <w:r>
        <w:rPr>
          <w:rFonts w:ascii="Palatino Linotype" w:eastAsia="Palatino Linotype" w:hAnsi="Palatino Linotype" w:cs="Palatino Linotype"/>
        </w:rPr>
        <w:t xml:space="preserve"> en que tuvo conocimiento de la respuesta de la solicitud de información.</w:t>
      </w:r>
    </w:p>
    <w:p w14:paraId="11165661" w14:textId="77777777" w:rsidR="00973055" w:rsidRDefault="001B6194">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En este sentido, al considerar la fecha en que se form</w:t>
      </w:r>
      <w:r>
        <w:rPr>
          <w:rFonts w:ascii="Palatino Linotype" w:eastAsia="Palatino Linotype" w:hAnsi="Palatino Linotype" w:cs="Palatino Linotype"/>
        </w:rPr>
        <w:t xml:space="preserve">uló la solicitud y la fecha en que respondió a ésta </w:t>
      </w:r>
      <w:r>
        <w:rPr>
          <w:rFonts w:ascii="Palatino Linotype" w:eastAsia="Palatino Linotype" w:hAnsi="Palatino Linotype" w:cs="Palatino Linotype"/>
          <w:b/>
        </w:rPr>
        <w:t>EL SUJETO OBLIGADO</w:t>
      </w:r>
      <w:r>
        <w:rPr>
          <w:rFonts w:ascii="Palatino Linotype" w:eastAsia="Palatino Linotype" w:hAnsi="Palatino Linotype" w:cs="Palatino Linotype"/>
        </w:rPr>
        <w:t>; así como la fecha en que se interpuso el recurso de revisión, se concluye que se encuentra dentro de los márgenes temporales previstos las disposiciones legales referidas.</w:t>
      </w:r>
    </w:p>
    <w:p w14:paraId="20FC8415" w14:textId="77777777" w:rsidR="00973055" w:rsidRDefault="001B6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w:t>
      </w:r>
      <w:r>
        <w:rPr>
          <w:rFonts w:ascii="Palatino Linotype" w:eastAsia="Palatino Linotype" w:hAnsi="Palatino Linotype" w:cs="Palatino Linotype"/>
        </w:rPr>
        <w:t xml:space="preserve"> por cuanto hace a la procedibilidad del recurso de revisión, una vez realizado el análisis del formato de interposición del mismo, se concluye la acreditación plena de los elementos formales precisados por el artículo 180 de la Ley de Transparencia y Acce</w:t>
      </w:r>
      <w:r>
        <w:rPr>
          <w:rFonts w:ascii="Palatino Linotype" w:eastAsia="Palatino Linotype" w:hAnsi="Palatino Linotype" w:cs="Palatino Linotype"/>
        </w:rPr>
        <w:t xml:space="preserve">so a la Información Pública del Estado de México y Municipios, en atención a que fue presentado mediante el formato visible en el </w:t>
      </w:r>
      <w:r>
        <w:rPr>
          <w:rFonts w:ascii="Palatino Linotype" w:eastAsia="Palatino Linotype" w:hAnsi="Palatino Linotype" w:cs="Palatino Linotype"/>
          <w:b/>
        </w:rPr>
        <w:t>SAIMEX.</w:t>
      </w:r>
    </w:p>
    <w:p w14:paraId="1263DFFD" w14:textId="77777777" w:rsidR="00973055" w:rsidRDefault="001B6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presente recurso, según lo manifestado por </w:t>
      </w:r>
      <w:r>
        <w:rPr>
          <w:rFonts w:ascii="Palatino Linotype" w:eastAsia="Palatino Linotype" w:hAnsi="Palatino Linotype" w:cs="Palatino Linotype"/>
          <w:b/>
        </w:rPr>
        <w:t>EL RECU</w:t>
      </w:r>
      <w:r>
        <w:rPr>
          <w:rFonts w:ascii="Palatino Linotype" w:eastAsia="Palatino Linotype" w:hAnsi="Palatino Linotype" w:cs="Palatino Linotype"/>
          <w:b/>
        </w:rPr>
        <w:t>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14:paraId="1C94B5E5" w14:textId="77777777" w:rsidR="00973055" w:rsidRDefault="001B619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012C286" w14:textId="77777777" w:rsidR="00973055" w:rsidRDefault="001B6194">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3ABD483A" w14:textId="77777777" w:rsidR="00973055" w:rsidRDefault="001B6194">
      <w:pPr>
        <w:ind w:left="273" w:firstLine="720"/>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14:paraId="0A889FBB" w14:textId="77777777" w:rsidR="00973055" w:rsidRDefault="001B619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rPr>
        <w:t xml:space="preserve">.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verificar si la respue</w:t>
      </w:r>
      <w:r>
        <w:rPr>
          <w:rFonts w:ascii="Palatino Linotype" w:eastAsia="Palatino Linotype" w:hAnsi="Palatino Linotype" w:cs="Palatino Linotype"/>
          <w:b/>
        </w:rPr>
        <w:t xml:space="preserve">sta otorgada por EL SUJETO OBLIGADO es adecuada y suficiente para satisfacer el derecho de acceso a la información pública </w:t>
      </w:r>
      <w:r>
        <w:rPr>
          <w:rFonts w:ascii="Palatino Linotype" w:eastAsia="Palatino Linotype" w:hAnsi="Palatino Linotype" w:cs="Palatino Linotype"/>
        </w:rPr>
        <w:t>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o en su defecto, en caso de ser procedente, ordenar la entrega de información oportuna.</w:t>
      </w:r>
    </w:p>
    <w:p w14:paraId="3664876D" w14:textId="77777777" w:rsidR="00973055" w:rsidRDefault="001B619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Cuarto. Estudio del asunto.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A</w:t>
      </w:r>
      <w:r>
        <w:rPr>
          <w:rFonts w:ascii="Palatino Linotype" w:eastAsia="Palatino Linotype" w:hAnsi="Palatino Linotype" w:cs="Palatino Linotype"/>
        </w:rPr>
        <w:t xml:space="preserve">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w:t>
      </w:r>
      <w:r>
        <w:rPr>
          <w:rFonts w:ascii="Palatino Linotype" w:eastAsia="Palatino Linotype" w:hAnsi="Palatino Linotype" w:cs="Palatino Linotype"/>
        </w:rPr>
        <w:t>herido, sin oponer reserva alguna sobre lo que nos interesa, adoptando dichas disposiciones al Derecho Interno, específicamente a nivel Constitucional, tal y como lo prevén los arábigos 1 párrafos primero, segundo y tercero y 6 apartado A fracciones I, II,</w:t>
      </w:r>
      <w:r>
        <w:rPr>
          <w:rFonts w:ascii="Palatino Linotype" w:eastAsia="Palatino Linotype" w:hAnsi="Palatino Linotype" w:cs="Palatino Linotype"/>
        </w:rPr>
        <w:t xml:space="preserve"> III, IV, V, VI y VII que a la letra señalan:</w:t>
      </w:r>
    </w:p>
    <w:p w14:paraId="49AC26CE" w14:textId="77777777" w:rsidR="00973055" w:rsidRDefault="001B6194">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1"/>
          <w:szCs w:val="21"/>
        </w:rPr>
        <w:t>, así co</w:t>
      </w:r>
      <w:r>
        <w:rPr>
          <w:rFonts w:ascii="Palatino Linotype" w:eastAsia="Palatino Linotype" w:hAnsi="Palatino Linotype" w:cs="Palatino Linotype"/>
          <w:i/>
          <w:sz w:val="21"/>
          <w:szCs w:val="21"/>
        </w:rPr>
        <w:t>mo de las garantías para su protección, cuyo ejercicio no podrá restringirse ni suspenderse, salvo en los casos y bajo las condiciones que esta Constitución establece.</w:t>
      </w:r>
    </w:p>
    <w:p w14:paraId="6C598E3E" w14:textId="77777777" w:rsidR="00973055" w:rsidRDefault="001B6194">
      <w:pPr>
        <w:tabs>
          <w:tab w:val="left" w:pos="709"/>
        </w:tabs>
        <w:ind w:left="851" w:right="850"/>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lastRenderedPageBreak/>
        <w:t>Las normas relativas a los derechos humanos se interpretarán de conformidad con esta Constitución y con los tratados internacionales de la materia favoreciendo en todo tiempo a las personas la protección más amplia.</w:t>
      </w:r>
    </w:p>
    <w:p w14:paraId="42B2BF75" w14:textId="77777777" w:rsidR="00973055" w:rsidRDefault="001B6194">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Todas las autoridades, en el ámbito de s</w:t>
      </w:r>
      <w:r>
        <w:rPr>
          <w:rFonts w:ascii="Palatino Linotype" w:eastAsia="Palatino Linotype" w:hAnsi="Palatino Linotype" w:cs="Palatino Linotype"/>
          <w:b/>
          <w:i/>
          <w:sz w:val="21"/>
          <w:szCs w:val="21"/>
          <w:u w:val="single"/>
        </w:rPr>
        <w:t>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1"/>
          <w:szCs w:val="21"/>
        </w:rPr>
        <w:t xml:space="preserve"> En consecuencia, el Estado deberá prevenir, inves</w:t>
      </w:r>
      <w:r>
        <w:rPr>
          <w:rFonts w:ascii="Palatino Linotype" w:eastAsia="Palatino Linotype" w:hAnsi="Palatino Linotype" w:cs="Palatino Linotype"/>
          <w:i/>
          <w:sz w:val="21"/>
          <w:szCs w:val="21"/>
        </w:rPr>
        <w:t>tigar, sancionar y reparar las violaciones a los derechos humanos, en los términos que establezca la ley</w:t>
      </w:r>
    </w:p>
    <w:p w14:paraId="5E67CABC" w14:textId="77777777" w:rsidR="00973055" w:rsidRDefault="001B6194">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4ED98954" w14:textId="77777777" w:rsidR="00973055" w:rsidRDefault="001B6194">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“Artículo 6o.</w:t>
      </w:r>
    </w:p>
    <w:p w14:paraId="0A763F19" w14:textId="77777777" w:rsidR="00973055" w:rsidRDefault="001B6194">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755F64EA"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A. Para el ejercicio del derecho de acceso a la información, la Federación y </w:t>
      </w:r>
      <w:r>
        <w:rPr>
          <w:rFonts w:ascii="Palatino Linotype" w:eastAsia="Palatino Linotype" w:hAnsi="Palatino Linotype" w:cs="Palatino Linotype"/>
          <w:b/>
          <w:i/>
          <w:sz w:val="21"/>
          <w:szCs w:val="21"/>
          <w:u w:val="single"/>
        </w:rPr>
        <w:t>las entidades federativas</w:t>
      </w:r>
      <w:r>
        <w:rPr>
          <w:rFonts w:ascii="Palatino Linotype" w:eastAsia="Palatino Linotype" w:hAnsi="Palatino Linotype" w:cs="Palatino Linotype"/>
          <w:b/>
          <w:i/>
          <w:sz w:val="21"/>
          <w:szCs w:val="21"/>
        </w:rPr>
        <w:t>,</w:t>
      </w:r>
      <w:r>
        <w:rPr>
          <w:rFonts w:ascii="Palatino Linotype" w:eastAsia="Palatino Linotype" w:hAnsi="Palatino Linotype" w:cs="Palatino Linotype"/>
          <w:i/>
          <w:sz w:val="21"/>
          <w:szCs w:val="21"/>
        </w:rPr>
        <w:t xml:space="preserve"> en el ámbito de sus res</w:t>
      </w:r>
      <w:r>
        <w:rPr>
          <w:rFonts w:ascii="Palatino Linotype" w:eastAsia="Palatino Linotype" w:hAnsi="Palatino Linotype" w:cs="Palatino Linotype"/>
          <w:i/>
          <w:sz w:val="21"/>
          <w:szCs w:val="21"/>
        </w:rPr>
        <w:t>pectivas competencias, se regirán por los siguientes principios y bases:</w:t>
      </w:r>
    </w:p>
    <w:p w14:paraId="67AF661B"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4EED18D0"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 </w:t>
      </w:r>
      <w:r>
        <w:rPr>
          <w:rFonts w:ascii="Palatino Linotype" w:eastAsia="Palatino Linotype" w:hAnsi="Palatino Linotype" w:cs="Palatino Linotype"/>
          <w:b/>
          <w:i/>
          <w:sz w:val="21"/>
          <w:szCs w:val="21"/>
          <w:u w:val="single"/>
        </w:rPr>
        <w:t>Toda la información en posesión de cualquier autoridad, entidad, órgano y organismo de los Poderes</w:t>
      </w:r>
      <w:r>
        <w:rPr>
          <w:rFonts w:ascii="Palatino Linotype" w:eastAsia="Palatino Linotype" w:hAnsi="Palatino Linotype" w:cs="Palatino Linotype"/>
          <w:i/>
          <w:sz w:val="21"/>
          <w:szCs w:val="21"/>
        </w:rPr>
        <w:t xml:space="preserve"> Ejecutivo, Legislativo </w:t>
      </w:r>
      <w:r>
        <w:rPr>
          <w:rFonts w:ascii="Palatino Linotype" w:eastAsia="Palatino Linotype" w:hAnsi="Palatino Linotype" w:cs="Palatino Linotype"/>
          <w:b/>
          <w:i/>
          <w:sz w:val="21"/>
          <w:szCs w:val="21"/>
          <w:u w:val="single"/>
        </w:rPr>
        <w:t>y Judicial</w:t>
      </w:r>
      <w:r>
        <w:rPr>
          <w:rFonts w:ascii="Palatino Linotype" w:eastAsia="Palatino Linotype" w:hAnsi="Palatino Linotype" w:cs="Palatino Linotype"/>
          <w:i/>
          <w:sz w:val="21"/>
          <w:szCs w:val="21"/>
        </w:rPr>
        <w:t>, órganos autónomos, partidos políticos, fidei</w:t>
      </w:r>
      <w:r>
        <w:rPr>
          <w:rFonts w:ascii="Palatino Linotype" w:eastAsia="Palatino Linotype" w:hAnsi="Palatino Linotype" w:cs="Palatino Linotype"/>
          <w:i/>
          <w:sz w:val="21"/>
          <w:szCs w:val="21"/>
        </w:rPr>
        <w:t xml:space="preserve">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1"/>
          <w:szCs w:val="21"/>
        </w:rPr>
        <w:t>es pública y sólo podrá ser reservada temporalmente por razones</w:t>
      </w:r>
      <w:r>
        <w:rPr>
          <w:rFonts w:ascii="Palatino Linotype" w:eastAsia="Palatino Linotype" w:hAnsi="Palatino Linotype" w:cs="Palatino Linotype"/>
          <w:b/>
          <w:i/>
          <w:sz w:val="21"/>
          <w:szCs w:val="21"/>
        </w:rPr>
        <w:t xml:space="preserve"> de interés público y seguridad nacional,</w:t>
      </w:r>
      <w:r>
        <w:rPr>
          <w:rFonts w:ascii="Palatino Linotype" w:eastAsia="Palatino Linotype" w:hAnsi="Palatino Linotype" w:cs="Palatino Linotype"/>
          <w:i/>
          <w:sz w:val="21"/>
          <w:szCs w:val="21"/>
        </w:rPr>
        <w:t xml:space="preserve"> en los términos que fijen las leyes. En la interpretación de este derecho deberá prevalecer el principio de máxima publicidad. Los sujetos obligados deberán documentar todo acto que derive del ejercicio de sus facu</w:t>
      </w:r>
      <w:r>
        <w:rPr>
          <w:rFonts w:ascii="Palatino Linotype" w:eastAsia="Palatino Linotype" w:hAnsi="Palatino Linotype" w:cs="Palatino Linotype"/>
          <w:i/>
          <w:sz w:val="21"/>
          <w:szCs w:val="21"/>
        </w:rPr>
        <w:t>ltades, competencias o funciones, la ley determinará los supuestos específicos bajo los cuales procederá la declaración de inexistencia de la información.</w:t>
      </w:r>
    </w:p>
    <w:p w14:paraId="78DDB8D4"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6D0891FA" w14:textId="77777777" w:rsidR="00973055" w:rsidRDefault="001B6194">
      <w:pPr>
        <w:ind w:left="851" w:right="851"/>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II. La información que se refiere a la vida privada y los datos personales será protegida en los té</w:t>
      </w:r>
      <w:r>
        <w:rPr>
          <w:rFonts w:ascii="Palatino Linotype" w:eastAsia="Palatino Linotype" w:hAnsi="Palatino Linotype" w:cs="Palatino Linotype"/>
          <w:b/>
          <w:i/>
          <w:sz w:val="21"/>
          <w:szCs w:val="21"/>
        </w:rPr>
        <w:t>rminos y con las excepciones que fijen las leyes.</w:t>
      </w:r>
    </w:p>
    <w:p w14:paraId="7CD5127C"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15332A31"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III. </w:t>
      </w:r>
      <w:r>
        <w:rPr>
          <w:rFonts w:ascii="Palatino Linotype" w:eastAsia="Palatino Linotype" w:hAnsi="Palatino Linotype" w:cs="Palatino Linotype"/>
          <w:b/>
          <w:i/>
          <w:sz w:val="21"/>
          <w:szCs w:val="21"/>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1"/>
          <w:szCs w:val="21"/>
        </w:rPr>
        <w:t xml:space="preserve"> a sus datos personales o a la rectificación de éstos.</w:t>
      </w:r>
    </w:p>
    <w:p w14:paraId="66E6591D"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2DF59A08"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IV. </w:t>
      </w:r>
      <w:r>
        <w:rPr>
          <w:rFonts w:ascii="Palatino Linotype" w:eastAsia="Palatino Linotype" w:hAnsi="Palatino Linotype" w:cs="Palatino Linotype"/>
          <w:i/>
          <w:sz w:val="21"/>
          <w:szCs w:val="21"/>
        </w:rPr>
        <w:t>Se establecerán mecanismos de acceso a la información y procedimientos de revisión expeditos que se sustanciarán ante los organismos autónomos especializados e imparciales que establece esta Constitución.</w:t>
      </w:r>
    </w:p>
    <w:p w14:paraId="4222FF58" w14:textId="77777777" w:rsidR="00973055" w:rsidRDefault="00973055">
      <w:pPr>
        <w:ind w:left="851" w:right="851"/>
        <w:jc w:val="both"/>
        <w:rPr>
          <w:rFonts w:ascii="Palatino Linotype" w:eastAsia="Palatino Linotype" w:hAnsi="Palatino Linotype" w:cs="Palatino Linotype"/>
          <w:i/>
          <w:sz w:val="21"/>
          <w:szCs w:val="21"/>
        </w:rPr>
      </w:pPr>
    </w:p>
    <w:p w14:paraId="53AAB606"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lastRenderedPageBreak/>
        <w:t xml:space="preserve">V. </w:t>
      </w:r>
      <w:r>
        <w:rPr>
          <w:rFonts w:ascii="Palatino Linotype" w:eastAsia="Palatino Linotype" w:hAnsi="Palatino Linotype" w:cs="Palatino Linotype"/>
          <w:i/>
          <w:sz w:val="21"/>
          <w:szCs w:val="21"/>
        </w:rPr>
        <w:t>Los sujetos obligados deberán preservar sus doc</w:t>
      </w:r>
      <w:r>
        <w:rPr>
          <w:rFonts w:ascii="Palatino Linotype" w:eastAsia="Palatino Linotype" w:hAnsi="Palatino Linotype" w:cs="Palatino Linotype"/>
          <w:i/>
          <w:sz w:val="21"/>
          <w:szCs w:val="21"/>
        </w:rPr>
        <w:t xml:space="preserve">umentos en archivos administrativos actualizados y publicarán, a través de los medios electrónicos disponibles, la información completa y actualizada sobre el ejercicio de los recursos públicos y los indicadores que permitan rendir cuenta del cumplimiento </w:t>
      </w:r>
      <w:r>
        <w:rPr>
          <w:rFonts w:ascii="Palatino Linotype" w:eastAsia="Palatino Linotype" w:hAnsi="Palatino Linotype" w:cs="Palatino Linotype"/>
          <w:i/>
          <w:sz w:val="21"/>
          <w:szCs w:val="21"/>
        </w:rPr>
        <w:t>de sus objetivos y de los resultados obtenidos.</w:t>
      </w:r>
    </w:p>
    <w:p w14:paraId="5715E2F7"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7DB0EEF3"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 </w:t>
      </w:r>
      <w:r>
        <w:rPr>
          <w:rFonts w:ascii="Palatino Linotype" w:eastAsia="Palatino Linotype" w:hAnsi="Palatino Linotype" w:cs="Palatino Linotype"/>
          <w:i/>
          <w:sz w:val="21"/>
          <w:szCs w:val="21"/>
        </w:rPr>
        <w:t>Las leyes determinarán la manera en que los sujetos obligados deberán hacer pública la información relativa a los recursos públicos que entreguen a personas físicas o morales.</w:t>
      </w:r>
    </w:p>
    <w:p w14:paraId="07CBDC96"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32DA2728" w14:textId="77777777" w:rsidR="00973055" w:rsidRDefault="001B619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VII. </w:t>
      </w:r>
      <w:r>
        <w:rPr>
          <w:rFonts w:ascii="Palatino Linotype" w:eastAsia="Palatino Linotype" w:hAnsi="Palatino Linotype" w:cs="Palatino Linotype"/>
          <w:i/>
          <w:sz w:val="21"/>
          <w:szCs w:val="21"/>
        </w:rPr>
        <w:t xml:space="preserve">La inobservancia a </w:t>
      </w:r>
      <w:r>
        <w:rPr>
          <w:rFonts w:ascii="Palatino Linotype" w:eastAsia="Palatino Linotype" w:hAnsi="Palatino Linotype" w:cs="Palatino Linotype"/>
          <w:i/>
          <w:sz w:val="21"/>
          <w:szCs w:val="21"/>
        </w:rPr>
        <w:t>las disposiciones en materia de acceso a la información pública será sancionada en los términos que dispongan las leyes. [...]</w:t>
      </w:r>
    </w:p>
    <w:p w14:paraId="761CFA00" w14:textId="77777777" w:rsidR="00973055" w:rsidRDefault="00973055">
      <w:pPr>
        <w:ind w:right="851"/>
        <w:jc w:val="both"/>
        <w:rPr>
          <w:rFonts w:ascii="Palatino Linotype" w:eastAsia="Palatino Linotype" w:hAnsi="Palatino Linotype" w:cs="Palatino Linotype"/>
          <w:i/>
          <w:sz w:val="21"/>
          <w:szCs w:val="21"/>
        </w:rPr>
      </w:pPr>
    </w:p>
    <w:p w14:paraId="50AFD559" w14:textId="77777777" w:rsidR="00973055" w:rsidRDefault="001B6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w:t>
      </w:r>
      <w:r>
        <w:rPr>
          <w:rFonts w:ascii="Palatino Linotype" w:eastAsia="Palatino Linotype" w:hAnsi="Palatino Linotype" w:cs="Palatino Linotype"/>
        </w:rPr>
        <w:t xml:space="preserve"> generada, obtenida, adquirida, transformada, administrada o en posesión de los Sujetos Obligados, como así también lo señala la Ley de Transparencia y Acceso a la Información Pública del Estado de México y Municipios en su artículo 4, que toda la informac</w:t>
      </w:r>
      <w:r>
        <w:rPr>
          <w:rFonts w:ascii="Palatino Linotype" w:eastAsia="Palatino Linotype" w:hAnsi="Palatino Linotype" w:cs="Palatino Linotype"/>
        </w:rPr>
        <w:t>ión generada, obtenida, adquirida, transformada, administrada o en posesión de los sujetos obligados, es pública y accesible, de manera permanente a cualquier persona, privilegiando el principio de máxima publicidad, como así lo establece dicha determinaci</w:t>
      </w:r>
      <w:r>
        <w:rPr>
          <w:rFonts w:ascii="Palatino Linotype" w:eastAsia="Palatino Linotype" w:hAnsi="Palatino Linotype" w:cs="Palatino Linotype"/>
        </w:rPr>
        <w:t>ón, que a continuación se trascribe para un mejor entendimiento:</w:t>
      </w:r>
    </w:p>
    <w:p w14:paraId="0498A136" w14:textId="77777777" w:rsidR="00973055" w:rsidRDefault="001B6194">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E6D3AFA" w14:textId="77777777" w:rsidR="00973055" w:rsidRDefault="00973055">
      <w:pPr>
        <w:spacing w:before="240"/>
        <w:ind w:left="709" w:right="760"/>
        <w:jc w:val="both"/>
        <w:rPr>
          <w:rFonts w:ascii="Palatino Linotype" w:eastAsia="Palatino Linotype" w:hAnsi="Palatino Linotype" w:cs="Palatino Linotype"/>
          <w:i/>
          <w:sz w:val="22"/>
          <w:szCs w:val="22"/>
        </w:rPr>
      </w:pPr>
    </w:p>
    <w:p w14:paraId="6F7C8905" w14:textId="77777777" w:rsidR="00973055" w:rsidRDefault="001B6194">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w:t>
      </w:r>
      <w:r>
        <w:rPr>
          <w:rFonts w:ascii="Palatino Linotype" w:eastAsia="Palatino Linotype" w:hAnsi="Palatino Linotype" w:cs="Palatino Linotype"/>
          <w:b/>
          <w:i/>
          <w:sz w:val="22"/>
          <w:szCs w:val="22"/>
        </w:rPr>
        <w:t xml:space="preserve">n generada, obtenida, adquirida, transformada, administrada o en posesión de los sujetos obligados es pública y accesible de manera permanente a cualquier persona, en los términos y condiciones que se establezcan en los tratados internacionales de los que </w:t>
      </w:r>
      <w:r>
        <w:rPr>
          <w:rFonts w:ascii="Palatino Linotype" w:eastAsia="Palatino Linotype" w:hAnsi="Palatino Linotype" w:cs="Palatino Linotype"/>
          <w:b/>
          <w:i/>
          <w:sz w:val="22"/>
          <w:szCs w:val="22"/>
        </w:rPr>
        <w:t xml:space="preserve">el Estado </w:t>
      </w:r>
      <w:r>
        <w:rPr>
          <w:rFonts w:ascii="Palatino Linotype" w:eastAsia="Palatino Linotype" w:hAnsi="Palatino Linotype" w:cs="Palatino Linotype"/>
          <w:b/>
          <w:i/>
          <w:sz w:val="22"/>
          <w:szCs w:val="22"/>
        </w:rPr>
        <w:lastRenderedPageBreak/>
        <w:t>mexicano sea parte, en la Ley General, la presente Ley y demás disposiciones de la materia, privilegiando el principio de máxima publicidad de la información. Solo podrá ser clasificada excepcionalmente Ley de Transparencia y Acceso a la Informac</w:t>
      </w:r>
      <w:r>
        <w:rPr>
          <w:rFonts w:ascii="Palatino Linotype" w:eastAsia="Palatino Linotype" w:hAnsi="Palatino Linotype" w:cs="Palatino Linotype"/>
          <w:b/>
          <w:i/>
          <w:sz w:val="22"/>
          <w:szCs w:val="22"/>
        </w:rPr>
        <w:t>ión Pública del Estado de México y Municipios 29 como reservada temporalmente por razones de interés público, en los términos de las causas legítimas y estrictamente necesarias previstas por esta Ley.</w:t>
      </w:r>
    </w:p>
    <w:p w14:paraId="17A17CEE" w14:textId="77777777" w:rsidR="00973055" w:rsidRDefault="00973055">
      <w:pPr>
        <w:ind w:left="709" w:right="760"/>
        <w:jc w:val="both"/>
        <w:rPr>
          <w:rFonts w:ascii="Palatino Linotype" w:eastAsia="Palatino Linotype" w:hAnsi="Palatino Linotype" w:cs="Palatino Linotype"/>
          <w:b/>
          <w:i/>
          <w:sz w:val="22"/>
          <w:szCs w:val="22"/>
        </w:rPr>
      </w:pPr>
    </w:p>
    <w:p w14:paraId="29427088" w14:textId="77777777" w:rsidR="00973055" w:rsidRDefault="001B6194">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w:t>
      </w:r>
      <w:r>
        <w:rPr>
          <w:rFonts w:ascii="Palatino Linotype" w:eastAsia="Palatino Linotype" w:hAnsi="Palatino Linotype" w:cs="Palatino Linotype"/>
          <w:i/>
          <w:sz w:val="22"/>
          <w:szCs w:val="22"/>
        </w:rPr>
        <w:t>as y programas de acceso a la información que se apeguen a criterios de publicidad, veracidad, oportunidad, precisión y suficiencia en beneficio de los solicitantes.”(Sic)</w:t>
      </w:r>
    </w:p>
    <w:p w14:paraId="74E3E27A" w14:textId="77777777" w:rsidR="00973055" w:rsidRDefault="00973055">
      <w:pPr>
        <w:jc w:val="both"/>
        <w:rPr>
          <w:rFonts w:ascii="Palatino Linotype" w:eastAsia="Palatino Linotype" w:hAnsi="Palatino Linotype" w:cs="Palatino Linotype"/>
        </w:rPr>
      </w:pPr>
    </w:p>
    <w:p w14:paraId="657450B0"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w:t>
      </w:r>
      <w:r>
        <w:rPr>
          <w:rFonts w:ascii="Palatino Linotype" w:eastAsia="Palatino Linotype" w:hAnsi="Palatino Linotype" w:cs="Palatino Linotype"/>
        </w:rPr>
        <w:t>r de atender las solicitudes de acceso a la información pública que se les hagan de su conocimiento y proporcionar la información pública que obren en su poder como así lo establece el artículo 12 de la Ley de Transparencia y Acceso a la Información Públic</w:t>
      </w:r>
      <w:r>
        <w:rPr>
          <w:rFonts w:ascii="Palatino Linotype" w:eastAsia="Palatino Linotype" w:hAnsi="Palatino Linotype" w:cs="Palatino Linotype"/>
        </w:rPr>
        <w:t>a del Estado de México y Municipios, el cual a la letra dice:</w:t>
      </w:r>
    </w:p>
    <w:p w14:paraId="3A485F35" w14:textId="77777777" w:rsidR="00973055" w:rsidRDefault="00973055">
      <w:pPr>
        <w:jc w:val="both"/>
        <w:rPr>
          <w:rFonts w:ascii="Palatino Linotype" w:eastAsia="Palatino Linotype" w:hAnsi="Palatino Linotype" w:cs="Palatino Linotype"/>
        </w:rPr>
      </w:pPr>
    </w:p>
    <w:p w14:paraId="057943FB" w14:textId="77777777" w:rsidR="00973055" w:rsidRDefault="001B6194">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831B1DA" w14:textId="77777777" w:rsidR="00973055" w:rsidRDefault="00973055">
      <w:pPr>
        <w:ind w:left="567" w:right="758"/>
        <w:jc w:val="both"/>
        <w:rPr>
          <w:rFonts w:ascii="Palatino Linotype" w:eastAsia="Palatino Linotype" w:hAnsi="Palatino Linotype" w:cs="Palatino Linotype"/>
          <w:i/>
          <w:sz w:val="22"/>
          <w:szCs w:val="22"/>
        </w:rPr>
      </w:pPr>
    </w:p>
    <w:p w14:paraId="4580BE7A" w14:textId="77777777" w:rsidR="00973055" w:rsidRDefault="001B6194">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w:t>
      </w:r>
      <w:r>
        <w:rPr>
          <w:rFonts w:ascii="Palatino Linotype" w:eastAsia="Palatino Linotype" w:hAnsi="Palatino Linotype" w:cs="Palatino Linotype"/>
          <w:i/>
          <w:sz w:val="22"/>
          <w:szCs w:val="22"/>
        </w:rPr>
        <w:t>ica que se les requiera y que obre en sus archivos y en el estado en que ésta se encuentre. La obligación de proporcionar información no comprende el procesamiento de la misma, ni el presentarla conforme al interés del solicitante; no estarán obligados a g</w:t>
      </w:r>
      <w:r>
        <w:rPr>
          <w:rFonts w:ascii="Palatino Linotype" w:eastAsia="Palatino Linotype" w:hAnsi="Palatino Linotype" w:cs="Palatino Linotype"/>
          <w:i/>
          <w:sz w:val="22"/>
          <w:szCs w:val="22"/>
        </w:rPr>
        <w:t>enerarla, resumirla, efectuar cálculos o practicar investigaciones.” (Sic)</w:t>
      </w:r>
    </w:p>
    <w:p w14:paraId="771836B1" w14:textId="77777777" w:rsidR="00973055" w:rsidRDefault="00973055">
      <w:pPr>
        <w:spacing w:line="360" w:lineRule="auto"/>
        <w:jc w:val="both"/>
        <w:rPr>
          <w:rFonts w:ascii="Palatino Linotype" w:eastAsia="Palatino Linotype" w:hAnsi="Palatino Linotype" w:cs="Palatino Linotype"/>
        </w:rPr>
      </w:pPr>
    </w:p>
    <w:p w14:paraId="76F72579" w14:textId="77777777" w:rsidR="00973055" w:rsidRDefault="001B619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w:t>
      </w:r>
      <w:r>
        <w:rPr>
          <w:rFonts w:ascii="Palatino Linotype" w:eastAsia="Palatino Linotype" w:hAnsi="Palatino Linotype" w:cs="Palatino Linotype"/>
          <w:color w:val="000000"/>
        </w:rPr>
        <w:t>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w:t>
      </w:r>
      <w:r>
        <w:rPr>
          <w:rFonts w:ascii="Palatino Linotype" w:eastAsia="Palatino Linotype" w:hAnsi="Palatino Linotype" w:cs="Palatino Linotype"/>
          <w:color w:val="000000"/>
        </w:rPr>
        <w:lastRenderedPageBreak/>
        <w:t xml:space="preserve">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w:t>
      </w:r>
      <w:r>
        <w:rPr>
          <w:rFonts w:ascii="Palatino Linotype" w:eastAsia="Palatino Linotype" w:hAnsi="Palatino Linotype" w:cs="Palatino Linotype"/>
        </w:rPr>
        <w:t>mo así lo establece los criterios 09/10 y 03/17 emitidos por el Instituto Nacional de Transparencia, Acceso a la Información Pública y Protección de Datos Personales, los cuales señalan lo siguiente:</w:t>
      </w:r>
    </w:p>
    <w:p w14:paraId="026598DC" w14:textId="77777777" w:rsidR="00973055" w:rsidRDefault="001B6194">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09/10</w:t>
      </w:r>
    </w:p>
    <w:p w14:paraId="0EA5D3D1" w14:textId="77777777" w:rsidR="00973055" w:rsidRDefault="001B6194">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w:t>
      </w:r>
      <w:r>
        <w:rPr>
          <w:rFonts w:ascii="Palatino Linotype" w:eastAsia="Palatino Linotype" w:hAnsi="Palatino Linotype" w:cs="Palatino Linotype"/>
          <w:b/>
          <w:i/>
          <w:sz w:val="20"/>
          <w:szCs w:val="20"/>
        </w:rPr>
        <w:t>LAS DEPENDENCIAS Y ENTIDADES NO ESTÁN OBLIGADAS A GENERAR DOCUMENTOS AD HOC PARA RESPONDER UNA SOLICITUD DE ACC ESO A LA INFORMACIÓN.</w:t>
      </w:r>
    </w:p>
    <w:p w14:paraId="0ABBACA2" w14:textId="77777777" w:rsidR="00973055" w:rsidRDefault="001B6194">
      <w:pPr>
        <w:spacing w:before="120" w:after="24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Tomando en consideración lo establecido por el artículo 42 de la Ley Federal de Transparencia y Acceso a la Información Pú</w:t>
      </w:r>
      <w:r>
        <w:rPr>
          <w:rFonts w:ascii="Palatino Linotype" w:eastAsia="Palatino Linotype" w:hAnsi="Palatino Linotype" w:cs="Palatino Linotype"/>
          <w:i/>
          <w:sz w:val="20"/>
          <w:szCs w:val="20"/>
        </w:rPr>
        <w:t>blica Gubernamental, que establece que las dependencias y entidades sólo estarán obligadas a entregar documentos que se encuentren en sus archivos, las dependencias y entidades no están obligadas a elaborar documentos ad hoc para atender las solicitudes de</w:t>
      </w:r>
      <w:r>
        <w:rPr>
          <w:rFonts w:ascii="Palatino Linotype" w:eastAsia="Palatino Linotype" w:hAnsi="Palatino Linotype" w:cs="Palatino Linotype"/>
          <w:i/>
          <w:sz w:val="20"/>
          <w:szCs w:val="20"/>
        </w:rPr>
        <w:t xml:space="preserve"> información, sino que deben garantizar el acceso a la información con la que cuentan en el formato que la misma así lo permita o se encuentre, en aras de dar satisfacción a la solicitud presentada.”</w:t>
      </w:r>
    </w:p>
    <w:p w14:paraId="5CDA73B4" w14:textId="77777777" w:rsidR="00973055" w:rsidRDefault="001B6194">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03/17</w:t>
      </w:r>
    </w:p>
    <w:p w14:paraId="4395AAB7" w14:textId="77777777" w:rsidR="00973055" w:rsidRDefault="001B6194">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EXISTE OBLIGACIÓN DE ELABORAR DOCUMENTOS AD HO</w:t>
      </w:r>
      <w:r>
        <w:rPr>
          <w:rFonts w:ascii="Palatino Linotype" w:eastAsia="Palatino Linotype" w:hAnsi="Palatino Linotype" w:cs="Palatino Linotype"/>
          <w:b/>
          <w:i/>
          <w:sz w:val="20"/>
          <w:szCs w:val="20"/>
        </w:rPr>
        <w:t>C PARA ATENDER LAS SOLICITUDES DE ACCESO A LA INFORMACIÓN.</w:t>
      </w:r>
    </w:p>
    <w:p w14:paraId="5FC2FEA7" w14:textId="77777777" w:rsidR="00973055" w:rsidRDefault="001B6194">
      <w:pPr>
        <w:spacing w:before="120" w:after="24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Los artículos 129 de la Ley General de Transparencia y Acceso a la Información Pública y 130, párrafo cuarto, de la Ley Federal de Transparencia y Acceso a la Información Pública, señalan que los s</w:t>
      </w:r>
      <w:r>
        <w:rPr>
          <w:rFonts w:ascii="Palatino Linotype" w:eastAsia="Palatino Linotype" w:hAnsi="Palatino Linotype" w:cs="Palatino Linotype"/>
          <w:i/>
          <w:sz w:val="20"/>
          <w:szCs w:val="20"/>
        </w:rPr>
        <w:t>ujetos obligados deberán otorgar acceso a los documentos que se encuentren en sus archivos o que estén obligados a documentar, de acuerdo con sus facultades, competencias o funciones, conforme a Las características físicas de la información o del lugar don</w:t>
      </w:r>
      <w:r>
        <w:rPr>
          <w:rFonts w:ascii="Palatino Linotype" w:eastAsia="Palatino Linotype" w:hAnsi="Palatino Linotype" w:cs="Palatino Linotype"/>
          <w:i/>
          <w:sz w:val="20"/>
          <w:szCs w:val="20"/>
        </w:rPr>
        <w:t>de se encuentre. Por lo anterior, los sujetos obligados deben garantizar el derecho de acceso a la información del particular, proporcionando la información con la que cuentan en el formato en que la misma obre en sus archivos; sin necesidad de elaborar do</w:t>
      </w:r>
      <w:r>
        <w:rPr>
          <w:rFonts w:ascii="Palatino Linotype" w:eastAsia="Palatino Linotype" w:hAnsi="Palatino Linotype" w:cs="Palatino Linotype"/>
          <w:i/>
          <w:sz w:val="20"/>
          <w:szCs w:val="20"/>
        </w:rPr>
        <w:t>cumentos ad hoc para atender las solicitudes de información."(Sic)</w:t>
      </w:r>
    </w:p>
    <w:p w14:paraId="56B03425" w14:textId="77777777" w:rsidR="00973055" w:rsidRDefault="00973055">
      <w:pPr>
        <w:spacing w:before="120" w:after="240"/>
        <w:ind w:left="1134" w:right="902"/>
        <w:jc w:val="both"/>
        <w:rPr>
          <w:rFonts w:ascii="Palatino Linotype" w:eastAsia="Palatino Linotype" w:hAnsi="Palatino Linotype" w:cs="Palatino Linotype"/>
          <w:i/>
          <w:sz w:val="20"/>
          <w:szCs w:val="20"/>
        </w:rPr>
      </w:pPr>
    </w:p>
    <w:p w14:paraId="40CD435D" w14:textId="77777777" w:rsidR="00973055" w:rsidRDefault="001B619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w:t>
      </w:r>
      <w:r>
        <w:rPr>
          <w:rFonts w:ascii="Palatino Linotype" w:eastAsia="Palatino Linotype" w:hAnsi="Palatino Linotype" w:cs="Palatino Linotype"/>
          <w:color w:val="000000"/>
        </w:rPr>
        <w:lastRenderedPageBreak/>
        <w:t xml:space="preserve">pública que </w:t>
      </w:r>
      <w:r>
        <w:rPr>
          <w:rFonts w:ascii="Palatino Linotype" w:eastAsia="Palatino Linotype" w:hAnsi="Palatino Linotype" w:cs="Palatino Linotype"/>
        </w:rPr>
        <w:t>genere</w:t>
      </w:r>
      <w:r>
        <w:rPr>
          <w:rFonts w:ascii="Palatino Linotype" w:eastAsia="Palatino Linotype" w:hAnsi="Palatino Linotype" w:cs="Palatino Linotype"/>
        </w:rPr>
        <w:t>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w:t>
      </w:r>
      <w:r>
        <w:rPr>
          <w:rFonts w:ascii="Palatino Linotype" w:eastAsia="Palatino Linotype" w:hAnsi="Palatino Linotype" w:cs="Palatino Linotype"/>
          <w:color w:val="000000"/>
        </w:rPr>
        <w:t>blica.</w:t>
      </w:r>
    </w:p>
    <w:p w14:paraId="1D9E0B0C" w14:textId="77777777" w:rsidR="00973055" w:rsidRDefault="00973055">
      <w:pPr>
        <w:spacing w:line="360" w:lineRule="auto"/>
        <w:jc w:val="both"/>
        <w:rPr>
          <w:rFonts w:ascii="Palatino Linotype" w:eastAsia="Palatino Linotype" w:hAnsi="Palatino Linotype" w:cs="Palatino Linotype"/>
          <w:color w:val="000000"/>
        </w:rPr>
      </w:pPr>
    </w:p>
    <w:p w14:paraId="531A910B" w14:textId="77777777" w:rsidR="00973055" w:rsidRDefault="001B619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w:t>
      </w:r>
      <w:r>
        <w:rPr>
          <w:rFonts w:ascii="Palatino Linotype" w:eastAsia="Palatino Linotype" w:hAnsi="Palatino Linotype" w:cs="Palatino Linotype"/>
        </w:rPr>
        <w:t>el acuerdo clasificatorio del comité de transparencia y la versión pública que emita el servidor público habilitado de cada Sujeto Obligado; como así se establece en la Ley de Transparencia y Acceso a la Información Pública del Estado de México y Municipio</w:t>
      </w:r>
      <w:r>
        <w:rPr>
          <w:rFonts w:ascii="Palatino Linotype" w:eastAsia="Palatino Linotype" w:hAnsi="Palatino Linotype" w:cs="Palatino Linotype"/>
        </w:rPr>
        <w:t>s.</w:t>
      </w:r>
    </w:p>
    <w:p w14:paraId="3D3B29FD" w14:textId="77777777" w:rsidR="00973055" w:rsidRDefault="00973055">
      <w:pPr>
        <w:jc w:val="both"/>
        <w:rPr>
          <w:rFonts w:ascii="Palatino Linotype" w:eastAsia="Palatino Linotype" w:hAnsi="Palatino Linotype" w:cs="Palatino Linotype"/>
          <w:color w:val="000000"/>
        </w:rPr>
      </w:pPr>
    </w:p>
    <w:p w14:paraId="21C6A455"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w:t>
      </w:r>
      <w:r>
        <w:rPr>
          <w:rFonts w:ascii="Palatino Linotype" w:eastAsia="Palatino Linotype" w:hAnsi="Palatino Linotype" w:cs="Palatino Linotype"/>
        </w:rPr>
        <w:t>s, directivas, directrices, circulares, contratos, convenios, instructivos, notas, memorandos, estadísticas o bien, cualquier otro registro que documente el ejercicio de las facultades, funciones y competencias de los Sujetos Obligados; los que, podrán est</w:t>
      </w:r>
      <w:r>
        <w:rPr>
          <w:rFonts w:ascii="Palatino Linotype" w:eastAsia="Palatino Linotype" w:hAnsi="Palatino Linotype" w:cs="Palatino Linotype"/>
        </w:rPr>
        <w:t xml:space="preserve">ar en cualquier medio, sea escrito, impreso, sonoro, visual, electrónico, informático u holográfico de conformidad con el artículo 3, fracción XI de la Ley de la materia, el cual señala lo siguiente: </w:t>
      </w:r>
    </w:p>
    <w:p w14:paraId="5C9B070D" w14:textId="77777777" w:rsidR="00973055" w:rsidRDefault="00973055">
      <w:pPr>
        <w:ind w:left="1134" w:right="899"/>
        <w:jc w:val="both"/>
        <w:rPr>
          <w:rFonts w:ascii="Palatino Linotype" w:eastAsia="Palatino Linotype" w:hAnsi="Palatino Linotype" w:cs="Palatino Linotype"/>
          <w:i/>
          <w:sz w:val="22"/>
          <w:szCs w:val="22"/>
        </w:rPr>
      </w:pPr>
    </w:p>
    <w:p w14:paraId="426A6413" w14:textId="77777777" w:rsidR="00973055" w:rsidRDefault="001B6194">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w:t>
      </w:r>
      <w:r>
        <w:rPr>
          <w:rFonts w:ascii="Palatino Linotype" w:eastAsia="Palatino Linotype" w:hAnsi="Palatino Linotype" w:cs="Palatino Linotype"/>
          <w:i/>
          <w:sz w:val="22"/>
          <w:szCs w:val="22"/>
        </w:rPr>
        <w:t>tenderá por:</w:t>
      </w:r>
    </w:p>
    <w:p w14:paraId="068E0B64" w14:textId="77777777" w:rsidR="00973055" w:rsidRDefault="001B6194">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1257B0AE" w14:textId="77777777" w:rsidR="00973055" w:rsidRDefault="001B6194">
      <w:pPr>
        <w:ind w:left="1134"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color w:val="000000"/>
          <w:sz w:val="22"/>
          <w:szCs w:val="22"/>
        </w:rPr>
        <w:t>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4921C346" w14:textId="77777777" w:rsidR="00973055" w:rsidRDefault="00973055">
      <w:pPr>
        <w:ind w:left="851" w:right="899"/>
        <w:jc w:val="both"/>
        <w:rPr>
          <w:rFonts w:ascii="Palatino Linotype" w:eastAsia="Palatino Linotype" w:hAnsi="Palatino Linotype" w:cs="Palatino Linotype"/>
          <w:i/>
          <w:color w:val="000000"/>
          <w:sz w:val="22"/>
          <w:szCs w:val="22"/>
        </w:rPr>
      </w:pPr>
    </w:p>
    <w:p w14:paraId="2F4D39E2"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w:t>
      </w:r>
      <w:r>
        <w:rPr>
          <w:rFonts w:ascii="Palatino Linotype" w:eastAsia="Palatino Linotype" w:hAnsi="Palatino Linotype" w:cs="Palatino Linotype"/>
        </w:rPr>
        <w:t>el Gobierno del Estado Libre y Soberano de México “Gaceta del Gobierno”, el diecinueve de octubre de dos mil once, cuyo rubro y texto refieren lo siguiente:</w:t>
      </w:r>
    </w:p>
    <w:p w14:paraId="40B26AB1" w14:textId="77777777" w:rsidR="00973055" w:rsidRDefault="00973055">
      <w:pPr>
        <w:ind w:left="851" w:right="899"/>
        <w:jc w:val="both"/>
        <w:rPr>
          <w:rFonts w:ascii="Palatino Linotype" w:eastAsia="Palatino Linotype" w:hAnsi="Palatino Linotype" w:cs="Palatino Linotype"/>
        </w:rPr>
      </w:pPr>
    </w:p>
    <w:p w14:paraId="17B3EF1B" w14:textId="77777777" w:rsidR="00973055" w:rsidRDefault="001B6194">
      <w:pPr>
        <w:ind w:left="1134"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6CE89A60" w14:textId="77777777" w:rsidR="00973055" w:rsidRDefault="001B6194">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w:t>
      </w:r>
      <w:r>
        <w:rPr>
          <w:rFonts w:ascii="Palatino Linotype" w:eastAsia="Palatino Linotype" w:hAnsi="Palatino Linotype" w:cs="Palatino Linotype"/>
          <w:b/>
          <w:i/>
          <w:sz w:val="22"/>
          <w:szCs w:val="22"/>
        </w:rPr>
        <w:t>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w:t>
      </w:r>
      <w:r>
        <w:rPr>
          <w:rFonts w:ascii="Palatino Linotype" w:eastAsia="Palatino Linotype" w:hAnsi="Palatino Linotype" w:cs="Palatino Linotype"/>
          <w:i/>
          <w:sz w:val="22"/>
          <w:szCs w:val="22"/>
        </w:rPr>
        <w:t>os y documentos públicos, administrados, generados o en posesión de los órganos u organismos públicos, en virtud del ejercicio de sus funciones de derecho público, sin importar su fuente, soporte o fecha de elaboración.</w:t>
      </w:r>
    </w:p>
    <w:p w14:paraId="32773E3A" w14:textId="77777777" w:rsidR="00973055" w:rsidRDefault="00973055">
      <w:pPr>
        <w:ind w:left="1134" w:right="899"/>
        <w:jc w:val="both"/>
        <w:rPr>
          <w:rFonts w:ascii="Palatino Linotype" w:eastAsia="Palatino Linotype" w:hAnsi="Palatino Linotype" w:cs="Palatino Linotype"/>
          <w:i/>
          <w:sz w:val="22"/>
          <w:szCs w:val="22"/>
        </w:rPr>
      </w:pPr>
    </w:p>
    <w:p w14:paraId="239AF989" w14:textId="77777777" w:rsidR="00973055" w:rsidRDefault="001B6194">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w:t>
      </w:r>
      <w:r>
        <w:rPr>
          <w:rFonts w:ascii="Palatino Linotype" w:eastAsia="Palatino Linotype" w:hAnsi="Palatino Linotype" w:cs="Palatino Linotype"/>
          <w:i/>
          <w:sz w:val="22"/>
          <w:szCs w:val="22"/>
        </w:rPr>
        <w:t>rmación se refiere a que se cumplan cualquiera de los siguientes tres supuestos:</w:t>
      </w:r>
    </w:p>
    <w:p w14:paraId="0B63B4AB" w14:textId="77777777" w:rsidR="00973055" w:rsidRDefault="00973055">
      <w:pPr>
        <w:ind w:left="1134" w:right="899"/>
        <w:jc w:val="both"/>
        <w:rPr>
          <w:rFonts w:ascii="Palatino Linotype" w:eastAsia="Palatino Linotype" w:hAnsi="Palatino Linotype" w:cs="Palatino Linotype"/>
          <w:i/>
          <w:sz w:val="22"/>
          <w:szCs w:val="22"/>
        </w:rPr>
      </w:pPr>
    </w:p>
    <w:p w14:paraId="0B16CAEF" w14:textId="77777777" w:rsidR="00973055" w:rsidRDefault="001B6194">
      <w:pPr>
        <w:numPr>
          <w:ilvl w:val="0"/>
          <w:numId w:val="4"/>
        </w:numPr>
        <w:pBdr>
          <w:top w:val="nil"/>
          <w:left w:val="nil"/>
          <w:bottom w:val="nil"/>
          <w:right w:val="nil"/>
          <w:between w:val="nil"/>
        </w:pBdr>
        <w:ind w:right="89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sea generada por los Sujetos Obligados;</w:t>
      </w:r>
    </w:p>
    <w:p w14:paraId="0473D8E4" w14:textId="77777777" w:rsidR="00973055" w:rsidRDefault="00973055">
      <w:pPr>
        <w:pBdr>
          <w:top w:val="nil"/>
          <w:left w:val="nil"/>
          <w:bottom w:val="nil"/>
          <w:right w:val="nil"/>
          <w:between w:val="nil"/>
        </w:pBdr>
        <w:ind w:left="1494" w:right="899"/>
        <w:jc w:val="both"/>
        <w:rPr>
          <w:rFonts w:ascii="Palatino Linotype" w:eastAsia="Palatino Linotype" w:hAnsi="Palatino Linotype" w:cs="Palatino Linotype"/>
          <w:b/>
          <w:i/>
          <w:color w:val="000000"/>
          <w:sz w:val="22"/>
          <w:szCs w:val="22"/>
        </w:rPr>
      </w:pPr>
    </w:p>
    <w:p w14:paraId="6B5460CB" w14:textId="77777777" w:rsidR="00973055" w:rsidRDefault="001B6194">
      <w:pPr>
        <w:numPr>
          <w:ilvl w:val="0"/>
          <w:numId w:val="4"/>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Que se trate</w:t>
      </w:r>
      <w:r>
        <w:rPr>
          <w:rFonts w:ascii="Palatino Linotype" w:eastAsia="Palatino Linotype" w:hAnsi="Palatino Linotype" w:cs="Palatino Linotype"/>
          <w:i/>
          <w:color w:val="000000"/>
          <w:sz w:val="22"/>
          <w:szCs w:val="22"/>
        </w:rPr>
        <w:t xml:space="preserve"> de información registrada en cualquier soporte documental, que en ejercicio de las atribuciones conferidas, sea administrada por los Sujetos Obligados, y</w:t>
      </w:r>
    </w:p>
    <w:p w14:paraId="1F122DE8" w14:textId="77777777" w:rsidR="00973055" w:rsidRDefault="00973055">
      <w:p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p>
    <w:p w14:paraId="1777CEF6" w14:textId="77777777" w:rsidR="00973055" w:rsidRDefault="001B6194">
      <w:pPr>
        <w:ind w:left="1418" w:right="899"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6A4B7740" w14:textId="77777777" w:rsidR="00973055" w:rsidRDefault="00973055">
      <w:pPr>
        <w:ind w:left="1134" w:right="1041"/>
        <w:jc w:val="both"/>
        <w:rPr>
          <w:rFonts w:ascii="Palatino Linotype" w:eastAsia="Palatino Linotype" w:hAnsi="Palatino Linotype" w:cs="Palatino Linotype"/>
          <w:sz w:val="22"/>
          <w:szCs w:val="22"/>
        </w:rPr>
      </w:pPr>
    </w:p>
    <w:p w14:paraId="6C2AC1D1" w14:textId="77777777" w:rsidR="00973055" w:rsidRDefault="001B619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w:t>
      </w:r>
      <w:r>
        <w:rPr>
          <w:rFonts w:ascii="Palatino Linotype" w:eastAsia="Palatino Linotype" w:hAnsi="Palatino Linotype" w:cs="Palatino Linotype"/>
        </w:rPr>
        <w:t>itudes de acceso a la información que le sean formuladas y entregar la información pública que obre en sus archivos; más aún si la misma se trata de información pública de oficio la cual se relaciona con aquella que se genere de acuerdo con sus facultades,</w:t>
      </w:r>
      <w:r>
        <w:rPr>
          <w:rFonts w:ascii="Palatino Linotype" w:eastAsia="Palatino Linotype" w:hAnsi="Palatino Linotype" w:cs="Palatino Linotype"/>
        </w:rPr>
        <w:t xml:space="preserve">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w:t>
      </w:r>
      <w:r>
        <w:rPr>
          <w:rFonts w:ascii="Palatino Linotype" w:eastAsia="Palatino Linotype" w:hAnsi="Palatino Linotype" w:cs="Palatino Linotype"/>
        </w:rPr>
        <w:t xml:space="preserve">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 deuda pública.</w:t>
      </w:r>
    </w:p>
    <w:p w14:paraId="3F5A5A86" w14:textId="77777777" w:rsidR="00973055" w:rsidRDefault="001B6194">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con la finalidad de ilustrar el asunto que se resuelve en la presente resolución, resulta conveniente precisar la solicitu</w:t>
      </w:r>
      <w:r>
        <w:rPr>
          <w:rFonts w:ascii="Palatino Linotype" w:eastAsia="Palatino Linotype" w:hAnsi="Palatino Linotype" w:cs="Palatino Linotype"/>
          <w:color w:val="000000"/>
        </w:rPr>
        <w:t xml:space="preserve">d de información y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verificar la procedencia o improcedencia de las razones o motivos de inconformidad expuestos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w:t>
      </w:r>
    </w:p>
    <w:p w14:paraId="084F9A3A" w14:textId="77777777" w:rsidR="00973055" w:rsidRDefault="001B6194">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2"/>
          <w:szCs w:val="22"/>
        </w:rPr>
        <w:lastRenderedPageBreak/>
        <w:t>Solicitud:</w:t>
      </w:r>
    </w:p>
    <w:p w14:paraId="70DC6AD9" w14:textId="77777777" w:rsidR="00973055" w:rsidRDefault="001B6194">
      <w:pPr>
        <w:pBdr>
          <w:top w:val="nil"/>
          <w:left w:val="nil"/>
          <w:bottom w:val="nil"/>
          <w:right w:val="nil"/>
          <w:between w:val="nil"/>
        </w:pBdr>
        <w:spacing w:after="160" w:line="276" w:lineRule="auto"/>
        <w:ind w:left="720" w:right="91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“se me entregue toda la información en versión pública de aquellos que hayan sido beneficiados con condonaciones y/o cancelaciones de créditos fiscales por parte de ese Ayuntamiento durante los años 2019, 2020 y 2021.” (sic)</w:t>
      </w:r>
    </w:p>
    <w:p w14:paraId="52FC077C" w14:textId="77777777" w:rsidR="00973055" w:rsidRDefault="001B6194">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Respuesta:</w:t>
      </w:r>
    </w:p>
    <w:p w14:paraId="29B7F53E" w14:textId="77777777" w:rsidR="00973055" w:rsidRDefault="001B6194">
      <w:pPr>
        <w:pBdr>
          <w:top w:val="nil"/>
          <w:left w:val="nil"/>
          <w:bottom w:val="nil"/>
          <w:right w:val="nil"/>
          <w:between w:val="nil"/>
        </w:pBdr>
        <w:tabs>
          <w:tab w:val="left" w:pos="426"/>
        </w:tabs>
        <w:spacing w:before="240" w:line="276" w:lineRule="auto"/>
        <w:ind w:left="851"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“El H. Ayuntamiento </w:t>
      </w:r>
      <w:r>
        <w:rPr>
          <w:rFonts w:ascii="Palatino Linotype" w:eastAsia="Palatino Linotype" w:hAnsi="Palatino Linotype" w:cs="Palatino Linotype"/>
          <w:i/>
          <w:color w:val="000000"/>
        </w:rPr>
        <w:t>Constitucional de Ecatepec de Morelos hace de su conocimiento la respuesta emitida por:  TESORERÍA MUNICIPAL “ (Sic)</w:t>
      </w:r>
    </w:p>
    <w:p w14:paraId="11481328" w14:textId="77777777" w:rsidR="00973055" w:rsidRDefault="001B6194">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Anexa en formato PDF el Programa Anual de Evaluación 2021, que consta de 18 fojas, de las cuales contienen: la presentación del programa anual, el marco jurídico, los objetivos del programa anual de evaluación 2021, consideraciones generales, sujetos evalu</w:t>
      </w:r>
      <w:r>
        <w:rPr>
          <w:rFonts w:ascii="Palatino Linotype" w:eastAsia="Palatino Linotype" w:hAnsi="Palatino Linotype" w:cs="Palatino Linotype"/>
          <w:color w:val="000000"/>
        </w:rPr>
        <w:t xml:space="preserve">ados, programas presupuestarios evaluarse, cronograma de trabajo para la evaluación, difusión de los resultados de evaluación, y seguimiento a los resultados de evaluación, </w:t>
      </w:r>
      <w:r>
        <w:rPr>
          <w:rFonts w:ascii="Palatino Linotype" w:eastAsia="Palatino Linotype" w:hAnsi="Palatino Linotype" w:cs="Palatino Linotype"/>
          <w:b/>
          <w:color w:val="000000"/>
          <w:u w:val="single"/>
        </w:rPr>
        <w:t xml:space="preserve">sin contar con información de los beneficiados de condonaciones o cancelaciones de </w:t>
      </w:r>
      <w:r>
        <w:rPr>
          <w:rFonts w:ascii="Palatino Linotype" w:eastAsia="Palatino Linotype" w:hAnsi="Palatino Linotype" w:cs="Palatino Linotype"/>
          <w:b/>
          <w:color w:val="000000"/>
          <w:u w:val="single"/>
        </w:rPr>
        <w:t>créditos fiscales</w:t>
      </w:r>
      <w:r>
        <w:rPr>
          <w:rFonts w:ascii="Palatino Linotype" w:eastAsia="Palatino Linotype" w:hAnsi="Palatino Linotype" w:cs="Palatino Linotype"/>
          <w:color w:val="000000"/>
        </w:rPr>
        <w:t>, como se muestra a continuación:</w:t>
      </w:r>
    </w:p>
    <w:p w14:paraId="1513B1E3" w14:textId="77777777" w:rsidR="00973055" w:rsidRDefault="001B6194">
      <w:pPr>
        <w:pBdr>
          <w:top w:val="nil"/>
          <w:left w:val="nil"/>
          <w:bottom w:val="nil"/>
          <w:right w:val="nil"/>
          <w:between w:val="nil"/>
        </w:pBdr>
        <w:tabs>
          <w:tab w:val="left" w:pos="426"/>
        </w:tabs>
        <w:spacing w:before="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ES_tradnl" w:eastAsia="zh-CN"/>
        </w:rPr>
        <w:lastRenderedPageBreak/>
        <w:drawing>
          <wp:inline distT="0" distB="0" distL="0" distR="0" wp14:anchorId="4363E093" wp14:editId="69AB32DA">
            <wp:extent cx="2525343" cy="3447702"/>
            <wp:effectExtent l="0" t="0" r="0" b="0"/>
            <wp:docPr id="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525343" cy="3447702"/>
                    </a:xfrm>
                    <a:prstGeom prst="rect">
                      <a:avLst/>
                    </a:prstGeom>
                    <a:ln/>
                  </pic:spPr>
                </pic:pic>
              </a:graphicData>
            </a:graphic>
          </wp:inline>
        </w:drawing>
      </w:r>
    </w:p>
    <w:p w14:paraId="2F9C0877" w14:textId="77777777" w:rsidR="00973055" w:rsidRDefault="001B6194">
      <w:pPr>
        <w:pBdr>
          <w:top w:val="nil"/>
          <w:left w:val="nil"/>
          <w:bottom w:val="nil"/>
          <w:right w:val="nil"/>
          <w:between w:val="nil"/>
        </w:pBdr>
        <w:tabs>
          <w:tab w:val="left" w:pos="426"/>
        </w:tabs>
        <w:spacing w:before="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ES_tradnl" w:eastAsia="zh-CN"/>
        </w:rPr>
        <w:drawing>
          <wp:inline distT="0" distB="0" distL="0" distR="0" wp14:anchorId="67CAD206" wp14:editId="6AE8218B">
            <wp:extent cx="4340404" cy="3070893"/>
            <wp:effectExtent l="0" t="0" r="0" b="0"/>
            <wp:docPr id="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340404" cy="3070893"/>
                    </a:xfrm>
                    <a:prstGeom prst="rect">
                      <a:avLst/>
                    </a:prstGeom>
                    <a:ln/>
                  </pic:spPr>
                </pic:pic>
              </a:graphicData>
            </a:graphic>
          </wp:inline>
        </w:drawing>
      </w:r>
    </w:p>
    <w:p w14:paraId="0FFD7D26" w14:textId="77777777" w:rsidR="00973055" w:rsidRDefault="00973055">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b/>
          <w:color w:val="000000"/>
          <w:sz w:val="22"/>
          <w:szCs w:val="22"/>
        </w:rPr>
      </w:pPr>
    </w:p>
    <w:p w14:paraId="0AB6CBF6" w14:textId="77777777" w:rsidR="00973055" w:rsidRDefault="001B6194">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Acto Impugnado y Razones o motivos de Inconformidad.</w:t>
      </w:r>
    </w:p>
    <w:p w14:paraId="21BB55D7" w14:textId="77777777" w:rsidR="00973055" w:rsidRDefault="00973055">
      <w:pPr>
        <w:spacing w:line="360" w:lineRule="auto"/>
        <w:jc w:val="both"/>
        <w:rPr>
          <w:rFonts w:ascii="Palatino Linotype" w:eastAsia="Palatino Linotype" w:hAnsi="Palatino Linotype" w:cs="Palatino Linotype"/>
          <w:b/>
        </w:rPr>
      </w:pPr>
    </w:p>
    <w:p w14:paraId="2AD8D8CC" w14:textId="77777777" w:rsidR="00973055" w:rsidRDefault="001B6194">
      <w:pPr>
        <w:spacing w:line="276" w:lineRule="auto"/>
        <w:ind w:left="709" w:right="629"/>
        <w:jc w:val="both"/>
        <w:rPr>
          <w:rFonts w:ascii="Palatino Linotype" w:eastAsia="Palatino Linotype" w:hAnsi="Palatino Linotype" w:cs="Palatino Linotype"/>
          <w:i/>
        </w:rPr>
      </w:pPr>
      <w:r>
        <w:rPr>
          <w:rFonts w:ascii="Palatino Linotype" w:eastAsia="Palatino Linotype" w:hAnsi="Palatino Linotype" w:cs="Palatino Linotype"/>
          <w:i/>
        </w:rPr>
        <w:t>“la respuesta.” (sic)</w:t>
      </w:r>
    </w:p>
    <w:p w14:paraId="5C01CCB8" w14:textId="77777777" w:rsidR="00973055" w:rsidRDefault="00973055">
      <w:pPr>
        <w:spacing w:line="276" w:lineRule="auto"/>
        <w:ind w:right="629"/>
        <w:jc w:val="both"/>
        <w:rPr>
          <w:rFonts w:ascii="Palatino Linotype" w:eastAsia="Palatino Linotype" w:hAnsi="Palatino Linotype" w:cs="Palatino Linotype"/>
          <w:b/>
        </w:rPr>
      </w:pPr>
    </w:p>
    <w:p w14:paraId="4C179B0A" w14:textId="77777777" w:rsidR="00973055" w:rsidRDefault="001B6194">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“me inconformo con la respuesta debido a que no se entrega la información completa y  además solo se refiere a un año, careciendo de la exhaustividad exigida por la le.” (Sic)</w:t>
      </w:r>
    </w:p>
    <w:p w14:paraId="40A3B390" w14:textId="77777777" w:rsidR="00973055" w:rsidRDefault="001B6194">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Informe Justificado.</w:t>
      </w:r>
    </w:p>
    <w:p w14:paraId="632C687D"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 este respecto, es importante hacer mención que en el informe justificado, se aprecia la respuesta de la Tesorería Municipal, quien manifiesta lo siguiente:</w:t>
      </w:r>
      <w:r>
        <w:rPr>
          <w:noProof/>
          <w:lang w:val="es-ES_tradnl" w:eastAsia="zh-CN"/>
        </w:rPr>
        <mc:AlternateContent>
          <mc:Choice Requires="wpg">
            <w:drawing>
              <wp:anchor distT="0" distB="0" distL="114300" distR="114300" simplePos="0" relativeHeight="251658240" behindDoc="0" locked="0" layoutInCell="1" hidden="0" allowOverlap="1" wp14:anchorId="665BCAE1" wp14:editId="6A82FD77">
                <wp:simplePos x="0" y="0"/>
                <wp:positionH relativeFrom="column">
                  <wp:posOffset>203200</wp:posOffset>
                </wp:positionH>
                <wp:positionV relativeFrom="paragraph">
                  <wp:posOffset>723900</wp:posOffset>
                </wp:positionV>
                <wp:extent cx="5171967" cy="3229786"/>
                <wp:effectExtent l="0" t="0" r="0" b="0"/>
                <wp:wrapNone/>
                <wp:docPr id="85" name="Conector recto de flecha 85"/>
                <wp:cNvGraphicFramePr/>
                <a:graphic xmlns:a="http://schemas.openxmlformats.org/drawingml/2006/main">
                  <a:graphicData uri="http://schemas.microsoft.com/office/word/2010/wordprocessingShape">
                    <wps:wsp>
                      <wps:cNvCnPr/>
                      <wps:spPr>
                        <a:xfrm>
                          <a:off x="2772717" y="2177807"/>
                          <a:ext cx="5146567" cy="3204386"/>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723900</wp:posOffset>
                </wp:positionV>
                <wp:extent cx="5171967" cy="3229786"/>
                <wp:effectExtent b="0" l="0" r="0" t="0"/>
                <wp:wrapNone/>
                <wp:docPr id="85"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5171967" cy="3229786"/>
                        </a:xfrm>
                        <a:prstGeom prst="rect"/>
                        <a:ln/>
                      </pic:spPr>
                    </pic:pic>
                  </a:graphicData>
                </a:graphic>
              </wp:anchor>
            </w:drawing>
          </mc:Fallback>
        </mc:AlternateContent>
      </w:r>
    </w:p>
    <w:p w14:paraId="39B160B2" w14:textId="77777777" w:rsidR="00973055" w:rsidRDefault="00973055">
      <w:pPr>
        <w:spacing w:line="360" w:lineRule="auto"/>
        <w:jc w:val="both"/>
        <w:rPr>
          <w:rFonts w:ascii="Palatino Linotype" w:eastAsia="Palatino Linotype" w:hAnsi="Palatino Linotype" w:cs="Palatino Linotype"/>
        </w:rPr>
      </w:pPr>
    </w:p>
    <w:p w14:paraId="64D76BF9" w14:textId="77777777" w:rsidR="00973055" w:rsidRDefault="00973055">
      <w:pPr>
        <w:spacing w:line="360" w:lineRule="auto"/>
        <w:jc w:val="both"/>
        <w:rPr>
          <w:rFonts w:ascii="Palatino Linotype" w:eastAsia="Palatino Linotype" w:hAnsi="Palatino Linotype" w:cs="Palatino Linotype"/>
        </w:rPr>
      </w:pPr>
    </w:p>
    <w:p w14:paraId="37560B18" w14:textId="77777777" w:rsidR="00973055" w:rsidRDefault="00973055">
      <w:pPr>
        <w:spacing w:line="360" w:lineRule="auto"/>
        <w:jc w:val="both"/>
        <w:rPr>
          <w:rFonts w:ascii="Palatino Linotype" w:eastAsia="Palatino Linotype" w:hAnsi="Palatino Linotype" w:cs="Palatino Linotype"/>
        </w:rPr>
      </w:pPr>
    </w:p>
    <w:p w14:paraId="7AF4772D" w14:textId="77777777" w:rsidR="00973055" w:rsidRDefault="00973055">
      <w:pPr>
        <w:spacing w:line="360" w:lineRule="auto"/>
        <w:jc w:val="both"/>
        <w:rPr>
          <w:rFonts w:ascii="Palatino Linotype" w:eastAsia="Palatino Linotype" w:hAnsi="Palatino Linotype" w:cs="Palatino Linotype"/>
        </w:rPr>
      </w:pPr>
    </w:p>
    <w:p w14:paraId="0F8CE2ED" w14:textId="77777777" w:rsidR="00973055" w:rsidRDefault="00973055">
      <w:pPr>
        <w:spacing w:line="360" w:lineRule="auto"/>
        <w:jc w:val="both"/>
        <w:rPr>
          <w:rFonts w:ascii="Palatino Linotype" w:eastAsia="Palatino Linotype" w:hAnsi="Palatino Linotype" w:cs="Palatino Linotype"/>
        </w:rPr>
      </w:pPr>
    </w:p>
    <w:p w14:paraId="2AEA4F07" w14:textId="77777777" w:rsidR="00973055" w:rsidRDefault="00973055">
      <w:pPr>
        <w:spacing w:line="360" w:lineRule="auto"/>
        <w:jc w:val="both"/>
        <w:rPr>
          <w:rFonts w:ascii="Palatino Linotype" w:eastAsia="Palatino Linotype" w:hAnsi="Palatino Linotype" w:cs="Palatino Linotype"/>
        </w:rPr>
      </w:pPr>
    </w:p>
    <w:p w14:paraId="79E68A78" w14:textId="77777777" w:rsidR="00973055" w:rsidRDefault="00973055">
      <w:pPr>
        <w:spacing w:line="360" w:lineRule="auto"/>
        <w:jc w:val="both"/>
        <w:rPr>
          <w:rFonts w:ascii="Palatino Linotype" w:eastAsia="Palatino Linotype" w:hAnsi="Palatino Linotype" w:cs="Palatino Linotype"/>
        </w:rPr>
      </w:pPr>
    </w:p>
    <w:p w14:paraId="1C5B1003" w14:textId="77777777" w:rsidR="00973055" w:rsidRDefault="00973055">
      <w:pPr>
        <w:spacing w:line="360" w:lineRule="auto"/>
        <w:jc w:val="both"/>
        <w:rPr>
          <w:rFonts w:ascii="Palatino Linotype" w:eastAsia="Palatino Linotype" w:hAnsi="Palatino Linotype" w:cs="Palatino Linotype"/>
        </w:rPr>
      </w:pPr>
    </w:p>
    <w:p w14:paraId="6C8204A6" w14:textId="77777777" w:rsidR="00973055" w:rsidRDefault="00973055">
      <w:pPr>
        <w:spacing w:line="360" w:lineRule="auto"/>
        <w:jc w:val="both"/>
        <w:rPr>
          <w:rFonts w:ascii="Palatino Linotype" w:eastAsia="Palatino Linotype" w:hAnsi="Palatino Linotype" w:cs="Palatino Linotype"/>
        </w:rPr>
      </w:pPr>
    </w:p>
    <w:p w14:paraId="52F95209" w14:textId="77777777" w:rsidR="00973055" w:rsidRDefault="0045020F">
      <w:pPr>
        <w:spacing w:line="360" w:lineRule="auto"/>
        <w:jc w:val="center"/>
        <w:rPr>
          <w:rFonts w:ascii="Palatino Linotype" w:eastAsia="Palatino Linotype" w:hAnsi="Palatino Linotype" w:cs="Palatino Linotype"/>
        </w:rPr>
      </w:pPr>
      <w:r>
        <w:rPr>
          <w:noProof/>
          <w:lang w:val="es-ES_tradnl" w:eastAsia="zh-CN"/>
        </w:rPr>
        <w:lastRenderedPageBreak/>
        <mc:AlternateContent>
          <mc:Choice Requires="wps">
            <w:drawing>
              <wp:anchor distT="0" distB="0" distL="114300" distR="114300" simplePos="0" relativeHeight="251660288" behindDoc="0" locked="0" layoutInCell="1" hidden="0" allowOverlap="1" wp14:anchorId="73CB20B5" wp14:editId="52B2AD73">
                <wp:simplePos x="0" y="0"/>
                <wp:positionH relativeFrom="column">
                  <wp:posOffset>123632</wp:posOffset>
                </wp:positionH>
                <wp:positionV relativeFrom="paragraph">
                  <wp:posOffset>3630753</wp:posOffset>
                </wp:positionV>
                <wp:extent cx="5705668" cy="346887"/>
                <wp:effectExtent l="0" t="0" r="34925" b="34290"/>
                <wp:wrapNone/>
                <wp:docPr id="88" name="Rectángulo 88"/>
                <wp:cNvGraphicFramePr/>
                <a:graphic xmlns:a="http://schemas.openxmlformats.org/drawingml/2006/main">
                  <a:graphicData uri="http://schemas.microsoft.com/office/word/2010/wordprocessingShape">
                    <wps:wsp>
                      <wps:cNvSpPr/>
                      <wps:spPr>
                        <a:xfrm>
                          <a:off x="0" y="0"/>
                          <a:ext cx="5705668" cy="346887"/>
                        </a:xfrm>
                        <a:prstGeom prst="rect">
                          <a:avLst/>
                        </a:prstGeom>
                        <a:noFill/>
                        <a:ln w="9525" cap="flat" cmpd="sng">
                          <a:solidFill>
                            <a:srgbClr val="4A7DBA"/>
                          </a:solidFill>
                          <a:prstDash val="solid"/>
                          <a:round/>
                          <a:headEnd type="none" w="sm" len="sm"/>
                          <a:tailEnd type="none" w="sm" len="sm"/>
                        </a:ln>
                      </wps:spPr>
                      <wps:txbx>
                        <w:txbxContent>
                          <w:p w14:paraId="6B2FBDCF" w14:textId="77777777" w:rsidR="00973055" w:rsidRDefault="0097305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3CB20B5" id="Rectángulo 88" o:spid="_x0000_s1026" style="position:absolute;left:0;text-align:left;margin-left:9.75pt;margin-top:285.9pt;width:449.25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" filled="f" strokecolor="#4a7dba">
                <v:stroke startarrowwidth="narrow" startarrowlength="short" endarrowwidth="narrow" endarrowlength="short" joinstyle="round"/>
                <v:textbox inset="91425emu,91425emu,91425emu,91425emu">
                  <w:txbxContent>
                    <w:p w14:paraId="6B2FBDCF" w14:textId="77777777" w:rsidR="00973055" w:rsidRDefault="00973055">
                      <w:pPr>
                        <w:textDirection w:val="btLr"/>
                      </w:pPr>
                    </w:p>
                  </w:txbxContent>
                </v:textbox>
              </v:rect>
            </w:pict>
          </mc:Fallback>
        </mc:AlternateContent>
      </w:r>
      <w:r>
        <w:rPr>
          <w:noProof/>
          <w:lang w:val="es-ES_tradnl" w:eastAsia="zh-CN"/>
        </w:rPr>
        <mc:AlternateContent>
          <mc:Choice Requires="wps">
            <w:drawing>
              <wp:anchor distT="0" distB="0" distL="114300" distR="114300" simplePos="0" relativeHeight="251659264" behindDoc="0" locked="0" layoutInCell="1" hidden="0" allowOverlap="1" wp14:anchorId="13CA51A9" wp14:editId="53AB7598">
                <wp:simplePos x="0" y="0"/>
                <wp:positionH relativeFrom="column">
                  <wp:posOffset>54184</wp:posOffset>
                </wp:positionH>
                <wp:positionV relativeFrom="paragraph">
                  <wp:posOffset>1443138</wp:posOffset>
                </wp:positionV>
                <wp:extent cx="5660816" cy="591402"/>
                <wp:effectExtent l="0" t="0" r="29210" b="18415"/>
                <wp:wrapNone/>
                <wp:docPr id="86" name="Rectángulo 86"/>
                <wp:cNvGraphicFramePr/>
                <a:graphic xmlns:a="http://schemas.openxmlformats.org/drawingml/2006/main">
                  <a:graphicData uri="http://schemas.microsoft.com/office/word/2010/wordprocessingShape">
                    <wps:wsp>
                      <wps:cNvSpPr/>
                      <wps:spPr>
                        <a:xfrm>
                          <a:off x="0" y="0"/>
                          <a:ext cx="5660816" cy="591402"/>
                        </a:xfrm>
                        <a:prstGeom prst="rect">
                          <a:avLst/>
                        </a:prstGeom>
                        <a:noFill/>
                        <a:ln w="9525" cap="flat" cmpd="sng">
                          <a:solidFill>
                            <a:srgbClr val="4A7DBA"/>
                          </a:solidFill>
                          <a:prstDash val="solid"/>
                          <a:round/>
                          <a:headEnd type="none" w="sm" len="sm"/>
                          <a:tailEnd type="none" w="sm" len="sm"/>
                        </a:ln>
                      </wps:spPr>
                      <wps:txbx>
                        <w:txbxContent>
                          <w:p w14:paraId="780A63BF" w14:textId="77777777" w:rsidR="00973055" w:rsidRDefault="0097305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3CA51A9" id="Rectángulo 86" o:spid="_x0000_s1027" style="position:absolute;left:0;text-align:left;margin-left:4.25pt;margin-top:113.65pt;width:445.75pt;height:4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" filled="f" strokecolor="#4a7dba">
                <v:stroke startarrowwidth="narrow" startarrowlength="short" endarrowwidth="narrow" endarrowlength="short" joinstyle="round"/>
                <v:textbox inset="91425emu,91425emu,91425emu,91425emu">
                  <w:txbxContent>
                    <w:p w14:paraId="780A63BF" w14:textId="77777777" w:rsidR="00973055" w:rsidRDefault="00973055">
                      <w:pPr>
                        <w:textDirection w:val="btLr"/>
                      </w:pPr>
                    </w:p>
                  </w:txbxContent>
                </v:textbox>
              </v:rect>
            </w:pict>
          </mc:Fallback>
        </mc:AlternateContent>
      </w:r>
      <w:r w:rsidR="001B6194">
        <w:rPr>
          <w:rFonts w:ascii="Palatino Linotype" w:eastAsia="Palatino Linotype" w:hAnsi="Palatino Linotype" w:cs="Palatino Linotype"/>
          <w:noProof/>
          <w:lang w:val="es-ES_tradnl" w:eastAsia="zh-CN"/>
        </w:rPr>
        <w:drawing>
          <wp:inline distT="0" distB="0" distL="0" distR="0" wp14:anchorId="73A47DF1" wp14:editId="08807BD1">
            <wp:extent cx="6002270" cy="4035943"/>
            <wp:effectExtent l="0" t="0" r="0" b="0"/>
            <wp:docPr id="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002270" cy="4035943"/>
                    </a:xfrm>
                    <a:prstGeom prst="rect">
                      <a:avLst/>
                    </a:prstGeom>
                    <a:ln/>
                  </pic:spPr>
                </pic:pic>
              </a:graphicData>
            </a:graphic>
          </wp:inline>
        </w:drawing>
      </w:r>
    </w:p>
    <w:p w14:paraId="41CCF551" w14:textId="77777777" w:rsidR="00973055" w:rsidRDefault="001B619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precisado resulta importante aplicar la suplencia en favor del recurrente, en virtud de que si bien señaló como motivo de inconformidad la entrega de información incompleta, ello derivó de la respuesta que brindó el Sujeto Obligado y que no corresp</w:t>
      </w:r>
      <w:r>
        <w:rPr>
          <w:rFonts w:ascii="Palatino Linotype" w:eastAsia="Palatino Linotype" w:hAnsi="Palatino Linotype" w:cs="Palatino Linotype"/>
        </w:rPr>
        <w:t xml:space="preserve">onde con lo solicitado, tal como se precisara en párrafos posteriores, ello encuentra sustento los artículos 13 y párrafo cuarto del 181 de la Ley de Transparencia y Acceso a la Información Pública del Estado de México y Municipios, mismos que se insertan </w:t>
      </w:r>
      <w:r>
        <w:rPr>
          <w:rFonts w:ascii="Palatino Linotype" w:eastAsia="Palatino Linotype" w:hAnsi="Palatino Linotype" w:cs="Palatino Linotype"/>
        </w:rPr>
        <w:t>a continuación:</w:t>
      </w:r>
    </w:p>
    <w:p w14:paraId="6EEBFA4B" w14:textId="77777777" w:rsidR="00973055" w:rsidRDefault="001B619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13.</w:t>
      </w:r>
      <w:r>
        <w:rPr>
          <w:rFonts w:ascii="Palatino Linotype" w:eastAsia="Palatino Linotype" w:hAnsi="Palatino Linotype" w:cs="Palatino Linotype"/>
          <w:i/>
          <w:sz w:val="22"/>
          <w:szCs w:val="22"/>
        </w:rPr>
        <w:t xml:space="preserve"> El Instituto, en el ámbito de sus atribuciones, deberá suplir cualquier deficiencia para garantizar el ejercicio del derecho de acceso a la información.</w:t>
      </w:r>
    </w:p>
    <w:p w14:paraId="6DEDEF3A" w14:textId="77777777" w:rsidR="00973055" w:rsidRDefault="001B6194">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181.</w:t>
      </w:r>
    </w:p>
    <w:p w14:paraId="5BFF7822" w14:textId="77777777" w:rsidR="00973055" w:rsidRDefault="001B619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2B09820" w14:textId="77777777" w:rsidR="00973055" w:rsidRDefault="001B619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Durante el procedimiento deberá aplicarse la suplencia </w:t>
      </w:r>
      <w:r>
        <w:rPr>
          <w:rFonts w:ascii="Palatino Linotype" w:eastAsia="Palatino Linotype" w:hAnsi="Palatino Linotype" w:cs="Palatino Linotype"/>
          <w:i/>
          <w:sz w:val="22"/>
          <w:szCs w:val="22"/>
        </w:rPr>
        <w:t>de la queja a favor del recurrente, sin cambiar los hechos expuestos, asegurándose de que las partes puedan presentar, de manera oral o escrita, los argumentos que funden y motiven sus pretensiones.”</w:t>
      </w:r>
    </w:p>
    <w:p w14:paraId="7BC8F36A" w14:textId="77777777" w:rsidR="00973055" w:rsidRDefault="00973055">
      <w:pPr>
        <w:ind w:left="993" w:right="1041"/>
        <w:jc w:val="both"/>
        <w:rPr>
          <w:rFonts w:ascii="Palatino Linotype" w:eastAsia="Palatino Linotype" w:hAnsi="Palatino Linotype" w:cs="Palatino Linotype"/>
          <w:sz w:val="22"/>
          <w:szCs w:val="22"/>
          <w:highlight w:val="yellow"/>
        </w:rPr>
      </w:pPr>
    </w:p>
    <w:p w14:paraId="672F2A02" w14:textId="77777777" w:rsidR="00973055" w:rsidRDefault="00973055">
      <w:pPr>
        <w:spacing w:line="360" w:lineRule="auto"/>
        <w:jc w:val="both"/>
        <w:rPr>
          <w:rFonts w:ascii="Palatino Linotype" w:eastAsia="Palatino Linotype" w:hAnsi="Palatino Linotype" w:cs="Palatino Linotype"/>
          <w:color w:val="000000"/>
        </w:rPr>
      </w:pPr>
    </w:p>
    <w:p w14:paraId="176B7C59" w14:textId="77777777" w:rsidR="00973055" w:rsidRDefault="001B619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Continuando con el análisis,  se advierte </w:t>
      </w:r>
      <w:r>
        <w:rPr>
          <w:rFonts w:ascii="Palatino Linotype" w:eastAsia="Palatino Linotype" w:hAnsi="Palatino Linotype" w:cs="Palatino Linotype"/>
          <w:b/>
          <w:color w:val="000000"/>
        </w:rPr>
        <w:t>EL SUJETO OB</w:t>
      </w:r>
      <w:r>
        <w:rPr>
          <w:rFonts w:ascii="Palatino Linotype" w:eastAsia="Palatino Linotype" w:hAnsi="Palatino Linotype" w:cs="Palatino Linotype"/>
          <w:b/>
          <w:color w:val="000000"/>
        </w:rPr>
        <w:t>LIGADO</w:t>
      </w:r>
      <w:r>
        <w:rPr>
          <w:rFonts w:ascii="Palatino Linotype" w:eastAsia="Palatino Linotype" w:hAnsi="Palatino Linotype" w:cs="Palatino Linotype"/>
          <w:color w:val="000000"/>
        </w:rPr>
        <w:t xml:space="preserve"> no hace entrega de la información solicitada, toda vez que en la respuesta entrega el Programa Anual de Evaluación 2021, y en el Informe Justificado manifiesta que de conformidad con los artículos 86 de la Ley de Transparencia y Acceso al Información Públ</w:t>
      </w:r>
      <w:r>
        <w:rPr>
          <w:rFonts w:ascii="Palatino Linotype" w:eastAsia="Palatino Linotype" w:hAnsi="Palatino Linotype" w:cs="Palatino Linotype"/>
          <w:color w:val="000000"/>
        </w:rPr>
        <w:t>ica del Estado de México y Municipios, y 3.20  del Reglamento de la Ley de referencia, los Sujetos Obligados no podrán difundir los datos personales que se encuentran en su posesión, y que bajo ese contexto y con la finalidad de mantener la confidencialida</w:t>
      </w:r>
      <w:r>
        <w:rPr>
          <w:rFonts w:ascii="Palatino Linotype" w:eastAsia="Palatino Linotype" w:hAnsi="Palatino Linotype" w:cs="Palatino Linotype"/>
          <w:color w:val="000000"/>
        </w:rPr>
        <w:t xml:space="preserve">d de los datos identificables, y para evitar que sean mal utilizados, manipulados o alterados, cuyo uso indebido podría derivar en la una afectación negativa. </w:t>
      </w:r>
    </w:p>
    <w:p w14:paraId="118E3235"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 </w:t>
      </w:r>
    </w:p>
    <w:p w14:paraId="1728E6DC" w14:textId="77777777" w:rsidR="00973055" w:rsidRDefault="001B619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antes expuesto, este Instituto procede a analizar el ámbito competencial del </w:t>
      </w:r>
      <w:r>
        <w:rPr>
          <w:rFonts w:ascii="Palatino Linotype" w:eastAsia="Palatino Linotype" w:hAnsi="Palatino Linotype" w:cs="Palatino Linotype"/>
          <w:b/>
          <w:color w:val="000000"/>
        </w:rPr>
        <w:t>SUJETO OBL</w:t>
      </w:r>
      <w:r>
        <w:rPr>
          <w:rFonts w:ascii="Palatino Linotype" w:eastAsia="Palatino Linotype" w:hAnsi="Palatino Linotype" w:cs="Palatino Linotype"/>
          <w:b/>
          <w:color w:val="000000"/>
        </w:rPr>
        <w:t>IGADO</w:t>
      </w:r>
      <w:r>
        <w:rPr>
          <w:rFonts w:ascii="Palatino Linotype" w:eastAsia="Palatino Linotype" w:hAnsi="Palatino Linotype" w:cs="Palatino Linotype"/>
          <w:color w:val="000000"/>
        </w:rPr>
        <w:t xml:space="preserve"> para generar, administrar y poseer la información, tal como fue solicitada por el particular.</w:t>
      </w:r>
    </w:p>
    <w:p w14:paraId="172D43F7" w14:textId="77777777" w:rsidR="00973055" w:rsidRDefault="00973055">
      <w:pPr>
        <w:spacing w:line="360" w:lineRule="auto"/>
        <w:jc w:val="both"/>
        <w:rPr>
          <w:rFonts w:ascii="Palatino Linotype" w:eastAsia="Palatino Linotype" w:hAnsi="Palatino Linotype" w:cs="Palatino Linotype"/>
          <w:color w:val="000000"/>
        </w:rPr>
      </w:pPr>
    </w:p>
    <w:p w14:paraId="3E951D7E" w14:textId="77777777" w:rsidR="00973055" w:rsidRDefault="001B6194">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principio, cabe recordar que la solicitud materia de la presente Resolución, versa sobre los créditos fiscales; por lo que, resulta necesario traer a co</w:t>
      </w:r>
      <w:r>
        <w:rPr>
          <w:rFonts w:ascii="Palatino Linotype" w:eastAsia="Palatino Linotype" w:hAnsi="Palatino Linotype" w:cs="Palatino Linotype"/>
          <w:color w:val="000000"/>
        </w:rPr>
        <w:t xml:space="preserve">lación, el artículo </w:t>
      </w:r>
      <w:r>
        <w:rPr>
          <w:rFonts w:ascii="Palatino Linotype" w:eastAsia="Palatino Linotype" w:hAnsi="Palatino Linotype" w:cs="Palatino Linotype"/>
          <w:color w:val="000000"/>
        </w:rPr>
        <w:lastRenderedPageBreak/>
        <w:t>115, fracción IV, de la Constitución Política de los Estados Unidos Mexicanos, establece que los Municipios administrarán libremente su hacienda, la cual será formada de rendimientos, contribuciones y otros ingresos, en los que destaca:</w:t>
      </w:r>
    </w:p>
    <w:p w14:paraId="79993E8A" w14:textId="77777777" w:rsidR="00973055" w:rsidRDefault="00973055">
      <w:pPr>
        <w:tabs>
          <w:tab w:val="left" w:pos="4962"/>
        </w:tabs>
        <w:spacing w:line="360" w:lineRule="auto"/>
        <w:ind w:left="900" w:right="918"/>
        <w:jc w:val="both"/>
        <w:rPr>
          <w:rFonts w:ascii="Palatino Linotype" w:eastAsia="Palatino Linotype" w:hAnsi="Palatino Linotype" w:cs="Palatino Linotype"/>
          <w:b/>
          <w:i/>
          <w:color w:val="000000"/>
          <w:sz w:val="22"/>
          <w:szCs w:val="22"/>
        </w:rPr>
      </w:pPr>
    </w:p>
    <w:p w14:paraId="07013730" w14:textId="77777777" w:rsidR="00973055" w:rsidRDefault="001B6194">
      <w:pPr>
        <w:tabs>
          <w:tab w:val="left" w:pos="4962"/>
        </w:tabs>
        <w:ind w:left="902" w:right="91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b/>
          <w:color w:val="000000"/>
        </w:rPr>
        <w:t>Artículo 115.- …</w:t>
      </w:r>
    </w:p>
    <w:p w14:paraId="54AED413" w14:textId="77777777" w:rsidR="00973055" w:rsidRDefault="00973055">
      <w:pPr>
        <w:tabs>
          <w:tab w:val="left" w:pos="4962"/>
        </w:tabs>
        <w:ind w:left="902" w:right="919"/>
        <w:jc w:val="both"/>
        <w:rPr>
          <w:rFonts w:ascii="Palatino Linotype" w:eastAsia="Palatino Linotype" w:hAnsi="Palatino Linotype" w:cs="Palatino Linotype"/>
          <w:color w:val="000000"/>
        </w:rPr>
      </w:pPr>
    </w:p>
    <w:p w14:paraId="520ABA1D" w14:textId="77777777" w:rsidR="00973055" w:rsidRDefault="001B6194">
      <w:pPr>
        <w:tabs>
          <w:tab w:val="left" w:pos="4962"/>
        </w:tabs>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 xml:space="preserve">Los municipios administrarán libremente su hacienda, la cual se formará de los rendimientos de los bienes que les pertenezcan, así como de las contribuciones y otros ingresos que las legislaturas establezcan a su favor, y en todo caso: </w:t>
      </w:r>
    </w:p>
    <w:p w14:paraId="0092C2E1" w14:textId="77777777" w:rsidR="00973055" w:rsidRDefault="00973055">
      <w:pPr>
        <w:tabs>
          <w:tab w:val="left" w:pos="4962"/>
        </w:tabs>
        <w:ind w:left="902" w:right="919"/>
        <w:jc w:val="both"/>
        <w:rPr>
          <w:rFonts w:ascii="Palatino Linotype" w:eastAsia="Palatino Linotype" w:hAnsi="Palatino Linotype" w:cs="Palatino Linotype"/>
          <w:i/>
          <w:color w:val="000000"/>
          <w:sz w:val="22"/>
          <w:szCs w:val="22"/>
        </w:rPr>
      </w:pPr>
    </w:p>
    <w:p w14:paraId="194AEB23" w14:textId="77777777" w:rsidR="00973055" w:rsidRDefault="001B6194">
      <w:pPr>
        <w:tabs>
          <w:tab w:val="left" w:pos="4962"/>
        </w:tabs>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 Percibirán </w:t>
      </w:r>
      <w:r>
        <w:rPr>
          <w:rFonts w:ascii="Palatino Linotype" w:eastAsia="Palatino Linotype" w:hAnsi="Palatino Linotype" w:cs="Palatino Linotype"/>
          <w:b/>
          <w:i/>
          <w:color w:val="000000"/>
          <w:sz w:val="22"/>
          <w:szCs w:val="22"/>
        </w:rPr>
        <w:t>las contribuciones</w:t>
      </w:r>
      <w:r>
        <w:rPr>
          <w:rFonts w:ascii="Palatino Linotype" w:eastAsia="Palatino Linotype" w:hAnsi="Palatino Linotype" w:cs="Palatino Linotype"/>
          <w:i/>
          <w:color w:val="000000"/>
          <w:sz w:val="22"/>
          <w:szCs w:val="22"/>
        </w:rPr>
        <w:t xml:space="preserve">, incluyendo tasas adicionales, que establezcan los Estados sobre la propiedad inmobiliaria, de su fraccionamiento, división, consolidación, traslación y mejora así como las que tengan por base el cambio de valor de los inmuebles. </w:t>
      </w:r>
    </w:p>
    <w:p w14:paraId="6A2B566F" w14:textId="77777777" w:rsidR="00973055" w:rsidRDefault="00973055">
      <w:pPr>
        <w:tabs>
          <w:tab w:val="left" w:pos="4962"/>
        </w:tabs>
        <w:ind w:left="902" w:right="919"/>
        <w:jc w:val="both"/>
        <w:rPr>
          <w:rFonts w:ascii="Palatino Linotype" w:eastAsia="Palatino Linotype" w:hAnsi="Palatino Linotype" w:cs="Palatino Linotype"/>
          <w:i/>
          <w:color w:val="000000"/>
          <w:sz w:val="22"/>
          <w:szCs w:val="22"/>
        </w:rPr>
      </w:pPr>
    </w:p>
    <w:p w14:paraId="1B9FD8ED" w14:textId="77777777" w:rsidR="00973055" w:rsidRDefault="001B6194">
      <w:pPr>
        <w:tabs>
          <w:tab w:val="left" w:pos="4962"/>
        </w:tabs>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w:t>
      </w:r>
      <w:r>
        <w:rPr>
          <w:rFonts w:ascii="Palatino Linotype" w:eastAsia="Palatino Linotype" w:hAnsi="Palatino Linotype" w:cs="Palatino Linotype"/>
          <w:i/>
          <w:color w:val="000000"/>
          <w:sz w:val="22"/>
          <w:szCs w:val="22"/>
        </w:rPr>
        <w:t xml:space="preserve">os municipios podrán celebrar convenios con el Estado para que éste se haga cargo de algunas de las funciones relacionadas con la administración de esas contribuciones. </w:t>
      </w:r>
    </w:p>
    <w:p w14:paraId="5E51A9CD" w14:textId="77777777" w:rsidR="00973055" w:rsidRDefault="00973055">
      <w:pPr>
        <w:tabs>
          <w:tab w:val="left" w:pos="4962"/>
        </w:tabs>
        <w:ind w:left="902" w:right="919"/>
        <w:jc w:val="both"/>
        <w:rPr>
          <w:rFonts w:ascii="Palatino Linotype" w:eastAsia="Palatino Linotype" w:hAnsi="Palatino Linotype" w:cs="Palatino Linotype"/>
          <w:i/>
          <w:color w:val="000000"/>
          <w:sz w:val="22"/>
          <w:szCs w:val="22"/>
        </w:rPr>
      </w:pPr>
    </w:p>
    <w:p w14:paraId="7DEC1607" w14:textId="77777777" w:rsidR="00973055" w:rsidRDefault="001B6194">
      <w:pPr>
        <w:tabs>
          <w:tab w:val="left" w:pos="4962"/>
        </w:tabs>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b) </w:t>
      </w:r>
      <w:r>
        <w:rPr>
          <w:rFonts w:ascii="Palatino Linotype" w:eastAsia="Palatino Linotype" w:hAnsi="Palatino Linotype" w:cs="Palatino Linotype"/>
          <w:i/>
          <w:color w:val="000000"/>
          <w:sz w:val="22"/>
          <w:szCs w:val="22"/>
        </w:rPr>
        <w:t>Las participaciones federales, que serán cubiertas por la Federación a los Mu</w:t>
      </w:r>
      <w:r>
        <w:rPr>
          <w:rFonts w:ascii="Palatino Linotype" w:eastAsia="Palatino Linotype" w:hAnsi="Palatino Linotype" w:cs="Palatino Linotype"/>
          <w:i/>
          <w:color w:val="000000"/>
          <w:sz w:val="22"/>
          <w:szCs w:val="22"/>
        </w:rPr>
        <w:t xml:space="preserve">nicipios con arreglo a las bases, montos y plazos que anualmente se determinen por las Legislaturas de los Estados. </w:t>
      </w:r>
    </w:p>
    <w:p w14:paraId="651614B5" w14:textId="77777777" w:rsidR="00973055" w:rsidRDefault="00973055">
      <w:pPr>
        <w:tabs>
          <w:tab w:val="left" w:pos="4962"/>
        </w:tabs>
        <w:ind w:left="902" w:right="919"/>
        <w:jc w:val="both"/>
        <w:rPr>
          <w:rFonts w:ascii="Palatino Linotype" w:eastAsia="Palatino Linotype" w:hAnsi="Palatino Linotype" w:cs="Palatino Linotype"/>
          <w:i/>
          <w:color w:val="000000"/>
          <w:sz w:val="22"/>
          <w:szCs w:val="22"/>
        </w:rPr>
      </w:pPr>
    </w:p>
    <w:p w14:paraId="1B2561DC" w14:textId="77777777" w:rsidR="00973055" w:rsidRDefault="001B6194">
      <w:pPr>
        <w:tabs>
          <w:tab w:val="left" w:pos="4962"/>
        </w:tabs>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w:t>
      </w:r>
      <w:r>
        <w:rPr>
          <w:rFonts w:ascii="Palatino Linotype" w:eastAsia="Palatino Linotype" w:hAnsi="Palatino Linotype" w:cs="Palatino Linotype"/>
          <w:i/>
          <w:color w:val="000000"/>
          <w:sz w:val="22"/>
          <w:szCs w:val="22"/>
        </w:rPr>
        <w:t xml:space="preserve">) Los ingresos derivados de la prestación de servicios públicos a su cargo. </w:t>
      </w:r>
    </w:p>
    <w:p w14:paraId="0428034D" w14:textId="77777777" w:rsidR="00973055" w:rsidRDefault="00973055">
      <w:pPr>
        <w:tabs>
          <w:tab w:val="left" w:pos="4962"/>
        </w:tabs>
        <w:ind w:left="902" w:right="919"/>
        <w:jc w:val="both"/>
        <w:rPr>
          <w:rFonts w:ascii="Palatino Linotype" w:eastAsia="Palatino Linotype" w:hAnsi="Palatino Linotype" w:cs="Palatino Linotype"/>
          <w:b/>
          <w:i/>
          <w:color w:val="000000"/>
          <w:sz w:val="22"/>
          <w:szCs w:val="22"/>
        </w:rPr>
      </w:pPr>
    </w:p>
    <w:p w14:paraId="0E13544D" w14:textId="77777777" w:rsidR="00973055" w:rsidRDefault="001B6194">
      <w:pPr>
        <w:tabs>
          <w:tab w:val="left" w:pos="4962"/>
        </w:tabs>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leyes federales no limitarán la facultad de los Esta</w:t>
      </w:r>
      <w:r>
        <w:rPr>
          <w:rFonts w:ascii="Palatino Linotype" w:eastAsia="Palatino Linotype" w:hAnsi="Palatino Linotype" w:cs="Palatino Linotype"/>
          <w:i/>
          <w:color w:val="000000"/>
          <w:sz w:val="22"/>
          <w:szCs w:val="22"/>
        </w:rPr>
        <w:t>dos para establecer las contribuciones a que se refieren los incisos a) y c), ni concederán exenciones en relación con las mismas. Las leyes estatales no establecerán exenciones o subsidios en favor de persona o institución alguna respecto de dichas co</w:t>
      </w:r>
      <w:r>
        <w:rPr>
          <w:rFonts w:ascii="Palatino Linotype" w:eastAsia="Palatino Linotype" w:hAnsi="Palatino Linotype" w:cs="Palatino Linotype"/>
          <w:i/>
          <w:color w:val="000000"/>
          <w:sz w:val="22"/>
          <w:szCs w:val="22"/>
        </w:rPr>
        <w:t xml:space="preserve">ntribuciones. Sólo estarán exentos los bienes de dominio público de la Federación, de las entidades federativas o los Municipios, salvo que tales bienes sean utilizados por entidades paraestatales o por particulares, bajo cualquier título, para fines </w:t>
      </w:r>
      <w:r>
        <w:rPr>
          <w:rFonts w:ascii="Palatino Linotype" w:eastAsia="Palatino Linotype" w:hAnsi="Palatino Linotype" w:cs="Palatino Linotype"/>
          <w:i/>
          <w:color w:val="000000"/>
          <w:sz w:val="22"/>
          <w:szCs w:val="22"/>
        </w:rPr>
        <w:t xml:space="preserve">administrativos o propósitos distintos a los de su objeto público. </w:t>
      </w:r>
    </w:p>
    <w:p w14:paraId="1695D1B6" w14:textId="77777777" w:rsidR="00973055" w:rsidRDefault="00973055">
      <w:pPr>
        <w:tabs>
          <w:tab w:val="left" w:pos="4962"/>
        </w:tabs>
        <w:ind w:left="902" w:right="919"/>
        <w:jc w:val="both"/>
        <w:rPr>
          <w:rFonts w:ascii="Palatino Linotype" w:eastAsia="Palatino Linotype" w:hAnsi="Palatino Linotype" w:cs="Palatino Linotype"/>
          <w:i/>
          <w:color w:val="000000"/>
          <w:sz w:val="22"/>
          <w:szCs w:val="22"/>
        </w:rPr>
      </w:pPr>
    </w:p>
    <w:p w14:paraId="0C9AEE64" w14:textId="77777777" w:rsidR="00973055" w:rsidRDefault="001B6194">
      <w:pPr>
        <w:tabs>
          <w:tab w:val="left" w:pos="4962"/>
        </w:tabs>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Los ayuntamientos, en el ámbito de su competencia, propondrán a las legislaturas estatales las cuotas y tarifas aplicables a impuestos, derechos, contribuciones de mejoras y las tabla</w:t>
      </w:r>
      <w:r>
        <w:rPr>
          <w:rFonts w:ascii="Palatino Linotype" w:eastAsia="Palatino Linotype" w:hAnsi="Palatino Linotype" w:cs="Palatino Linotype"/>
          <w:i/>
          <w:color w:val="000000"/>
          <w:sz w:val="22"/>
          <w:szCs w:val="22"/>
        </w:rPr>
        <w:t xml:space="preserve">s de valores unitarios de suelo y construcciones que sirvan de base para el cobro de las contribuciones sobre la propiedad inmobiliaria. </w:t>
      </w:r>
    </w:p>
    <w:p w14:paraId="2EB81971" w14:textId="77777777" w:rsidR="00973055" w:rsidRDefault="00973055">
      <w:pPr>
        <w:tabs>
          <w:tab w:val="left" w:pos="4962"/>
        </w:tabs>
        <w:ind w:left="902" w:right="919"/>
        <w:jc w:val="both"/>
        <w:rPr>
          <w:rFonts w:ascii="Palatino Linotype" w:eastAsia="Palatino Linotype" w:hAnsi="Palatino Linotype" w:cs="Palatino Linotype"/>
          <w:i/>
          <w:color w:val="000000"/>
          <w:sz w:val="22"/>
          <w:szCs w:val="22"/>
        </w:rPr>
      </w:pPr>
    </w:p>
    <w:p w14:paraId="67B4D6D8" w14:textId="77777777" w:rsidR="00973055" w:rsidRDefault="001B6194">
      <w:pPr>
        <w:tabs>
          <w:tab w:val="left" w:pos="4962"/>
        </w:tabs>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legislaturas de los Estados aprobarán las leyes de ingresos de los municipios, revisarán y fiscalizarán sus cu</w:t>
      </w:r>
      <w:r>
        <w:rPr>
          <w:rFonts w:ascii="Palatino Linotype" w:eastAsia="Palatino Linotype" w:hAnsi="Palatino Linotype" w:cs="Palatino Linotype"/>
          <w:i/>
          <w:color w:val="000000"/>
          <w:sz w:val="22"/>
          <w:szCs w:val="22"/>
        </w:rPr>
        <w:t>entas públicas. Los presupuestos de egresos serán aprobados por los ayuntamientos con base en sus ingresos disponibles, y deberán incluir en los mismos, los tabuladores desglosados de las remuneraciones que perciban los servidores públicos municipales,</w:t>
      </w:r>
      <w:r>
        <w:rPr>
          <w:rFonts w:ascii="Palatino Linotype" w:eastAsia="Palatino Linotype" w:hAnsi="Palatino Linotype" w:cs="Palatino Linotype"/>
          <w:i/>
          <w:color w:val="000000"/>
          <w:sz w:val="22"/>
          <w:szCs w:val="22"/>
        </w:rPr>
        <w:t xml:space="preserve"> sujetándose a lo dispuesto en el artículo 127 de esta Constitución. </w:t>
      </w:r>
    </w:p>
    <w:p w14:paraId="1FA311A9" w14:textId="77777777" w:rsidR="00973055" w:rsidRDefault="00973055">
      <w:pPr>
        <w:tabs>
          <w:tab w:val="left" w:pos="4962"/>
        </w:tabs>
        <w:ind w:left="902" w:right="919"/>
        <w:jc w:val="both"/>
        <w:rPr>
          <w:rFonts w:ascii="Palatino Linotype" w:eastAsia="Palatino Linotype" w:hAnsi="Palatino Linotype" w:cs="Palatino Linotype"/>
          <w:i/>
          <w:color w:val="000000"/>
          <w:sz w:val="22"/>
          <w:szCs w:val="22"/>
        </w:rPr>
      </w:pPr>
    </w:p>
    <w:p w14:paraId="4DE9372B" w14:textId="77777777" w:rsidR="00973055" w:rsidRDefault="001B6194">
      <w:pPr>
        <w:tabs>
          <w:tab w:val="left" w:pos="4962"/>
        </w:tabs>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recursos que integran la hacienda municipal serán ejercidos en forma directa por los ayuntamientos, o bien, por quien ellos autoricen, conforme a la ley; …”</w:t>
      </w:r>
    </w:p>
    <w:p w14:paraId="06F63DFF" w14:textId="77777777" w:rsidR="00973055" w:rsidRDefault="00973055">
      <w:pPr>
        <w:tabs>
          <w:tab w:val="left" w:pos="4962"/>
        </w:tabs>
        <w:spacing w:line="360" w:lineRule="auto"/>
        <w:rPr>
          <w:rFonts w:ascii="Palatino Linotype" w:eastAsia="Palatino Linotype" w:hAnsi="Palatino Linotype" w:cs="Palatino Linotype"/>
          <w:color w:val="000000"/>
        </w:rPr>
      </w:pPr>
    </w:p>
    <w:p w14:paraId="2FB51D27" w14:textId="77777777" w:rsidR="00973055" w:rsidRDefault="001B6194">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misma manera, el segundo párrafo, del artículo 125 de la Constitución Política del Estado Libre y Soberano de México, establece que los municipios, administrarán libremente su hacienda, como se cita a continuación:</w:t>
      </w:r>
    </w:p>
    <w:p w14:paraId="522C3FE0" w14:textId="77777777" w:rsidR="00973055" w:rsidRDefault="00973055">
      <w:pPr>
        <w:tabs>
          <w:tab w:val="left" w:pos="4962"/>
        </w:tabs>
        <w:jc w:val="both"/>
        <w:rPr>
          <w:rFonts w:ascii="Palatino Linotype" w:eastAsia="Palatino Linotype" w:hAnsi="Palatino Linotype" w:cs="Palatino Linotype"/>
          <w:color w:val="000000"/>
        </w:rPr>
      </w:pPr>
    </w:p>
    <w:p w14:paraId="069B64FF" w14:textId="77777777" w:rsidR="00973055" w:rsidRDefault="001B6194">
      <w:pPr>
        <w:tabs>
          <w:tab w:val="left" w:pos="4962"/>
        </w:tabs>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125.- Los municipios administrarán libremente su hacienda, la cual se formará de los rendimientos de los bienes que les pertenezcan, así como de las contribuciones y otros ingresos que la ley establezca, y en todo caso: </w:t>
      </w:r>
    </w:p>
    <w:p w14:paraId="127E3E57" w14:textId="77777777" w:rsidR="00973055" w:rsidRDefault="00973055">
      <w:pPr>
        <w:tabs>
          <w:tab w:val="left" w:pos="4962"/>
        </w:tabs>
        <w:ind w:left="851" w:right="900"/>
        <w:jc w:val="both"/>
        <w:rPr>
          <w:rFonts w:ascii="Palatino Linotype" w:eastAsia="Palatino Linotype" w:hAnsi="Palatino Linotype" w:cs="Palatino Linotype"/>
          <w:i/>
          <w:color w:val="000000"/>
          <w:sz w:val="22"/>
          <w:szCs w:val="22"/>
        </w:rPr>
      </w:pPr>
    </w:p>
    <w:p w14:paraId="102A4FD2" w14:textId="77777777" w:rsidR="00973055" w:rsidRDefault="001B6194">
      <w:pPr>
        <w:numPr>
          <w:ilvl w:val="0"/>
          <w:numId w:val="1"/>
        </w:numPr>
        <w:pBdr>
          <w:top w:val="nil"/>
          <w:left w:val="nil"/>
          <w:bottom w:val="nil"/>
          <w:right w:val="nil"/>
          <w:between w:val="nil"/>
        </w:pBdr>
        <w:tabs>
          <w:tab w:val="left" w:pos="993"/>
        </w:tabs>
        <w:ind w:left="851"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Percibirán las contribuc</w:t>
      </w:r>
      <w:r>
        <w:rPr>
          <w:rFonts w:ascii="Palatino Linotype" w:eastAsia="Palatino Linotype" w:hAnsi="Palatino Linotype" w:cs="Palatino Linotype"/>
          <w:i/>
          <w:color w:val="000000"/>
          <w:sz w:val="22"/>
          <w:szCs w:val="22"/>
        </w:rPr>
        <w:t>iones, incluyendo tasas adicionales sobre la propiedad inmobiliaria, de su fraccionamiento, división, consolidación, traslación y mejora, así como las que tengan como base el cambio del valor de los inmuebles; Los municipios podrán celebrar convenios con e</w:t>
      </w:r>
      <w:r>
        <w:rPr>
          <w:rFonts w:ascii="Palatino Linotype" w:eastAsia="Palatino Linotype" w:hAnsi="Palatino Linotype" w:cs="Palatino Linotype"/>
          <w:i/>
          <w:color w:val="000000"/>
          <w:sz w:val="22"/>
          <w:szCs w:val="22"/>
        </w:rPr>
        <w:t xml:space="preserve">l Estado, para que éste se haga cargo de algunas de las funciones relacionadas con la administración de esas contribuciones; </w:t>
      </w:r>
    </w:p>
    <w:p w14:paraId="4244F851" w14:textId="77777777" w:rsidR="00973055" w:rsidRDefault="00973055">
      <w:pPr>
        <w:pBdr>
          <w:top w:val="nil"/>
          <w:left w:val="nil"/>
          <w:bottom w:val="nil"/>
          <w:right w:val="nil"/>
          <w:between w:val="nil"/>
        </w:pBdr>
        <w:tabs>
          <w:tab w:val="left" w:pos="993"/>
        </w:tabs>
        <w:ind w:left="851" w:right="900"/>
        <w:jc w:val="both"/>
        <w:rPr>
          <w:rFonts w:ascii="Palatino Linotype" w:eastAsia="Palatino Linotype" w:hAnsi="Palatino Linotype" w:cs="Palatino Linotype"/>
          <w:i/>
          <w:color w:val="000000"/>
          <w:sz w:val="22"/>
          <w:szCs w:val="22"/>
        </w:rPr>
      </w:pPr>
    </w:p>
    <w:p w14:paraId="6AF70AC6" w14:textId="77777777" w:rsidR="00973055" w:rsidRDefault="001B6194">
      <w:pPr>
        <w:numPr>
          <w:ilvl w:val="0"/>
          <w:numId w:val="1"/>
        </w:numPr>
        <w:pBdr>
          <w:top w:val="nil"/>
          <w:left w:val="nil"/>
          <w:bottom w:val="nil"/>
          <w:right w:val="nil"/>
          <w:between w:val="nil"/>
        </w:pBdr>
        <w:tabs>
          <w:tab w:val="left" w:pos="993"/>
        </w:tabs>
        <w:ind w:left="851"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participaciones federales que serán cubiertas por la Federación a los municipios, con arreglo a las bases, montos y plazos qu</w:t>
      </w:r>
      <w:r>
        <w:rPr>
          <w:rFonts w:ascii="Palatino Linotype" w:eastAsia="Palatino Linotype" w:hAnsi="Palatino Linotype" w:cs="Palatino Linotype"/>
          <w:i/>
          <w:color w:val="000000"/>
          <w:sz w:val="22"/>
          <w:szCs w:val="22"/>
        </w:rPr>
        <w:t xml:space="preserve">e anualmente determine la Legislatura; </w:t>
      </w:r>
    </w:p>
    <w:p w14:paraId="2265357C" w14:textId="77777777" w:rsidR="00973055" w:rsidRDefault="00973055">
      <w:pPr>
        <w:tabs>
          <w:tab w:val="left" w:pos="993"/>
        </w:tabs>
        <w:ind w:right="900"/>
        <w:jc w:val="both"/>
        <w:rPr>
          <w:rFonts w:ascii="Palatino Linotype" w:eastAsia="Palatino Linotype" w:hAnsi="Palatino Linotype" w:cs="Palatino Linotype"/>
          <w:i/>
          <w:color w:val="000000"/>
          <w:sz w:val="22"/>
          <w:szCs w:val="22"/>
        </w:rPr>
      </w:pPr>
    </w:p>
    <w:p w14:paraId="1FC18AB9" w14:textId="77777777" w:rsidR="00973055" w:rsidRDefault="001B6194">
      <w:pPr>
        <w:numPr>
          <w:ilvl w:val="0"/>
          <w:numId w:val="1"/>
        </w:numPr>
        <w:pBdr>
          <w:top w:val="nil"/>
          <w:left w:val="nil"/>
          <w:bottom w:val="nil"/>
          <w:right w:val="nil"/>
          <w:between w:val="nil"/>
        </w:pBdr>
        <w:tabs>
          <w:tab w:val="left" w:pos="1276"/>
        </w:tabs>
        <w:ind w:left="851"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Los ingresos derivados de la prestación de los servicios públicos a su cargo.</w:t>
      </w:r>
    </w:p>
    <w:p w14:paraId="5EF3A948" w14:textId="77777777" w:rsidR="00973055" w:rsidRDefault="001B6194">
      <w:pPr>
        <w:pBdr>
          <w:top w:val="nil"/>
          <w:left w:val="nil"/>
          <w:bottom w:val="nil"/>
          <w:right w:val="nil"/>
          <w:between w:val="nil"/>
        </w:pBdr>
        <w:tabs>
          <w:tab w:val="left" w:pos="4962"/>
        </w:tabs>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leyes del Estado no podrán establecer exenciones o subsidios en favor de persona o institución alguna, respecto de las contribuciones anteriormente citadas. Sólo estarán exentos los bienes de dominio público de la Federación, del Estado y los municipio</w:t>
      </w:r>
      <w:r>
        <w:rPr>
          <w:rFonts w:ascii="Palatino Linotype" w:eastAsia="Palatino Linotype" w:hAnsi="Palatino Linotype" w:cs="Palatino Linotype"/>
          <w:i/>
          <w:color w:val="000000"/>
          <w:sz w:val="22"/>
          <w:szCs w:val="22"/>
        </w:rPr>
        <w:t>s. Los bienes públicos que sean utilizados por organismos auxiliares, fideicomisos públicos o por particulares bajo cualquier título, para fines administrativos o propósitos distintos a los de su objeto público, causarán las mencionadas contribuciones.</w:t>
      </w:r>
    </w:p>
    <w:p w14:paraId="44B21356" w14:textId="77777777" w:rsidR="00973055" w:rsidRDefault="00973055">
      <w:pPr>
        <w:pBdr>
          <w:top w:val="nil"/>
          <w:left w:val="nil"/>
          <w:bottom w:val="nil"/>
          <w:right w:val="nil"/>
          <w:between w:val="nil"/>
        </w:pBdr>
        <w:tabs>
          <w:tab w:val="left" w:pos="4962"/>
        </w:tabs>
        <w:ind w:left="851" w:right="900"/>
        <w:jc w:val="both"/>
        <w:rPr>
          <w:rFonts w:ascii="Palatino Linotype" w:eastAsia="Palatino Linotype" w:hAnsi="Palatino Linotype" w:cs="Palatino Linotype"/>
          <w:i/>
          <w:color w:val="000000"/>
          <w:sz w:val="22"/>
          <w:szCs w:val="22"/>
        </w:rPr>
      </w:pPr>
    </w:p>
    <w:p w14:paraId="7E9C9E75" w14:textId="77777777" w:rsidR="00973055" w:rsidRDefault="001B6194">
      <w:pPr>
        <w:pBdr>
          <w:top w:val="nil"/>
          <w:left w:val="nil"/>
          <w:bottom w:val="nil"/>
          <w:right w:val="nil"/>
          <w:between w:val="nil"/>
        </w:pBdr>
        <w:tabs>
          <w:tab w:val="left" w:pos="4962"/>
        </w:tabs>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w:t>
      </w:r>
      <w:r>
        <w:rPr>
          <w:rFonts w:ascii="Palatino Linotype" w:eastAsia="Palatino Linotype" w:hAnsi="Palatino Linotype" w:cs="Palatino Linotype"/>
          <w:i/>
          <w:color w:val="000000"/>
          <w:sz w:val="22"/>
          <w:szCs w:val="22"/>
        </w:rPr>
        <w:t>s ayuntamientos, en el ámbito de su competencia, propondrán a la Legislatura, las cuotas y tarifas aplicables a impuestos, derechos, contribuciones de mejoras y las tablas de valores unitarios de suelo y construcciones que sirvan de base para el cobro de l</w:t>
      </w:r>
      <w:r>
        <w:rPr>
          <w:rFonts w:ascii="Palatino Linotype" w:eastAsia="Palatino Linotype" w:hAnsi="Palatino Linotype" w:cs="Palatino Linotype"/>
          <w:i/>
          <w:color w:val="000000"/>
          <w:sz w:val="22"/>
          <w:szCs w:val="22"/>
        </w:rPr>
        <w:t xml:space="preserve">as contribuciones sobre la propiedad inmobiliaria, en los términos que señalen las leyes de la materia. </w:t>
      </w:r>
    </w:p>
    <w:p w14:paraId="5977F500" w14:textId="77777777" w:rsidR="00973055" w:rsidRDefault="00973055">
      <w:pPr>
        <w:pBdr>
          <w:top w:val="nil"/>
          <w:left w:val="nil"/>
          <w:bottom w:val="nil"/>
          <w:right w:val="nil"/>
          <w:between w:val="nil"/>
        </w:pBdr>
        <w:tabs>
          <w:tab w:val="left" w:pos="4962"/>
        </w:tabs>
        <w:ind w:left="851" w:right="900"/>
        <w:jc w:val="both"/>
        <w:rPr>
          <w:rFonts w:ascii="Palatino Linotype" w:eastAsia="Palatino Linotype" w:hAnsi="Palatino Linotype" w:cs="Palatino Linotype"/>
          <w:i/>
          <w:color w:val="000000"/>
          <w:sz w:val="22"/>
          <w:szCs w:val="22"/>
        </w:rPr>
      </w:pPr>
    </w:p>
    <w:p w14:paraId="69FEDCA3" w14:textId="77777777" w:rsidR="00973055" w:rsidRDefault="001B6194">
      <w:pPr>
        <w:pBdr>
          <w:top w:val="nil"/>
          <w:left w:val="nil"/>
          <w:bottom w:val="nil"/>
          <w:right w:val="nil"/>
          <w:between w:val="nil"/>
        </w:pBdr>
        <w:tabs>
          <w:tab w:val="left" w:pos="4962"/>
        </w:tabs>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Ayuntamientos podrán celebrar sesiones extraordinarias de cabildo cuando la Ley de ingresos aprobada por la Legislatura, implique adecuaciones a s</w:t>
      </w:r>
      <w:r>
        <w:rPr>
          <w:rFonts w:ascii="Palatino Linotype" w:eastAsia="Palatino Linotype" w:hAnsi="Palatino Linotype" w:cs="Palatino Linotype"/>
          <w:i/>
          <w:color w:val="000000"/>
          <w:sz w:val="22"/>
          <w:szCs w:val="22"/>
        </w:rPr>
        <w:t>u Presupuesto de Egresos, asi como por la asignación de las participaciones y aportaciones federales y estatales. Estas sesiones tendrán como único objeto concordar con el Presupuesto de Egresos. La Presidenta o el Presidente Municipal, promulgará y public</w:t>
      </w:r>
      <w:r>
        <w:rPr>
          <w:rFonts w:ascii="Palatino Linotype" w:eastAsia="Palatino Linotype" w:hAnsi="Palatino Linotype" w:cs="Palatino Linotype"/>
          <w:i/>
          <w:color w:val="000000"/>
          <w:sz w:val="22"/>
          <w:szCs w:val="22"/>
        </w:rPr>
        <w:t xml:space="preserve">ará el Presupuesto de Egresos Municipal, a más tardar el día 25 de febrero de cada año debiendo enviarlo al Órgano Superior de Fiscalización en la misma fecha. </w:t>
      </w:r>
    </w:p>
    <w:p w14:paraId="716338AC" w14:textId="77777777" w:rsidR="00973055" w:rsidRDefault="00973055">
      <w:pPr>
        <w:pBdr>
          <w:top w:val="nil"/>
          <w:left w:val="nil"/>
          <w:bottom w:val="nil"/>
          <w:right w:val="nil"/>
          <w:between w:val="nil"/>
        </w:pBdr>
        <w:tabs>
          <w:tab w:val="left" w:pos="4962"/>
        </w:tabs>
        <w:ind w:left="851" w:right="900"/>
        <w:jc w:val="both"/>
        <w:rPr>
          <w:rFonts w:ascii="Palatino Linotype" w:eastAsia="Palatino Linotype" w:hAnsi="Palatino Linotype" w:cs="Palatino Linotype"/>
          <w:i/>
          <w:color w:val="000000"/>
          <w:sz w:val="22"/>
          <w:szCs w:val="22"/>
        </w:rPr>
      </w:pPr>
    </w:p>
    <w:p w14:paraId="06820810" w14:textId="77777777" w:rsidR="00973055" w:rsidRDefault="001B6194">
      <w:pPr>
        <w:pBdr>
          <w:top w:val="nil"/>
          <w:left w:val="nil"/>
          <w:bottom w:val="nil"/>
          <w:right w:val="nil"/>
          <w:between w:val="nil"/>
        </w:pBdr>
        <w:tabs>
          <w:tab w:val="left" w:pos="4962"/>
        </w:tabs>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Presupuesto deberá incluir los tabuladores desglosados de las remuneraciones que perciban l</w:t>
      </w:r>
      <w:r>
        <w:rPr>
          <w:rFonts w:ascii="Palatino Linotype" w:eastAsia="Palatino Linotype" w:hAnsi="Palatino Linotype" w:cs="Palatino Linotype"/>
          <w:i/>
          <w:color w:val="000000"/>
          <w:sz w:val="22"/>
          <w:szCs w:val="22"/>
        </w:rPr>
        <w:t xml:space="preserve">as y los servidores públicos municipales, sujetándose a lo dispuesto en el artículo 147 de esta Constitución. </w:t>
      </w:r>
    </w:p>
    <w:p w14:paraId="457BFEBE" w14:textId="77777777" w:rsidR="00973055" w:rsidRDefault="00973055">
      <w:pPr>
        <w:pBdr>
          <w:top w:val="nil"/>
          <w:left w:val="nil"/>
          <w:bottom w:val="nil"/>
          <w:right w:val="nil"/>
          <w:between w:val="nil"/>
        </w:pBdr>
        <w:tabs>
          <w:tab w:val="left" w:pos="4962"/>
        </w:tabs>
        <w:ind w:left="851" w:right="900"/>
        <w:jc w:val="both"/>
        <w:rPr>
          <w:rFonts w:ascii="Palatino Linotype" w:eastAsia="Palatino Linotype" w:hAnsi="Palatino Linotype" w:cs="Palatino Linotype"/>
          <w:i/>
          <w:color w:val="000000"/>
          <w:sz w:val="22"/>
          <w:szCs w:val="22"/>
        </w:rPr>
      </w:pPr>
    </w:p>
    <w:p w14:paraId="40E889F4" w14:textId="77777777" w:rsidR="00973055" w:rsidRDefault="001B6194">
      <w:pPr>
        <w:pBdr>
          <w:top w:val="nil"/>
          <w:left w:val="nil"/>
          <w:bottom w:val="nil"/>
          <w:right w:val="nil"/>
          <w:between w:val="nil"/>
        </w:pBdr>
        <w:tabs>
          <w:tab w:val="left" w:pos="4962"/>
        </w:tabs>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recursos que integran la hacienda municipal serán ejercidos en forma directa por los ayuntamientos, o por quien ellos autoricen, conforme a </w:t>
      </w:r>
      <w:r>
        <w:rPr>
          <w:rFonts w:ascii="Palatino Linotype" w:eastAsia="Palatino Linotype" w:hAnsi="Palatino Linotype" w:cs="Palatino Linotype"/>
          <w:i/>
          <w:color w:val="000000"/>
          <w:sz w:val="22"/>
          <w:szCs w:val="22"/>
        </w:rPr>
        <w:t>la ley, bajo los principios de eficiencia, eficacia, economía, transparencia y honradez.”</w:t>
      </w:r>
    </w:p>
    <w:p w14:paraId="340121B2" w14:textId="77777777" w:rsidR="00973055" w:rsidRDefault="00973055">
      <w:pPr>
        <w:pBdr>
          <w:top w:val="nil"/>
          <w:left w:val="nil"/>
          <w:bottom w:val="nil"/>
          <w:right w:val="nil"/>
          <w:between w:val="nil"/>
        </w:pBdr>
        <w:tabs>
          <w:tab w:val="left" w:pos="4962"/>
        </w:tabs>
        <w:ind w:left="851" w:right="900"/>
        <w:jc w:val="both"/>
        <w:rPr>
          <w:rFonts w:ascii="Palatino Linotype" w:eastAsia="Palatino Linotype" w:hAnsi="Palatino Linotype" w:cs="Palatino Linotype"/>
          <w:i/>
          <w:color w:val="000000"/>
          <w:sz w:val="22"/>
          <w:szCs w:val="22"/>
        </w:rPr>
      </w:pPr>
    </w:p>
    <w:p w14:paraId="2A766B27" w14:textId="77777777" w:rsidR="00973055" w:rsidRDefault="001B6194">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la Ley de Ingresos de los Municipios del Estado de México para el Ejercicio Fiscal del año 2021, establece lo siguiente:</w:t>
      </w:r>
    </w:p>
    <w:p w14:paraId="1BF98792" w14:textId="77777777" w:rsidR="00973055" w:rsidRDefault="00973055">
      <w:pPr>
        <w:tabs>
          <w:tab w:val="left" w:pos="4962"/>
        </w:tabs>
        <w:spacing w:line="360" w:lineRule="auto"/>
        <w:jc w:val="both"/>
        <w:rPr>
          <w:rFonts w:ascii="Palatino Linotype" w:eastAsia="Palatino Linotype" w:hAnsi="Palatino Linotype" w:cs="Palatino Linotype"/>
          <w:color w:val="000000"/>
        </w:rPr>
      </w:pPr>
    </w:p>
    <w:p w14:paraId="4ED29BB1" w14:textId="77777777" w:rsidR="00973055" w:rsidRDefault="001B6194">
      <w:pPr>
        <w:pBdr>
          <w:top w:val="nil"/>
          <w:left w:val="nil"/>
          <w:bottom w:val="nil"/>
          <w:right w:val="nil"/>
          <w:between w:val="nil"/>
        </w:pBd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Artículo 23.-</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Los ayuntamientos podrán mediante acuerdo de cabildo, cancelar los créditos fiscales,</w:t>
      </w:r>
      <w:r>
        <w:rPr>
          <w:rFonts w:ascii="Palatino Linotype" w:eastAsia="Palatino Linotype" w:hAnsi="Palatino Linotype" w:cs="Palatino Linotype"/>
          <w:i/>
          <w:color w:val="000000"/>
          <w:sz w:val="22"/>
          <w:szCs w:val="22"/>
        </w:rPr>
        <w:t xml:space="preserve"> causados con anterioridad al 1 de enero de 2018 cuyo cobro tenga encomendado la Tesorería Municipal cuando el importe histórico del crédito al 31 de diciembre de 201</w:t>
      </w:r>
      <w:r>
        <w:rPr>
          <w:rFonts w:ascii="Palatino Linotype" w:eastAsia="Palatino Linotype" w:hAnsi="Palatino Linotype" w:cs="Palatino Linotype"/>
          <w:i/>
          <w:color w:val="000000"/>
          <w:sz w:val="22"/>
          <w:szCs w:val="22"/>
        </w:rPr>
        <w:t xml:space="preserve">7, sea de $3,000.00 (Tres mil pesos 00/100 M.N.) o menos; no procederá la cancelación, cuando existan dos o más créditos a cargo de una misma persona y la suma de ellos exceda el límite de $3,000.00 (Tres mil pesos 00/100 M.N.), ni cuando se trate de </w:t>
      </w:r>
      <w:r>
        <w:rPr>
          <w:rFonts w:ascii="Palatino Linotype" w:eastAsia="Palatino Linotype" w:hAnsi="Palatino Linotype" w:cs="Palatino Linotype"/>
          <w:i/>
          <w:color w:val="000000"/>
          <w:sz w:val="22"/>
          <w:szCs w:val="22"/>
        </w:rPr>
        <w:t xml:space="preserve">créditos derivados del Impuesto Predial y Derechos de Agua Potable; así como los derivados de multas administrativas no fiscales y los de responsabilidad administrativa resarcitoria. </w:t>
      </w:r>
    </w:p>
    <w:p w14:paraId="00ABC33A" w14:textId="77777777" w:rsidR="00973055" w:rsidRDefault="00973055">
      <w:pPr>
        <w:pBdr>
          <w:top w:val="nil"/>
          <w:left w:val="nil"/>
          <w:bottom w:val="nil"/>
          <w:right w:val="nil"/>
          <w:between w:val="nil"/>
        </w:pBdr>
        <w:ind w:left="709" w:right="902"/>
        <w:jc w:val="both"/>
        <w:rPr>
          <w:rFonts w:ascii="Palatino Linotype" w:eastAsia="Palatino Linotype" w:hAnsi="Palatino Linotype" w:cs="Palatino Linotype"/>
          <w:i/>
          <w:color w:val="000000"/>
          <w:sz w:val="22"/>
          <w:szCs w:val="22"/>
        </w:rPr>
      </w:pPr>
    </w:p>
    <w:p w14:paraId="586D2717" w14:textId="77777777" w:rsidR="00973055" w:rsidRDefault="001B6194">
      <w:pPr>
        <w:pBdr>
          <w:top w:val="nil"/>
          <w:left w:val="nil"/>
          <w:bottom w:val="nil"/>
          <w:right w:val="nil"/>
          <w:between w:val="nil"/>
        </w:pBd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Asimismo, los ayuntamientos podrán mediante acuerdo de cabildo, facu</w:t>
      </w:r>
      <w:r>
        <w:rPr>
          <w:rFonts w:ascii="Palatino Linotype" w:eastAsia="Palatino Linotype" w:hAnsi="Palatino Linotype" w:cs="Palatino Linotype"/>
          <w:i/>
          <w:color w:val="000000"/>
          <w:sz w:val="22"/>
          <w:szCs w:val="22"/>
        </w:rPr>
        <w:t>ltar a la Tesorería Municipal para que lleve a cabo la cancelación de los créditos fiscales municipales cuyo cobro le corresponde efectuar, en los casos en que exista imposibilidad práctica de cobro. Se considera que existe imposibilidad práctica de c</w:t>
      </w:r>
      <w:r>
        <w:rPr>
          <w:rFonts w:ascii="Palatino Linotype" w:eastAsia="Palatino Linotype" w:hAnsi="Palatino Linotype" w:cs="Palatino Linotype"/>
          <w:i/>
          <w:color w:val="000000"/>
          <w:sz w:val="22"/>
          <w:szCs w:val="22"/>
        </w:rPr>
        <w:t xml:space="preserve">obro, entre otras cosas, cuando los deudores no tengan bienes embargables, el deudor hubiere fallecido o desaparecido sin dejar bienes a su nombre, o cuando por sentencia firme hubiere sido declarado en quiebra por falta de activos. </w:t>
      </w:r>
    </w:p>
    <w:p w14:paraId="6E817ED6" w14:textId="77777777" w:rsidR="00973055" w:rsidRDefault="00973055">
      <w:pPr>
        <w:pBdr>
          <w:top w:val="nil"/>
          <w:left w:val="nil"/>
          <w:bottom w:val="nil"/>
          <w:right w:val="nil"/>
          <w:between w:val="nil"/>
        </w:pBdr>
        <w:ind w:left="709" w:right="902"/>
        <w:jc w:val="both"/>
        <w:rPr>
          <w:rFonts w:ascii="Palatino Linotype" w:eastAsia="Palatino Linotype" w:hAnsi="Palatino Linotype" w:cs="Palatino Linotype"/>
          <w:i/>
          <w:color w:val="000000"/>
          <w:sz w:val="22"/>
          <w:szCs w:val="22"/>
        </w:rPr>
      </w:pPr>
    </w:p>
    <w:p w14:paraId="78EBC91B" w14:textId="77777777" w:rsidR="00973055" w:rsidRDefault="001B6194">
      <w:pPr>
        <w:pBdr>
          <w:top w:val="nil"/>
          <w:left w:val="nil"/>
          <w:bottom w:val="nil"/>
          <w:right w:val="nil"/>
          <w:between w:val="nil"/>
        </w:pBd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Instituto Hacendar</w:t>
      </w:r>
      <w:r>
        <w:rPr>
          <w:rFonts w:ascii="Palatino Linotype" w:eastAsia="Palatino Linotype" w:hAnsi="Palatino Linotype" w:cs="Palatino Linotype"/>
          <w:i/>
          <w:color w:val="000000"/>
          <w:sz w:val="22"/>
          <w:szCs w:val="22"/>
        </w:rPr>
        <w:t>io del Estado de México capacitará y asesorará a la autoridad fiscal municipal, a fin de que esta disposición se aplique correctamente. “</w:t>
      </w:r>
    </w:p>
    <w:p w14:paraId="088F0A45" w14:textId="77777777" w:rsidR="00973055" w:rsidRDefault="00973055">
      <w:pPr>
        <w:tabs>
          <w:tab w:val="left" w:pos="4962"/>
        </w:tabs>
        <w:spacing w:line="360" w:lineRule="auto"/>
        <w:jc w:val="both"/>
        <w:rPr>
          <w:rFonts w:ascii="Palatino Linotype" w:eastAsia="Palatino Linotype" w:hAnsi="Palatino Linotype" w:cs="Palatino Linotype"/>
          <w:color w:val="000000"/>
        </w:rPr>
      </w:pPr>
    </w:p>
    <w:p w14:paraId="7289BD79" w14:textId="77777777" w:rsidR="00973055" w:rsidRDefault="001B6194">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el Código Fiscal de la Federación, señala lo siguiente:</w:t>
      </w:r>
    </w:p>
    <w:p w14:paraId="2936C4F1" w14:textId="77777777" w:rsidR="00973055" w:rsidRDefault="00973055">
      <w:pPr>
        <w:tabs>
          <w:tab w:val="left" w:pos="4962"/>
        </w:tabs>
        <w:spacing w:line="360" w:lineRule="auto"/>
        <w:jc w:val="both"/>
        <w:rPr>
          <w:rFonts w:ascii="Palatino Linotype" w:eastAsia="Palatino Linotype" w:hAnsi="Palatino Linotype" w:cs="Palatino Linotype"/>
          <w:color w:val="000000"/>
        </w:rPr>
      </w:pPr>
    </w:p>
    <w:p w14:paraId="352E204D" w14:textId="77777777" w:rsidR="00973055" w:rsidRDefault="001B6194">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bookmarkStart w:id="3" w:name="bookmark=id.gjdgxs" w:colFirst="0" w:colLast="0"/>
      <w:bookmarkEnd w:id="3"/>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4o.- Son créditos fiscales lo</w:t>
      </w:r>
      <w:r>
        <w:rPr>
          <w:rFonts w:ascii="Palatino Linotype" w:eastAsia="Palatino Linotype" w:hAnsi="Palatino Linotype" w:cs="Palatino Linotype"/>
          <w:b/>
          <w:i/>
          <w:color w:val="000000"/>
          <w:sz w:val="22"/>
          <w:szCs w:val="22"/>
        </w:rPr>
        <w:t xml:space="preserve">s que tenga derecho a percibir el Estado o sus organismos descentralizados que provengan de contribuciones, de sus accesorios o de aprovechamientos, incluyendo los que deriven de responsabilidades que el Estado tenga derecho a exigir de sus funcionarios o </w:t>
      </w:r>
      <w:r>
        <w:rPr>
          <w:rFonts w:ascii="Palatino Linotype" w:eastAsia="Palatino Linotype" w:hAnsi="Palatino Linotype" w:cs="Palatino Linotype"/>
          <w:b/>
          <w:i/>
          <w:color w:val="000000"/>
          <w:sz w:val="22"/>
          <w:szCs w:val="22"/>
        </w:rPr>
        <w:t>empleados o de los particulares, así como aquellos a los que las leyes les den ese carácter y el Estado tenga derecho a percibir por cuenta ajena.</w:t>
      </w:r>
    </w:p>
    <w:p w14:paraId="459A0024" w14:textId="77777777" w:rsidR="00973055" w:rsidRDefault="00973055">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40043A92" w14:textId="77777777" w:rsidR="00973055" w:rsidRDefault="001B6194">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recaudación proveniente de todos los ingresos de la Federación, aun cuando se destinen a un fin específico, se hará por la Secretaría de Hacienda y Crédito Público o por las oficinas que dicha Secretaría autorice.</w:t>
      </w:r>
    </w:p>
    <w:p w14:paraId="7D47D68A" w14:textId="77777777" w:rsidR="00973055" w:rsidRDefault="00973055">
      <w:pPr>
        <w:tabs>
          <w:tab w:val="left" w:pos="4962"/>
        </w:tabs>
        <w:ind w:left="851" w:right="902"/>
        <w:jc w:val="both"/>
        <w:rPr>
          <w:rFonts w:ascii="Palatino Linotype" w:eastAsia="Palatino Linotype" w:hAnsi="Palatino Linotype" w:cs="Palatino Linotype"/>
          <w:i/>
          <w:color w:val="000000"/>
          <w:sz w:val="22"/>
          <w:szCs w:val="22"/>
        </w:rPr>
      </w:pPr>
    </w:p>
    <w:p w14:paraId="47FE74BA" w14:textId="77777777" w:rsidR="00973055" w:rsidRDefault="001B6194">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Para efectos del párrafo anterior, las</w:t>
      </w:r>
      <w:r>
        <w:rPr>
          <w:rFonts w:ascii="Palatino Linotype" w:eastAsia="Palatino Linotype" w:hAnsi="Palatino Linotype" w:cs="Palatino Linotype"/>
          <w:i/>
          <w:color w:val="000000"/>
          <w:sz w:val="22"/>
          <w:szCs w:val="22"/>
        </w:rPr>
        <w:t xml:space="preserve"> autoridades que remitan créditos fiscales al Servicio de Administración Tributaria para su cobro, deberán cumplir con los requisitos que mediante reglas de carácter general establezca dicho órgano.”</w:t>
      </w:r>
    </w:p>
    <w:p w14:paraId="07D0E282" w14:textId="77777777" w:rsidR="00973055" w:rsidRDefault="001B6194">
      <w:pPr>
        <w:pBdr>
          <w:top w:val="nil"/>
          <w:left w:val="nil"/>
          <w:bottom w:val="nil"/>
          <w:right w:val="nil"/>
          <w:between w:val="nil"/>
        </w:pBdr>
        <w:tabs>
          <w:tab w:val="left" w:pos="5925"/>
        </w:tabs>
        <w:spacing w:line="360"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b/>
      </w:r>
    </w:p>
    <w:p w14:paraId="738E4E05" w14:textId="77777777" w:rsidR="00973055" w:rsidRDefault="001B6194">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los artículos 93 y 95 de la Ley Orgánica Municipal del Estado de México, establecen que:</w:t>
      </w:r>
    </w:p>
    <w:p w14:paraId="355409E2" w14:textId="77777777" w:rsidR="00973055" w:rsidRDefault="00973055">
      <w:pPr>
        <w:tabs>
          <w:tab w:val="left" w:pos="4962"/>
        </w:tabs>
        <w:spacing w:line="360" w:lineRule="auto"/>
        <w:ind w:left="851" w:right="900"/>
        <w:jc w:val="both"/>
        <w:rPr>
          <w:rFonts w:ascii="Palatino Linotype" w:eastAsia="Palatino Linotype" w:hAnsi="Palatino Linotype" w:cs="Palatino Linotype"/>
          <w:i/>
          <w:sz w:val="22"/>
          <w:szCs w:val="22"/>
        </w:rPr>
      </w:pPr>
    </w:p>
    <w:p w14:paraId="740BE483"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tesorería municipal es el órgano encargado de la recaudación de los ingresos municipales y responsable de realizar las erogaciones que haga </w:t>
      </w:r>
      <w:r>
        <w:rPr>
          <w:rFonts w:ascii="Palatino Linotype" w:eastAsia="Palatino Linotype" w:hAnsi="Palatino Linotype" w:cs="Palatino Linotype"/>
          <w:b/>
          <w:i/>
          <w:sz w:val="22"/>
          <w:szCs w:val="22"/>
        </w:rPr>
        <w:t>el ayuntamiento.</w:t>
      </w:r>
      <w:r>
        <w:rPr>
          <w:rFonts w:ascii="Palatino Linotype" w:eastAsia="Palatino Linotype" w:hAnsi="Palatino Linotype" w:cs="Palatino Linotype"/>
          <w:i/>
          <w:sz w:val="22"/>
          <w:szCs w:val="22"/>
        </w:rPr>
        <w:t xml:space="preserve"> </w:t>
      </w:r>
    </w:p>
    <w:p w14:paraId="074A6563" w14:textId="77777777" w:rsidR="00973055" w:rsidRDefault="00973055">
      <w:pPr>
        <w:tabs>
          <w:tab w:val="left" w:pos="4962"/>
        </w:tabs>
        <w:spacing w:line="360" w:lineRule="auto"/>
        <w:jc w:val="both"/>
      </w:pPr>
    </w:p>
    <w:p w14:paraId="4C203ABD"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95.-</w:t>
      </w:r>
      <w:r>
        <w:rPr>
          <w:rFonts w:ascii="Palatino Linotype" w:eastAsia="Palatino Linotype" w:hAnsi="Palatino Linotype" w:cs="Palatino Linotype"/>
          <w:i/>
          <w:sz w:val="22"/>
          <w:szCs w:val="22"/>
        </w:rPr>
        <w:t xml:space="preserve"> Son atribuciones del tesorero municipal: </w:t>
      </w:r>
    </w:p>
    <w:p w14:paraId="0B7A5235" w14:textId="77777777" w:rsidR="00973055" w:rsidRDefault="00973055">
      <w:pPr>
        <w:tabs>
          <w:tab w:val="left" w:pos="4962"/>
        </w:tabs>
        <w:ind w:left="851" w:right="902"/>
        <w:jc w:val="both"/>
        <w:rPr>
          <w:rFonts w:ascii="Palatino Linotype" w:eastAsia="Palatino Linotype" w:hAnsi="Palatino Linotype" w:cs="Palatino Linotype"/>
          <w:i/>
          <w:sz w:val="22"/>
          <w:szCs w:val="22"/>
        </w:rPr>
      </w:pPr>
    </w:p>
    <w:p w14:paraId="6EB08428"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rPr>
        <w:t>Administrar la hacienda pública municipal, de conformidad con las disposiciones legales aplicables;</w:t>
      </w:r>
      <w:r>
        <w:rPr>
          <w:rFonts w:ascii="Palatino Linotype" w:eastAsia="Palatino Linotype" w:hAnsi="Palatino Linotype" w:cs="Palatino Linotype"/>
          <w:i/>
          <w:sz w:val="22"/>
          <w:szCs w:val="22"/>
        </w:rPr>
        <w:t xml:space="preserve"> </w:t>
      </w:r>
    </w:p>
    <w:p w14:paraId="04CAE89F" w14:textId="77777777" w:rsidR="00973055" w:rsidRDefault="001B6194">
      <w:pPr>
        <w:tabs>
          <w:tab w:val="left" w:pos="4962"/>
        </w:tabs>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Determinar, liquidar, recaudar, fiscalizar y administrar las contribuci</w:t>
      </w:r>
      <w:r>
        <w:rPr>
          <w:rFonts w:ascii="Palatino Linotype" w:eastAsia="Palatino Linotype" w:hAnsi="Palatino Linotype" w:cs="Palatino Linotype"/>
          <w:b/>
          <w:i/>
          <w:sz w:val="22"/>
          <w:szCs w:val="22"/>
        </w:rPr>
        <w:t>ones en los términos de los ordenamientos jurídicos aplicables y, en su caso, aplicar el procedimiento administrativo de ejecución en términos de las disposiciones aplicables;</w:t>
      </w:r>
    </w:p>
    <w:p w14:paraId="774AD96D"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Imponer las sanciones administrativas que procedan por infracciones a las d</w:t>
      </w:r>
      <w:r>
        <w:rPr>
          <w:rFonts w:ascii="Palatino Linotype" w:eastAsia="Palatino Linotype" w:hAnsi="Palatino Linotype" w:cs="Palatino Linotype"/>
          <w:i/>
          <w:sz w:val="22"/>
          <w:szCs w:val="22"/>
        </w:rPr>
        <w:t xml:space="preserve">isposiciones fiscales; </w:t>
      </w:r>
    </w:p>
    <w:p w14:paraId="0D84173F"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w:t>
      </w:r>
      <w:r>
        <w:rPr>
          <w:rFonts w:ascii="Palatino Linotype" w:eastAsia="Palatino Linotype" w:hAnsi="Palatino Linotype" w:cs="Palatino Linotype"/>
          <w:b/>
          <w:i/>
          <w:sz w:val="22"/>
          <w:szCs w:val="22"/>
        </w:rPr>
        <w:t>Llevar los registros contables, financieros y administrativos de los ingresos, egresos, e inventarios</w:t>
      </w:r>
      <w:r>
        <w:rPr>
          <w:rFonts w:ascii="Palatino Linotype" w:eastAsia="Palatino Linotype" w:hAnsi="Palatino Linotype" w:cs="Palatino Linotype"/>
          <w:i/>
          <w:sz w:val="22"/>
          <w:szCs w:val="22"/>
        </w:rPr>
        <w:t xml:space="preserve">; </w:t>
      </w:r>
    </w:p>
    <w:p w14:paraId="1F7C8E0D"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Proporcionar oportunamente al ayuntamiento todos los datos o informes que sean necesarios para la formulación del Presupu</w:t>
      </w:r>
      <w:r>
        <w:rPr>
          <w:rFonts w:ascii="Palatino Linotype" w:eastAsia="Palatino Linotype" w:hAnsi="Palatino Linotype" w:cs="Palatino Linotype"/>
          <w:i/>
          <w:sz w:val="22"/>
          <w:szCs w:val="22"/>
        </w:rPr>
        <w:t xml:space="preserve">esto de Egresos Municipales, vigilando que se ajuste a las disposiciones de esta Ley y otros ordenamientos aplicables; </w:t>
      </w:r>
    </w:p>
    <w:p w14:paraId="08624B1D"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Presentar anualmente al ayuntamiento un informe de la situación contable financiera de la Tesorería Municipal; </w:t>
      </w:r>
    </w:p>
    <w:p w14:paraId="3DE84877"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Bis. Proporcionar</w:t>
      </w:r>
      <w:r>
        <w:rPr>
          <w:rFonts w:ascii="Palatino Linotype" w:eastAsia="Palatino Linotype" w:hAnsi="Palatino Linotype" w:cs="Palatino Linotype"/>
          <w:i/>
          <w:sz w:val="22"/>
          <w:szCs w:val="22"/>
        </w:rPr>
        <w:t xml:space="preserve"> para la formulación del proyecto de Presupuesto de Egresos Municipales la información financiera relativa a la solución o en su caso, el pago de los litigios laborales; </w:t>
      </w:r>
    </w:p>
    <w:p w14:paraId="1330C829"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Diseñar y aprobar las formas oficiales de manifestaciones, avisos y declaraciones y demás documentos requeridos; </w:t>
      </w:r>
    </w:p>
    <w:p w14:paraId="517B98F2"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VIII. Participar en la formulación de Convenios Fiscales y ejercer las atribuciones que le correspondan en el ámbito de su competencia; </w:t>
      </w:r>
    </w:p>
    <w:p w14:paraId="0DA763C5"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Proponer al ayuntamiento la cancelación de cuentas incobrables;</w:t>
      </w:r>
    </w:p>
    <w:p w14:paraId="69AB2699"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X. Custodiar y ejercer las garantías que se otorguen en favor de la hacienda municipal; </w:t>
      </w:r>
    </w:p>
    <w:p w14:paraId="65F4B7F6"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Proponer la política de ingresos de la tesorería municipal; </w:t>
      </w:r>
    </w:p>
    <w:p w14:paraId="78424649"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Intervenir en la elaboración</w:t>
      </w:r>
      <w:r>
        <w:rPr>
          <w:rFonts w:ascii="Palatino Linotype" w:eastAsia="Palatino Linotype" w:hAnsi="Palatino Linotype" w:cs="Palatino Linotype"/>
          <w:i/>
          <w:sz w:val="22"/>
          <w:szCs w:val="22"/>
        </w:rPr>
        <w:t xml:space="preserve"> del programa financiero municipal; </w:t>
      </w:r>
    </w:p>
    <w:p w14:paraId="218F4A45"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Elaborar y mantener actualizado el Padrón de Contribuyentes; </w:t>
      </w:r>
    </w:p>
    <w:p w14:paraId="1120F456"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Ministrar a su inmediato antecesor todos los datos oficiales que le solicitare, para contestar los pliegos de observaciones y alcances que formule</w:t>
      </w:r>
      <w:r>
        <w:rPr>
          <w:rFonts w:ascii="Palatino Linotype" w:eastAsia="Palatino Linotype" w:hAnsi="Palatino Linotype" w:cs="Palatino Linotype"/>
          <w:i/>
          <w:sz w:val="22"/>
          <w:szCs w:val="22"/>
        </w:rPr>
        <w:t xml:space="preserve"> y deduzca el Órgano Superior de Fiscalización del Estado de México; </w:t>
      </w:r>
    </w:p>
    <w:p w14:paraId="384A54B8"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 Solicitar a las instancias competentes, la práctica de revisiones circunstanciadas, de conformidad con las normas que rigen en materia de control y evaluación gubernamental en el ámb</w:t>
      </w:r>
      <w:r>
        <w:rPr>
          <w:rFonts w:ascii="Palatino Linotype" w:eastAsia="Palatino Linotype" w:hAnsi="Palatino Linotype" w:cs="Palatino Linotype"/>
          <w:i/>
          <w:sz w:val="22"/>
          <w:szCs w:val="22"/>
        </w:rPr>
        <w:t xml:space="preserve">ito municipal; </w:t>
      </w:r>
    </w:p>
    <w:p w14:paraId="16A0E9A4"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 Glosar oportunamente las cuentas del ayuntamiento; </w:t>
      </w:r>
    </w:p>
    <w:p w14:paraId="36300767"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 Contestar oportunamente los pliegos de observaciones y responsabilidad que haga el Órgano Superior de Fiscalización del Estado de México, así como atender en tiempo y forma las </w:t>
      </w:r>
      <w:r>
        <w:rPr>
          <w:rFonts w:ascii="Palatino Linotype" w:eastAsia="Palatino Linotype" w:hAnsi="Palatino Linotype" w:cs="Palatino Linotype"/>
          <w:i/>
          <w:sz w:val="22"/>
          <w:szCs w:val="22"/>
        </w:rPr>
        <w:t xml:space="preserve">solicitudes de información que éste requiera, informando al Ayuntamiento; </w:t>
      </w:r>
    </w:p>
    <w:p w14:paraId="6B98D78D"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XVIII. Expedir copias certificadas de los documentos a su cuidado, por acuerdo expreso del Ayuntamiento y cuando se trate de documentación presentada ante el Órgano Superior de Fisc</w:t>
      </w:r>
      <w:r>
        <w:rPr>
          <w:rFonts w:ascii="Palatino Linotype" w:eastAsia="Palatino Linotype" w:hAnsi="Palatino Linotype" w:cs="Palatino Linotype"/>
          <w:i/>
          <w:sz w:val="22"/>
          <w:szCs w:val="22"/>
        </w:rPr>
        <w:t>alización del Estado de México;</w:t>
      </w:r>
    </w:p>
    <w:p w14:paraId="619233F5"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XIX</w:t>
      </w:r>
      <w:r>
        <w:rPr>
          <w:rFonts w:ascii="Palatino Linotype" w:eastAsia="Palatino Linotype" w:hAnsi="Palatino Linotype" w:cs="Palatino Linotype"/>
          <w:b/>
          <w:i/>
          <w:sz w:val="22"/>
          <w:szCs w:val="22"/>
        </w:rPr>
        <w:t>. Recaudar y administrar los ingresos que se deriven de la suscripción de convenios, acuerdos o la emisión de declaratorias de coordinación</w:t>
      </w:r>
      <w:r>
        <w:rPr>
          <w:rFonts w:ascii="Palatino Linotype" w:eastAsia="Palatino Linotype" w:hAnsi="Palatino Linotype" w:cs="Palatino Linotype"/>
          <w:i/>
          <w:sz w:val="22"/>
          <w:szCs w:val="22"/>
        </w:rPr>
        <w:t xml:space="preserve">; los relativos a las transferencias otorgadas a favor del Municipio en el marco </w:t>
      </w:r>
      <w:r>
        <w:rPr>
          <w:rFonts w:ascii="Palatino Linotype" w:eastAsia="Palatino Linotype" w:hAnsi="Palatino Linotype" w:cs="Palatino Linotype"/>
          <w:i/>
          <w:sz w:val="22"/>
          <w:szCs w:val="22"/>
        </w:rPr>
        <w:t>del Sistema Nacional o Estatal de Coordinación Fiscal, o los que reciba por cualquier otro concepto; así como el importe de las sanciones por infracciones impuestas por las autoridades competentes, por la inobservancia de las diversas disposiciones y orden</w:t>
      </w:r>
      <w:r>
        <w:rPr>
          <w:rFonts w:ascii="Palatino Linotype" w:eastAsia="Palatino Linotype" w:hAnsi="Palatino Linotype" w:cs="Palatino Linotype"/>
          <w:i/>
          <w:sz w:val="22"/>
          <w:szCs w:val="22"/>
        </w:rPr>
        <w:t xml:space="preserve">amientos legales, constituyendo los créditos fiscales correspondientes; </w:t>
      </w:r>
    </w:p>
    <w:p w14:paraId="40E02209"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 Dar cumplimiento a las leyes, convenios de coordinación fiscal y demás que en materia hacendaria celebre el Ayuntamiento con el Estado; </w:t>
      </w:r>
    </w:p>
    <w:p w14:paraId="7186798D" w14:textId="77777777" w:rsidR="00973055" w:rsidRDefault="001B6194">
      <w:pPr>
        <w:tabs>
          <w:tab w:val="left" w:pos="4962"/>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XXI. Entregar oportunamente a él o los Sín</w:t>
      </w:r>
      <w:r>
        <w:rPr>
          <w:rFonts w:ascii="Palatino Linotype" w:eastAsia="Palatino Linotype" w:hAnsi="Palatino Linotype" w:cs="Palatino Linotype"/>
          <w:i/>
          <w:sz w:val="22"/>
          <w:szCs w:val="22"/>
        </w:rPr>
        <w:t xml:space="preserve">dicos, según sea el caso, el informe mensual que corresponda, a fin de que se revise, y de ser necesario, para que se formulen las observaciones respectivas. </w:t>
      </w:r>
    </w:p>
    <w:p w14:paraId="4EF1FE99" w14:textId="77777777" w:rsidR="00973055" w:rsidRDefault="001B6194">
      <w:pPr>
        <w:tabs>
          <w:tab w:val="left" w:pos="4962"/>
        </w:tabs>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XXII. Las que les señalen las demás disposiciones legales y el ayuntamiento.”</w:t>
      </w:r>
    </w:p>
    <w:p w14:paraId="34C10E79" w14:textId="77777777" w:rsidR="00973055" w:rsidRDefault="00973055">
      <w:pPr>
        <w:tabs>
          <w:tab w:val="left" w:pos="4962"/>
        </w:tabs>
        <w:spacing w:line="360" w:lineRule="auto"/>
        <w:jc w:val="both"/>
        <w:rPr>
          <w:rFonts w:ascii="Palatino Linotype" w:eastAsia="Palatino Linotype" w:hAnsi="Palatino Linotype" w:cs="Palatino Linotype"/>
          <w:color w:val="000000"/>
        </w:rPr>
      </w:pPr>
    </w:p>
    <w:p w14:paraId="6D54F818" w14:textId="77777777" w:rsidR="00973055" w:rsidRDefault="001B6194">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su parte, el B</w:t>
      </w:r>
      <w:r>
        <w:rPr>
          <w:rFonts w:ascii="Palatino Linotype" w:eastAsia="Palatino Linotype" w:hAnsi="Palatino Linotype" w:cs="Palatino Linotype"/>
          <w:color w:val="000000"/>
        </w:rPr>
        <w:t>ando Municipal de Ecatepec de Morelos, Estado de México 2020, establece lo siguiente:</w:t>
      </w:r>
    </w:p>
    <w:p w14:paraId="6FBE9D23" w14:textId="77777777" w:rsidR="00973055" w:rsidRDefault="00973055">
      <w:pPr>
        <w:tabs>
          <w:tab w:val="left" w:pos="4962"/>
        </w:tabs>
        <w:spacing w:line="360" w:lineRule="auto"/>
        <w:rPr>
          <w:rFonts w:ascii="Palatino Linotype" w:eastAsia="Palatino Linotype" w:hAnsi="Palatino Linotype" w:cs="Palatino Linotype"/>
        </w:rPr>
      </w:pPr>
    </w:p>
    <w:p w14:paraId="7E9F419F" w14:textId="77777777" w:rsidR="00973055" w:rsidRDefault="001B6194">
      <w:pPr>
        <w:ind w:left="709" w:right="900"/>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CAPÍTULO II</w:t>
      </w:r>
    </w:p>
    <w:p w14:paraId="3EA55EFB" w14:textId="77777777" w:rsidR="00973055" w:rsidRDefault="001B6194">
      <w:pPr>
        <w:ind w:left="709" w:right="900"/>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la Tesorería Municipal</w:t>
      </w:r>
    </w:p>
    <w:p w14:paraId="6939A483" w14:textId="77777777" w:rsidR="00973055" w:rsidRDefault="00973055">
      <w:pPr>
        <w:ind w:left="709" w:right="900"/>
        <w:jc w:val="both"/>
        <w:rPr>
          <w:rFonts w:ascii="Palatino Linotype" w:eastAsia="Palatino Linotype" w:hAnsi="Palatino Linotype" w:cs="Palatino Linotype"/>
          <w:i/>
          <w:sz w:val="22"/>
          <w:szCs w:val="22"/>
        </w:rPr>
      </w:pPr>
    </w:p>
    <w:p w14:paraId="636933EB" w14:textId="77777777" w:rsidR="00973055" w:rsidRDefault="001B6194">
      <w:pPr>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47. La Tesorería Municipal es la unidad administrativa encargada de la recaudación de los ingresos municipales y la admin</w:t>
      </w:r>
      <w:r>
        <w:rPr>
          <w:rFonts w:ascii="Palatino Linotype" w:eastAsia="Palatino Linotype" w:hAnsi="Palatino Linotype" w:cs="Palatino Linotype"/>
          <w:i/>
          <w:sz w:val="22"/>
          <w:szCs w:val="22"/>
        </w:rPr>
        <w:t>istración de la hacienda pública municipal, responsable de realizar las erogaciones y funciones requeridas por el H. Ayuntamiento, el Presidente Municipal Constitucional y demás dependencias de la Administración Pública Municipal, de conformidad con la Ley</w:t>
      </w:r>
      <w:r>
        <w:rPr>
          <w:rFonts w:ascii="Palatino Linotype" w:eastAsia="Palatino Linotype" w:hAnsi="Palatino Linotype" w:cs="Palatino Linotype"/>
          <w:i/>
          <w:sz w:val="22"/>
          <w:szCs w:val="22"/>
        </w:rPr>
        <w:t xml:space="preserve"> de Disciplina Financiera de las Entidades Federativas y los Municipios, el Código Financiero del Estado de México y Municipios, Ley Orgánica Municipal del Estado de México, la Ley de Gobierno Digital del Estado de México y Municipios y los demás ordenamie</w:t>
      </w:r>
      <w:r>
        <w:rPr>
          <w:rFonts w:ascii="Palatino Linotype" w:eastAsia="Palatino Linotype" w:hAnsi="Palatino Linotype" w:cs="Palatino Linotype"/>
          <w:i/>
          <w:sz w:val="22"/>
          <w:szCs w:val="22"/>
        </w:rPr>
        <w:t xml:space="preserve">ntos legales vigentes aplicables a la materia. </w:t>
      </w:r>
    </w:p>
    <w:p w14:paraId="55F9A1A6" w14:textId="77777777" w:rsidR="00973055" w:rsidRDefault="00973055">
      <w:pPr>
        <w:ind w:left="709" w:right="900"/>
        <w:jc w:val="both"/>
        <w:rPr>
          <w:rFonts w:ascii="Palatino Linotype" w:eastAsia="Palatino Linotype" w:hAnsi="Palatino Linotype" w:cs="Palatino Linotype"/>
          <w:i/>
          <w:sz w:val="22"/>
          <w:szCs w:val="22"/>
        </w:rPr>
      </w:pPr>
    </w:p>
    <w:p w14:paraId="64BB50FE" w14:textId="77777777" w:rsidR="00973055" w:rsidRDefault="001B6194">
      <w:pPr>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Asimismo, deberá implementar las medidas y mecanismos previamente aprobados por el H. Ayuntamiento, tendientes a difundir los pagos de las diversas contribuciones en términos de la Ley de Ingresos de los Municipios del Estado de México para el Ejercicio Fi</w:t>
      </w:r>
      <w:r>
        <w:rPr>
          <w:rFonts w:ascii="Palatino Linotype" w:eastAsia="Palatino Linotype" w:hAnsi="Palatino Linotype" w:cs="Palatino Linotype"/>
          <w:i/>
          <w:sz w:val="22"/>
          <w:szCs w:val="22"/>
        </w:rPr>
        <w:t>scal del Año 2020 entre la población, ampliar la base de contribuyentes y estimular el pago oportuno. La Tesorería Municipal, a fin de cumplir su objetivo, iniciará el Procedimiento Administrativo de Ejecución apegado a la legalidad, instaurando a los cont</w:t>
      </w:r>
      <w:r>
        <w:rPr>
          <w:rFonts w:ascii="Palatino Linotype" w:eastAsia="Palatino Linotype" w:hAnsi="Palatino Linotype" w:cs="Palatino Linotype"/>
          <w:i/>
          <w:sz w:val="22"/>
          <w:szCs w:val="22"/>
        </w:rPr>
        <w:t>ribuyentes que se encuentren en rezago de sus contribuciones. La Tesorería Municipal revisará, vigilará y analizará los ingresos y egresos de la Administración Pública Municipal, con la finalidad de incrementar y acredita la recaudación municipal, informan</w:t>
      </w:r>
      <w:r>
        <w:rPr>
          <w:rFonts w:ascii="Palatino Linotype" w:eastAsia="Palatino Linotype" w:hAnsi="Palatino Linotype" w:cs="Palatino Linotype"/>
          <w:i/>
          <w:sz w:val="22"/>
          <w:szCs w:val="22"/>
        </w:rPr>
        <w:t>do al órgano de control interno sobre cualquier irregularidad para transparentar una sana cuenta hacendaria.</w:t>
      </w:r>
    </w:p>
    <w:p w14:paraId="011F0B80" w14:textId="77777777" w:rsidR="00973055" w:rsidRDefault="00973055">
      <w:pPr>
        <w:ind w:left="709" w:right="900"/>
        <w:jc w:val="both"/>
        <w:rPr>
          <w:rFonts w:ascii="Palatino Linotype" w:eastAsia="Palatino Linotype" w:hAnsi="Palatino Linotype" w:cs="Palatino Linotype"/>
          <w:i/>
          <w:sz w:val="22"/>
          <w:szCs w:val="22"/>
        </w:rPr>
      </w:pPr>
    </w:p>
    <w:p w14:paraId="1F08DE35" w14:textId="77777777" w:rsidR="00973055" w:rsidRDefault="001B6194">
      <w:pPr>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La Tesorería Municipal, en materia fiscal, ordenará las visitas de supervisión, inspección y verificación; además, determinará y ordenará la apli</w:t>
      </w:r>
      <w:r>
        <w:rPr>
          <w:rFonts w:ascii="Palatino Linotype" w:eastAsia="Palatino Linotype" w:hAnsi="Palatino Linotype" w:cs="Palatino Linotype"/>
          <w:i/>
          <w:sz w:val="22"/>
          <w:szCs w:val="22"/>
        </w:rPr>
        <w:t xml:space="preserve">cación de las medidas de seguridad, e impondrá las sanciones previstas en la ley a todas aquellas unidades económicas dentro del territorio municipal </w:t>
      </w:r>
    </w:p>
    <w:p w14:paraId="32414D48" w14:textId="77777777" w:rsidR="00973055" w:rsidRDefault="00973055">
      <w:pPr>
        <w:ind w:left="709" w:right="900"/>
        <w:jc w:val="both"/>
        <w:rPr>
          <w:rFonts w:ascii="Palatino Linotype" w:eastAsia="Palatino Linotype" w:hAnsi="Palatino Linotype" w:cs="Palatino Linotype"/>
          <w:i/>
          <w:sz w:val="22"/>
          <w:szCs w:val="22"/>
        </w:rPr>
      </w:pPr>
    </w:p>
    <w:p w14:paraId="0E3E80B7" w14:textId="77777777" w:rsidR="00973055" w:rsidRDefault="001B6194">
      <w:pPr>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Asimismo, tendrá la facultad de iniciar, tramitar, resolver y ejecutar los procedimientos administrativo</w:t>
      </w:r>
      <w:r>
        <w:rPr>
          <w:rFonts w:ascii="Palatino Linotype" w:eastAsia="Palatino Linotype" w:hAnsi="Palatino Linotype" w:cs="Palatino Linotype"/>
          <w:i/>
          <w:sz w:val="22"/>
          <w:szCs w:val="22"/>
        </w:rPr>
        <w:t xml:space="preserve">s comunes y las visitas de verificación </w:t>
      </w:r>
      <w:r>
        <w:rPr>
          <w:rFonts w:ascii="Palatino Linotype" w:eastAsia="Palatino Linotype" w:hAnsi="Palatino Linotype" w:cs="Palatino Linotype"/>
          <w:i/>
          <w:sz w:val="22"/>
          <w:szCs w:val="22"/>
        </w:rPr>
        <w:lastRenderedPageBreak/>
        <w:t xml:space="preserve">administrativa que se practiquen, previo desahogo de la garantía de audiencia atendiendo en todo momento lo dispuesto en los ordenamientos vigentes legales aplicables a la materia. </w:t>
      </w:r>
    </w:p>
    <w:p w14:paraId="0EDC9522" w14:textId="77777777" w:rsidR="00973055" w:rsidRDefault="00973055">
      <w:pPr>
        <w:ind w:left="709" w:right="900"/>
        <w:jc w:val="both"/>
        <w:rPr>
          <w:rFonts w:ascii="Palatino Linotype" w:eastAsia="Palatino Linotype" w:hAnsi="Palatino Linotype" w:cs="Palatino Linotype"/>
          <w:i/>
          <w:sz w:val="22"/>
          <w:szCs w:val="22"/>
        </w:rPr>
      </w:pPr>
    </w:p>
    <w:p w14:paraId="3F51EE5D" w14:textId="77777777" w:rsidR="00973055" w:rsidRDefault="001B6194">
      <w:pPr>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Habilitará al personal registrado</w:t>
      </w:r>
      <w:r>
        <w:rPr>
          <w:rFonts w:ascii="Palatino Linotype" w:eastAsia="Palatino Linotype" w:hAnsi="Palatino Linotype" w:cs="Palatino Linotype"/>
          <w:i/>
          <w:sz w:val="22"/>
          <w:szCs w:val="22"/>
        </w:rPr>
        <w:t xml:space="preserve"> ante la Contraloría Interna por la Coordinación de Mercados, Tianguis y Vía Pública, para llevar acabo la recaudación del pago de derechos de mercados públicos municipales, tianguis y vía pública. Dicha recaudación deberá ser ingresada en tiempo y forma a</w:t>
      </w:r>
      <w:r>
        <w:rPr>
          <w:rFonts w:ascii="Palatino Linotype" w:eastAsia="Palatino Linotype" w:hAnsi="Palatino Linotype" w:cs="Palatino Linotype"/>
          <w:i/>
          <w:sz w:val="22"/>
          <w:szCs w:val="22"/>
        </w:rPr>
        <w:t xml:space="preserve"> la Tesorería Municipal. </w:t>
      </w:r>
    </w:p>
    <w:p w14:paraId="45324009" w14:textId="77777777" w:rsidR="00973055" w:rsidRDefault="00973055">
      <w:pPr>
        <w:ind w:left="709" w:right="900"/>
        <w:jc w:val="both"/>
        <w:rPr>
          <w:rFonts w:ascii="Palatino Linotype" w:eastAsia="Palatino Linotype" w:hAnsi="Palatino Linotype" w:cs="Palatino Linotype"/>
          <w:i/>
          <w:sz w:val="22"/>
          <w:szCs w:val="22"/>
        </w:rPr>
      </w:pPr>
    </w:p>
    <w:p w14:paraId="33CF7E20" w14:textId="77777777" w:rsidR="00973055" w:rsidRDefault="001B6194">
      <w:pPr>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Coadyuvará con la Coordinación de Mercados, Tianguis y Vía Pública, para implementar y vigilar las medidas de seguridad en los recibos para la recaudación en vía pública y formas valoradas para cédulas de concesión en mercados pú</w:t>
      </w:r>
      <w:r>
        <w:rPr>
          <w:rFonts w:ascii="Palatino Linotype" w:eastAsia="Palatino Linotype" w:hAnsi="Palatino Linotype" w:cs="Palatino Linotype"/>
          <w:i/>
          <w:sz w:val="22"/>
          <w:szCs w:val="22"/>
        </w:rPr>
        <w:t xml:space="preserve">blicos municipales y permisos para tianguis ordinarios y así evitar el uso de documentos apócrifos que puedan causar detrimento a la Hacienda Pública Municipal. </w:t>
      </w:r>
    </w:p>
    <w:p w14:paraId="3A2657D5" w14:textId="77777777" w:rsidR="00973055" w:rsidRDefault="00973055">
      <w:pPr>
        <w:ind w:left="709" w:right="900"/>
        <w:jc w:val="both"/>
        <w:rPr>
          <w:rFonts w:ascii="Palatino Linotype" w:eastAsia="Palatino Linotype" w:hAnsi="Palatino Linotype" w:cs="Palatino Linotype"/>
          <w:i/>
          <w:sz w:val="22"/>
          <w:szCs w:val="22"/>
        </w:rPr>
      </w:pPr>
    </w:p>
    <w:p w14:paraId="6C0467C9" w14:textId="77777777" w:rsidR="00973055" w:rsidRDefault="001B6194">
      <w:pPr>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48. Ninguna autoridad municipal podrá condonar, subsidiar o eximir total o parcialme</w:t>
      </w:r>
      <w:r>
        <w:rPr>
          <w:rFonts w:ascii="Palatino Linotype" w:eastAsia="Palatino Linotype" w:hAnsi="Palatino Linotype" w:cs="Palatino Linotype"/>
          <w:i/>
          <w:sz w:val="22"/>
          <w:szCs w:val="22"/>
        </w:rPr>
        <w:t>nte el pago de contribuciones, aprovechamientos y sus accesorios. Por lo tanto, cualquier estipulación privada relativa al pago de un crédito fiscal que se oponga a lo dispuesto por la Constitución Política de los Estados Unidos Mexicanos y demás disposici</w:t>
      </w:r>
      <w:r>
        <w:rPr>
          <w:rFonts w:ascii="Palatino Linotype" w:eastAsia="Palatino Linotype" w:hAnsi="Palatino Linotype" w:cs="Palatino Linotype"/>
          <w:i/>
          <w:sz w:val="22"/>
          <w:szCs w:val="22"/>
        </w:rPr>
        <w:t xml:space="preserve">ones legales aplicables, se tendrá como inexistente jurídicamente y, por tanto, no surtirá efecto legal alguno, excepto mediante acuerdo expreso del H. Ayuntamiento en Sesión de Cabildo, publicado en el Órgano Oficial de Información del Gobierno Municipal </w:t>
      </w:r>
      <w:r>
        <w:rPr>
          <w:rFonts w:ascii="Palatino Linotype" w:eastAsia="Palatino Linotype" w:hAnsi="Palatino Linotype" w:cs="Palatino Linotype"/>
          <w:i/>
          <w:sz w:val="22"/>
          <w:szCs w:val="22"/>
        </w:rPr>
        <w:t>“Gaceta Municipal”, que otorgue tales beneficios en términos de lo dispuesto por el Artículo 31 del Código Financiero del Estado de México y Municipios y 11 de la Ley de Ingresos de los Municipios del Estado de México para el Ejercicio Fiscal 2020; con exc</w:t>
      </w:r>
      <w:r>
        <w:rPr>
          <w:rFonts w:ascii="Palatino Linotype" w:eastAsia="Palatino Linotype" w:hAnsi="Palatino Linotype" w:cs="Palatino Linotype"/>
          <w:i/>
          <w:sz w:val="22"/>
          <w:szCs w:val="22"/>
        </w:rPr>
        <w:t>epción que sea a petición de vecinos de bajos recursos, para la expedición de constancias de vecindad, eventos sociales, de notorio arraigo, constancia de actividad económica para programas sociales y servicio funerario a solicitud de la Secretaría del Ayu</w:t>
      </w:r>
      <w:r>
        <w:rPr>
          <w:rFonts w:ascii="Palatino Linotype" w:eastAsia="Palatino Linotype" w:hAnsi="Palatino Linotype" w:cs="Palatino Linotype"/>
          <w:i/>
          <w:sz w:val="22"/>
          <w:szCs w:val="22"/>
        </w:rPr>
        <w:t>ntamiento.”  (sic)</w:t>
      </w:r>
    </w:p>
    <w:p w14:paraId="000E68F5" w14:textId="77777777" w:rsidR="00973055" w:rsidRDefault="00973055">
      <w:pPr>
        <w:tabs>
          <w:tab w:val="left" w:pos="4962"/>
        </w:tabs>
        <w:spacing w:line="360" w:lineRule="auto"/>
        <w:rPr>
          <w:i/>
        </w:rPr>
      </w:pPr>
    </w:p>
    <w:p w14:paraId="43DD37E0" w14:textId="77777777" w:rsidR="00973055" w:rsidRDefault="001B6194">
      <w:pPr>
        <w:spacing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t xml:space="preserve">Conforme a la normatividad analizada, se logra vislumbrar que el Ayuntamiento de </w:t>
      </w:r>
      <w:r>
        <w:rPr>
          <w:rFonts w:ascii="Palatino Linotype" w:eastAsia="Palatino Linotype" w:hAnsi="Palatino Linotype" w:cs="Palatino Linotype"/>
          <w:color w:val="000000"/>
        </w:rPr>
        <w:t>Ecatepec de Morelos</w:t>
      </w:r>
      <w:r>
        <w:rPr>
          <w:rFonts w:ascii="Palatino Linotype" w:eastAsia="Palatino Linotype" w:hAnsi="Palatino Linotype" w:cs="Palatino Linotype"/>
        </w:rPr>
        <w:t xml:space="preserve"> es competente para pronunciarse sobre la información requerida, en virtud de ser el encargado de ver todas las cuestiones relacionadas con la cancelación de créditos fiscales en el periodo 2019 -2021, ya que mediante acuerdo de cabildo, podrá cancelar los</w:t>
      </w:r>
      <w:r>
        <w:rPr>
          <w:rFonts w:ascii="Palatino Linotype" w:eastAsia="Palatino Linotype" w:hAnsi="Palatino Linotype" w:cs="Palatino Linotype"/>
        </w:rPr>
        <w:t xml:space="preserve"> créditos fiscales.</w:t>
      </w:r>
    </w:p>
    <w:p w14:paraId="18B5610C" w14:textId="77777777" w:rsidR="00973055" w:rsidRDefault="00973055">
      <w:pPr>
        <w:spacing w:line="360" w:lineRule="auto"/>
        <w:jc w:val="both"/>
        <w:rPr>
          <w:rFonts w:ascii="Palatino Linotype" w:eastAsia="Palatino Linotype" w:hAnsi="Palatino Linotype" w:cs="Palatino Linotype"/>
        </w:rPr>
      </w:pPr>
    </w:p>
    <w:p w14:paraId="0158D438" w14:textId="77777777" w:rsidR="00973055" w:rsidRDefault="001B6194">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Por otra parte, si bien el Sujeto Obligado mediante informe justificado señala que los Sujetos Obligados no podrá difundir los datos personales que se encuentren en su posesión, salvo consentimiento expreso, con lo que se entiende pret</w:t>
      </w:r>
      <w:r>
        <w:rPr>
          <w:rFonts w:ascii="Palatino Linotype" w:eastAsia="Palatino Linotype" w:hAnsi="Palatino Linotype" w:cs="Palatino Linotype"/>
        </w:rPr>
        <w:t xml:space="preserve">ende clasificar la información, lo cierto es que dicho pronunciamiento no se acompañó del Acuerdo de Comité de Transparencia </w:t>
      </w:r>
      <w:r>
        <w:rPr>
          <w:rFonts w:ascii="Palatino Linotype" w:eastAsia="Palatino Linotype" w:hAnsi="Palatino Linotype" w:cs="Palatino Linotype"/>
          <w:color w:val="000000"/>
        </w:rPr>
        <w:t>correspondiente en términos de lo dispuesto en los artículos 122, 143 y 149 de la Ley de Transparencia y Acceso a la Información Pú</w:t>
      </w:r>
      <w:r>
        <w:rPr>
          <w:rFonts w:ascii="Palatino Linotype" w:eastAsia="Palatino Linotype" w:hAnsi="Palatino Linotype" w:cs="Palatino Linotype"/>
          <w:color w:val="000000"/>
        </w:rPr>
        <w:t xml:space="preserve">blica del Estado de México y Municipios, por lo que con dicha manifestación </w:t>
      </w:r>
      <w:r>
        <w:rPr>
          <w:rFonts w:ascii="Palatino Linotype" w:eastAsia="Palatino Linotype" w:hAnsi="Palatino Linotype" w:cs="Palatino Linotype"/>
        </w:rPr>
        <w:t>deja al solicitante en estado de incertidumbre, al no conocer o comprender porque se le niega la información solicitada, al no exponer de manera puntual las razones de ello, por lo</w:t>
      </w:r>
      <w:r>
        <w:rPr>
          <w:rFonts w:ascii="Palatino Linotype" w:eastAsia="Palatino Linotype" w:hAnsi="Palatino Linotype" w:cs="Palatino Linotype"/>
        </w:rPr>
        <w:t xml:space="preserve"> que se estima que se violentó el derecho de acceso a la información del solicitante.</w:t>
      </w:r>
    </w:p>
    <w:p w14:paraId="47D20710" w14:textId="77777777" w:rsidR="00973055" w:rsidRDefault="00973055">
      <w:pPr>
        <w:spacing w:line="360" w:lineRule="auto"/>
        <w:jc w:val="both"/>
        <w:rPr>
          <w:rFonts w:ascii="Palatino Linotype" w:eastAsia="Palatino Linotype" w:hAnsi="Palatino Linotype" w:cs="Palatino Linotype"/>
        </w:rPr>
      </w:pPr>
    </w:p>
    <w:p w14:paraId="5F65DCC9"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anterior, conviene destacar y puntualizar que dicha información reviste el carácter de pública en términos de los dispuesto por el artículo 94, fracción I, i</w:t>
      </w:r>
      <w:r>
        <w:rPr>
          <w:rFonts w:ascii="Palatino Linotype" w:eastAsia="Palatino Linotype" w:hAnsi="Palatino Linotype" w:cs="Palatino Linotype"/>
        </w:rPr>
        <w:t>nciso d) de la Ley de Transparencia y Acceso a la Información Pública del Estado d México y Municipios, señala como obligaciones de transparencia específicas para los Municipios la siguiente:</w:t>
      </w:r>
    </w:p>
    <w:p w14:paraId="61D3E681" w14:textId="77777777" w:rsidR="00973055" w:rsidRDefault="00973055">
      <w:pPr>
        <w:spacing w:line="360" w:lineRule="auto"/>
        <w:jc w:val="both"/>
        <w:rPr>
          <w:rFonts w:ascii="Palatino Linotype" w:eastAsia="Palatino Linotype" w:hAnsi="Palatino Linotype" w:cs="Palatino Linotype"/>
        </w:rPr>
      </w:pPr>
    </w:p>
    <w:p w14:paraId="193EDAC0" w14:textId="77777777" w:rsidR="00973055" w:rsidRDefault="001B6194">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94.</w:t>
      </w:r>
      <w:r>
        <w:rPr>
          <w:rFonts w:ascii="Palatino Linotype" w:eastAsia="Palatino Linotype" w:hAnsi="Palatino Linotype" w:cs="Palatino Linotype"/>
          <w:i/>
          <w:sz w:val="22"/>
          <w:szCs w:val="22"/>
        </w:rPr>
        <w:t xml:space="preserve"> Además de las obligaciones de transparencia común</w:t>
      </w:r>
      <w:r>
        <w:rPr>
          <w:rFonts w:ascii="Palatino Linotype" w:eastAsia="Palatino Linotype" w:hAnsi="Palatino Linotype" w:cs="Palatino Linotype"/>
          <w:i/>
          <w:sz w:val="22"/>
          <w:szCs w:val="22"/>
        </w:rPr>
        <w:t xml:space="preserve"> a que se refiere el Capítulo II de este Título, los sujetos obligados del Poder Ejecutivo Local y municipales, deberán poner a disposición del público y actualizar la siguiente información: </w:t>
      </w:r>
    </w:p>
    <w:p w14:paraId="1B5AC335" w14:textId="77777777" w:rsidR="00973055" w:rsidRDefault="00973055">
      <w:pPr>
        <w:ind w:left="851" w:right="900"/>
        <w:jc w:val="both"/>
        <w:rPr>
          <w:rFonts w:ascii="Palatino Linotype" w:eastAsia="Palatino Linotype" w:hAnsi="Palatino Linotype" w:cs="Palatino Linotype"/>
          <w:i/>
          <w:sz w:val="22"/>
          <w:szCs w:val="22"/>
        </w:rPr>
      </w:pPr>
    </w:p>
    <w:p w14:paraId="03FF785D" w14:textId="77777777" w:rsidR="00973055" w:rsidRDefault="001B6194">
      <w:pPr>
        <w:numPr>
          <w:ilvl w:val="0"/>
          <w:numId w:val="2"/>
        </w:numPr>
        <w:pBdr>
          <w:top w:val="nil"/>
          <w:left w:val="nil"/>
          <w:bottom w:val="nil"/>
          <w:right w:val="nil"/>
          <w:between w:val="nil"/>
        </w:pBdr>
        <w:ind w:left="851"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del Poder Ejecutivo y los Municipios, en el ámbito de su competencia: …</w:t>
      </w:r>
    </w:p>
    <w:p w14:paraId="7AB92C6C" w14:textId="77777777" w:rsidR="00973055" w:rsidRDefault="00973055">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p>
    <w:p w14:paraId="2CEA249F" w14:textId="77777777" w:rsidR="00973055" w:rsidRDefault="001B6194">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d) </w:t>
      </w:r>
      <w:r>
        <w:rPr>
          <w:rFonts w:ascii="Palatino Linotype" w:eastAsia="Palatino Linotype" w:hAnsi="Palatino Linotype" w:cs="Palatino Linotype"/>
          <w:b/>
          <w:i/>
          <w:color w:val="000000"/>
          <w:sz w:val="22"/>
          <w:szCs w:val="22"/>
        </w:rPr>
        <w:t>El nombre, denominación o razón social y clave del registro federal de los contribuyentes a los que se les hubiera cancelado o condonado algún crédito fiscal local o mun</w:t>
      </w:r>
      <w:r>
        <w:rPr>
          <w:rFonts w:ascii="Palatino Linotype" w:eastAsia="Palatino Linotype" w:hAnsi="Palatino Linotype" w:cs="Palatino Linotype"/>
          <w:b/>
          <w:i/>
          <w:color w:val="000000"/>
          <w:sz w:val="22"/>
          <w:szCs w:val="22"/>
        </w:rPr>
        <w:t>icipal</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así como los montos respectivos</w:t>
      </w:r>
      <w:r>
        <w:rPr>
          <w:rFonts w:ascii="Palatino Linotype" w:eastAsia="Palatino Linotype" w:hAnsi="Palatino Linotype" w:cs="Palatino Linotype"/>
          <w:i/>
          <w:color w:val="000000"/>
          <w:sz w:val="22"/>
          <w:szCs w:val="22"/>
        </w:rPr>
        <w:t>. Asimismo, la información estadística sobre las exenciones previstas en las disposiciones fiscales;”</w:t>
      </w:r>
    </w:p>
    <w:p w14:paraId="2D8BA521" w14:textId="77777777" w:rsidR="00973055" w:rsidRDefault="00973055">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p>
    <w:p w14:paraId="614AB3C2" w14:textId="77777777" w:rsidR="00973055" w:rsidRDefault="001B6194">
      <w:pPr>
        <w:ind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mayor abundamiento Lineamientos Técnicos Generales para la publicación, homologación  y estandarización de la información de las obligaciones establecidas en el Título Quinto y en la fracción IV del artículo 31 de la Ley General  de Transparencia y Acces</w:t>
      </w:r>
      <w:r>
        <w:rPr>
          <w:rFonts w:ascii="Palatino Linotype" w:eastAsia="Palatino Linotype" w:hAnsi="Palatino Linotype" w:cs="Palatino Linotype"/>
          <w:sz w:val="22"/>
          <w:szCs w:val="22"/>
        </w:rPr>
        <w:t xml:space="preserve">o a la Información Pública, que deben de  difundir los sujetos obligados en los portales de Internet y en la Plataforma Nacional de Transparencia establecen la publicidad de la información solicitada, tal como se señala a continuación: </w:t>
      </w:r>
    </w:p>
    <w:p w14:paraId="09DF1257" w14:textId="77777777" w:rsidR="00973055" w:rsidRDefault="00973055">
      <w:pPr>
        <w:spacing w:line="360" w:lineRule="auto"/>
        <w:jc w:val="both"/>
        <w:rPr>
          <w:rFonts w:ascii="Palatino Linotype" w:eastAsia="Palatino Linotype" w:hAnsi="Palatino Linotype" w:cs="Palatino Linotype"/>
        </w:rPr>
      </w:pPr>
    </w:p>
    <w:p w14:paraId="4DCF468E" w14:textId="77777777" w:rsidR="00973055" w:rsidRDefault="001B6194">
      <w:pPr>
        <w:spacing w:line="360" w:lineRule="auto"/>
        <w:jc w:val="both"/>
        <w:rPr>
          <w:rFonts w:ascii="Palatino Linotype" w:eastAsia="Palatino Linotype" w:hAnsi="Palatino Linotype" w:cs="Palatino Linotype"/>
        </w:rPr>
      </w:pPr>
      <w:bookmarkStart w:id="5" w:name="_GoBack"/>
      <w:r>
        <w:rPr>
          <w:noProof/>
          <w:lang w:val="es-ES_tradnl" w:eastAsia="zh-CN"/>
        </w:rPr>
        <w:drawing>
          <wp:inline distT="0" distB="0" distL="0" distR="0" wp14:anchorId="31EDFE66" wp14:editId="124551D2">
            <wp:extent cx="5612130" cy="4439920"/>
            <wp:effectExtent l="0" t="0" r="0" b="0"/>
            <wp:docPr id="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2130" cy="4439920"/>
                    </a:xfrm>
                    <a:prstGeom prst="rect">
                      <a:avLst/>
                    </a:prstGeom>
                    <a:ln/>
                  </pic:spPr>
                </pic:pic>
              </a:graphicData>
            </a:graphic>
          </wp:inline>
        </w:drawing>
      </w:r>
      <w:bookmarkEnd w:id="5"/>
    </w:p>
    <w:p w14:paraId="23D2A335" w14:textId="77777777" w:rsidR="00973055" w:rsidRDefault="001B6194">
      <w:pPr>
        <w:spacing w:line="360" w:lineRule="auto"/>
        <w:jc w:val="both"/>
        <w:rPr>
          <w:rFonts w:ascii="Palatino Linotype" w:eastAsia="Palatino Linotype" w:hAnsi="Palatino Linotype" w:cs="Palatino Linotype"/>
        </w:rPr>
      </w:pPr>
      <w:r>
        <w:rPr>
          <w:noProof/>
          <w:lang w:val="es-ES_tradnl" w:eastAsia="zh-CN"/>
        </w:rPr>
        <w:lastRenderedPageBreak/>
        <w:drawing>
          <wp:inline distT="0" distB="0" distL="0" distR="0" wp14:anchorId="086092B3" wp14:editId="7BE89359">
            <wp:extent cx="5612130" cy="1111250"/>
            <wp:effectExtent l="0" t="0" r="0" b="0"/>
            <wp:docPr id="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2130" cy="1111250"/>
                    </a:xfrm>
                    <a:prstGeom prst="rect">
                      <a:avLst/>
                    </a:prstGeom>
                    <a:ln/>
                  </pic:spPr>
                </pic:pic>
              </a:graphicData>
            </a:graphic>
          </wp:inline>
        </w:drawing>
      </w:r>
    </w:p>
    <w:p w14:paraId="62CBF820" w14:textId="77777777" w:rsidR="00973055" w:rsidRDefault="001B6194">
      <w:pPr>
        <w:spacing w:line="360" w:lineRule="auto"/>
        <w:jc w:val="both"/>
        <w:rPr>
          <w:rFonts w:ascii="Palatino Linotype" w:eastAsia="Palatino Linotype" w:hAnsi="Palatino Linotype" w:cs="Palatino Linotype"/>
        </w:rPr>
      </w:pPr>
      <w:r>
        <w:rPr>
          <w:noProof/>
          <w:lang w:val="es-ES_tradnl" w:eastAsia="zh-CN"/>
        </w:rPr>
        <w:drawing>
          <wp:inline distT="0" distB="0" distL="0" distR="0" wp14:anchorId="2469B19F" wp14:editId="05CFF702">
            <wp:extent cx="5612130" cy="3081020"/>
            <wp:effectExtent l="0" t="0" r="0" b="0"/>
            <wp:docPr id="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12130" cy="3081020"/>
                    </a:xfrm>
                    <a:prstGeom prst="rect">
                      <a:avLst/>
                    </a:prstGeom>
                    <a:ln/>
                  </pic:spPr>
                </pic:pic>
              </a:graphicData>
            </a:graphic>
          </wp:inline>
        </w:drawing>
      </w:r>
    </w:p>
    <w:p w14:paraId="45FAD597" w14:textId="77777777" w:rsidR="00973055" w:rsidRDefault="00973055">
      <w:pPr>
        <w:spacing w:line="360" w:lineRule="auto"/>
        <w:jc w:val="both"/>
        <w:rPr>
          <w:rFonts w:ascii="Palatino Linotype" w:eastAsia="Palatino Linotype" w:hAnsi="Palatino Linotype" w:cs="Palatino Linotype"/>
        </w:rPr>
      </w:pPr>
    </w:p>
    <w:p w14:paraId="42E0E642"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w:t>
      </w:r>
      <w:r>
        <w:rPr>
          <w:rFonts w:ascii="Palatino Linotype" w:eastAsia="Palatino Linotype" w:hAnsi="Palatino Linotype" w:cs="Palatino Linotype"/>
        </w:rPr>
        <w:t xml:space="preserve">rior, resulta procedente ordenar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de los documentos donde conste </w:t>
      </w:r>
      <w:r>
        <w:rPr>
          <w:rFonts w:ascii="Palatino Linotype" w:eastAsia="Palatino Linotype" w:hAnsi="Palatino Linotype" w:cs="Palatino Linotype"/>
          <w:b/>
          <w:i/>
        </w:rPr>
        <w:t>la</w:t>
      </w:r>
      <w:r>
        <w:rPr>
          <w:rFonts w:ascii="Palatino Linotype" w:eastAsia="Palatino Linotype" w:hAnsi="Palatino Linotype" w:cs="Palatino Linotype"/>
          <w:i/>
        </w:rPr>
        <w:t xml:space="preserve"> información de los contribuyentes a los que se les haya condonado y/o cancelado de créditos fiscales por parte de este Ayuntamiento del 01 de enero de dos m</w:t>
      </w:r>
      <w:r>
        <w:rPr>
          <w:rFonts w:ascii="Palatino Linotype" w:eastAsia="Palatino Linotype" w:hAnsi="Palatino Linotype" w:cs="Palatino Linotype"/>
          <w:i/>
        </w:rPr>
        <w:t xml:space="preserve">il diecinueve al 27 de octubre de dos mil veintiuno, fecha en la que se presentó la solicitud de información </w:t>
      </w:r>
    </w:p>
    <w:p w14:paraId="48EE5B1A" w14:textId="77777777" w:rsidR="00973055" w:rsidRDefault="00973055">
      <w:pPr>
        <w:spacing w:line="360" w:lineRule="auto"/>
        <w:jc w:val="both"/>
        <w:rPr>
          <w:rFonts w:ascii="Palatino Linotype" w:eastAsia="Palatino Linotype" w:hAnsi="Palatino Linotype" w:cs="Palatino Linotype"/>
        </w:rPr>
      </w:pPr>
    </w:p>
    <w:p w14:paraId="7B29C836"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contexto, para este pleno,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facultad de poseer la información solicitada por el hoy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por lo que en</w:t>
      </w:r>
      <w:r>
        <w:rPr>
          <w:rFonts w:ascii="Palatino Linotype" w:eastAsia="Palatino Linotype" w:hAnsi="Palatino Linotype" w:cs="Palatino Linotype"/>
        </w:rPr>
        <w:t xml:space="preserve"> este </w:t>
      </w:r>
      <w:r>
        <w:rPr>
          <w:rFonts w:ascii="Palatino Linotype" w:eastAsia="Palatino Linotype" w:hAnsi="Palatino Linotype" w:cs="Palatino Linotype"/>
        </w:rPr>
        <w:lastRenderedPageBreak/>
        <w:t xml:space="preserve">sentido se trata de información pública que debe obrar en los archivos del citado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y al ser información pública es que se debió entregar al hoy </w:t>
      </w:r>
      <w:r>
        <w:rPr>
          <w:rFonts w:ascii="Palatino Linotype" w:eastAsia="Palatino Linotype" w:hAnsi="Palatino Linotype" w:cs="Palatino Linotype"/>
          <w:b/>
        </w:rPr>
        <w:t>RECURRENT</w:t>
      </w:r>
      <w:r>
        <w:rPr>
          <w:rFonts w:ascii="Palatino Linotype" w:eastAsia="Palatino Linotype" w:hAnsi="Palatino Linotype" w:cs="Palatino Linotype"/>
        </w:rPr>
        <w:t xml:space="preserve">E, ya que como ha quedado asentado los </w:t>
      </w:r>
      <w:r>
        <w:rPr>
          <w:rFonts w:ascii="Palatino Linotype" w:eastAsia="Palatino Linotype" w:hAnsi="Palatino Linotype" w:cs="Palatino Linotype"/>
          <w:b/>
        </w:rPr>
        <w:t>SUJETOS OBLIGADOS</w:t>
      </w:r>
      <w:r>
        <w:rPr>
          <w:rFonts w:ascii="Palatino Linotype" w:eastAsia="Palatino Linotype" w:hAnsi="Palatino Linotype" w:cs="Palatino Linotype"/>
        </w:rPr>
        <w:t>, deben proporcionar la i</w:t>
      </w:r>
      <w:r>
        <w:rPr>
          <w:rFonts w:ascii="Palatino Linotype" w:eastAsia="Palatino Linotype" w:hAnsi="Palatino Linotype" w:cs="Palatino Linotype"/>
        </w:rPr>
        <w:t xml:space="preserve">nformación que generen en el ejercicio de sus atribuciones; a la vez que están obligados a proporcionar la información que obre en sus archivos. </w:t>
      </w:r>
    </w:p>
    <w:p w14:paraId="0CF2C2AC" w14:textId="77777777" w:rsidR="00973055" w:rsidRDefault="00973055">
      <w:pPr>
        <w:spacing w:line="360" w:lineRule="auto"/>
        <w:jc w:val="both"/>
        <w:rPr>
          <w:rFonts w:ascii="Palatino Linotype" w:eastAsia="Palatino Linotype" w:hAnsi="Palatino Linotype" w:cs="Palatino Linotype"/>
        </w:rPr>
      </w:pPr>
    </w:p>
    <w:p w14:paraId="5822E81F"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resulta indispensable señalar 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dará por satisfecho el Derecho de Acceso a la Información con la entrega del documento tal como se encuentre en sus archivos y como se haya generado, ello con fundamento en el artículo 160 de la Ley en la Materia. </w:t>
      </w:r>
    </w:p>
    <w:p w14:paraId="4E2FCA79" w14:textId="77777777" w:rsidR="00973055" w:rsidRDefault="00973055">
      <w:pPr>
        <w:spacing w:line="360" w:lineRule="auto"/>
        <w:jc w:val="both"/>
        <w:rPr>
          <w:rFonts w:ascii="Palatino Linotype" w:eastAsia="Palatino Linotype" w:hAnsi="Palatino Linotype" w:cs="Palatino Linotype"/>
        </w:rPr>
      </w:pPr>
    </w:p>
    <w:p w14:paraId="1A775C4D"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mérito de lo anterior, es que se det</w:t>
      </w:r>
      <w:r>
        <w:rPr>
          <w:rFonts w:ascii="Palatino Linotype" w:eastAsia="Palatino Linotype" w:hAnsi="Palatino Linotype" w:cs="Palatino Linotype"/>
        </w:rPr>
        <w:t xml:space="preserve">ermina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dar cumplimiento a su obligación en materia de derecho de acceso a la información dando acceso a la documentación que refiera l</w:t>
      </w:r>
      <w:r>
        <w:rPr>
          <w:rFonts w:ascii="Palatino Linotype" w:eastAsia="Palatino Linotype" w:hAnsi="Palatino Linotype" w:cs="Palatino Linotype"/>
          <w:i/>
        </w:rPr>
        <w:t>a información de aquellos que hayan sido beneficiados con condonaciones y/o cancelaciones de</w:t>
      </w:r>
      <w:r>
        <w:rPr>
          <w:rFonts w:ascii="Palatino Linotype" w:eastAsia="Palatino Linotype" w:hAnsi="Palatino Linotype" w:cs="Palatino Linotype"/>
          <w:i/>
        </w:rPr>
        <w:t xml:space="preserve"> créditos fiscales</w:t>
      </w:r>
      <w:r>
        <w:rPr>
          <w:rFonts w:ascii="Palatino Linotype" w:eastAsia="Palatino Linotype" w:hAnsi="Palatino Linotype" w:cs="Palatino Linotype"/>
        </w:rPr>
        <w:t>, en la forma en la que fueron generados, finalmente no pasa desapercibido que dichos documentos pudieron haber sido generados en administraciones pasadas, por lo anterior deberá realizar una búsqueda y localización de la información en e</w:t>
      </w:r>
      <w:r>
        <w:rPr>
          <w:rFonts w:ascii="Palatino Linotype" w:eastAsia="Palatino Linotype" w:hAnsi="Palatino Linotype" w:cs="Palatino Linotype"/>
        </w:rPr>
        <w:t>l área competente, para generar, poseer y administrar la información, por lo que de conformidad con lo ya señalado Bando Municipal de Ecatepec de Morelos 2020, corresponde a la Tesorería Municipal conocer esta información.</w:t>
      </w:r>
    </w:p>
    <w:p w14:paraId="701CAF5D" w14:textId="77777777" w:rsidR="00973055" w:rsidRDefault="00973055">
      <w:pPr>
        <w:pBdr>
          <w:top w:val="nil"/>
          <w:left w:val="nil"/>
          <w:bottom w:val="nil"/>
          <w:right w:val="nil"/>
          <w:between w:val="nil"/>
        </w:pBdr>
        <w:spacing w:line="360" w:lineRule="auto"/>
        <w:jc w:val="both"/>
        <w:rPr>
          <w:rFonts w:ascii="Palatino Linotype" w:eastAsia="Palatino Linotype" w:hAnsi="Palatino Linotype" w:cs="Palatino Linotype"/>
          <w:b/>
          <w:i/>
        </w:rPr>
      </w:pPr>
    </w:p>
    <w:p w14:paraId="1780883C"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No pasa desapercibido para este </w:t>
      </w:r>
      <w:r>
        <w:rPr>
          <w:rFonts w:ascii="Palatino Linotype" w:eastAsia="Palatino Linotype" w:hAnsi="Palatino Linotype" w:cs="Palatino Linotype"/>
        </w:rPr>
        <w:t xml:space="preserve">Instituto que los documentos que den cuenta de lo solicitado, pudieran contener datos o información clasificada; al respecto, conforme al artículo 3°, fracción XLV, relacionado con el 137, ambos de la Ley de Transparencia y Acceso a la Información Pública </w:t>
      </w:r>
      <w:r>
        <w:rPr>
          <w:rFonts w:ascii="Palatino Linotype" w:eastAsia="Palatino Linotype" w:hAnsi="Palatino Linotype" w:cs="Palatino Linotype"/>
        </w:rPr>
        <w:t>del Estado de México y Municipios, cuando un documento contenga información pública y confidencial, la Unidad de Transparencia para efectos de atender al requerimiento informativo, deberá elaborar una versión Pública en la que se testen las partes o seccio</w:t>
      </w:r>
      <w:r>
        <w:rPr>
          <w:rFonts w:ascii="Palatino Linotype" w:eastAsia="Palatino Linotype" w:hAnsi="Palatino Linotype" w:cs="Palatino Linotype"/>
        </w:rPr>
        <w:t xml:space="preserve">nes clasificadas, indicando su contenido de manera genérica y fundando y motivando su clasificación. </w:t>
      </w:r>
    </w:p>
    <w:p w14:paraId="38F72C9B" w14:textId="77777777" w:rsidR="00973055" w:rsidRDefault="00973055">
      <w:pPr>
        <w:spacing w:line="360" w:lineRule="auto"/>
        <w:jc w:val="both"/>
        <w:rPr>
          <w:rFonts w:ascii="Palatino Linotype" w:eastAsia="Palatino Linotype" w:hAnsi="Palatino Linotype" w:cs="Palatino Linotype"/>
        </w:rPr>
      </w:pPr>
    </w:p>
    <w:p w14:paraId="7D7702BB"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tal situación, el Sujeto Obligado deberá seguir el procedimiento establecido en el artículo 168 de dicho ordenamiento jurídico; esto es, que el área</w:t>
      </w:r>
      <w:r>
        <w:rPr>
          <w:rFonts w:ascii="Palatino Linotype" w:eastAsia="Palatino Linotype" w:hAnsi="Palatino Linotype" w:cs="Palatino Linotype"/>
        </w:rPr>
        <w:t xml:space="preserve"> competente deberá elaborar la versión pública, así como emitir el Acuerdo, por parte del Comité de Transparencia, donde confirme la clasificación de los datos, fundando y motivando la clasificación.</w:t>
      </w:r>
    </w:p>
    <w:p w14:paraId="59B0CAA0" w14:textId="77777777" w:rsidR="00973055" w:rsidRDefault="00973055">
      <w:pPr>
        <w:spacing w:line="360" w:lineRule="auto"/>
        <w:jc w:val="both"/>
        <w:rPr>
          <w:rFonts w:ascii="Palatino Linotype" w:eastAsia="Palatino Linotype" w:hAnsi="Palatino Linotype" w:cs="Palatino Linotype"/>
        </w:rPr>
      </w:pPr>
      <w:bookmarkStart w:id="6" w:name="_heading=h.tyjcwt" w:colFirst="0" w:colLast="0"/>
      <w:bookmarkEnd w:id="6"/>
    </w:p>
    <w:p w14:paraId="6E5A3E5A" w14:textId="77777777" w:rsidR="00973055" w:rsidRDefault="001B6194">
      <w:pPr>
        <w:spacing w:line="360" w:lineRule="auto"/>
        <w:jc w:val="both"/>
        <w:rPr>
          <w:rFonts w:ascii="Palatino Linotype" w:eastAsia="Palatino Linotype" w:hAnsi="Palatino Linotype" w:cs="Palatino Linotype"/>
        </w:rPr>
      </w:pPr>
      <w:bookmarkStart w:id="7" w:name="_heading=h.3dy6vkm" w:colFirst="0" w:colLast="0"/>
      <w:bookmarkEnd w:id="7"/>
      <w:r>
        <w:rPr>
          <w:rFonts w:ascii="Palatino Linotype" w:eastAsia="Palatino Linotype" w:hAnsi="Palatino Linotype" w:cs="Palatino Linotype"/>
          <w:b/>
        </w:rPr>
        <w:t>Quinto. Versión Pública.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Para el caso de que el o los d</w:t>
      </w:r>
      <w:r>
        <w:rPr>
          <w:rFonts w:ascii="Palatino Linotype" w:eastAsia="Palatino Linotype" w:hAnsi="Palatino Linotype" w:cs="Palatino Linotype"/>
        </w:rPr>
        <w:t>ocumentos de los cuales se ordena su entrega, contenga datos personales susceptibles de ser testados a excepción de los siguientes:</w:t>
      </w:r>
      <w:r>
        <w:rPr>
          <w:rFonts w:ascii="Palatino Linotype" w:eastAsia="Palatino Linotype" w:hAnsi="Palatino Linotype" w:cs="Palatino Linotype"/>
          <w:b/>
          <w:i/>
          <w:sz w:val="22"/>
          <w:szCs w:val="22"/>
        </w:rPr>
        <w:t xml:space="preserve"> nombre, denominación o razón social y clave del registro federal de los contribuyentes a los que se les hubiera cancelado o </w:t>
      </w:r>
      <w:r>
        <w:rPr>
          <w:rFonts w:ascii="Palatino Linotype" w:eastAsia="Palatino Linotype" w:hAnsi="Palatino Linotype" w:cs="Palatino Linotype"/>
          <w:b/>
          <w:i/>
          <w:sz w:val="22"/>
          <w:szCs w:val="22"/>
        </w:rPr>
        <w:t>condonado algún crédito fiscal local o municipal en términos de lo establecido en la Ley de Transparencia</w:t>
      </w:r>
      <w:r>
        <w:rPr>
          <w:rFonts w:ascii="Palatino Linotype" w:eastAsia="Palatino Linotype" w:hAnsi="Palatino Linotype" w:cs="Palatino Linotype"/>
        </w:rPr>
        <w:t xml:space="preserve">,  deberán ser entregados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pues, el derecho de acceso a la información pública tiene como limitante el respeto a la intimidad y a la vida privada de las personas, es por ello que este Instituto debe cuidar que los datos personales que </w:t>
      </w:r>
      <w:r>
        <w:rPr>
          <w:rFonts w:ascii="Palatino Linotype" w:eastAsia="Palatino Linotype" w:hAnsi="Palatino Linotype" w:cs="Palatino Linotype"/>
        </w:rPr>
        <w:lastRenderedPageBreak/>
        <w:t>obren en poder de los Sujetos Obligados sean p</w:t>
      </w:r>
      <w:r>
        <w:rPr>
          <w:rFonts w:ascii="Palatino Linotype" w:eastAsia="Palatino Linotype" w:hAnsi="Palatino Linotype" w:cs="Palatino Linotype"/>
        </w:rPr>
        <w:t>rotegidos y únicamente se den a conocer aquéllos que abonen a la rendición de cuentas y a la transparencia en el ejercicio de las atribuciones que tienen conferidas. De este modo, en armonía entre los principios constitucionales de máxima publicidad y de p</w:t>
      </w:r>
      <w:r>
        <w:rPr>
          <w:rFonts w:ascii="Palatino Linotype" w:eastAsia="Palatino Linotype" w:hAnsi="Palatino Linotype" w:cs="Palatino Linotype"/>
        </w:rPr>
        <w:t>rotección de datos personales, la ley permite la elaboración de versiones públicas en las que se suprima aquella información relacionada con la vida privada de los particulares.</w:t>
      </w:r>
    </w:p>
    <w:p w14:paraId="171707EC" w14:textId="77777777" w:rsidR="00973055" w:rsidRDefault="00973055">
      <w:pPr>
        <w:spacing w:line="360" w:lineRule="auto"/>
        <w:jc w:val="both"/>
        <w:rPr>
          <w:rFonts w:ascii="Palatino Linotype" w:eastAsia="Palatino Linotype" w:hAnsi="Palatino Linotype" w:cs="Palatino Linotype"/>
        </w:rPr>
      </w:pPr>
    </w:p>
    <w:p w14:paraId="69979AB6"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 este respecto, los artículos 3, fracciones IX, XX, XXI y XLV; 51 y 52 de la</w:t>
      </w:r>
      <w:r>
        <w:rPr>
          <w:rFonts w:ascii="Palatino Linotype" w:eastAsia="Palatino Linotype" w:hAnsi="Palatino Linotype" w:cs="Palatino Linotype"/>
        </w:rPr>
        <w:t xml:space="preserve"> Ley de Transparencia y Acceso a la Información Pública del Estado de México y Municipios establecen:</w:t>
      </w:r>
    </w:p>
    <w:p w14:paraId="781717DF" w14:textId="77777777" w:rsidR="00973055" w:rsidRDefault="00973055">
      <w:pPr>
        <w:ind w:right="899"/>
        <w:jc w:val="both"/>
        <w:rPr>
          <w:rFonts w:ascii="Palatino Linotype" w:eastAsia="Palatino Linotype" w:hAnsi="Palatino Linotype" w:cs="Palatino Linotype"/>
        </w:rPr>
      </w:pPr>
    </w:p>
    <w:p w14:paraId="28FBCB76" w14:textId="77777777" w:rsidR="00973055" w:rsidRDefault="001B6194">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 xml:space="preserve">Para los efectos de la presente Ley se entenderá por: </w:t>
      </w:r>
    </w:p>
    <w:p w14:paraId="5EB934AC" w14:textId="77777777" w:rsidR="00973055" w:rsidRDefault="001B619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Datos personales: </w:t>
      </w:r>
      <w:r>
        <w:rPr>
          <w:rFonts w:ascii="Palatino Linotype" w:eastAsia="Palatino Linotype" w:hAnsi="Palatino Linotype" w:cs="Palatino Linotype"/>
          <w:i/>
          <w:sz w:val="22"/>
          <w:szCs w:val="22"/>
        </w:rPr>
        <w:t>La información concerniente a una persona, identificada o ident</w:t>
      </w:r>
      <w:r>
        <w:rPr>
          <w:rFonts w:ascii="Palatino Linotype" w:eastAsia="Palatino Linotype" w:hAnsi="Palatino Linotype" w:cs="Palatino Linotype"/>
          <w:i/>
          <w:sz w:val="22"/>
          <w:szCs w:val="22"/>
        </w:rPr>
        <w:t xml:space="preserve">ificable según lo dispuesto por la Ley de Protección de Datos Personales del Estado de México; </w:t>
      </w:r>
    </w:p>
    <w:p w14:paraId="02269D47" w14:textId="77777777" w:rsidR="00973055" w:rsidRDefault="001B619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Información clasificada:</w:t>
      </w:r>
      <w:r>
        <w:rPr>
          <w:rFonts w:ascii="Palatino Linotype" w:eastAsia="Palatino Linotype" w:hAnsi="Palatino Linotype" w:cs="Palatino Linotype"/>
          <w:i/>
          <w:sz w:val="22"/>
          <w:szCs w:val="22"/>
        </w:rPr>
        <w:t xml:space="preserve"> Aquella considerada por la presente Ley como reservada o confidencial; </w:t>
      </w:r>
    </w:p>
    <w:p w14:paraId="1E6C6AC3" w14:textId="77777777" w:rsidR="00973055" w:rsidRDefault="001B619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Información confidencial</w:t>
      </w:r>
      <w:r>
        <w:rPr>
          <w:rFonts w:ascii="Palatino Linotype" w:eastAsia="Palatino Linotype" w:hAnsi="Palatino Linotype" w:cs="Palatino Linotype"/>
          <w:i/>
          <w:sz w:val="22"/>
          <w:szCs w:val="22"/>
        </w:rPr>
        <w:t>: Se considera como informació</w:t>
      </w:r>
      <w:r>
        <w:rPr>
          <w:rFonts w:ascii="Palatino Linotype" w:eastAsia="Palatino Linotype" w:hAnsi="Palatino Linotype" w:cs="Palatino Linotype"/>
          <w:i/>
          <w:sz w:val="22"/>
          <w:szCs w:val="22"/>
        </w:rPr>
        <w:t xml:space="preserve">n confidencial los secretos bancario, fiduciario, industrial, comercial, fiscal, bursátil y postal, cuya titularidad corresponda a particulares, sujetos de derecho internacional o a sujetos obligados cuando no involucren el ejercicio de recursos públicos; </w:t>
      </w:r>
    </w:p>
    <w:p w14:paraId="404876A3" w14:textId="77777777" w:rsidR="00973055" w:rsidRDefault="001B619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36FC13BF" w14:textId="77777777" w:rsidR="00973055" w:rsidRDefault="001B619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Pr>
          <w:rFonts w:ascii="Palatino Linotype" w:eastAsia="Palatino Linotype" w:hAnsi="Palatino Linotype" w:cs="Palatino Linotype"/>
          <w:b/>
          <w:i/>
          <w:sz w:val="22"/>
          <w:szCs w:val="22"/>
        </w:rPr>
        <w:t>y tendrá la responsabi</w:t>
      </w:r>
      <w:r>
        <w:rPr>
          <w:rFonts w:ascii="Palatino Linotype" w:eastAsia="Palatino Linotype" w:hAnsi="Palatino Linotype" w:cs="Palatino Linotype"/>
          <w:b/>
          <w:i/>
          <w:sz w:val="22"/>
          <w:szCs w:val="22"/>
        </w:rPr>
        <w:t xml:space="preserve">lidad de verificar en cada caso que la misma no sea confidencial o reservada. </w:t>
      </w:r>
      <w:r>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7F8E59A1" w14:textId="77777777" w:rsidR="00973055" w:rsidRDefault="001B619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w:t>
      </w:r>
      <w:r>
        <w:rPr>
          <w:rFonts w:ascii="Palatino Linotype" w:eastAsia="Palatino Linotype" w:hAnsi="Palatino Linotype" w:cs="Palatino Linotype"/>
          <w:b/>
          <w:i/>
          <w:sz w:val="22"/>
          <w:szCs w:val="22"/>
        </w:rPr>
        <w:t>culo 52.</w:t>
      </w:r>
      <w:r>
        <w:rPr>
          <w:rFonts w:ascii="Palatino Linotype" w:eastAsia="Palatino Linotype" w:hAnsi="Palatino Linotype" w:cs="Palatino Linotype"/>
          <w:i/>
          <w:sz w:val="22"/>
          <w:szCs w:val="22"/>
        </w:rPr>
        <w:t xml:space="preserve"> Las solicitudes de acceso a la información y las respuestas que se les dé, incluyendo, en su caso, </w:t>
      </w:r>
      <w:r>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w:t>
      </w:r>
      <w:r>
        <w:rPr>
          <w:rFonts w:ascii="Palatino Linotype" w:eastAsia="Palatino Linotype" w:hAnsi="Palatino Linotype" w:cs="Palatino Linotype"/>
          <w:i/>
          <w:sz w:val="22"/>
          <w:szCs w:val="22"/>
          <w:u w:val="single"/>
        </w:rPr>
        <w:t>ersonales que deban ser protegidos se podrá dar su acceso en su versión pública</w:t>
      </w:r>
      <w:r>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13116E20" w14:textId="77777777" w:rsidR="00973055" w:rsidRDefault="001B6194">
      <w:pPr>
        <w:ind w:right="899" w:firstLine="7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1EBA8630" w14:textId="77777777" w:rsidR="00973055" w:rsidRDefault="00973055">
      <w:pPr>
        <w:ind w:right="899" w:firstLine="708"/>
        <w:jc w:val="both"/>
        <w:rPr>
          <w:rFonts w:ascii="Palatino Linotype" w:eastAsia="Palatino Linotype" w:hAnsi="Palatino Linotype" w:cs="Palatino Linotype"/>
        </w:rPr>
      </w:pPr>
    </w:p>
    <w:p w14:paraId="74BA9AA1"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w:t>
      </w:r>
      <w:r>
        <w:rPr>
          <w:rFonts w:ascii="Palatino Linotype" w:eastAsia="Palatino Linotype" w:hAnsi="Palatino Linotype" w:cs="Palatino Linotype"/>
        </w:rPr>
        <w:t>sí, los datos personales que obren en poder de los Sujetos Obligados deben estar protegidos, adoptando las medidas de seguridad administrativas, físicas y técnicas necesarias para garantizar la integridad, confidencialidad y disponibilidad de los datos per</w:t>
      </w:r>
      <w:r>
        <w:rPr>
          <w:rFonts w:ascii="Palatino Linotype" w:eastAsia="Palatino Linotype" w:hAnsi="Palatino Linotype" w:cs="Palatino Linotype"/>
        </w:rPr>
        <w:t xml:space="preserve">sonales, considerando además, que conforme al principio de finalidad, todo tratamiento de datos personales que efectúen, deberá estar justificado en la Ley, lo anterior en términos de lo dispuesto por el artículo 22, párrafo primero con relación con el 38 </w:t>
      </w:r>
      <w:r>
        <w:rPr>
          <w:rFonts w:ascii="Palatino Linotype" w:eastAsia="Palatino Linotype" w:hAnsi="Palatino Linotype" w:cs="Palatino Linotype"/>
        </w:rPr>
        <w:t xml:space="preserve">de la Ley de Protección de Datos Personales en Posesión de Sujetos Obligados del Estado de México y Municipios, los cuales se transcriben para mayor referencia: </w:t>
      </w:r>
    </w:p>
    <w:p w14:paraId="35CAFF5C" w14:textId="77777777" w:rsidR="00973055" w:rsidRDefault="00973055">
      <w:pPr>
        <w:jc w:val="both"/>
        <w:rPr>
          <w:rFonts w:ascii="Palatino Linotype" w:eastAsia="Palatino Linotype" w:hAnsi="Palatino Linotype" w:cs="Palatino Linotype"/>
        </w:rPr>
      </w:pPr>
    </w:p>
    <w:p w14:paraId="47B3436A"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w:t>
      </w:r>
      <w:r>
        <w:rPr>
          <w:rFonts w:ascii="Palatino Linotype" w:eastAsia="Palatino Linotype" w:hAnsi="Palatino Linotype" w:cs="Palatino Linotype"/>
          <w:i/>
          <w:sz w:val="22"/>
          <w:szCs w:val="22"/>
        </w:rPr>
        <w:t xml:space="preserve"> Todo tratamiento de datos personales que efectúe el responsable deberá estar ju</w:t>
      </w:r>
      <w:r>
        <w:rPr>
          <w:rFonts w:ascii="Palatino Linotype" w:eastAsia="Palatino Linotype" w:hAnsi="Palatino Linotype" w:cs="Palatino Linotype"/>
          <w:i/>
          <w:sz w:val="22"/>
          <w:szCs w:val="22"/>
        </w:rPr>
        <w:t xml:space="preserve">stificado por finalidades concretas, lícitas, explícitas y legítimas, relacionadas con las atribuciones que la normatividad aplicable les confiera. </w:t>
      </w:r>
    </w:p>
    <w:p w14:paraId="432E0EED"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58FF76A2"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38.</w:t>
      </w:r>
      <w:r>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w:t>
      </w:r>
      <w:r>
        <w:rPr>
          <w:rFonts w:ascii="Palatino Linotype" w:eastAsia="Palatino Linotype" w:hAnsi="Palatino Linotype" w:cs="Palatino Linotype"/>
          <w:i/>
          <w:sz w:val="22"/>
          <w:szCs w:val="22"/>
        </w:rPr>
        <w:t>écnicas para garantizar la integridad, confidencialidad y disponibilidad de los datos personales, a través de controles y acciones que eviten su daño, alteración, pérdida, destrucción, o el uso, transferencia, acceso o cualquier tratamiento no autorizado o</w:t>
      </w:r>
      <w:r>
        <w:rPr>
          <w:rFonts w:ascii="Palatino Linotype" w:eastAsia="Palatino Linotype" w:hAnsi="Palatino Linotype" w:cs="Palatino Linotype"/>
          <w:i/>
          <w:sz w:val="22"/>
          <w:szCs w:val="22"/>
        </w:rPr>
        <w:t xml:space="preserve"> ilícito, de conformidad con lo dispuesto en los lineamientos que al efecto se expidan.</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w:t>
      </w:r>
    </w:p>
    <w:p w14:paraId="5B770B34" w14:textId="77777777" w:rsidR="00973055" w:rsidRDefault="00973055">
      <w:pPr>
        <w:ind w:left="851" w:right="850"/>
        <w:jc w:val="both"/>
        <w:rPr>
          <w:rFonts w:ascii="Palatino Linotype" w:eastAsia="Palatino Linotype" w:hAnsi="Palatino Linotype" w:cs="Palatino Linotype"/>
          <w:i/>
          <w:sz w:val="22"/>
          <w:szCs w:val="22"/>
        </w:rPr>
      </w:pPr>
    </w:p>
    <w:p w14:paraId="00F5A861" w14:textId="77777777" w:rsidR="00973055" w:rsidRDefault="00973055">
      <w:pPr>
        <w:spacing w:line="360" w:lineRule="auto"/>
        <w:jc w:val="both"/>
        <w:rPr>
          <w:rFonts w:ascii="Palatino Linotype" w:eastAsia="Palatino Linotype" w:hAnsi="Palatino Linotype" w:cs="Palatino Linotype"/>
        </w:rPr>
      </w:pPr>
    </w:p>
    <w:p w14:paraId="6B494696"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de la materia permite la elaboración</w:t>
      </w:r>
      <w:r>
        <w:rPr>
          <w:rFonts w:ascii="Palatino Linotype" w:eastAsia="Palatino Linotype" w:hAnsi="Palatino Linotype" w:cs="Palatino Linotype"/>
        </w:rPr>
        <w:t xml:space="preserve"> de versiones públicas en las que se suprima aquella información relacionada con la vida privada de los particulares toda vez que ésta tiene por objeto proteger datos personales, entendiéndose por tales, aquéllos que hacen identificable a una persona. </w:t>
      </w:r>
    </w:p>
    <w:p w14:paraId="7525CEEB" w14:textId="77777777" w:rsidR="00973055" w:rsidRDefault="00973055">
      <w:pPr>
        <w:spacing w:line="360" w:lineRule="auto"/>
        <w:jc w:val="both"/>
        <w:rPr>
          <w:rFonts w:ascii="Palatino Linotype" w:eastAsia="Palatino Linotype" w:hAnsi="Palatino Linotype" w:cs="Palatino Linotype"/>
        </w:rPr>
      </w:pPr>
    </w:p>
    <w:p w14:paraId="467FFE70"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w:t>
      </w:r>
      <w:r>
        <w:rPr>
          <w:rFonts w:ascii="Palatino Linotype" w:eastAsia="Palatino Linotype" w:hAnsi="Palatino Linotype" w:cs="Palatino Linotype"/>
        </w:rPr>
        <w:t xml:space="preserve"> anterior es así, en virtud de que toda la información relativa a una persona física o jurídico colectiva que le pueda hacer identificada o identificable constituye un dato personal en términos del artículo 4, fracción XI de la Ley de Protección de Datos P</w:t>
      </w:r>
      <w:r>
        <w:rPr>
          <w:rFonts w:ascii="Palatino Linotype" w:eastAsia="Palatino Linotype" w:hAnsi="Palatino Linotype" w:cs="Palatino Linotype"/>
        </w:rPr>
        <w:t xml:space="preserve">ersonales en Posesión de Sujetos Obligados del Estado de México y Municipios; por consiguiente, se trata de información confidencial que debe ser protegida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por lo que, todo dato personal susceptible de clasificación debe ser protegi</w:t>
      </w:r>
      <w:r>
        <w:rPr>
          <w:rFonts w:ascii="Palatino Linotype" w:eastAsia="Palatino Linotype" w:hAnsi="Palatino Linotype" w:cs="Palatino Linotype"/>
        </w:rPr>
        <w:t>do.</w:t>
      </w:r>
    </w:p>
    <w:p w14:paraId="3750EC46" w14:textId="77777777" w:rsidR="00973055" w:rsidRDefault="00973055">
      <w:pPr>
        <w:spacing w:line="360" w:lineRule="auto"/>
        <w:jc w:val="both"/>
        <w:rPr>
          <w:rFonts w:ascii="Palatino Linotype" w:eastAsia="Palatino Linotype" w:hAnsi="Palatino Linotype" w:cs="Palatino Linotype"/>
        </w:rPr>
      </w:pPr>
    </w:p>
    <w:p w14:paraId="36850E40"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finalidad de la versión pública de la información, es salvaguardar la vida, integridad, seguridad, patrimonio y privacidad de las personas; de tal manera que todo aquello que no tenga por objeto proteger lo anterior, es susceptible de ser entregado</w:t>
      </w:r>
      <w:r>
        <w:rPr>
          <w:rFonts w:ascii="Palatino Linotype" w:eastAsia="Palatino Linotype" w:hAnsi="Palatino Linotype" w:cs="Palatino Linotype"/>
        </w:rPr>
        <w:t>; en otras palabras, la protección de datos personales, entre ellos el del patrimonio y su confidencialidad, es una derivación del derecho a la intimidad.</w:t>
      </w:r>
    </w:p>
    <w:p w14:paraId="29807868" w14:textId="77777777" w:rsidR="00973055" w:rsidRDefault="00973055">
      <w:pPr>
        <w:spacing w:line="360" w:lineRule="auto"/>
        <w:jc w:val="both"/>
        <w:rPr>
          <w:rFonts w:ascii="Palatino Linotype" w:eastAsia="Palatino Linotype" w:hAnsi="Palatino Linotype" w:cs="Palatino Linotype"/>
        </w:rPr>
      </w:pPr>
    </w:p>
    <w:p w14:paraId="4097E860"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es importante señalar que dicha clasificación se tiene que efectuar mediante la forma y fo</w:t>
      </w:r>
      <w:r>
        <w:rPr>
          <w:rFonts w:ascii="Palatino Linotype" w:eastAsia="Palatino Linotype" w:hAnsi="Palatino Linotype" w:cs="Palatino Linotype"/>
        </w:rPr>
        <w:t>rmalidades que la ley de la materia impone; es decir, mediante acuerdo debidamente fundado y motivado, de su Comité de Transparencia, en términos de los artículos 49, fracción VIII y 132, fracciones II y III de la Ley de Transparencia y Acceso a la Informa</w:t>
      </w:r>
      <w:r>
        <w:rPr>
          <w:rFonts w:ascii="Palatino Linotype" w:eastAsia="Palatino Linotype" w:hAnsi="Palatino Linotype" w:cs="Palatino Linotype"/>
        </w:rPr>
        <w:t xml:space="preserve">ción Pública del Estado de México y Municipios, así como los numerales Segundo, fracción XVIII,  y del Cuarto al Décimo Primero de los Lineamientos Generales en materia de Clasificación y Desclasificación de la Información, así como para la elaboración de </w:t>
      </w:r>
      <w:r>
        <w:rPr>
          <w:rFonts w:ascii="Palatino Linotype" w:eastAsia="Palatino Linotype" w:hAnsi="Palatino Linotype" w:cs="Palatino Linotype"/>
        </w:rPr>
        <w:t>Versiones Públicas, que literalmente expresan:</w:t>
      </w:r>
    </w:p>
    <w:p w14:paraId="1EBA865D" w14:textId="77777777" w:rsidR="00973055" w:rsidRDefault="00973055">
      <w:pPr>
        <w:jc w:val="both"/>
        <w:rPr>
          <w:rFonts w:ascii="Palatino Linotype" w:eastAsia="Palatino Linotype" w:hAnsi="Palatino Linotype" w:cs="Palatino Linotype"/>
        </w:rPr>
      </w:pPr>
    </w:p>
    <w:p w14:paraId="74C16F4E"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3BD7F527"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14:paraId="66E4AFB5" w14:textId="77777777" w:rsidR="00973055" w:rsidRDefault="00973055">
      <w:pPr>
        <w:ind w:left="851" w:right="902"/>
        <w:jc w:val="both"/>
        <w:rPr>
          <w:rFonts w:ascii="Palatino Linotype" w:eastAsia="Palatino Linotype" w:hAnsi="Palatino Linotype" w:cs="Palatino Linotype"/>
          <w:i/>
          <w:sz w:val="22"/>
          <w:szCs w:val="22"/>
        </w:rPr>
      </w:pPr>
    </w:p>
    <w:p w14:paraId="6E35AB16"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1BF16042"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160681CC"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12AE1CF8" w14:textId="77777777" w:rsidR="00973055" w:rsidRDefault="001B6194">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III. Se generen versiones públicas para dar cumplimiento a la</w:t>
      </w:r>
      <w:r>
        <w:rPr>
          <w:rFonts w:ascii="Palatino Linotype" w:eastAsia="Palatino Linotype" w:hAnsi="Palatino Linotype" w:cs="Palatino Linotype"/>
          <w:i/>
          <w:sz w:val="22"/>
          <w:szCs w:val="22"/>
        </w:rPr>
        <w:t>s obligaciones de transparencia previstas en esta Ley.</w:t>
      </w:r>
      <w:r>
        <w:rPr>
          <w:rFonts w:ascii="Palatino Linotype" w:eastAsia="Palatino Linotype" w:hAnsi="Palatino Linotype" w:cs="Palatino Linotype"/>
          <w:b/>
          <w:i/>
          <w:sz w:val="22"/>
          <w:szCs w:val="22"/>
        </w:rPr>
        <w:t>”</w:t>
      </w:r>
    </w:p>
    <w:p w14:paraId="3C9A0FDD" w14:textId="77777777" w:rsidR="00973055" w:rsidRDefault="00973055">
      <w:pPr>
        <w:ind w:left="851" w:right="902"/>
        <w:jc w:val="both"/>
        <w:rPr>
          <w:rFonts w:ascii="Palatino Linotype" w:eastAsia="Palatino Linotype" w:hAnsi="Palatino Linotype" w:cs="Palatino Linotype"/>
          <w:b/>
          <w:i/>
          <w:sz w:val="22"/>
          <w:szCs w:val="22"/>
        </w:rPr>
      </w:pPr>
    </w:p>
    <w:p w14:paraId="7D5F6CD8"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50DF9952"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w:t>
      </w:r>
      <w:r>
        <w:rPr>
          <w:rFonts w:ascii="Palatino Linotype" w:eastAsia="Palatino Linotype" w:hAnsi="Palatino Linotype" w:cs="Palatino Linotype"/>
          <w:i/>
          <w:sz w:val="22"/>
          <w:szCs w:val="22"/>
        </w:rPr>
        <w:t xml:space="preserve"> o secciones clasificadas, indicando el contenido de éstas de manera genérica, fundando y motivando la reserva o confidencialidad, a través de la resolución que para tal efecto emita el Comité de Transparencia.</w:t>
      </w:r>
    </w:p>
    <w:p w14:paraId="2D09CC8F" w14:textId="77777777" w:rsidR="00973055" w:rsidRDefault="00973055">
      <w:pPr>
        <w:ind w:left="851" w:right="902"/>
        <w:jc w:val="both"/>
        <w:rPr>
          <w:rFonts w:ascii="Palatino Linotype" w:eastAsia="Palatino Linotype" w:hAnsi="Palatino Linotype" w:cs="Palatino Linotype"/>
          <w:b/>
          <w:i/>
          <w:sz w:val="22"/>
          <w:szCs w:val="22"/>
        </w:rPr>
      </w:pPr>
    </w:p>
    <w:p w14:paraId="6BF967C2"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w:t>
      </w:r>
      <w:r>
        <w:rPr>
          <w:rFonts w:ascii="Palatino Linotype" w:eastAsia="Palatino Linotype" w:hAnsi="Palatino Linotype" w:cs="Palatino Linotype"/>
          <w:i/>
          <w:sz w:val="22"/>
          <w:szCs w:val="22"/>
        </w:rPr>
        <w:t>reservada o confidencial, de manera total o parcial, el titular del área del sujeto obligado deberá atender lo dispuesto por el Título Sexto de la Ley General, en relación con las disposiciones contenidas en los presentes lineamientos, así como en aquellas</w:t>
      </w:r>
      <w:r>
        <w:rPr>
          <w:rFonts w:ascii="Palatino Linotype" w:eastAsia="Palatino Linotype" w:hAnsi="Palatino Linotype" w:cs="Palatino Linotype"/>
          <w:i/>
          <w:sz w:val="22"/>
          <w:szCs w:val="22"/>
        </w:rPr>
        <w:t xml:space="preserve"> disposiciones legales aplicables </w:t>
      </w:r>
      <w:r>
        <w:rPr>
          <w:rFonts w:ascii="Palatino Linotype" w:eastAsia="Palatino Linotype" w:hAnsi="Palatino Linotype" w:cs="Palatino Linotype"/>
          <w:i/>
          <w:sz w:val="22"/>
          <w:szCs w:val="22"/>
        </w:rPr>
        <w:lastRenderedPageBreak/>
        <w:t>a la materia en el ámbito de sus respectivas competencias, en tanto estas últimas no contravengan lo dispuesto en la Ley General.</w:t>
      </w:r>
    </w:p>
    <w:p w14:paraId="5A0E6733"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w:t>
      </w:r>
      <w:r>
        <w:rPr>
          <w:rFonts w:ascii="Palatino Linotype" w:eastAsia="Palatino Linotype" w:hAnsi="Palatino Linotype" w:cs="Palatino Linotype"/>
          <w:i/>
          <w:sz w:val="22"/>
          <w:szCs w:val="22"/>
        </w:rPr>
        <w:t>eso a la información y sólo podrán invocarlas cuando acrediten su procedencia.</w:t>
      </w:r>
    </w:p>
    <w:p w14:paraId="7599F4C1" w14:textId="77777777" w:rsidR="00973055" w:rsidRDefault="00973055">
      <w:pPr>
        <w:ind w:left="851" w:right="902"/>
        <w:jc w:val="both"/>
        <w:rPr>
          <w:rFonts w:ascii="Palatino Linotype" w:eastAsia="Palatino Linotype" w:hAnsi="Palatino Linotype" w:cs="Palatino Linotype"/>
          <w:b/>
          <w:i/>
          <w:sz w:val="22"/>
          <w:szCs w:val="22"/>
        </w:rPr>
      </w:pPr>
    </w:p>
    <w:p w14:paraId="2E4F792A"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w:t>
      </w:r>
      <w:r>
        <w:rPr>
          <w:rFonts w:ascii="Palatino Linotype" w:eastAsia="Palatino Linotype" w:hAnsi="Palatino Linotype" w:cs="Palatino Linotype"/>
          <w:i/>
          <w:sz w:val="22"/>
          <w:szCs w:val="22"/>
        </w:rPr>
        <w:t>l, la Ley Federal y leyes estatales, corresponderá a los sujetos obligados, por lo que deberán fundar y motivar debidamente la clasificación de la información ante una solicitud de acceso o al momento en que generen versiones públicas para dar cumplimiento</w:t>
      </w:r>
      <w:r>
        <w:rPr>
          <w:rFonts w:ascii="Palatino Linotype" w:eastAsia="Palatino Linotype" w:hAnsi="Palatino Linotype" w:cs="Palatino Linotype"/>
          <w:i/>
          <w:sz w:val="22"/>
          <w:szCs w:val="22"/>
        </w:rPr>
        <w:t xml:space="preserve"> a las obligaciones de transparencia, observando lo dispuesto en la Ley General y las demás disposiciones aplicables en la materia.</w:t>
      </w:r>
    </w:p>
    <w:p w14:paraId="39E80D36" w14:textId="77777777" w:rsidR="00973055" w:rsidRDefault="00973055">
      <w:pPr>
        <w:ind w:left="851" w:right="902"/>
        <w:jc w:val="both"/>
        <w:rPr>
          <w:rFonts w:ascii="Palatino Linotype" w:eastAsia="Palatino Linotype" w:hAnsi="Palatino Linotype" w:cs="Palatino Linotype"/>
          <w:b/>
          <w:i/>
          <w:sz w:val="22"/>
          <w:szCs w:val="22"/>
        </w:rPr>
      </w:pPr>
    </w:p>
    <w:p w14:paraId="164F9900"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w:t>
      </w:r>
      <w:r>
        <w:rPr>
          <w:rFonts w:ascii="Palatino Linotype" w:eastAsia="Palatino Linotype" w:hAnsi="Palatino Linotype" w:cs="Palatino Linotype"/>
          <w:i/>
          <w:sz w:val="22"/>
          <w:szCs w:val="22"/>
        </w:rPr>
        <w:t>ientes como reservados, ni clasificar documentos antes de que se genere la información o cuando éstos no obren en sus archivos.</w:t>
      </w:r>
    </w:p>
    <w:p w14:paraId="06AD5A50"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w:t>
      </w:r>
      <w:r>
        <w:rPr>
          <w:rFonts w:ascii="Palatino Linotype" w:eastAsia="Palatino Linotype" w:hAnsi="Palatino Linotype" w:cs="Palatino Linotype"/>
          <w:i/>
          <w:sz w:val="22"/>
          <w:szCs w:val="22"/>
        </w:rPr>
        <w:t xml:space="preserve"> de interés público.</w:t>
      </w:r>
    </w:p>
    <w:p w14:paraId="436E6336" w14:textId="77777777" w:rsidR="00973055" w:rsidRDefault="00973055">
      <w:pPr>
        <w:ind w:left="851" w:right="902"/>
        <w:jc w:val="both"/>
        <w:rPr>
          <w:rFonts w:ascii="Palatino Linotype" w:eastAsia="Palatino Linotype" w:hAnsi="Palatino Linotype" w:cs="Palatino Linotype"/>
          <w:b/>
          <w:i/>
          <w:sz w:val="22"/>
          <w:szCs w:val="22"/>
        </w:rPr>
      </w:pPr>
    </w:p>
    <w:p w14:paraId="7CE0F8A3"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5DAF863D"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31BDCA45"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5905996C"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6DBB4B4"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w:t>
      </w:r>
      <w:r>
        <w:rPr>
          <w:rFonts w:ascii="Palatino Linotype" w:eastAsia="Palatino Linotype" w:hAnsi="Palatino Linotype" w:cs="Palatino Linotype"/>
          <w:i/>
          <w:sz w:val="22"/>
          <w:szCs w:val="22"/>
        </w:rPr>
        <w:t>mento de la recepción de una solicitud de acceso a la información, para verificar si encuadra en una causal de reserva o de confidencialidad.</w:t>
      </w:r>
    </w:p>
    <w:p w14:paraId="75B02984" w14:textId="77777777" w:rsidR="00973055" w:rsidRDefault="00973055">
      <w:pPr>
        <w:ind w:left="851" w:right="902"/>
        <w:jc w:val="both"/>
        <w:rPr>
          <w:rFonts w:ascii="Palatino Linotype" w:eastAsia="Palatino Linotype" w:hAnsi="Palatino Linotype" w:cs="Palatino Linotype"/>
          <w:b/>
          <w:i/>
          <w:sz w:val="22"/>
          <w:szCs w:val="22"/>
        </w:rPr>
      </w:pPr>
    </w:p>
    <w:p w14:paraId="02359BC7"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w:t>
      </w:r>
      <w:r>
        <w:rPr>
          <w:rFonts w:ascii="Palatino Linotype" w:eastAsia="Palatino Linotype" w:hAnsi="Palatino Linotype" w:cs="Palatino Linotype"/>
          <w:i/>
          <w:sz w:val="22"/>
          <w:szCs w:val="22"/>
        </w:rPr>
        <w:t>umeral de la ley o tratado internacional suscrito por el Estado mexicano que expresamente le otorga el carácter de reservada o confidencial.</w:t>
      </w:r>
    </w:p>
    <w:p w14:paraId="5DA5C748"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w:t>
      </w:r>
      <w:r>
        <w:rPr>
          <w:rFonts w:ascii="Palatino Linotype" w:eastAsia="Palatino Linotype" w:hAnsi="Palatino Linotype" w:cs="Palatino Linotype"/>
          <w:i/>
          <w:sz w:val="22"/>
          <w:szCs w:val="22"/>
        </w:rPr>
        <w:t xml:space="preserve"> que el caso particular se ajusta al supuesto previsto por la norma legal invocada como fundamento.</w:t>
      </w:r>
    </w:p>
    <w:p w14:paraId="3BDAF285"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w:t>
      </w:r>
      <w:r>
        <w:rPr>
          <w:rFonts w:ascii="Palatino Linotype" w:eastAsia="Palatino Linotype" w:hAnsi="Palatino Linotype" w:cs="Palatino Linotype"/>
          <w:i/>
          <w:sz w:val="22"/>
          <w:szCs w:val="22"/>
        </w:rPr>
        <w:t>to de determinado plazo de reserva.</w:t>
      </w:r>
    </w:p>
    <w:p w14:paraId="5996AF3B"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w:t>
      </w:r>
      <w:r>
        <w:rPr>
          <w:rFonts w:ascii="Palatino Linotype" w:eastAsia="Palatino Linotype" w:hAnsi="Palatino Linotype" w:cs="Palatino Linotype"/>
          <w:i/>
          <w:sz w:val="22"/>
          <w:szCs w:val="22"/>
        </w:rPr>
        <w:t xml:space="preserve"> en materia de archivos.</w:t>
      </w:r>
    </w:p>
    <w:p w14:paraId="04CD5F40"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55CBD48B" w14:textId="77777777" w:rsidR="00973055" w:rsidRDefault="00973055">
      <w:pPr>
        <w:ind w:left="851" w:right="902"/>
        <w:jc w:val="both"/>
        <w:rPr>
          <w:rFonts w:ascii="Palatino Linotype" w:eastAsia="Palatino Linotype" w:hAnsi="Palatino Linotype" w:cs="Palatino Linotype"/>
          <w:b/>
          <w:i/>
          <w:sz w:val="22"/>
          <w:szCs w:val="22"/>
        </w:rPr>
      </w:pPr>
    </w:p>
    <w:p w14:paraId="07A5BE7A"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w:t>
      </w:r>
      <w:r>
        <w:rPr>
          <w:rFonts w:ascii="Palatino Linotype" w:eastAsia="Palatino Linotype" w:hAnsi="Palatino Linotype" w:cs="Palatino Linotype"/>
          <w:i/>
          <w:sz w:val="22"/>
          <w:szCs w:val="22"/>
        </w:rPr>
        <w:t>o los procedimientos establecidos en el Capítulo IX de los presentes lineamientos.</w:t>
      </w:r>
    </w:p>
    <w:p w14:paraId="7C8909F6" w14:textId="77777777" w:rsidR="00973055" w:rsidRDefault="00973055">
      <w:pPr>
        <w:ind w:left="851" w:right="902"/>
        <w:jc w:val="both"/>
        <w:rPr>
          <w:rFonts w:ascii="Palatino Linotype" w:eastAsia="Palatino Linotype" w:hAnsi="Palatino Linotype" w:cs="Palatino Linotype"/>
          <w:b/>
          <w:i/>
          <w:sz w:val="22"/>
          <w:szCs w:val="22"/>
        </w:rPr>
      </w:pPr>
    </w:p>
    <w:p w14:paraId="305012B0"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w:t>
      </w:r>
      <w:r>
        <w:rPr>
          <w:rFonts w:ascii="Palatino Linotype" w:eastAsia="Palatino Linotype" w:hAnsi="Palatino Linotype" w:cs="Palatino Linotype"/>
          <w:i/>
          <w:sz w:val="22"/>
          <w:szCs w:val="22"/>
        </w:rPr>
        <w:t>lasificados. Asimismo, deberán asegurarse de que dicho personal cuente con los conocimientos técnicos y legales que le permitan manejar adecuadamente la información clasificada, en los términos de los Lineamientos para la Organización y Conservación de Arc</w:t>
      </w:r>
      <w:r>
        <w:rPr>
          <w:rFonts w:ascii="Palatino Linotype" w:eastAsia="Palatino Linotype" w:hAnsi="Palatino Linotype" w:cs="Palatino Linotype"/>
          <w:i/>
          <w:sz w:val="22"/>
          <w:szCs w:val="22"/>
        </w:rPr>
        <w:t>hivos.</w:t>
      </w:r>
    </w:p>
    <w:p w14:paraId="0AE9A835" w14:textId="77777777" w:rsidR="00973055" w:rsidRDefault="001B619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0E6AA8F" w14:textId="77777777" w:rsidR="00973055" w:rsidRDefault="00973055">
      <w:pPr>
        <w:ind w:left="851" w:right="899"/>
        <w:jc w:val="both"/>
        <w:rPr>
          <w:rFonts w:ascii="Palatino Linotype" w:eastAsia="Palatino Linotype" w:hAnsi="Palatino Linotype" w:cs="Palatino Linotype"/>
          <w:b/>
          <w:i/>
          <w:sz w:val="22"/>
          <w:szCs w:val="22"/>
        </w:rPr>
      </w:pPr>
    </w:p>
    <w:p w14:paraId="6C29F75A" w14:textId="77777777" w:rsidR="00973055" w:rsidRDefault="001B6194">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w:t>
      </w:r>
      <w:r>
        <w:rPr>
          <w:rFonts w:ascii="Palatino Linotype" w:eastAsia="Palatino Linotype" w:hAnsi="Palatino Linotype" w:cs="Palatino Linotype"/>
          <w:i/>
          <w:sz w:val="22"/>
          <w:szCs w:val="22"/>
        </w:rPr>
        <w:t>ujetos obligados para el ejercicio de sus atribuciones, los documentos que se encuentren clasificados deberán llevar la leyenda correspondiente de conformidad con lo dispuesto en el Capítulo VIII de los presentes lineamientos.</w:t>
      </w:r>
      <w:r>
        <w:rPr>
          <w:rFonts w:ascii="Palatino Linotype" w:eastAsia="Palatino Linotype" w:hAnsi="Palatino Linotype" w:cs="Palatino Linotype"/>
          <w:b/>
          <w:i/>
          <w:sz w:val="22"/>
          <w:szCs w:val="22"/>
        </w:rPr>
        <w:t>”</w:t>
      </w:r>
    </w:p>
    <w:p w14:paraId="21033BDF" w14:textId="77777777" w:rsidR="00973055" w:rsidRDefault="00973055">
      <w:pPr>
        <w:ind w:left="851" w:right="899"/>
        <w:jc w:val="both"/>
        <w:rPr>
          <w:rFonts w:ascii="Palatino Linotype" w:eastAsia="Palatino Linotype" w:hAnsi="Palatino Linotype" w:cs="Palatino Linotype"/>
          <w:b/>
          <w:i/>
        </w:rPr>
      </w:pPr>
    </w:p>
    <w:p w14:paraId="141C9D60"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en armonía en</w:t>
      </w:r>
      <w:r>
        <w:rPr>
          <w:rFonts w:ascii="Palatino Linotype" w:eastAsia="Palatino Linotype" w:hAnsi="Palatino Linotype" w:cs="Palatino Linotype"/>
        </w:rPr>
        <w:t xml:space="preserve">tre los principios constitucionales de máxima publicidad y de protección de datos personales, la ley permite la elaboración de </w:t>
      </w:r>
      <w:r>
        <w:rPr>
          <w:rFonts w:ascii="Palatino Linotype" w:eastAsia="Palatino Linotype" w:hAnsi="Palatino Linotype" w:cs="Palatino Linotype"/>
        </w:rPr>
        <w:lastRenderedPageBreak/>
        <w:t>versiones públicas en las que se suprima aquella información relacionada con la vida privada de los particulares.</w:t>
      </w:r>
    </w:p>
    <w:p w14:paraId="28CE2AAB" w14:textId="77777777" w:rsidR="00973055" w:rsidRDefault="00973055">
      <w:pPr>
        <w:spacing w:line="360" w:lineRule="auto"/>
        <w:ind w:right="-93"/>
        <w:jc w:val="both"/>
        <w:rPr>
          <w:rFonts w:ascii="Palatino Linotype" w:eastAsia="Palatino Linotype" w:hAnsi="Palatino Linotype" w:cs="Palatino Linotype"/>
        </w:rPr>
      </w:pPr>
    </w:p>
    <w:p w14:paraId="08479DD8" w14:textId="77777777" w:rsidR="00973055" w:rsidRDefault="001B6194">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Cabe hacer men</w:t>
      </w:r>
      <w:r>
        <w:rPr>
          <w:rFonts w:ascii="Palatino Linotype" w:eastAsia="Palatino Linotype" w:hAnsi="Palatino Linotype" w:cs="Palatino Linotype"/>
        </w:rPr>
        <w:t xml:space="preserve">ción que la versión pública que elabore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cumplir con las formalidades exigidas en la Ley, por lo que para tal efecto emitirá el </w:t>
      </w:r>
      <w:r>
        <w:rPr>
          <w:rFonts w:ascii="Palatino Linotype" w:eastAsia="Palatino Linotype" w:hAnsi="Palatino Linotype" w:cs="Palatino Linotype"/>
          <w:b/>
        </w:rPr>
        <w:t>Acuerdo del Comité de Transparencia</w:t>
      </w:r>
      <w:r>
        <w:rPr>
          <w:rFonts w:ascii="Palatino Linotype" w:eastAsia="Palatino Linotype" w:hAnsi="Palatino Linotype" w:cs="Palatino Linotype"/>
        </w:rPr>
        <w:t xml:space="preserve"> en términos de los artículos 122 y 124 de la Ley de Transparencia y A</w:t>
      </w:r>
      <w:r>
        <w:rPr>
          <w:rFonts w:ascii="Palatino Linotype" w:eastAsia="Palatino Linotype" w:hAnsi="Palatino Linotype" w:cs="Palatino Linotype"/>
        </w:rPr>
        <w:t>cceso a la Información Pública del Estado de México y Municipios, con el cual sustentará la clasificación de datos y con ello la "versión pública" de los documentos materia de la solicitud, ya que no hacerlo implica que lo entregado no es legal ni formalme</w:t>
      </w:r>
      <w:r>
        <w:rPr>
          <w:rFonts w:ascii="Palatino Linotype" w:eastAsia="Palatino Linotype" w:hAnsi="Palatino Linotype" w:cs="Palatino Linotype"/>
        </w:rPr>
        <w:t>nte una versión pública, sino más bien una documentación ilegible, incompleta o tachada; pues no señalar las razones por las que no se aprecian determinados datos -ya sea porque se testan o suprimen- deja al solicitante en estado de incertidumbre, al no co</w:t>
      </w:r>
      <w:r>
        <w:rPr>
          <w:rFonts w:ascii="Palatino Linotype" w:eastAsia="Palatino Linotype" w:hAnsi="Palatino Linotype" w:cs="Palatino Linotype"/>
        </w:rPr>
        <w:t>nocer o comprender porque no aparecen en la documentación respectiva, es decir, si no se exponen de manera puntual las razones de ello se estaría violentando desde un inicio el derecho de acceso a la información del solicitante.</w:t>
      </w:r>
    </w:p>
    <w:p w14:paraId="3E7F1207" w14:textId="77777777" w:rsidR="00973055" w:rsidRDefault="00973055">
      <w:pPr>
        <w:spacing w:line="360" w:lineRule="auto"/>
        <w:jc w:val="both"/>
        <w:rPr>
          <w:rFonts w:ascii="Palatino Linotype" w:eastAsia="Palatino Linotype" w:hAnsi="Palatino Linotype" w:cs="Palatino Linotype"/>
        </w:rPr>
      </w:pPr>
    </w:p>
    <w:p w14:paraId="2BE376FA"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y en mérit</w:t>
      </w:r>
      <w:r>
        <w:rPr>
          <w:rFonts w:ascii="Palatino Linotype" w:eastAsia="Palatino Linotype" w:hAnsi="Palatino Linotype" w:cs="Palatino Linotype"/>
        </w:rPr>
        <w:t xml:space="preserve">o de lo expuesto en líneas anteriores, resultan fundadas las razones o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5989/INFOEM/IP/RR/2021</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rPr>
        <w:t>00769/ECATEPEC/IP/2021.</w:t>
      </w:r>
    </w:p>
    <w:p w14:paraId="505825E4" w14:textId="77777777" w:rsidR="00973055" w:rsidRDefault="00973055">
      <w:pPr>
        <w:spacing w:line="360" w:lineRule="auto"/>
        <w:jc w:val="both"/>
        <w:rPr>
          <w:rFonts w:ascii="Palatino Linotype" w:eastAsia="Palatino Linotype" w:hAnsi="Palatino Linotype" w:cs="Palatino Linotype"/>
        </w:rPr>
      </w:pPr>
    </w:p>
    <w:p w14:paraId="60B28A32" w14:textId="77777777" w:rsidR="00973055" w:rsidRDefault="001B6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w:t>
      </w:r>
      <w:r>
        <w:rPr>
          <w:rFonts w:ascii="Palatino Linotype" w:eastAsia="Palatino Linotype" w:hAnsi="Palatino Linotype" w:cs="Palatino Linotype"/>
        </w:rPr>
        <w:t>ndamento en lo prescrito en los artículos 5 párrafos trigésimo, trigésimo primero y trigésimo segundo fracciones IV y V de la Constitución Política del Estado Libre y Soberano de México; 2, fracción II; 29, 36 fracciones I y II; 176, 178, 181, 185, fracció</w:t>
      </w:r>
      <w:r>
        <w:rPr>
          <w:rFonts w:ascii="Palatino Linotype" w:eastAsia="Palatino Linotype" w:hAnsi="Palatino Linotype" w:cs="Palatino Linotype"/>
        </w:rPr>
        <w:t>n I, 186 y 188 de la Ley de Transparencia y Acceso a la Información Pública del Estado de México y Municipios, este Pleno:</w:t>
      </w:r>
    </w:p>
    <w:p w14:paraId="3C6C8F5C" w14:textId="77777777" w:rsidR="00973055" w:rsidRDefault="001B6194">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2BC4852E" w14:textId="77777777" w:rsidR="00973055" w:rsidRDefault="001B6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Se</w:t>
      </w:r>
      <w:r>
        <w:rPr>
          <w:rFonts w:ascii="Palatino Linotype" w:eastAsia="Palatino Linotype" w:hAnsi="Palatino Linotype" w:cs="Palatino Linotype"/>
          <w:b/>
        </w:rPr>
        <w:t xml:space="preserve"> </w:t>
      </w:r>
      <w:r>
        <w:t xml:space="preserv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entregada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 xml:space="preserve">00769/ECATEPEC/IP/2021, </w:t>
      </w:r>
      <w:r>
        <w:rPr>
          <w:rFonts w:ascii="Palatino Linotype" w:eastAsia="Palatino Linotype" w:hAnsi="Palatino Linotype" w:cs="Palatino Linotype"/>
        </w:rPr>
        <w:t xml:space="preserve">por resultar fundadas las razones o motivos de inconformidad hechos valer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05989/INFOEM/IP/RR/2021,</w:t>
      </w:r>
      <w:r>
        <w:rPr>
          <w:rFonts w:ascii="Palatino Linotype" w:eastAsia="Palatino Linotype" w:hAnsi="Palatino Linotype" w:cs="Palatino Linotype"/>
        </w:rPr>
        <w:t xml:space="preserve"> en términos del considerando Cuarto de la presente Resolución.</w:t>
      </w:r>
    </w:p>
    <w:p w14:paraId="2D35F780" w14:textId="77777777" w:rsidR="00973055" w:rsidRDefault="001B6194">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t>S</w:t>
      </w:r>
      <w:r>
        <w:rPr>
          <w:rFonts w:ascii="Palatino Linotype" w:eastAsia="Palatino Linotype" w:hAnsi="Palatino Linotype" w:cs="Palatino Linotype"/>
        </w:rPr>
        <w:t xml:space="preserve">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w:t>
      </w:r>
      <w:r>
        <w:rPr>
          <w:rFonts w:ascii="Palatino Linotype" w:eastAsia="Palatino Linotype" w:hAnsi="Palatino Linotype" w:cs="Palatino Linotype"/>
          <w:b/>
        </w:rPr>
        <w:t>ETO OBLIGADO,</w:t>
      </w:r>
      <w:r>
        <w:rPr>
          <w:rFonts w:ascii="Palatino Linotype" w:eastAsia="Palatino Linotype" w:hAnsi="Palatino Linotype" w:cs="Palatino Linotype"/>
        </w:rPr>
        <w:t xml:space="preserve"> a efecto de que haga entrega vía SAIMEX, de ser el caso en versión pública en términos de los considerandos Cuarto y Quinto, los documentos donde conste:</w:t>
      </w:r>
    </w:p>
    <w:p w14:paraId="0A64AF69" w14:textId="77777777" w:rsidR="00973055" w:rsidRDefault="00973055">
      <w:pPr>
        <w:spacing w:line="360" w:lineRule="auto"/>
        <w:ind w:right="-93"/>
        <w:jc w:val="both"/>
        <w:rPr>
          <w:rFonts w:ascii="Palatino Linotype" w:eastAsia="Palatino Linotype" w:hAnsi="Palatino Linotype" w:cs="Palatino Linotype"/>
        </w:rPr>
      </w:pPr>
    </w:p>
    <w:p w14:paraId="53AA14AD" w14:textId="77777777" w:rsidR="00973055" w:rsidRDefault="001B6194">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 Del 01 de enero de 2019 al 27 de octubre de 2021:</w:t>
      </w:r>
    </w:p>
    <w:p w14:paraId="3EE82044" w14:textId="77777777" w:rsidR="00973055" w:rsidRDefault="00973055">
      <w:pPr>
        <w:spacing w:line="360" w:lineRule="auto"/>
        <w:ind w:right="-93"/>
        <w:jc w:val="both"/>
        <w:rPr>
          <w:rFonts w:ascii="Palatino Linotype" w:eastAsia="Palatino Linotype" w:hAnsi="Palatino Linotype" w:cs="Palatino Linotype"/>
        </w:rPr>
      </w:pPr>
    </w:p>
    <w:p w14:paraId="6A2AAE5C" w14:textId="77777777" w:rsidR="00973055" w:rsidRDefault="001B6194">
      <w:pPr>
        <w:pBdr>
          <w:top w:val="nil"/>
          <w:left w:val="nil"/>
          <w:bottom w:val="nil"/>
          <w:right w:val="nil"/>
          <w:between w:val="nil"/>
        </w:pBdr>
        <w:spacing w:line="360" w:lineRule="auto"/>
        <w:ind w:left="720" w:right="-93"/>
        <w:jc w:val="both"/>
        <w:rPr>
          <w:rFonts w:ascii="Palatino Linotype" w:eastAsia="Palatino Linotype" w:hAnsi="Palatino Linotype" w:cs="Palatino Linotype"/>
        </w:rPr>
      </w:pPr>
      <w:r>
        <w:rPr>
          <w:rFonts w:ascii="Palatino Linotype" w:eastAsia="Palatino Linotype" w:hAnsi="Palatino Linotype" w:cs="Palatino Linotype"/>
        </w:rPr>
        <w:t>1. La información de aquellos que h</w:t>
      </w:r>
      <w:r>
        <w:rPr>
          <w:rFonts w:ascii="Palatino Linotype" w:eastAsia="Palatino Linotype" w:hAnsi="Palatino Linotype" w:cs="Palatino Linotype"/>
        </w:rPr>
        <w:t xml:space="preserve">ayan sido beneficiados con condonaciones y/o cancelaciones de créditos fiscales por parte del Ayuntamiento de Ecatepec de Morelos. </w:t>
      </w:r>
    </w:p>
    <w:p w14:paraId="02700194" w14:textId="77777777" w:rsidR="00973055" w:rsidRDefault="001B6194">
      <w:pPr>
        <w:spacing w:before="240" w:after="240" w:line="360"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Para la entrega en versión pública, deberá emitir el Acuerdo del Comité de Transparencia en términos de la Ley de Transparen</w:t>
      </w:r>
      <w:r>
        <w:rPr>
          <w:rFonts w:ascii="Palatino Linotype" w:eastAsia="Palatino Linotype" w:hAnsi="Palatino Linotype" w:cs="Palatino Linotype"/>
          <w:i/>
          <w:sz w:val="20"/>
          <w:szCs w:val="20"/>
        </w:rPr>
        <w:t>cia y Acceso a la Información Pública del Estado de México y Municipios, en el que funde y motive las razones sobre los datos que se supriman o eliminen, así como de los documentos remitidos en respuesta, y se ponga a disposición de la parte Recurrente.</w:t>
      </w:r>
    </w:p>
    <w:p w14:paraId="1DF92B70" w14:textId="77777777" w:rsidR="00973055" w:rsidRDefault="001B6194">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highlight w:val="white"/>
        </w:rPr>
        <w:t>TE</w:t>
      </w:r>
      <w:r>
        <w:rPr>
          <w:rFonts w:ascii="Palatino Linotype" w:eastAsia="Palatino Linotype" w:hAnsi="Palatino Linotype" w:cs="Palatino Linotype"/>
          <w:b/>
          <w:highlight w:val="white"/>
        </w:rPr>
        <w:t xml:space="preserve">RCERO. Notifíquese </w:t>
      </w:r>
      <w:r>
        <w:rPr>
          <w:rFonts w:ascii="Palatino Linotype" w:eastAsia="Palatino Linotype" w:hAnsi="Palatino Linotype" w:cs="Palatino Linotype"/>
          <w:highlight w:val="white"/>
        </w:rPr>
        <w:t>vía SAIMEX,</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al Titular de la Unidad de Transparencia del</w:t>
      </w:r>
      <w:r>
        <w:rPr>
          <w:rFonts w:ascii="Palatino Linotype" w:eastAsia="Palatino Linotype" w:hAnsi="Palatino Linotype" w:cs="Palatino Linotype"/>
          <w:b/>
          <w:highlight w:val="white"/>
        </w:rPr>
        <w:t xml:space="preserve"> SUJETO OBLIGADO</w:t>
      </w:r>
      <w:r>
        <w:rPr>
          <w:rFonts w:ascii="Palatino Linotype" w:eastAsia="Palatino Linotype" w:hAnsi="Palatino Linotype" w:cs="Palatino Linotype"/>
          <w:highlight w:val="white"/>
        </w:rPr>
        <w:t xml:space="preserve">, la presente resolución para que conforme a los artículos 186 último párrafo y 189 párrafo segundo de la Ley de Transparencia y Acceso a la Información Pública del </w:t>
      </w:r>
      <w:r>
        <w:rPr>
          <w:rFonts w:ascii="Palatino Linotype" w:eastAsia="Palatino Linotype" w:hAnsi="Palatino Linotype" w:cs="Palatino Linotype"/>
          <w:highlight w:val="white"/>
        </w:rPr>
        <w:t>Estado de México y Municipios, dé cumplimiento a lo ordenado dentro del plazo de diez hábiles, debiendo informar a este Instituto en un plazo de tres días hábiles siguientes sobre el cumplimiento dado a la presente resolución.</w:t>
      </w:r>
    </w:p>
    <w:p w14:paraId="7B0422A8" w14:textId="77777777" w:rsidR="00973055" w:rsidRDefault="001B619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w:t>
      </w:r>
      <w:r>
        <w:rPr>
          <w:rFonts w:ascii="Palatino Linotype" w:eastAsia="Palatino Linotype" w:hAnsi="Palatino Linotype" w:cs="Palatino Linotype"/>
        </w:rPr>
        <w:t>cumplimiento de la presente resolución.</w:t>
      </w:r>
    </w:p>
    <w:p w14:paraId="68B275FF" w14:textId="77777777" w:rsidR="00973055" w:rsidRDefault="001B6194">
      <w:pPr>
        <w:spacing w:before="240" w:after="240" w:line="360" w:lineRule="auto"/>
        <w:jc w:val="both"/>
        <w:rPr>
          <w:rFonts w:ascii="Palatino Linotype" w:eastAsia="Palatino Linotype" w:hAnsi="Palatino Linotype" w:cs="Palatino Linotype"/>
          <w:b/>
        </w:rPr>
      </w:pPr>
      <w:bookmarkStart w:id="8" w:name="_heading=h.2et92p0" w:colFirst="0" w:colLast="0"/>
      <w:bookmarkEnd w:id="8"/>
      <w:r>
        <w:rPr>
          <w:rFonts w:ascii="Palatino Linotype" w:eastAsia="Palatino Linotype" w:hAnsi="Palatino Linotype" w:cs="Palatino Linotype"/>
          <w:b/>
        </w:rPr>
        <w:t xml:space="preserve">QUINTO.   Notifíquese </w:t>
      </w:r>
      <w:r>
        <w:rPr>
          <w:rFonts w:ascii="Palatino Linotype" w:eastAsia="Palatino Linotype" w:hAnsi="Palatino Linotype" w:cs="Palatino Linotype"/>
          <w:highlight w:val="white"/>
        </w:rPr>
        <w:t>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w:t>
      </w:r>
      <w:r>
        <w:rPr>
          <w:rFonts w:ascii="Palatino Linotype" w:eastAsia="Palatino Linotype" w:hAnsi="Palatino Linotype" w:cs="Palatino Linotype"/>
        </w:rPr>
        <w:t>xico y Municipios, podrá impugnarla vía Juicio de Amparo en los términos de las leyes aplicables.</w:t>
      </w:r>
    </w:p>
    <w:p w14:paraId="2165B84A" w14:textId="77777777" w:rsidR="00973055" w:rsidRDefault="001B6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w:t>
      </w:r>
      <w:r>
        <w:rPr>
          <w:rFonts w:ascii="Palatino Linotype" w:eastAsia="Palatino Linotype" w:hAnsi="Palatino Linotype" w:cs="Palatino Linotype"/>
        </w:rPr>
        <w:t xml:space="preserve"> DE MÉXICO Y </w:t>
      </w:r>
      <w:r>
        <w:rPr>
          <w:rFonts w:ascii="Palatino Linotype" w:eastAsia="Palatino Linotype" w:hAnsi="Palatino Linotype" w:cs="Palatino Linotype"/>
        </w:rPr>
        <w:lastRenderedPageBreak/>
        <w:t>MUNICIPIOS, CONFORMADO POR LOS COMISIONADOS JOSÉ MARTÍNEZ VILCHIS; SHARON CRISTINA MORALES MARTÍNEZ (AUSENCIA JUSTIFICADA); MARÍA DEL ROSARIO MEJÍA AYALA; LUIS GUSTAVO PARRA NORIEGA Y GUADALUPE RAMÍREZ PEÑA, EN LA SEXTA SESIÓN ORDINARIA CELEBR</w:t>
      </w:r>
      <w:r>
        <w:rPr>
          <w:rFonts w:ascii="Palatino Linotype" w:eastAsia="Palatino Linotype" w:hAnsi="Palatino Linotype" w:cs="Palatino Linotype"/>
        </w:rPr>
        <w:t>ADA EL DIECISÉIS DE FEBRERO DE DOS MIL VEINTIDÓS, ANTE EL SECRETARIO TÉCNICO DEL PLENO, ALEXIS TAPIA RAMÍREZ.</w:t>
      </w:r>
    </w:p>
    <w:p w14:paraId="565BC400" w14:textId="77777777" w:rsidR="00973055" w:rsidRDefault="00973055">
      <w:pPr>
        <w:spacing w:before="240" w:after="240" w:line="360" w:lineRule="auto"/>
        <w:jc w:val="both"/>
        <w:rPr>
          <w:rFonts w:ascii="Palatino Linotype" w:eastAsia="Palatino Linotype" w:hAnsi="Palatino Linotype" w:cs="Palatino Linotype"/>
        </w:rPr>
      </w:pPr>
    </w:p>
    <w:p w14:paraId="197B1B07" w14:textId="77777777" w:rsidR="00973055" w:rsidRDefault="00973055">
      <w:pPr>
        <w:spacing w:before="240" w:after="240" w:line="360" w:lineRule="auto"/>
        <w:jc w:val="both"/>
        <w:rPr>
          <w:rFonts w:ascii="Palatino Linotype" w:eastAsia="Palatino Linotype" w:hAnsi="Palatino Linotype" w:cs="Palatino Linotype"/>
        </w:rPr>
      </w:pPr>
    </w:p>
    <w:p w14:paraId="22C8AC05" w14:textId="77777777" w:rsidR="00973055" w:rsidRDefault="00973055">
      <w:pPr>
        <w:spacing w:before="240" w:after="240" w:line="360" w:lineRule="auto"/>
        <w:jc w:val="both"/>
        <w:rPr>
          <w:rFonts w:ascii="Palatino Linotype" w:eastAsia="Palatino Linotype" w:hAnsi="Palatino Linotype" w:cs="Palatino Linotype"/>
        </w:rPr>
      </w:pPr>
    </w:p>
    <w:p w14:paraId="077BF271" w14:textId="77777777" w:rsidR="00973055" w:rsidRDefault="00973055">
      <w:pPr>
        <w:spacing w:before="240" w:after="240" w:line="360" w:lineRule="auto"/>
        <w:jc w:val="both"/>
        <w:rPr>
          <w:rFonts w:ascii="Palatino Linotype" w:eastAsia="Palatino Linotype" w:hAnsi="Palatino Linotype" w:cs="Palatino Linotype"/>
        </w:rPr>
      </w:pPr>
    </w:p>
    <w:p w14:paraId="39109C7D" w14:textId="77777777" w:rsidR="00973055" w:rsidRDefault="00973055">
      <w:pPr>
        <w:spacing w:before="240" w:after="240" w:line="360" w:lineRule="auto"/>
        <w:jc w:val="both"/>
        <w:rPr>
          <w:rFonts w:ascii="Palatino Linotype" w:eastAsia="Palatino Linotype" w:hAnsi="Palatino Linotype" w:cs="Palatino Linotype"/>
        </w:rPr>
      </w:pPr>
    </w:p>
    <w:p w14:paraId="4D502D2B" w14:textId="77777777" w:rsidR="00973055" w:rsidRDefault="00973055">
      <w:pPr>
        <w:spacing w:before="240" w:after="240" w:line="360" w:lineRule="auto"/>
        <w:jc w:val="both"/>
        <w:rPr>
          <w:rFonts w:ascii="Palatino Linotype" w:eastAsia="Palatino Linotype" w:hAnsi="Palatino Linotype" w:cs="Palatino Linotype"/>
        </w:rPr>
      </w:pPr>
    </w:p>
    <w:p w14:paraId="17E1A895" w14:textId="77777777" w:rsidR="00973055" w:rsidRDefault="00973055">
      <w:pPr>
        <w:spacing w:before="240" w:after="240" w:line="360" w:lineRule="auto"/>
        <w:jc w:val="both"/>
        <w:rPr>
          <w:rFonts w:ascii="Palatino Linotype" w:eastAsia="Palatino Linotype" w:hAnsi="Palatino Linotype" w:cs="Palatino Linotype"/>
        </w:rPr>
      </w:pPr>
    </w:p>
    <w:p w14:paraId="470D2D6D" w14:textId="77777777" w:rsidR="00973055" w:rsidRDefault="00973055">
      <w:pPr>
        <w:spacing w:before="240" w:after="240"/>
        <w:jc w:val="both"/>
        <w:rPr>
          <w:rFonts w:ascii="Palatino Linotype" w:eastAsia="Palatino Linotype" w:hAnsi="Palatino Linotype" w:cs="Palatino Linotype"/>
          <w:sz w:val="20"/>
          <w:szCs w:val="20"/>
        </w:rPr>
      </w:pPr>
    </w:p>
    <w:p w14:paraId="5F948B82" w14:textId="77777777" w:rsidR="00973055" w:rsidRDefault="00973055">
      <w:pPr>
        <w:spacing w:before="240" w:after="240"/>
        <w:jc w:val="both"/>
        <w:rPr>
          <w:rFonts w:ascii="Palatino Linotype" w:eastAsia="Palatino Linotype" w:hAnsi="Palatino Linotype" w:cs="Palatino Linotype"/>
          <w:sz w:val="20"/>
          <w:szCs w:val="20"/>
        </w:rPr>
      </w:pPr>
    </w:p>
    <w:p w14:paraId="60B8DD0E" w14:textId="77777777" w:rsidR="00973055" w:rsidRDefault="00973055">
      <w:pPr>
        <w:spacing w:before="240" w:after="240"/>
        <w:jc w:val="both"/>
        <w:rPr>
          <w:rFonts w:ascii="Palatino Linotype" w:eastAsia="Palatino Linotype" w:hAnsi="Palatino Linotype" w:cs="Palatino Linotype"/>
          <w:sz w:val="20"/>
          <w:szCs w:val="20"/>
        </w:rPr>
      </w:pPr>
    </w:p>
    <w:p w14:paraId="2F055254" w14:textId="77777777" w:rsidR="00973055" w:rsidRDefault="00973055">
      <w:pPr>
        <w:spacing w:before="240" w:after="240"/>
        <w:jc w:val="both"/>
        <w:rPr>
          <w:rFonts w:ascii="Palatino Linotype" w:eastAsia="Palatino Linotype" w:hAnsi="Palatino Linotype" w:cs="Palatino Linotype"/>
          <w:sz w:val="20"/>
          <w:szCs w:val="20"/>
        </w:rPr>
      </w:pPr>
    </w:p>
    <w:p w14:paraId="7A343E19" w14:textId="77777777" w:rsidR="00973055" w:rsidRDefault="00973055">
      <w:pPr>
        <w:spacing w:before="240" w:after="240"/>
        <w:jc w:val="both"/>
        <w:rPr>
          <w:rFonts w:ascii="Palatino Linotype" w:eastAsia="Palatino Linotype" w:hAnsi="Palatino Linotype" w:cs="Palatino Linotype"/>
          <w:sz w:val="20"/>
          <w:szCs w:val="20"/>
        </w:rPr>
      </w:pPr>
    </w:p>
    <w:p w14:paraId="413F4044" w14:textId="77777777" w:rsidR="00973055" w:rsidRDefault="00973055">
      <w:pPr>
        <w:spacing w:before="240" w:after="240"/>
        <w:jc w:val="both"/>
        <w:rPr>
          <w:rFonts w:ascii="Palatino Linotype" w:eastAsia="Palatino Linotype" w:hAnsi="Palatino Linotype" w:cs="Palatino Linotype"/>
          <w:sz w:val="20"/>
          <w:szCs w:val="20"/>
        </w:rPr>
      </w:pPr>
    </w:p>
    <w:p w14:paraId="32913BDB" w14:textId="77777777" w:rsidR="00973055" w:rsidRDefault="00973055">
      <w:pPr>
        <w:spacing w:before="240" w:after="240"/>
        <w:jc w:val="both"/>
        <w:rPr>
          <w:rFonts w:ascii="Palatino Linotype" w:eastAsia="Palatino Linotype" w:hAnsi="Palatino Linotype" w:cs="Palatino Linotype"/>
          <w:sz w:val="20"/>
          <w:szCs w:val="20"/>
        </w:rPr>
      </w:pPr>
    </w:p>
    <w:sectPr w:rsidR="00973055">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E8F7E" w14:textId="77777777" w:rsidR="001B6194" w:rsidRDefault="001B6194">
      <w:r>
        <w:separator/>
      </w:r>
    </w:p>
  </w:endnote>
  <w:endnote w:type="continuationSeparator" w:id="0">
    <w:p w14:paraId="5C41DA67" w14:textId="77777777" w:rsidR="001B6194" w:rsidRDefault="001B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swiss"/>
    <w:pitch w:val="variable"/>
    <w:sig w:usb0="E00002FF" w:usb1="5000785B"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D7B97" w14:textId="77777777" w:rsidR="00973055" w:rsidRDefault="00973055">
    <w:pPr>
      <w:tabs>
        <w:tab w:val="center" w:pos="4252"/>
        <w:tab w:val="right" w:pos="8504"/>
      </w:tabs>
      <w:spacing w:line="360" w:lineRule="auto"/>
      <w:ind w:right="51"/>
      <w:jc w:val="both"/>
      <w:rPr>
        <w:rFonts w:ascii="Palatino Linotype" w:eastAsia="Palatino Linotype" w:hAnsi="Palatino Linotype" w:cs="Palatino Linotype"/>
      </w:rPr>
    </w:pPr>
  </w:p>
  <w:p w14:paraId="481B2220" w14:textId="77777777" w:rsidR="00973055" w:rsidRDefault="001B61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45020F">
      <w:rPr>
        <w:rFonts w:ascii="Palatino Linotype" w:eastAsia="Palatino Linotype" w:hAnsi="Palatino Linotype" w:cs="Palatino Linotype"/>
        <w:b/>
        <w:color w:val="000000"/>
        <w:sz w:val="20"/>
        <w:szCs w:val="20"/>
      </w:rPr>
      <w:fldChar w:fldCharType="separate"/>
    </w:r>
    <w:r w:rsidR="0045020F">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45020F">
      <w:rPr>
        <w:rFonts w:ascii="Palatino Linotype" w:eastAsia="Palatino Linotype" w:hAnsi="Palatino Linotype" w:cs="Palatino Linotype"/>
        <w:b/>
        <w:color w:val="000000"/>
        <w:sz w:val="20"/>
        <w:szCs w:val="20"/>
      </w:rPr>
      <w:fldChar w:fldCharType="separate"/>
    </w:r>
    <w:r w:rsidR="0045020F">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53F91066" w14:textId="77777777" w:rsidR="00973055" w:rsidRDefault="001B6194">
    <w:pPr>
      <w:pBdr>
        <w:top w:val="nil"/>
        <w:left w:val="nil"/>
        <w:bottom w:val="nil"/>
        <w:right w:val="nil"/>
        <w:between w:val="nil"/>
      </w:pBdr>
      <w:tabs>
        <w:tab w:val="center" w:pos="4252"/>
        <w:tab w:val="right" w:pos="8504"/>
      </w:tabs>
      <w:ind w:firstLine="708"/>
      <w:rPr>
        <w:rFonts w:ascii="Cambria" w:eastAsia="Cambria" w:hAnsi="Cambria" w:cs="Cambria"/>
        <w:color w:val="000000"/>
      </w:rPr>
    </w:pPr>
    <w:r>
      <w:rPr>
        <w:noProof/>
        <w:lang w:val="es-ES_tradnl" w:eastAsia="zh-CN"/>
      </w:rPr>
      <mc:AlternateContent>
        <mc:Choice Requires="wpg">
          <w:drawing>
            <wp:anchor distT="0" distB="0" distL="114300" distR="114300" simplePos="0" relativeHeight="251660288" behindDoc="0" locked="0" layoutInCell="1" hidden="0" allowOverlap="1" wp14:anchorId="44482001" wp14:editId="1E009B8F">
              <wp:simplePos x="0" y="0"/>
              <wp:positionH relativeFrom="column">
                <wp:posOffset>1193800</wp:posOffset>
              </wp:positionH>
              <wp:positionV relativeFrom="paragraph">
                <wp:posOffset>8191500</wp:posOffset>
              </wp:positionV>
              <wp:extent cx="4631330" cy="394079"/>
              <wp:effectExtent l="0" t="0" r="0" b="0"/>
              <wp:wrapNone/>
              <wp:docPr id="87" name="Rectángulo redondeado 87"/>
              <wp:cNvGraphicFramePr/>
              <a:graphic xmlns:a="http://schemas.openxmlformats.org/drawingml/2006/main">
                <a:graphicData uri="http://schemas.microsoft.com/office/word/2010/wordprocessingShape">
                  <wps:wsp>
                    <wps:cNvSpPr/>
                    <wps:spPr>
                      <a:xfrm>
                        <a:off x="3087485" y="3640111"/>
                        <a:ext cx="4517030" cy="279779"/>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3725"/>
                          </a:srgbClr>
                        </a:outerShdw>
                      </a:effectLst>
                    </wps:spPr>
                    <wps:txbx>
                      <w:txbxContent>
                        <w:p w14:paraId="7C8FC557" w14:textId="77777777" w:rsidR="00973055" w:rsidRDefault="0097305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1193800</wp:posOffset>
              </wp:positionH>
              <wp:positionV relativeFrom="paragraph">
                <wp:posOffset>8191500</wp:posOffset>
              </wp:positionV>
              <wp:extent cx="4631330" cy="394079"/>
              <wp:effectExtent b="0" l="0" r="0" t="0"/>
              <wp:wrapNone/>
              <wp:docPr id="8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4631330" cy="394079"/>
                      </a:xfrm>
                      <a:prstGeom prst="rect"/>
                      <a:ln/>
                    </pic:spPr>
                  </pic:pic>
                </a:graphicData>
              </a:graphic>
            </wp:anchor>
          </w:drawing>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42A88" w14:textId="77777777" w:rsidR="00973055" w:rsidRDefault="001B61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45020F">
      <w:rPr>
        <w:rFonts w:ascii="Palatino Linotype" w:eastAsia="Palatino Linotype" w:hAnsi="Palatino Linotype" w:cs="Palatino Linotype"/>
        <w:b/>
        <w:color w:val="000000"/>
        <w:sz w:val="20"/>
        <w:szCs w:val="20"/>
      </w:rPr>
      <w:fldChar w:fldCharType="separate"/>
    </w:r>
    <w:r w:rsidR="0045020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45020F">
      <w:rPr>
        <w:rFonts w:ascii="Palatino Linotype" w:eastAsia="Palatino Linotype" w:hAnsi="Palatino Linotype" w:cs="Palatino Linotype"/>
        <w:b/>
        <w:color w:val="000000"/>
        <w:sz w:val="20"/>
        <w:szCs w:val="20"/>
      </w:rPr>
      <w:fldChar w:fldCharType="separate"/>
    </w:r>
    <w:r w:rsidR="0045020F">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641090BA" w14:textId="77777777" w:rsidR="00973055" w:rsidRDefault="0097305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6B834" w14:textId="77777777" w:rsidR="001B6194" w:rsidRDefault="001B6194">
      <w:r>
        <w:separator/>
      </w:r>
    </w:p>
  </w:footnote>
  <w:footnote w:type="continuationSeparator" w:id="0">
    <w:p w14:paraId="721B5BD8" w14:textId="77777777" w:rsidR="001B6194" w:rsidRDefault="001B6194">
      <w:r>
        <w:continuationSeparator/>
      </w:r>
    </w:p>
  </w:footnote>
  <w:footnote w:id="1">
    <w:p w14:paraId="17B9900C" w14:textId="77777777" w:rsidR="00973055" w:rsidRDefault="001B619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4D7DC46" w14:textId="77777777" w:rsidR="00973055" w:rsidRDefault="001B619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w:t>
      </w:r>
      <w:r>
        <w:rPr>
          <w:rFonts w:ascii="Palatino Linotype" w:eastAsia="Palatino Linotype" w:hAnsi="Palatino Linotype" w:cs="Palatino Linotype"/>
          <w:color w:val="000000"/>
          <w:sz w:val="16"/>
          <w:szCs w:val="16"/>
        </w:rPr>
        <w:t>til para que el público comprenda las actividades que llevan a cabo los sujetos obligados…”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43DE0" w14:textId="77777777" w:rsidR="00973055" w:rsidRDefault="00973055">
    <w:pPr>
      <w:pBdr>
        <w:top w:val="nil"/>
        <w:left w:val="nil"/>
        <w:bottom w:val="nil"/>
        <w:right w:val="nil"/>
        <w:between w:val="nil"/>
      </w:pBdr>
      <w:tabs>
        <w:tab w:val="center" w:pos="4252"/>
        <w:tab w:val="right" w:pos="8504"/>
        <w:tab w:val="left" w:pos="2326"/>
      </w:tabs>
      <w:rPr>
        <w:rFonts w:ascii="Cambria" w:eastAsia="Cambria" w:hAnsi="Cambria" w:cs="Cambria"/>
        <w:color w:val="000000"/>
      </w:rPr>
    </w:pPr>
  </w:p>
  <w:p w14:paraId="3E16B4CF" w14:textId="77777777" w:rsidR="00973055" w:rsidRDefault="001B619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ES_tradnl" w:eastAsia="zh-CN"/>
      </w:rPr>
      <w:drawing>
        <wp:anchor distT="0" distB="0" distL="0" distR="0" simplePos="0" relativeHeight="251658240" behindDoc="1" locked="0" layoutInCell="1" hidden="0" allowOverlap="1" wp14:anchorId="34C75A8D" wp14:editId="5EE9A412">
          <wp:simplePos x="0" y="0"/>
          <wp:positionH relativeFrom="column">
            <wp:posOffset>-1080130</wp:posOffset>
          </wp:positionH>
          <wp:positionV relativeFrom="paragraph">
            <wp:posOffset>-450210</wp:posOffset>
          </wp:positionV>
          <wp:extent cx="7809865" cy="10165715"/>
          <wp:effectExtent l="0" t="0" r="0" b="0"/>
          <wp:wrapNone/>
          <wp:docPr id="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973055" w14:paraId="086A60E2" w14:textId="77777777">
      <w:tc>
        <w:tcPr>
          <w:tcW w:w="2489" w:type="dxa"/>
          <w:shd w:val="clear" w:color="auto" w:fill="auto"/>
        </w:tcPr>
        <w:p w14:paraId="08233B66" w14:textId="77777777" w:rsidR="00973055" w:rsidRDefault="001B6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AAA757F" w14:textId="77777777" w:rsidR="00973055" w:rsidRDefault="001B61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05989/INFOEM/IP/RR/2021 </w:t>
          </w:r>
        </w:p>
      </w:tc>
    </w:tr>
    <w:tr w:rsidR="00973055" w14:paraId="0D49B4E2" w14:textId="77777777">
      <w:trPr>
        <w:trHeight w:val="228"/>
      </w:trPr>
      <w:tc>
        <w:tcPr>
          <w:tcW w:w="2489" w:type="dxa"/>
          <w:shd w:val="clear" w:color="auto" w:fill="auto"/>
          <w:vAlign w:val="center"/>
        </w:tcPr>
        <w:p w14:paraId="7413661C" w14:textId="77777777" w:rsidR="00973055" w:rsidRDefault="001B6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741403A" w14:textId="77777777" w:rsidR="00973055" w:rsidRDefault="001B619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973055" w14:paraId="1F8B1E8A" w14:textId="77777777">
      <w:tc>
        <w:tcPr>
          <w:tcW w:w="2489" w:type="dxa"/>
          <w:shd w:val="clear" w:color="auto" w:fill="auto"/>
          <w:vAlign w:val="center"/>
        </w:tcPr>
        <w:p w14:paraId="5FAD0456" w14:textId="77777777" w:rsidR="00973055" w:rsidRDefault="001B619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B8C46F7" w14:textId="77777777" w:rsidR="00973055" w:rsidRDefault="001B61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1F5F70" w14:textId="77777777" w:rsidR="00973055" w:rsidRDefault="001B619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27798" w14:textId="77777777" w:rsidR="00973055" w:rsidRDefault="00973055">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f0"/>
      <w:tblW w:w="5812" w:type="dxa"/>
      <w:tblInd w:w="2977" w:type="dxa"/>
      <w:tblLayout w:type="fixed"/>
      <w:tblLook w:val="0400" w:firstRow="0" w:lastRow="0" w:firstColumn="0" w:lastColumn="0" w:noHBand="0" w:noVBand="1"/>
    </w:tblPr>
    <w:tblGrid>
      <w:gridCol w:w="2551"/>
      <w:gridCol w:w="3261"/>
    </w:tblGrid>
    <w:tr w:rsidR="00973055" w14:paraId="3AA4EB07" w14:textId="77777777">
      <w:tc>
        <w:tcPr>
          <w:tcW w:w="2551" w:type="dxa"/>
          <w:shd w:val="clear" w:color="auto" w:fill="auto"/>
          <w:vAlign w:val="center"/>
        </w:tcPr>
        <w:p w14:paraId="0E12FEC1" w14:textId="77777777" w:rsidR="00973055" w:rsidRDefault="001B6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shd w:val="clear" w:color="auto" w:fill="auto"/>
          <w:vAlign w:val="center"/>
        </w:tcPr>
        <w:p w14:paraId="09C3E13F" w14:textId="77777777" w:rsidR="00973055" w:rsidRDefault="001B619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05989/INFOEM/IP/RR/2021 </w:t>
          </w:r>
        </w:p>
      </w:tc>
    </w:tr>
    <w:tr w:rsidR="00973055" w14:paraId="1091B494" w14:textId="77777777">
      <w:trPr>
        <w:trHeight w:val="130"/>
      </w:trPr>
      <w:tc>
        <w:tcPr>
          <w:tcW w:w="2551" w:type="dxa"/>
          <w:shd w:val="clear" w:color="auto" w:fill="auto"/>
          <w:vAlign w:val="center"/>
        </w:tcPr>
        <w:p w14:paraId="63D94DC6" w14:textId="77777777" w:rsidR="00973055" w:rsidRDefault="001B6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shd w:val="clear" w:color="auto" w:fill="auto"/>
          <w:vAlign w:val="center"/>
        </w:tcPr>
        <w:p w14:paraId="228983CB" w14:textId="77777777" w:rsidR="00973055" w:rsidRDefault="0045020F">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w:t>
          </w:r>
          <w:r>
            <w:rPr>
              <w:rFonts w:ascii="Palatino Linotype" w:eastAsia="Palatino Linotype" w:hAnsi="Palatino Linotype" w:cs="Palatino Linotype"/>
              <w:b/>
              <w:sz w:val="22"/>
              <w:szCs w:val="22"/>
            </w:rPr>
            <w:t xml:space="preserve"> XXXX</w:t>
          </w:r>
        </w:p>
      </w:tc>
    </w:tr>
    <w:tr w:rsidR="00973055" w14:paraId="13CE6E41" w14:textId="77777777">
      <w:trPr>
        <w:trHeight w:val="228"/>
      </w:trPr>
      <w:tc>
        <w:tcPr>
          <w:tcW w:w="2551" w:type="dxa"/>
          <w:shd w:val="clear" w:color="auto" w:fill="auto"/>
          <w:vAlign w:val="center"/>
        </w:tcPr>
        <w:p w14:paraId="40C93D39" w14:textId="77777777" w:rsidR="00973055" w:rsidRDefault="001B6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shd w:val="clear" w:color="auto" w:fill="auto"/>
          <w:vAlign w:val="center"/>
        </w:tcPr>
        <w:p w14:paraId="033E9B0A" w14:textId="77777777" w:rsidR="00973055" w:rsidRDefault="001B6194">
          <w:pPr>
            <w:ind w:right="17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973055" w14:paraId="356318C9" w14:textId="77777777">
      <w:tc>
        <w:tcPr>
          <w:tcW w:w="2551" w:type="dxa"/>
          <w:shd w:val="clear" w:color="auto" w:fill="auto"/>
          <w:vAlign w:val="center"/>
        </w:tcPr>
        <w:p w14:paraId="7168801D" w14:textId="77777777" w:rsidR="00973055" w:rsidRDefault="001B6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shd w:val="clear" w:color="auto" w:fill="auto"/>
          <w:vAlign w:val="center"/>
        </w:tcPr>
        <w:p w14:paraId="5107DAD6" w14:textId="77777777" w:rsidR="00973055" w:rsidRDefault="001B619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5BAB714" w14:textId="77777777" w:rsidR="00973055" w:rsidRDefault="001B619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ES_tradnl" w:eastAsia="zh-CN"/>
      </w:rPr>
      <w:drawing>
        <wp:anchor distT="0" distB="0" distL="0" distR="0" simplePos="0" relativeHeight="251659264" behindDoc="1" locked="0" layoutInCell="1" hidden="0" allowOverlap="1" wp14:anchorId="185C8495" wp14:editId="3057147B">
          <wp:simplePos x="0" y="0"/>
          <wp:positionH relativeFrom="column">
            <wp:posOffset>-1090925</wp:posOffset>
          </wp:positionH>
          <wp:positionV relativeFrom="paragraph">
            <wp:posOffset>-1154425</wp:posOffset>
          </wp:positionV>
          <wp:extent cx="7809865" cy="10165715"/>
          <wp:effectExtent l="0" t="0" r="0" b="0"/>
          <wp:wrapNone/>
          <wp:docPr id="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D43CC"/>
    <w:multiLevelType w:val="multilevel"/>
    <w:tmpl w:val="521A467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8023B44"/>
    <w:multiLevelType w:val="multilevel"/>
    <w:tmpl w:val="C726B12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nsid w:val="5498092E"/>
    <w:multiLevelType w:val="multilevel"/>
    <w:tmpl w:val="96DC1C9E"/>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91E57F3"/>
    <w:multiLevelType w:val="multilevel"/>
    <w:tmpl w:val="96F6CC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055"/>
    <w:rsid w:val="001B6194"/>
    <w:rsid w:val="0045020F"/>
    <w:rsid w:val="00973055"/>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B49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6D1F"/>
    <w:rPr>
      <w:lang w:eastAsia="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aliases w:val="independiente,independiente Car Car Car"/>
    <w:basedOn w:val="Normal"/>
    <w:link w:val="TextoCar"/>
    <w:qFormat/>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lang w:val="es-ES"/>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08" w:type="dxa"/>
        <w:bottom w:w="0" w:type="dxa"/>
        <w:right w:w="108" w:type="dxa"/>
      </w:tblCellMar>
    </w:tblPr>
  </w:style>
  <w:style w:type="table" w:customStyle="1" w:styleId="a0">
    <w:basedOn w:val="TableNormal3"/>
    <w:tblPr>
      <w:tblStyleRowBandSize w:val="1"/>
      <w:tblStyleColBandSize w:val="1"/>
      <w:tblCellMar>
        <w:top w:w="0" w:type="dxa"/>
        <w:left w:w="108" w:type="dxa"/>
        <w:bottom w:w="0" w:type="dxa"/>
        <w:right w:w="108" w:type="dxa"/>
      </w:tblCellMar>
    </w:tblPr>
  </w:style>
  <w:style w:type="table" w:customStyle="1" w:styleId="a2">
    <w:basedOn w:val="TableNormal3"/>
    <w:tblPr>
      <w:tblStyleRowBandSize w:val="1"/>
      <w:tblStyleColBandSize w:val="1"/>
      <w:tblCellMar>
        <w:top w:w="0" w:type="dxa"/>
        <w:left w:w="108" w:type="dxa"/>
        <w:bottom w:w="0" w:type="dxa"/>
        <w:right w:w="108" w:type="dxa"/>
      </w:tblCellMar>
    </w:tblPr>
  </w:style>
  <w:style w:type="table" w:customStyle="1" w:styleId="a3">
    <w:basedOn w:val="TableNormal3"/>
    <w:tblPr>
      <w:tblStyleRowBandSize w:val="1"/>
      <w:tblStyleColBandSize w:val="1"/>
      <w:tblCellMar>
        <w:top w:w="0" w:type="dxa"/>
        <w:left w:w="108" w:type="dxa"/>
        <w:bottom w:w="0" w:type="dxa"/>
        <w:right w:w="108" w:type="dxa"/>
      </w:tblCellMar>
    </w:tblPr>
  </w:style>
  <w:style w:type="table" w:customStyle="1" w:styleId="a4">
    <w:basedOn w:val="TableNormal3"/>
    <w:tblPr>
      <w:tblStyleRowBandSize w:val="1"/>
      <w:tblStyleColBandSize w:val="1"/>
      <w:tblCellMar>
        <w:top w:w="0" w:type="dxa"/>
        <w:left w:w="108" w:type="dxa"/>
        <w:bottom w:w="0" w:type="dxa"/>
        <w:right w:w="108"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3"/>
    <w:tblPr>
      <w:tblStyleRowBandSize w:val="1"/>
      <w:tblStyleColBandSize w:val="1"/>
      <w:tblCellMar>
        <w:top w:w="0" w:type="dxa"/>
        <w:left w:w="115" w:type="dxa"/>
        <w:bottom w:w="0" w:type="dxa"/>
        <w:right w:w="115" w:type="dxa"/>
      </w:tblCellMar>
    </w:tblPr>
  </w:style>
  <w:style w:type="table" w:customStyle="1" w:styleId="a7">
    <w:basedOn w:val="TableNormal3"/>
    <w:tblPr>
      <w:tblStyleRowBandSize w:val="1"/>
      <w:tblStyleColBandSize w:val="1"/>
      <w:tblCellMar>
        <w:top w:w="0" w:type="dxa"/>
        <w:left w:w="108" w:type="dxa"/>
        <w:bottom w:w="0" w:type="dxa"/>
        <w:right w:w="108" w:type="dxa"/>
      </w:tblCellMar>
    </w:tblPr>
  </w:style>
  <w:style w:type="table" w:customStyle="1" w:styleId="a8">
    <w:basedOn w:val="TableNormal3"/>
    <w:tblPr>
      <w:tblStyleRowBandSize w:val="1"/>
      <w:tblStyleColBandSize w:val="1"/>
      <w:tblCellMar>
        <w:top w:w="0" w:type="dxa"/>
        <w:left w:w="115" w:type="dxa"/>
        <w:bottom w:w="0" w:type="dxa"/>
        <w:right w:w="115" w:type="dxa"/>
      </w:tblCellMar>
    </w:tblPr>
  </w:style>
  <w:style w:type="table" w:customStyle="1" w:styleId="a9">
    <w:basedOn w:val="TableNormal3"/>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08" w:type="dxa"/>
        <w:bottom w:w="0" w:type="dxa"/>
        <w:right w:w="108"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9.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u8Ov1lSX7y09Bkx15zJ/aUbAzQ==">AMUW2mVQOnb3vKdWxC0X11HikaVrH6lnFYnbWDH6n67U/zWSYFA6AZgu+gbQsIdopEsyr4RBD1KMWmAXO0VUqXYFYBf6lJLoUU3ywCxjbCGS5Xncf9wnTcpeVlG4xjQMSuV4aJkER4yjI2zFRUkudZCJbleL+pwAFehZBEyZ+MvtrV3yvtdliZKDxpGC4KHrkJ3yPx8/4X1YXVLorGOCiA7u6Jdkrzai5VS9me90ZxtSpXnM5+hZ8EY=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10036</Words>
  <Characters>55203</Characters>
  <Application>Microsoft Macintosh Word</Application>
  <DocSecurity>0</DocSecurity>
  <Lines>460</Lines>
  <Paragraphs>130</Paragraphs>
  <ScaleCrop>false</ScaleCrop>
  <LinksUpToDate>false</LinksUpToDate>
  <CharactersWithSpaces>65109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juan Jesus Portilla Villavicencio</cp:lastModifiedBy>
  <cp:revision>2</cp:revision>
  <dcterms:created xsi:type="dcterms:W3CDTF">2022-02-10T03:54:00Z</dcterms:created>
  <dcterms:modified xsi:type="dcterms:W3CDTF">2022-03-03T01:15:00Z</dcterms:modified>
</cp:coreProperties>
</file>