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ocho de junio del dos mil veintidós</w:t>
      </w:r>
      <w:r>
        <w:rPr>
          <w:rFonts w:ascii="Palatino Linotype" w:eastAsia="Palatino Linotype" w:hAnsi="Palatino Linotype" w:cs="Palatino Linotype"/>
        </w:rPr>
        <w:t>.</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03284/INFOEM/IP/RR/2022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00817/DIFMETEPEC/IP/2022,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Sistema Municipal Para el Desarrollo Integral de la Familia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B1176F" w:rsidRDefault="003C7641">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uno de marzo del dos mil veintidós,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formuló su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B1176F" w:rsidRDefault="003C7641">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“Solicito el documento en pdf de los recibidos emitidos por el concepto “jurídico” el 20 de enero de 2022” (Sic)  </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tres de marzo del dos mil veintidós el </w:t>
      </w:r>
      <w:r w:rsidR="001E1084">
        <w:rPr>
          <w:rFonts w:ascii="Palatino Linotype" w:eastAsia="Palatino Linotype" w:hAnsi="Palatino Linotype" w:cs="Palatino Linotype"/>
          <w:b/>
        </w:rPr>
        <w:t>Sujeto Obligado</w:t>
      </w:r>
      <w:r w:rsidR="001E1084">
        <w:rPr>
          <w:rFonts w:ascii="Palatino Linotype" w:eastAsia="Palatino Linotype" w:hAnsi="Palatino Linotype" w:cs="Palatino Linotype"/>
        </w:rPr>
        <w:t xml:space="preserve"> </w:t>
      </w:r>
      <w:r>
        <w:rPr>
          <w:rFonts w:ascii="Palatino Linotype" w:eastAsia="Palatino Linotype" w:hAnsi="Palatino Linotype" w:cs="Palatino Linotype"/>
        </w:rPr>
        <w:t>envió su respuesta a la solicitud de acceso a la información a través del SAIMEX, la cual versa como sigue:</w:t>
      </w:r>
    </w:p>
    <w:p w:rsidR="00B1176F" w:rsidRDefault="003C764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w:t>
      </w:r>
      <w:r>
        <w:rPr>
          <w:rFonts w:ascii="Palatino Linotype" w:eastAsia="Palatino Linotype" w:hAnsi="Palatino Linotype" w:cs="Palatino Linotype"/>
          <w:b/>
          <w:i/>
          <w:sz w:val="22"/>
          <w:szCs w:val="22"/>
          <w:u w:val="single"/>
        </w:rPr>
        <w:t xml:space="preserve">el Comité de Transparencia aprobó el cambio de modalidad de entrega mediante consulta directa </w:t>
      </w:r>
      <w:r>
        <w:rPr>
          <w:rFonts w:ascii="Palatino Linotype" w:eastAsia="Palatino Linotype" w:hAnsi="Palatino Linotype" w:cs="Palatino Linotype"/>
          <w:i/>
          <w:sz w:val="22"/>
          <w:szCs w:val="22"/>
        </w:rPr>
        <w:t>(in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B1176F" w:rsidRDefault="003C764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B1176F" w:rsidRDefault="003C764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 “(Sic)</w:t>
      </w:r>
    </w:p>
    <w:p w:rsidR="00B1176F" w:rsidRDefault="00B1176F">
      <w:pPr>
        <w:spacing w:line="276" w:lineRule="auto"/>
        <w:jc w:val="both"/>
        <w:rPr>
          <w:rFonts w:ascii="Palatino Linotype" w:eastAsia="Palatino Linotype" w:hAnsi="Palatino Linotype" w:cs="Palatino Linotype"/>
        </w:rPr>
      </w:pPr>
    </w:p>
    <w:p w:rsidR="00B1176F" w:rsidRDefault="003C7641">
      <w:pPr>
        <w:spacing w:line="360" w:lineRule="auto"/>
        <w:ind w:left="567" w:right="900"/>
        <w:jc w:val="both"/>
        <w:rPr>
          <w:rFonts w:ascii="Palatino Linotype" w:eastAsia="Palatino Linotype" w:hAnsi="Palatino Linotype" w:cs="Palatino Linotype"/>
          <w:b/>
        </w:rPr>
      </w:pPr>
      <w:bookmarkStart w:id="0" w:name="_heading=h.1fob9te" w:colFirst="0" w:colLast="0"/>
      <w:bookmarkEnd w:id="0"/>
      <w:r>
        <w:rPr>
          <w:rFonts w:ascii="Palatino Linotype" w:eastAsia="Palatino Linotype" w:hAnsi="Palatino Linotype" w:cs="Palatino Linotype"/>
          <w:b/>
        </w:rPr>
        <w:t xml:space="preserve">Archivo adjunto: </w:t>
      </w:r>
      <w:r>
        <w:rPr>
          <w:rFonts w:ascii="Palatino Linotype" w:eastAsia="Palatino Linotype" w:hAnsi="Palatino Linotype" w:cs="Palatino Linotype"/>
          <w:b/>
          <w:i/>
        </w:rPr>
        <w:t>“acta primer sesión extraordinaria Comité de transparencia.pdf”</w:t>
      </w:r>
      <w:r>
        <w:rPr>
          <w:rFonts w:ascii="Palatino Linotype" w:eastAsia="Palatino Linotype" w:hAnsi="Palatino Linotype" w:cs="Palatino Linotype"/>
        </w:rPr>
        <w:t xml:space="preserve">: Documento electrónico de cuatro fojas, consistente en el Acuerdo de la Primer Sesión Extraordinaria del Comité de Transparencia, de fecha 25 de Febrero de 2022, por medio de la cual </w:t>
      </w:r>
      <w:r>
        <w:rPr>
          <w:rFonts w:ascii="Palatino Linotype" w:eastAsia="Palatino Linotype" w:hAnsi="Palatino Linotype" w:cs="Palatino Linotype"/>
          <w:b/>
        </w:rPr>
        <w:t>el Comité de Transparencia aprobó el cambio de modalidad de entrega mediante consulta directa (in situ)</w:t>
      </w:r>
    </w:p>
    <w:p w:rsidR="00B1176F" w:rsidRDefault="00B1176F">
      <w:pPr>
        <w:spacing w:line="360" w:lineRule="auto"/>
        <w:ind w:left="567" w:right="900"/>
        <w:jc w:val="both"/>
        <w:rPr>
          <w:rFonts w:ascii="Palatino Linotype" w:eastAsia="Palatino Linotype" w:hAnsi="Palatino Linotype" w:cs="Palatino Linotype"/>
          <w:b/>
        </w:rPr>
      </w:pPr>
    </w:p>
    <w:p w:rsidR="00B1176F" w:rsidRDefault="00B1176F">
      <w:pPr>
        <w:spacing w:line="360" w:lineRule="auto"/>
        <w:ind w:left="567" w:right="900"/>
        <w:jc w:val="both"/>
        <w:rPr>
          <w:rFonts w:ascii="Palatino Linotype" w:eastAsia="Palatino Linotype" w:hAnsi="Palatino Linotype" w:cs="Palatino Linotype"/>
          <w:b/>
        </w:rPr>
      </w:pPr>
    </w:p>
    <w:p w:rsidR="00B1176F" w:rsidRDefault="00B1176F">
      <w:pPr>
        <w:spacing w:line="360" w:lineRule="auto"/>
        <w:ind w:left="567" w:right="900"/>
        <w:jc w:val="both"/>
        <w:rPr>
          <w:rFonts w:ascii="Palatino Linotype" w:eastAsia="Palatino Linotype" w:hAnsi="Palatino Linotype" w:cs="Palatino Linotype"/>
          <w:b/>
        </w:rPr>
      </w:pPr>
    </w:p>
    <w:p w:rsidR="00B1176F" w:rsidRDefault="00B1176F">
      <w:pPr>
        <w:spacing w:line="360" w:lineRule="auto"/>
        <w:ind w:left="567" w:right="900"/>
        <w:jc w:val="both"/>
        <w:rPr>
          <w:rFonts w:ascii="Palatino Linotype" w:eastAsia="Palatino Linotype" w:hAnsi="Palatino Linotype" w:cs="Palatino Linotype"/>
          <w:b/>
        </w:rPr>
      </w:pPr>
    </w:p>
    <w:p w:rsidR="00B1176F" w:rsidRDefault="00B1176F">
      <w:pPr>
        <w:spacing w:line="360" w:lineRule="auto"/>
        <w:ind w:left="567" w:right="900"/>
        <w:jc w:val="both"/>
        <w:rPr>
          <w:rFonts w:ascii="Palatino Linotype" w:eastAsia="Palatino Linotype" w:hAnsi="Palatino Linotype" w:cs="Palatino Linotype"/>
          <w:b/>
        </w:rPr>
      </w:pPr>
    </w:p>
    <w:p w:rsidR="00B1176F" w:rsidRDefault="00B1176F">
      <w:pPr>
        <w:spacing w:line="360" w:lineRule="auto"/>
        <w:ind w:left="567" w:right="900"/>
        <w:jc w:val="both"/>
        <w:rPr>
          <w:rFonts w:ascii="Palatino Linotype" w:eastAsia="Palatino Linotype" w:hAnsi="Palatino Linotype" w:cs="Palatino Linotype"/>
          <w:b/>
        </w:rPr>
      </w:pPr>
    </w:p>
    <w:p w:rsidR="00B1176F" w:rsidRDefault="003C7641">
      <w:pPr>
        <w:spacing w:line="360" w:lineRule="auto"/>
        <w:ind w:left="567" w:right="900"/>
        <w:jc w:val="both"/>
        <w:rPr>
          <w:rFonts w:ascii="Palatino Linotype" w:eastAsia="Palatino Linotype" w:hAnsi="Palatino Linotype" w:cs="Palatino Linotype"/>
        </w:rPr>
      </w:pPr>
      <w:r>
        <w:object w:dxaOrig="7395" w:dyaOrig="10215" w14:anchorId="445FC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95pt;height:510.9pt" o:ole="">
            <v:imagedata r:id="rId8" o:title=""/>
          </v:shape>
          <o:OLEObject Type="Embed" ProgID="PBrush" ShapeID="_x0000_i1025" DrawAspect="Content" ObjectID="_1716280288" r:id="rId9"/>
        </w:object>
      </w:r>
    </w:p>
    <w:p w:rsidR="00B1176F" w:rsidRDefault="003C7641">
      <w:pPr>
        <w:spacing w:line="360" w:lineRule="auto"/>
        <w:jc w:val="center"/>
        <w:rPr>
          <w:rFonts w:ascii="Palatino Linotype" w:eastAsia="Palatino Linotype" w:hAnsi="Palatino Linotype" w:cs="Palatino Linotype"/>
        </w:rPr>
      </w:pPr>
      <w:r>
        <w:object w:dxaOrig="7380" w:dyaOrig="10395" w14:anchorId="0EC716BB">
          <v:shape id="_x0000_i1026" type="#_x0000_t75" style="width:369.2pt;height:520.1pt" o:ole="">
            <v:imagedata r:id="rId10" o:title=""/>
          </v:shape>
          <o:OLEObject Type="Embed" ProgID="PBrush" ShapeID="_x0000_i1026" DrawAspect="Content" ObjectID="_1716280289" r:id="rId11"/>
        </w:object>
      </w: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tres de marzo del dos mil veintidós, a través del cual expresó lo siguiente:</w:t>
      </w:r>
    </w:p>
    <w:p w:rsidR="00B1176F" w:rsidRDefault="003C7641">
      <w:pPr>
        <w:numPr>
          <w:ilvl w:val="0"/>
          <w:numId w:val="1"/>
        </w:numPr>
        <w:pBdr>
          <w:top w:val="nil"/>
          <w:left w:val="nil"/>
          <w:bottom w:val="nil"/>
          <w:right w:val="nil"/>
          <w:between w:val="nil"/>
        </w:pBdr>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Acto Impugnado:</w:t>
      </w:r>
    </w:p>
    <w:p w:rsidR="00B1176F" w:rsidRDefault="00B1176F">
      <w:pPr>
        <w:pBdr>
          <w:top w:val="nil"/>
          <w:left w:val="nil"/>
          <w:bottom w:val="nil"/>
          <w:right w:val="nil"/>
          <w:between w:val="nil"/>
        </w:pBdr>
        <w:ind w:left="720"/>
        <w:jc w:val="both"/>
        <w:rPr>
          <w:rFonts w:ascii="Palatino Linotype" w:eastAsia="Palatino Linotype" w:hAnsi="Palatino Linotype" w:cs="Palatino Linotype"/>
          <w:b/>
          <w:color w:val="000000"/>
        </w:rPr>
      </w:pPr>
    </w:p>
    <w:p w:rsidR="00B1176F" w:rsidRDefault="003C7641">
      <w:pPr>
        <w:tabs>
          <w:tab w:val="left" w:pos="8364"/>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rsidR="00B1176F" w:rsidRDefault="00B1176F">
      <w:pPr>
        <w:ind w:right="851"/>
        <w:jc w:val="both"/>
        <w:rPr>
          <w:rFonts w:ascii="Palatino Linotype" w:eastAsia="Palatino Linotype" w:hAnsi="Palatino Linotype" w:cs="Palatino Linotype"/>
          <w:i/>
        </w:rPr>
      </w:pPr>
    </w:p>
    <w:p w:rsidR="00B1176F" w:rsidRDefault="003C7641">
      <w:pPr>
        <w:numPr>
          <w:ilvl w:val="0"/>
          <w:numId w:val="1"/>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Razones o Motivos de Inconformidad</w:t>
      </w:r>
      <w:r>
        <w:rPr>
          <w:rFonts w:ascii="Palatino Linotype" w:eastAsia="Palatino Linotype" w:hAnsi="Palatino Linotype" w:cs="Palatino Linotype"/>
          <w:color w:val="000000"/>
        </w:rPr>
        <w:t xml:space="preserve">: </w:t>
      </w:r>
    </w:p>
    <w:p w:rsidR="00B1176F" w:rsidRDefault="00B1176F">
      <w:pPr>
        <w:pBdr>
          <w:top w:val="nil"/>
          <w:left w:val="nil"/>
          <w:bottom w:val="nil"/>
          <w:right w:val="nil"/>
          <w:between w:val="nil"/>
        </w:pBdr>
        <w:ind w:left="720"/>
        <w:jc w:val="both"/>
        <w:rPr>
          <w:rFonts w:ascii="Palatino Linotype" w:eastAsia="Palatino Linotype" w:hAnsi="Palatino Linotype" w:cs="Palatino Linotype"/>
          <w:color w:val="000000"/>
          <w:sz w:val="22"/>
          <w:szCs w:val="22"/>
        </w:rPr>
      </w:pPr>
    </w:p>
    <w:p w:rsidR="00B1176F" w:rsidRDefault="003C76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w:t>
      </w:r>
      <w:r>
        <w:rPr>
          <w:rFonts w:ascii="Palatino Linotype" w:eastAsia="Palatino Linotype" w:hAnsi="Palatino Linotype" w:cs="Palatino Linotype"/>
          <w:i/>
          <w:sz w:val="22"/>
          <w:szCs w:val="22"/>
        </w:rPr>
        <w:lastRenderedPageBreak/>
        <w:t xml:space="preserve">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w:t>
      </w:r>
      <w:r>
        <w:rPr>
          <w:rFonts w:ascii="Palatino Linotype" w:eastAsia="Palatino Linotype" w:hAnsi="Palatino Linotype" w:cs="Palatino Linotype"/>
          <w:i/>
          <w:sz w:val="22"/>
          <w:szCs w:val="22"/>
        </w:rPr>
        <w:lastRenderedPageBreak/>
        <w:t xml:space="preserve">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w:t>
      </w:r>
      <w:r>
        <w:rPr>
          <w:rFonts w:ascii="Palatino Linotype" w:eastAsia="Palatino Linotype" w:hAnsi="Palatino Linotype" w:cs="Palatino Linotype"/>
          <w:i/>
          <w:sz w:val="22"/>
          <w:szCs w:val="22"/>
        </w:rPr>
        <w:lastRenderedPageBreak/>
        <w:t xml:space="preserve">Municipal para el Desarrollo Integral de la Familia de Metepec, Estado de México la entrega de la información solicitada, en los términos descritos en el presente. Asimismo, de conformidad con el artículo 223 de la multicitada ley de transparencia local, </w:t>
      </w:r>
      <w:r>
        <w:rPr>
          <w:rFonts w:ascii="Palatino Linotype" w:eastAsia="Palatino Linotype" w:hAnsi="Palatino Linotype" w:cs="Palatino Linotype"/>
          <w:b/>
          <w:i/>
          <w:sz w:val="22"/>
          <w:szCs w:val="22"/>
        </w:rPr>
        <w:t>se solicita al Instituto dar vista a la Contraloría Interna y Órgano de Control y Vigilancia en términos de la Ley de Responsabilidades de los Servidores Públicos del Estado y Municipios, para que determine el grado de responsabilidad</w:t>
      </w:r>
      <w:r>
        <w:rPr>
          <w:rFonts w:ascii="Palatino Linotype" w:eastAsia="Palatino Linotype" w:hAnsi="Palatino Linotype" w:cs="Palatino Linotype"/>
          <w:i/>
          <w:sz w:val="22"/>
          <w:szCs w:val="22"/>
        </w:rPr>
        <w:t xml:space="preserve">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p>
    <w:p w:rsidR="00B1176F" w:rsidRDefault="003C764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03284/INFOEM/IP/RR/2022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B1176F" w:rsidRDefault="00B1176F">
      <w:pPr>
        <w:spacing w:line="360" w:lineRule="auto"/>
        <w:jc w:val="both"/>
        <w:rPr>
          <w:rFonts w:ascii="Palatino Linotype" w:eastAsia="Palatino Linotype" w:hAnsi="Palatino Linotype" w:cs="Palatino Linotype"/>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ocho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B1176F" w:rsidRDefault="00B1176F">
      <w:pPr>
        <w:spacing w:line="360" w:lineRule="auto"/>
        <w:jc w:val="both"/>
        <w:rPr>
          <w:rFonts w:ascii="Palatino Linotype" w:eastAsia="Palatino Linotype" w:hAnsi="Palatino Linotype" w:cs="Palatino Linotype"/>
          <w:b/>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del Sistema de Acceso a la Información Mexiquense (SAIMEX),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rendir su informe justificado, asimismo, se advierte que la parte </w:t>
      </w:r>
      <w:r>
        <w:rPr>
          <w:rFonts w:ascii="Palatino Linotype" w:eastAsia="Palatino Linotype" w:hAnsi="Palatino Linotype" w:cs="Palatino Linotype"/>
        </w:rPr>
        <w:lastRenderedPageBreak/>
        <w:t>recurrente no realizó manifestación alguna, por lo tanto, se tiene por precluido su derecho para tal efecto.</w:t>
      </w: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114300" distB="114300" distL="114300" distR="114300">
            <wp:extent cx="5612130" cy="17272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1727200"/>
                    </a:xfrm>
                    <a:prstGeom prst="rect">
                      <a:avLst/>
                    </a:prstGeom>
                    <a:ln/>
                  </pic:spPr>
                </pic:pic>
              </a:graphicData>
            </a:graphic>
          </wp:inline>
        </w:drawing>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veintisiete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B1176F" w:rsidRDefault="003C764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En fecha </w:t>
      </w:r>
      <w:r w:rsidR="000B5C6F">
        <w:rPr>
          <w:rFonts w:ascii="Palatino Linotype" w:eastAsia="Palatino Linotype" w:hAnsi="Palatino Linotype" w:cs="Palatino Linotype"/>
          <w:b/>
        </w:rPr>
        <w:t>ocho</w:t>
      </w:r>
      <w:r>
        <w:rPr>
          <w:rFonts w:ascii="Palatino Linotype" w:eastAsia="Palatino Linotype" w:hAnsi="Palatino Linotype" w:cs="Palatino Linotype"/>
          <w:b/>
        </w:rPr>
        <w:t xml:space="preserve"> de junio del dos mil veintidós</w:t>
      </w:r>
      <w:r>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B1176F" w:rsidRDefault="003C7641">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B1176F" w:rsidRDefault="003C7641">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B1176F" w:rsidRDefault="003C76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tres de marzo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mismo día hábil en que tuvo conocimiento de la respuesta impugnada.</w:t>
      </w: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así como la fecha en que se interpuso el recurso </w:t>
      </w:r>
      <w:r>
        <w:rPr>
          <w:rFonts w:ascii="Palatino Linotype" w:eastAsia="Palatino Linotype" w:hAnsi="Palatino Linotype" w:cs="Palatino Linotype"/>
        </w:rPr>
        <w:lastRenderedPageBreak/>
        <w:t>de revisión, se concluye que el presente recurso de revisión se encuentra dentro de los márgenes temporales previstos las disposiciones legales referidas.</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B1176F" w:rsidRDefault="003C764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w:t>
      </w:r>
    </w:p>
    <w:p w:rsidR="00B1176F" w:rsidRDefault="003C764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B1176F" w:rsidRDefault="00B1176F">
      <w:pPr>
        <w:spacing w:before="120" w:line="360" w:lineRule="auto"/>
        <w:jc w:val="both"/>
        <w:rPr>
          <w:rFonts w:ascii="Palatino Linotype" w:eastAsia="Palatino Linotype" w:hAnsi="Palatino Linotype" w:cs="Palatino Linotype"/>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Al mismo tiempo, tras la revisión del formato de interposición del recurso</w:t>
      </w:r>
      <w:r>
        <w:rPr>
          <w:rFonts w:ascii="Palatino Linotype" w:eastAsia="Palatino Linotype" w:hAnsi="Palatino Linotype" w:cs="Palatino Linotype"/>
        </w:rPr>
        <w:t xml:space="preserve">,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no proporcionó su nombre</w:t>
      </w:r>
      <w:r>
        <w:rPr>
          <w:rFonts w:ascii="Palatino Linotype" w:eastAsia="Palatino Linotype" w:hAnsi="Palatino Linotype" w:cs="Palatino Linotype"/>
        </w:rPr>
        <w:t xml:space="preserve"> como se advierte en el detalle de seguimiento del SAIMEX, no obstante lo anterior, no </w:t>
      </w:r>
      <w:r>
        <w:rPr>
          <w:rFonts w:ascii="Palatino Linotype" w:eastAsia="Palatino Linotype" w:hAnsi="Palatino Linotype" w:cs="Palatino Linotype"/>
        </w:rPr>
        <w:lastRenderedPageBreak/>
        <w:t>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1176F" w:rsidRDefault="00B1176F">
      <w:pPr>
        <w:ind w:left="567" w:right="474"/>
        <w:jc w:val="both"/>
        <w:rPr>
          <w:rFonts w:ascii="Palatino Linotype" w:eastAsia="Palatino Linotype" w:hAnsi="Palatino Linotype" w:cs="Palatino Linotype"/>
          <w:i/>
        </w:rPr>
      </w:pPr>
    </w:p>
    <w:p w:rsidR="00B1176F" w:rsidRDefault="003C7641">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B1176F" w:rsidRDefault="00B1176F">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B1176F" w:rsidRDefault="003C7641">
      <w:pPr>
        <w:pBdr>
          <w:top w:val="nil"/>
          <w:left w:val="nil"/>
          <w:bottom w:val="nil"/>
          <w:right w:val="nil"/>
          <w:between w:val="nil"/>
        </w:pBdr>
        <w:spacing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B1176F" w:rsidRDefault="00B1176F">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B1176F" w:rsidRDefault="003C764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revisión, según lo aducido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en su acto impugnado como en sus motivos de inconformidad, de acuerdo al artículo 179 fracción VIII de la Ley de Transparencia y Acceso a la Información Pública del Estado de México y Municipios; que a la letra dice:</w:t>
      </w:r>
    </w:p>
    <w:p w:rsidR="00B1176F" w:rsidRDefault="00B1176F">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B1176F" w:rsidRDefault="003C7641">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 y procederá en contra de las siguientes causas:</w:t>
      </w:r>
    </w:p>
    <w:p w:rsidR="00B1176F" w:rsidRDefault="003C7641">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B1176F" w:rsidRDefault="003C7641">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VIII. La notificación, entrega o puesta a disposición de información en una modalidad o formato distinto al solicitado</w:t>
      </w:r>
      <w:r>
        <w:rPr>
          <w:rFonts w:ascii="Palatino Linotype" w:eastAsia="Palatino Linotype" w:hAnsi="Palatino Linotype" w:cs="Palatino Linotype"/>
          <w:i/>
          <w:color w:val="000000"/>
          <w:sz w:val="22"/>
          <w:szCs w:val="22"/>
        </w:rPr>
        <w:t>…” (Sic)</w:t>
      </w:r>
    </w:p>
    <w:p w:rsidR="00B1176F" w:rsidRDefault="00B1176F">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B1176F" w:rsidRDefault="003C764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lastRenderedPageBreak/>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B1176F" w:rsidRDefault="003C7641">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advierte que el particular requirió al Sistema Municipal Para el Desarrollo Integral de la Familia de Metepec, lo siguiente:</w:t>
      </w:r>
    </w:p>
    <w:p w:rsidR="00B1176F" w:rsidRDefault="003C7641">
      <w:pPr>
        <w:numPr>
          <w:ilvl w:val="0"/>
          <w:numId w:val="2"/>
        </w:numPr>
        <w:pBdr>
          <w:top w:val="nil"/>
          <w:left w:val="nil"/>
          <w:bottom w:val="nil"/>
          <w:right w:val="nil"/>
          <w:between w:val="nil"/>
        </w:pBdr>
        <w:spacing w:line="360" w:lineRule="auto"/>
        <w:ind w:right="75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Documento en pdf de los recibidos emitidos por el concepto “jurídico” el 20 de enero de 2022. </w:t>
      </w:r>
    </w:p>
    <w:p w:rsidR="00B1176F" w:rsidRDefault="00B1176F">
      <w:pPr>
        <w:pBdr>
          <w:top w:val="nil"/>
          <w:left w:val="nil"/>
          <w:bottom w:val="nil"/>
          <w:right w:val="nil"/>
          <w:between w:val="nil"/>
        </w:pBdr>
        <w:spacing w:line="360" w:lineRule="auto"/>
        <w:ind w:left="720" w:right="758"/>
        <w:jc w:val="both"/>
        <w:rPr>
          <w:rFonts w:ascii="Palatino Linotype" w:eastAsia="Palatino Linotype" w:hAnsi="Palatino Linotype" w:cs="Palatino Linotype"/>
          <w:color w:val="000000"/>
          <w:sz w:val="22"/>
          <w:szCs w:val="22"/>
        </w:rPr>
      </w:pPr>
    </w:p>
    <w:p w:rsidR="00B1176F" w:rsidRDefault="003C764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Atento a la solicitud de información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donde sustancialmente indicó que el Comité de Transparencia, aprobó el cambio de modalidad de entrega, mediante consulta directa </w:t>
      </w:r>
      <w:r>
        <w:rPr>
          <w:rFonts w:ascii="Palatino Linotype" w:eastAsia="Palatino Linotype" w:hAnsi="Palatino Linotype" w:cs="Palatino Linotype"/>
          <w:i/>
        </w:rPr>
        <w:t>(in situ)</w:t>
      </w:r>
      <w:r>
        <w:rPr>
          <w:rFonts w:ascii="Palatino Linotype" w:eastAsia="Palatino Linotype" w:hAnsi="Palatino Linotype" w:cs="Palatino Linotype"/>
        </w:rPr>
        <w:t>, de conformidad con lo siguiente:</w:t>
      </w:r>
    </w:p>
    <w:p w:rsidR="00B1176F" w:rsidRDefault="00B1176F">
      <w:pPr>
        <w:spacing w:line="360" w:lineRule="auto"/>
        <w:ind w:right="49"/>
        <w:jc w:val="both"/>
        <w:rPr>
          <w:rFonts w:ascii="Palatino Linotype" w:eastAsia="Palatino Linotype" w:hAnsi="Palatino Linotype" w:cs="Palatino Linotype"/>
        </w:rPr>
      </w:pPr>
    </w:p>
    <w:p w:rsidR="00B1176F" w:rsidRDefault="003C7641">
      <w:pPr>
        <w:numPr>
          <w:ilvl w:val="0"/>
          <w:numId w:val="5"/>
        </w:numPr>
        <w:spacing w:after="160" w:line="360" w:lineRule="auto"/>
        <w:ind w:right="49"/>
        <w:jc w:val="both"/>
        <w:rPr>
          <w:rFonts w:ascii="Palatino Linotype" w:eastAsia="Palatino Linotype" w:hAnsi="Palatino Linotype" w:cs="Palatino Linotype"/>
        </w:rPr>
      </w:pPr>
      <w:bookmarkStart w:id="1" w:name="_heading=h.3znysh7" w:colFirst="0" w:colLast="0"/>
      <w:bookmarkEnd w:id="1"/>
      <w:r>
        <w:rPr>
          <w:rFonts w:ascii="Palatino Linotype" w:eastAsia="Palatino Linotype" w:hAnsi="Palatino Linotype" w:cs="Palatino Linotype"/>
        </w:rPr>
        <w:t xml:space="preserve">Acta de la Primer Sesión Extraordinaria del Comité de Transparencia, de fecha 25 de febrero de 2022, en la que mediante el Acuerdo </w:t>
      </w:r>
      <w:r>
        <w:rPr>
          <w:rFonts w:ascii="Palatino Linotype" w:eastAsia="Palatino Linotype" w:hAnsi="Palatino Linotype" w:cs="Palatino Linotype"/>
          <w:b/>
        </w:rPr>
        <w:t>SMDIF/CT/004/2022</w:t>
      </w:r>
      <w:r>
        <w:rPr>
          <w:rFonts w:ascii="Palatino Linotype" w:eastAsia="Palatino Linotype" w:hAnsi="Palatino Linotype" w:cs="Palatino Linotype"/>
        </w:rPr>
        <w:t xml:space="preserve">, los integrantes del Comité de Transparencia, aprobaron por unanimidad que la información requerida en las solicitudes </w:t>
      </w:r>
      <w:r>
        <w:rPr>
          <w:rFonts w:ascii="Palatino Linotype" w:eastAsia="Palatino Linotype" w:hAnsi="Palatino Linotype" w:cs="Palatino Linotype"/>
        </w:rPr>
        <w:lastRenderedPageBreak/>
        <w:t xml:space="preserve">de acceso a la información pública, sea puesta a disposición de los solicitantes mediante Consulta Directa </w:t>
      </w:r>
      <w:r>
        <w:rPr>
          <w:rFonts w:ascii="Palatino Linotype" w:eastAsia="Palatino Linotype" w:hAnsi="Palatino Linotype" w:cs="Palatino Linotype"/>
          <w:i/>
        </w:rPr>
        <w:t>(In Situ)</w:t>
      </w:r>
      <w:r>
        <w:rPr>
          <w:rFonts w:ascii="Palatino Linotype" w:eastAsia="Palatino Linotype" w:hAnsi="Palatino Linotype" w:cs="Palatino Linotype"/>
        </w:rPr>
        <w:t xml:space="preserve">.  </w:t>
      </w:r>
    </w:p>
    <w:p w:rsidR="00B1176F" w:rsidRDefault="003C764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la respuesta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se inconformó en lo medular por el cambio de modalidad de la entrega de la información a consulta directa.</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respectivo informe justificado.</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 el expediente en que se actúa, así como de la materia sobre la que versa la solicitud de acceso a la información pública, se advierte que los motivos de inconformidad acontecen parcialmente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Antes que nada, con las manifestaciones realizadas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respuesta, </w:t>
      </w:r>
      <w:r>
        <w:rPr>
          <w:rFonts w:ascii="Palatino Linotype" w:eastAsia="Palatino Linotype" w:hAnsi="Palatino Linotype" w:cs="Palatino Linotype"/>
          <w:color w:val="000000"/>
        </w:rPr>
        <w:t xml:space="preserve">proporcionadas en el SAIMEX, </w:t>
      </w:r>
      <w:r>
        <w:rPr>
          <w:rFonts w:ascii="Palatino Linotype" w:eastAsia="Palatino Linotype" w:hAnsi="Palatino Linotype" w:cs="Palatino Linotype"/>
        </w:rPr>
        <w:t xml:space="preserve">éste no niega contar con la información solicitada por la </w:t>
      </w:r>
      <w:r>
        <w:rPr>
          <w:rFonts w:ascii="Palatino Linotype" w:eastAsia="Palatino Linotype" w:hAnsi="Palatino Linotype" w:cs="Palatino Linotype"/>
          <w:b/>
        </w:rPr>
        <w:t>Recurrente</w:t>
      </w:r>
      <w:r>
        <w:rPr>
          <w:rFonts w:ascii="Palatino Linotype" w:eastAsia="Palatino Linotype" w:hAnsi="Palatino Linotype" w:cs="Palatino Linotype"/>
        </w:rPr>
        <w:t>, sino por el contrario, al hacer el cambio de modalidad a Consulta Directa, este asume contar con la información solicitada, con cual la naturaleza jurídica de la información solicitada, en el caso concreto, se obvia.</w:t>
      </w:r>
    </w:p>
    <w:p w:rsidR="00B1176F" w:rsidRDefault="003C764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el estudio enunciado tiene por objeto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B1176F" w:rsidRDefault="003C7641">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1176F" w:rsidRDefault="003C764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1176F" w:rsidRDefault="003C764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B1176F" w:rsidRDefault="00B1176F">
      <w:pPr>
        <w:spacing w:line="360" w:lineRule="auto"/>
        <w:jc w:val="both"/>
        <w:rPr>
          <w:rFonts w:ascii="Palatino Linotype" w:eastAsia="Palatino Linotype" w:hAnsi="Palatino Linotype" w:cs="Palatino Linotype"/>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Pr>
          <w:rFonts w:ascii="Palatino Linotype" w:eastAsia="Palatino Linotype" w:hAnsi="Palatino Linotype" w:cs="Palatino Linotype"/>
        </w:rPr>
        <w:lastRenderedPageBreak/>
        <w:t>Transparencia y Acceso a la Información Pública del Estado de México y Municipios, que a la letra dice:</w:t>
      </w:r>
    </w:p>
    <w:p w:rsidR="00B1176F" w:rsidRDefault="00B1176F">
      <w:pPr>
        <w:spacing w:line="360" w:lineRule="auto"/>
        <w:jc w:val="both"/>
        <w:rPr>
          <w:rFonts w:ascii="Palatino Linotype" w:eastAsia="Palatino Linotype" w:hAnsi="Palatino Linotype" w:cs="Palatino Linotype"/>
        </w:rPr>
      </w:pPr>
    </w:p>
    <w:p w:rsidR="00B1176F" w:rsidRDefault="003C764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1176F" w:rsidRDefault="00B1176F">
      <w:pPr>
        <w:ind w:left="567" w:right="758"/>
        <w:jc w:val="both"/>
        <w:rPr>
          <w:rFonts w:ascii="Palatino Linotype" w:eastAsia="Palatino Linotype" w:hAnsi="Palatino Linotype" w:cs="Palatino Linotype"/>
          <w:i/>
          <w:sz w:val="22"/>
          <w:szCs w:val="22"/>
        </w:rPr>
      </w:pPr>
    </w:p>
    <w:p w:rsidR="00B1176F" w:rsidRDefault="003C764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B1176F" w:rsidRDefault="00B1176F">
      <w:pPr>
        <w:spacing w:line="360" w:lineRule="auto"/>
        <w:ind w:right="-93"/>
        <w:jc w:val="both"/>
        <w:rPr>
          <w:rFonts w:ascii="Palatino Linotype" w:eastAsia="Palatino Linotype" w:hAnsi="Palatino Linotype" w:cs="Palatino Linotype"/>
          <w:color w:val="000000"/>
        </w:rPr>
      </w:pPr>
    </w:p>
    <w:p w:rsidR="00B1176F" w:rsidRDefault="003C7641">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B1176F" w:rsidRDefault="00B1176F">
      <w:pPr>
        <w:spacing w:line="360" w:lineRule="auto"/>
        <w:ind w:right="-93"/>
        <w:jc w:val="both"/>
        <w:rPr>
          <w:rFonts w:ascii="Palatino Linotype" w:eastAsia="Palatino Linotype" w:hAnsi="Palatino Linotype" w:cs="Palatino Linotype"/>
          <w:color w:val="000000"/>
        </w:rPr>
      </w:pPr>
    </w:p>
    <w:p w:rsidR="00B1176F" w:rsidRDefault="003C764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B1176F" w:rsidRDefault="00B1176F">
      <w:pPr>
        <w:ind w:left="851" w:right="850"/>
        <w:jc w:val="both"/>
        <w:rPr>
          <w:rFonts w:ascii="Palatino Linotype" w:eastAsia="Palatino Linotype" w:hAnsi="Palatino Linotype" w:cs="Palatino Linotype"/>
          <w:color w:val="000000"/>
        </w:rPr>
      </w:pPr>
    </w:p>
    <w:p w:rsidR="00B1176F" w:rsidRDefault="003C764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Pr>
          <w:rFonts w:ascii="Palatino Linotype" w:eastAsia="Palatino Linotype" w:hAnsi="Palatino Linotype" w:cs="Palatino Linotype"/>
          <w:i/>
          <w:color w:val="000000"/>
          <w:sz w:val="22"/>
          <w:szCs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1176F" w:rsidRDefault="003C764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B1176F" w:rsidRDefault="003C7641">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B1176F" w:rsidRDefault="003C7641">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B1176F" w:rsidRDefault="003C7641">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B1176F" w:rsidRDefault="00B1176F">
      <w:pPr>
        <w:spacing w:line="360" w:lineRule="auto"/>
        <w:ind w:right="-93"/>
        <w:jc w:val="both"/>
        <w:rPr>
          <w:rFonts w:ascii="Palatino Linotype" w:eastAsia="Palatino Linotype" w:hAnsi="Palatino Linotype" w:cs="Palatino Linotype"/>
          <w:color w:val="000000"/>
        </w:rPr>
      </w:pPr>
    </w:p>
    <w:p w:rsidR="00B1176F" w:rsidRDefault="003C764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1176F" w:rsidRDefault="00B1176F">
      <w:pPr>
        <w:spacing w:line="360" w:lineRule="auto"/>
        <w:jc w:val="both"/>
        <w:rPr>
          <w:rFonts w:ascii="Palatino Linotype" w:eastAsia="Palatino Linotype" w:hAnsi="Palatino Linotype" w:cs="Palatino Linotype"/>
          <w:color w:val="000000"/>
        </w:rPr>
      </w:pPr>
    </w:p>
    <w:p w:rsidR="00B1176F" w:rsidRDefault="003C764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1176F" w:rsidRDefault="00B1176F">
      <w:pPr>
        <w:spacing w:line="360" w:lineRule="auto"/>
        <w:ind w:right="49"/>
        <w:jc w:val="both"/>
        <w:rPr>
          <w:rFonts w:ascii="Palatino Linotype" w:eastAsia="Palatino Linotype" w:hAnsi="Palatino Linotype" w:cs="Palatino Linotype"/>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1176F" w:rsidRDefault="00B1176F">
      <w:pPr>
        <w:ind w:left="851" w:right="899"/>
        <w:jc w:val="both"/>
        <w:rPr>
          <w:rFonts w:ascii="Palatino Linotype" w:eastAsia="Palatino Linotype" w:hAnsi="Palatino Linotype" w:cs="Palatino Linotype"/>
          <w:i/>
          <w:sz w:val="22"/>
          <w:szCs w:val="22"/>
        </w:rPr>
      </w:pPr>
    </w:p>
    <w:p w:rsidR="00B1176F" w:rsidRDefault="003C764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B1176F" w:rsidRDefault="003C764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1176F" w:rsidRDefault="003C7641">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B1176F" w:rsidRDefault="00B1176F">
      <w:pPr>
        <w:ind w:left="851" w:right="899"/>
        <w:jc w:val="both"/>
        <w:rPr>
          <w:rFonts w:ascii="Palatino Linotype" w:eastAsia="Palatino Linotype" w:hAnsi="Palatino Linotype" w:cs="Palatino Linotype"/>
          <w:sz w:val="22"/>
          <w:szCs w:val="22"/>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1176F" w:rsidRDefault="00B1176F">
      <w:pPr>
        <w:ind w:left="851" w:right="899"/>
        <w:jc w:val="both"/>
        <w:rPr>
          <w:rFonts w:ascii="Palatino Linotype" w:eastAsia="Palatino Linotype" w:hAnsi="Palatino Linotype" w:cs="Palatino Linotype"/>
        </w:rPr>
      </w:pPr>
    </w:p>
    <w:p w:rsidR="00B1176F" w:rsidRDefault="003C764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B1176F" w:rsidRDefault="003C764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1176F" w:rsidRDefault="003C764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1176F" w:rsidRDefault="003C764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B1176F" w:rsidRDefault="003C764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B1176F" w:rsidRDefault="003C764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B1176F" w:rsidRDefault="00B1176F">
      <w:pPr>
        <w:spacing w:line="360" w:lineRule="auto"/>
        <w:ind w:right="-93"/>
        <w:jc w:val="both"/>
        <w:rPr>
          <w:rFonts w:ascii="Palatino Linotype" w:eastAsia="Palatino Linotype" w:hAnsi="Palatino Linotype" w:cs="Palatino Linotype"/>
          <w:color w:val="000000"/>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reitera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párrafo Ley de Transparencia y Acceso a la Información Pública del Estado de México y Municipios, de conformidad con los puntos siguientes:</w:t>
      </w:r>
    </w:p>
    <w:p w:rsidR="00B1176F" w:rsidRDefault="00B1176F">
      <w:pPr>
        <w:spacing w:line="360" w:lineRule="auto"/>
        <w:jc w:val="both"/>
        <w:rPr>
          <w:rFonts w:ascii="Palatino Linotype" w:eastAsia="Palatino Linotype" w:hAnsi="Palatino Linotype" w:cs="Palatino Linotype"/>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asumir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tiene la información solicitada, al hacer el cambio de modalidad a Consulta Directa, este cambio de modalidad no es procedente; en razón de que como se dijo en primer lugar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relaciona con aquella que se genere de acuerdo </w:t>
      </w:r>
      <w:r>
        <w:rPr>
          <w:rFonts w:ascii="Palatino Linotype" w:eastAsia="Palatino Linotype" w:hAnsi="Palatino Linotype" w:cs="Palatino Linotype"/>
        </w:rPr>
        <w:lastRenderedPageBreak/>
        <w:t>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B1176F" w:rsidRDefault="00B1176F">
      <w:pPr>
        <w:spacing w:line="360" w:lineRule="auto"/>
        <w:jc w:val="both"/>
        <w:rPr>
          <w:rFonts w:ascii="Palatino Linotype" w:eastAsia="Palatino Linotype" w:hAnsi="Palatino Linotype" w:cs="Palatino Linotype"/>
          <w:color w:val="000000"/>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ese sentido </w:t>
      </w:r>
      <w:r>
        <w:rPr>
          <w:rFonts w:ascii="Palatino Linotype" w:eastAsia="Palatino Linotype" w:hAnsi="Palatino Linotype" w:cs="Palatino Linotype"/>
        </w:rPr>
        <w:t xml:space="preserve">sobre la consulta directa hecha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conveniente traer a contexto lo dispuesto en los artículos 155, fracción V, 158, 160 y 164 de la Ley de Transparencia y Acceso a la Información Pública del Estado de México y Municipios, los cuales establecen lo siguiente: </w:t>
      </w:r>
    </w:p>
    <w:p w:rsidR="00B1176F" w:rsidRDefault="00B1176F">
      <w:pPr>
        <w:ind w:left="851" w:right="851"/>
        <w:jc w:val="both"/>
        <w:rPr>
          <w:rFonts w:ascii="Palatino Linotype" w:eastAsia="Palatino Linotype" w:hAnsi="Palatino Linotype" w:cs="Palatino Linotype"/>
          <w:i/>
          <w:sz w:val="22"/>
          <w:szCs w:val="22"/>
        </w:rPr>
      </w:pPr>
    </w:p>
    <w:p w:rsidR="00B1176F" w:rsidRDefault="003C764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155. </w:t>
      </w:r>
      <w:r>
        <w:rPr>
          <w:rFonts w:ascii="Palatino Linotype" w:eastAsia="Palatino Linotype" w:hAnsi="Palatino Linotype" w:cs="Palatino Linotype"/>
          <w:b/>
          <w:i/>
          <w:sz w:val="22"/>
          <w:szCs w:val="22"/>
          <w:u w:val="single"/>
        </w:rPr>
        <w:t>Para presentar una solicitud por escrito, no se podrán exigir mayores requisitos que los siguientes</w:t>
      </w:r>
      <w:r>
        <w:rPr>
          <w:rFonts w:ascii="Palatino Linotype" w:eastAsia="Palatino Linotype" w:hAnsi="Palatino Linotype" w:cs="Palatino Linotype"/>
          <w:i/>
          <w:sz w:val="22"/>
          <w:szCs w:val="22"/>
        </w:rPr>
        <w:t xml:space="preserve">: </w:t>
      </w:r>
    </w:p>
    <w:p w:rsidR="00B1176F" w:rsidRDefault="003C764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1176F" w:rsidRDefault="003C764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b/>
          <w:i/>
          <w:sz w:val="22"/>
          <w:szCs w:val="22"/>
          <w:u w:val="single"/>
        </w:rPr>
        <w:t>La modalidad en la que prefiere se otorgue el acceso a la información, la cual podrá ser</w:t>
      </w:r>
      <w:r>
        <w:rPr>
          <w:rFonts w:ascii="Palatino Linotype" w:eastAsia="Palatino Linotype" w:hAnsi="Palatino Linotype" w:cs="Palatino Linotype"/>
          <w:i/>
          <w:sz w:val="22"/>
          <w:szCs w:val="22"/>
        </w:rPr>
        <w:t xml:space="preserve"> verbal, siempre y cuando sea para fines de orientación, </w:t>
      </w:r>
      <w:r>
        <w:rPr>
          <w:rFonts w:ascii="Palatino Linotype" w:eastAsia="Palatino Linotype" w:hAnsi="Palatino Linotype" w:cs="Palatino Linotype"/>
          <w:b/>
          <w:i/>
          <w:sz w:val="22"/>
          <w:szCs w:val="22"/>
          <w:u w:val="single"/>
        </w:rPr>
        <w:t>mediante consulta directa</w:t>
      </w:r>
      <w:r>
        <w:rPr>
          <w:rFonts w:ascii="Palatino Linotype" w:eastAsia="Palatino Linotype" w:hAnsi="Palatino Linotype" w:cs="Palatino Linotype"/>
          <w:i/>
          <w:sz w:val="22"/>
          <w:szCs w:val="22"/>
        </w:rPr>
        <w:t xml:space="preserve">, mediante la expedición de copias simples o certificadas o la reproducción en cualquier otro medio, incluidos los electrónicos. </w:t>
      </w:r>
    </w:p>
    <w:p w:rsidR="00B1176F" w:rsidRDefault="003C764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B1176F" w:rsidRDefault="00B1176F">
      <w:pPr>
        <w:ind w:left="851" w:right="851"/>
        <w:jc w:val="both"/>
        <w:rPr>
          <w:rFonts w:ascii="Palatino Linotype" w:eastAsia="Palatino Linotype" w:hAnsi="Palatino Linotype" w:cs="Palatino Linotype"/>
          <w:b/>
          <w:i/>
          <w:sz w:val="22"/>
          <w:szCs w:val="22"/>
        </w:rPr>
      </w:pPr>
    </w:p>
    <w:p w:rsidR="00B1176F" w:rsidRDefault="003C764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158. </w:t>
      </w:r>
      <w:r>
        <w:rPr>
          <w:rFonts w:ascii="Palatino Linotype" w:eastAsia="Palatino Linotype" w:hAnsi="Palatino Linotype" w:cs="Palatino Linotype"/>
          <w:i/>
          <w:sz w:val="22"/>
          <w:szCs w:val="22"/>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w:t>
      </w:r>
      <w:r>
        <w:rPr>
          <w:rFonts w:ascii="Palatino Linotype" w:eastAsia="Palatino Linotype" w:hAnsi="Palatino Linotype" w:cs="Palatino Linotype"/>
          <w:i/>
          <w:sz w:val="22"/>
          <w:szCs w:val="22"/>
        </w:rPr>
        <w:lastRenderedPageBreak/>
        <w:t>los plazos establecidos para dichos efectos, se podrá poner a disposición del solicitante los documentos en consulta directa, salvo la información clasificada.</w:t>
      </w:r>
    </w:p>
    <w:p w:rsidR="00B1176F" w:rsidRDefault="003C764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rsidR="00B1176F" w:rsidRDefault="00B1176F">
      <w:pPr>
        <w:ind w:left="851" w:right="851"/>
        <w:jc w:val="both"/>
        <w:rPr>
          <w:rFonts w:ascii="Palatino Linotype" w:eastAsia="Palatino Linotype" w:hAnsi="Palatino Linotype" w:cs="Palatino Linotype"/>
          <w:b/>
          <w:i/>
          <w:sz w:val="22"/>
          <w:szCs w:val="22"/>
        </w:rPr>
      </w:pPr>
    </w:p>
    <w:p w:rsidR="00B1176F" w:rsidRDefault="003C764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1176F" w:rsidRDefault="003C764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B1176F" w:rsidRDefault="00B1176F">
      <w:pPr>
        <w:ind w:left="851" w:right="851"/>
        <w:jc w:val="both"/>
        <w:rPr>
          <w:rFonts w:ascii="Palatino Linotype" w:eastAsia="Palatino Linotype" w:hAnsi="Palatino Linotype" w:cs="Palatino Linotype"/>
          <w:i/>
          <w:sz w:val="22"/>
          <w:szCs w:val="22"/>
        </w:rPr>
      </w:pPr>
    </w:p>
    <w:p w:rsidR="00B1176F" w:rsidRDefault="003C764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164. </w:t>
      </w:r>
      <w:r>
        <w:rPr>
          <w:rFonts w:ascii="Palatino Linotype" w:eastAsia="Palatino Linotype" w:hAnsi="Palatino Linotype" w:cs="Palatino Linotype"/>
          <w:b/>
          <w:i/>
          <w:sz w:val="22"/>
          <w:szCs w:val="22"/>
          <w:u w:val="single"/>
        </w:rPr>
        <w:t>El acceso se dará en la modalidad de entrega</w:t>
      </w:r>
      <w:r>
        <w:rPr>
          <w:rFonts w:ascii="Palatino Linotype" w:eastAsia="Palatino Linotype" w:hAnsi="Palatino Linotype" w:cs="Palatino Linotype"/>
          <w:i/>
          <w:sz w:val="22"/>
          <w:szCs w:val="22"/>
        </w:rPr>
        <w:t xml:space="preserve"> y, en su caso, de envío </w:t>
      </w:r>
      <w:r>
        <w:rPr>
          <w:rFonts w:ascii="Palatino Linotype" w:eastAsia="Palatino Linotype" w:hAnsi="Palatino Linotype" w:cs="Palatino Linotype"/>
          <w:b/>
          <w:i/>
          <w:sz w:val="22"/>
          <w:szCs w:val="22"/>
          <w:u w:val="single"/>
        </w:rPr>
        <w:t>elegidos por el solicitante</w:t>
      </w:r>
      <w:r>
        <w:rPr>
          <w:rFonts w:ascii="Palatino Linotype" w:eastAsia="Palatino Linotype" w:hAnsi="Palatino Linotype" w:cs="Palatino Linotype"/>
          <w:i/>
          <w:sz w:val="22"/>
          <w:szCs w:val="22"/>
        </w:rPr>
        <w:t xml:space="preserve">. Cuando la información no pueda entregarse o enviarse en la modalidad solicitada, el sujeto obligado deberá ofrecer otra u otras modalidades de entrega. </w:t>
      </w:r>
    </w:p>
    <w:p w:rsidR="00B1176F" w:rsidRDefault="00B1176F">
      <w:pPr>
        <w:ind w:left="851" w:right="851"/>
        <w:jc w:val="both"/>
        <w:rPr>
          <w:rFonts w:ascii="Palatino Linotype" w:eastAsia="Palatino Linotype" w:hAnsi="Palatino Linotype" w:cs="Palatino Linotype"/>
          <w:i/>
          <w:sz w:val="16"/>
          <w:szCs w:val="16"/>
        </w:rPr>
      </w:pPr>
    </w:p>
    <w:p w:rsidR="00B1176F" w:rsidRDefault="003C764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cualquier caso, se deberá fundar y motivar la necesidad de ofrecer otras modalidades.” (Sic)</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citados se desprende que, al presentar una solicitud de información, el peticionario debe señalar la modalidad en la que prefiere se otorgue el acceso a la información, la cual podrá ser verbal, consulta directa, mediante la expedición de copias simples o certificadas o la reproducción en cualquier otro medio, incluidos los electrónicos.</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deberán otorgar acceso a los documentos que se encuentren en sus archivos o que estén obligados a documentar de acuerdo con sus facultades, competencias o funciones en el formato en que el solicitante manifieste, conforme a las características físicas de la información o del lugar donde se encuentre así lo permita</w:t>
      </w:r>
      <w:r>
        <w:t>.</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igual manera, de forma fundada y motivada, cuando así lo determine el </w:t>
      </w:r>
      <w:r>
        <w:rPr>
          <w:rFonts w:ascii="Palatino Linotype" w:eastAsia="Palatino Linotype" w:hAnsi="Palatino Linotype" w:cs="Palatino Linotype"/>
          <w:b/>
        </w:rPr>
        <w:t>Sujeto Obligado</w:t>
      </w:r>
      <w:r>
        <w:rPr>
          <w:rFonts w:ascii="Palatino Linotype" w:eastAsia="Palatino Linotype" w:hAnsi="Palatino Linotype" w:cs="Palatino Linotype"/>
        </w:rPr>
        <w:t>, en aquellos casos en que la información solicitada que ya se encuentre en su posesión implique análisis, estudio o procesamiento de documentos cuya entrega o reproducción sobrepase las capacidades técnicas del sujeto obligado para cumplir con lo requerido, se podrán poner a disposición del solicitante los documentos en consulta directa, salvo la información clasificada o, en todo caso, se facilitará su copia simple o certificada, así como su reproducción por cualquier medio disponible en las instalaciones del sujeto obligado o que, en su caso, aporte el solicitante.</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cuando la información no pueda ser entregada en la modalidad elegida, de manera excepcional,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ofrecer todas las demás modalidades de entrega disponibles, debiendo fundar y motivar la necesidad de modificar la misma.</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Establecido lo previo, trayendo de nueva cuenta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se advierte que, su Unidad de Transparencia, comunicó a la particular un cambio en la modalidad de entrega de la información, a través de consulta directa (in situ).</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si bien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refiere fundamentos jurídicos; así como, que, la información que solicita requiere de realizar la búsqueda exhaustiva y razonable de lo solicitado, así como de realizar una serie de procedimientos, como de análisis, estudio y procesamiento de la información y que ante la emergencia de salud pública declarada por la Organizaron Mundial de Salud (OMS) el 30 de marzo de 2020, por brote mundial del virus SARS.CoV2 (COVID-19) ese órgano como medida </w:t>
      </w:r>
      <w:r>
        <w:rPr>
          <w:rFonts w:ascii="Palatino Linotype" w:eastAsia="Palatino Linotype" w:hAnsi="Palatino Linotype" w:cs="Palatino Linotype"/>
        </w:rPr>
        <w:lastRenderedPageBreak/>
        <w:t xml:space="preserve">preventiva y de actuación, desarrolla sus actividades fundamentales con el personal indispensable, ya que la documentación con la que se daría respuesta sobrepasa las capacidades humanas del Sistema Municipal del DIF Metepec, no resulta procedente el impedimento referido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pues no justifica el cambio de modalidad de la entrega de información, pues debió de analizar la misma y en su caso solicitar la ampliación de plazo para atenderla, garantizando en todo momento la modalidad de entrega elegida por el particular; pues, lo cierto es que ello no exime de dar cumplimiento a las disposiciones de las leyes en la materia.</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Máxime, que la información fue requerida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por lo tanto, la actuación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constituye una afectación al derecho humano de acceso a la información pública del particular, en virtud de lo establecido por el artículo 164, de la Ley de Transparencia y Acceso a la Información Pública del Estado de México y Municipios previamente señalado.</w:t>
      </w:r>
    </w:p>
    <w:p w:rsidR="00B1176F" w:rsidRDefault="00B1176F">
      <w:pPr>
        <w:rPr>
          <w:sz w:val="14"/>
          <w:szCs w:val="14"/>
        </w:rPr>
      </w:pPr>
    </w:p>
    <w:p w:rsidR="00B1176F" w:rsidRDefault="00B1176F">
      <w:pPr>
        <w:rPr>
          <w:sz w:val="14"/>
          <w:szCs w:val="14"/>
        </w:rPr>
      </w:pPr>
    </w:p>
    <w:p w:rsidR="00B1176F" w:rsidRDefault="003C764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podrá garantizar la entrega a través de cualquier otro medio, siempre y cuando funde y motive la razón para hacerlo. </w:t>
      </w:r>
    </w:p>
    <w:p w:rsidR="00B1176F" w:rsidRDefault="00B1176F">
      <w:pPr>
        <w:spacing w:line="360" w:lineRule="auto"/>
        <w:jc w:val="both"/>
        <w:rPr>
          <w:rFonts w:ascii="Palatino Linotype" w:eastAsia="Palatino Linotype" w:hAnsi="Palatino Linotype" w:cs="Palatino Linotype"/>
          <w:b/>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necesidad de fundar y motivar es imperante en todos los actos que emite cualquier autoridad, es decir, todo acto que pronuncie en el ejercicio de sus </w:t>
      </w:r>
      <w:r>
        <w:rPr>
          <w:rFonts w:ascii="Palatino Linotype" w:eastAsia="Palatino Linotype" w:hAnsi="Palatino Linotype" w:cs="Palatino Linotype"/>
        </w:rPr>
        <w:lastRenderedPageBreak/>
        <w:t>atribuciones, debe expresar los fundamentos legales que le dieron origen y las razones por las que se deben aplicar al caso concreto.</w:t>
      </w:r>
    </w:p>
    <w:p w:rsidR="00B1176F" w:rsidRDefault="00B1176F">
      <w:pPr>
        <w:spacing w:after="240" w:line="360" w:lineRule="auto"/>
        <w:jc w:val="both"/>
        <w:rPr>
          <w:rFonts w:ascii="Palatino Linotype" w:eastAsia="Palatino Linotype" w:hAnsi="Palatino Linotype" w:cs="Palatino Linotype"/>
        </w:rPr>
      </w:pPr>
    </w:p>
    <w:p w:rsidR="00B1176F" w:rsidRDefault="003C764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 manera unilateral cambió la modalidad a consulta directa de la información; no obstante, debió ofrecer las diversas modalidades contempladas en la Ley de la materia encaminadas a la más apegada a la requerida por el particular. Aunado a ello, la norma no prevé que por el hecho de realizar la búsqueda exhaustiva y razonable de lo solicitado, así como de realizar una serie de procedimientos, como de análisis, estudio y procesamiento de la información y porque ante la emergencia de salud pública declarada por la Organizaron Mundial de Salud (OMS) el 30 de marzo de 2020, por brote mundial del virus SARS.CoV2 (COVID-19) ese órgano como medida preventiva y de actuación, desarrolla sus actividades fundamentales con el personal indispensable, ya que la documentación con la que se daría respuesta sobrepasa las capacidades humanas del Sistema Municipal del DIF Metepec, se deba cambiar la modalidad, lo que se robustece con lo señalado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B1176F" w:rsidRDefault="003C7641">
      <w:pPr>
        <w:spacing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“CINCUENTA Y CUATRO.-</w:t>
      </w:r>
      <w:r>
        <w:rPr>
          <w:rFonts w:ascii="Palatino Linotype" w:eastAsia="Palatino Linotype" w:hAnsi="Palatino Linotype" w:cs="Palatino Linotype"/>
          <w:i/>
          <w:sz w:val="22"/>
          <w:szCs w:val="22"/>
        </w:rPr>
        <w:t xml:space="preserve"> De acuerdo a lo dispuesto por el párrafo segundo del artículo 48 de la Ley, la información podrá ser entregada vía electrónica a través del SICOSIEM. </w:t>
      </w:r>
    </w:p>
    <w:p w:rsidR="00B1176F" w:rsidRDefault="003C764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Es obligación del responsable de la Unidad de Información verificar que los archivos electrónicos que contengan la información entregada, se encuentra agregada al SICOSIEM.</w:t>
      </w:r>
    </w:p>
    <w:p w:rsidR="00B1176F" w:rsidRDefault="003C764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B1176F" w:rsidRDefault="003C764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Dirección de Sistemas e Informática del Instituto, debe llevar un registro de incidencias en el cual se asienten todas las llamas referentes al apoyo técnico para agregar los archivos electrónicos al SICOSIEM.</w:t>
      </w:r>
    </w:p>
    <w:p w:rsidR="00B1176F" w:rsidRDefault="003C764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omisión por parte del responsable de la Unidad de Información del procedimiento antes descrito presume la negativa de la entrega de la Información. </w:t>
      </w:r>
    </w:p>
    <w:p w:rsidR="00B1176F" w:rsidRDefault="003C764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la información no pueda ser remitida vía electrónica, se deberá fundar y motivar la resolución respectiva, explicando en todo momento las causas que impiden el envío de la información de forma electrónica.</w:t>
      </w:r>
    </w:p>
    <w:p w:rsidR="00B1176F" w:rsidRDefault="003C764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B1176F" w:rsidRDefault="003C764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formato mencionado deberá estar agregado al expediente electrónico de la solicitud de información pública, en el estatus respectivo.” (Sic)</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se puede concluir, que los sujetos obligados deben proporcionar la información en la modalidad solicitada por los particulares para la entrega de la información, y sólo para el caso de que no sea posible, podrá cambiar la vía de entrega previa exposición de las razones fundadas y motivadas que lo llevaron a dicha determinación, como lo es, la imposibilidad de agregar los archivos electrónicos al SAIMEX, por motivos técnicos, debiendo dar aviso a este Órgano </w:t>
      </w:r>
      <w:r>
        <w:rPr>
          <w:rFonts w:ascii="Palatino Linotype" w:eastAsia="Palatino Linotype" w:hAnsi="Palatino Linotype" w:cs="Palatino Linotype"/>
        </w:rPr>
        <w:lastRenderedPageBreak/>
        <w:t>Garante a efectos de recibir apoyo técnico, hecho del que deberá existir constancia mediante el registro de incidencias.</w:t>
      </w:r>
    </w:p>
    <w:p w:rsidR="00B1176F" w:rsidRDefault="003C764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rsidR="00B1176F" w:rsidRDefault="003C7641">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Pr>
          <w:rFonts w:ascii="Palatino Linotype" w:eastAsia="Palatino Linotype" w:hAnsi="Palatino Linotype" w:cs="Palatino Linotype"/>
          <w:b/>
          <w:i/>
          <w:sz w:val="22"/>
          <w:szCs w:val="22"/>
        </w:rPr>
        <w:t xml:space="preserve">a) justifique el impedimento para atender la misma </w:t>
      </w:r>
      <w:r>
        <w:rPr>
          <w:rFonts w:ascii="Palatino Linotype" w:eastAsia="Palatino Linotype" w:hAnsi="Palatino Linotype" w:cs="Palatino Linotype"/>
          <w:i/>
          <w:sz w:val="22"/>
          <w:szCs w:val="22"/>
        </w:rPr>
        <w:t xml:space="preserve">y </w:t>
      </w:r>
      <w:r>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Pr>
          <w:rFonts w:ascii="Palatino Linotype" w:eastAsia="Palatino Linotype" w:hAnsi="Palatino Linotype" w:cs="Palatino Linotype"/>
          <w:i/>
          <w:sz w:val="22"/>
          <w:szCs w:val="22"/>
        </w:rPr>
        <w:t>, procurando reducir, en todo momento, los costos de entrega.”</w:t>
      </w:r>
    </w:p>
    <w:p w:rsidR="00B1176F" w:rsidRDefault="00B1176F">
      <w:pPr>
        <w:spacing w:before="120" w:line="360" w:lineRule="auto"/>
        <w:jc w:val="both"/>
        <w:rPr>
          <w:rFonts w:ascii="Palatino Linotype" w:eastAsia="Palatino Linotype" w:hAnsi="Palatino Linotype" w:cs="Palatino Linotype"/>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tales consideraciones, es que se considera como improcedente el cambio de modalidad</w:t>
      </w:r>
    </w:p>
    <w:p w:rsidR="00B1176F" w:rsidRDefault="00B1176F">
      <w:pPr>
        <w:spacing w:line="360" w:lineRule="auto"/>
        <w:jc w:val="both"/>
        <w:rPr>
          <w:rFonts w:ascii="Palatino Linotype" w:eastAsia="Palatino Linotype" w:hAnsi="Palatino Linotype" w:cs="Palatino Linotype"/>
        </w:rPr>
      </w:pPr>
    </w:p>
    <w:p w:rsidR="00B1176F" w:rsidRDefault="003C764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las consideraciones anteriores, resulta procedente aludir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fundó, motivó, ni mucho menos justificó la imposibilidad de entregar la información solicitada en un formato electrónico a través del SAIMEX.</w:t>
      </w:r>
    </w:p>
    <w:p w:rsidR="00B1176F" w:rsidRDefault="003C7641">
      <w:pPr>
        <w:widowControl w:val="0"/>
        <w:tabs>
          <w:tab w:val="left" w:pos="127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rsidR="00B1176F" w:rsidRDefault="003C7641">
      <w:pPr>
        <w:widowControl w:val="0"/>
        <w:tabs>
          <w:tab w:val="left" w:pos="127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“FUNDAMENTACIÓN Y MOTIVACIÓN.</w:t>
      </w:r>
      <w:r>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B1176F" w:rsidRDefault="003C7641">
      <w:pPr>
        <w:widowControl w:val="0"/>
        <w:tabs>
          <w:tab w:val="left" w:pos="127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B1176F" w:rsidRDefault="003C7641">
      <w:pPr>
        <w:widowControl w:val="0"/>
        <w:tabs>
          <w:tab w:val="left" w:pos="127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B1176F" w:rsidRDefault="00B1176F">
      <w:pPr>
        <w:widowControl w:val="0"/>
        <w:tabs>
          <w:tab w:val="left" w:pos="1276"/>
        </w:tabs>
        <w:spacing w:line="360" w:lineRule="auto"/>
        <w:jc w:val="both"/>
        <w:rPr>
          <w:rFonts w:ascii="Palatino Linotype" w:eastAsia="Palatino Linotype" w:hAnsi="Palatino Linotype" w:cs="Palatino Linotype"/>
        </w:rPr>
      </w:pPr>
    </w:p>
    <w:p w:rsidR="00B1176F" w:rsidRDefault="003C7641">
      <w:pPr>
        <w:widowControl w:val="0"/>
        <w:tabs>
          <w:tab w:val="left" w:pos="127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B1176F" w:rsidRDefault="00B1176F">
      <w:pPr>
        <w:widowControl w:val="0"/>
        <w:tabs>
          <w:tab w:val="left" w:pos="1276"/>
        </w:tabs>
        <w:spacing w:line="360" w:lineRule="auto"/>
        <w:jc w:val="both"/>
        <w:rPr>
          <w:rFonts w:ascii="Palatino Linotype" w:eastAsia="Palatino Linotype" w:hAnsi="Palatino Linotype" w:cs="Palatino Linotype"/>
        </w:rPr>
      </w:pPr>
    </w:p>
    <w:p w:rsidR="00B1176F" w:rsidRDefault="003C764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la entrega de la información que aquí se analiza y en términos de lo señalado por el considerando quinto de la presente resolución.</w:t>
      </w:r>
    </w:p>
    <w:p w:rsidR="00B1176F" w:rsidRPr="001E1084" w:rsidRDefault="003C7641">
      <w:pPr>
        <w:spacing w:after="240" w:line="360" w:lineRule="auto"/>
        <w:jc w:val="both"/>
        <w:rPr>
          <w:rFonts w:ascii="Palatino Linotype" w:eastAsia="Palatino Linotype" w:hAnsi="Palatino Linotype" w:cs="Palatino Linotype"/>
        </w:rPr>
      </w:pPr>
      <w:r w:rsidRPr="001E1084">
        <w:rPr>
          <w:rFonts w:ascii="Palatino Linotype" w:eastAsia="Palatino Linotype" w:hAnsi="Palatino Linotype" w:cs="Palatino Linotype"/>
        </w:rPr>
        <w:t>No pasa desapercibido para este Instituto que de ser el caso que EL SUJETO OBLIGADO previamente acreditada la búsqueda de la información no localiza la misma por no haberse generado recibos por dicho concepto, deberá hacerlo del conocimiento del Recurrente de manera fundada y motivada, en términos del segunda párrafo del artículo 19 de la Ley de Transparencia local.</w:t>
      </w:r>
    </w:p>
    <w:p w:rsidR="00B1176F" w:rsidRDefault="003C7641">
      <w:pPr>
        <w:spacing w:after="240" w:line="360" w:lineRule="auto"/>
        <w:jc w:val="both"/>
        <w:rPr>
          <w:rFonts w:ascii="Palatino Linotype" w:eastAsia="Palatino Linotype" w:hAnsi="Palatino Linotype" w:cs="Palatino Linotype"/>
        </w:rPr>
      </w:pPr>
      <w:r w:rsidRPr="001E1084">
        <w:rPr>
          <w:rFonts w:ascii="Palatino Linotype" w:eastAsia="Palatino Linotype" w:hAnsi="Palatino Linotype" w:cs="Palatino Linotype"/>
        </w:rPr>
        <w:t xml:space="preserve">Por último no se omite comentar que, por cuanto hace al requerimiento realizado relacionado con la entrega de documentos en formato PDF; al respecto, esta Ponencia considera conveniente señalar que dicho formato no representa una modalidad de entrega sino más bien obedece al formato en el que pretende acceder al documento, esto es en razón de que el formato PDF (Portable Document Format –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w:t>
      </w:r>
      <w:r w:rsidRPr="001E1084">
        <w:rPr>
          <w:rFonts w:ascii="Palatino Linotype" w:eastAsia="Palatino Linotype" w:hAnsi="Palatino Linotype" w:cs="Palatino Linotype"/>
        </w:rPr>
        <w:lastRenderedPageBreak/>
        <w:t>formato de almacenamiento para documentos digitales independiente de plataformas de software. Este formato es de tipo compuesto (imagen, vectorial, mapa de bits y texto).</w:t>
      </w:r>
    </w:p>
    <w:p w:rsidR="00B1176F" w:rsidRDefault="003C764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respecto de las manifestaciones realizadas por el</w:t>
      </w:r>
      <w:r>
        <w:rPr>
          <w:rFonts w:ascii="Palatino Linotype" w:eastAsia="Palatino Linotype" w:hAnsi="Palatino Linotype" w:cs="Palatino Linotype"/>
          <w:b/>
          <w:color w:val="000000"/>
        </w:rPr>
        <w:t xml:space="preserve"> Recurrente </w:t>
      </w:r>
      <w:r>
        <w:rPr>
          <w:rFonts w:ascii="Palatino Linotype" w:eastAsia="Palatino Linotype" w:hAnsi="Palatino Linotype" w:cs="Palatino Linotype"/>
          <w:color w:val="000000"/>
        </w:rPr>
        <w:t xml:space="preserve">como razones o motivos de inconformidad, consistentes en </w:t>
      </w:r>
      <w:r>
        <w:rPr>
          <w:rFonts w:ascii="Palatino Linotype" w:eastAsia="Palatino Linotype" w:hAnsi="Palatino Linotype" w:cs="Palatino Linotype"/>
          <w:i/>
          <w:color w:val="000000"/>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w:t>
      </w:r>
      <w:r>
        <w:rPr>
          <w:rFonts w:ascii="Palatino Linotype" w:eastAsia="Palatino Linotype" w:hAnsi="Palatino Linotype" w:cs="Palatino Linotype"/>
          <w:color w:val="000000"/>
        </w:rPr>
        <w:t>y derivado que el Recurso de Revisión no es el medio para sancionar, este Órgano Garante</w:t>
      </w:r>
      <w:r>
        <w:rPr>
          <w:rFonts w:ascii="Palatino Linotype" w:eastAsia="Palatino Linotype" w:hAnsi="Palatino Linotype" w:cs="Palatino Linotype"/>
        </w:rPr>
        <w:t xml:space="preserve"> sugiere al solicitante, interponer su queja o denuncia ante la autoridad competente</w:t>
      </w:r>
      <w:r>
        <w:rPr>
          <w:rFonts w:ascii="Palatino Linotype" w:eastAsia="Palatino Linotype" w:hAnsi="Palatino Linotype" w:cs="Palatino Linotype"/>
          <w:color w:val="000000"/>
        </w:rPr>
        <w:t xml:space="preserve">. </w:t>
      </w:r>
    </w:p>
    <w:p w:rsidR="00B1176F" w:rsidRDefault="00B1176F">
      <w:pPr>
        <w:spacing w:line="360" w:lineRule="auto"/>
        <w:jc w:val="both"/>
        <w:rPr>
          <w:rFonts w:ascii="Palatino Linotype" w:eastAsia="Palatino Linotype" w:hAnsi="Palatino Linotype" w:cs="Palatino Linotype"/>
          <w:color w:val="FF0000"/>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rsidR="00B1176F" w:rsidRDefault="003C7641">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rsidR="00B1176F" w:rsidRDefault="003C7641">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B1176F" w:rsidRDefault="003C764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B1176F" w:rsidRDefault="003C764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B1176F" w:rsidRDefault="003C764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B1176F" w:rsidRDefault="003C764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B1176F" w:rsidRDefault="00B1176F">
      <w:pPr>
        <w:ind w:left="993" w:right="1041"/>
        <w:jc w:val="both"/>
        <w:rPr>
          <w:rFonts w:ascii="Palatino Linotype" w:eastAsia="Palatino Linotype" w:hAnsi="Palatino Linotype" w:cs="Palatino Linotype"/>
          <w:i/>
          <w:sz w:val="22"/>
          <w:szCs w:val="22"/>
        </w:rPr>
      </w:pPr>
    </w:p>
    <w:p w:rsidR="00B1176F" w:rsidRDefault="003C764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B1176F" w:rsidRDefault="00B1176F">
      <w:pPr>
        <w:ind w:left="993" w:right="1041"/>
        <w:jc w:val="both"/>
        <w:rPr>
          <w:rFonts w:ascii="Palatino Linotype" w:eastAsia="Palatino Linotype" w:hAnsi="Palatino Linotype" w:cs="Palatino Linotype"/>
          <w:i/>
          <w:sz w:val="22"/>
          <w:szCs w:val="22"/>
        </w:rPr>
      </w:pPr>
    </w:p>
    <w:p w:rsidR="00B1176F" w:rsidRDefault="003C7641">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1176F" w:rsidRDefault="00B1176F">
      <w:pPr>
        <w:ind w:left="993" w:right="1041"/>
        <w:jc w:val="both"/>
        <w:rPr>
          <w:rFonts w:ascii="Palatino Linotype" w:eastAsia="Palatino Linotype" w:hAnsi="Palatino Linotype" w:cs="Palatino Linotype"/>
          <w:b/>
          <w:i/>
          <w:sz w:val="22"/>
          <w:szCs w:val="22"/>
        </w:rPr>
      </w:pPr>
    </w:p>
    <w:p w:rsidR="00B1176F" w:rsidRDefault="003C764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B1176F" w:rsidRDefault="003C764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B1176F" w:rsidRDefault="003C764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B1176F" w:rsidRDefault="003C764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B1176F" w:rsidRDefault="00B1176F">
      <w:pPr>
        <w:ind w:left="993" w:right="1041"/>
        <w:jc w:val="both"/>
        <w:rPr>
          <w:rFonts w:ascii="Palatino Linotype" w:eastAsia="Palatino Linotype" w:hAnsi="Palatino Linotype" w:cs="Palatino Linotype"/>
          <w:i/>
          <w:sz w:val="22"/>
          <w:szCs w:val="22"/>
        </w:rPr>
      </w:pPr>
    </w:p>
    <w:p w:rsidR="00B1176F" w:rsidRDefault="003C764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B1176F" w:rsidRDefault="00B1176F">
      <w:pPr>
        <w:spacing w:line="360" w:lineRule="auto"/>
        <w:ind w:right="51"/>
        <w:jc w:val="both"/>
        <w:rPr>
          <w:rFonts w:ascii="Palatino Linotype" w:eastAsia="Palatino Linotype" w:hAnsi="Palatino Linotype" w:cs="Palatino Linotype"/>
        </w:rPr>
      </w:pPr>
    </w:p>
    <w:p w:rsidR="00B1176F" w:rsidRDefault="003C7641">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B1176F" w:rsidRDefault="003C764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B1176F" w:rsidRDefault="00B1176F">
      <w:pPr>
        <w:spacing w:line="360" w:lineRule="auto"/>
        <w:ind w:right="51"/>
        <w:jc w:val="both"/>
        <w:rPr>
          <w:rFonts w:ascii="Palatino Linotype" w:eastAsia="Palatino Linotype" w:hAnsi="Palatino Linotype" w:cs="Palatino Linotype"/>
        </w:rPr>
      </w:pPr>
    </w:p>
    <w:p w:rsidR="00B1176F" w:rsidRDefault="003C76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B1176F" w:rsidRDefault="003C76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B1176F" w:rsidRDefault="003C76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B1176F" w:rsidRDefault="003C76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B1176F" w:rsidRDefault="003C76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B1176F" w:rsidRDefault="003C76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B1176F" w:rsidRDefault="00B1176F">
      <w:pPr>
        <w:ind w:left="992" w:right="1043"/>
        <w:jc w:val="both"/>
        <w:rPr>
          <w:rFonts w:ascii="Palatino Linotype" w:eastAsia="Palatino Linotype" w:hAnsi="Palatino Linotype" w:cs="Palatino Linotype"/>
          <w:i/>
          <w:sz w:val="22"/>
          <w:szCs w:val="22"/>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B1176F" w:rsidRDefault="00B1176F">
      <w:pPr>
        <w:spacing w:line="360" w:lineRule="auto"/>
        <w:jc w:val="both"/>
        <w:rPr>
          <w:rFonts w:ascii="Palatino Linotype" w:eastAsia="Palatino Linotype" w:hAnsi="Palatino Linotype" w:cs="Palatino Linotype"/>
        </w:rPr>
      </w:pPr>
    </w:p>
    <w:p w:rsidR="00B1176F" w:rsidRDefault="003C7641">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B1176F" w:rsidRDefault="003C76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B1176F" w:rsidRDefault="003C764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lastRenderedPageBreak/>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B1176F" w:rsidRDefault="00B1176F">
      <w:pPr>
        <w:ind w:left="709" w:right="709"/>
        <w:jc w:val="both"/>
        <w:rPr>
          <w:rFonts w:ascii="Palatino Linotype" w:eastAsia="Palatino Linotype" w:hAnsi="Palatino Linotype" w:cs="Palatino Linotype"/>
          <w:b/>
          <w:i/>
          <w:sz w:val="22"/>
          <w:szCs w:val="22"/>
        </w:rPr>
      </w:pPr>
    </w:p>
    <w:p w:rsidR="00B1176F" w:rsidRDefault="003C7641">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1176F" w:rsidRDefault="003C764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B1176F" w:rsidRDefault="003C764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B1176F" w:rsidRDefault="003C764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1176F" w:rsidRDefault="003C7641">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8"/>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B1176F">
        <w:trPr>
          <w:jc w:val="center"/>
        </w:trPr>
        <w:tc>
          <w:tcPr>
            <w:tcW w:w="1159" w:type="dxa"/>
            <w:tcBorders>
              <w:top w:val="nil"/>
              <w:left w:val="nil"/>
              <w:bottom w:val="single" w:sz="4" w:space="0" w:color="000000"/>
              <w:right w:val="single" w:sz="4" w:space="0" w:color="000000"/>
            </w:tcBorders>
          </w:tcPr>
          <w:p w:rsidR="00B1176F" w:rsidRDefault="00B1176F">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B1176F">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B1176F" w:rsidRDefault="003C7641">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En caso de haber solicitado la ampliación del periodo de reserva originalmente establecido, </w:t>
            </w:r>
            <w:r>
              <w:rPr>
                <w:rFonts w:ascii="Palatino Linotype" w:eastAsia="Palatino Linotype" w:hAnsi="Palatino Linotype" w:cs="Palatino Linotype"/>
                <w:i/>
              </w:rPr>
              <w:lastRenderedPageBreak/>
              <w:t>se deberá anotar el número de años o meses por los que se amplía la reserva.</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B1176F" w:rsidRDefault="003C7641">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B1176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1176F" w:rsidRDefault="00B1176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1176F" w:rsidRDefault="003C7641">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B1176F" w:rsidRDefault="003C7641">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B1176F" w:rsidRDefault="00B1176F">
      <w:pPr>
        <w:spacing w:before="240" w:line="360" w:lineRule="auto"/>
        <w:ind w:right="51"/>
        <w:jc w:val="both"/>
        <w:rPr>
          <w:rFonts w:ascii="Palatino Linotype" w:eastAsia="Palatino Linotype" w:hAnsi="Palatino Linotype" w:cs="Palatino Linotype"/>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B1176F" w:rsidRDefault="00B1176F">
      <w:pPr>
        <w:spacing w:line="360" w:lineRule="auto"/>
        <w:jc w:val="both"/>
        <w:rPr>
          <w:rFonts w:ascii="Palatino Linotype" w:eastAsia="Palatino Linotype" w:hAnsi="Palatino Linotype" w:cs="Palatino Linotype"/>
        </w:rPr>
      </w:pPr>
    </w:p>
    <w:p w:rsidR="00B1176F" w:rsidRDefault="003C7641">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testar, suprimir o eliminar datos de dicho soporte documental, ya que no hacerlo implica que lo entregado no es legal ni formalmente una versión pública, sino más bien una documentación ilegible, incompleta o tachada; pues no señalar las razones </w:t>
      </w:r>
      <w:r>
        <w:rPr>
          <w:rFonts w:ascii="Palatino Linotype" w:eastAsia="Palatino Linotype" w:hAnsi="Palatino Linotype" w:cs="Palatino Linotype"/>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B1176F" w:rsidRDefault="00B1176F">
      <w:pPr>
        <w:shd w:val="clear" w:color="auto" w:fill="FFFFFF"/>
        <w:spacing w:line="360" w:lineRule="auto"/>
        <w:ind w:right="51"/>
        <w:jc w:val="both"/>
        <w:rPr>
          <w:rFonts w:ascii="Palatino Linotype" w:eastAsia="Palatino Linotype" w:hAnsi="Palatino Linotype" w:cs="Palatino Linotype"/>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B1176F" w:rsidRDefault="00B1176F">
      <w:pPr>
        <w:spacing w:line="360" w:lineRule="auto"/>
        <w:jc w:val="both"/>
        <w:rPr>
          <w:rFonts w:ascii="Palatino Linotype" w:eastAsia="Palatino Linotype" w:hAnsi="Palatino Linotype" w:cs="Palatino Linotype"/>
        </w:rPr>
      </w:pPr>
    </w:p>
    <w:p w:rsidR="00B1176F" w:rsidRDefault="003C76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noveno, trigésimo y trigésimo primero de la Constitución Política del Estado Libre y Soberano de México; 2, fracción II; 29, 36 fracciones I y II; 176, 178, 179, fracción VII, 181, 185 de la Ley de Transparencia y Acceso a la Información Pública del Estado de México y Municipios, este Pleno:</w:t>
      </w:r>
    </w:p>
    <w:p w:rsidR="00B1176F" w:rsidRDefault="00B1176F">
      <w:pPr>
        <w:spacing w:line="360" w:lineRule="auto"/>
        <w:jc w:val="both"/>
        <w:rPr>
          <w:rFonts w:ascii="Palatino Linotype" w:eastAsia="Palatino Linotype" w:hAnsi="Palatino Linotype" w:cs="Palatino Linotype"/>
        </w:rPr>
      </w:pPr>
    </w:p>
    <w:p w:rsidR="00B1176F" w:rsidRDefault="003C7641">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rsidR="00B1176F" w:rsidRDefault="00B1176F">
      <w:pPr>
        <w:spacing w:line="360" w:lineRule="auto"/>
        <w:jc w:val="center"/>
        <w:rPr>
          <w:rFonts w:ascii="Palatino Linotype" w:eastAsia="Palatino Linotype" w:hAnsi="Palatino Linotype" w:cs="Palatino Linotype"/>
          <w:b/>
        </w:rPr>
      </w:pPr>
    </w:p>
    <w:p w:rsidR="00B1176F" w:rsidRDefault="003C764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sidRPr="001E1084">
        <w:rPr>
          <w:rFonts w:ascii="Palatino Linotype" w:eastAsia="Palatino Linotype" w:hAnsi="Palatino Linotype" w:cs="Palatino Linotype"/>
          <w:b/>
        </w:rPr>
        <w:t>parcialmente 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lastRenderedPageBreak/>
        <w:t>03284/INFOEM/IP/RR/2022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sidR="001E1084">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B1176F" w:rsidRDefault="003C76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sidR="001E1084">
        <w:rPr>
          <w:rFonts w:ascii="Palatino Linotype" w:eastAsia="Palatino Linotype" w:hAnsi="Palatino Linotype" w:cs="Palatino Linotype"/>
          <w:b/>
        </w:rPr>
        <w:t>Sujeto Obligado</w:t>
      </w:r>
      <w:r w:rsidR="001E1084">
        <w:rPr>
          <w:rFonts w:ascii="Palatino Linotype" w:eastAsia="Palatino Linotype" w:hAnsi="Palatino Linotype" w:cs="Palatino Linotype"/>
        </w:rPr>
        <w:t xml:space="preserve">, a que, en términos de los </w:t>
      </w:r>
      <w:r w:rsidR="001E1084" w:rsidRPr="001E1084">
        <w:rPr>
          <w:rFonts w:ascii="Palatino Linotype" w:eastAsia="Palatino Linotype" w:hAnsi="Palatino Linotype" w:cs="Palatino Linotype"/>
          <w:b/>
        </w:rPr>
        <w:t>C</w:t>
      </w:r>
      <w:r w:rsidRPr="001E1084">
        <w:rPr>
          <w:rFonts w:ascii="Palatino Linotype" w:eastAsia="Palatino Linotype" w:hAnsi="Palatino Linotype" w:cs="Palatino Linotype"/>
          <w:b/>
        </w:rPr>
        <w:t>onsiderando</w:t>
      </w:r>
      <w:r w:rsidR="001E1084" w:rsidRPr="001E1084">
        <w:rPr>
          <w:rFonts w:ascii="Palatino Linotype" w:eastAsia="Palatino Linotype" w:hAnsi="Palatino Linotype" w:cs="Palatino Linotype"/>
          <w:b/>
        </w:rPr>
        <w:t>s</w:t>
      </w:r>
      <w:r w:rsidRPr="001E1084">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al </w:t>
      </w:r>
      <w:r w:rsidR="001E1084">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en versión pública de ser el caso, previa búsqueda exhaustiva y razonable, del documento o documentos en donde conste lo siguiente:</w:t>
      </w:r>
    </w:p>
    <w:p w:rsidR="00B1176F" w:rsidRPr="001E1084" w:rsidRDefault="003C7641" w:rsidP="001E1084">
      <w:pPr>
        <w:numPr>
          <w:ilvl w:val="0"/>
          <w:numId w:val="4"/>
        </w:numPr>
        <w:spacing w:line="360" w:lineRule="auto"/>
        <w:ind w:left="567" w:right="900" w:hanging="283"/>
        <w:jc w:val="both"/>
        <w:rPr>
          <w:rFonts w:ascii="Palatino Linotype" w:eastAsia="Palatino Linotype" w:hAnsi="Palatino Linotype" w:cs="Palatino Linotype"/>
          <w:b/>
          <w:i/>
        </w:rPr>
      </w:pPr>
      <w:bookmarkStart w:id="2" w:name="_heading=h.2et92p0" w:colFirst="0" w:colLast="0"/>
      <w:bookmarkEnd w:id="2"/>
      <w:r>
        <w:rPr>
          <w:rFonts w:ascii="Palatino Linotype" w:eastAsia="Palatino Linotype" w:hAnsi="Palatino Linotype" w:cs="Palatino Linotype"/>
          <w:i/>
          <w:sz w:val="22"/>
          <w:szCs w:val="22"/>
        </w:rPr>
        <w:t xml:space="preserve"> </w:t>
      </w:r>
      <w:r w:rsidRPr="001E1084">
        <w:rPr>
          <w:rFonts w:ascii="Palatino Linotype" w:eastAsia="Palatino Linotype" w:hAnsi="Palatino Linotype" w:cs="Palatino Linotype"/>
          <w:b/>
          <w:i/>
        </w:rPr>
        <w:t>En formato “PDF” o en el formato que haya generado o posea, los recibos emitidos por el concepto “jurídico”, correspondientes al día veinte de enero del año dos mil veintidós.</w:t>
      </w:r>
    </w:p>
    <w:p w:rsidR="00B1176F" w:rsidRDefault="003C7641">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mismo que igualmente hará de su conocimiento.</w:t>
      </w:r>
    </w:p>
    <w:p w:rsidR="00B1176F" w:rsidRDefault="00B1176F">
      <w:pPr>
        <w:spacing w:line="276" w:lineRule="auto"/>
        <w:ind w:left="567" w:right="900"/>
        <w:jc w:val="both"/>
        <w:rPr>
          <w:rFonts w:ascii="Palatino Linotype" w:eastAsia="Palatino Linotype" w:hAnsi="Palatino Linotype" w:cs="Palatino Linotype"/>
          <w:i/>
          <w:sz w:val="22"/>
          <w:szCs w:val="22"/>
        </w:rPr>
      </w:pPr>
    </w:p>
    <w:p w:rsidR="00B1176F" w:rsidRDefault="003C7641">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el caso de que una vez agotada la búsqueda exhaustiva y razonable de la información, se acredite no contar con la información que se ordena, deberá hacerlo del conocimiento de la parte Recurrente, de manera fundada y motivada en términos del segundo párrafo del  artículo 19 de la Ley de Transparencia local.</w:t>
      </w:r>
    </w:p>
    <w:p w:rsidR="00B1176F" w:rsidRDefault="00B1176F">
      <w:pPr>
        <w:spacing w:line="360" w:lineRule="auto"/>
        <w:jc w:val="both"/>
        <w:rPr>
          <w:rFonts w:ascii="Palatino Linotype" w:eastAsia="Palatino Linotype" w:hAnsi="Palatino Linotype" w:cs="Palatino Linotype"/>
        </w:rPr>
      </w:pPr>
    </w:p>
    <w:p w:rsidR="00B1176F" w:rsidRDefault="003C7641">
      <w:pPr>
        <w:tabs>
          <w:tab w:val="left" w:pos="5019"/>
        </w:tabs>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Tercero. Notifíquese vía SAIMEX</w:t>
      </w:r>
      <w:r>
        <w:rPr>
          <w:rFonts w:ascii="Palatino Linotype" w:eastAsia="Palatino Linotype" w:hAnsi="Palatino Linotype" w:cs="Palatino Linotype"/>
        </w:rPr>
        <w:t xml:space="preserve">, 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highlight w:val="white"/>
        </w:rPr>
        <w:t xml:space="preserve">, para que conforme a los artículos 186 último párrafo y 189 párrafo segundo de la Ley de Transparencia y Acceso a la Información Pública del Estado de México y Municipios, dé cumplimiento a lo ordenado dentro del plazo de </w:t>
      </w:r>
      <w:r>
        <w:rPr>
          <w:rFonts w:ascii="Palatino Linotype" w:eastAsia="Palatino Linotype" w:hAnsi="Palatino Linotype" w:cs="Palatino Linotype"/>
          <w:highlight w:val="white"/>
        </w:rPr>
        <w:lastRenderedPageBreak/>
        <w:t>diez días hábiles, debiendo informar a este Instituto en un plazo de tres días hábiles siguientes sobre el cumplimiento dado a la presente resolución.</w:t>
      </w:r>
    </w:p>
    <w:p w:rsidR="00B1176F" w:rsidRDefault="003C76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B1176F" w:rsidRDefault="003C7641">
      <w:pPr>
        <w:spacing w:after="240" w:line="360" w:lineRule="auto"/>
        <w:jc w:val="both"/>
        <w:rPr>
          <w:rFonts w:ascii="Palatino Linotype" w:eastAsia="Palatino Linotype" w:hAnsi="Palatino Linotype" w:cs="Palatino Linotype"/>
          <w:b/>
        </w:rPr>
      </w:pPr>
      <w:bookmarkStart w:id="3" w:name="_heading=h.30j0zll" w:colFirst="0" w:colLast="0"/>
      <w:bookmarkStart w:id="4" w:name="_GoBack"/>
      <w:bookmarkEnd w:id="3"/>
      <w:bookmarkEnd w:id="4"/>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B1176F" w:rsidRDefault="003C7641">
      <w:pPr>
        <w:spacing w:before="240" w:after="240" w:line="360" w:lineRule="auto"/>
        <w:jc w:val="both"/>
        <w:rPr>
          <w:rFonts w:ascii="Palatino Linotype" w:eastAsia="Palatino Linotype" w:hAnsi="Palatino Linotype" w:cs="Palatino Linotype"/>
        </w:rPr>
        <w:sectPr w:rsidR="00B1176F">
          <w:headerReference w:type="default" r:id="rId13"/>
          <w:footerReference w:type="default" r:id="rId14"/>
          <w:headerReference w:type="first" r:id="rId15"/>
          <w:footerReference w:type="first" r:id="rId16"/>
          <w:pgSz w:w="12240" w:h="15840"/>
          <w:pgMar w:top="1417" w:right="1701" w:bottom="1417" w:left="1701" w:header="709" w:footer="709" w:gutter="0"/>
          <w:pgNumType w:start="1"/>
          <w:cols w:space="720"/>
          <w:titlePg/>
        </w:sectPr>
      </w:pPr>
      <w:bookmarkStart w:id="5" w:name="_heading=h.gjdgxs" w:colFirst="0" w:colLast="0"/>
      <w:bookmarkEnd w:id="5"/>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w:t>
      </w:r>
      <w:r>
        <w:rPr>
          <w:rFonts w:ascii="Palatino Linotype" w:eastAsia="Palatino Linotype" w:hAnsi="Palatino Linotype" w:cs="Palatino Linotype"/>
        </w:rPr>
        <w:t xml:space="preserve"> DE JUNIO DE DOS MIL VEINTIDÓS, ANTE EL SECRETARIO TÉCNICO DEL PLENO ALEXIS TAPIA RAMÍREZ.</w:t>
      </w:r>
    </w:p>
    <w:p w:rsidR="00B1176F" w:rsidRDefault="00B1176F">
      <w:pPr>
        <w:spacing w:before="240" w:after="240" w:line="360" w:lineRule="auto"/>
        <w:jc w:val="both"/>
        <w:rPr>
          <w:rFonts w:ascii="Palatino Linotype" w:eastAsia="Palatino Linotype" w:hAnsi="Palatino Linotype" w:cs="Palatino Linotype"/>
        </w:rPr>
      </w:pPr>
    </w:p>
    <w:p w:rsidR="00B1176F" w:rsidRDefault="00B1176F">
      <w:pPr>
        <w:spacing w:before="240" w:after="240" w:line="360" w:lineRule="auto"/>
        <w:jc w:val="both"/>
        <w:rPr>
          <w:rFonts w:ascii="Palatino Linotype" w:eastAsia="Palatino Linotype" w:hAnsi="Palatino Linotype" w:cs="Palatino Linotype"/>
        </w:rPr>
      </w:pPr>
    </w:p>
    <w:p w:rsidR="00B1176F" w:rsidRDefault="00B1176F">
      <w:pPr>
        <w:spacing w:before="240" w:after="240" w:line="360" w:lineRule="auto"/>
        <w:jc w:val="both"/>
        <w:rPr>
          <w:rFonts w:ascii="Palatino Linotype" w:eastAsia="Palatino Linotype" w:hAnsi="Palatino Linotype" w:cs="Palatino Linotype"/>
        </w:rPr>
      </w:pPr>
    </w:p>
    <w:sectPr w:rsidR="00B1176F">
      <w:headerReference w:type="first" r:id="rId17"/>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DE3" w:rsidRDefault="00220DE3">
      <w:r>
        <w:separator/>
      </w:r>
    </w:p>
  </w:endnote>
  <w:endnote w:type="continuationSeparator" w:id="0">
    <w:p w:rsidR="00220DE3" w:rsidRDefault="00220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76F" w:rsidRDefault="003C764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07226">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07226">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rsidR="00B1176F" w:rsidRDefault="00B1176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76F" w:rsidRDefault="003C764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07226">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07226">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rsidR="00B1176F" w:rsidRDefault="00B1176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DE3" w:rsidRDefault="00220DE3">
      <w:r>
        <w:separator/>
      </w:r>
    </w:p>
  </w:footnote>
  <w:footnote w:type="continuationSeparator" w:id="0">
    <w:p w:rsidR="00220DE3" w:rsidRDefault="00220DE3">
      <w:r>
        <w:continuationSeparator/>
      </w:r>
    </w:p>
  </w:footnote>
  <w:footnote w:id="1">
    <w:p w:rsidR="00B1176F" w:rsidRDefault="003C76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B1176F" w:rsidRDefault="003C764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76F" w:rsidRDefault="003C7641">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-665857</wp:posOffset>
          </wp:positionH>
          <wp:positionV relativeFrom="paragraph">
            <wp:posOffset>-453612</wp:posOffset>
          </wp:positionV>
          <wp:extent cx="7635600" cy="9943200"/>
          <wp:effectExtent l="0" t="0" r="0" b="0"/>
          <wp:wrapNone/>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5670" w:type="dxa"/>
      <w:tblInd w:w="3119" w:type="dxa"/>
      <w:tblLayout w:type="fixed"/>
      <w:tblLook w:val="0400" w:firstRow="0" w:lastRow="0" w:firstColumn="0" w:lastColumn="0" w:noHBand="0" w:noVBand="1"/>
    </w:tblPr>
    <w:tblGrid>
      <w:gridCol w:w="2551"/>
      <w:gridCol w:w="3119"/>
    </w:tblGrid>
    <w:tr w:rsidR="00B1176F">
      <w:tc>
        <w:tcPr>
          <w:tcW w:w="2551" w:type="dxa"/>
          <w:vAlign w:val="center"/>
        </w:tcPr>
        <w:p w:rsidR="00B1176F" w:rsidRDefault="003C76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B1176F" w:rsidRDefault="003C764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03284/INFOEM/IP/RR/2022. </w:t>
          </w:r>
        </w:p>
      </w:tc>
    </w:tr>
    <w:tr w:rsidR="00B1176F">
      <w:trPr>
        <w:trHeight w:val="228"/>
      </w:trPr>
      <w:tc>
        <w:tcPr>
          <w:tcW w:w="2551" w:type="dxa"/>
          <w:vAlign w:val="center"/>
        </w:tcPr>
        <w:p w:rsidR="00B1176F" w:rsidRDefault="003C76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B1176F" w:rsidRDefault="003C764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B1176F">
      <w:tc>
        <w:tcPr>
          <w:tcW w:w="2551" w:type="dxa"/>
          <w:vAlign w:val="center"/>
        </w:tcPr>
        <w:p w:rsidR="00B1176F" w:rsidRDefault="003C76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B1176F" w:rsidRDefault="003C764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1176F" w:rsidRDefault="00B1176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76F" w:rsidRDefault="003C7641">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-680310</wp:posOffset>
          </wp:positionH>
          <wp:positionV relativeFrom="paragraph">
            <wp:posOffset>-168881</wp:posOffset>
          </wp:positionV>
          <wp:extent cx="7635600" cy="9943200"/>
          <wp:effectExtent l="0" t="0" r="0" b="0"/>
          <wp:wrapNone/>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7229" w:type="dxa"/>
      <w:tblInd w:w="3119" w:type="dxa"/>
      <w:tblLayout w:type="fixed"/>
      <w:tblLook w:val="0400" w:firstRow="0" w:lastRow="0" w:firstColumn="0" w:lastColumn="0" w:noHBand="0" w:noVBand="1"/>
    </w:tblPr>
    <w:tblGrid>
      <w:gridCol w:w="2551"/>
      <w:gridCol w:w="4678"/>
    </w:tblGrid>
    <w:tr w:rsidR="00B1176F">
      <w:tc>
        <w:tcPr>
          <w:tcW w:w="2551" w:type="dxa"/>
          <w:vAlign w:val="center"/>
        </w:tcPr>
        <w:p w:rsidR="00B1176F" w:rsidRDefault="003C76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78" w:type="dxa"/>
          <w:vAlign w:val="center"/>
        </w:tcPr>
        <w:p w:rsidR="00B1176F" w:rsidRDefault="003C764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03284/INFOEM/IP/RR/2022. </w:t>
          </w:r>
        </w:p>
      </w:tc>
    </w:tr>
    <w:tr w:rsidR="00B1176F">
      <w:tc>
        <w:tcPr>
          <w:tcW w:w="2551" w:type="dxa"/>
          <w:vAlign w:val="center"/>
        </w:tcPr>
        <w:p w:rsidR="00B1176F" w:rsidRDefault="003C764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678" w:type="dxa"/>
          <w:vAlign w:val="center"/>
        </w:tcPr>
        <w:p w:rsidR="00B1176F" w:rsidRDefault="00B1176F">
          <w:pPr>
            <w:jc w:val="both"/>
            <w:rPr>
              <w:rFonts w:ascii="Palatino Linotype" w:eastAsia="Palatino Linotype" w:hAnsi="Palatino Linotype" w:cs="Palatino Linotype"/>
              <w:b/>
              <w:sz w:val="22"/>
              <w:szCs w:val="22"/>
            </w:rPr>
          </w:pPr>
        </w:p>
      </w:tc>
    </w:tr>
    <w:tr w:rsidR="00B1176F">
      <w:trPr>
        <w:trHeight w:val="228"/>
      </w:trPr>
      <w:tc>
        <w:tcPr>
          <w:tcW w:w="2551" w:type="dxa"/>
          <w:vAlign w:val="center"/>
        </w:tcPr>
        <w:p w:rsidR="00B1176F" w:rsidRDefault="003C76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78" w:type="dxa"/>
          <w:vAlign w:val="center"/>
        </w:tcPr>
        <w:p w:rsidR="00B1176F" w:rsidRDefault="003C764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Sistema Municipal Para el </w:t>
          </w:r>
        </w:p>
        <w:p w:rsidR="00B1176F" w:rsidRDefault="003C764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Desarrollo Integral de la </w:t>
          </w:r>
        </w:p>
        <w:p w:rsidR="00B1176F" w:rsidRDefault="003C764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Familia de Metepec.</w:t>
          </w:r>
        </w:p>
      </w:tc>
    </w:tr>
    <w:tr w:rsidR="00B1176F">
      <w:tc>
        <w:tcPr>
          <w:tcW w:w="2551" w:type="dxa"/>
          <w:vAlign w:val="center"/>
        </w:tcPr>
        <w:p w:rsidR="00B1176F" w:rsidRDefault="003C76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78" w:type="dxa"/>
          <w:vAlign w:val="center"/>
        </w:tcPr>
        <w:p w:rsidR="00B1176F" w:rsidRDefault="003C764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1176F" w:rsidRDefault="00B1176F">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76F" w:rsidRDefault="00B1176F">
    <w:pPr>
      <w:pBdr>
        <w:top w:val="nil"/>
        <w:left w:val="nil"/>
        <w:bottom w:val="nil"/>
        <w:right w:val="nil"/>
        <w:between w:val="nil"/>
      </w:pBdr>
      <w:tabs>
        <w:tab w:val="center" w:pos="4419"/>
        <w:tab w:val="right" w:pos="8838"/>
      </w:tabs>
      <w:jc w:val="both"/>
      <w:rPr>
        <w:color w:val="000000"/>
      </w:rPr>
    </w:pPr>
  </w:p>
  <w:p w:rsidR="00B1176F" w:rsidRDefault="00B1176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F2FFA"/>
    <w:multiLevelType w:val="multilevel"/>
    <w:tmpl w:val="7A2EB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8F1B5A"/>
    <w:multiLevelType w:val="multilevel"/>
    <w:tmpl w:val="184C7A2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0A66E8"/>
    <w:multiLevelType w:val="multilevel"/>
    <w:tmpl w:val="3A180158"/>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6965A4"/>
    <w:multiLevelType w:val="multilevel"/>
    <w:tmpl w:val="375C4B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B620C0"/>
    <w:multiLevelType w:val="multilevel"/>
    <w:tmpl w:val="2900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6F"/>
    <w:rsid w:val="000B5C6F"/>
    <w:rsid w:val="001E1084"/>
    <w:rsid w:val="00220DE3"/>
    <w:rsid w:val="003C7641"/>
    <w:rsid w:val="00B07226"/>
    <w:rsid w:val="00B1176F"/>
    <w:rsid w:val="00EC7C54"/>
    <w:rsid w:val="00F97C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D4735C-920A-4F8F-BFA7-5D76A8FC9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paragraph" w:customStyle="1" w:styleId="Listavistosa-nfasis11">
    <w:name w:val="Lista vistosa - Énfasis 11"/>
    <w:basedOn w:val="Normal"/>
    <w:link w:val="Listavistosa-nfasis1Car"/>
    <w:uiPriority w:val="34"/>
    <w:qFormat/>
    <w:rsid w:val="001B10D5"/>
    <w:pPr>
      <w:ind w:left="708"/>
    </w:pPr>
  </w:style>
  <w:style w:type="character" w:customStyle="1" w:styleId="Listavistosa-nfasis1Car">
    <w:name w:val="Lista vistosa - Énfasis 1 Car"/>
    <w:link w:val="Listavistosa-nfasis11"/>
    <w:uiPriority w:val="34"/>
    <w:locked/>
    <w:rsid w:val="001B10D5"/>
    <w:rPr>
      <w:lang w:eastAsia="es-ES"/>
    </w:rPr>
  </w:style>
  <w:style w:type="paragraph" w:customStyle="1" w:styleId="Texto">
    <w:name w:val="Texto"/>
    <w:basedOn w:val="Normal"/>
    <w:link w:val="TextoCar"/>
    <w:rsid w:val="001B10D5"/>
    <w:pPr>
      <w:spacing w:after="101" w:line="216" w:lineRule="exact"/>
      <w:ind w:firstLine="288"/>
      <w:jc w:val="both"/>
    </w:pPr>
    <w:rPr>
      <w:rFonts w:ascii="Arial" w:hAnsi="Arial" w:cs="Arial"/>
      <w:sz w:val="18"/>
      <w:szCs w:val="18"/>
      <w:lang w:val="es-MX"/>
    </w:rPr>
  </w:style>
  <w:style w:type="paragraph" w:styleId="Textoindependiente2">
    <w:name w:val="Body Text 2"/>
    <w:basedOn w:val="Normal"/>
    <w:link w:val="Textoindependiente2Car"/>
    <w:uiPriority w:val="99"/>
    <w:unhideWhenUsed/>
    <w:rsid w:val="001B10D5"/>
    <w:pPr>
      <w:spacing w:after="120" w:line="480" w:lineRule="auto"/>
    </w:pPr>
  </w:style>
  <w:style w:type="character" w:customStyle="1" w:styleId="Textoindependiente2Car">
    <w:name w:val="Texto independiente 2 Car"/>
    <w:basedOn w:val="Fuentedeprrafopredeter"/>
    <w:link w:val="Textoindependiente2"/>
    <w:uiPriority w:val="99"/>
    <w:rsid w:val="001B10D5"/>
    <w:rPr>
      <w:lang w:eastAsia="es-ES"/>
    </w:rPr>
  </w:style>
  <w:style w:type="paragraph" w:styleId="Textosinformato">
    <w:name w:val="Plain Text"/>
    <w:basedOn w:val="Normal"/>
    <w:link w:val="TextosinformatoCar"/>
    <w:rsid w:val="001B10D5"/>
    <w:rPr>
      <w:rFonts w:ascii="Courier New" w:hAnsi="Courier New"/>
      <w:sz w:val="20"/>
      <w:szCs w:val="20"/>
    </w:rPr>
  </w:style>
  <w:style w:type="character" w:customStyle="1" w:styleId="TextosinformatoCar">
    <w:name w:val="Texto sin formato Car"/>
    <w:basedOn w:val="Fuentedeprrafopredeter"/>
    <w:link w:val="Textosinformato"/>
    <w:rsid w:val="001B10D5"/>
    <w:rPr>
      <w:rFonts w:ascii="Courier New" w:hAnsi="Courier New"/>
      <w:sz w:val="20"/>
      <w:szCs w:val="20"/>
      <w:lang w:eastAsia="es-ES"/>
    </w:rPr>
  </w:style>
  <w:style w:type="character" w:customStyle="1" w:styleId="negritas1">
    <w:name w:val="negritas1"/>
    <w:rsid w:val="001B10D5"/>
    <w:rPr>
      <w:rFonts w:ascii="Arial" w:hAnsi="Arial" w:cs="Arial" w:hint="default"/>
      <w:b/>
      <w:bCs/>
      <w:sz w:val="18"/>
      <w:szCs w:val="18"/>
    </w:rPr>
  </w:style>
  <w:style w:type="paragraph" w:customStyle="1" w:styleId="Pa2">
    <w:name w:val="Pa2"/>
    <w:basedOn w:val="Normal"/>
    <w:next w:val="Normal"/>
    <w:uiPriority w:val="99"/>
    <w:rsid w:val="001B10D5"/>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1B10D5"/>
    <w:pPr>
      <w:spacing w:before="100" w:beforeAutospacing="1" w:after="100" w:afterAutospacing="1"/>
    </w:pPr>
    <w:rPr>
      <w:lang w:val="es-MX" w:eastAsia="es-MX"/>
    </w:rPr>
  </w:style>
  <w:style w:type="character" w:customStyle="1" w:styleId="d">
    <w:name w:val="d"/>
    <w:basedOn w:val="Fuentedeprrafopredeter"/>
    <w:rsid w:val="001B10D5"/>
  </w:style>
  <w:style w:type="character" w:customStyle="1" w:styleId="b">
    <w:name w:val="b"/>
    <w:basedOn w:val="Fuentedeprrafopredeter"/>
    <w:rsid w:val="001B10D5"/>
  </w:style>
  <w:style w:type="character" w:customStyle="1" w:styleId="k">
    <w:name w:val="k"/>
    <w:basedOn w:val="Fuentedeprrafopredeter"/>
    <w:rsid w:val="001B10D5"/>
  </w:style>
  <w:style w:type="character" w:customStyle="1" w:styleId="h">
    <w:name w:val="h"/>
    <w:basedOn w:val="Fuentedeprrafopredeter"/>
    <w:rsid w:val="001B10D5"/>
  </w:style>
  <w:style w:type="character" w:styleId="CitaHTML">
    <w:name w:val="HTML Cite"/>
    <w:uiPriority w:val="99"/>
    <w:semiHidden/>
    <w:unhideWhenUsed/>
    <w:rsid w:val="001B10D5"/>
    <w:rPr>
      <w:i/>
      <w:iCs/>
    </w:rPr>
  </w:style>
  <w:style w:type="character" w:customStyle="1" w:styleId="medium">
    <w:name w:val="medium"/>
    <w:basedOn w:val="Fuentedeprrafopredeter"/>
    <w:rsid w:val="001B10D5"/>
  </w:style>
  <w:style w:type="character" w:customStyle="1" w:styleId="numeroconsecutivo">
    <w:name w:val="numeroconsecutivo"/>
    <w:basedOn w:val="Fuentedeprrafopredeter"/>
    <w:rsid w:val="001B10D5"/>
  </w:style>
  <w:style w:type="character" w:customStyle="1" w:styleId="titulorubrolgt">
    <w:name w:val="titulorubrolgt"/>
    <w:basedOn w:val="Fuentedeprrafopredeter"/>
    <w:rsid w:val="001B10D5"/>
  </w:style>
  <w:style w:type="character" w:customStyle="1" w:styleId="ctr">
    <w:name w:val="ctr"/>
    <w:basedOn w:val="Fuentedeprrafopredeter"/>
    <w:rsid w:val="001B10D5"/>
  </w:style>
  <w:style w:type="paragraph" w:styleId="Textonotaalfinal">
    <w:name w:val="endnote text"/>
    <w:basedOn w:val="Normal"/>
    <w:link w:val="TextonotaalfinalCar"/>
    <w:uiPriority w:val="99"/>
    <w:semiHidden/>
    <w:unhideWhenUsed/>
    <w:rsid w:val="001B10D5"/>
    <w:rPr>
      <w:sz w:val="20"/>
      <w:szCs w:val="20"/>
    </w:rPr>
  </w:style>
  <w:style w:type="character" w:customStyle="1" w:styleId="TextonotaalfinalCar">
    <w:name w:val="Texto nota al final Car"/>
    <w:basedOn w:val="Fuentedeprrafopredeter"/>
    <w:link w:val="Textonotaalfinal"/>
    <w:uiPriority w:val="99"/>
    <w:semiHidden/>
    <w:rsid w:val="001B10D5"/>
    <w:rPr>
      <w:sz w:val="20"/>
      <w:szCs w:val="20"/>
      <w:lang w:eastAsia="es-ES"/>
    </w:rPr>
  </w:style>
  <w:style w:type="character" w:styleId="Refdenotaalfinal">
    <w:name w:val="endnote reference"/>
    <w:basedOn w:val="Fuentedeprrafopredeter"/>
    <w:uiPriority w:val="99"/>
    <w:semiHidden/>
    <w:unhideWhenUsed/>
    <w:rsid w:val="001B10D5"/>
    <w:rPr>
      <w:vertAlign w:val="superscript"/>
    </w:rPr>
  </w:style>
  <w:style w:type="character" w:customStyle="1" w:styleId="A10">
    <w:name w:val="A1"/>
    <w:uiPriority w:val="99"/>
    <w:rsid w:val="001B10D5"/>
    <w:rPr>
      <w:rFonts w:ascii="Myriad Pro" w:hAnsi="Myriad Pro" w:cs="Myriad Pro" w:hint="default"/>
      <w:color w:val="000000"/>
      <w:sz w:val="22"/>
      <w:szCs w:val="22"/>
    </w:rPr>
  </w:style>
  <w:style w:type="paragraph" w:customStyle="1" w:styleId="Pa9">
    <w:name w:val="Pa9"/>
    <w:basedOn w:val="Normal"/>
    <w:next w:val="Normal"/>
    <w:uiPriority w:val="99"/>
    <w:rsid w:val="001B10D5"/>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1B10D5"/>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1B10D5"/>
    <w:pPr>
      <w:spacing w:before="100" w:beforeAutospacing="1" w:after="100" w:afterAutospacing="1"/>
    </w:pPr>
    <w:rPr>
      <w:lang w:val="es-MX" w:eastAsia="es-MX"/>
    </w:rPr>
  </w:style>
  <w:style w:type="character" w:customStyle="1" w:styleId="nombrefraccder">
    <w:name w:val="nombrefraccder"/>
    <w:basedOn w:val="Fuentedeprrafopredeter"/>
    <w:rsid w:val="001B10D5"/>
  </w:style>
  <w:style w:type="character" w:customStyle="1" w:styleId="numberfraccder">
    <w:name w:val="numberfraccder"/>
    <w:basedOn w:val="Fuentedeprrafopredeter"/>
    <w:rsid w:val="001B10D5"/>
  </w:style>
  <w:style w:type="character" w:customStyle="1" w:styleId="TextoCar">
    <w:name w:val="Texto Car"/>
    <w:link w:val="Texto"/>
    <w:locked/>
    <w:rsid w:val="001B10D5"/>
    <w:rPr>
      <w:rFonts w:ascii="Arial" w:hAnsi="Arial" w:cs="Arial"/>
      <w:sz w:val="18"/>
      <w:szCs w:val="18"/>
      <w:lang w:val="es-MX" w:eastAsia="es-ES"/>
    </w:rPr>
  </w:style>
  <w:style w:type="character" w:styleId="nfasis">
    <w:name w:val="Emphasis"/>
    <w:basedOn w:val="Fuentedeprrafopredeter"/>
    <w:uiPriority w:val="20"/>
    <w:qFormat/>
    <w:rsid w:val="001B10D5"/>
    <w:rPr>
      <w:i/>
      <w:iCs/>
    </w:rPr>
  </w:style>
  <w:style w:type="character" w:customStyle="1" w:styleId="m5127500252372250437gmail-normaltextrun">
    <w:name w:val="m_5127500252372250437gmail-normaltextrun"/>
    <w:basedOn w:val="Fuentedeprrafopredeter"/>
    <w:rsid w:val="001B10D5"/>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EOeQhAMKD0ZiTYZByMMV+AI+vw==">AMUW2mWr1xRzXPcDciuhdpetqn2mBPu6bSwIoHoF/e53uAEHDVELmSzIvN+PKB9zdJPpAzdjcIXocsOVzU1q5vAOkAUCThh6Dd9Rl9dQVNurBL8QJmfwnvQHyDqL729nEvKAKIURfVrW86XTNxckNX9twGzTzld38e49+g+CPNLAkaIzoyTmTUm5nxn/PQyHYDGXOGsmGFBD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10960</Words>
  <Characters>60285</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Infoem-User</cp:lastModifiedBy>
  <cp:revision>4</cp:revision>
  <cp:lastPrinted>2022-06-09T16:44:00Z</cp:lastPrinted>
  <dcterms:created xsi:type="dcterms:W3CDTF">2022-06-08T23:44:00Z</dcterms:created>
  <dcterms:modified xsi:type="dcterms:W3CDTF">2022-06-09T16:44:00Z</dcterms:modified>
</cp:coreProperties>
</file>