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4508F"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doce de enero de dos mil veintidós. </w:t>
      </w:r>
    </w:p>
    <w:p w14:paraId="30A33F10" w14:textId="37BC7B7D"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05109/INFOEM/IP/RR/2021</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proofErr w:type="spellStart"/>
      <w:r w:rsidR="00342CAA" w:rsidRPr="00342CAA">
        <w:rPr>
          <w:rFonts w:ascii="Palatino Linotype" w:eastAsia="Palatino Linotype" w:hAnsi="Palatino Linotype" w:cs="Palatino Linotype"/>
          <w:b/>
          <w:sz w:val="22"/>
          <w:szCs w:val="22"/>
        </w:rPr>
        <w:t>Xxxxx</w:t>
      </w:r>
      <w:proofErr w:type="spellEnd"/>
      <w:r w:rsidR="00342CAA" w:rsidRPr="00342CAA">
        <w:rPr>
          <w:rFonts w:ascii="Palatino Linotype" w:eastAsia="Palatino Linotype" w:hAnsi="Palatino Linotype" w:cs="Palatino Linotype"/>
          <w:b/>
          <w:sz w:val="22"/>
          <w:szCs w:val="22"/>
        </w:rPr>
        <w:t xml:space="preserve"> </w:t>
      </w:r>
      <w:proofErr w:type="spellStart"/>
      <w:r w:rsidR="00342CAA" w:rsidRPr="00342CAA">
        <w:rPr>
          <w:rFonts w:ascii="Palatino Linotype" w:eastAsia="Palatino Linotype" w:hAnsi="Palatino Linotype" w:cs="Palatino Linotype"/>
          <w:b/>
          <w:sz w:val="22"/>
          <w:szCs w:val="22"/>
        </w:rPr>
        <w:t>Xxxxx</w:t>
      </w:r>
      <w:proofErr w:type="spellEnd"/>
      <w:r w:rsidR="00342CAA" w:rsidRPr="00342CAA">
        <w:rPr>
          <w:rFonts w:ascii="Palatino Linotype" w:eastAsia="Palatino Linotype" w:hAnsi="Palatino Linotype" w:cs="Palatino Linotype"/>
          <w:b/>
          <w:sz w:val="22"/>
          <w:szCs w:val="22"/>
        </w:rPr>
        <w:t xml:space="preserve"> </w:t>
      </w:r>
      <w:proofErr w:type="spellStart"/>
      <w:r w:rsidR="00342CAA" w:rsidRPr="00342CAA">
        <w:rPr>
          <w:rFonts w:ascii="Palatino Linotype" w:eastAsia="Palatino Linotype" w:hAnsi="Palatino Linotype" w:cs="Palatino Linotype"/>
          <w:b/>
          <w:sz w:val="22"/>
          <w:szCs w:val="22"/>
        </w:rPr>
        <w:t>Xxxxxx</w:t>
      </w:r>
      <w:proofErr w:type="spellEnd"/>
      <w:r w:rsidR="00342CAA" w:rsidRPr="00342CAA">
        <w:rPr>
          <w:rFonts w:ascii="Palatino Linotype" w:eastAsia="Palatino Linotype" w:hAnsi="Palatino Linotype" w:cs="Palatino Linotype"/>
          <w:b/>
          <w:sz w:val="22"/>
          <w:szCs w:val="22"/>
        </w:rPr>
        <w:t xml:space="preserve"> </w:t>
      </w:r>
      <w:proofErr w:type="spellStart"/>
      <w:r w:rsidR="00342CAA" w:rsidRPr="00342CAA">
        <w:rPr>
          <w:rFonts w:ascii="Palatino Linotype" w:eastAsia="Palatino Linotype" w:hAnsi="Palatino Linotype" w:cs="Palatino Linotype"/>
          <w:b/>
          <w:sz w:val="22"/>
          <w:szCs w:val="22"/>
        </w:rPr>
        <w:t>Xxxxxxx</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Jaltenco,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01B71CBC" w14:textId="77777777" w:rsidR="00B16D10" w:rsidRDefault="004B6999">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68D61C8E"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 xml:space="preserve">veintiuno de septiembre de dos </w:t>
      </w:r>
      <w:proofErr w:type="gramStart"/>
      <w:r>
        <w:rPr>
          <w:rFonts w:ascii="Palatino Linotype" w:eastAsia="Palatino Linotype" w:hAnsi="Palatino Linotype" w:cs="Palatino Linotype"/>
          <w:b/>
        </w:rPr>
        <w:t>mil veintiuno</w:t>
      </w:r>
      <w:proofErr w:type="gramEnd"/>
      <w:r>
        <w:rPr>
          <w:rFonts w:ascii="Palatino Linotype" w:eastAsia="Palatino Linotype" w:hAnsi="Palatino Linotype" w:cs="Palatino Linotype"/>
          <w:b/>
        </w:rPr>
        <w:t>,</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00140/JALTENCO/IP/2021, </w:t>
      </w:r>
      <w:r>
        <w:rPr>
          <w:rFonts w:ascii="Palatino Linotype" w:eastAsia="Palatino Linotype" w:hAnsi="Palatino Linotype" w:cs="Palatino Linotype"/>
        </w:rPr>
        <w:t xml:space="preserve">mediante la cual requirió la información siguiente: </w:t>
      </w:r>
    </w:p>
    <w:p w14:paraId="79125FA2" w14:textId="77777777" w:rsidR="00B16D10" w:rsidRDefault="004B6999">
      <w:pPr>
        <w:ind w:left="851" w:right="902"/>
        <w:jc w:val="both"/>
        <w:rPr>
          <w:rFonts w:ascii="Palatino Linotype" w:eastAsia="Palatino Linotype" w:hAnsi="Palatino Linotype" w:cs="Palatino Linotype"/>
          <w:b/>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“Requiero se me entreguen todas las sesiones de comité de </w:t>
      </w:r>
      <w:proofErr w:type="spellStart"/>
      <w:r>
        <w:rPr>
          <w:rFonts w:ascii="Palatino Linotype" w:eastAsia="Palatino Linotype" w:hAnsi="Palatino Linotype" w:cs="Palatino Linotype"/>
          <w:i/>
          <w:sz w:val="22"/>
          <w:szCs w:val="22"/>
        </w:rPr>
        <w:t>planeacion</w:t>
      </w:r>
      <w:proofErr w:type="spellEnd"/>
      <w:r>
        <w:rPr>
          <w:rFonts w:ascii="Palatino Linotype" w:eastAsia="Palatino Linotype" w:hAnsi="Palatino Linotype" w:cs="Palatino Linotype"/>
          <w:i/>
          <w:sz w:val="22"/>
          <w:szCs w:val="22"/>
        </w:rPr>
        <w:t xml:space="preserve"> celebradas durante los años 2021, 2020 y 2019, así como las del comité de </w:t>
      </w:r>
      <w:proofErr w:type="spellStart"/>
      <w:r>
        <w:rPr>
          <w:rFonts w:ascii="Palatino Linotype" w:eastAsia="Palatino Linotype" w:hAnsi="Palatino Linotype" w:cs="Palatino Linotype"/>
          <w:i/>
          <w:sz w:val="22"/>
          <w:szCs w:val="22"/>
        </w:rPr>
        <w:t>Tranparencia</w:t>
      </w:r>
      <w:proofErr w:type="spellEnd"/>
      <w:r>
        <w:rPr>
          <w:rFonts w:ascii="Palatino Linotype" w:eastAsia="Palatino Linotype" w:hAnsi="Palatino Linotype" w:cs="Palatino Linotype"/>
          <w:i/>
          <w:sz w:val="22"/>
          <w:szCs w:val="22"/>
        </w:rPr>
        <w:t xml:space="preserve"> y gobierno digital. En formatos abiertos y a través del sistema </w:t>
      </w:r>
      <w:proofErr w:type="spellStart"/>
      <w:r>
        <w:rPr>
          <w:rFonts w:ascii="Palatino Linotype" w:eastAsia="Palatino Linotype" w:hAnsi="Palatino Linotype" w:cs="Palatino Linotype"/>
          <w:i/>
          <w:sz w:val="22"/>
          <w:szCs w:val="22"/>
        </w:rPr>
        <w:t>saimex</w:t>
      </w:r>
      <w:proofErr w:type="spellEnd"/>
      <w:r>
        <w:rPr>
          <w:rFonts w:ascii="Palatino Linotype" w:eastAsia="Palatino Linotype" w:hAnsi="Palatino Linotype" w:cs="Palatino Linotype"/>
          <w:i/>
          <w:sz w:val="22"/>
          <w:szCs w:val="22"/>
        </w:rPr>
        <w:t>.” (sic)</w:t>
      </w:r>
    </w:p>
    <w:p w14:paraId="50EBB7D8" w14:textId="77777777" w:rsidR="00B16D10" w:rsidRDefault="00B16D10">
      <w:pPr>
        <w:spacing w:line="360" w:lineRule="auto"/>
        <w:ind w:right="900"/>
        <w:jc w:val="both"/>
        <w:rPr>
          <w:rFonts w:ascii="Palatino Linotype" w:eastAsia="Palatino Linotype" w:hAnsi="Palatino Linotype" w:cs="Palatino Linotype"/>
        </w:rPr>
      </w:pPr>
    </w:p>
    <w:p w14:paraId="7DF8CC2E" w14:textId="77777777" w:rsidR="00B16D10" w:rsidRDefault="004B6999">
      <w:pPr>
        <w:spacing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14:paraId="4CBE046F"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30BCFCC1" w14:textId="77777777" w:rsidR="00B16D10" w:rsidRDefault="004B699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veintinueve de septiembre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D393734" w14:textId="77777777" w:rsidR="00B16D10" w:rsidRDefault="004B6999">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da </w:t>
      </w:r>
      <w:proofErr w:type="spellStart"/>
      <w:r>
        <w:rPr>
          <w:rFonts w:ascii="Palatino Linotype" w:eastAsia="Palatino Linotype" w:hAnsi="Palatino Linotype" w:cs="Palatino Linotype"/>
          <w:i/>
          <w:sz w:val="22"/>
          <w:szCs w:val="22"/>
        </w:rPr>
        <w:t>atencion</w:t>
      </w:r>
      <w:proofErr w:type="spellEnd"/>
      <w:r>
        <w:rPr>
          <w:rFonts w:ascii="Palatino Linotype" w:eastAsia="Palatino Linotype" w:hAnsi="Palatino Linotype" w:cs="Palatino Linotype"/>
          <w:i/>
          <w:sz w:val="22"/>
          <w:szCs w:val="22"/>
        </w:rPr>
        <w:t xml:space="preserve"> a solicitud 00140/2021...” (sic)</w:t>
      </w:r>
    </w:p>
    <w:p w14:paraId="77079D7B" w14:textId="77777777" w:rsidR="00B16D10" w:rsidRDefault="004B6999">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el archivo “</w:t>
      </w:r>
      <w:r>
        <w:rPr>
          <w:rFonts w:ascii="Palatino Linotype" w:eastAsia="Palatino Linotype" w:hAnsi="Palatino Linotype" w:cs="Palatino Linotype"/>
          <w:i/>
        </w:rPr>
        <w:t>Solic_00140_2021.pdf”</w:t>
      </w:r>
      <w:r>
        <w:rPr>
          <w:rFonts w:ascii="Palatino Linotype" w:eastAsia="Palatino Linotype" w:hAnsi="Palatino Linotype" w:cs="Palatino Linotype"/>
        </w:rPr>
        <w:t>, cuyo contenido no se detalla al ser del conocimiento de las partes, aunado a que será motivo de estudio en líneas posteriores</w:t>
      </w:r>
    </w:p>
    <w:p w14:paraId="7A315E7B" w14:textId="77777777" w:rsidR="00B16D10" w:rsidRDefault="004B699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dieciocho de octubre de dos mil veintiuno,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53029CFA" w14:textId="77777777" w:rsidR="00B16D10" w:rsidRDefault="004B6999">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14:paraId="264D0C3F" w14:textId="77777777" w:rsidR="00B16D10" w:rsidRDefault="00B16D10">
      <w:pPr>
        <w:spacing w:line="360" w:lineRule="auto"/>
        <w:ind w:left="851" w:right="900"/>
        <w:jc w:val="both"/>
        <w:rPr>
          <w:rFonts w:ascii="Palatino Linotype" w:eastAsia="Palatino Linotype" w:hAnsi="Palatino Linotype" w:cs="Palatino Linotype"/>
          <w:i/>
          <w:sz w:val="2"/>
          <w:szCs w:val="2"/>
        </w:rPr>
      </w:pPr>
    </w:p>
    <w:p w14:paraId="74DB962A" w14:textId="77777777" w:rsidR="00B16D10" w:rsidRDefault="004B6999">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proporcionó la información” (sic)</w:t>
      </w:r>
    </w:p>
    <w:p w14:paraId="271CBBD3" w14:textId="77777777" w:rsidR="00B16D10" w:rsidRDefault="00B16D10">
      <w:pPr>
        <w:spacing w:line="360" w:lineRule="auto"/>
        <w:jc w:val="both"/>
        <w:rPr>
          <w:rFonts w:ascii="Palatino Linotype" w:eastAsia="Palatino Linotype" w:hAnsi="Palatino Linotype" w:cs="Palatino Linotype"/>
          <w:sz w:val="2"/>
          <w:szCs w:val="2"/>
        </w:rPr>
      </w:pPr>
    </w:p>
    <w:p w14:paraId="145E5D27" w14:textId="77777777" w:rsidR="00B16D10" w:rsidRDefault="004B6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0328704C" w14:textId="77777777" w:rsidR="00B16D10" w:rsidRDefault="00B16D10">
      <w:pPr>
        <w:spacing w:line="360" w:lineRule="auto"/>
        <w:jc w:val="both"/>
        <w:rPr>
          <w:rFonts w:ascii="Palatino Linotype" w:eastAsia="Palatino Linotype" w:hAnsi="Palatino Linotype" w:cs="Palatino Linotype"/>
          <w:sz w:val="2"/>
          <w:szCs w:val="2"/>
        </w:rPr>
      </w:pPr>
    </w:p>
    <w:p w14:paraId="4168BFE4" w14:textId="77777777" w:rsidR="00B16D10" w:rsidRDefault="004B6999">
      <w:pPr>
        <w:ind w:left="851" w:right="900"/>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“Solicite se me proporcionarán las actas de sesiones del comité de </w:t>
      </w:r>
      <w:proofErr w:type="spellStart"/>
      <w:r>
        <w:rPr>
          <w:rFonts w:ascii="Palatino Linotype" w:eastAsia="Palatino Linotype" w:hAnsi="Palatino Linotype" w:cs="Palatino Linotype"/>
          <w:i/>
          <w:sz w:val="22"/>
          <w:szCs w:val="22"/>
        </w:rPr>
        <w:t>planeacion</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Tranparencia</w:t>
      </w:r>
      <w:proofErr w:type="spellEnd"/>
      <w:r>
        <w:rPr>
          <w:rFonts w:ascii="Palatino Linotype" w:eastAsia="Palatino Linotype" w:hAnsi="Palatino Linotype" w:cs="Palatino Linotype"/>
          <w:i/>
          <w:sz w:val="22"/>
          <w:szCs w:val="22"/>
        </w:rPr>
        <w:t xml:space="preserve"> y gobierno digital. En formatos abiertos y a través del sistema </w:t>
      </w:r>
      <w:proofErr w:type="spellStart"/>
      <w:r>
        <w:rPr>
          <w:rFonts w:ascii="Palatino Linotype" w:eastAsia="Palatino Linotype" w:hAnsi="Palatino Linotype" w:cs="Palatino Linotype"/>
          <w:i/>
          <w:sz w:val="22"/>
          <w:szCs w:val="22"/>
        </w:rPr>
        <w:t>saimex</w:t>
      </w:r>
      <w:proofErr w:type="spellEnd"/>
      <w:r>
        <w:rPr>
          <w:rFonts w:ascii="Palatino Linotype" w:eastAsia="Palatino Linotype" w:hAnsi="Palatino Linotype" w:cs="Palatino Linotype"/>
          <w:i/>
          <w:sz w:val="22"/>
          <w:szCs w:val="22"/>
        </w:rPr>
        <w:t xml:space="preserve"> y solo se me entregó un oficio en donde se enlistan los números de sesiones y fechas y no se me proporcionan en formatos abiertos y mucho menos por el sistema </w:t>
      </w:r>
      <w:proofErr w:type="spellStart"/>
      <w:r>
        <w:rPr>
          <w:rFonts w:ascii="Palatino Linotype" w:eastAsia="Palatino Linotype" w:hAnsi="Palatino Linotype" w:cs="Palatino Linotype"/>
          <w:i/>
          <w:sz w:val="22"/>
          <w:szCs w:val="22"/>
        </w:rPr>
        <w:t>saimex</w:t>
      </w:r>
      <w:proofErr w:type="spellEnd"/>
      <w:r>
        <w:rPr>
          <w:rFonts w:ascii="Palatino Linotype" w:eastAsia="Palatino Linotype" w:hAnsi="Palatino Linotype" w:cs="Palatino Linotype"/>
          <w:i/>
          <w:sz w:val="22"/>
          <w:szCs w:val="22"/>
        </w:rPr>
        <w:t>.” (sic)</w:t>
      </w:r>
    </w:p>
    <w:p w14:paraId="6A967514" w14:textId="77777777" w:rsidR="00B16D10" w:rsidRDefault="004B699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Anexos: </w:t>
      </w:r>
      <w:r>
        <w:rPr>
          <w:rFonts w:ascii="Palatino Linotype" w:eastAsia="Palatino Linotype" w:hAnsi="Palatino Linotype" w:cs="Palatino Linotype"/>
        </w:rPr>
        <w:t>La parte Recurrente no adjuntó archivos.</w:t>
      </w:r>
    </w:p>
    <w:p w14:paraId="29167CA6" w14:textId="77777777" w:rsidR="00B16D10" w:rsidRDefault="004B699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Pr>
          <w:rFonts w:ascii="Palatino Linotype" w:eastAsia="Palatino Linotype" w:hAnsi="Palatino Linotype" w:cs="Palatino Linotype"/>
        </w:rPr>
        <w:lastRenderedPageBreak/>
        <w:t xml:space="preserve">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5EB8B3DC" w14:textId="77777777" w:rsidR="00B16D10" w:rsidRDefault="004B699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veintiuno de octubre de dos mil veintiuno,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6ED8EAAB"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las Actas Sesión de los Comités de Gobierno Abierto, Planeación y Transparencia de los ejercicios 2019, 2020 y 2021, documentos que, una vez analizados, se hicieron del conocimiento de la parte Recurrente en términos del artículo 185 fracción III</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 la Ley de Transparencia y Acceso a la Información Pública del Estado de México y Municipios, a efecto de que manifestara lo que a su derecho estimara conveniente, no obstante, fue omisa en ejercer dicha prerrogativa. </w:t>
      </w:r>
    </w:p>
    <w:p w14:paraId="12AF839B" w14:textId="77777777" w:rsidR="00B16D10" w:rsidRDefault="004B6999">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once de noviembre de dos mil veintiuno</w:t>
      </w:r>
      <w:r>
        <w:rPr>
          <w:rFonts w:ascii="Palatino Linotype" w:eastAsia="Palatino Linotype" w:hAnsi="Palatino Linotype" w:cs="Palatino Linotype"/>
        </w:rPr>
        <w:t xml:space="preserve">, la Comisionada ponente determinó el cierre de instrucción en términos de la fracción VI del artículo 185 de </w:t>
      </w:r>
      <w:r>
        <w:rPr>
          <w:rFonts w:ascii="Palatino Linotype" w:eastAsia="Palatino Linotype" w:hAnsi="Palatino Linotype" w:cs="Palatino Linotype"/>
        </w:rPr>
        <w:lastRenderedPageBreak/>
        <w:t>la Ley de Transparencia y Acceso a la Información Pública del Estado de México y Municipios.</w:t>
      </w:r>
    </w:p>
    <w:p w14:paraId="725890EC" w14:textId="54DA4572" w:rsidR="00B16D10" w:rsidRDefault="004B699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Ampliación del plazo. </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seis de diciembre de dos mil veintiuno, </w:t>
      </w:r>
      <w:r>
        <w:rPr>
          <w:rFonts w:ascii="Palatino Linotype" w:eastAsia="Palatino Linotype" w:hAnsi="Palatino Linotype" w:cs="Palatino Linotype"/>
        </w:rPr>
        <w:t xml:space="preserve">con fundamento en el artículo 181, párrafo tercero de la Ley de Transparencia y Acceso a la Información Pública del Estado de México y Municipios, se acordó la ampliación del plazo para su resolución. </w:t>
      </w:r>
    </w:p>
    <w:p w14:paraId="4ABC8FBE" w14:textId="77777777" w:rsidR="00B16D10" w:rsidRDefault="004B6999">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EE335FA" w14:textId="77777777" w:rsidR="00B16D10" w:rsidRDefault="004B6999">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2D9A9C60"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F6DDF93" w14:textId="77777777" w:rsidR="00B16D10" w:rsidRDefault="004B6999">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526D5EE"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 xml:space="preserve">veintinueve de septiembre de dos mil veintiuno, </w:t>
      </w:r>
      <w:r>
        <w:rPr>
          <w:rFonts w:ascii="Palatino Linotype" w:eastAsia="Palatino Linotype" w:hAnsi="Palatino Linotype" w:cs="Palatino Linotype"/>
        </w:rPr>
        <w:t xml:space="preserve">mientras que el recurso de revisión interpuesto por la parte recurrente, se tuvo por presentado el día </w:t>
      </w:r>
      <w:r>
        <w:rPr>
          <w:rFonts w:ascii="Palatino Linotype" w:eastAsia="Palatino Linotype" w:hAnsi="Palatino Linotype" w:cs="Palatino Linotype"/>
          <w:b/>
        </w:rPr>
        <w:t>dieciocho de octubre</w:t>
      </w:r>
      <w:r>
        <w:rPr>
          <w:rFonts w:ascii="Palatino Linotype" w:eastAsia="Palatino Linotype" w:hAnsi="Palatino Linotype" w:cs="Palatino Linotype"/>
        </w:rPr>
        <w:t xml:space="preserve"> </w:t>
      </w:r>
      <w:r>
        <w:rPr>
          <w:rFonts w:ascii="Palatino Linotype" w:eastAsia="Palatino Linotype" w:hAnsi="Palatino Linotype" w:cs="Palatino Linotype"/>
          <w:b/>
        </w:rPr>
        <w:t>de dos mil veintiuno</w:t>
      </w:r>
      <w:r>
        <w:rPr>
          <w:rFonts w:ascii="Palatino Linotype" w:eastAsia="Palatino Linotype" w:hAnsi="Palatino Linotype" w:cs="Palatino Linotype"/>
        </w:rPr>
        <w:t>, esto es, al décimo tercer día hábil posterior en que tuvo conocimiento de la respuesta impugnada.</w:t>
      </w:r>
    </w:p>
    <w:p w14:paraId="4DE9E8E5" w14:textId="77777777" w:rsidR="00B16D10" w:rsidRDefault="004B6999">
      <w:pPr>
        <w:spacing w:before="240" w:after="240" w:line="360" w:lineRule="auto"/>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rPr>
        <w:t xml:space="preserve">En este sentido, al considerar la fecha en que se formuló la solicitud y la fecha en que respondió a ésta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21988670"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36A4A14" w14:textId="77777777" w:rsidR="00B16D10" w:rsidRDefault="004B6999">
      <w:pPr>
        <w:spacing w:before="240" w:after="240"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rPr>
        <w:lastRenderedPageBreak/>
        <w:t>Finalmente, se advierte que resulta procedente la interposición del recurso, según lo manifestado por el recurrente en sus motivos de inconformidad, de acuerdo al artículo 179, fracciones V y VI del ordenamiento legal citado, que a la letra dice: </w:t>
      </w:r>
    </w:p>
    <w:p w14:paraId="4FA8E7D6"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DD2DF46" w14:textId="77777777" w:rsidR="00B16D10" w:rsidRDefault="004B6999">
      <w:pPr>
        <w:spacing w:before="120" w:after="120"/>
        <w:ind w:left="993" w:right="902"/>
        <w:jc w:val="both"/>
      </w:pPr>
      <w:r>
        <w:t>...</w:t>
      </w:r>
    </w:p>
    <w:p w14:paraId="3DCC54CD" w14:textId="77777777" w:rsidR="00B16D10" w:rsidRDefault="004B699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La entrega de información incompleta;</w:t>
      </w:r>
    </w:p>
    <w:p w14:paraId="62DE042D" w14:textId="77777777" w:rsidR="00B16D10" w:rsidRDefault="004B699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La entrega de información que no corresponda con lo solicitado;”</w:t>
      </w:r>
    </w:p>
    <w:p w14:paraId="7A532C07" w14:textId="77777777" w:rsidR="00B16D10" w:rsidRDefault="004B699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63CD0825" w14:textId="77777777" w:rsidR="00B16D10" w:rsidRDefault="004B6999">
      <w:pPr>
        <w:spacing w:before="240" w:after="240" w:line="360" w:lineRule="auto"/>
        <w:ind w:right="51"/>
        <w:jc w:val="both"/>
        <w:rPr>
          <w:rFonts w:ascii="Palatino Linotype" w:eastAsia="Palatino Linotype" w:hAnsi="Palatino Linotype" w:cs="Palatino Linotype"/>
        </w:rPr>
      </w:pPr>
      <w:bookmarkStart w:id="5" w:name="_heading=h.tyjcwt" w:colFirst="0" w:colLast="0"/>
      <w:bookmarkEnd w:id="5"/>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Del análisis de la solicitud de información, motivo del recurso de revisión que ahora se resuelve se advierte que la parte solicitante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proporcione, información consistente en lo siguiente:</w:t>
      </w:r>
    </w:p>
    <w:p w14:paraId="4BBE5A2B" w14:textId="77777777" w:rsidR="00B16D10" w:rsidRDefault="004B699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formato abierto y a través del sistema </w:t>
      </w:r>
      <w:proofErr w:type="spellStart"/>
      <w:r>
        <w:rPr>
          <w:rFonts w:ascii="Palatino Linotype" w:eastAsia="Palatino Linotype" w:hAnsi="Palatino Linotype" w:cs="Palatino Linotype"/>
        </w:rPr>
        <w:t>Saimex</w:t>
      </w:r>
      <w:proofErr w:type="spellEnd"/>
      <w:r>
        <w:rPr>
          <w:rFonts w:ascii="Palatino Linotype" w:eastAsia="Palatino Linotype" w:hAnsi="Palatino Linotype" w:cs="Palatino Linotype"/>
        </w:rPr>
        <w:t>.</w:t>
      </w:r>
    </w:p>
    <w:p w14:paraId="6095FE95" w14:textId="77777777" w:rsidR="00B16D10" w:rsidRDefault="004B6999">
      <w:pPr>
        <w:numPr>
          <w:ilvl w:val="0"/>
          <w:numId w:val="1"/>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Todas las sesiones de Comité de Planeación, Comité de Transparencia y Gobierno Digital, de los ejercicios 2019, 2020 y 2021.</w:t>
      </w:r>
    </w:p>
    <w:p w14:paraId="75548799" w14:textId="77777777" w:rsidR="00B16D10" w:rsidRDefault="004B699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 la Unidad de Transparencia, remitió el oficio UIPPE/409/2021 de fecha veintisiete de septiembre de dos mil veintiuno, mediante el cual se remite la relación de sesiones de los Comités de Planeación, Transparencia y Gobierno Digital de los ejercicios 2019, 2020 y 2021.</w:t>
      </w:r>
    </w:p>
    <w:p w14:paraId="46E2E0E2"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no estar conforme con los términos de la respuesta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el particular presentó el recurso de revisión que nos ocupa, en el cual manifestó su inconformidad, en lo medular, por el hecho de que no se le entregaron las actas de las sesiones de los Comités de Planeación, Transparencia y Gobierno Digital, en formato abierto y a través del SAIMEX, como lo solicitó, y, en su lugar, se le proporcionó un listado de las sesiones.</w:t>
      </w:r>
    </w:p>
    <w:p w14:paraId="08DA11F3"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admitido el presente recurso de revisión, en términos del artículo 185 fracción II</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0EF5492" w14:textId="54A71ADA"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nueve actas del Comité de Planeación, cuarenta actas del Comité de Transparencia y tres actas del Comité de Gobierno Digital, correspondientes a los periodos 2019, 2020 y 2021, mismas que se hicieron del conocimiento de la parte Recurrente a efecto de que manifestara lo que a su </w:t>
      </w:r>
      <w:r>
        <w:rPr>
          <w:rFonts w:ascii="Palatino Linotype" w:eastAsia="Palatino Linotype" w:hAnsi="Palatino Linotype" w:cs="Palatino Linotype"/>
        </w:rPr>
        <w:lastRenderedPageBreak/>
        <w:t>derecho estimara conveniente, no obstante</w:t>
      </w:r>
      <w:r w:rsidR="00342CAA">
        <w:rPr>
          <w:rFonts w:ascii="Palatino Linotype" w:eastAsia="Palatino Linotype" w:hAnsi="Palatino Linotype" w:cs="Palatino Linotype"/>
        </w:rPr>
        <w:t>,</w:t>
      </w:r>
      <w:r>
        <w:rPr>
          <w:rFonts w:ascii="Palatino Linotype" w:eastAsia="Palatino Linotype" w:hAnsi="Palatino Linotype" w:cs="Palatino Linotype"/>
        </w:rPr>
        <w:t xml:space="preserve"> fue omisa en ejercer dicha prerrogativa como se señaló anteriormente.</w:t>
      </w:r>
    </w:p>
    <w:p w14:paraId="688C2ED7"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dados los términos de la respuesta otorgada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así como la información remitida en la etapa de manifestaciones, resulta oportuno mencionar que es evidente que no niega la existencia de la información solicitada, sino por el contrario, se encuentra encaminado a atender la solicitud, por ello es que, una vez analizada la materia de la solicitud, la Unidad de Transparencia proporciona información, por lo tanto, el estudio de la fuente obligacional en el caso concreto se obvia, en razón de que dicho análisis se efectúa con la finalidad de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administra o posee la información que le fue requerida, y al existir la manifestación de poseer la misma, a nada práctico llevaría el alcance del mismo.</w:t>
      </w:r>
    </w:p>
    <w:p w14:paraId="64EDEB15"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efecto, el hecho de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haya asumido contar con la información pública solicitada, acepta que la genera, posee y administra, en ejercicio de sus funciones de derecho públicos, motivo por el cual se actualiza el supuesto previsto en el artículo 12 de la Ley de Transparencia y Acceso a la Información Pública del Estado de México y Municipios.</w:t>
      </w:r>
    </w:p>
    <w:p w14:paraId="166083EF"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consiguiente, se procede al análisis de los requerimientos planteado por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así como la información remitida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efecto de determinar si el derecho de acceso a la información se satisfizo con la misma, o en su defecto, señalar los documentos que en el ejercicio de sus atribuciones pudo haber generado el sujeto obligado y que, de manera enunciativa más no limitativa, </w:t>
      </w:r>
      <w:r>
        <w:rPr>
          <w:rFonts w:ascii="Palatino Linotype" w:eastAsia="Palatino Linotype" w:hAnsi="Palatino Linotype" w:cs="Palatino Linotype"/>
          <w:color w:val="000000"/>
        </w:rPr>
        <w:lastRenderedPageBreak/>
        <w:t xml:space="preserve">pudieran colmar el derecho de acceso accionado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análisis que, para un mejor entendimiento, se hará a través de la siguiente tabla: </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969"/>
        <w:gridCol w:w="1887"/>
      </w:tblGrid>
      <w:tr w:rsidR="00B16D10" w14:paraId="68285B2A" w14:textId="77777777">
        <w:tc>
          <w:tcPr>
            <w:tcW w:w="2972" w:type="dxa"/>
          </w:tcPr>
          <w:p w14:paraId="0FB2329B" w14:textId="77777777" w:rsidR="00B16D10" w:rsidRDefault="004B6999">
            <w:pP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REQUERIMIENTO</w:t>
            </w:r>
          </w:p>
        </w:tc>
        <w:tc>
          <w:tcPr>
            <w:tcW w:w="3969" w:type="dxa"/>
          </w:tcPr>
          <w:p w14:paraId="424C226D" w14:textId="77777777" w:rsidR="00B16D10" w:rsidRDefault="004B6999">
            <w:pP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INFORMACIÓN REMITIDA</w:t>
            </w:r>
          </w:p>
        </w:tc>
        <w:tc>
          <w:tcPr>
            <w:tcW w:w="1887" w:type="dxa"/>
          </w:tcPr>
          <w:p w14:paraId="7DD17953" w14:textId="77777777" w:rsidR="00B16D10" w:rsidRDefault="004B6999">
            <w:pP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¿COLMA?</w:t>
            </w:r>
          </w:p>
        </w:tc>
      </w:tr>
      <w:tr w:rsidR="00B16D10" w14:paraId="0D2A61AE" w14:textId="77777777">
        <w:tc>
          <w:tcPr>
            <w:tcW w:w="2972" w:type="dxa"/>
            <w:vAlign w:val="center"/>
          </w:tcPr>
          <w:p w14:paraId="6F3E3764" w14:textId="77777777" w:rsidR="00B16D10" w:rsidRDefault="004B6999">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Actas del Comité de Planeación</w:t>
            </w:r>
          </w:p>
        </w:tc>
        <w:tc>
          <w:tcPr>
            <w:tcW w:w="3969" w:type="dxa"/>
          </w:tcPr>
          <w:p w14:paraId="40DFEF10" w14:textId="77777777" w:rsidR="00B16D10" w:rsidRDefault="004B6999">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2019</w:t>
            </w:r>
          </w:p>
          <w:p w14:paraId="69E31CD7"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Sesión de instalación -&gt; 21/02/2019</w:t>
            </w:r>
          </w:p>
          <w:p w14:paraId="48D650C0"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Segunda Sesión -&gt; 29/11/2019</w:t>
            </w:r>
          </w:p>
          <w:p w14:paraId="60E4BE20" w14:textId="77777777" w:rsidR="00B16D10" w:rsidRDefault="00B16D10">
            <w:pPr>
              <w:jc w:val="both"/>
              <w:rPr>
                <w:rFonts w:ascii="Palatino Linotype" w:eastAsia="Palatino Linotype" w:hAnsi="Palatino Linotype" w:cs="Palatino Linotype"/>
                <w:sz w:val="20"/>
                <w:szCs w:val="20"/>
              </w:rPr>
            </w:pPr>
          </w:p>
          <w:p w14:paraId="425EAC70" w14:textId="77777777" w:rsidR="00B16D10" w:rsidRDefault="004B6999">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2020</w:t>
            </w:r>
          </w:p>
          <w:p w14:paraId="450A2439"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Tercera Sesión   -&gt; 17/01/2020</w:t>
            </w:r>
          </w:p>
          <w:p w14:paraId="311C68E3"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Primera </w:t>
            </w:r>
            <w:proofErr w:type="gramStart"/>
            <w:r>
              <w:rPr>
                <w:rFonts w:ascii="Palatino Linotype" w:eastAsia="Palatino Linotype" w:hAnsi="Palatino Linotype" w:cs="Palatino Linotype"/>
                <w:sz w:val="20"/>
                <w:szCs w:val="20"/>
              </w:rPr>
              <w:t>Sesión  -</w:t>
            </w:r>
            <w:proofErr w:type="gramEnd"/>
            <w:r>
              <w:rPr>
                <w:rFonts w:ascii="Palatino Linotype" w:eastAsia="Palatino Linotype" w:hAnsi="Palatino Linotype" w:cs="Palatino Linotype"/>
                <w:sz w:val="20"/>
                <w:szCs w:val="20"/>
              </w:rPr>
              <w:t>&gt; 13/04/2020</w:t>
            </w:r>
          </w:p>
          <w:p w14:paraId="29F09F90"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Segunda Sesión -&gt; 10/07/2020</w:t>
            </w:r>
          </w:p>
          <w:p w14:paraId="0F261BA7"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Tercera Sesión   -&gt; 20/10/2020</w:t>
            </w:r>
          </w:p>
          <w:p w14:paraId="43FF7BF5" w14:textId="77777777" w:rsidR="00B16D10" w:rsidRDefault="00B16D10">
            <w:pPr>
              <w:jc w:val="both"/>
              <w:rPr>
                <w:rFonts w:ascii="Palatino Linotype" w:eastAsia="Palatino Linotype" w:hAnsi="Palatino Linotype" w:cs="Palatino Linotype"/>
                <w:sz w:val="20"/>
                <w:szCs w:val="20"/>
              </w:rPr>
            </w:pPr>
          </w:p>
          <w:p w14:paraId="3B4338E0" w14:textId="77777777" w:rsidR="00B16D10" w:rsidRDefault="004B6999">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2021</w:t>
            </w:r>
          </w:p>
          <w:p w14:paraId="1CE9BF2C"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Primera </w:t>
            </w:r>
            <w:proofErr w:type="gramStart"/>
            <w:r>
              <w:rPr>
                <w:rFonts w:ascii="Palatino Linotype" w:eastAsia="Palatino Linotype" w:hAnsi="Palatino Linotype" w:cs="Palatino Linotype"/>
                <w:sz w:val="20"/>
                <w:szCs w:val="20"/>
              </w:rPr>
              <w:t>Sesión  -</w:t>
            </w:r>
            <w:proofErr w:type="gramEnd"/>
            <w:r>
              <w:rPr>
                <w:rFonts w:ascii="Palatino Linotype" w:eastAsia="Palatino Linotype" w:hAnsi="Palatino Linotype" w:cs="Palatino Linotype"/>
                <w:sz w:val="20"/>
                <w:szCs w:val="20"/>
              </w:rPr>
              <w:t>&gt; 02/02/2021</w:t>
            </w:r>
          </w:p>
          <w:p w14:paraId="4E57ADA3"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Segunda Sesión -&gt; 27/05/2021</w:t>
            </w:r>
          </w:p>
          <w:p w14:paraId="14AD17F7"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Tercera Sesión   -&gt; 26/07/2021</w:t>
            </w:r>
          </w:p>
        </w:tc>
        <w:tc>
          <w:tcPr>
            <w:tcW w:w="1887" w:type="dxa"/>
            <w:vAlign w:val="center"/>
          </w:tcPr>
          <w:p w14:paraId="4F7D18B9" w14:textId="77777777" w:rsidR="00B16D10" w:rsidRDefault="004B6999">
            <w:pPr>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PARCIALMENTE</w:t>
            </w:r>
          </w:p>
        </w:tc>
      </w:tr>
      <w:tr w:rsidR="00B16D10" w14:paraId="3ABAAE0A" w14:textId="77777777">
        <w:tc>
          <w:tcPr>
            <w:tcW w:w="2972" w:type="dxa"/>
            <w:vAlign w:val="center"/>
          </w:tcPr>
          <w:p w14:paraId="2DF1F5FA" w14:textId="77777777" w:rsidR="00B16D10" w:rsidRDefault="004B6999">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Actas del Comité de Transparencia</w:t>
            </w:r>
          </w:p>
        </w:tc>
        <w:tc>
          <w:tcPr>
            <w:tcW w:w="3969" w:type="dxa"/>
          </w:tcPr>
          <w:p w14:paraId="36764047" w14:textId="77777777" w:rsidR="00B16D10" w:rsidRDefault="004B6999">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2019</w:t>
            </w:r>
          </w:p>
          <w:p w14:paraId="718CB011"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Sesión de instalación -&gt; 23/01/2019</w:t>
            </w:r>
          </w:p>
          <w:p w14:paraId="3D4B78EF"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Segunda Sesión -&gt; 03/04/2019</w:t>
            </w:r>
          </w:p>
          <w:p w14:paraId="136B2CF0"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Tercera Sesión   -&gt; 26/06/2019</w:t>
            </w:r>
          </w:p>
          <w:p w14:paraId="11A7AAF0"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Cuarta Sesión    -&gt; 25/07/2019</w:t>
            </w:r>
          </w:p>
          <w:p w14:paraId="6855720E"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Quinta Sesión    -&gt; 30/07/2019</w:t>
            </w:r>
          </w:p>
          <w:p w14:paraId="31057E1F"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Sexta Sesión       -&gt; 02/08/2019</w:t>
            </w:r>
          </w:p>
          <w:p w14:paraId="3AC4287B"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Séptima </w:t>
            </w:r>
            <w:proofErr w:type="gramStart"/>
            <w:r>
              <w:rPr>
                <w:rFonts w:ascii="Palatino Linotype" w:eastAsia="Palatino Linotype" w:hAnsi="Palatino Linotype" w:cs="Palatino Linotype"/>
                <w:sz w:val="20"/>
                <w:szCs w:val="20"/>
              </w:rPr>
              <w:t>Sesión  -</w:t>
            </w:r>
            <w:proofErr w:type="gramEnd"/>
            <w:r>
              <w:rPr>
                <w:rFonts w:ascii="Palatino Linotype" w:eastAsia="Palatino Linotype" w:hAnsi="Palatino Linotype" w:cs="Palatino Linotype"/>
                <w:sz w:val="20"/>
                <w:szCs w:val="20"/>
              </w:rPr>
              <w:t>&gt; 09/08/2019</w:t>
            </w:r>
          </w:p>
          <w:p w14:paraId="1251B986"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Octava Sesión    -&gt; 27/08/2019</w:t>
            </w:r>
          </w:p>
          <w:p w14:paraId="6446FE0D"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Novena </w:t>
            </w:r>
            <w:proofErr w:type="gramStart"/>
            <w:r>
              <w:rPr>
                <w:rFonts w:ascii="Palatino Linotype" w:eastAsia="Palatino Linotype" w:hAnsi="Palatino Linotype" w:cs="Palatino Linotype"/>
                <w:sz w:val="20"/>
                <w:szCs w:val="20"/>
              </w:rPr>
              <w:t>Sesión  -</w:t>
            </w:r>
            <w:proofErr w:type="gramEnd"/>
            <w:r>
              <w:rPr>
                <w:rFonts w:ascii="Palatino Linotype" w:eastAsia="Palatino Linotype" w:hAnsi="Palatino Linotype" w:cs="Palatino Linotype"/>
                <w:sz w:val="20"/>
                <w:szCs w:val="20"/>
              </w:rPr>
              <w:t>&gt; 02/09/2019</w:t>
            </w:r>
          </w:p>
          <w:p w14:paraId="128D37A7"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Décima </w:t>
            </w:r>
            <w:proofErr w:type="gramStart"/>
            <w:r>
              <w:rPr>
                <w:rFonts w:ascii="Palatino Linotype" w:eastAsia="Palatino Linotype" w:hAnsi="Palatino Linotype" w:cs="Palatino Linotype"/>
                <w:sz w:val="20"/>
                <w:szCs w:val="20"/>
              </w:rPr>
              <w:t>Sesión  -</w:t>
            </w:r>
            <w:proofErr w:type="gramEnd"/>
            <w:r>
              <w:rPr>
                <w:rFonts w:ascii="Palatino Linotype" w:eastAsia="Palatino Linotype" w:hAnsi="Palatino Linotype" w:cs="Palatino Linotype"/>
                <w:sz w:val="20"/>
                <w:szCs w:val="20"/>
              </w:rPr>
              <w:t>&gt; 24/10/2019</w:t>
            </w:r>
          </w:p>
          <w:p w14:paraId="4E9CCFF8"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Décimo Primera Sesión -&gt; 15/11/2019</w:t>
            </w:r>
          </w:p>
          <w:p w14:paraId="70E32FD0" w14:textId="77777777" w:rsidR="00B16D10" w:rsidRDefault="00B16D10">
            <w:pPr>
              <w:jc w:val="both"/>
              <w:rPr>
                <w:rFonts w:ascii="Palatino Linotype" w:eastAsia="Palatino Linotype" w:hAnsi="Palatino Linotype" w:cs="Palatino Linotype"/>
                <w:sz w:val="20"/>
                <w:szCs w:val="20"/>
              </w:rPr>
            </w:pPr>
          </w:p>
          <w:p w14:paraId="56AE2CC8" w14:textId="77777777" w:rsidR="00B16D10" w:rsidRDefault="004B6999">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2020</w:t>
            </w:r>
          </w:p>
          <w:p w14:paraId="72F8D5FC"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Décimo Segunda Sesión   -&gt; 31/01/2020</w:t>
            </w:r>
          </w:p>
          <w:p w14:paraId="4F3622E0"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Décimo Tercera Sesión     -&gt; 12/02/2020</w:t>
            </w:r>
          </w:p>
          <w:p w14:paraId="6AE4CECD"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Décimo Cuarta Sesión      -&gt; 25/02/2020</w:t>
            </w:r>
          </w:p>
          <w:p w14:paraId="66DE9019"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Décimo Quinta Sesión      -&gt; 11/03/2020</w:t>
            </w:r>
          </w:p>
          <w:p w14:paraId="034AF237"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Décimo Sexta Sesión         -&gt; 17/08/2020</w:t>
            </w:r>
          </w:p>
          <w:p w14:paraId="6D3AE75E"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Décimo Séptima Sesión    -&gt; 20/08/2020</w:t>
            </w:r>
          </w:p>
          <w:p w14:paraId="07CAF49E"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Décimo Octava Sesión      -&gt; 07/09/2020</w:t>
            </w:r>
          </w:p>
          <w:p w14:paraId="1017185C"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Décimo Novena Sesión     -&gt; 10/09/2020</w:t>
            </w:r>
          </w:p>
          <w:p w14:paraId="610E356C"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Vigésima Sesión                 -&gt; 23/09/2020</w:t>
            </w:r>
          </w:p>
          <w:p w14:paraId="79244C51"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 Vigésimo Primera </w:t>
            </w:r>
            <w:proofErr w:type="gramStart"/>
            <w:r>
              <w:rPr>
                <w:rFonts w:ascii="Palatino Linotype" w:eastAsia="Palatino Linotype" w:hAnsi="Palatino Linotype" w:cs="Palatino Linotype"/>
                <w:sz w:val="20"/>
                <w:szCs w:val="20"/>
              </w:rPr>
              <w:t>Sesión  -</w:t>
            </w:r>
            <w:proofErr w:type="gramEnd"/>
            <w:r>
              <w:rPr>
                <w:rFonts w:ascii="Palatino Linotype" w:eastAsia="Palatino Linotype" w:hAnsi="Palatino Linotype" w:cs="Palatino Linotype"/>
                <w:sz w:val="20"/>
                <w:szCs w:val="20"/>
              </w:rPr>
              <w:t>&gt; 15/10/2020</w:t>
            </w:r>
          </w:p>
          <w:p w14:paraId="0090C8B3"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Vigésimo Segunda Sesión -&gt; 06/11/2020</w:t>
            </w:r>
          </w:p>
          <w:p w14:paraId="4D702583"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Vigésimo Tercera Sesión   -&gt; 09/11/2020</w:t>
            </w:r>
          </w:p>
          <w:p w14:paraId="625BEC0E"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Vigésimo Cuarta Sesión    -&gt; 23/11/2020</w:t>
            </w:r>
          </w:p>
          <w:p w14:paraId="7B7BB5BD"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Vigésimo Quinta Sesión    -&gt; 25/11/2020</w:t>
            </w:r>
          </w:p>
          <w:p w14:paraId="53F82000" w14:textId="77777777" w:rsidR="00B16D10" w:rsidRDefault="004B6999">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2021</w:t>
            </w:r>
          </w:p>
          <w:p w14:paraId="70F08214"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Vigésimo Sexta Sesión       -&gt; 02/02/2021</w:t>
            </w:r>
          </w:p>
          <w:p w14:paraId="55BB308D"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Vigésimo Séptima </w:t>
            </w:r>
            <w:proofErr w:type="gramStart"/>
            <w:r>
              <w:rPr>
                <w:rFonts w:ascii="Palatino Linotype" w:eastAsia="Palatino Linotype" w:hAnsi="Palatino Linotype" w:cs="Palatino Linotype"/>
                <w:sz w:val="20"/>
                <w:szCs w:val="20"/>
              </w:rPr>
              <w:t>Sesión  -</w:t>
            </w:r>
            <w:proofErr w:type="gramEnd"/>
            <w:r>
              <w:rPr>
                <w:rFonts w:ascii="Palatino Linotype" w:eastAsia="Palatino Linotype" w:hAnsi="Palatino Linotype" w:cs="Palatino Linotype"/>
                <w:sz w:val="20"/>
                <w:szCs w:val="20"/>
              </w:rPr>
              <w:t>&gt; 26/02/2021</w:t>
            </w:r>
          </w:p>
          <w:p w14:paraId="094271A9"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Vigésimo Octava Sesión    -&gt; 03/03/2021</w:t>
            </w:r>
          </w:p>
          <w:p w14:paraId="550F0B1A"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Vigésimo Novena Sesión   -&gt; 03/03/2021</w:t>
            </w:r>
          </w:p>
          <w:p w14:paraId="3D29D2D1"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Trigésima Sesión                 -&gt; 10/03/2021</w:t>
            </w:r>
          </w:p>
          <w:p w14:paraId="088964C3"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Trigésimo Primera </w:t>
            </w:r>
            <w:proofErr w:type="gramStart"/>
            <w:r>
              <w:rPr>
                <w:rFonts w:ascii="Palatino Linotype" w:eastAsia="Palatino Linotype" w:hAnsi="Palatino Linotype" w:cs="Palatino Linotype"/>
                <w:sz w:val="20"/>
                <w:szCs w:val="20"/>
              </w:rPr>
              <w:t>Sesión  -</w:t>
            </w:r>
            <w:proofErr w:type="gramEnd"/>
            <w:r>
              <w:rPr>
                <w:rFonts w:ascii="Palatino Linotype" w:eastAsia="Palatino Linotype" w:hAnsi="Palatino Linotype" w:cs="Palatino Linotype"/>
                <w:sz w:val="20"/>
                <w:szCs w:val="20"/>
              </w:rPr>
              <w:t>&gt; 06/04/2021</w:t>
            </w:r>
          </w:p>
          <w:p w14:paraId="19EB2F3C"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Trigésimo Segunda Sesión -&gt; 06/04/2021</w:t>
            </w:r>
          </w:p>
          <w:p w14:paraId="6E7FD295"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Trigésimo Tercera Sesión   -&gt; 20/04/2021</w:t>
            </w:r>
          </w:p>
          <w:p w14:paraId="38BE8A67"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Trigésimo Cuarta Sesión    -&gt; 31/05/2021</w:t>
            </w:r>
          </w:p>
          <w:p w14:paraId="00D05708"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Trigésimo Quinta Sesión    -&gt; 01/06/2021</w:t>
            </w:r>
          </w:p>
          <w:p w14:paraId="53A77791"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Trigésimo Sexta Sesión       -&gt; 02/06/2021</w:t>
            </w:r>
          </w:p>
          <w:p w14:paraId="5AA2CF37"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Trigésimo Séptima </w:t>
            </w:r>
            <w:proofErr w:type="gramStart"/>
            <w:r>
              <w:rPr>
                <w:rFonts w:ascii="Palatino Linotype" w:eastAsia="Palatino Linotype" w:hAnsi="Palatino Linotype" w:cs="Palatino Linotype"/>
                <w:sz w:val="20"/>
                <w:szCs w:val="20"/>
              </w:rPr>
              <w:t>Sesión  -</w:t>
            </w:r>
            <w:proofErr w:type="gramEnd"/>
            <w:r>
              <w:rPr>
                <w:rFonts w:ascii="Palatino Linotype" w:eastAsia="Palatino Linotype" w:hAnsi="Palatino Linotype" w:cs="Palatino Linotype"/>
                <w:sz w:val="20"/>
                <w:szCs w:val="20"/>
              </w:rPr>
              <w:t>&gt; 02/06/2021</w:t>
            </w:r>
          </w:p>
          <w:p w14:paraId="32F4589B"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Trigésimo Octava Sesión    -&gt; 09/09/2021</w:t>
            </w:r>
          </w:p>
          <w:p w14:paraId="62F8142A"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Trigésimo Novena Sesión   -&gt; 13/09/2021</w:t>
            </w:r>
          </w:p>
          <w:p w14:paraId="622A71A3"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Cuadragésima                      -&gt; 20/09/2021</w:t>
            </w:r>
          </w:p>
        </w:tc>
        <w:tc>
          <w:tcPr>
            <w:tcW w:w="1887" w:type="dxa"/>
            <w:vAlign w:val="center"/>
          </w:tcPr>
          <w:p w14:paraId="11566704" w14:textId="77777777" w:rsidR="00B16D10" w:rsidRDefault="004B6999">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16"/>
                <w:szCs w:val="16"/>
              </w:rPr>
              <w:lastRenderedPageBreak/>
              <w:t>PARCIALMENTE</w:t>
            </w:r>
          </w:p>
        </w:tc>
      </w:tr>
      <w:tr w:rsidR="00B16D10" w14:paraId="087D1C3E" w14:textId="77777777">
        <w:tc>
          <w:tcPr>
            <w:tcW w:w="2972" w:type="dxa"/>
            <w:vAlign w:val="center"/>
          </w:tcPr>
          <w:p w14:paraId="26B38835" w14:textId="77777777" w:rsidR="00B16D10" w:rsidRDefault="004B6999">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Actas del Comité de Gobierno Digital</w:t>
            </w:r>
          </w:p>
        </w:tc>
        <w:tc>
          <w:tcPr>
            <w:tcW w:w="3969" w:type="dxa"/>
          </w:tcPr>
          <w:p w14:paraId="507D132C" w14:textId="77777777" w:rsidR="00B16D10" w:rsidRDefault="004B6999">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2019</w:t>
            </w:r>
          </w:p>
          <w:p w14:paraId="6955687B"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Sesión de instalación -&gt; 01/12/2019</w:t>
            </w:r>
          </w:p>
          <w:p w14:paraId="0C962D4C" w14:textId="77777777" w:rsidR="00B16D10" w:rsidRDefault="00B16D10">
            <w:pPr>
              <w:jc w:val="both"/>
              <w:rPr>
                <w:rFonts w:ascii="Palatino Linotype" w:eastAsia="Palatino Linotype" w:hAnsi="Palatino Linotype" w:cs="Palatino Linotype"/>
                <w:sz w:val="20"/>
                <w:szCs w:val="20"/>
              </w:rPr>
            </w:pPr>
          </w:p>
          <w:p w14:paraId="785484B0" w14:textId="77777777" w:rsidR="00B16D10" w:rsidRDefault="004B6999">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2020</w:t>
            </w:r>
          </w:p>
          <w:p w14:paraId="5D734A19" w14:textId="77777777" w:rsidR="00B16D10" w:rsidRDefault="00B16D10">
            <w:pPr>
              <w:jc w:val="both"/>
              <w:rPr>
                <w:rFonts w:ascii="Palatino Linotype" w:eastAsia="Palatino Linotype" w:hAnsi="Palatino Linotype" w:cs="Palatino Linotype"/>
                <w:sz w:val="20"/>
                <w:szCs w:val="20"/>
              </w:rPr>
            </w:pPr>
          </w:p>
          <w:p w14:paraId="2AEE8C28" w14:textId="77777777" w:rsidR="00B16D10" w:rsidRDefault="004B6999">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2021</w:t>
            </w:r>
          </w:p>
          <w:p w14:paraId="1C83A3AA"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Sesión de instalación -&gt; 12/03/2021</w:t>
            </w:r>
          </w:p>
          <w:p w14:paraId="012A6F07" w14:textId="77777777" w:rsidR="00B16D10" w:rsidRDefault="004B6999">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Tercera Sesión            -&gt; 17/03/2021</w:t>
            </w:r>
          </w:p>
        </w:tc>
        <w:tc>
          <w:tcPr>
            <w:tcW w:w="1887" w:type="dxa"/>
            <w:vAlign w:val="center"/>
          </w:tcPr>
          <w:p w14:paraId="53F210D8" w14:textId="77777777" w:rsidR="00B16D10" w:rsidRDefault="004B6999">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16"/>
                <w:szCs w:val="16"/>
              </w:rPr>
              <w:t>PARCIALMENTE</w:t>
            </w:r>
          </w:p>
        </w:tc>
      </w:tr>
    </w:tbl>
    <w:p w14:paraId="42B1396F" w14:textId="77777777" w:rsidR="00B16D10" w:rsidRDefault="00B16D10">
      <w:pPr>
        <w:ind w:left="851" w:right="902"/>
        <w:jc w:val="both"/>
        <w:rPr>
          <w:rFonts w:ascii="Palatino Linotype" w:eastAsia="Palatino Linotype" w:hAnsi="Palatino Linotype" w:cs="Palatino Linotype"/>
          <w:i/>
          <w:sz w:val="22"/>
          <w:szCs w:val="22"/>
        </w:rPr>
      </w:pPr>
    </w:p>
    <w:p w14:paraId="23F53908"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se desprende de la tabla anterior, el soporte documental remitido, si bien se relaciona con la materia de la solicitud, del análisis efectuado por este Órgano Garante se advirtió que es insuficiente para tener por colmado el derecho de acceso a la información de la parte Recurrente, por las razones que a continuación se detallan:</w:t>
      </w:r>
    </w:p>
    <w:p w14:paraId="1199BC5B" w14:textId="77777777" w:rsidR="00B16D10" w:rsidRDefault="004B6999">
      <w:pPr>
        <w:spacing w:before="240" w:after="240" w:line="360" w:lineRule="auto"/>
        <w:jc w:val="both"/>
        <w:rPr>
          <w:rFonts w:ascii="Palatino Linotype" w:eastAsia="Palatino Linotype" w:hAnsi="Palatino Linotype" w:cs="Palatino Linotype"/>
        </w:rPr>
      </w:pPr>
      <w:bookmarkStart w:id="6" w:name="_Hlk95148684"/>
      <w:r>
        <w:rPr>
          <w:rFonts w:ascii="Palatino Linotype" w:eastAsia="Palatino Linotype" w:hAnsi="Palatino Linotype" w:cs="Palatino Linotype"/>
        </w:rPr>
        <w:t xml:space="preserve">En primer lugar, no debe perderse de vista que el particular requirió se le entregara la información en formato abierto, el cual es definido como </w:t>
      </w:r>
      <w:r>
        <w:rPr>
          <w:rFonts w:ascii="Palatino Linotype" w:eastAsia="Palatino Linotype" w:hAnsi="Palatino Linotype" w:cs="Palatino Linotype"/>
          <w:i/>
        </w:rPr>
        <w:t xml:space="preserve">el conjunto de </w:t>
      </w:r>
      <w:r>
        <w:rPr>
          <w:rFonts w:ascii="Palatino Linotype" w:eastAsia="Palatino Linotype" w:hAnsi="Palatino Linotype" w:cs="Palatino Linotype"/>
          <w:i/>
        </w:rPr>
        <w:lastRenderedPageBreak/>
        <w:t xml:space="preserve">características técnicas y de presentación de la información que corresponden a la estructura lógica usada para almacenar datos de forma integral y </w:t>
      </w:r>
      <w:r>
        <w:rPr>
          <w:rFonts w:ascii="Palatino Linotype" w:eastAsia="Palatino Linotype" w:hAnsi="Palatino Linotype" w:cs="Palatino Linotype"/>
          <w:b/>
          <w:i/>
        </w:rPr>
        <w:t>facilitan su procesamiento digital</w:t>
      </w:r>
      <w:r>
        <w:rPr>
          <w:rFonts w:ascii="Palatino Linotype" w:eastAsia="Palatino Linotype" w:hAnsi="Palatino Linotype" w:cs="Palatino Linotype"/>
          <w:i/>
        </w:rPr>
        <w:t xml:space="preserve">, cuyas especificaciones están disponibles públicamente y que </w:t>
      </w:r>
      <w:r>
        <w:rPr>
          <w:rFonts w:ascii="Palatino Linotype" w:eastAsia="Palatino Linotype" w:hAnsi="Palatino Linotype" w:cs="Palatino Linotype"/>
          <w:b/>
          <w:i/>
        </w:rPr>
        <w:t>permiten el acceso sin restricción de uso</w:t>
      </w:r>
      <w:r>
        <w:rPr>
          <w:rFonts w:ascii="Palatino Linotype" w:eastAsia="Palatino Linotype" w:hAnsi="Palatino Linotype" w:cs="Palatino Linotype"/>
          <w:i/>
        </w:rPr>
        <w:t xml:space="preserve"> por parte de los usuarios</w:t>
      </w:r>
      <w:r>
        <w:rPr>
          <w:rFonts w:ascii="Palatino Linotype" w:eastAsia="Palatino Linotype" w:hAnsi="Palatino Linotype" w:cs="Palatino Linotype"/>
        </w:rPr>
        <w:t>, en términos del artículo 3 fracción XVI de la Ley de Acceso a la Información Pública del Estado de México y Municipios.</w:t>
      </w:r>
    </w:p>
    <w:p w14:paraId="51DB975F" w14:textId="77777777" w:rsidR="00B16D10" w:rsidRDefault="004B699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el mismo tenor, el Diccionario de Transparencia y Acceso a la Información Pública del Instituto Nacional de Transparencia, Acceso a la Información y protección de Datos Personales, INAI, define el “formato abierto” como se lee a continuación:</w:t>
      </w:r>
    </w:p>
    <w:p w14:paraId="704AE6B5" w14:textId="77777777" w:rsidR="00B16D10" w:rsidRDefault="004B6999">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“Formato abierto</w:t>
      </w:r>
      <w:r>
        <w:rPr>
          <w:rFonts w:ascii="Palatino Linotype" w:eastAsia="Palatino Linotype" w:hAnsi="Palatino Linotype" w:cs="Palatino Linotype"/>
          <w:i/>
          <w:sz w:val="22"/>
          <w:szCs w:val="22"/>
        </w:rPr>
        <w:t xml:space="preserve"> </w:t>
      </w:r>
    </w:p>
    <w:p w14:paraId="0481ADBC" w14:textId="77777777" w:rsidR="00B16D10" w:rsidRDefault="004B6999">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Cuando un sujeto obligado proporciona información pública de manera electrónica </w:t>
      </w:r>
      <w:r>
        <w:rPr>
          <w:rFonts w:ascii="Palatino Linotype" w:eastAsia="Palatino Linotype" w:hAnsi="Palatino Linotype" w:cs="Palatino Linotype"/>
          <w:b/>
          <w:i/>
          <w:sz w:val="22"/>
          <w:szCs w:val="22"/>
        </w:rPr>
        <w:t>es necesario garantizar su interoperabilidad</w:t>
      </w:r>
      <w:r>
        <w:rPr>
          <w:rFonts w:ascii="Palatino Linotype" w:eastAsia="Palatino Linotype" w:hAnsi="Palatino Linotype" w:cs="Palatino Linotype"/>
          <w:i/>
          <w:sz w:val="22"/>
          <w:szCs w:val="22"/>
        </w:rPr>
        <w:t xml:space="preserve">. Es decir, </w:t>
      </w:r>
      <w:r>
        <w:rPr>
          <w:rFonts w:ascii="Palatino Linotype" w:eastAsia="Palatino Linotype" w:hAnsi="Palatino Linotype" w:cs="Palatino Linotype"/>
          <w:b/>
          <w:i/>
          <w:sz w:val="22"/>
          <w:szCs w:val="22"/>
        </w:rPr>
        <w:t xml:space="preserve">que esta información </w:t>
      </w:r>
      <w:r>
        <w:rPr>
          <w:rFonts w:ascii="Palatino Linotype" w:eastAsia="Palatino Linotype" w:hAnsi="Palatino Linotype" w:cs="Palatino Linotype"/>
          <w:b/>
          <w:i/>
          <w:sz w:val="22"/>
          <w:szCs w:val="22"/>
          <w:u w:val="single"/>
        </w:rPr>
        <w:t>contenga datos en formatos y estándares abiertos para su reproducción y reutilización electrónica</w:t>
      </w:r>
      <w:r>
        <w:rPr>
          <w:rFonts w:ascii="Palatino Linotype" w:eastAsia="Palatino Linotype" w:hAnsi="Palatino Linotype" w:cs="Palatino Linotype"/>
          <w:b/>
          <w:i/>
          <w:sz w:val="22"/>
          <w:szCs w:val="22"/>
        </w:rPr>
        <w:t>; de manera libre, sin ninguna restricción, obligación o compensación</w:t>
      </w:r>
      <w:r>
        <w:rPr>
          <w:rFonts w:ascii="Palatino Linotype" w:eastAsia="Palatino Linotype" w:hAnsi="Palatino Linotype" w:cs="Palatino Linotype"/>
          <w:i/>
          <w:sz w:val="22"/>
          <w:szCs w:val="22"/>
        </w:rPr>
        <w:t xml:space="preserve"> (Media April, 2017). La información no está en un formato abierto, cuando existen datos inaccesibles, en secreto y solo se puede acceder a ellos a través de un procedimiento desconocido para el usuario. (Es preciso aclarar, que pueden existir formatos abiertos con información secreta, cuando por ley es necesario ocultar información clasificada o proteger datos personales)” </w:t>
      </w:r>
    </w:p>
    <w:p w14:paraId="7DF2C20F" w14:textId="77777777" w:rsidR="00B16D10" w:rsidRDefault="004B699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es oportuno mencionar que los datos abiertos, según lo dispuesto en el artículo 3 fracción VIII de la Ley de Transparencia Local, son considerados como los datos digitales de carácter público que son accesibles en línea que pueden ser usados, reutilizados y redistribuidos por cualquier interesado, y tienen las siguientes características: </w:t>
      </w:r>
    </w:p>
    <w:p w14:paraId="650BC590" w14:textId="77777777" w:rsidR="00B16D10" w:rsidRDefault="004B6999">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0FA718EE" w14:textId="77777777" w:rsidR="00B16D10" w:rsidRDefault="004B6999">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 Accesibles:</w:t>
      </w:r>
      <w:r>
        <w:rPr>
          <w:rFonts w:ascii="Palatino Linotype" w:eastAsia="Palatino Linotype" w:hAnsi="Palatino Linotype" w:cs="Palatino Linotype"/>
          <w:i/>
          <w:sz w:val="22"/>
          <w:szCs w:val="22"/>
        </w:rPr>
        <w:t xml:space="preserve"> Los datos están disponibles para la gama más amplia de usuarios, para cualquier propósito; </w:t>
      </w:r>
    </w:p>
    <w:p w14:paraId="1874205B" w14:textId="77777777" w:rsidR="00B16D10" w:rsidRDefault="004B6999">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 Integrales</w:t>
      </w:r>
      <w:r>
        <w:rPr>
          <w:rFonts w:ascii="Palatino Linotype" w:eastAsia="Palatino Linotype" w:hAnsi="Palatino Linotype" w:cs="Palatino Linotype"/>
          <w:i/>
          <w:sz w:val="22"/>
          <w:szCs w:val="22"/>
        </w:rPr>
        <w:t xml:space="preserve">: Contienen el tema que describen a detalle y con los metadatos necesarios; </w:t>
      </w:r>
    </w:p>
    <w:p w14:paraId="3A09F7E2" w14:textId="77777777" w:rsidR="00B16D10" w:rsidRDefault="004B6999">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 Gratuitos</w:t>
      </w:r>
      <w:r>
        <w:rPr>
          <w:rFonts w:ascii="Palatino Linotype" w:eastAsia="Palatino Linotype" w:hAnsi="Palatino Linotype" w:cs="Palatino Linotype"/>
          <w:i/>
          <w:sz w:val="22"/>
          <w:szCs w:val="22"/>
        </w:rPr>
        <w:t xml:space="preserve">: Se obtienen sin entregar a cambio contraprestación alguna; </w:t>
      </w:r>
    </w:p>
    <w:p w14:paraId="2B77751D" w14:textId="77777777" w:rsidR="00B16D10" w:rsidRDefault="004B6999">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 No discriminatorios</w:t>
      </w:r>
      <w:r>
        <w:rPr>
          <w:rFonts w:ascii="Palatino Linotype" w:eastAsia="Palatino Linotype" w:hAnsi="Palatino Linotype" w:cs="Palatino Linotype"/>
          <w:i/>
          <w:sz w:val="22"/>
          <w:szCs w:val="22"/>
        </w:rPr>
        <w:t xml:space="preserve">: Los datos están disponibles para cualquier persona, sin necesidad de registro; </w:t>
      </w:r>
    </w:p>
    <w:p w14:paraId="20D4B579" w14:textId="77777777" w:rsidR="00B16D10" w:rsidRDefault="004B6999">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 Oportunos:</w:t>
      </w:r>
      <w:r>
        <w:rPr>
          <w:rFonts w:ascii="Palatino Linotype" w:eastAsia="Palatino Linotype" w:hAnsi="Palatino Linotype" w:cs="Palatino Linotype"/>
          <w:i/>
          <w:sz w:val="22"/>
          <w:szCs w:val="22"/>
        </w:rPr>
        <w:t xml:space="preserve"> Son actualizados, periódicamente, conforme se generen; </w:t>
      </w:r>
    </w:p>
    <w:p w14:paraId="1B42B7EE" w14:textId="77777777" w:rsidR="00B16D10" w:rsidRDefault="004B6999">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 Permanentes</w:t>
      </w:r>
      <w:r>
        <w:rPr>
          <w:rFonts w:ascii="Palatino Linotype" w:eastAsia="Palatino Linotype" w:hAnsi="Palatino Linotype" w:cs="Palatino Linotype"/>
          <w:i/>
          <w:sz w:val="22"/>
          <w:szCs w:val="22"/>
        </w:rPr>
        <w:t xml:space="preserve">: Se conservan en el tiempo, para lo cual, las versiones históricas relevantes para uso público se mantendrán disponibles con identificadores adecuados al efecto; </w:t>
      </w:r>
    </w:p>
    <w:p w14:paraId="6996D82F" w14:textId="77777777" w:rsidR="00B16D10" w:rsidRDefault="004B6999">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g) Primarios:</w:t>
      </w:r>
      <w:r>
        <w:rPr>
          <w:rFonts w:ascii="Palatino Linotype" w:eastAsia="Palatino Linotype" w:hAnsi="Palatino Linotype" w:cs="Palatino Linotype"/>
          <w:i/>
          <w:sz w:val="22"/>
          <w:szCs w:val="22"/>
        </w:rPr>
        <w:t xml:space="preserve"> Provienen de la fuente de origen con el máximo nivel de desagregación posible; </w:t>
      </w:r>
    </w:p>
    <w:p w14:paraId="5AF08227" w14:textId="77777777" w:rsidR="00B16D10" w:rsidRDefault="004B6999">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h) Legibles por máquinas</w:t>
      </w:r>
      <w:r>
        <w:rPr>
          <w:rFonts w:ascii="Palatino Linotype" w:eastAsia="Palatino Linotype" w:hAnsi="Palatino Linotype" w:cs="Palatino Linotype"/>
          <w:i/>
          <w:sz w:val="22"/>
          <w:szCs w:val="22"/>
        </w:rPr>
        <w:t xml:space="preserve">: Deberán estar estructurados, total o parcialmente, para ser procesados e interpretados por equipos electrónicos de manera automática; </w:t>
      </w:r>
    </w:p>
    <w:p w14:paraId="57BDEE67" w14:textId="77777777" w:rsidR="00B16D10" w:rsidRDefault="004B6999">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En formatos abiertos</w:t>
      </w:r>
      <w:r>
        <w:rPr>
          <w:rFonts w:ascii="Palatino Linotype" w:eastAsia="Palatino Linotype" w:hAnsi="Palatino Linotype" w:cs="Palatino Linotype"/>
          <w:i/>
          <w:sz w:val="22"/>
          <w:szCs w:val="22"/>
        </w:rPr>
        <w:t>: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14:paraId="2C6FD643" w14:textId="77777777" w:rsidR="00B16D10" w:rsidRDefault="004B6999">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j) De libre uso</w:t>
      </w:r>
      <w:r>
        <w:rPr>
          <w:rFonts w:ascii="Palatino Linotype" w:eastAsia="Palatino Linotype" w:hAnsi="Palatino Linotype" w:cs="Palatino Linotype"/>
          <w:i/>
          <w:sz w:val="22"/>
          <w:szCs w:val="22"/>
        </w:rPr>
        <w:t>: Citan la fuente de origen como único requerimiento para ser utilizados libremente.”</w:t>
      </w:r>
    </w:p>
    <w:p w14:paraId="597B90F2" w14:textId="77777777" w:rsidR="00B16D10" w:rsidRDefault="004B699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un aspecto técnico, enfocado en el formato del dato, se puede afirmar que los datos son abiertos cuando no se encuentran barreras para utilizarlos, reutilizarlos y redistribuirlos libremente por cualquier persona, en cualquier momento y en cualquier lugar, con el único requisito, en algunos casos, de atribuir y/o compartir de la misma forma.</w:t>
      </w:r>
    </w:p>
    <w:p w14:paraId="74746E20" w14:textId="77777777" w:rsidR="00B16D10" w:rsidRDefault="004B699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en el caso concreto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las actas de los Comités en formato PDF </w:t>
      </w:r>
      <w:r>
        <w:rPr>
          <w:rFonts w:ascii="Palatino Linotype" w:eastAsia="Palatino Linotype" w:hAnsi="Palatino Linotype" w:cs="Palatino Linotype"/>
          <w:sz w:val="22"/>
          <w:szCs w:val="22"/>
        </w:rPr>
        <w:t xml:space="preserve">-por sus siglas en inglés </w:t>
      </w:r>
      <w:r>
        <w:rPr>
          <w:rFonts w:ascii="Palatino Linotype" w:eastAsia="Palatino Linotype" w:hAnsi="Palatino Linotype" w:cs="Palatino Linotype"/>
          <w:i/>
          <w:sz w:val="22"/>
          <w:szCs w:val="22"/>
        </w:rPr>
        <w:t xml:space="preserve">Portable </w:t>
      </w:r>
      <w:proofErr w:type="spellStart"/>
      <w:r>
        <w:rPr>
          <w:rFonts w:ascii="Palatino Linotype" w:eastAsia="Palatino Linotype" w:hAnsi="Palatino Linotype" w:cs="Palatino Linotype"/>
          <w:i/>
          <w:sz w:val="22"/>
          <w:szCs w:val="22"/>
        </w:rPr>
        <w:t>Document</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Format</w:t>
      </w:r>
      <w:proofErr w:type="spellEnd"/>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 sin</w:t>
      </w:r>
      <w:proofErr w:type="gramEnd"/>
      <w:r>
        <w:rPr>
          <w:rFonts w:ascii="Palatino Linotype" w:eastAsia="Palatino Linotype" w:hAnsi="Palatino Linotype" w:cs="Palatino Linotype"/>
        </w:rPr>
        <w:t xml:space="preserve"> embargo, no cumple con la característica de formato abierto.</w:t>
      </w:r>
    </w:p>
    <w:p w14:paraId="31B1B624" w14:textId="77777777" w:rsidR="00B16D10" w:rsidRDefault="004B699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Lo anterior se afirma así, en virtud de que si bien el formato PDF puede ser considerado como el más bajo de datos abiertos, al tratarse de un estándar reconocido por la Organización Internacional para la Estandarización (ISO), puesto que los documentos en dicho formato pueden contener vínculos, botones, campos de formulario, audio, vídeo y lógica empresarial, los cuales, se pueden firmar electrónicamente y pueden consultarse con facilidad en Windows o Mac OS utilizando el software gratuito Acrobat Reader DC, en el caso que nos ocupa, se trata de una digitalización de los documentos originales, que no permite editar,  modificar, o procesar su contenido,  y por consiguiente, no es posible su reutilización, tal y como se ilustra a continuación:</w:t>
      </w:r>
    </w:p>
    <w:bookmarkEnd w:id="6"/>
    <w:p w14:paraId="09A547F1" w14:textId="77777777" w:rsidR="00B16D10" w:rsidRDefault="004B699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6503845F" wp14:editId="52FA2D0B">
            <wp:extent cx="5580000" cy="3277895"/>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80000" cy="3277895"/>
                    </a:xfrm>
                    <a:prstGeom prst="rect">
                      <a:avLst/>
                    </a:prstGeom>
                    <a:ln/>
                  </pic:spPr>
                </pic:pic>
              </a:graphicData>
            </a:graphic>
          </wp:inline>
        </w:drawing>
      </w:r>
    </w:p>
    <w:p w14:paraId="24C59942" w14:textId="77777777" w:rsidR="00B16D10" w:rsidRDefault="004B699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629ED47D" wp14:editId="024AA2EB">
            <wp:extent cx="5580000" cy="2936842"/>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b="16215"/>
                    <a:stretch>
                      <a:fillRect/>
                    </a:stretch>
                  </pic:blipFill>
                  <pic:spPr>
                    <a:xfrm>
                      <a:off x="0" y="0"/>
                      <a:ext cx="5580000" cy="2936842"/>
                    </a:xfrm>
                    <a:prstGeom prst="rect">
                      <a:avLst/>
                    </a:prstGeom>
                    <a:ln/>
                  </pic:spPr>
                </pic:pic>
              </a:graphicData>
            </a:graphic>
          </wp:inline>
        </w:drawing>
      </w:r>
    </w:p>
    <w:p w14:paraId="4B952F00" w14:textId="77777777" w:rsidR="00B16D10" w:rsidRDefault="004B699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0458CD3E" wp14:editId="5DC67C05">
            <wp:extent cx="5580000" cy="3069474"/>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580000" cy="3069474"/>
                    </a:xfrm>
                    <a:prstGeom prst="rect">
                      <a:avLst/>
                    </a:prstGeom>
                    <a:ln/>
                  </pic:spPr>
                </pic:pic>
              </a:graphicData>
            </a:graphic>
          </wp:inline>
        </w:drawing>
      </w:r>
    </w:p>
    <w:p w14:paraId="3538EB6B" w14:textId="77777777" w:rsidR="00B16D10" w:rsidRDefault="004B6999">
      <w:pPr>
        <w:spacing w:before="240" w:after="240" w:line="360" w:lineRule="auto"/>
        <w:ind w:right="51"/>
        <w:jc w:val="both"/>
        <w:rPr>
          <w:rFonts w:ascii="Palatino Linotype" w:eastAsia="Palatino Linotype" w:hAnsi="Palatino Linotype" w:cs="Palatino Linotype"/>
        </w:rPr>
      </w:pPr>
      <w:bookmarkStart w:id="7" w:name="_Hlk95148720"/>
      <w:r>
        <w:rPr>
          <w:rFonts w:ascii="Palatino Linotype" w:eastAsia="Palatino Linotype" w:hAnsi="Palatino Linotype" w:cs="Palatino Linotype"/>
        </w:rPr>
        <w:t xml:space="preserve">En esta tesitura, es oportuno referir que los Sujetos se encuentran obligados a promover la generación, documentación y publicación de la información en formatos abiertos y accesibles, asimismo, que este Instituto, con independencia de </w:t>
      </w:r>
      <w:r>
        <w:rPr>
          <w:rFonts w:ascii="Palatino Linotype" w:eastAsia="Palatino Linotype" w:hAnsi="Palatino Linotype" w:cs="Palatino Linotype"/>
        </w:rPr>
        <w:lastRenderedPageBreak/>
        <w:t>las obligaciones en materia de transparencia que deben solventar los sujetos obligados, debe promover la publicación de la información en datos abiertos y accesibles, de conformidad con los artículos 24 fracción V y 41 de la Ley de la Materia, a saber:</w:t>
      </w:r>
    </w:p>
    <w:p w14:paraId="63AC283C"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24</w:t>
      </w:r>
      <w:r>
        <w:rPr>
          <w:rFonts w:ascii="Palatino Linotype" w:eastAsia="Palatino Linotype" w:hAnsi="Palatino Linotype" w:cs="Palatino Linotype"/>
          <w:i/>
          <w:sz w:val="22"/>
          <w:szCs w:val="22"/>
        </w:rPr>
        <w:t xml:space="preserve">. Para el cumplimiento de los objetivos de esta Ley, </w:t>
      </w:r>
      <w:r>
        <w:rPr>
          <w:rFonts w:ascii="Palatino Linotype" w:eastAsia="Palatino Linotype" w:hAnsi="Palatino Linotype" w:cs="Palatino Linotype"/>
          <w:b/>
          <w:i/>
          <w:sz w:val="22"/>
          <w:szCs w:val="22"/>
        </w:rPr>
        <w:t>los sujetos obligados deberán cumplir con las siguientes obligaciones</w:t>
      </w:r>
      <w:r>
        <w:rPr>
          <w:rFonts w:ascii="Palatino Linotype" w:eastAsia="Palatino Linotype" w:hAnsi="Palatino Linotype" w:cs="Palatino Linotype"/>
          <w:i/>
          <w:sz w:val="22"/>
          <w:szCs w:val="22"/>
        </w:rPr>
        <w:t>, según corresponda, de acuerdo a su naturaleza:</w:t>
      </w:r>
    </w:p>
    <w:p w14:paraId="5E9060C2" w14:textId="77777777" w:rsidR="00B16D10" w:rsidRDefault="004B6999">
      <w:pP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63DCDFF2" w14:textId="77777777" w:rsidR="00B16D10" w:rsidRDefault="004B6999">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Promover la generación, documentación y publicación de la información en formatos abiertos y accesibles</w:t>
      </w:r>
      <w:r>
        <w:rPr>
          <w:rFonts w:ascii="Palatino Linotype" w:eastAsia="Palatino Linotype" w:hAnsi="Palatino Linotype" w:cs="Palatino Linotype"/>
          <w:i/>
          <w:sz w:val="22"/>
          <w:szCs w:val="22"/>
        </w:rPr>
        <w:t>;</w:t>
      </w:r>
    </w:p>
    <w:p w14:paraId="2B882F37"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28824D4"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41</w:t>
      </w:r>
      <w:r>
        <w:rPr>
          <w:rFonts w:ascii="Palatino Linotype" w:eastAsia="Palatino Linotype" w:hAnsi="Palatino Linotype" w:cs="Palatino Linotype"/>
          <w:i/>
          <w:sz w:val="22"/>
          <w:szCs w:val="22"/>
        </w:rPr>
        <w:t xml:space="preserve">. El Instituto promoverá la </w:t>
      </w:r>
      <w:r>
        <w:rPr>
          <w:rFonts w:ascii="Palatino Linotype" w:eastAsia="Palatino Linotype" w:hAnsi="Palatino Linotype" w:cs="Palatino Linotype"/>
          <w:b/>
          <w:i/>
          <w:sz w:val="22"/>
          <w:szCs w:val="22"/>
        </w:rPr>
        <w:t xml:space="preserve">publicación de la información en datos abiertos </w:t>
      </w:r>
      <w:r>
        <w:rPr>
          <w:rFonts w:ascii="Palatino Linotype" w:eastAsia="Palatino Linotype" w:hAnsi="Palatino Linotype" w:cs="Palatino Linotype"/>
          <w:i/>
          <w:sz w:val="22"/>
          <w:szCs w:val="22"/>
        </w:rPr>
        <w:t>y accesibles.”</w:t>
      </w:r>
    </w:p>
    <w:p w14:paraId="5BF9964E" w14:textId="77777777" w:rsidR="00B16D10" w:rsidRDefault="004B6999">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consecuencia, para tener por colmado el derecho de acceso a la información del particular, las actas de las Sesiones celebradas por el Comité de Planeación para el Desarrollo Municipal, el Comité de Transparencia y el Comité Interno de Gobierno Digital, en los ejercicios 2019, 2020 y 2021, deben ser entregadas en formato abierto.</w:t>
      </w:r>
    </w:p>
    <w:bookmarkEnd w:id="7"/>
    <w:p w14:paraId="11081E82"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segundo lugar, derivado del análisis efectuado por este Órgano Garante, se advirtió que las actas de Sesión remitidas no están completas, de conformidad con lo siguiente: </w:t>
      </w:r>
    </w:p>
    <w:p w14:paraId="7F87117A"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Respecto de los Comités de Transparencia y Gobierno Digital, resulta aplicable lo establecido en los artículos 47 párrafo tercero de la Ley de Transparencia y Acceso a la Información Pública del Estado de México y Municipios, 2 fracción VII y 24 fracciones II y III del Reglamento de Gobierno Digital del Estado de México y Municipios, a saber:</w:t>
      </w:r>
    </w:p>
    <w:p w14:paraId="7BB6749F" w14:textId="77777777" w:rsidR="00B16D10" w:rsidRDefault="004B6999">
      <w:pPr>
        <w:pBdr>
          <w:top w:val="nil"/>
          <w:left w:val="nil"/>
          <w:bottom w:val="nil"/>
          <w:right w:val="nil"/>
          <w:between w:val="nil"/>
        </w:pBdr>
        <w:spacing w:before="120" w:after="12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47</w:t>
      </w:r>
      <w:r>
        <w:rPr>
          <w:rFonts w:ascii="Palatino Linotype" w:eastAsia="Palatino Linotype" w:hAnsi="Palatino Linotype" w:cs="Palatino Linotype"/>
          <w:i/>
          <w:color w:val="000000"/>
          <w:sz w:val="22"/>
          <w:szCs w:val="22"/>
        </w:rPr>
        <w:t>. El Comité de Transparencia será la autoridad máxima al interior del sujeto obligado en materia del derecho de acceso a la información.</w:t>
      </w:r>
    </w:p>
    <w:p w14:paraId="21A4E8FB" w14:textId="77777777" w:rsidR="00B16D10" w:rsidRDefault="004B6999">
      <w:pPr>
        <w:pBdr>
          <w:top w:val="nil"/>
          <w:left w:val="nil"/>
          <w:bottom w:val="nil"/>
          <w:right w:val="nil"/>
          <w:between w:val="nil"/>
        </w:pBdr>
        <w:spacing w:before="120" w:after="12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E8AAA58" w14:textId="77777777" w:rsidR="00B16D10" w:rsidRDefault="004B6999">
      <w:pPr>
        <w:pBdr>
          <w:top w:val="nil"/>
          <w:left w:val="nil"/>
          <w:bottom w:val="nil"/>
          <w:right w:val="nil"/>
          <w:between w:val="nil"/>
        </w:pBdr>
        <w:spacing w:before="120" w:after="12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Comité </w:t>
      </w:r>
      <w:r>
        <w:rPr>
          <w:rFonts w:ascii="Palatino Linotype" w:eastAsia="Palatino Linotype" w:hAnsi="Palatino Linotype" w:cs="Palatino Linotype"/>
          <w:b/>
          <w:i/>
          <w:color w:val="000000"/>
          <w:sz w:val="22"/>
          <w:szCs w:val="22"/>
        </w:rPr>
        <w:t>se reunirá en sesión ordinaria o extraordinaria las veces que estime necesario</w:t>
      </w:r>
      <w:r>
        <w:rPr>
          <w:rFonts w:ascii="Palatino Linotype" w:eastAsia="Palatino Linotype" w:hAnsi="Palatino Linotype" w:cs="Palatino Linotype"/>
          <w:i/>
          <w:color w:val="000000"/>
          <w:sz w:val="22"/>
          <w:szCs w:val="22"/>
        </w:rPr>
        <w:t>. El tipo de sesión se precisará en la convocatoria emitida.”</w:t>
      </w:r>
    </w:p>
    <w:p w14:paraId="38B5BE8C" w14:textId="77777777" w:rsidR="00B16D10" w:rsidRDefault="004B6999">
      <w:pPr>
        <w:pBdr>
          <w:top w:val="nil"/>
          <w:left w:val="nil"/>
          <w:bottom w:val="nil"/>
          <w:right w:val="nil"/>
          <w:between w:val="nil"/>
        </w:pBdr>
        <w:spacing w:before="120" w:after="12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w:t>
      </w:r>
      <w:r>
        <w:rPr>
          <w:rFonts w:ascii="Palatino Linotype" w:eastAsia="Palatino Linotype" w:hAnsi="Palatino Linotype" w:cs="Palatino Linotype"/>
          <w:i/>
          <w:color w:val="000000"/>
          <w:sz w:val="22"/>
          <w:szCs w:val="22"/>
        </w:rPr>
        <w:t xml:space="preserve"> Para efectos del presente Reglamento, además de las definiciones previstas en la Ley, se entenderá por:</w:t>
      </w:r>
    </w:p>
    <w:p w14:paraId="2F5BCCC3" w14:textId="77777777" w:rsidR="00B16D10" w:rsidRDefault="004B6999">
      <w:pPr>
        <w:pBdr>
          <w:top w:val="nil"/>
          <w:left w:val="nil"/>
          <w:bottom w:val="nil"/>
          <w:right w:val="nil"/>
          <w:between w:val="nil"/>
        </w:pBdr>
        <w:spacing w:before="120" w:after="120"/>
        <w:ind w:left="1134"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14:paraId="6FCB2EC0" w14:textId="77777777" w:rsidR="00B16D10" w:rsidRDefault="004B6999">
      <w:pPr>
        <w:pBdr>
          <w:top w:val="nil"/>
          <w:left w:val="nil"/>
          <w:bottom w:val="nil"/>
          <w:right w:val="nil"/>
          <w:between w:val="nil"/>
        </w:pBdr>
        <w:spacing w:before="120" w:after="120"/>
        <w:ind w:left="1134"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VII. Comité Interno</w:t>
      </w:r>
      <w:r>
        <w:rPr>
          <w:rFonts w:ascii="Palatino Linotype" w:eastAsia="Palatino Linotype" w:hAnsi="Palatino Linotype" w:cs="Palatino Linotype"/>
          <w:i/>
          <w:color w:val="000000"/>
          <w:sz w:val="22"/>
          <w:szCs w:val="22"/>
        </w:rPr>
        <w:t>: al Comité Interno de Gobierno Digital, que es el órgano colegiado en materia de gobierno digital, constituido al interior de cada sujeto de la Ley, con la finalidad de realizar acciones de apoyo, orientación y ejecución para el cumplimiento del objeto de la Ley</w:t>
      </w:r>
    </w:p>
    <w:p w14:paraId="60CD7AC0" w14:textId="77777777" w:rsidR="00B16D10" w:rsidRDefault="004B6999">
      <w:pPr>
        <w:pBdr>
          <w:top w:val="nil"/>
          <w:left w:val="nil"/>
          <w:bottom w:val="nil"/>
          <w:right w:val="nil"/>
          <w:between w:val="nil"/>
        </w:pBdr>
        <w:spacing w:before="120" w:after="12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24.</w:t>
      </w:r>
      <w:r>
        <w:rPr>
          <w:rFonts w:ascii="Palatino Linotype" w:eastAsia="Palatino Linotype" w:hAnsi="Palatino Linotype" w:cs="Palatino Linotype"/>
          <w:i/>
          <w:color w:val="000000"/>
          <w:sz w:val="22"/>
          <w:szCs w:val="22"/>
        </w:rPr>
        <w:t xml:space="preserve"> Corresponde al Comité Interno:</w:t>
      </w:r>
    </w:p>
    <w:p w14:paraId="45EB1375" w14:textId="77777777" w:rsidR="00B16D10" w:rsidRDefault="004B6999">
      <w:pPr>
        <w:pBdr>
          <w:top w:val="nil"/>
          <w:left w:val="nil"/>
          <w:bottom w:val="nil"/>
          <w:right w:val="nil"/>
          <w:between w:val="nil"/>
        </w:pBdr>
        <w:spacing w:before="120" w:after="120"/>
        <w:ind w:left="1134"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14:paraId="66564512" w14:textId="77777777" w:rsidR="00B16D10" w:rsidRDefault="004B6999">
      <w:pPr>
        <w:pBdr>
          <w:top w:val="nil"/>
          <w:left w:val="nil"/>
          <w:bottom w:val="nil"/>
          <w:right w:val="nil"/>
          <w:between w:val="nil"/>
        </w:pBdr>
        <w:spacing w:before="120" w:after="120"/>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Sesionar ordinariamente</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por lo menos dos veces por año</w:t>
      </w:r>
      <w:r>
        <w:rPr>
          <w:rFonts w:ascii="Palatino Linotype" w:eastAsia="Palatino Linotype" w:hAnsi="Palatino Linotype" w:cs="Palatino Linotype"/>
          <w:i/>
          <w:color w:val="000000"/>
          <w:sz w:val="22"/>
          <w:szCs w:val="22"/>
        </w:rPr>
        <w:t xml:space="preserve">, previa convocatoria del </w:t>
      </w:r>
      <w:proofErr w:type="gramStart"/>
      <w:r>
        <w:rPr>
          <w:rFonts w:ascii="Palatino Linotype" w:eastAsia="Palatino Linotype" w:hAnsi="Palatino Linotype" w:cs="Palatino Linotype"/>
          <w:i/>
          <w:color w:val="000000"/>
          <w:sz w:val="22"/>
          <w:szCs w:val="22"/>
        </w:rPr>
        <w:t>Presidente</w:t>
      </w:r>
      <w:proofErr w:type="gramEnd"/>
      <w:r>
        <w:rPr>
          <w:rFonts w:ascii="Palatino Linotype" w:eastAsia="Palatino Linotype" w:hAnsi="Palatino Linotype" w:cs="Palatino Linotype"/>
          <w:i/>
          <w:color w:val="000000"/>
          <w:sz w:val="22"/>
          <w:szCs w:val="22"/>
        </w:rPr>
        <w:t xml:space="preserve"> del Comité Interno, por medio de su Secretario Ejecutivo, realizada cuando menos con cinco días hábiles de anticipación; </w:t>
      </w:r>
    </w:p>
    <w:p w14:paraId="16A4AE04" w14:textId="77777777" w:rsidR="00B16D10" w:rsidRDefault="004B6999">
      <w:pPr>
        <w:pBdr>
          <w:top w:val="nil"/>
          <w:left w:val="nil"/>
          <w:bottom w:val="nil"/>
          <w:right w:val="nil"/>
          <w:between w:val="nil"/>
        </w:pBdr>
        <w:spacing w:before="120" w:after="120"/>
        <w:ind w:left="1134"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Sesionar de manera extraordinaria</w:t>
      </w:r>
      <w:r>
        <w:rPr>
          <w:rFonts w:ascii="Palatino Linotype" w:eastAsia="Palatino Linotype" w:hAnsi="Palatino Linotype" w:cs="Palatino Linotype"/>
          <w:i/>
          <w:color w:val="000000"/>
          <w:sz w:val="22"/>
          <w:szCs w:val="22"/>
        </w:rPr>
        <w:t xml:space="preserve">, por solicitud de cualquiera de sus integrantes, al </w:t>
      </w:r>
      <w:proofErr w:type="gramStart"/>
      <w:r>
        <w:rPr>
          <w:rFonts w:ascii="Palatino Linotype" w:eastAsia="Palatino Linotype" w:hAnsi="Palatino Linotype" w:cs="Palatino Linotype"/>
          <w:i/>
          <w:color w:val="000000"/>
          <w:sz w:val="22"/>
          <w:szCs w:val="22"/>
        </w:rPr>
        <w:t>Presidente</w:t>
      </w:r>
      <w:proofErr w:type="gramEnd"/>
      <w:r>
        <w:rPr>
          <w:rFonts w:ascii="Palatino Linotype" w:eastAsia="Palatino Linotype" w:hAnsi="Palatino Linotype" w:cs="Palatino Linotype"/>
          <w:i/>
          <w:color w:val="000000"/>
          <w:sz w:val="22"/>
          <w:szCs w:val="22"/>
        </w:rPr>
        <w:t xml:space="preserve"> del Comité Interno, por medio de su Secretario Ejecutivo;”</w:t>
      </w:r>
    </w:p>
    <w:p w14:paraId="46B48733"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los preceptos anteriores se advierte que los Comités de Transparencia y Gobierno Digital, están facultados para sesionar de forma ordinaria y extraordinaria, el primero las veces que se estime necesario de forma ordinaria y extraordinaria, y el segundo por lo menos dos veces por año de manera ordinaria, y a solicitud de cualquiera de sus integrantes de manera extraordinaria.</w:t>
      </w:r>
    </w:p>
    <w:p w14:paraId="16B38EC4"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esta tesitura, respecto de las actas de las sesiones ordinarias del Comité de Transparencia remitidas, se advirtió que la correspondiente a la Sesión Décimo Segunda, celebrada el treinta y uno de enero de dos mil veinte, no se digitalizó correctamente, como se observa a continuación:</w:t>
      </w:r>
    </w:p>
    <w:p w14:paraId="0178A383"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noProof/>
          <w:color w:val="000000"/>
          <w:lang w:val="es-MX"/>
        </w:rPr>
        <w:lastRenderedPageBreak/>
        <w:drawing>
          <wp:inline distT="0" distB="0" distL="0" distR="0" wp14:anchorId="2290BB01" wp14:editId="2562CED6">
            <wp:extent cx="5610860" cy="2600325"/>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1" b="64978"/>
                    <a:stretch>
                      <a:fillRect/>
                    </a:stretch>
                  </pic:blipFill>
                  <pic:spPr>
                    <a:xfrm>
                      <a:off x="0" y="0"/>
                      <a:ext cx="5610860" cy="2600325"/>
                    </a:xfrm>
                    <a:prstGeom prst="rect">
                      <a:avLst/>
                    </a:prstGeom>
                    <a:ln/>
                  </pic:spPr>
                </pic:pic>
              </a:graphicData>
            </a:graphic>
          </wp:inline>
        </w:drawing>
      </w:r>
    </w:p>
    <w:p w14:paraId="0C2595CF"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cuanto hace a las actas de las sesiones ordinarias del Comité de Gobierno Digital, la Ley aplicable dispone de manera expresa que dicho Comité debe sesionar por lo menos dos veces por año, esto es, se debe contar por lo menos con dos actas por ejercicio, debiendo contar, a la fecha de presentación de la solicitud con un aproximado de cinco o seis actas </w:t>
      </w:r>
      <w:r>
        <w:rPr>
          <w:rFonts w:ascii="Palatino Linotype" w:eastAsia="Palatino Linotype" w:hAnsi="Palatino Linotype" w:cs="Palatino Linotype"/>
          <w:color w:val="000000"/>
          <w:u w:val="single"/>
        </w:rPr>
        <w:t>como mínimo</w:t>
      </w:r>
      <w:r>
        <w:rPr>
          <w:rFonts w:ascii="Palatino Linotype" w:eastAsia="Palatino Linotype" w:hAnsi="Palatino Linotype" w:cs="Palatino Linotype"/>
          <w:color w:val="000000"/>
        </w:rPr>
        <w:t xml:space="preserve">, sin </w:t>
      </w:r>
      <w:r>
        <w:rPr>
          <w:rFonts w:ascii="Palatino Linotype" w:eastAsia="Palatino Linotype" w:hAnsi="Palatino Linotype" w:cs="Palatino Linotype"/>
        </w:rPr>
        <w:t>embargo</w:t>
      </w:r>
      <w:r>
        <w:rPr>
          <w:rFonts w:ascii="Palatino Linotype" w:eastAsia="Palatino Linotype" w:hAnsi="Palatino Linotype" w:cs="Palatino Linotype"/>
          <w:color w:val="000000"/>
        </w:rPr>
        <w:t>, se remitieron únicamente tres, de las cuales ninguna corresponde al ejercicio 2020.</w:t>
      </w:r>
    </w:p>
    <w:p w14:paraId="18F0E90A"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bookmarkStart w:id="8" w:name="_Hlk95148834"/>
      <w:r>
        <w:rPr>
          <w:rFonts w:ascii="Palatino Linotype" w:eastAsia="Palatino Linotype" w:hAnsi="Palatino Linotype" w:cs="Palatino Linotype"/>
          <w:color w:val="000000"/>
        </w:rPr>
        <w:t xml:space="preserve">Asimismo,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 se limitó a proporcionar únicamente las actas de las sesiones ordinarias de ambos Comités, no obstante, como ya se precisó, estos cuentan con la potestad de sesionar de forma extraordinaria, cuando así se considera necesario, sin embargo, en el expediente electrónico en el que se actúa, no existe constancia de pronunciamiento alguno  respecto de la celebración de sesiones extraordinarias, es decir, la respuesta no agotó los principios de congruencia y exhaustividad.</w:t>
      </w:r>
    </w:p>
    <w:p w14:paraId="6D28E482"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Robustece lo </w:t>
      </w:r>
      <w:proofErr w:type="gramStart"/>
      <w:r>
        <w:rPr>
          <w:rFonts w:ascii="Palatino Linotype" w:eastAsia="Palatino Linotype" w:hAnsi="Palatino Linotype" w:cs="Palatino Linotype"/>
          <w:color w:val="000000"/>
        </w:rPr>
        <w:t>anterior  el</w:t>
      </w:r>
      <w:proofErr w:type="gramEnd"/>
      <w:r>
        <w:rPr>
          <w:rFonts w:ascii="Palatino Linotype" w:eastAsia="Palatino Linotype" w:hAnsi="Palatino Linotype" w:cs="Palatino Linotype"/>
          <w:color w:val="000000"/>
        </w:rPr>
        <w:t xml:space="preserve"> Criterio 02/17, emitido por el Pleno del Instituto Nacional de Transparencia y Acceso a la Información y Protección de Datos Personales, de título y texto siguientes:</w:t>
      </w:r>
    </w:p>
    <w:p w14:paraId="54D33670" w14:textId="77777777" w:rsidR="00B16D10" w:rsidRDefault="004B6999">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bookmarkEnd w:id="8"/>
    <w:p w14:paraId="45DC5BCD"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las actas de Comité de Planeación, es oportuno referir que este Instituto procedió al análisis de la Ley de Planeación del Estado de México y Municipios y su Reglamento, como normatividad aplicable, sin localizar de manera específica disposición legal que regule las formalidades de las sesiones de dicho Comité.</w:t>
      </w:r>
    </w:p>
    <w:p w14:paraId="31BA9DA4"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tomando en consideración el contenido del artículo 92 fracción I</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del Estado de México y </w:t>
      </w:r>
      <w:r>
        <w:rPr>
          <w:rFonts w:ascii="Palatino Linotype" w:eastAsia="Palatino Linotype" w:hAnsi="Palatino Linotype" w:cs="Palatino Linotype"/>
        </w:rPr>
        <w:lastRenderedPageBreak/>
        <w:t xml:space="preserve">Municipios, mismo que establece la obligación de oficio de publicar en los respectivos medios electrónicos el marco normativo aplicable, que incluye reglamentos, acuerdos, convenios, manuales de organización y procedimientos, se procedió a realizar la búsqueda del Reglamento Orgánico de la Administración Pública Municipal de Jaltenco, ordenamiento que se encuentra contemplado en el artículo 3 fracción XXXV del Bando Municipal, así como del Reglamento del Comité de Planeación para el Desarrollo Municipal de Jaltenco, conforme a lo previsto en el artículo 83 fracción V de la Ley Orgánica Municipal, con la finalidad de determinar las formalidades para la celebración de sesiones por parte del referido Comité, no obstante de la consulta efectuada en el portal de Información pública de Oficio Mexiquense, IPOMEX,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así como en su página oficial,</w:t>
      </w:r>
      <w:r>
        <w:rPr>
          <w:rFonts w:ascii="Palatino Linotype" w:eastAsia="Palatino Linotype" w:hAnsi="Palatino Linotype" w:cs="Palatino Linotype"/>
          <w:b/>
        </w:rPr>
        <w:t xml:space="preserve"> </w:t>
      </w:r>
      <w:r>
        <w:rPr>
          <w:rFonts w:ascii="Palatino Linotype" w:eastAsia="Palatino Linotype" w:hAnsi="Palatino Linotype" w:cs="Palatino Linotype"/>
        </w:rPr>
        <w:t>no fue posible localizar ninguno de los ordenamientos referidos.</w:t>
      </w:r>
    </w:p>
    <w:p w14:paraId="5F3E7212"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Tomando en consideración tales argumentos, así como el hecho de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 fue omiso en emitir pronunciamiento alguno respecto de la periodicidad de la celebración de las sesiones ordinarias y la potestad de celebrar sesiones extraordinarias, es de señalar que este Órgano Garante no cuenta con elementos que le permitan establecer la obligación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para celebrar una sesión ordinaria en el periodo comprendido del veintisiete de julio al veintiuno de septiembre de dos mil veintiuno, así como  sesiones extraordinarias de los ejercicios 2019, 2020 y 2021.</w:t>
      </w:r>
    </w:p>
    <w:p w14:paraId="79AB000A"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orden de ideas, es indispensable ordenar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que,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previa búsqueda exhaustiva y razonable, haga entrega del soporte documental en formato abierto, de la totalidad de las Actas de las Sesiones ordinarias y extraordinarias </w:t>
      </w:r>
      <w:r>
        <w:rPr>
          <w:rFonts w:ascii="Palatino Linotype" w:eastAsia="Palatino Linotype" w:hAnsi="Palatino Linotype" w:cs="Palatino Linotype"/>
          <w:color w:val="000000"/>
        </w:rPr>
        <w:lastRenderedPageBreak/>
        <w:t>celebradas por el Comité de Planeación para el Desarrollo Municipal, el Comité de Transparencia y el Comité Interno de Gobierno Digital, del uno de enero de dos mil diecinueve al veintiuno de septiembre de dos mil veintiuno, de ser necesario en versión pública para el caso de que las actas faltantes contengan datos susceptibles de ser clasificados como confidenciales, conforme al considerando siguiente.</w:t>
      </w:r>
    </w:p>
    <w:p w14:paraId="302D883A"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rPr>
      </w:pPr>
      <w:bookmarkStart w:id="9" w:name="_Hlk95148910"/>
      <w:r>
        <w:rPr>
          <w:rFonts w:ascii="Palatino Linotype" w:eastAsia="Palatino Linotype" w:hAnsi="Palatino Linotype" w:cs="Palatino Linotype"/>
        </w:rPr>
        <w:t>No obsta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5DCFF801"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hoy solicitada, esta puede obrar en las distintas áreas que conforman la estructura orgánica del sujeto obligado, es por ello que debe turnar la solicitud al servidor público habilitado que tiene bajo su resguardo la misma. </w:t>
      </w:r>
    </w:p>
    <w:p w14:paraId="0E6A1D87"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de conformidad con el artículo 59</w:t>
      </w:r>
      <w:r>
        <w:rPr>
          <w:rFonts w:ascii="Palatino Linotype" w:eastAsia="Palatino Linotype" w:hAnsi="Palatino Linotype" w:cs="Palatino Linotype"/>
          <w:color w:val="000000"/>
          <w:vertAlign w:val="superscript"/>
        </w:rPr>
        <w:footnoteReference w:id="4"/>
      </w:r>
      <w:r>
        <w:rPr>
          <w:rFonts w:ascii="Palatino Linotype" w:eastAsia="Palatino Linotype" w:hAnsi="Palatino Linotype" w:cs="Palatino Linotype"/>
          <w:color w:val="000000"/>
        </w:rPr>
        <w:t xml:space="preserve"> de la Ley de la materia, los servidores públicos habilitados tienen como función, buscar, localizar y en su caso entregar la información solicitada, de lo manifestado con antelación se advierte que </w:t>
      </w:r>
      <w:r>
        <w:rPr>
          <w:rFonts w:ascii="Palatino Linotype" w:eastAsia="Palatino Linotype" w:hAnsi="Palatino Linotype" w:cs="Palatino Linotype"/>
          <w:color w:val="000000"/>
        </w:rPr>
        <w:lastRenderedPageBreak/>
        <w:t>el Titular de la Unidad de Transparencia debe garantizar que las solicitudes se turnen a todas las áreas competentes que puedan contar con la información, con el objeto de que se realice una búsqueda exhaustiva y razonable de la información solicitada, y que una vez localizada, la misma sea proporcionada al solicitante atendiendo a la naturaleza jurídica de la misma, circunstancia que en el presente asunto no sucedió, toda vez que en las constancias que obran en el expediente electrónico, no hay registro de que la solicitud se hubiera turnado para su atención a las áreas competentes, como pudieran ser los Comités de Planeación para el Desarrollo Municipal, Transparencia y Gobierno Digital.</w:t>
      </w:r>
    </w:p>
    <w:p w14:paraId="17FB6B62" w14:textId="77777777" w:rsidR="00B16D10" w:rsidRDefault="004B699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esta manera, si derivado de la búsqueda que se ordena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no llegara a localizar en sus archivos actas de sesiones extraordinarias de los Comités referidos, por no haberse celebrado en el periodo que se señala, bastará con que así se haga del conocimiento de la parte Recurrente para tener por satisfecho el derecho de acceso a la información, al corresponder con una facultad potestativa que le asiste a dichos Comités.</w:t>
      </w:r>
    </w:p>
    <w:p w14:paraId="23534FF1" w14:textId="77777777" w:rsidR="00B16D10" w:rsidRDefault="004B6999">
      <w:pPr>
        <w:spacing w:before="240" w:after="240" w:line="360" w:lineRule="auto"/>
        <w:jc w:val="both"/>
        <w:rPr>
          <w:rFonts w:ascii="Palatino Linotype" w:eastAsia="Palatino Linotype" w:hAnsi="Palatino Linotype" w:cs="Palatino Linotype"/>
        </w:rPr>
      </w:pPr>
      <w:bookmarkStart w:id="10" w:name="_Hlk95149020"/>
      <w:bookmarkEnd w:id="9"/>
      <w:r>
        <w:rPr>
          <w:rFonts w:ascii="Palatino Linotype" w:eastAsia="Palatino Linotype" w:hAnsi="Palatino Linotype" w:cs="Palatino Linotype"/>
        </w:rPr>
        <w:t xml:space="preserve">Lo anterior, no es así, tratándose de las actas de las sesiones ordinarias del  Comité de Gobierno Digital faltantes, ya que como se precisó en líneas anteriores, dicho Comité cuenta con la obligación de sesionar por lo menos dos veces al año, razón por la cual, si derivado de la búsqueda que se efectúe,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4E2E9303"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xml:space="preserve"> (…)</w:t>
      </w:r>
    </w:p>
    <w:p w14:paraId="6BCAB859"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Pr>
          <w:rFonts w:ascii="Palatino Linotype" w:eastAsia="Palatino Linotype" w:hAnsi="Palatino Linotype" w:cs="Palatino Linotype"/>
          <w:i/>
          <w:sz w:val="22"/>
          <w:szCs w:val="22"/>
        </w:rPr>
        <w:t>, debidamente fundado y motivado, en el que detalle las razones del por qué no obra en sus archivos.”</w:t>
      </w:r>
    </w:p>
    <w:p w14:paraId="5B0F1B80"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atribuciones</w:t>
      </w:r>
      <w:r>
        <w:rPr>
          <w:rFonts w:ascii="Palatino Linotype" w:eastAsia="Palatino Linotype" w:hAnsi="Palatino Linotype" w:cs="Palatino Linotype"/>
          <w:i/>
          <w:sz w:val="22"/>
          <w:szCs w:val="22"/>
        </w:rPr>
        <w:t>:</w:t>
      </w:r>
    </w:p>
    <w:p w14:paraId="6D9EF05D"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 xml:space="preserve">Confirmar, modificar o revocar las determinaciones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materia de</w:t>
      </w:r>
      <w:r>
        <w:rPr>
          <w:rFonts w:ascii="Palatino Linotype" w:eastAsia="Palatino Linotype" w:hAnsi="Palatino Linotype" w:cs="Palatino Linotype"/>
          <w:i/>
          <w:sz w:val="22"/>
          <w:szCs w:val="22"/>
        </w:rPr>
        <w:t xml:space="preserve"> ampliación del plazo de respuesta, clasificación de la información y </w:t>
      </w:r>
      <w:r>
        <w:rPr>
          <w:rFonts w:ascii="Palatino Linotype" w:eastAsia="Palatino Linotype" w:hAnsi="Palatino Linotype" w:cs="Palatino Linotype"/>
          <w:b/>
          <w:i/>
          <w:sz w:val="22"/>
          <w:szCs w:val="22"/>
        </w:rPr>
        <w:t>declaración de inexistencia</w:t>
      </w:r>
      <w:r>
        <w:rPr>
          <w:rFonts w:ascii="Palatino Linotype" w:eastAsia="Palatino Linotype" w:hAnsi="Palatino Linotype" w:cs="Palatino Linotype"/>
          <w:i/>
          <w:sz w:val="22"/>
          <w:szCs w:val="22"/>
        </w:rPr>
        <w:t xml:space="preserve"> o de incompetencia realicen los titulares de las áreas de los sujetos obligados;</w:t>
      </w:r>
    </w:p>
    <w:p w14:paraId="05780B16"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w:t>
      </w:r>
      <w:r>
        <w:rPr>
          <w:rFonts w:ascii="Palatino Linotype" w:eastAsia="Palatino Linotype" w:hAnsi="Palatino Linotype" w:cs="Palatino Linotype"/>
          <w:b/>
          <w:i/>
          <w:sz w:val="22"/>
          <w:szCs w:val="22"/>
        </w:rPr>
        <w:t>Dictaminar las declaratorias de inexistencia de la información</w:t>
      </w:r>
      <w:r>
        <w:rPr>
          <w:rFonts w:ascii="Palatino Linotype" w:eastAsia="Palatino Linotype" w:hAnsi="Palatino Linotype" w:cs="Palatino Linotype"/>
          <w:i/>
          <w:sz w:val="22"/>
          <w:szCs w:val="22"/>
        </w:rPr>
        <w:t xml:space="preserve"> que les remitan las unidades administrativas y resolver en consecuencia…”</w:t>
      </w:r>
    </w:p>
    <w:p w14:paraId="694E02A9"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la información no se encuentre en los archivos del sujeto obligado, el Comité de Transparencia</w:t>
      </w:r>
      <w:r>
        <w:rPr>
          <w:rFonts w:ascii="Palatino Linotype" w:eastAsia="Palatino Linotype" w:hAnsi="Palatino Linotype" w:cs="Palatino Linotype"/>
          <w:i/>
          <w:sz w:val="22"/>
          <w:szCs w:val="22"/>
        </w:rPr>
        <w:t xml:space="preserve">: </w:t>
      </w:r>
    </w:p>
    <w:p w14:paraId="70C90C05"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Analizará el caso y tomará las medidas necesarias para localizar la información; </w:t>
      </w:r>
    </w:p>
    <w:p w14:paraId="6BDF1AF8"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Expedirá una resolución que confirme la inexistencia del documento</w:t>
      </w:r>
      <w:r>
        <w:rPr>
          <w:rFonts w:ascii="Palatino Linotype" w:eastAsia="Palatino Linotype" w:hAnsi="Palatino Linotype" w:cs="Palatino Linotype"/>
          <w:i/>
          <w:sz w:val="22"/>
          <w:szCs w:val="22"/>
        </w:rPr>
        <w:t xml:space="preserve">; </w:t>
      </w:r>
    </w:p>
    <w:p w14:paraId="691A7F5F"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38955347"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53A8969F"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05A724B6"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78381083"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resolución del Comité de Transparencia que confirme la inexistencia de la información solicitada contendrá los elementos </w:t>
      </w:r>
      <w:r>
        <w:rPr>
          <w:rFonts w:ascii="Palatino Linotype" w:eastAsia="Palatino Linotype" w:hAnsi="Palatino Linotype" w:cs="Palatino Linotype"/>
          <w:b/>
          <w:i/>
          <w:sz w:val="22"/>
          <w:szCs w:val="22"/>
        </w:rPr>
        <w:lastRenderedPageBreak/>
        <w:t>mínimos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que permitan al solicitante tener la certeza de que se utilizó un criterio de búsqueda exhaustivo</w:t>
      </w:r>
      <w:r>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19DE6CD9"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14:paraId="05029308" w14:textId="77777777" w:rsidR="00B16D10" w:rsidRDefault="004B6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4ECF5759" w14:textId="77777777" w:rsidR="00B16D10" w:rsidRDefault="004B6999">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“CRITERIO 0004-11 </w:t>
      </w:r>
    </w:p>
    <w:p w14:paraId="0356C914" w14:textId="77777777" w:rsidR="00B16D10" w:rsidRDefault="004B6999">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INEXISTENCIA. DECLARATORIA DE LA. ALCANCES Y PROCEDIMIENTOS</w:t>
      </w:r>
      <w:r>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w:t>
      </w:r>
      <w:r>
        <w:rPr>
          <w:rFonts w:ascii="Palatino Linotype" w:eastAsia="Palatino Linotype" w:hAnsi="Palatino Linotype" w:cs="Palatino Linotype"/>
          <w:i/>
          <w:sz w:val="22"/>
          <w:szCs w:val="22"/>
        </w:rPr>
        <w:lastRenderedPageBreak/>
        <w:t xml:space="preserve">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336CAC47" w14:textId="77777777" w:rsidR="00B16D10" w:rsidRDefault="004B6999">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Bajo el entendido de que dicha búsqueda exhaustiva permitirá dos determinaciones: </w:t>
      </w:r>
    </w:p>
    <w:p w14:paraId="6B19F97B" w14:textId="77777777" w:rsidR="00B16D10" w:rsidRDefault="004B6999">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1ª)</w:t>
      </w:r>
      <w:r>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5E84CDC8" w14:textId="77777777" w:rsidR="00B16D10" w:rsidRDefault="004B6999">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2ª)</w:t>
      </w:r>
      <w:r>
        <w:rPr>
          <w:rFonts w:ascii="Palatino Linotype" w:eastAsia="Palatino Linotype" w:hAnsi="Palatino Linotype" w:cs="Palatino Linotype"/>
          <w:i/>
          <w:sz w:val="22"/>
          <w:szCs w:val="22"/>
        </w:rPr>
        <w:t xml:space="preserve"> Que no se haya encontrado documento alguno que contenga la información requerida, por lo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 </w:t>
      </w:r>
    </w:p>
    <w:p w14:paraId="27D7534A" w14:textId="77777777" w:rsidR="00B16D10" w:rsidRDefault="004B6999">
      <w:pPr>
        <w:spacing w:before="240" w:after="240"/>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Pr>
          <w:rFonts w:ascii="Palatino Linotype" w:eastAsia="Palatino Linotype" w:hAnsi="Palatino Linotype" w:cs="Palatino Linotype"/>
          <w:i/>
          <w:sz w:val="22"/>
          <w:szCs w:val="22"/>
        </w:rPr>
        <w:t>aquéllas</w:t>
      </w:r>
      <w:proofErr w:type="gramEnd"/>
      <w:r>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0AA30B5D"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de haber generado, administrado o poseído la información </w:t>
      </w:r>
      <w:r>
        <w:rPr>
          <w:rFonts w:ascii="Palatino Linotype" w:eastAsia="Palatino Linotype" w:hAnsi="Palatino Linotype" w:cs="Palatino Linotype"/>
        </w:rPr>
        <w:lastRenderedPageBreak/>
        <w:t>pero en incumplimiento a la norma no lo llevo a cabo. Tal como se lee del criterio que para mayor referencia se transcribe a continuación:</w:t>
      </w:r>
    </w:p>
    <w:p w14:paraId="2BF79B38" w14:textId="77777777" w:rsidR="00B16D10" w:rsidRDefault="004B6999">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INEXISTENCIA, CONCEPTO DE, EN MATERIA DE TRANSPARENCIA</w:t>
      </w:r>
      <w:r>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Pr>
          <w:rFonts w:ascii="Palatino Linotype" w:eastAsia="Palatino Linotype" w:hAnsi="Palatino Linotype" w:cs="Palatino Linotype"/>
          <w:b/>
          <w:i/>
          <w:sz w:val="22"/>
          <w:szCs w:val="22"/>
        </w:rPr>
        <w:t>supuestos:</w:t>
      </w:r>
      <w:r>
        <w:rPr>
          <w:rFonts w:ascii="Palatino Linotype" w:eastAsia="Palatino Linotype" w:hAnsi="Palatino Linotype" w:cs="Palatino Linotype"/>
          <w:i/>
          <w:sz w:val="22"/>
          <w:szCs w:val="22"/>
        </w:rPr>
        <w:t xml:space="preserve"> </w:t>
      </w:r>
    </w:p>
    <w:p w14:paraId="550A822B" w14:textId="77777777" w:rsidR="00B16D10" w:rsidRDefault="004B6999">
      <w:pPr>
        <w:numPr>
          <w:ilvl w:val="0"/>
          <w:numId w:val="3"/>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0F3088C3" w14:textId="77777777" w:rsidR="00B16D10" w:rsidRDefault="004B6999">
      <w:pPr>
        <w:numPr>
          <w:ilvl w:val="0"/>
          <w:numId w:val="3"/>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53FB4BD9" w14:textId="77777777" w:rsidR="00B16D10" w:rsidRDefault="004B6999">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A99A7B6"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 instruir una búsqueda exhaustiva a todas y cada una de las áreas administrativas de las que se compone, que permitirá:</w:t>
      </w:r>
    </w:p>
    <w:p w14:paraId="23C3CFD4" w14:textId="77777777" w:rsidR="00B16D10" w:rsidRDefault="004B6999">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Que se localice la documentación que contenga la información solicitada. En este caso habrá que señalar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de acuerdo con las disposiciones transcritas, </w:t>
      </w:r>
      <w:r>
        <w:rPr>
          <w:rFonts w:ascii="Palatino Linotype" w:eastAsia="Palatino Linotype" w:hAnsi="Palatino Linotype" w:cs="Palatino Linotype"/>
          <w:color w:val="000000"/>
        </w:rPr>
        <w:lastRenderedPageBreak/>
        <w:t>la información puede obrar en sus archivos ya sea porque la genera, la administra o simplemente la posee.</w:t>
      </w:r>
    </w:p>
    <w:p w14:paraId="2A08C245"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actualizarse esta primera hipótesis, la información debe entregarse al </w:t>
      </w:r>
      <w:r>
        <w:rPr>
          <w:rFonts w:ascii="Palatino Linotype" w:eastAsia="Palatino Linotype" w:hAnsi="Palatino Linotype" w:cs="Palatino Linotype"/>
          <w:b/>
          <w:i/>
        </w:rPr>
        <w:t xml:space="preserve">Recurrente </w:t>
      </w:r>
      <w:r>
        <w:rPr>
          <w:rFonts w:ascii="Palatino Linotype" w:eastAsia="Palatino Linotype" w:hAnsi="Palatino Linotype" w:cs="Palatino Linotype"/>
        </w:rPr>
        <w:t>a través del o los documentos fuente.</w:t>
      </w:r>
    </w:p>
    <w:p w14:paraId="2D11AB22" w14:textId="77777777" w:rsidR="00B16D10" w:rsidRDefault="004B6999">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no se localice documento alguno que contenga la información requerida, en este supuesto, el Comité de Transparencia deberá resolver la declaratoria de inexistencia de la información y notificarla al recurrente</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y a este Pleno.</w:t>
      </w:r>
    </w:p>
    <w:p w14:paraId="19DEF791" w14:textId="77777777" w:rsidR="00B16D10" w:rsidRDefault="004B6999">
      <w:pPr>
        <w:numPr>
          <w:ilvl w:val="0"/>
          <w:numId w:val="2"/>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se ordene siempre que sea materialmente posible, que se genere o reponga la información en caso de que ésta tuviera que existir, derivado del ejercicio de sus facultades.</w:t>
      </w:r>
    </w:p>
    <w:p w14:paraId="19CC42B4"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bookmarkEnd w:id="10"/>
    <w:p w14:paraId="4C27C2BD"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Versión Pública.</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2C66B436"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7B1C5680"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092F795E"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D4FD134"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7A19B1B9"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 Información clasificada: Aquella considerada por la presente Ley como reservada o confidencial;</w:t>
      </w:r>
    </w:p>
    <w:p w14:paraId="46C3ED88"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57C66D3"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7081A67C"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8DCCA39"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946CB32"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7BEDF282"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Se reciba una solicitud de acceso a la información;</w:t>
      </w:r>
    </w:p>
    <w:p w14:paraId="727D7204"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Se determine mediante resolución de autoridad competente; o</w:t>
      </w:r>
    </w:p>
    <w:p w14:paraId="518BE8FB"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Se generen versiones públicas para dar cumplimiento a las obligaciones de transparencia previstas en esta Ley.</w:t>
      </w:r>
    </w:p>
    <w:p w14:paraId="7F75C3D1"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3E61293"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C636FBE"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DC2736F"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07D357FF"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51E38FFA"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2174875"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24373C9"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0BDEA92"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0DCA2F4"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B644229"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Quincuagésimo séptimo. Se considera, en principio, como información pública y no podrá omitirse de las versiones públicas la siguiente: </w:t>
      </w:r>
    </w:p>
    <w:p w14:paraId="704AD85D"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 La relativa a las Obligaciones de Transparencia que contempla el Título V de la Ley General y las demás disposiciones legales aplicables; </w:t>
      </w:r>
    </w:p>
    <w:p w14:paraId="025B4DD7"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nombre de los servidores públicos en los documentos, y sus firmas autógrafas, cuando sean utilizados en el ejercicio de las facultades conferidas para el desempeño del servicio público, y </w:t>
      </w:r>
    </w:p>
    <w:p w14:paraId="03C5F3DF"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5C295F6B"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Pr>
          <w:rFonts w:ascii="Palatino Linotype" w:eastAsia="Palatino Linotype" w:hAnsi="Palatino Linotype" w:cs="Palatino Linotype"/>
          <w:i/>
          <w:sz w:val="22"/>
          <w:szCs w:val="22"/>
        </w:rPr>
        <w:t>internaciones suscritos</w:t>
      </w:r>
      <w:proofErr w:type="gramEnd"/>
      <w:r>
        <w:rPr>
          <w:rFonts w:ascii="Palatino Linotype" w:eastAsia="Palatino Linotype" w:hAnsi="Palatino Linotype" w:cs="Palatino Linotype"/>
          <w:i/>
          <w:sz w:val="22"/>
          <w:szCs w:val="22"/>
        </w:rPr>
        <w:t xml:space="preserve"> por el Estado mexicano. </w:t>
      </w:r>
    </w:p>
    <w:p w14:paraId="3A3E7F8D" w14:textId="77777777" w:rsidR="00B16D10" w:rsidRDefault="004B699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no permitan la recuperación o visualización de la misma.”</w:t>
      </w:r>
    </w:p>
    <w:p w14:paraId="0AB0202A"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1CE99DE"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p w14:paraId="0DF18C61" w14:textId="77777777" w:rsidR="00B16D10" w:rsidRDefault="00B16D10">
      <w:pPr>
        <w:spacing w:before="240" w:after="240" w:line="360" w:lineRule="auto"/>
        <w:jc w:val="both"/>
        <w:rPr>
          <w:rFonts w:ascii="Palatino Linotype" w:eastAsia="Palatino Linotype" w:hAnsi="Palatino Linotype" w:cs="Palatino Linotype"/>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B16D10" w14:paraId="028ADB34" w14:textId="77777777" w:rsidTr="00B16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06A31798" w14:textId="77777777" w:rsidR="00B16D10" w:rsidRDefault="004B6999">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Parcial</w:t>
            </w:r>
          </w:p>
        </w:tc>
        <w:tc>
          <w:tcPr>
            <w:tcW w:w="4414" w:type="dxa"/>
            <w:gridSpan w:val="2"/>
          </w:tcPr>
          <w:p w14:paraId="39CCD818" w14:textId="77777777" w:rsidR="00B16D10" w:rsidRDefault="004B6999">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B16D10" w14:paraId="3CF78801" w14:textId="77777777" w:rsidTr="00B16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07FC23" w14:textId="77777777" w:rsidR="00B16D10" w:rsidRDefault="004B6999">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421" w:type="dxa"/>
          </w:tcPr>
          <w:p w14:paraId="61607E91" w14:textId="77777777" w:rsidR="00B16D10" w:rsidRDefault="004B699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14:paraId="4DE465D4" w14:textId="77777777" w:rsidR="00B16D10" w:rsidRDefault="004B699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4E235819" w14:textId="77777777" w:rsidR="00B16D10" w:rsidRDefault="004B699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B16D10" w14:paraId="738C592E" w14:textId="77777777" w:rsidTr="00B16D10">
        <w:tc>
          <w:tcPr>
            <w:cnfStyle w:val="001000000000" w:firstRow="0" w:lastRow="0" w:firstColumn="1" w:lastColumn="0" w:oddVBand="0" w:evenVBand="0" w:oddHBand="0" w:evenHBand="0" w:firstRowFirstColumn="0" w:firstRowLastColumn="0" w:lastRowFirstColumn="0" w:lastRowLastColumn="0"/>
            <w:tcW w:w="8828" w:type="dxa"/>
            <w:gridSpan w:val="4"/>
          </w:tcPr>
          <w:p w14:paraId="7F296ECB" w14:textId="77777777" w:rsidR="00B16D10" w:rsidRDefault="004B6999">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B16D10" w14:paraId="2E3C81DC" w14:textId="77777777" w:rsidTr="00B16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A46283A" w14:textId="77777777" w:rsidR="00B16D10" w:rsidRDefault="004B699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14:paraId="20823647"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3E690946"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5E95A735"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B16D10" w14:paraId="5518D17B" w14:textId="77777777" w:rsidTr="00B16D10">
        <w:tc>
          <w:tcPr>
            <w:cnfStyle w:val="001000000000" w:firstRow="0" w:lastRow="0" w:firstColumn="1" w:lastColumn="0" w:oddVBand="0" w:evenVBand="0" w:oddHBand="0" w:evenHBand="0" w:firstRowFirstColumn="0" w:firstRowLastColumn="0" w:lastRowFirstColumn="0" w:lastRowLastColumn="0"/>
            <w:tcW w:w="993" w:type="dxa"/>
          </w:tcPr>
          <w:p w14:paraId="624E9416" w14:textId="77777777" w:rsidR="00B16D10" w:rsidRDefault="004B699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14:paraId="7B93EE8C"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14:paraId="753379E6"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52D8754C"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B16D10" w14:paraId="4BC11BC8" w14:textId="77777777" w:rsidTr="00B16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429329A" w14:textId="77777777" w:rsidR="00B16D10" w:rsidRDefault="004B699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14:paraId="2B870C66"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6F35F59"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719DBF4F"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B16D10" w14:paraId="3DD1FAD7" w14:textId="77777777" w:rsidTr="00B16D10">
        <w:tc>
          <w:tcPr>
            <w:cnfStyle w:val="001000000000" w:firstRow="0" w:lastRow="0" w:firstColumn="1" w:lastColumn="0" w:oddVBand="0" w:evenVBand="0" w:oddHBand="0" w:evenHBand="0" w:firstRowFirstColumn="0" w:firstRowLastColumn="0" w:lastRowFirstColumn="0" w:lastRowLastColumn="0"/>
            <w:tcW w:w="993" w:type="dxa"/>
          </w:tcPr>
          <w:p w14:paraId="4A5398A7" w14:textId="77777777" w:rsidR="00B16D10" w:rsidRDefault="004B699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04142613"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14054D7E"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2A7AA328"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B16D10" w14:paraId="703C5796" w14:textId="77777777" w:rsidTr="00B16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B90E49F" w14:textId="77777777" w:rsidR="00B16D10" w:rsidRDefault="004B699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14:paraId="409F6B6C"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3EE8E8E6"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083B9128"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B16D10" w14:paraId="3421D253" w14:textId="77777777" w:rsidTr="00B16D10">
        <w:tc>
          <w:tcPr>
            <w:cnfStyle w:val="001000000000" w:firstRow="0" w:lastRow="0" w:firstColumn="1" w:lastColumn="0" w:oddVBand="0" w:evenVBand="0" w:oddHBand="0" w:evenHBand="0" w:firstRowFirstColumn="0" w:firstRowLastColumn="0" w:lastRowFirstColumn="0" w:lastRowLastColumn="0"/>
            <w:tcW w:w="993" w:type="dxa"/>
          </w:tcPr>
          <w:p w14:paraId="55F90E33" w14:textId="77777777" w:rsidR="00B16D10" w:rsidRDefault="004B699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14:paraId="4EA2AC58"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51BA826F"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7B2ACDB0"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B16D10" w14:paraId="7A46A2D8" w14:textId="77777777" w:rsidTr="00B16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08E7786" w14:textId="77777777" w:rsidR="00B16D10" w:rsidRDefault="004B699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448BFA17"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90616DA"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09A78283"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B16D10" w14:paraId="23CCFBBF" w14:textId="77777777" w:rsidTr="00B16D10">
        <w:tc>
          <w:tcPr>
            <w:cnfStyle w:val="001000000000" w:firstRow="0" w:lastRow="0" w:firstColumn="1" w:lastColumn="0" w:oddVBand="0" w:evenVBand="0" w:oddHBand="0" w:evenHBand="0" w:firstRowFirstColumn="0" w:firstRowLastColumn="0" w:lastRowFirstColumn="0" w:lastRowLastColumn="0"/>
            <w:tcW w:w="993" w:type="dxa"/>
          </w:tcPr>
          <w:p w14:paraId="02E22EB6" w14:textId="77777777" w:rsidR="00B16D10" w:rsidRDefault="004B699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14:paraId="3A26A182"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14:paraId="770EC434"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0C89F6C8"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B16D10" w14:paraId="4E092072" w14:textId="77777777" w:rsidTr="00B16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9E2A4DC" w14:textId="77777777" w:rsidR="00B16D10" w:rsidRDefault="004B699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14:paraId="56DB3090"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14:paraId="31E2D756"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666BBB9B"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B16D10" w14:paraId="1807F79B" w14:textId="77777777" w:rsidTr="00B16D10">
        <w:tc>
          <w:tcPr>
            <w:cnfStyle w:val="001000000000" w:firstRow="0" w:lastRow="0" w:firstColumn="1" w:lastColumn="0" w:oddVBand="0" w:evenVBand="0" w:oddHBand="0" w:evenHBand="0" w:firstRowFirstColumn="0" w:firstRowLastColumn="0" w:lastRowFirstColumn="0" w:lastRowLastColumn="0"/>
            <w:tcW w:w="993" w:type="dxa"/>
          </w:tcPr>
          <w:p w14:paraId="4F2E87E9" w14:textId="77777777" w:rsidR="00B16D10" w:rsidRDefault="004B699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421" w:type="dxa"/>
          </w:tcPr>
          <w:p w14:paraId="4720CEF5"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14:paraId="50B07AA0"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1D5D1C00"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B16D10" w14:paraId="544F98D3" w14:textId="77777777" w:rsidTr="00B16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4B2B35A" w14:textId="77777777" w:rsidR="00B16D10" w:rsidRDefault="00B16D10">
            <w:pPr>
              <w:jc w:val="both"/>
              <w:rPr>
                <w:rFonts w:ascii="Palatino Linotype" w:eastAsia="Palatino Linotype" w:hAnsi="Palatino Linotype" w:cs="Palatino Linotype"/>
                <w:sz w:val="12"/>
                <w:szCs w:val="12"/>
              </w:rPr>
            </w:pPr>
          </w:p>
        </w:tc>
        <w:tc>
          <w:tcPr>
            <w:tcW w:w="3421" w:type="dxa"/>
          </w:tcPr>
          <w:p w14:paraId="56974675" w14:textId="77777777" w:rsidR="00B16D10" w:rsidRDefault="00B16D1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0476CA47"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5C3ABC1D" w14:textId="77777777" w:rsidR="00B16D10" w:rsidRDefault="004B699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B16D10" w14:paraId="660795B9" w14:textId="77777777" w:rsidTr="00B16D10">
        <w:tc>
          <w:tcPr>
            <w:cnfStyle w:val="001000000000" w:firstRow="0" w:lastRow="0" w:firstColumn="1" w:lastColumn="0" w:oddVBand="0" w:evenVBand="0" w:oddHBand="0" w:evenHBand="0" w:firstRowFirstColumn="0" w:firstRowLastColumn="0" w:lastRowFirstColumn="0" w:lastRowLastColumn="0"/>
            <w:tcW w:w="993" w:type="dxa"/>
          </w:tcPr>
          <w:p w14:paraId="0CA6ACE6" w14:textId="77777777" w:rsidR="00B16D10" w:rsidRDefault="00B16D10">
            <w:pPr>
              <w:jc w:val="both"/>
              <w:rPr>
                <w:rFonts w:ascii="Palatino Linotype" w:eastAsia="Palatino Linotype" w:hAnsi="Palatino Linotype" w:cs="Palatino Linotype"/>
                <w:sz w:val="12"/>
                <w:szCs w:val="12"/>
              </w:rPr>
            </w:pPr>
          </w:p>
        </w:tc>
        <w:tc>
          <w:tcPr>
            <w:tcW w:w="3421" w:type="dxa"/>
          </w:tcPr>
          <w:p w14:paraId="7143A9A6" w14:textId="77777777" w:rsidR="00B16D10" w:rsidRDefault="00B16D1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4BD04B0D"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10DC1468" w14:textId="77777777" w:rsidR="00B16D10" w:rsidRDefault="004B699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4C07C009" w14:textId="77777777" w:rsidR="00B16D10" w:rsidRDefault="004B6999">
      <w:pPr>
        <w:spacing w:before="240" w:after="240" w:line="360" w:lineRule="auto"/>
        <w:jc w:val="both"/>
        <w:rPr>
          <w:rFonts w:ascii="Palatino Linotype" w:eastAsia="Palatino Linotype" w:hAnsi="Palatino Linotype" w:cs="Palatino Linotype"/>
        </w:rPr>
      </w:pPr>
      <w:bookmarkStart w:id="11" w:name="_heading=h.3dy6vkm" w:colFirst="0" w:colLast="0"/>
      <w:bookmarkEnd w:id="11"/>
      <w:r>
        <w:rPr>
          <w:rFonts w:ascii="Palatino Linotype" w:eastAsia="Palatino Linotype" w:hAnsi="Palatino Linotype" w:cs="Palatino Linotype"/>
        </w:rPr>
        <w:t>Así, con fundamento en lo prescrito en los</w:t>
      </w:r>
      <w:r>
        <w:t xml:space="preserve"> </w:t>
      </w:r>
      <w:r>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05EED56" w14:textId="77777777" w:rsidR="00B70FEC" w:rsidRDefault="00B70FEC">
      <w:pPr>
        <w:spacing w:before="240" w:after="240" w:line="360" w:lineRule="auto"/>
        <w:jc w:val="both"/>
        <w:rPr>
          <w:rFonts w:ascii="Palatino Linotype" w:eastAsia="Palatino Linotype" w:hAnsi="Palatino Linotype" w:cs="Palatino Linotype"/>
        </w:rPr>
      </w:pPr>
    </w:p>
    <w:p w14:paraId="34C3F4CE" w14:textId="77777777" w:rsidR="00B70FEC" w:rsidRDefault="00B70FEC">
      <w:pPr>
        <w:spacing w:before="240" w:after="240" w:line="360" w:lineRule="auto"/>
        <w:jc w:val="both"/>
        <w:rPr>
          <w:rFonts w:ascii="Palatino Linotype" w:eastAsia="Palatino Linotype" w:hAnsi="Palatino Linotype" w:cs="Palatino Linotype"/>
        </w:rPr>
      </w:pPr>
    </w:p>
    <w:p w14:paraId="5C934047" w14:textId="77777777" w:rsidR="00B16D10" w:rsidRDefault="004B6999">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R E S U E L V E:</w:t>
      </w:r>
    </w:p>
    <w:p w14:paraId="1815BB89" w14:textId="77777777" w:rsidR="00B16D10" w:rsidRDefault="004B6999">
      <w:pPr>
        <w:spacing w:before="240" w:after="240" w:line="360" w:lineRule="auto"/>
        <w:jc w:val="both"/>
        <w:rPr>
          <w:rFonts w:ascii="Palatino Linotype" w:eastAsia="Palatino Linotype" w:hAnsi="Palatino Linotype" w:cs="Palatino Linotype"/>
          <w:b/>
        </w:rPr>
      </w:pPr>
      <w:bookmarkStart w:id="12" w:name="_heading=h.1t3h5sf" w:colFirst="0" w:colLast="0"/>
      <w:bookmarkEnd w:id="12"/>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fundados</w:t>
      </w:r>
      <w:r>
        <w:rPr>
          <w:rFonts w:ascii="Palatino Linotype" w:eastAsia="Palatino Linotype" w:hAnsi="Palatino Linotype" w:cs="Palatino Linotype"/>
        </w:rPr>
        <w:t xml:space="preserve"> los motivos de inconformidad hechos valer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05109/INFOEM/IP/RR/2021,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 se</w:t>
      </w:r>
      <w:r>
        <w:rPr>
          <w:rFonts w:ascii="Palatino Linotype" w:eastAsia="Palatino Linotype" w:hAnsi="Palatino Linotype" w:cs="Palatino Linotype"/>
          <w:b/>
        </w:rPr>
        <w:t xml:space="preserve"> Revoca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14C84526" w14:textId="77777777" w:rsidR="00B16D10" w:rsidRDefault="004B6999">
      <w:pPr>
        <w:spacing w:before="240" w:after="240" w:line="360" w:lineRule="auto"/>
        <w:jc w:val="both"/>
        <w:rPr>
          <w:rFonts w:ascii="Palatino Linotype" w:eastAsia="Palatino Linotype" w:hAnsi="Palatino Linotype" w:cs="Palatino Linotype"/>
        </w:rPr>
      </w:pPr>
      <w:bookmarkStart w:id="13" w:name="_heading=h.4d34og8" w:colFirst="0" w:colLast="0"/>
      <w:bookmarkEnd w:id="13"/>
      <w:r>
        <w:rPr>
          <w:rFonts w:ascii="Palatino Linotype" w:eastAsia="Palatino Linotype" w:hAnsi="Palatino Linotype" w:cs="Palatino Linotype"/>
          <w:b/>
          <w:highlight w:val="white"/>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 xml:space="preserve">Cuarto </w:t>
      </w:r>
      <w: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de esta resolución, haga entrega, vía SAIMEX,</w:t>
      </w:r>
      <w:r w:rsidR="00103343">
        <w:rPr>
          <w:rFonts w:ascii="Palatino Linotype" w:eastAsia="Palatino Linotype" w:hAnsi="Palatino Linotype" w:cs="Palatino Linotype"/>
        </w:rPr>
        <w:t xml:space="preserve"> previa búsqueda exhaustiva y razonable,</w:t>
      </w:r>
      <w:r>
        <w:rPr>
          <w:rFonts w:ascii="Palatino Linotype" w:eastAsia="Palatino Linotype" w:hAnsi="Palatino Linotype" w:cs="Palatino Linotype"/>
        </w:rPr>
        <w:t xml:space="preserve"> de ser necesario en versión pública, de lo siguiente:</w:t>
      </w:r>
    </w:p>
    <w:p w14:paraId="62117621" w14:textId="77777777" w:rsidR="00B16D10" w:rsidRDefault="004B699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Actas de Sesiones ordinarias y extraordinarias celebradas por el Comité de Planeación para el Desarrollo Municipal, el Comité de Transparencia y el Comité Interno de Gobierno Digital, del uno de enero de dos mil diecinueve al veintiuno de septiembre de dos mil veintiuno, en formato abierto.</w:t>
      </w:r>
    </w:p>
    <w:p w14:paraId="52EDBA16" w14:textId="77777777" w:rsidR="00B16D10" w:rsidRDefault="004B6999">
      <w:pPr>
        <w:spacing w:before="120" w:after="120"/>
        <w:ind w:left="426"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0508BFA1" w14:textId="77777777" w:rsidR="00B16D10" w:rsidRDefault="004B6999">
      <w:pPr>
        <w:pBdr>
          <w:top w:val="nil"/>
          <w:left w:val="nil"/>
          <w:bottom w:val="nil"/>
          <w:right w:val="nil"/>
          <w:between w:val="nil"/>
        </w:pBdr>
        <w:spacing w:before="120" w:after="120"/>
        <w:ind w:left="426" w:right="51"/>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En el supuesto que las actas de Sesiones extraordinarias que se ordenan, no obren en los archivos del </w:t>
      </w:r>
      <w:r>
        <w:rPr>
          <w:rFonts w:ascii="Palatino Linotype" w:eastAsia="Palatino Linotype" w:hAnsi="Palatino Linotype" w:cs="Palatino Linotype"/>
          <w:b/>
          <w:i/>
          <w:color w:val="000000"/>
          <w:sz w:val="20"/>
          <w:szCs w:val="20"/>
        </w:rPr>
        <w:t xml:space="preserve">Sujeto Obligado </w:t>
      </w:r>
      <w:r>
        <w:rPr>
          <w:rFonts w:ascii="Palatino Linotype" w:eastAsia="Palatino Linotype" w:hAnsi="Palatino Linotype" w:cs="Palatino Linotype"/>
          <w:i/>
          <w:color w:val="000000"/>
          <w:sz w:val="20"/>
          <w:szCs w:val="20"/>
        </w:rPr>
        <w:t>por no haberse generado, bastará con que así lo haga del conocimiento de la parte hoy recurrente, para tener por colmado el requerimiento de información.</w:t>
      </w:r>
    </w:p>
    <w:p w14:paraId="3BAC2A9A" w14:textId="77777777" w:rsidR="00B16D10" w:rsidRDefault="004B6999">
      <w:pPr>
        <w:pBdr>
          <w:top w:val="nil"/>
          <w:left w:val="nil"/>
          <w:bottom w:val="nil"/>
          <w:right w:val="nil"/>
          <w:between w:val="nil"/>
        </w:pBdr>
        <w:spacing w:before="120" w:after="120"/>
        <w:ind w:left="426" w:right="51"/>
        <w:jc w:val="both"/>
        <w:rPr>
          <w:rFonts w:ascii="Palatino Linotype" w:eastAsia="Palatino Linotype" w:hAnsi="Palatino Linotype" w:cs="Palatino Linotype"/>
          <w:i/>
          <w:color w:val="000000"/>
          <w:sz w:val="20"/>
          <w:szCs w:val="20"/>
        </w:rPr>
      </w:pPr>
      <w:bookmarkStart w:id="14" w:name="_Hlk95149136"/>
      <w:r>
        <w:rPr>
          <w:rFonts w:ascii="Palatino Linotype" w:eastAsia="Palatino Linotype" w:hAnsi="Palatino Linotype" w:cs="Palatino Linotype"/>
          <w:i/>
          <w:color w:val="000000"/>
          <w:sz w:val="20"/>
          <w:szCs w:val="20"/>
        </w:rPr>
        <w:t>De ser el caso que posterior a la previa búsqueda exhaustiva y razonable no se localizarán la totalidad de las actas de las sesiones ordinarias del Comité Interno de Gobierno Digital</w:t>
      </w:r>
      <w:r>
        <w:rPr>
          <w:rFonts w:ascii="Palatino Linotype" w:eastAsia="Palatino Linotype" w:hAnsi="Palatino Linotype" w:cs="Palatino Linotype"/>
          <w:i/>
          <w:color w:val="000000"/>
          <w:sz w:val="16"/>
          <w:szCs w:val="16"/>
        </w:rPr>
        <w:t xml:space="preserve">  </w:t>
      </w:r>
      <w:r>
        <w:rPr>
          <w:rFonts w:ascii="Palatino Linotype" w:eastAsia="Palatino Linotype" w:hAnsi="Palatino Linotype" w:cs="Palatino Linotype"/>
          <w:i/>
          <w:color w:val="000000"/>
          <w:sz w:val="20"/>
          <w:szCs w:val="20"/>
        </w:rPr>
        <w:t>que se ordenan</w:t>
      </w:r>
      <w:r>
        <w:rPr>
          <w:rFonts w:ascii="Palatino Linotype" w:eastAsia="Palatino Linotype" w:hAnsi="Palatino Linotype" w:cs="Palatino Linotype"/>
          <w:b/>
          <w:i/>
          <w:color w:val="000000"/>
          <w:sz w:val="20"/>
          <w:szCs w:val="20"/>
        </w:rPr>
        <w:t xml:space="preserve">, </w:t>
      </w:r>
      <w:r>
        <w:rPr>
          <w:rFonts w:ascii="Palatino Linotype" w:eastAsia="Palatino Linotype" w:hAnsi="Palatino Linotype" w:cs="Palatino Linotype"/>
          <w:i/>
          <w:color w:val="000000"/>
          <w:sz w:val="20"/>
          <w:szCs w:val="20"/>
        </w:rPr>
        <w:t>se deberá emitir el 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poseyó y/o administro la información.</w:t>
      </w:r>
    </w:p>
    <w:bookmarkEnd w:id="14"/>
    <w:p w14:paraId="56EB28BD" w14:textId="77777777" w:rsidR="00B16D10" w:rsidRDefault="004B699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vía</w:t>
      </w:r>
      <w:r>
        <w:rPr>
          <w:rFonts w:ascii="Palatino Linotype" w:eastAsia="Palatino Linotype" w:hAnsi="Palatino Linotype" w:cs="Palatino Linotype"/>
          <w:b/>
        </w:rPr>
        <w:t xml:space="preserve"> SAIMEX, </w:t>
      </w:r>
      <w:r>
        <w:rPr>
          <w:rFonts w:ascii="Palatino Linotype" w:eastAsia="Palatino Linotype" w:hAnsi="Palatino Linotype" w:cs="Palatino Linotype"/>
        </w:rPr>
        <w:t xml:space="preserve">al </w:t>
      </w:r>
      <w:proofErr w:type="gramStart"/>
      <w:r>
        <w:rPr>
          <w:rFonts w:ascii="Palatino Linotype" w:eastAsia="Palatino Linotype" w:hAnsi="Palatino Linotype" w:cs="Palatino Linotype"/>
        </w:rPr>
        <w:t>Responsable</w:t>
      </w:r>
      <w:proofErr w:type="gramEnd"/>
      <w:r>
        <w:rPr>
          <w:rFonts w:ascii="Palatino Linotype" w:eastAsia="Palatino Linotype" w:hAnsi="Palatino Linotype" w:cs="Palatino Linotype"/>
        </w:rPr>
        <w:t xml:space="preserv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 186, </w:t>
      </w:r>
      <w:r>
        <w:rPr>
          <w:rFonts w:ascii="Palatino Linotype" w:eastAsia="Palatino Linotype" w:hAnsi="Palatino Linotype" w:cs="Palatino Linotype"/>
        </w:rPr>
        <w:lastRenderedPageBreak/>
        <w:t>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1686CFDA"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4CE094F8"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EBFBF77" w14:textId="77777777" w:rsidR="00B16D10" w:rsidRDefault="004B6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w:t>
      </w:r>
      <w:r w:rsidR="00F620DC" w:rsidRPr="00F620DC">
        <w:rPr>
          <w:rFonts w:ascii="Palatino Linotype" w:eastAsia="Palatino Linotype" w:hAnsi="Palatino Linotype" w:cs="Palatino Linotype"/>
        </w:rPr>
        <w:t>MARÍA DEL ROSARIO MEJÍA AYALA;</w:t>
      </w:r>
      <w:r w:rsidR="00F620DC">
        <w:rPr>
          <w:rFonts w:ascii="Palatino Linotype" w:eastAsia="Palatino Linotype" w:hAnsi="Palatino Linotype" w:cs="Palatino Linotype"/>
        </w:rPr>
        <w:t xml:space="preserve"> </w:t>
      </w:r>
      <w:r>
        <w:rPr>
          <w:rFonts w:ascii="Palatino Linotype" w:eastAsia="Palatino Linotype" w:hAnsi="Palatino Linotype" w:cs="Palatino Linotype"/>
        </w:rPr>
        <w:t xml:space="preserve">SHARON CRISTINA MORALES MARTÍNEZ (AUSENCIA JUTIFICADA); </w:t>
      </w:r>
      <w:r w:rsidR="00F620DC" w:rsidRPr="00F620DC">
        <w:rPr>
          <w:rFonts w:ascii="Palatino Linotype" w:eastAsia="Palatino Linotype" w:hAnsi="Palatino Linotype" w:cs="Palatino Linotype"/>
        </w:rPr>
        <w:t xml:space="preserve">LUIS GUSTAVO PARRA NORIEGA </w:t>
      </w:r>
      <w:r w:rsidR="00F620DC">
        <w:rPr>
          <w:rFonts w:ascii="Palatino Linotype" w:eastAsia="Palatino Linotype" w:hAnsi="Palatino Linotype" w:cs="Palatino Linotype"/>
        </w:rPr>
        <w:t>Y GUADALUPE RAMÍREZ PEÑA</w:t>
      </w:r>
      <w:r>
        <w:rPr>
          <w:rFonts w:ascii="Palatino Linotype" w:eastAsia="Palatino Linotype" w:hAnsi="Palatino Linotype" w:cs="Palatino Linotype"/>
        </w:rPr>
        <w:t>; EN LA PRIMERA SESIÓN ORDINARIA CELEBRADA EL  DOCE DE ENERO DE DOS MIL VEINTIDÓS, ANTE EL SECRETARIO TÉCNICO DEL PLENO, ALEXIS TAPIA RAMÍREZ.</w:t>
      </w:r>
    </w:p>
    <w:p w14:paraId="7D211C1B" w14:textId="77777777" w:rsidR="00B16D10" w:rsidRDefault="00B16D10">
      <w:pPr>
        <w:spacing w:before="240" w:after="240"/>
        <w:jc w:val="both"/>
        <w:rPr>
          <w:rFonts w:ascii="Palatino Linotype" w:eastAsia="Palatino Linotype" w:hAnsi="Palatino Linotype" w:cs="Palatino Linotype"/>
          <w:sz w:val="20"/>
          <w:szCs w:val="20"/>
        </w:rPr>
      </w:pPr>
    </w:p>
    <w:p w14:paraId="7A403CE1" w14:textId="77777777" w:rsidR="00B16D10" w:rsidRDefault="00B16D10">
      <w:pPr>
        <w:spacing w:before="240" w:after="240"/>
        <w:jc w:val="both"/>
        <w:rPr>
          <w:rFonts w:ascii="Palatino Linotype" w:eastAsia="Palatino Linotype" w:hAnsi="Palatino Linotype" w:cs="Palatino Linotype"/>
          <w:sz w:val="20"/>
          <w:szCs w:val="20"/>
        </w:rPr>
      </w:pPr>
    </w:p>
    <w:p w14:paraId="0D6C745C" w14:textId="77777777" w:rsidR="00B16D10" w:rsidRDefault="00B16D10">
      <w:pPr>
        <w:spacing w:before="240" w:after="240"/>
        <w:jc w:val="both"/>
        <w:rPr>
          <w:rFonts w:ascii="Palatino Linotype" w:eastAsia="Palatino Linotype" w:hAnsi="Palatino Linotype" w:cs="Palatino Linotype"/>
          <w:sz w:val="20"/>
          <w:szCs w:val="20"/>
        </w:rPr>
      </w:pPr>
    </w:p>
    <w:p w14:paraId="14B8A133" w14:textId="77777777" w:rsidR="00B16D10" w:rsidRDefault="00B16D10">
      <w:pPr>
        <w:spacing w:before="240" w:after="240"/>
        <w:jc w:val="both"/>
        <w:rPr>
          <w:rFonts w:ascii="Palatino Linotype" w:eastAsia="Palatino Linotype" w:hAnsi="Palatino Linotype" w:cs="Palatino Linotype"/>
          <w:sz w:val="20"/>
          <w:szCs w:val="20"/>
        </w:rPr>
      </w:pPr>
    </w:p>
    <w:p w14:paraId="0A0CE8B6" w14:textId="77777777" w:rsidR="00B16D10" w:rsidRDefault="00B16D10">
      <w:pPr>
        <w:spacing w:before="240" w:after="240"/>
        <w:jc w:val="both"/>
        <w:rPr>
          <w:rFonts w:ascii="Palatino Linotype" w:eastAsia="Palatino Linotype" w:hAnsi="Palatino Linotype" w:cs="Palatino Linotype"/>
          <w:sz w:val="20"/>
          <w:szCs w:val="20"/>
        </w:rPr>
      </w:pPr>
    </w:p>
    <w:p w14:paraId="2C485706" w14:textId="77777777" w:rsidR="00B16D10" w:rsidRDefault="00B16D10">
      <w:pPr>
        <w:spacing w:before="240" w:after="240"/>
        <w:jc w:val="both"/>
        <w:rPr>
          <w:rFonts w:ascii="Palatino Linotype" w:eastAsia="Palatino Linotype" w:hAnsi="Palatino Linotype" w:cs="Palatino Linotype"/>
          <w:sz w:val="20"/>
          <w:szCs w:val="20"/>
        </w:rPr>
      </w:pPr>
    </w:p>
    <w:p w14:paraId="6E3F50E7" w14:textId="77777777" w:rsidR="00B16D10" w:rsidRDefault="00B16D10">
      <w:pPr>
        <w:spacing w:before="240" w:after="240"/>
        <w:jc w:val="both"/>
        <w:rPr>
          <w:rFonts w:ascii="Palatino Linotype" w:eastAsia="Palatino Linotype" w:hAnsi="Palatino Linotype" w:cs="Palatino Linotype"/>
          <w:sz w:val="20"/>
          <w:szCs w:val="20"/>
        </w:rPr>
      </w:pPr>
    </w:p>
    <w:p w14:paraId="0E0F91F3" w14:textId="77777777" w:rsidR="00B16D10" w:rsidRDefault="00B16D10">
      <w:pPr>
        <w:spacing w:before="240" w:after="240"/>
        <w:jc w:val="both"/>
        <w:rPr>
          <w:rFonts w:ascii="Palatino Linotype" w:eastAsia="Palatino Linotype" w:hAnsi="Palatino Linotype" w:cs="Palatino Linotype"/>
          <w:sz w:val="20"/>
          <w:szCs w:val="20"/>
        </w:rPr>
      </w:pPr>
    </w:p>
    <w:p w14:paraId="065EDDA4" w14:textId="77777777" w:rsidR="00B16D10" w:rsidRDefault="00B16D10">
      <w:pPr>
        <w:spacing w:before="240" w:after="240"/>
        <w:jc w:val="both"/>
        <w:rPr>
          <w:rFonts w:ascii="Palatino Linotype" w:eastAsia="Palatino Linotype" w:hAnsi="Palatino Linotype" w:cs="Palatino Linotype"/>
          <w:sz w:val="20"/>
          <w:szCs w:val="20"/>
        </w:rPr>
      </w:pPr>
    </w:p>
    <w:p w14:paraId="00697F33" w14:textId="77777777" w:rsidR="00B16D10" w:rsidRDefault="00B16D10">
      <w:pPr>
        <w:spacing w:before="240" w:after="240"/>
        <w:jc w:val="both"/>
        <w:rPr>
          <w:rFonts w:ascii="Palatino Linotype" w:eastAsia="Palatino Linotype" w:hAnsi="Palatino Linotype" w:cs="Palatino Linotype"/>
          <w:sz w:val="20"/>
          <w:szCs w:val="20"/>
        </w:rPr>
      </w:pPr>
    </w:p>
    <w:p w14:paraId="6A4177DB" w14:textId="77777777" w:rsidR="00B16D10" w:rsidRDefault="00B16D10">
      <w:pPr>
        <w:spacing w:before="240" w:after="240"/>
        <w:jc w:val="both"/>
        <w:rPr>
          <w:rFonts w:ascii="Palatino Linotype" w:eastAsia="Palatino Linotype" w:hAnsi="Palatino Linotype" w:cs="Palatino Linotype"/>
          <w:sz w:val="20"/>
          <w:szCs w:val="20"/>
        </w:rPr>
      </w:pPr>
    </w:p>
    <w:p w14:paraId="6C9FEC77" w14:textId="77777777" w:rsidR="00B16D10" w:rsidRDefault="00B16D10">
      <w:pPr>
        <w:spacing w:before="240" w:after="240"/>
        <w:jc w:val="both"/>
        <w:rPr>
          <w:rFonts w:ascii="Palatino Linotype" w:eastAsia="Palatino Linotype" w:hAnsi="Palatino Linotype" w:cs="Palatino Linotype"/>
          <w:sz w:val="20"/>
          <w:szCs w:val="20"/>
        </w:rPr>
      </w:pPr>
    </w:p>
    <w:p w14:paraId="4E3F8CA3" w14:textId="77777777" w:rsidR="00B16D10" w:rsidRDefault="00B16D10">
      <w:pPr>
        <w:spacing w:before="240" w:after="240"/>
        <w:jc w:val="both"/>
        <w:rPr>
          <w:rFonts w:ascii="Palatino Linotype" w:eastAsia="Palatino Linotype" w:hAnsi="Palatino Linotype" w:cs="Palatino Linotype"/>
          <w:sz w:val="20"/>
          <w:szCs w:val="20"/>
        </w:rPr>
      </w:pPr>
    </w:p>
    <w:p w14:paraId="77032958" w14:textId="77777777" w:rsidR="00B16D10" w:rsidRDefault="00B16D10">
      <w:pPr>
        <w:spacing w:before="240" w:after="240"/>
        <w:jc w:val="both"/>
        <w:rPr>
          <w:rFonts w:ascii="Palatino Linotype" w:eastAsia="Palatino Linotype" w:hAnsi="Palatino Linotype" w:cs="Palatino Linotype"/>
          <w:sz w:val="20"/>
          <w:szCs w:val="20"/>
        </w:rPr>
      </w:pPr>
    </w:p>
    <w:p w14:paraId="4F5616E5" w14:textId="77777777" w:rsidR="00B16D10" w:rsidRDefault="00B16D10">
      <w:pPr>
        <w:spacing w:before="240" w:after="240"/>
        <w:jc w:val="both"/>
        <w:rPr>
          <w:rFonts w:ascii="Palatino Linotype" w:eastAsia="Palatino Linotype" w:hAnsi="Palatino Linotype" w:cs="Palatino Linotype"/>
          <w:sz w:val="20"/>
          <w:szCs w:val="20"/>
        </w:rPr>
      </w:pPr>
    </w:p>
    <w:p w14:paraId="34B927D5" w14:textId="77777777" w:rsidR="00B16D10" w:rsidRDefault="00B16D10">
      <w:pPr>
        <w:spacing w:before="240" w:after="240"/>
        <w:jc w:val="both"/>
        <w:rPr>
          <w:rFonts w:ascii="Palatino Linotype" w:eastAsia="Palatino Linotype" w:hAnsi="Palatino Linotype" w:cs="Palatino Linotype"/>
          <w:sz w:val="20"/>
          <w:szCs w:val="20"/>
        </w:rPr>
      </w:pPr>
    </w:p>
    <w:p w14:paraId="3E39EBA6" w14:textId="77777777" w:rsidR="00B16D10" w:rsidRDefault="00B16D10">
      <w:pPr>
        <w:spacing w:before="240" w:after="240"/>
        <w:jc w:val="both"/>
        <w:rPr>
          <w:rFonts w:ascii="Palatino Linotype" w:eastAsia="Palatino Linotype" w:hAnsi="Palatino Linotype" w:cs="Palatino Linotype"/>
          <w:sz w:val="20"/>
          <w:szCs w:val="20"/>
        </w:rPr>
      </w:pPr>
    </w:p>
    <w:p w14:paraId="4F120DE7" w14:textId="77777777" w:rsidR="00B16D10" w:rsidRDefault="00B16D10">
      <w:pPr>
        <w:spacing w:before="240" w:after="240"/>
        <w:jc w:val="both"/>
        <w:rPr>
          <w:rFonts w:ascii="Palatino Linotype" w:eastAsia="Palatino Linotype" w:hAnsi="Palatino Linotype" w:cs="Palatino Linotype"/>
          <w:sz w:val="20"/>
          <w:szCs w:val="20"/>
        </w:rPr>
      </w:pPr>
    </w:p>
    <w:p w14:paraId="02AC4584" w14:textId="77777777" w:rsidR="00B16D10" w:rsidRDefault="00B16D10">
      <w:pPr>
        <w:spacing w:before="240" w:after="240"/>
        <w:jc w:val="both"/>
        <w:rPr>
          <w:rFonts w:ascii="Palatino Linotype" w:eastAsia="Palatino Linotype" w:hAnsi="Palatino Linotype" w:cs="Palatino Linotype"/>
          <w:sz w:val="20"/>
          <w:szCs w:val="20"/>
        </w:rPr>
      </w:pPr>
    </w:p>
    <w:p w14:paraId="25F39054" w14:textId="77777777" w:rsidR="00B16D10" w:rsidRDefault="00B16D10">
      <w:pPr>
        <w:spacing w:before="240" w:after="240"/>
        <w:jc w:val="both"/>
        <w:rPr>
          <w:rFonts w:ascii="Palatino Linotype" w:eastAsia="Palatino Linotype" w:hAnsi="Palatino Linotype" w:cs="Palatino Linotype"/>
          <w:sz w:val="20"/>
          <w:szCs w:val="20"/>
        </w:rPr>
      </w:pPr>
    </w:p>
    <w:p w14:paraId="0BF4A2EA" w14:textId="77777777" w:rsidR="00B16D10" w:rsidRDefault="00B16D10">
      <w:pPr>
        <w:spacing w:before="240" w:after="240"/>
        <w:jc w:val="both"/>
        <w:rPr>
          <w:rFonts w:ascii="Palatino Linotype" w:eastAsia="Palatino Linotype" w:hAnsi="Palatino Linotype" w:cs="Palatino Linotype"/>
          <w:sz w:val="20"/>
          <w:szCs w:val="20"/>
        </w:rPr>
      </w:pPr>
    </w:p>
    <w:p w14:paraId="431A9E8F" w14:textId="77777777" w:rsidR="00B16D10" w:rsidRDefault="00B16D10">
      <w:pPr>
        <w:spacing w:before="240" w:after="240"/>
        <w:jc w:val="both"/>
        <w:rPr>
          <w:rFonts w:ascii="Palatino Linotype" w:eastAsia="Palatino Linotype" w:hAnsi="Palatino Linotype" w:cs="Palatino Linotype"/>
          <w:sz w:val="20"/>
          <w:szCs w:val="20"/>
        </w:rPr>
      </w:pPr>
    </w:p>
    <w:p w14:paraId="6F41AC96" w14:textId="77777777" w:rsidR="00B16D10" w:rsidRDefault="00B16D10">
      <w:pPr>
        <w:spacing w:before="240" w:after="240"/>
        <w:jc w:val="both"/>
        <w:rPr>
          <w:rFonts w:ascii="Palatino Linotype" w:eastAsia="Palatino Linotype" w:hAnsi="Palatino Linotype" w:cs="Palatino Linotype"/>
          <w:sz w:val="20"/>
          <w:szCs w:val="20"/>
        </w:rPr>
      </w:pPr>
    </w:p>
    <w:p w14:paraId="4586F220" w14:textId="77777777" w:rsidR="00B16D10" w:rsidRDefault="00B16D10">
      <w:pPr>
        <w:spacing w:before="240" w:after="240"/>
        <w:jc w:val="both"/>
        <w:rPr>
          <w:rFonts w:ascii="Palatino Linotype" w:eastAsia="Palatino Linotype" w:hAnsi="Palatino Linotype" w:cs="Palatino Linotype"/>
          <w:sz w:val="20"/>
          <w:szCs w:val="20"/>
        </w:rPr>
      </w:pPr>
    </w:p>
    <w:sectPr w:rsidR="00B16D10">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4B090" w14:textId="77777777" w:rsidR="001869BC" w:rsidRDefault="001869BC">
      <w:r>
        <w:separator/>
      </w:r>
    </w:p>
  </w:endnote>
  <w:endnote w:type="continuationSeparator" w:id="0">
    <w:p w14:paraId="366B09E4" w14:textId="77777777" w:rsidR="001869BC" w:rsidRDefault="0018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0329D" w14:textId="77777777" w:rsidR="00B16D10" w:rsidRDefault="004B699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85063">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85063">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5462A15A" w14:textId="77777777" w:rsidR="00B16D10" w:rsidRDefault="00B16D1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8D54" w14:textId="77777777" w:rsidR="00B16D10" w:rsidRDefault="004B699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8506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85063">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3D77B33F" w14:textId="77777777" w:rsidR="00B16D10" w:rsidRDefault="00B16D1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5A76E" w14:textId="77777777" w:rsidR="001869BC" w:rsidRDefault="001869BC">
      <w:r>
        <w:separator/>
      </w:r>
    </w:p>
  </w:footnote>
  <w:footnote w:type="continuationSeparator" w:id="0">
    <w:p w14:paraId="63113005" w14:textId="77777777" w:rsidR="001869BC" w:rsidRDefault="001869BC">
      <w:r>
        <w:continuationSeparator/>
      </w:r>
    </w:p>
  </w:footnote>
  <w:footnote w:id="1">
    <w:p w14:paraId="469950B8" w14:textId="77777777" w:rsidR="00B16D10" w:rsidRDefault="004B699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185. El Instituto resolverá el recurso de revisión conforme a lo siguiente:</w:t>
      </w:r>
    </w:p>
    <w:p w14:paraId="02BA8BF9" w14:textId="77777777" w:rsidR="00B16D10" w:rsidRDefault="004B699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III. Recibido el informe justificado, cuando se modifique la respuesta, este se pondrá a disposición del recurrente para </w:t>
      </w:r>
      <w:proofErr w:type="gramStart"/>
      <w:r>
        <w:rPr>
          <w:rFonts w:ascii="Palatino Linotype" w:eastAsia="Palatino Linotype" w:hAnsi="Palatino Linotype" w:cs="Palatino Linotype"/>
          <w:color w:val="000000"/>
          <w:sz w:val="16"/>
          <w:szCs w:val="16"/>
        </w:rPr>
        <w:t>que</w:t>
      </w:r>
      <w:proofErr w:type="gramEnd"/>
      <w:r>
        <w:rPr>
          <w:rFonts w:ascii="Palatino Linotype" w:eastAsia="Palatino Linotype" w:hAnsi="Palatino Linotype" w:cs="Palatino Linotype"/>
          <w:color w:val="000000"/>
          <w:sz w:val="16"/>
          <w:szCs w:val="16"/>
        </w:rPr>
        <w:t xml:space="preserve"> en un plazo de tres días hábiles, manifieste lo que a su derecho convenga;</w:t>
      </w:r>
    </w:p>
  </w:footnote>
  <w:footnote w:id="2">
    <w:p w14:paraId="49987CDD" w14:textId="77777777" w:rsidR="00B16D10" w:rsidRDefault="004B699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185. El Instituto resolverá el recurso de revisión conforme a lo siguiente: (…)</w:t>
      </w:r>
    </w:p>
    <w:p w14:paraId="79FB06F8" w14:textId="77777777" w:rsidR="00B16D10" w:rsidRDefault="004B699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3">
    <w:p w14:paraId="2E476363" w14:textId="77777777" w:rsidR="00B16D10" w:rsidRDefault="004B6999">
      <w:pPr>
        <w:ind w:right="49"/>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b/>
          <w:sz w:val="16"/>
          <w:szCs w:val="16"/>
        </w:rPr>
        <w:t>Artículo 92.</w:t>
      </w:r>
      <w:r>
        <w:rPr>
          <w:rFonts w:ascii="Palatino Linotype" w:eastAsia="Palatino Linotype" w:hAnsi="Palatino Linotype" w:cs="Palatino Linotype"/>
          <w:sz w:val="16"/>
          <w:szCs w:val="16"/>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BC9A38" w14:textId="77777777" w:rsidR="00B16D10" w:rsidRDefault="004B6999">
      <w:pPr>
        <w:ind w:right="49"/>
        <w:jc w:val="both"/>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I.</w:t>
      </w:r>
      <w:r>
        <w:rPr>
          <w:rFonts w:ascii="Palatino Linotype" w:eastAsia="Palatino Linotype" w:hAnsi="Palatino Linotype" w:cs="Palatino Linotype"/>
          <w:sz w:val="16"/>
          <w:szCs w:val="16"/>
        </w:rPr>
        <w:t xml:space="preserve"> El </w:t>
      </w:r>
      <w:r>
        <w:rPr>
          <w:rFonts w:ascii="Palatino Linotype" w:eastAsia="Palatino Linotype" w:hAnsi="Palatino Linotype" w:cs="Palatino Linotype"/>
          <w:b/>
          <w:sz w:val="16"/>
          <w:szCs w:val="16"/>
        </w:rPr>
        <w:t>marco normativo aplicable</w:t>
      </w:r>
      <w:r>
        <w:rPr>
          <w:rFonts w:ascii="Palatino Linotype" w:eastAsia="Palatino Linotype" w:hAnsi="Palatino Linotype" w:cs="Palatino Linotype"/>
          <w:sz w:val="16"/>
          <w:szCs w:val="16"/>
        </w:rPr>
        <w:t xml:space="preserve"> al sujeto obligado, en el que deberá incluirse </w:t>
      </w:r>
      <w:r>
        <w:rPr>
          <w:rFonts w:ascii="Palatino Linotype" w:eastAsia="Palatino Linotype" w:hAnsi="Palatino Linotype" w:cs="Palatino Linotype"/>
          <w:b/>
          <w:sz w:val="16"/>
          <w:szCs w:val="16"/>
        </w:rPr>
        <w:t>leyes, códigos, reglamentos, decretos de creación, acuerdos, convenios, manuales de organización y procedimientos, reglas de operación, criterios, políticas</w:t>
      </w:r>
      <w:r>
        <w:rPr>
          <w:rFonts w:ascii="Palatino Linotype" w:eastAsia="Palatino Linotype" w:hAnsi="Palatino Linotype" w:cs="Palatino Linotype"/>
          <w:sz w:val="16"/>
          <w:szCs w:val="16"/>
        </w:rPr>
        <w:t>, entre otros;</w:t>
      </w:r>
    </w:p>
  </w:footnote>
  <w:footnote w:id="4">
    <w:p w14:paraId="7575143B" w14:textId="77777777" w:rsidR="00B16D10" w:rsidRDefault="004B6999">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i/>
          <w:sz w:val="16"/>
          <w:szCs w:val="16"/>
        </w:rPr>
        <w:t>Artículo 59.</w:t>
      </w:r>
      <w:r>
        <w:rPr>
          <w:rFonts w:ascii="Palatino Linotype" w:eastAsia="Palatino Linotype" w:hAnsi="Palatino Linotype" w:cs="Palatino Linotype"/>
          <w:i/>
          <w:sz w:val="16"/>
          <w:szCs w:val="16"/>
        </w:rPr>
        <w:t xml:space="preserve"> Los servidores públicos habilitados tendrán las funciones siguientes:</w:t>
      </w:r>
    </w:p>
    <w:p w14:paraId="27961CFD" w14:textId="77777777" w:rsidR="00B16D10" w:rsidRDefault="004B6999">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I.</w:t>
      </w:r>
      <w:r>
        <w:rPr>
          <w:rFonts w:ascii="Palatino Linotype" w:eastAsia="Palatino Linotype" w:hAnsi="Palatino Linotype" w:cs="Palatino Linotype"/>
          <w:i/>
          <w:sz w:val="16"/>
          <w:szCs w:val="16"/>
        </w:rPr>
        <w:t xml:space="preserve"> Localizar la información que le solicite la Unidad de Transparencia;</w:t>
      </w:r>
    </w:p>
    <w:p w14:paraId="44E2CBA2" w14:textId="77777777" w:rsidR="00B16D10" w:rsidRDefault="004B6999">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II.</w:t>
      </w:r>
      <w:r>
        <w:rPr>
          <w:rFonts w:ascii="Palatino Linotype" w:eastAsia="Palatino Linotype" w:hAnsi="Palatino Linotype" w:cs="Palatino Linotype"/>
          <w:i/>
          <w:sz w:val="16"/>
          <w:szCs w:val="16"/>
        </w:rPr>
        <w:t xml:space="preserve"> Proporcionar la información que obre en los archivos y que le sea solicitada por la Unidad de Transparencia;</w:t>
      </w:r>
    </w:p>
    <w:p w14:paraId="4BAAE8C2" w14:textId="77777777" w:rsidR="00B16D10" w:rsidRDefault="004B6999">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III.</w:t>
      </w:r>
      <w:r>
        <w:rPr>
          <w:rFonts w:ascii="Palatino Linotype" w:eastAsia="Palatino Linotype" w:hAnsi="Palatino Linotype" w:cs="Palatino Linotype"/>
          <w:i/>
          <w:sz w:val="16"/>
          <w:szCs w:val="16"/>
        </w:rPr>
        <w:t xml:space="preserve"> Apoyar a la Unidad de Transparencia en lo que esta le solicite para el cumplimiento de sus funciones;</w:t>
      </w:r>
    </w:p>
    <w:p w14:paraId="76B02B52" w14:textId="77777777" w:rsidR="00B16D10" w:rsidRDefault="004B6999">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IV.</w:t>
      </w:r>
      <w:r>
        <w:rPr>
          <w:rFonts w:ascii="Palatino Linotype" w:eastAsia="Palatino Linotype" w:hAnsi="Palatino Linotype" w:cs="Palatino Linotype"/>
          <w:i/>
          <w:sz w:val="16"/>
          <w:szCs w:val="16"/>
        </w:rPr>
        <w:t xml:space="preserve"> Proporcionar a la Unidad de Transparencia, las modificaciones a la información pública de oficio que obre en su poder;</w:t>
      </w:r>
    </w:p>
    <w:p w14:paraId="5F7AE89D" w14:textId="77777777" w:rsidR="00B16D10" w:rsidRDefault="004B6999">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V.</w:t>
      </w:r>
      <w:r>
        <w:rPr>
          <w:rFonts w:ascii="Palatino Linotype" w:eastAsia="Palatino Linotype" w:hAnsi="Palatino Linotype" w:cs="Palatino Linotype"/>
          <w:i/>
          <w:sz w:val="16"/>
          <w:szCs w:val="16"/>
        </w:rPr>
        <w:t xml:space="preserve"> Integrar y presentar al responsable de la Unidad de Transparencia la propuesta de clasificación de información, la cual tendrá los fundamentos y argumentos en que se basa dicha propuesta;</w:t>
      </w:r>
    </w:p>
    <w:p w14:paraId="093ACABF" w14:textId="77777777" w:rsidR="00B16D10" w:rsidRDefault="004B6999">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VI.</w:t>
      </w:r>
      <w:r>
        <w:rPr>
          <w:rFonts w:ascii="Palatino Linotype" w:eastAsia="Palatino Linotype" w:hAnsi="Palatino Linotype" w:cs="Palatino Linotype"/>
          <w:i/>
          <w:sz w:val="16"/>
          <w:szCs w:val="16"/>
        </w:rPr>
        <w:t xml:space="preserve"> Verificar, una vez analizado el contenido de la información, que no se encuentre en los supuestos de información clasificada; y</w:t>
      </w:r>
    </w:p>
    <w:p w14:paraId="2F80B098" w14:textId="77777777" w:rsidR="00B16D10" w:rsidRDefault="004B6999">
      <w:pPr>
        <w:jc w:val="both"/>
        <w:rPr>
          <w:rFonts w:ascii="Palatino Linotype" w:eastAsia="Palatino Linotype" w:hAnsi="Palatino Linotype" w:cs="Palatino Linotype"/>
          <w:sz w:val="16"/>
          <w:szCs w:val="16"/>
        </w:rPr>
      </w:pPr>
      <w:r>
        <w:rPr>
          <w:rFonts w:ascii="Palatino Linotype" w:eastAsia="Palatino Linotype" w:hAnsi="Palatino Linotype" w:cs="Palatino Linotype"/>
          <w:b/>
          <w:i/>
          <w:sz w:val="16"/>
          <w:szCs w:val="16"/>
        </w:rPr>
        <w:t>VII.</w:t>
      </w:r>
      <w:r>
        <w:rPr>
          <w:rFonts w:ascii="Palatino Linotype" w:eastAsia="Palatino Linotype" w:hAnsi="Palatino Linotype" w:cs="Palatino Linotype"/>
          <w:i/>
          <w:sz w:val="16"/>
          <w:szCs w:val="16"/>
        </w:rPr>
        <w:t xml:space="preserve"> Dar cuenta a la Unidad de Transparencia del vencimiento de los plazos de reserva.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6F3B0" w14:textId="77777777" w:rsidR="00B16D10" w:rsidRDefault="004B699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32CFD25" wp14:editId="3FF83BB3">
          <wp:simplePos x="0" y="0"/>
          <wp:positionH relativeFrom="column">
            <wp:posOffset>-1080134</wp:posOffset>
          </wp:positionH>
          <wp:positionV relativeFrom="paragraph">
            <wp:posOffset>-488314</wp:posOffset>
          </wp:positionV>
          <wp:extent cx="7809865" cy="10165715"/>
          <wp:effectExtent l="0" t="0" r="0" b="0"/>
          <wp:wrapNone/>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B16D10" w14:paraId="68425107" w14:textId="77777777">
      <w:tc>
        <w:tcPr>
          <w:tcW w:w="2489" w:type="dxa"/>
          <w:shd w:val="clear" w:color="auto" w:fill="auto"/>
        </w:tcPr>
        <w:p w14:paraId="277F9083" w14:textId="77777777" w:rsidR="00B16D10" w:rsidRDefault="004B69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3D7C8E1" w14:textId="77777777" w:rsidR="00B16D10" w:rsidRDefault="004B699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05109/INFOEM/IP/RR/2021</w:t>
          </w:r>
        </w:p>
      </w:tc>
    </w:tr>
    <w:tr w:rsidR="00B16D10" w14:paraId="09BE0AF6" w14:textId="77777777">
      <w:trPr>
        <w:trHeight w:val="228"/>
      </w:trPr>
      <w:tc>
        <w:tcPr>
          <w:tcW w:w="2489" w:type="dxa"/>
          <w:shd w:val="clear" w:color="auto" w:fill="auto"/>
          <w:vAlign w:val="center"/>
        </w:tcPr>
        <w:p w14:paraId="532B6BF5" w14:textId="77777777" w:rsidR="00B16D10" w:rsidRDefault="004B69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3D97DDB" w14:textId="77777777" w:rsidR="00B16D10" w:rsidRDefault="004B699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Jaltenco</w:t>
          </w:r>
        </w:p>
      </w:tc>
    </w:tr>
    <w:tr w:rsidR="00B16D10" w14:paraId="7F55D80A" w14:textId="77777777">
      <w:tc>
        <w:tcPr>
          <w:tcW w:w="2489" w:type="dxa"/>
          <w:shd w:val="clear" w:color="auto" w:fill="auto"/>
          <w:vAlign w:val="center"/>
        </w:tcPr>
        <w:p w14:paraId="5AB72F05" w14:textId="77777777" w:rsidR="00B16D10" w:rsidRDefault="004B699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093C0BD" w14:textId="77777777" w:rsidR="00B16D10" w:rsidRDefault="004B699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4DFF7B" w14:textId="77777777" w:rsidR="00B16D10" w:rsidRDefault="004B699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F0DF3" w14:textId="77777777" w:rsidR="00B16D10" w:rsidRDefault="00B16D10">
    <w:pPr>
      <w:widowControl w:val="0"/>
      <w:pBdr>
        <w:top w:val="nil"/>
        <w:left w:val="nil"/>
        <w:bottom w:val="nil"/>
        <w:right w:val="nil"/>
        <w:between w:val="nil"/>
      </w:pBdr>
      <w:spacing w:line="276" w:lineRule="auto"/>
      <w:rPr>
        <w:rFonts w:ascii="Palatino Linotype" w:eastAsia="Palatino Linotype" w:hAnsi="Palatino Linotype" w:cs="Palatino Linotype"/>
        <w:sz w:val="16"/>
        <w:szCs w:val="16"/>
      </w:rPr>
    </w:pPr>
  </w:p>
  <w:tbl>
    <w:tblPr>
      <w:tblStyle w:val="a2"/>
      <w:tblW w:w="5670" w:type="dxa"/>
      <w:tblInd w:w="3261" w:type="dxa"/>
      <w:tblLayout w:type="fixed"/>
      <w:tblLook w:val="0400" w:firstRow="0" w:lastRow="0" w:firstColumn="0" w:lastColumn="0" w:noHBand="0" w:noVBand="1"/>
    </w:tblPr>
    <w:tblGrid>
      <w:gridCol w:w="2551"/>
      <w:gridCol w:w="3119"/>
    </w:tblGrid>
    <w:tr w:rsidR="00B16D10" w14:paraId="76A96E4F" w14:textId="77777777">
      <w:tc>
        <w:tcPr>
          <w:tcW w:w="2551" w:type="dxa"/>
          <w:shd w:val="clear" w:color="auto" w:fill="auto"/>
          <w:vAlign w:val="center"/>
        </w:tcPr>
        <w:p w14:paraId="4CA6EECE" w14:textId="77777777" w:rsidR="00B16D10" w:rsidRDefault="004B69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B243246" w14:textId="77777777" w:rsidR="00B16D10" w:rsidRDefault="004B699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05109/INFOEM/IP/RR/2021</w:t>
          </w:r>
        </w:p>
      </w:tc>
    </w:tr>
    <w:tr w:rsidR="00B16D10" w14:paraId="19F14685" w14:textId="77777777">
      <w:trPr>
        <w:trHeight w:val="130"/>
      </w:trPr>
      <w:tc>
        <w:tcPr>
          <w:tcW w:w="2551" w:type="dxa"/>
          <w:shd w:val="clear" w:color="auto" w:fill="auto"/>
          <w:vAlign w:val="center"/>
        </w:tcPr>
        <w:p w14:paraId="5CF9C675" w14:textId="77777777" w:rsidR="00B16D10" w:rsidRDefault="004B69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53F56C9" w14:textId="28226503" w:rsidR="00B16D10" w:rsidRDefault="00342CAA">
          <w:pPr>
            <w:ind w:left="-45"/>
            <w:jc w:val="both"/>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Xxxxx</w:t>
          </w:r>
          <w:proofErr w:type="spellEnd"/>
          <w:r w:rsidR="004B6999">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r w:rsidR="004B6999">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w:t>
          </w:r>
          <w:proofErr w:type="spellEnd"/>
          <w:r w:rsidR="004B6999">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w:t>
          </w:r>
          <w:proofErr w:type="spellEnd"/>
        </w:p>
      </w:tc>
    </w:tr>
    <w:tr w:rsidR="00B16D10" w14:paraId="0360A847" w14:textId="77777777">
      <w:trPr>
        <w:trHeight w:val="228"/>
      </w:trPr>
      <w:tc>
        <w:tcPr>
          <w:tcW w:w="2551" w:type="dxa"/>
          <w:shd w:val="clear" w:color="auto" w:fill="auto"/>
          <w:vAlign w:val="center"/>
        </w:tcPr>
        <w:p w14:paraId="582B2C90" w14:textId="77777777" w:rsidR="00B16D10" w:rsidRDefault="004B69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B597EC3" w14:textId="77777777" w:rsidR="00B16D10" w:rsidRDefault="004B699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Jaltenco</w:t>
          </w:r>
        </w:p>
      </w:tc>
    </w:tr>
    <w:tr w:rsidR="00B16D10" w14:paraId="7D310402" w14:textId="77777777">
      <w:tc>
        <w:tcPr>
          <w:tcW w:w="2551" w:type="dxa"/>
          <w:shd w:val="clear" w:color="auto" w:fill="auto"/>
          <w:vAlign w:val="center"/>
        </w:tcPr>
        <w:p w14:paraId="2E24706E" w14:textId="77777777" w:rsidR="00B16D10" w:rsidRDefault="004B69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6F9EE1F" w14:textId="77777777" w:rsidR="00B16D10" w:rsidRDefault="004B699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C73BE61" w14:textId="77777777" w:rsidR="00B16D10" w:rsidRDefault="004B6999">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311711E7" wp14:editId="5D169685">
          <wp:simplePos x="0" y="0"/>
          <wp:positionH relativeFrom="column">
            <wp:posOffset>-1089659</wp:posOffset>
          </wp:positionH>
          <wp:positionV relativeFrom="paragraph">
            <wp:posOffset>-1109534</wp:posOffset>
          </wp:positionV>
          <wp:extent cx="7809865" cy="10165715"/>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7CDC"/>
    <w:multiLevelType w:val="multilevel"/>
    <w:tmpl w:val="BF9C604C"/>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83320B"/>
    <w:multiLevelType w:val="multilevel"/>
    <w:tmpl w:val="20E42A6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4A4B5B95"/>
    <w:multiLevelType w:val="multilevel"/>
    <w:tmpl w:val="5EC8B04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CBC6409"/>
    <w:multiLevelType w:val="multilevel"/>
    <w:tmpl w:val="133EAA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6941052"/>
    <w:multiLevelType w:val="multilevel"/>
    <w:tmpl w:val="8048F196"/>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D10"/>
    <w:rsid w:val="00103343"/>
    <w:rsid w:val="001869BC"/>
    <w:rsid w:val="001D7B39"/>
    <w:rsid w:val="003273B8"/>
    <w:rsid w:val="00342CAA"/>
    <w:rsid w:val="004B6999"/>
    <w:rsid w:val="00640E84"/>
    <w:rsid w:val="007E6949"/>
    <w:rsid w:val="00985063"/>
    <w:rsid w:val="00B16D10"/>
    <w:rsid w:val="00B70FEC"/>
    <w:rsid w:val="00F620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6905D"/>
  <w15:docId w15:val="{DA281A09-2B1A-4403-AAAE-00E64C2CE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dv3Ngd/PWrNhghC8/QtkD4n5dQ==">AMUW2mV0ZguhblodLmrNREs7wYD43CBCZaEZP4zLNGvetrZNJapDBe4s/O41+zfsiay5LYbpEZuNXunBbzlRsQo9YSvbaJRnfNkTii/F7lK4vQWK+gYTju4K73xctaeRw1FnGw2Ew8DuOeBBa7Izc/jxAsCpPVypdTraLv+QLyQlfycFwG8rwCJ/TZi/sLl7GOHoBwEjAL3ilqcEaVYa7bjGDrPhdlrJwMcATYJfuYHeSB1gUu2eLTM=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8285</Words>
  <Characters>45571</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VIRIDIANA SANTANA</cp:lastModifiedBy>
  <cp:revision>3</cp:revision>
  <dcterms:created xsi:type="dcterms:W3CDTF">2022-02-07T23:48:00Z</dcterms:created>
  <dcterms:modified xsi:type="dcterms:W3CDTF">2022-02-07T23:59:00Z</dcterms:modified>
</cp:coreProperties>
</file>