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7BAF47" w14:textId="77777777" w:rsidR="00314A68" w:rsidRDefault="00314A68">
      <w:pPr>
        <w:widowControl w:val="0"/>
        <w:pBdr>
          <w:top w:val="nil"/>
          <w:left w:val="nil"/>
          <w:bottom w:val="nil"/>
          <w:right w:val="nil"/>
          <w:between w:val="nil"/>
        </w:pBdr>
        <w:spacing w:line="276" w:lineRule="auto"/>
      </w:pPr>
    </w:p>
    <w:p w14:paraId="2A001BF0"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dieciséis de marzo de dos mil veintidós. </w:t>
      </w:r>
    </w:p>
    <w:p w14:paraId="613C98FB" w14:textId="77777777" w:rsidR="00314A68" w:rsidRPr="008C3040" w:rsidRDefault="00314A68">
      <w:pPr>
        <w:spacing w:line="360" w:lineRule="auto"/>
        <w:jc w:val="both"/>
        <w:rPr>
          <w:rFonts w:ascii="Palatino Linotype" w:eastAsia="Palatino Linotype" w:hAnsi="Palatino Linotype" w:cs="Palatino Linotype"/>
        </w:rPr>
      </w:pPr>
    </w:p>
    <w:p w14:paraId="6CC5CA5E" w14:textId="3E038195"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b/>
          <w:sz w:val="28"/>
          <w:szCs w:val="28"/>
        </w:rPr>
        <w:t>VISTO</w:t>
      </w:r>
      <w:r w:rsidRPr="008C3040">
        <w:rPr>
          <w:rFonts w:ascii="Palatino Linotype" w:eastAsia="Palatino Linotype" w:hAnsi="Palatino Linotype" w:cs="Palatino Linotype"/>
        </w:rPr>
        <w:t xml:space="preserve"> el expediente formado con motivo del Recurso de Revisión </w:t>
      </w:r>
      <w:r w:rsidRPr="008C3040">
        <w:rPr>
          <w:rFonts w:ascii="Palatino Linotype" w:eastAsia="Palatino Linotype" w:hAnsi="Palatino Linotype" w:cs="Palatino Linotype"/>
          <w:b/>
        </w:rPr>
        <w:t xml:space="preserve">00327/INFOEM/IP/RR/2022, </w:t>
      </w:r>
      <w:r w:rsidRPr="008C3040">
        <w:rPr>
          <w:rFonts w:ascii="Palatino Linotype" w:eastAsia="Palatino Linotype" w:hAnsi="Palatino Linotype" w:cs="Palatino Linotype"/>
        </w:rPr>
        <w:t xml:space="preserve">promovido por un particular identificado como </w:t>
      </w:r>
      <w:r w:rsidRPr="008C3040">
        <w:rPr>
          <w:rFonts w:ascii="Palatino Linotype" w:eastAsia="Palatino Linotype" w:hAnsi="Palatino Linotype" w:cs="Palatino Linotype"/>
          <w:sz w:val="26"/>
          <w:szCs w:val="26"/>
        </w:rPr>
        <w:t>“</w:t>
      </w:r>
      <w:r w:rsidR="00B77905" w:rsidRPr="00B77905">
        <w:rPr>
          <w:rFonts w:ascii="Palatino Linotype" w:eastAsia="Palatino Linotype" w:hAnsi="Palatino Linotype" w:cs="Palatino Linotype"/>
          <w:b/>
        </w:rPr>
        <w:t xml:space="preserve">XXXXXXXXXX XX </w:t>
      </w:r>
      <w:proofErr w:type="spellStart"/>
      <w:r w:rsidR="00B77905" w:rsidRPr="00B77905">
        <w:rPr>
          <w:rFonts w:ascii="Palatino Linotype" w:eastAsia="Palatino Linotype" w:hAnsi="Palatino Linotype" w:cs="Palatino Linotype"/>
          <w:b/>
        </w:rPr>
        <w:t>XX</w:t>
      </w:r>
      <w:proofErr w:type="spellEnd"/>
      <w:r w:rsidR="00B77905" w:rsidRPr="00B77905">
        <w:rPr>
          <w:rFonts w:ascii="Palatino Linotype" w:eastAsia="Palatino Linotype" w:hAnsi="Palatino Linotype" w:cs="Palatino Linotype"/>
          <w:b/>
        </w:rPr>
        <w:t xml:space="preserve"> XXXXXXXX XX XXXXXXXXXXXXX XX XXXXXXXXXXXXX</w:t>
      </w:r>
      <w:bookmarkStart w:id="0" w:name="_GoBack"/>
      <w:bookmarkEnd w:id="0"/>
      <w:r w:rsidRPr="008C3040">
        <w:rPr>
          <w:rFonts w:ascii="Palatino Linotype" w:eastAsia="Palatino Linotype" w:hAnsi="Palatino Linotype" w:cs="Palatino Linotype"/>
        </w:rPr>
        <w:t xml:space="preserve">, a quien en lo sucesivo se le denominara como </w:t>
      </w:r>
      <w:r w:rsidRPr="008C3040">
        <w:rPr>
          <w:rFonts w:ascii="Palatino Linotype" w:eastAsia="Palatino Linotype" w:hAnsi="Palatino Linotype" w:cs="Palatino Linotype"/>
          <w:b/>
        </w:rPr>
        <w:t>EL RECURRENTE,</w:t>
      </w:r>
      <w:r w:rsidRPr="008C3040">
        <w:rPr>
          <w:rFonts w:ascii="Palatino Linotype" w:eastAsia="Palatino Linotype" w:hAnsi="Palatino Linotype" w:cs="Palatino Linotype"/>
        </w:rPr>
        <w:t xml:space="preserve"> en contra de la respuesta otorgada por </w:t>
      </w:r>
      <w:r w:rsidRPr="008C3040">
        <w:rPr>
          <w:rFonts w:ascii="Palatino Linotype" w:eastAsia="Palatino Linotype" w:hAnsi="Palatino Linotype" w:cs="Palatino Linotype"/>
          <w:b/>
        </w:rPr>
        <w:t xml:space="preserve">Servicios Educativos Integrados al Estado de México, </w:t>
      </w:r>
      <w:r w:rsidRPr="008C3040">
        <w:rPr>
          <w:rFonts w:ascii="Palatino Linotype" w:eastAsia="Palatino Linotype" w:hAnsi="Palatino Linotype" w:cs="Palatino Linotype"/>
        </w:rPr>
        <w:t xml:space="preserve">en lo subsecuente se le denominará </w:t>
      </w:r>
      <w:r w:rsidRPr="008C3040">
        <w:rPr>
          <w:rFonts w:ascii="Palatino Linotype" w:eastAsia="Palatino Linotype" w:hAnsi="Palatino Linotype" w:cs="Palatino Linotype"/>
          <w:b/>
        </w:rPr>
        <w:t xml:space="preserve">EL SUJETO OBLIGADO, </w:t>
      </w:r>
      <w:r w:rsidRPr="008C3040">
        <w:rPr>
          <w:rFonts w:ascii="Palatino Linotype" w:eastAsia="Palatino Linotype" w:hAnsi="Palatino Linotype" w:cs="Palatino Linotype"/>
        </w:rPr>
        <w:t>se procede a dictar la presente resolución con base en lo siguiente:</w:t>
      </w:r>
    </w:p>
    <w:p w14:paraId="7AF17BA5" w14:textId="77777777" w:rsidR="00314A68" w:rsidRPr="008C3040" w:rsidRDefault="00314A68">
      <w:pPr>
        <w:spacing w:line="360" w:lineRule="auto"/>
        <w:jc w:val="both"/>
        <w:rPr>
          <w:rFonts w:ascii="Palatino Linotype" w:eastAsia="Palatino Linotype" w:hAnsi="Palatino Linotype" w:cs="Palatino Linotype"/>
          <w:b/>
        </w:rPr>
      </w:pPr>
    </w:p>
    <w:p w14:paraId="1D2160C1" w14:textId="77777777" w:rsidR="00314A68" w:rsidRPr="008C3040" w:rsidRDefault="00494F6B">
      <w:pPr>
        <w:jc w:val="center"/>
        <w:rPr>
          <w:rFonts w:ascii="Palatino Linotype" w:eastAsia="Palatino Linotype" w:hAnsi="Palatino Linotype" w:cs="Palatino Linotype"/>
          <w:b/>
          <w:sz w:val="28"/>
          <w:szCs w:val="28"/>
        </w:rPr>
      </w:pPr>
      <w:r w:rsidRPr="008C3040">
        <w:rPr>
          <w:rFonts w:ascii="Palatino Linotype" w:eastAsia="Palatino Linotype" w:hAnsi="Palatino Linotype" w:cs="Palatino Linotype"/>
          <w:b/>
          <w:sz w:val="28"/>
          <w:szCs w:val="28"/>
        </w:rPr>
        <w:t>ANTECEDENTES</w:t>
      </w:r>
    </w:p>
    <w:p w14:paraId="248990AD" w14:textId="77777777" w:rsidR="00314A68" w:rsidRPr="008C3040" w:rsidRDefault="00314A68">
      <w:pPr>
        <w:rPr>
          <w:rFonts w:ascii="Palatino Linotype" w:eastAsia="Palatino Linotype" w:hAnsi="Palatino Linotype" w:cs="Palatino Linotype"/>
          <w:b/>
        </w:rPr>
      </w:pPr>
    </w:p>
    <w:p w14:paraId="4C7FF80A" w14:textId="77777777" w:rsidR="00314A68" w:rsidRPr="008C3040" w:rsidRDefault="00494F6B">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8C3040">
        <w:rPr>
          <w:rFonts w:ascii="Palatino Linotype" w:eastAsia="Palatino Linotype" w:hAnsi="Palatino Linotype" w:cs="Palatino Linotype"/>
          <w:b/>
          <w:sz w:val="28"/>
          <w:szCs w:val="28"/>
        </w:rPr>
        <w:t>I.</w:t>
      </w:r>
      <w:r w:rsidRPr="008C3040">
        <w:rPr>
          <w:rFonts w:ascii="Palatino Linotype" w:eastAsia="Palatino Linotype" w:hAnsi="Palatino Linotype" w:cs="Palatino Linotype"/>
          <w:b/>
        </w:rPr>
        <w:t xml:space="preserve"> </w:t>
      </w:r>
      <w:r w:rsidRPr="008C3040">
        <w:rPr>
          <w:rFonts w:ascii="Palatino Linotype" w:eastAsia="Palatino Linotype" w:hAnsi="Palatino Linotype" w:cs="Palatino Linotype"/>
          <w:b/>
          <w:sz w:val="28"/>
          <w:szCs w:val="28"/>
        </w:rPr>
        <w:t>De la Solicitud de Información</w:t>
      </w:r>
    </w:p>
    <w:p w14:paraId="645B8480" w14:textId="77777777" w:rsidR="00314A68" w:rsidRPr="008C3040" w:rsidRDefault="00494F6B">
      <w:pPr>
        <w:spacing w:line="360" w:lineRule="auto"/>
        <w:jc w:val="both"/>
        <w:rPr>
          <w:rFonts w:ascii="Palatino Linotype" w:eastAsia="Palatino Linotype" w:hAnsi="Palatino Linotype" w:cs="Palatino Linotype"/>
        </w:rPr>
      </w:pPr>
      <w:bookmarkStart w:id="2" w:name="_heading=h.ifuj3wtxm21l" w:colFirst="0" w:colLast="0"/>
      <w:bookmarkEnd w:id="2"/>
      <w:r w:rsidRPr="008C3040">
        <w:rPr>
          <w:rFonts w:ascii="Palatino Linotype" w:eastAsia="Palatino Linotype" w:hAnsi="Palatino Linotype" w:cs="Palatino Linotype"/>
        </w:rPr>
        <w:t xml:space="preserve"> En fecha cuatro de enero de dos mil veintidós, </w:t>
      </w:r>
      <w:r w:rsidRPr="008C3040">
        <w:rPr>
          <w:rFonts w:ascii="Palatino Linotype" w:eastAsia="Palatino Linotype" w:hAnsi="Palatino Linotype" w:cs="Palatino Linotype"/>
          <w:b/>
        </w:rPr>
        <w:t>EL RECURRENTE</w:t>
      </w:r>
      <w:r w:rsidRPr="008C3040">
        <w:rPr>
          <w:rFonts w:ascii="Palatino Linotype" w:eastAsia="Palatino Linotype" w:hAnsi="Palatino Linotype" w:cs="Palatino Linotype"/>
        </w:rPr>
        <w:t xml:space="preserve">  presentó a través de la Plataforma Nacional de Trasparencia (PNT) vinculada al Sistema de Acceso a la Información Mexiquense, que en lo subsecuente se le denominará </w:t>
      </w:r>
      <w:r w:rsidRPr="008C3040">
        <w:rPr>
          <w:rFonts w:ascii="Palatino Linotype" w:eastAsia="Palatino Linotype" w:hAnsi="Palatino Linotype" w:cs="Palatino Linotype"/>
          <w:b/>
        </w:rPr>
        <w:t>EL SAIMEX</w:t>
      </w:r>
      <w:r w:rsidRPr="008C3040">
        <w:rPr>
          <w:rFonts w:ascii="Palatino Linotype" w:eastAsia="Palatino Linotype" w:hAnsi="Palatino Linotype" w:cs="Palatino Linotype"/>
        </w:rPr>
        <w:t xml:space="preserve"> ante </w:t>
      </w:r>
      <w:r w:rsidRPr="008C3040">
        <w:rPr>
          <w:rFonts w:ascii="Palatino Linotype" w:eastAsia="Palatino Linotype" w:hAnsi="Palatino Linotype" w:cs="Palatino Linotype"/>
          <w:b/>
        </w:rPr>
        <w:t xml:space="preserve">EL </w:t>
      </w:r>
      <w:r w:rsidRPr="008C3040">
        <w:rPr>
          <w:rFonts w:ascii="Palatino Linotype" w:eastAsia="Palatino Linotype" w:hAnsi="Palatino Linotype" w:cs="Palatino Linotype"/>
          <w:b/>
        </w:rPr>
        <w:lastRenderedPageBreak/>
        <w:t>SUJETO OBLIGADO</w:t>
      </w:r>
      <w:r w:rsidRPr="008C3040">
        <w:rPr>
          <w:rFonts w:ascii="Palatino Linotype" w:eastAsia="Palatino Linotype" w:hAnsi="Palatino Linotype" w:cs="Palatino Linotype"/>
        </w:rPr>
        <w:t xml:space="preserve">, la solicitud de acceso a la información pública, a la que se le asignó el número de expediente </w:t>
      </w:r>
      <w:r w:rsidRPr="008C3040">
        <w:rPr>
          <w:rFonts w:ascii="Palatino Linotype" w:eastAsia="Palatino Linotype" w:hAnsi="Palatino Linotype" w:cs="Palatino Linotype"/>
          <w:b/>
        </w:rPr>
        <w:t xml:space="preserve">00008/SEIEM/IP/2022, </w:t>
      </w:r>
      <w:r w:rsidRPr="008C3040">
        <w:rPr>
          <w:rFonts w:ascii="Palatino Linotype" w:eastAsia="Palatino Linotype" w:hAnsi="Palatino Linotype" w:cs="Palatino Linotype"/>
        </w:rPr>
        <w:t>mediante el cual requirió, lo siguiente:</w:t>
      </w:r>
    </w:p>
    <w:p w14:paraId="25F71FC8" w14:textId="77777777" w:rsidR="00314A68" w:rsidRPr="008C3040" w:rsidRDefault="00314A68">
      <w:pPr>
        <w:spacing w:line="360" w:lineRule="auto"/>
        <w:ind w:left="360"/>
        <w:jc w:val="both"/>
        <w:rPr>
          <w:rFonts w:ascii="Palatino Linotype" w:eastAsia="Palatino Linotype" w:hAnsi="Palatino Linotype" w:cs="Palatino Linotype"/>
          <w:i/>
          <w:sz w:val="20"/>
          <w:szCs w:val="20"/>
        </w:rPr>
      </w:pPr>
    </w:p>
    <w:p w14:paraId="148B0A1C" w14:textId="77777777" w:rsidR="00314A68" w:rsidRPr="008C3040" w:rsidRDefault="00494F6B">
      <w:pPr>
        <w:ind w:left="850" w:right="899"/>
        <w:jc w:val="both"/>
        <w:rPr>
          <w:rFonts w:ascii="Palatino Linotype" w:eastAsia="Palatino Linotype" w:hAnsi="Palatino Linotype" w:cs="Palatino Linotype"/>
          <w:sz w:val="22"/>
          <w:szCs w:val="22"/>
        </w:rPr>
      </w:pPr>
      <w:r w:rsidRPr="008C3040">
        <w:rPr>
          <w:rFonts w:ascii="Palatino Linotype" w:eastAsia="Palatino Linotype" w:hAnsi="Palatino Linotype" w:cs="Palatino Linotype"/>
          <w:i/>
          <w:sz w:val="22"/>
          <w:szCs w:val="22"/>
        </w:rPr>
        <w:t xml:space="preserve">“Instituto Nacional para la Educación de los Adultos (INEA) en el Estado de México 1. Solicito descripción detallada y copia del plan académico (o malla curricular o plan didáctico) que se imparte en los Centros Penitenciarios y de Reinserción Social del Estado de México, por nivel educativo: a. Primaria b. Secundaria 2. ¿Cuál es el número personas adscritas al INEA que participan en los servicios de alfabetización, educación primaria y secundaria que se imparte en los Centros Penitenciarios y de Reinserción Social del Estado de México? 3. ¿Cuál es el perfil educativo o características profesionales de las personas adscritas al INEA que participan en los servicios de alfabetización, educación primaria y secundaria que se imparte en los Centros Penitenciarios y de Reinserción Social del Estado de México? 4. ¿Qué tipo de capacitación específica reciben las personas adscritas al INEA que participan en los servicios de alfabetización, educación primaria y secundaria que se imparte en los Centros Penitenciarios y de Reinserción Social del Estado de México, para desarrollar sus labores con esta población específica? Describir detalladamente el o los programas de capacitación y, de ser posible, compartir alguna liga electrónica que permita la mejor comprensión de su contenido y características. 5. Número de personas (separado por género) en los Centros Penitenciarios y de Reinserción Social del Estado de México que se encuentran inscritos actualmente en los servicios de alfabetización, educación primaria y secundaria que imparte el INEA. 6. ¿El INEA cuenta con algún programa que fomente el hábito de la lectura en los centros penitenciarios? En caso de ser afirmativo, describa en que consiste el programa y qué nivel de eficacia se ha logrado en el último año. 7. ¿Todos los centros penitenciarios en el Estado de México cuentan con bibliotecas que apoyen los programas educativos que imparte el INEA? Servicios Educativos Integrados al Estado de México / Subsistema de Preparatoria Abierta 1. Solicito descripción detallada y copia del plan académico (o malla curricular, o plan didáctico) que se imparte en los Centros Penitenciarios y de Reinserción Social del Estado de México, así como los requisitos o procedimiento relacionado con la presentación de exámenes de preparatoria abierta con esta población. 2. Número de exámenes presentados en los Centros Penitenciarios y de Reinserción Social del Estado de México en los últimos tres años en los cuales se tenga registro y porcentaje de aprobación (separado por género) 3. </w:t>
      </w:r>
      <w:r w:rsidRPr="008C3040">
        <w:rPr>
          <w:rFonts w:ascii="Palatino Linotype" w:eastAsia="Palatino Linotype" w:hAnsi="Palatino Linotype" w:cs="Palatino Linotype"/>
          <w:i/>
          <w:sz w:val="22"/>
          <w:szCs w:val="22"/>
        </w:rPr>
        <w:lastRenderedPageBreak/>
        <w:t>¿Todos los centros penitenciarios en el Estado de México cuentan con bibliotecas que apoyen los programas educativos que se imparten a nivel medio superior? 4. ¿Cuáles son las opciones educativas de nivel superior que tienen las personas que se encuentran en los centros penitenciarios del Estado de México al concluir su nivel medio superior?.” (sic)</w:t>
      </w:r>
    </w:p>
    <w:p w14:paraId="350F8E78" w14:textId="77777777" w:rsidR="00314A68" w:rsidRPr="008C3040" w:rsidRDefault="00314A68">
      <w:pPr>
        <w:tabs>
          <w:tab w:val="left" w:pos="851"/>
        </w:tabs>
        <w:ind w:right="901"/>
        <w:jc w:val="both"/>
        <w:rPr>
          <w:rFonts w:ascii="Palatino Linotype" w:eastAsia="Palatino Linotype" w:hAnsi="Palatino Linotype" w:cs="Palatino Linotype"/>
          <w:sz w:val="22"/>
          <w:szCs w:val="22"/>
        </w:rPr>
      </w:pPr>
    </w:p>
    <w:p w14:paraId="30D95136" w14:textId="77777777" w:rsidR="00314A68" w:rsidRPr="008C3040" w:rsidRDefault="00494F6B">
      <w:pPr>
        <w:widowControl w:val="0"/>
        <w:spacing w:line="360" w:lineRule="auto"/>
        <w:jc w:val="both"/>
        <w:rPr>
          <w:rFonts w:ascii="Palatino Linotype" w:eastAsia="Palatino Linotype" w:hAnsi="Palatino Linotype" w:cs="Palatino Linotype"/>
          <w:b/>
        </w:rPr>
      </w:pPr>
      <w:r w:rsidRPr="008C3040">
        <w:rPr>
          <w:rFonts w:ascii="Palatino Linotype" w:eastAsia="Palatino Linotype" w:hAnsi="Palatino Linotype" w:cs="Palatino Linotype"/>
          <w:b/>
        </w:rPr>
        <w:t xml:space="preserve">MODALIDAD DE ENTREGA: </w:t>
      </w:r>
      <w:r w:rsidRPr="008C3040">
        <w:rPr>
          <w:rFonts w:ascii="Palatino Linotype" w:eastAsia="Palatino Linotype" w:hAnsi="Palatino Linotype" w:cs="Palatino Linotype"/>
        </w:rPr>
        <w:t xml:space="preserve">Vía </w:t>
      </w:r>
      <w:r w:rsidRPr="008C3040">
        <w:rPr>
          <w:rFonts w:ascii="Palatino Linotype" w:eastAsia="Palatino Linotype" w:hAnsi="Palatino Linotype" w:cs="Palatino Linotype"/>
          <w:b/>
        </w:rPr>
        <w:t>SAIMEX.</w:t>
      </w:r>
    </w:p>
    <w:p w14:paraId="1C0D4043" w14:textId="77777777" w:rsidR="00314A68" w:rsidRPr="008C3040" w:rsidRDefault="00314A68">
      <w:pPr>
        <w:spacing w:line="360" w:lineRule="auto"/>
        <w:jc w:val="both"/>
        <w:rPr>
          <w:rFonts w:ascii="Palatino Linotype" w:eastAsia="Palatino Linotype" w:hAnsi="Palatino Linotype" w:cs="Palatino Linotype"/>
          <w:b/>
          <w:sz w:val="28"/>
          <w:szCs w:val="28"/>
        </w:rPr>
      </w:pPr>
    </w:p>
    <w:p w14:paraId="4367144B" w14:textId="77777777" w:rsidR="00314A68" w:rsidRPr="008C3040" w:rsidRDefault="00494F6B">
      <w:pPr>
        <w:spacing w:line="360" w:lineRule="auto"/>
        <w:jc w:val="both"/>
        <w:rPr>
          <w:rFonts w:ascii="Palatino Linotype" w:eastAsia="Palatino Linotype" w:hAnsi="Palatino Linotype" w:cs="Palatino Linotype"/>
          <w:b/>
          <w:sz w:val="28"/>
          <w:szCs w:val="28"/>
        </w:rPr>
      </w:pPr>
      <w:r w:rsidRPr="008C3040">
        <w:rPr>
          <w:rFonts w:ascii="Palatino Linotype" w:eastAsia="Palatino Linotype" w:hAnsi="Palatino Linotype" w:cs="Palatino Linotype"/>
          <w:b/>
          <w:sz w:val="28"/>
          <w:szCs w:val="28"/>
        </w:rPr>
        <w:t>II. Turno de requerimiento del Sujeto Obligado</w:t>
      </w:r>
    </w:p>
    <w:p w14:paraId="648265CC" w14:textId="77777777" w:rsidR="00314A68" w:rsidRPr="008C3040" w:rsidRDefault="00494F6B">
      <w:pPr>
        <w:spacing w:line="360" w:lineRule="auto"/>
        <w:jc w:val="both"/>
        <w:rPr>
          <w:rFonts w:ascii="Palatino Linotype" w:eastAsia="Palatino Linotype" w:hAnsi="Palatino Linotype" w:cs="Palatino Linotype"/>
          <w:b/>
        </w:rPr>
      </w:pPr>
      <w:r w:rsidRPr="008C3040">
        <w:rPr>
          <w:rFonts w:ascii="Palatino Linotype" w:eastAsia="Palatino Linotype" w:hAnsi="Palatino Linotype" w:cs="Palatino Linotype"/>
        </w:rPr>
        <w:t>De las constancias que obran en el expediente electrónico del SAIMEX no se advierte requerimiento alguno realizado por la Titular de la Unidad de Transparencia a los servidores públicos habilitados competentes en términos de lo establecido por el artículo 162 de la Ley de Transparencia y Acceso a la Información Pública del Estado de México y Municipios</w:t>
      </w:r>
    </w:p>
    <w:p w14:paraId="79883A2B" w14:textId="77777777" w:rsidR="00314A68" w:rsidRPr="008C3040" w:rsidRDefault="00314A68">
      <w:pPr>
        <w:widowControl w:val="0"/>
        <w:jc w:val="both"/>
        <w:rPr>
          <w:rFonts w:ascii="Palatino Linotype" w:eastAsia="Palatino Linotype" w:hAnsi="Palatino Linotype" w:cs="Palatino Linotype"/>
          <w:b/>
        </w:rPr>
      </w:pPr>
    </w:p>
    <w:p w14:paraId="7A2C7582" w14:textId="77777777" w:rsidR="00314A68" w:rsidRPr="008C3040" w:rsidRDefault="00494F6B">
      <w:pPr>
        <w:widowControl w:val="0"/>
        <w:spacing w:line="360" w:lineRule="auto"/>
        <w:jc w:val="both"/>
        <w:rPr>
          <w:rFonts w:ascii="Palatino Linotype" w:eastAsia="Palatino Linotype" w:hAnsi="Palatino Linotype" w:cs="Palatino Linotype"/>
          <w:b/>
          <w:sz w:val="28"/>
          <w:szCs w:val="28"/>
        </w:rPr>
      </w:pPr>
      <w:r w:rsidRPr="008C3040">
        <w:rPr>
          <w:rFonts w:ascii="Palatino Linotype" w:eastAsia="Palatino Linotype" w:hAnsi="Palatino Linotype" w:cs="Palatino Linotype"/>
          <w:b/>
          <w:sz w:val="28"/>
          <w:szCs w:val="28"/>
        </w:rPr>
        <w:t>III. Respuesta del Sujeto Obligado</w:t>
      </w:r>
    </w:p>
    <w:p w14:paraId="16A50007" w14:textId="77777777" w:rsidR="00314A68" w:rsidRPr="008C3040" w:rsidRDefault="00494F6B">
      <w:pPr>
        <w:widowControl w:val="0"/>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En fecha trece de enero de dos mil veintidós,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se declaró incompetente en términos de lo establecido por el artículo 167 de la Ley de Transparencia y Acceso a la Información Pública del Estado de México y Municipios señalando como autoridad competente para conocer de la solicitud de información pública a la Secretaría de Educación del Gobierno del Estado de México, indicando la dirección de la Unidad de Transparencia, tal y como se aprecia en la captura de pantalla que se inserta a continuación: </w:t>
      </w:r>
    </w:p>
    <w:p w14:paraId="52FED380" w14:textId="77777777" w:rsidR="00314A68" w:rsidRPr="008C3040" w:rsidRDefault="00314A68">
      <w:pPr>
        <w:widowControl w:val="0"/>
        <w:spacing w:line="360" w:lineRule="auto"/>
        <w:jc w:val="both"/>
        <w:rPr>
          <w:rFonts w:ascii="Palatino Linotype" w:eastAsia="Palatino Linotype" w:hAnsi="Palatino Linotype" w:cs="Palatino Linotype"/>
        </w:rPr>
      </w:pPr>
    </w:p>
    <w:p w14:paraId="1504AFDE" w14:textId="77777777" w:rsidR="00314A68" w:rsidRPr="008C3040" w:rsidRDefault="00494F6B">
      <w:pPr>
        <w:widowControl w:val="0"/>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noProof/>
        </w:rPr>
        <w:lastRenderedPageBreak/>
        <w:drawing>
          <wp:inline distT="114300" distB="114300" distL="114300" distR="114300" wp14:anchorId="61281D7D" wp14:editId="5B003254">
            <wp:extent cx="5791835" cy="1905000"/>
            <wp:effectExtent l="0" t="0" r="0" b="0"/>
            <wp:docPr id="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791835" cy="1905000"/>
                    </a:xfrm>
                    <a:prstGeom prst="rect">
                      <a:avLst/>
                    </a:prstGeom>
                    <a:ln/>
                  </pic:spPr>
                </pic:pic>
              </a:graphicData>
            </a:graphic>
          </wp:inline>
        </w:drawing>
      </w:r>
    </w:p>
    <w:p w14:paraId="6FDB8D5F" w14:textId="77777777" w:rsidR="00314A68" w:rsidRPr="008C3040" w:rsidRDefault="00314A68">
      <w:pPr>
        <w:widowControl w:val="0"/>
        <w:spacing w:line="360" w:lineRule="auto"/>
        <w:jc w:val="both"/>
        <w:rPr>
          <w:rFonts w:ascii="Palatino Linotype" w:eastAsia="Palatino Linotype" w:hAnsi="Palatino Linotype" w:cs="Palatino Linotype"/>
        </w:rPr>
      </w:pPr>
    </w:p>
    <w:p w14:paraId="54CB586B" w14:textId="77777777" w:rsidR="00314A68" w:rsidRPr="008C3040" w:rsidRDefault="00494F6B">
      <w:pPr>
        <w:widowControl w:val="0"/>
        <w:spacing w:line="360" w:lineRule="auto"/>
        <w:jc w:val="both"/>
        <w:rPr>
          <w:rFonts w:ascii="Palatino Linotype" w:eastAsia="Palatino Linotype" w:hAnsi="Palatino Linotype" w:cs="Palatino Linotype"/>
          <w:b/>
        </w:rPr>
      </w:pPr>
      <w:r w:rsidRPr="008C3040">
        <w:rPr>
          <w:rFonts w:ascii="Palatino Linotype" w:eastAsia="Palatino Linotype" w:hAnsi="Palatino Linotype" w:cs="Palatino Linotype"/>
          <w:b/>
          <w:sz w:val="28"/>
          <w:szCs w:val="28"/>
        </w:rPr>
        <w:t>IV. Del Recurso de Revisión</w:t>
      </w:r>
      <w:r w:rsidRPr="008C3040">
        <w:rPr>
          <w:rFonts w:ascii="Palatino Linotype" w:eastAsia="Palatino Linotype" w:hAnsi="Palatino Linotype" w:cs="Palatino Linotype"/>
          <w:b/>
        </w:rPr>
        <w:t>.</w:t>
      </w:r>
    </w:p>
    <w:p w14:paraId="180BD1B9" w14:textId="77777777" w:rsidR="00314A68" w:rsidRPr="008C3040" w:rsidRDefault="00494F6B">
      <w:pPr>
        <w:widowControl w:val="0"/>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b/>
        </w:rPr>
        <w:t xml:space="preserve"> </w:t>
      </w:r>
      <w:r w:rsidRPr="008C3040">
        <w:rPr>
          <w:rFonts w:ascii="Palatino Linotype" w:eastAsia="Palatino Linotype" w:hAnsi="Palatino Linotype" w:cs="Palatino Linotype"/>
        </w:rPr>
        <w:t>Inconforme por la respuesta del</w:t>
      </w:r>
      <w:r w:rsidRPr="008C3040">
        <w:rPr>
          <w:rFonts w:ascii="Palatino Linotype" w:eastAsia="Palatino Linotype" w:hAnsi="Palatino Linotype" w:cs="Palatino Linotype"/>
          <w:b/>
        </w:rPr>
        <w:t xml:space="preserve"> SUJETO OBLIGADO</w:t>
      </w:r>
      <w:r w:rsidRPr="008C3040">
        <w:rPr>
          <w:rFonts w:ascii="Palatino Linotype" w:eastAsia="Palatino Linotype" w:hAnsi="Palatino Linotype" w:cs="Palatino Linotype"/>
        </w:rPr>
        <w:t xml:space="preserve">, el veintiséis de enero de dos mil veintidós, </w:t>
      </w:r>
      <w:r w:rsidRPr="008C3040">
        <w:rPr>
          <w:rFonts w:ascii="Palatino Linotype" w:eastAsia="Palatino Linotype" w:hAnsi="Palatino Linotype" w:cs="Palatino Linotype"/>
          <w:b/>
        </w:rPr>
        <w:t>EL RECURRENTE</w:t>
      </w:r>
      <w:r w:rsidRPr="008C3040">
        <w:rPr>
          <w:rFonts w:ascii="Palatino Linotype" w:eastAsia="Palatino Linotype" w:hAnsi="Palatino Linotype" w:cs="Palatino Linotype"/>
        </w:rPr>
        <w:t xml:space="preserve"> interpuso el Recurso de Revisión. El cual fue registrado en </w:t>
      </w:r>
      <w:r w:rsidRPr="008C3040">
        <w:rPr>
          <w:rFonts w:ascii="Palatino Linotype" w:eastAsia="Palatino Linotype" w:hAnsi="Palatino Linotype" w:cs="Palatino Linotype"/>
          <w:b/>
        </w:rPr>
        <w:t>EL SAIMEX</w:t>
      </w:r>
      <w:r w:rsidRPr="008C3040">
        <w:rPr>
          <w:rFonts w:ascii="Palatino Linotype" w:eastAsia="Palatino Linotype" w:hAnsi="Palatino Linotype" w:cs="Palatino Linotype"/>
        </w:rPr>
        <w:t xml:space="preserve"> y se le asignó el número de expediente </w:t>
      </w:r>
      <w:r w:rsidRPr="008C3040">
        <w:rPr>
          <w:rFonts w:ascii="Palatino Linotype" w:eastAsia="Palatino Linotype" w:hAnsi="Palatino Linotype" w:cs="Palatino Linotype"/>
          <w:b/>
        </w:rPr>
        <w:t xml:space="preserve">00327/INFOEM/IP/RR/2022, </w:t>
      </w:r>
      <w:r w:rsidRPr="008C3040">
        <w:rPr>
          <w:rFonts w:ascii="Palatino Linotype" w:eastAsia="Palatino Linotype" w:hAnsi="Palatino Linotype" w:cs="Palatino Linotype"/>
        </w:rPr>
        <w:t xml:space="preserve">donde los motivos de agravio del  </w:t>
      </w:r>
      <w:r w:rsidRPr="008C3040">
        <w:rPr>
          <w:rFonts w:ascii="Palatino Linotype" w:eastAsia="Palatino Linotype" w:hAnsi="Palatino Linotype" w:cs="Palatino Linotype"/>
          <w:b/>
        </w:rPr>
        <w:t xml:space="preserve">RECURRENTE </w:t>
      </w:r>
      <w:r w:rsidRPr="008C3040">
        <w:rPr>
          <w:rFonts w:ascii="Palatino Linotype" w:eastAsia="Palatino Linotype" w:hAnsi="Palatino Linotype" w:cs="Palatino Linotype"/>
        </w:rPr>
        <w:t>fueron los siguientes:</w:t>
      </w:r>
    </w:p>
    <w:p w14:paraId="18795950" w14:textId="77777777" w:rsidR="00314A68" w:rsidRPr="008C3040" w:rsidRDefault="00314A68">
      <w:pPr>
        <w:spacing w:line="360" w:lineRule="auto"/>
        <w:ind w:left="-57" w:right="-57"/>
        <w:jc w:val="both"/>
        <w:rPr>
          <w:rFonts w:ascii="Palatino Linotype" w:eastAsia="Palatino Linotype" w:hAnsi="Palatino Linotype" w:cs="Palatino Linotype"/>
        </w:rPr>
      </w:pPr>
    </w:p>
    <w:p w14:paraId="026400E6" w14:textId="77777777" w:rsidR="00314A68" w:rsidRPr="008C3040" w:rsidRDefault="00494F6B">
      <w:pPr>
        <w:spacing w:line="360" w:lineRule="auto"/>
        <w:ind w:left="-57" w:right="-57"/>
        <w:jc w:val="both"/>
        <w:rPr>
          <w:rFonts w:ascii="Palatino Linotype" w:eastAsia="Palatino Linotype" w:hAnsi="Palatino Linotype" w:cs="Palatino Linotype"/>
          <w:b/>
        </w:rPr>
      </w:pPr>
      <w:r w:rsidRPr="008C3040">
        <w:rPr>
          <w:rFonts w:ascii="Palatino Linotype" w:eastAsia="Palatino Linotype" w:hAnsi="Palatino Linotype" w:cs="Palatino Linotype"/>
          <w:b/>
        </w:rPr>
        <w:t>Acto Impugnado:</w:t>
      </w:r>
      <w:r w:rsidRPr="008C3040">
        <w:rPr>
          <w:b/>
        </w:rPr>
        <w:t xml:space="preserve"> </w:t>
      </w:r>
    </w:p>
    <w:p w14:paraId="518318D2" w14:textId="77777777" w:rsidR="00314A68" w:rsidRPr="008C3040" w:rsidRDefault="00494F6B">
      <w:pPr>
        <w:tabs>
          <w:tab w:val="left" w:pos="709"/>
        </w:tabs>
        <w:spacing w:before="66"/>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“Servicios Educativos Integrados al Estado de México / Subsistema de Preparatoria Abierta 1. Solicito descripción detallada y copia del plan académico (o malla curricular, o plan didáctico) que se imparte en los Centros Penitenciarios y de Reinserción Social del Estado de México, así como los requisitos o procedimiento relacionado con la presentación de exámenes de preparatoria abierta con esta población. 2. Número de exámenes presentados en los Centros Penitenciarios y de Reinserción Social del Estado de México en los últimos tres años en los cuales se tenga registro y porcentaje de aprobación (separado por género) 3. ¿Las personas privadas de su libertad en los Centros Penitenciarios y de Reinserción Social del Estado de México que participan en programas educativo-formativos y de capacitación laboral son acreedoras a algún beneficio respecto a disminuir el tiempo </w:t>
      </w:r>
      <w:r w:rsidRPr="008C3040">
        <w:rPr>
          <w:rFonts w:ascii="Palatino Linotype" w:eastAsia="Palatino Linotype" w:hAnsi="Palatino Linotype" w:cs="Palatino Linotype"/>
          <w:i/>
          <w:sz w:val="22"/>
          <w:szCs w:val="22"/>
        </w:rPr>
        <w:lastRenderedPageBreak/>
        <w:t xml:space="preserve">de pena impuesta por el delito cometido? En caso afirmativo, ¿Qué normatividad o reglamentación aplica para estos casos? 4. Si existen programas educativos dirigidos a personas con discapacidad. Describir en que consiste el programa. 5. ¿Los centros penitenciarios cuentan con alguna biblioteca? En caso de que la respuesta sea positiva. ¿Cuáles son los requisitos para que las personas privadas de la libertad tengan acceso a los libros? Solicitamos el </w:t>
      </w:r>
      <w:proofErr w:type="spellStart"/>
      <w:r w:rsidRPr="008C3040">
        <w:rPr>
          <w:rFonts w:ascii="Palatino Linotype" w:eastAsia="Palatino Linotype" w:hAnsi="Palatino Linotype" w:cs="Palatino Linotype"/>
          <w:i/>
          <w:sz w:val="22"/>
          <w:szCs w:val="22"/>
        </w:rPr>
        <w:t>numero</w:t>
      </w:r>
      <w:proofErr w:type="spellEnd"/>
      <w:r w:rsidRPr="008C3040">
        <w:rPr>
          <w:rFonts w:ascii="Palatino Linotype" w:eastAsia="Palatino Linotype" w:hAnsi="Palatino Linotype" w:cs="Palatino Linotype"/>
          <w:i/>
          <w:sz w:val="22"/>
          <w:szCs w:val="22"/>
        </w:rPr>
        <w:t xml:space="preserve"> de libros existentes en cada biblioteca.”(sic)</w:t>
      </w:r>
    </w:p>
    <w:p w14:paraId="2D5C2302" w14:textId="77777777" w:rsidR="00314A68" w:rsidRPr="008C3040" w:rsidRDefault="00314A68">
      <w:pPr>
        <w:tabs>
          <w:tab w:val="left" w:pos="709"/>
        </w:tabs>
        <w:spacing w:before="66"/>
        <w:ind w:left="850" w:right="899"/>
        <w:rPr>
          <w:rFonts w:ascii="Palatino Linotype" w:eastAsia="Palatino Linotype" w:hAnsi="Palatino Linotype" w:cs="Palatino Linotype"/>
          <w:i/>
          <w:sz w:val="20"/>
          <w:szCs w:val="20"/>
        </w:rPr>
      </w:pPr>
    </w:p>
    <w:p w14:paraId="42B7D1BA" w14:textId="77777777" w:rsidR="00314A68" w:rsidRPr="008C3040" w:rsidRDefault="00494F6B">
      <w:pPr>
        <w:tabs>
          <w:tab w:val="left" w:pos="709"/>
        </w:tabs>
        <w:spacing w:before="66"/>
        <w:rPr>
          <w:rFonts w:ascii="Palatino Linotype" w:eastAsia="Palatino Linotype" w:hAnsi="Palatino Linotype" w:cs="Palatino Linotype"/>
          <w:b/>
        </w:rPr>
      </w:pPr>
      <w:r w:rsidRPr="008C3040">
        <w:rPr>
          <w:rFonts w:ascii="Palatino Linotype" w:eastAsia="Palatino Linotype" w:hAnsi="Palatino Linotype" w:cs="Palatino Linotype"/>
          <w:b/>
        </w:rPr>
        <w:t>Razones o motivos de la inconformidad:</w:t>
      </w:r>
    </w:p>
    <w:p w14:paraId="20F5A9C9" w14:textId="77777777" w:rsidR="00314A68" w:rsidRPr="008C3040" w:rsidRDefault="00314A68">
      <w:pPr>
        <w:tabs>
          <w:tab w:val="left" w:pos="709"/>
        </w:tabs>
        <w:spacing w:before="66"/>
        <w:rPr>
          <w:rFonts w:ascii="Palatino Linotype" w:eastAsia="Palatino Linotype" w:hAnsi="Palatino Linotype" w:cs="Palatino Linotype"/>
        </w:rPr>
      </w:pPr>
    </w:p>
    <w:p w14:paraId="0B7F3600" w14:textId="77777777" w:rsidR="00314A68" w:rsidRPr="008C3040" w:rsidRDefault="00494F6B">
      <w:pPr>
        <w:ind w:left="850" w:right="899"/>
        <w:jc w:val="both"/>
        <w:rPr>
          <w:rFonts w:ascii="Palatino Linotype" w:eastAsia="Palatino Linotype" w:hAnsi="Palatino Linotype" w:cs="Palatino Linotype"/>
          <w:sz w:val="22"/>
          <w:szCs w:val="22"/>
        </w:rPr>
      </w:pPr>
      <w:r w:rsidRPr="008C3040">
        <w:rPr>
          <w:rFonts w:ascii="Palatino Linotype" w:eastAsia="Palatino Linotype" w:hAnsi="Palatino Linotype" w:cs="Palatino Linotype"/>
          <w:i/>
          <w:sz w:val="22"/>
          <w:szCs w:val="22"/>
        </w:rPr>
        <w:t>“En la respuesta a una solicitud de información No. 00570/SSEM/IP/2020 con fecha 16 de diciembre de 2020, la Secretaría de Seguridad del Estado de México, notificó que los Servicios Educativos Integrados del Estado de México (SEIEM) ofreció apoyo de Preparatoria Abierta para la aplicación de exámenes con personas privadas de la libertad en los centros penitenciarios y de reinserción social del Estado de México. En este sentido, solicito que el SEIEM haga una nueva revisión de la información disponible con la población privada de la libertad en el Estado de México. Adjunto respuestas citas de la Secretaría de Seguridad y del SEIEM.” (sic)</w:t>
      </w:r>
    </w:p>
    <w:p w14:paraId="2A475766" w14:textId="77777777" w:rsidR="00314A68" w:rsidRPr="008C3040" w:rsidRDefault="00314A68">
      <w:pPr>
        <w:spacing w:line="360" w:lineRule="auto"/>
        <w:jc w:val="both"/>
        <w:rPr>
          <w:rFonts w:ascii="Palatino Linotype" w:eastAsia="Palatino Linotype" w:hAnsi="Palatino Linotype" w:cs="Palatino Linotype"/>
          <w:sz w:val="22"/>
          <w:szCs w:val="22"/>
        </w:rPr>
      </w:pPr>
    </w:p>
    <w:p w14:paraId="0DF09CC7"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A dicho recurso adjuntó dos documentos, el primero denominado “</w:t>
      </w:r>
      <w:r w:rsidRPr="008C3040">
        <w:rPr>
          <w:rFonts w:ascii="Palatino Linotype" w:eastAsia="Palatino Linotype" w:hAnsi="Palatino Linotype" w:cs="Palatino Linotype"/>
          <w:i/>
        </w:rPr>
        <w:t xml:space="preserve">INCOMPETENCIA 008-210001.pdf” </w:t>
      </w:r>
      <w:r w:rsidRPr="008C3040">
        <w:rPr>
          <w:rFonts w:ascii="Palatino Linotype" w:eastAsia="Palatino Linotype" w:hAnsi="Palatino Linotype" w:cs="Palatino Linotype"/>
        </w:rPr>
        <w:t xml:space="preserve">del cual se advierte el documento mediante el cual el Jefe de Departamento de Legislación y Consulta y Suplente del Titular de la Unidad de Transparencia notifica la incompetencia de Servicios Educativos Integrados al Estado de México para conocer de la solicitud de información realizada por el particular. </w:t>
      </w:r>
    </w:p>
    <w:p w14:paraId="62BB4506" w14:textId="77777777" w:rsidR="00314A68" w:rsidRPr="008C3040" w:rsidRDefault="00314A68">
      <w:pPr>
        <w:spacing w:line="360" w:lineRule="auto"/>
        <w:jc w:val="both"/>
        <w:rPr>
          <w:rFonts w:ascii="Palatino Linotype" w:eastAsia="Palatino Linotype" w:hAnsi="Palatino Linotype" w:cs="Palatino Linotype"/>
        </w:rPr>
      </w:pPr>
    </w:p>
    <w:p w14:paraId="4553E300"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El segundo documento de nombre “</w:t>
      </w:r>
      <w:r w:rsidRPr="008C3040">
        <w:rPr>
          <w:rFonts w:ascii="Palatino Linotype" w:eastAsia="Palatino Linotype" w:hAnsi="Palatino Linotype" w:cs="Palatino Linotype"/>
          <w:i/>
        </w:rPr>
        <w:t xml:space="preserve">0572 RESPUESTA.pdf” </w:t>
      </w:r>
      <w:r w:rsidRPr="008C3040">
        <w:rPr>
          <w:rFonts w:ascii="Palatino Linotype" w:eastAsia="Palatino Linotype" w:hAnsi="Palatino Linotype" w:cs="Palatino Linotype"/>
        </w:rPr>
        <w:t xml:space="preserve">contiene la respuesta a un solicitud de información diversa que versa sobre el mismo tema, emitida por la Secretaría de Seguridad del Estado de México, donde se pronuncia sobre los requerimientos solicitados por el particular. </w:t>
      </w:r>
    </w:p>
    <w:p w14:paraId="3E385F73" w14:textId="77777777" w:rsidR="00314A68" w:rsidRPr="008C3040" w:rsidRDefault="00494F6B">
      <w:pPr>
        <w:spacing w:line="360" w:lineRule="auto"/>
        <w:jc w:val="both"/>
        <w:rPr>
          <w:rFonts w:ascii="Palatino Linotype" w:eastAsia="Palatino Linotype" w:hAnsi="Palatino Linotype" w:cs="Palatino Linotype"/>
          <w:b/>
          <w:sz w:val="28"/>
          <w:szCs w:val="28"/>
        </w:rPr>
      </w:pPr>
      <w:r w:rsidRPr="008C3040">
        <w:rPr>
          <w:rFonts w:ascii="Palatino Linotype" w:eastAsia="Palatino Linotype" w:hAnsi="Palatino Linotype" w:cs="Palatino Linotype"/>
          <w:b/>
          <w:sz w:val="28"/>
          <w:szCs w:val="28"/>
        </w:rPr>
        <w:lastRenderedPageBreak/>
        <w:t xml:space="preserve">V. Del turno del Recurso de Revisión. </w:t>
      </w:r>
    </w:p>
    <w:p w14:paraId="13B2A090"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El veintiséis de enero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8C3040">
        <w:rPr>
          <w:rFonts w:ascii="Palatino Linotype" w:eastAsia="Palatino Linotype" w:hAnsi="Palatino Linotype" w:cs="Palatino Linotype"/>
          <w:b/>
        </w:rPr>
        <w:t>Comisionada María del Rosario Mejía Ayala</w:t>
      </w:r>
      <w:r w:rsidRPr="008C3040">
        <w:rPr>
          <w:rFonts w:ascii="Palatino Linotype" w:eastAsia="Palatino Linotype" w:hAnsi="Palatino Linotype" w:cs="Palatino Linotype"/>
        </w:rPr>
        <w:t xml:space="preserve">; a efecto de decretar su admisión o </w:t>
      </w:r>
      <w:proofErr w:type="spellStart"/>
      <w:r w:rsidRPr="008C3040">
        <w:rPr>
          <w:rFonts w:ascii="Palatino Linotype" w:eastAsia="Palatino Linotype" w:hAnsi="Palatino Linotype" w:cs="Palatino Linotype"/>
        </w:rPr>
        <w:t>desechamiento</w:t>
      </w:r>
      <w:proofErr w:type="spellEnd"/>
      <w:r w:rsidRPr="008C3040">
        <w:rPr>
          <w:rFonts w:ascii="Palatino Linotype" w:eastAsia="Palatino Linotype" w:hAnsi="Palatino Linotype" w:cs="Palatino Linotype"/>
        </w:rPr>
        <w:t>.</w:t>
      </w:r>
    </w:p>
    <w:p w14:paraId="46C6695D" w14:textId="77777777" w:rsidR="00314A68" w:rsidRPr="008C3040" w:rsidRDefault="00314A68">
      <w:pPr>
        <w:spacing w:line="360" w:lineRule="auto"/>
        <w:jc w:val="both"/>
        <w:rPr>
          <w:rFonts w:ascii="Palatino Linotype" w:eastAsia="Palatino Linotype" w:hAnsi="Palatino Linotype" w:cs="Palatino Linotype"/>
        </w:rPr>
      </w:pPr>
    </w:p>
    <w:p w14:paraId="44C4DF57" w14:textId="77777777" w:rsidR="00314A68" w:rsidRPr="008C3040" w:rsidRDefault="00494F6B">
      <w:pPr>
        <w:tabs>
          <w:tab w:val="center" w:pos="4252"/>
          <w:tab w:val="right" w:pos="8504"/>
        </w:tabs>
        <w:spacing w:line="360" w:lineRule="auto"/>
        <w:jc w:val="both"/>
        <w:rPr>
          <w:rFonts w:ascii="Palatino Linotype" w:eastAsia="Palatino Linotype" w:hAnsi="Palatino Linotype" w:cs="Palatino Linotype"/>
          <w:b/>
        </w:rPr>
      </w:pPr>
      <w:r w:rsidRPr="008C3040">
        <w:rPr>
          <w:rFonts w:ascii="Palatino Linotype" w:eastAsia="Palatino Linotype" w:hAnsi="Palatino Linotype" w:cs="Palatino Linotype"/>
          <w:b/>
        </w:rPr>
        <w:t>a) Admisión del Recurso de Revisión</w:t>
      </w:r>
    </w:p>
    <w:p w14:paraId="4FB8DC2E" w14:textId="77777777" w:rsidR="00314A68" w:rsidRPr="008C3040" w:rsidRDefault="00494F6B">
      <w:pPr>
        <w:tabs>
          <w:tab w:val="center" w:pos="4252"/>
          <w:tab w:val="right" w:pos="8504"/>
        </w:tabs>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De las constancias que obran en el expediente electrónico del</w:t>
      </w:r>
      <w:r w:rsidRPr="008C3040">
        <w:rPr>
          <w:rFonts w:ascii="Palatino Linotype" w:eastAsia="Palatino Linotype" w:hAnsi="Palatino Linotype" w:cs="Palatino Linotype"/>
          <w:b/>
        </w:rPr>
        <w:t xml:space="preserve"> SAIMEX</w:t>
      </w:r>
      <w:r w:rsidRPr="008C3040">
        <w:rPr>
          <w:rFonts w:ascii="Palatino Linotype" w:eastAsia="Palatino Linotype" w:hAnsi="Palatino Linotype" w:cs="Palatino Linotype"/>
        </w:rPr>
        <w:t xml:space="preserve">, se advierte que en fecha veintisiete de enero de dos mil veintidós, se acordó la admisión a trámite del Recurso de Revisión que nos ocupan;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C3040">
        <w:rPr>
          <w:rFonts w:ascii="Palatino Linotype" w:eastAsia="Palatino Linotype" w:hAnsi="Palatino Linotype" w:cs="Palatino Linotype"/>
          <w:b/>
        </w:rPr>
        <w:t xml:space="preserve">EL SUJETO OBLIGADO </w:t>
      </w:r>
      <w:r w:rsidRPr="008C3040">
        <w:rPr>
          <w:rFonts w:ascii="Palatino Linotype" w:eastAsia="Palatino Linotype" w:hAnsi="Palatino Linotype" w:cs="Palatino Linotype"/>
        </w:rPr>
        <w:t>rindiera el correspondiente</w:t>
      </w:r>
      <w:r w:rsidRPr="008C3040">
        <w:rPr>
          <w:rFonts w:ascii="Palatino Linotype" w:eastAsia="Palatino Linotype" w:hAnsi="Palatino Linotype" w:cs="Palatino Linotype"/>
          <w:b/>
        </w:rPr>
        <w:t xml:space="preserve"> </w:t>
      </w:r>
      <w:r w:rsidRPr="008C3040">
        <w:rPr>
          <w:rFonts w:ascii="Palatino Linotype" w:eastAsia="Palatino Linotype" w:hAnsi="Palatino Linotype" w:cs="Palatino Linotype"/>
        </w:rPr>
        <w:t>Informe Justificado.</w:t>
      </w:r>
    </w:p>
    <w:p w14:paraId="01E3A6CF" w14:textId="77777777" w:rsidR="00314A68" w:rsidRPr="008C3040" w:rsidRDefault="00314A68">
      <w:pPr>
        <w:tabs>
          <w:tab w:val="center" w:pos="4252"/>
          <w:tab w:val="right" w:pos="8504"/>
        </w:tabs>
        <w:spacing w:line="360" w:lineRule="auto"/>
        <w:jc w:val="both"/>
        <w:rPr>
          <w:rFonts w:ascii="Palatino Linotype" w:eastAsia="Palatino Linotype" w:hAnsi="Palatino Linotype" w:cs="Palatino Linotype"/>
        </w:rPr>
      </w:pPr>
    </w:p>
    <w:p w14:paraId="1582FB5D" w14:textId="77777777" w:rsidR="00314A68" w:rsidRPr="008C3040" w:rsidRDefault="00494F6B">
      <w:pPr>
        <w:spacing w:line="360" w:lineRule="auto"/>
        <w:jc w:val="both"/>
        <w:rPr>
          <w:rFonts w:ascii="Palatino Linotype" w:eastAsia="Palatino Linotype" w:hAnsi="Palatino Linotype" w:cs="Palatino Linotype"/>
          <w:b/>
        </w:rPr>
      </w:pPr>
      <w:r w:rsidRPr="008C3040">
        <w:rPr>
          <w:rFonts w:ascii="Palatino Linotype" w:eastAsia="Palatino Linotype" w:hAnsi="Palatino Linotype" w:cs="Palatino Linotype"/>
          <w:b/>
        </w:rPr>
        <w:t>b) Informe Justificado</w:t>
      </w:r>
    </w:p>
    <w:p w14:paraId="5CF1E00C" w14:textId="77777777" w:rsidR="00314A68" w:rsidRPr="008C3040" w:rsidRDefault="00494F6B">
      <w:pPr>
        <w:widowControl w:val="0"/>
        <w:tabs>
          <w:tab w:val="left" w:pos="0"/>
        </w:tabs>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Conforme a las constancias que obran en el expediente del </w:t>
      </w:r>
      <w:r w:rsidRPr="008C3040">
        <w:rPr>
          <w:rFonts w:ascii="Palatino Linotype" w:eastAsia="Palatino Linotype" w:hAnsi="Palatino Linotype" w:cs="Palatino Linotype"/>
          <w:b/>
        </w:rPr>
        <w:t>SAIMEX,</w:t>
      </w:r>
      <w:r w:rsidRPr="008C3040">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8C3040">
        <w:rPr>
          <w:rFonts w:ascii="Palatino Linotype" w:eastAsia="Palatino Linotype" w:hAnsi="Palatino Linotype" w:cs="Palatino Linotype"/>
          <w:b/>
        </w:rPr>
        <w:t>RECURRENTE</w:t>
      </w:r>
      <w:r w:rsidRPr="008C3040">
        <w:rPr>
          <w:rFonts w:ascii="Palatino Linotype" w:eastAsia="Palatino Linotype" w:hAnsi="Palatino Linotype" w:cs="Palatino Linotype"/>
        </w:rPr>
        <w:t xml:space="preserve">, señaló lo siguiente: </w:t>
      </w:r>
    </w:p>
    <w:p w14:paraId="462D2538" w14:textId="77777777" w:rsidR="00314A68" w:rsidRPr="008C3040" w:rsidRDefault="00494F6B">
      <w:pPr>
        <w:widowControl w:val="0"/>
        <w:tabs>
          <w:tab w:val="left" w:pos="-5"/>
        </w:tabs>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lastRenderedPageBreak/>
        <w:t>“En la respuesta a una solicitud de información No. 00570/SSEM/IP/2020 con fecha 16 de diciembre de 2020, la Secretaría de Seguridad del Estado de México, notificó que los Servicios Educativos Integrados del Estado de México (SEIEM) ofreció apoyo de Preparatoria Abierta para la aplicación de exámenes con personas privadas de la libertad en los centros penitenciarios y de reinserción social del Estado de México. En este sentido, solicito que el SEIEM haga una nueva revisión de la información disponible con la población privada de la libertad en el Estado de México. Adjunto respuestas citas de la Secretaría de Seguridad y del SEIEM” (Sic)</w:t>
      </w:r>
    </w:p>
    <w:p w14:paraId="4CF9AEA8" w14:textId="77777777" w:rsidR="00314A68" w:rsidRPr="008C3040" w:rsidRDefault="00314A68">
      <w:pPr>
        <w:widowControl w:val="0"/>
        <w:tabs>
          <w:tab w:val="left" w:pos="0"/>
        </w:tabs>
        <w:spacing w:line="360" w:lineRule="auto"/>
        <w:jc w:val="both"/>
        <w:rPr>
          <w:rFonts w:ascii="Palatino Linotype" w:eastAsia="Palatino Linotype" w:hAnsi="Palatino Linotype" w:cs="Palatino Linotype"/>
        </w:rPr>
      </w:pPr>
    </w:p>
    <w:p w14:paraId="21AE50A7" w14:textId="77777777" w:rsidR="00314A68" w:rsidRPr="008C3040" w:rsidRDefault="00494F6B">
      <w:pPr>
        <w:widowControl w:val="0"/>
        <w:tabs>
          <w:tab w:val="left" w:pos="0"/>
        </w:tabs>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Asimismo a sus manifestaciones adjuntó el documento denominado </w:t>
      </w:r>
      <w:r w:rsidRPr="008C3040">
        <w:rPr>
          <w:rFonts w:ascii="Palatino Linotype" w:eastAsia="Palatino Linotype" w:hAnsi="Palatino Linotype" w:cs="Palatino Linotype"/>
          <w:i/>
        </w:rPr>
        <w:t xml:space="preserve">0572 RESPUESTA.pdf, </w:t>
      </w:r>
      <w:r w:rsidRPr="008C3040">
        <w:rPr>
          <w:rFonts w:ascii="Palatino Linotype" w:eastAsia="Palatino Linotype" w:hAnsi="Palatino Linotype" w:cs="Palatino Linotype"/>
        </w:rPr>
        <w:t xml:space="preserve">del cual se advierte la respuesta a un solicitud de información diversa que versa sobre el mismo tema, emitida por la Secretaría de Seguridad del Estado de México, donde se pronuncia sobre los requerimientos solicitados por el particular. </w:t>
      </w:r>
    </w:p>
    <w:p w14:paraId="3758E68B" w14:textId="77777777" w:rsidR="00314A68" w:rsidRPr="008C3040" w:rsidRDefault="00314A68">
      <w:pPr>
        <w:widowControl w:val="0"/>
        <w:tabs>
          <w:tab w:val="left" w:pos="0"/>
        </w:tabs>
        <w:spacing w:line="360" w:lineRule="auto"/>
        <w:jc w:val="both"/>
        <w:rPr>
          <w:rFonts w:ascii="Palatino Linotype" w:eastAsia="Palatino Linotype" w:hAnsi="Palatino Linotype" w:cs="Palatino Linotype"/>
        </w:rPr>
      </w:pPr>
    </w:p>
    <w:p w14:paraId="68912E19" w14:textId="77777777" w:rsidR="00314A68" w:rsidRPr="008C3040" w:rsidRDefault="00494F6B">
      <w:pPr>
        <w:widowControl w:val="0"/>
        <w:tabs>
          <w:tab w:val="left" w:pos="0"/>
        </w:tabs>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Por su parte,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presentó el Informe Justificado en fecha diez de febrero de dos mil veintidós anexando un documento el día once de febrero de dos mil veintidós, ambos fueron puestos a disposición del </w:t>
      </w:r>
      <w:r w:rsidRPr="008C3040">
        <w:rPr>
          <w:rFonts w:ascii="Palatino Linotype" w:eastAsia="Palatino Linotype" w:hAnsi="Palatino Linotype" w:cs="Palatino Linotype"/>
          <w:b/>
        </w:rPr>
        <w:t>RECURRENTE</w:t>
      </w:r>
      <w:r w:rsidRPr="008C3040">
        <w:rPr>
          <w:rFonts w:ascii="Palatino Linotype" w:eastAsia="Palatino Linotype" w:hAnsi="Palatino Linotype" w:cs="Palatino Linotype"/>
        </w:rPr>
        <w:t xml:space="preserve"> el dieciséis de febrero de dos mil veintidós y los cuales se describen a continuación: </w:t>
      </w:r>
    </w:p>
    <w:p w14:paraId="24A2597D" w14:textId="77777777" w:rsidR="00314A68" w:rsidRPr="008C3040" w:rsidRDefault="00314A68">
      <w:pPr>
        <w:widowControl w:val="0"/>
        <w:tabs>
          <w:tab w:val="left" w:pos="0"/>
        </w:tabs>
        <w:spacing w:line="360" w:lineRule="auto"/>
        <w:jc w:val="both"/>
        <w:rPr>
          <w:rFonts w:ascii="Palatino Linotype" w:eastAsia="Palatino Linotype" w:hAnsi="Palatino Linotype" w:cs="Palatino Linotype"/>
        </w:rPr>
      </w:pPr>
    </w:p>
    <w:p w14:paraId="034FD32D" w14:textId="77777777" w:rsidR="00314A68" w:rsidRPr="008C3040" w:rsidRDefault="00494F6B">
      <w:pPr>
        <w:widowControl w:val="0"/>
        <w:numPr>
          <w:ilvl w:val="0"/>
          <w:numId w:val="2"/>
        </w:numPr>
        <w:tabs>
          <w:tab w:val="left" w:pos="0"/>
        </w:tabs>
        <w:spacing w:line="360" w:lineRule="auto"/>
        <w:jc w:val="both"/>
        <w:rPr>
          <w:rFonts w:ascii="Palatino Linotype" w:eastAsia="Palatino Linotype" w:hAnsi="Palatino Linotype" w:cs="Palatino Linotype"/>
          <w:i/>
        </w:rPr>
      </w:pPr>
      <w:r w:rsidRPr="008C3040">
        <w:rPr>
          <w:rFonts w:ascii="Palatino Linotype" w:eastAsia="Palatino Linotype" w:hAnsi="Palatino Linotype" w:cs="Palatino Linotype"/>
        </w:rPr>
        <w:t>Documento denominado</w:t>
      </w:r>
      <w:r w:rsidRPr="008C3040">
        <w:rPr>
          <w:rFonts w:ascii="Palatino Linotype" w:eastAsia="Palatino Linotype" w:hAnsi="Palatino Linotype" w:cs="Palatino Linotype"/>
          <w:i/>
        </w:rPr>
        <w:t xml:space="preserve"> INFORME JUSTF. 008-220001.pdf </w:t>
      </w:r>
      <w:r w:rsidRPr="008C3040">
        <w:rPr>
          <w:rFonts w:ascii="Palatino Linotype" w:eastAsia="Palatino Linotype" w:hAnsi="Palatino Linotype" w:cs="Palatino Linotype"/>
        </w:rPr>
        <w:t xml:space="preserve">del cual se advierte el oficio número 210C0101030000S/UT/00199/2022 firmado por el Jefe del Departamento de Legislación y Consulta, suplente del Titular de la Unidad de Transparencia de 8 fojas en las cuales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rinde su Informe Justificado señalando que derivado de los motivos de inconformidad del particular realizó una búsqueda exhaustiva dentro de los archivos de la Dirección de Preparatoria Abierta, encontrando el archivo que se adjunta a </w:t>
      </w:r>
      <w:r w:rsidRPr="008C3040">
        <w:rPr>
          <w:rFonts w:ascii="Palatino Linotype" w:eastAsia="Palatino Linotype" w:hAnsi="Palatino Linotype" w:cs="Palatino Linotype"/>
        </w:rPr>
        <w:lastRenderedPageBreak/>
        <w:t xml:space="preserve">dicho informe, así también menciona en su Informe Justificado que aquella información  remitida es la que se encuentra en sus archivos en atención al artículo 12 de la Ley de Transparencia y Acceso a la Información Pública del Estado de México y Municipios. </w:t>
      </w:r>
    </w:p>
    <w:p w14:paraId="286512C2" w14:textId="77777777" w:rsidR="00314A68" w:rsidRPr="008C3040" w:rsidRDefault="00314A68">
      <w:pPr>
        <w:widowControl w:val="0"/>
        <w:tabs>
          <w:tab w:val="left" w:pos="0"/>
        </w:tabs>
        <w:spacing w:line="360" w:lineRule="auto"/>
        <w:jc w:val="both"/>
        <w:rPr>
          <w:rFonts w:ascii="Palatino Linotype" w:eastAsia="Palatino Linotype" w:hAnsi="Palatino Linotype" w:cs="Palatino Linotype"/>
        </w:rPr>
      </w:pPr>
    </w:p>
    <w:p w14:paraId="488D52CD" w14:textId="77777777" w:rsidR="00314A68" w:rsidRPr="008C3040" w:rsidRDefault="00494F6B">
      <w:pPr>
        <w:widowControl w:val="0"/>
        <w:numPr>
          <w:ilvl w:val="0"/>
          <w:numId w:val="2"/>
        </w:numPr>
        <w:tabs>
          <w:tab w:val="left" w:pos="0"/>
        </w:tabs>
        <w:spacing w:line="360" w:lineRule="auto"/>
        <w:jc w:val="both"/>
        <w:rPr>
          <w:rFonts w:ascii="Palatino Linotype" w:eastAsia="Palatino Linotype" w:hAnsi="Palatino Linotype" w:cs="Palatino Linotype"/>
          <w:i/>
        </w:rPr>
      </w:pPr>
      <w:r w:rsidRPr="008C3040">
        <w:rPr>
          <w:rFonts w:ascii="Palatino Linotype" w:eastAsia="Palatino Linotype" w:hAnsi="Palatino Linotype" w:cs="Palatino Linotype"/>
        </w:rPr>
        <w:t>Documento denominado “</w:t>
      </w:r>
      <w:r w:rsidRPr="008C3040">
        <w:rPr>
          <w:rFonts w:ascii="Palatino Linotype" w:eastAsia="Palatino Linotype" w:hAnsi="Palatino Linotype" w:cs="Palatino Linotype"/>
          <w:i/>
        </w:rPr>
        <w:t xml:space="preserve">ARCHIVO ADJUNTO 008-22.pdf” </w:t>
      </w:r>
      <w:r w:rsidRPr="008C3040">
        <w:rPr>
          <w:rFonts w:ascii="Palatino Linotype" w:eastAsia="Palatino Linotype" w:hAnsi="Palatino Linotype" w:cs="Palatino Linotype"/>
        </w:rPr>
        <w:t xml:space="preserve">mismo que comprende el contenido reproducido dentro del Informe Justificado mediante el cual el servidor público habilitado de la Dirección de Preparatoria Abierta da respuesta a los cuestionamientos hechos por el particular en términos de la información que posee, genera y administra en atención a sus atribuciones y facultades. </w:t>
      </w:r>
    </w:p>
    <w:p w14:paraId="70AE6766" w14:textId="77777777" w:rsidR="00314A68" w:rsidRPr="008C3040" w:rsidRDefault="00314A68">
      <w:pPr>
        <w:spacing w:line="360" w:lineRule="auto"/>
        <w:jc w:val="both"/>
        <w:rPr>
          <w:rFonts w:ascii="Palatino Linotype" w:eastAsia="Palatino Linotype" w:hAnsi="Palatino Linotype" w:cs="Palatino Linotype"/>
          <w:b/>
        </w:rPr>
      </w:pPr>
    </w:p>
    <w:p w14:paraId="6DC1A797" w14:textId="77777777" w:rsidR="00314A68" w:rsidRPr="008C3040" w:rsidRDefault="00494F6B">
      <w:pPr>
        <w:spacing w:line="360" w:lineRule="auto"/>
        <w:jc w:val="both"/>
        <w:rPr>
          <w:rFonts w:ascii="Palatino Linotype" w:eastAsia="Palatino Linotype" w:hAnsi="Palatino Linotype" w:cs="Palatino Linotype"/>
          <w:b/>
        </w:rPr>
      </w:pPr>
      <w:r w:rsidRPr="008C3040">
        <w:rPr>
          <w:rFonts w:ascii="Palatino Linotype" w:eastAsia="Palatino Linotype" w:hAnsi="Palatino Linotype" w:cs="Palatino Linotype"/>
          <w:b/>
        </w:rPr>
        <w:t xml:space="preserve">c) Del </w:t>
      </w:r>
      <w:proofErr w:type="spellStart"/>
      <w:r w:rsidRPr="008C3040">
        <w:rPr>
          <w:rFonts w:ascii="Palatino Linotype" w:eastAsia="Palatino Linotype" w:hAnsi="Palatino Linotype" w:cs="Palatino Linotype"/>
          <w:b/>
        </w:rPr>
        <w:t>returno</w:t>
      </w:r>
      <w:proofErr w:type="spellEnd"/>
      <w:r w:rsidRPr="008C3040">
        <w:rPr>
          <w:rFonts w:ascii="Palatino Linotype" w:eastAsia="Palatino Linotype" w:hAnsi="Palatino Linotype" w:cs="Palatino Linotype"/>
          <w:b/>
        </w:rPr>
        <w:t xml:space="preserve"> del Recurso de Revisión</w:t>
      </w:r>
    </w:p>
    <w:p w14:paraId="39474FA8"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En la Novena Sesión Ordinaria de fecha nueve de marzo de dos mil veintidós, por acuerdo del Pleno de este Órgano Garante, fue </w:t>
      </w:r>
      <w:proofErr w:type="spellStart"/>
      <w:r w:rsidRPr="008C3040">
        <w:rPr>
          <w:rFonts w:ascii="Palatino Linotype" w:eastAsia="Palatino Linotype" w:hAnsi="Palatino Linotype" w:cs="Palatino Linotype"/>
        </w:rPr>
        <w:t>returnado</w:t>
      </w:r>
      <w:proofErr w:type="spellEnd"/>
      <w:r w:rsidRPr="008C3040">
        <w:rPr>
          <w:rFonts w:ascii="Palatino Linotype" w:eastAsia="Palatino Linotype" w:hAnsi="Palatino Linotype" w:cs="Palatino Linotype"/>
        </w:rPr>
        <w:t xml:space="preserve"> el Recurso de Revisión número</w:t>
      </w:r>
      <w:r w:rsidRPr="008C3040">
        <w:rPr>
          <w:rFonts w:ascii="Palatino Linotype" w:eastAsia="Palatino Linotype" w:hAnsi="Palatino Linotype" w:cs="Palatino Linotype"/>
          <w:b/>
        </w:rPr>
        <w:t xml:space="preserve"> 00327/INFOEM/IP/RR/2022 </w:t>
      </w:r>
      <w:r w:rsidRPr="008C3040">
        <w:rPr>
          <w:rFonts w:ascii="Palatino Linotype" w:eastAsia="Palatino Linotype" w:hAnsi="Palatino Linotype" w:cs="Palatino Linotype"/>
        </w:rPr>
        <w:t xml:space="preserve">a la </w:t>
      </w:r>
      <w:r w:rsidRPr="008C3040">
        <w:rPr>
          <w:rFonts w:ascii="Palatino Linotype" w:eastAsia="Palatino Linotype" w:hAnsi="Palatino Linotype" w:cs="Palatino Linotype"/>
          <w:b/>
        </w:rPr>
        <w:t>Comisionada Sharon Cristina Morales Martínez</w:t>
      </w:r>
      <w:r w:rsidRPr="008C3040">
        <w:rPr>
          <w:rFonts w:ascii="Palatino Linotype" w:eastAsia="Palatino Linotype" w:hAnsi="Palatino Linotype" w:cs="Palatino Linotype"/>
        </w:rPr>
        <w:t xml:space="preserve"> para su resolución y presentación al Pleno.</w:t>
      </w:r>
    </w:p>
    <w:p w14:paraId="7FC7A6FC" w14:textId="77777777" w:rsidR="002B3529" w:rsidRPr="008C3040" w:rsidRDefault="002B3529">
      <w:pPr>
        <w:spacing w:line="360" w:lineRule="auto"/>
        <w:jc w:val="both"/>
        <w:rPr>
          <w:rFonts w:ascii="Palatino Linotype" w:eastAsia="Palatino Linotype" w:hAnsi="Palatino Linotype" w:cs="Palatino Linotype"/>
          <w:b/>
        </w:rPr>
      </w:pPr>
    </w:p>
    <w:p w14:paraId="295E1247" w14:textId="77777777" w:rsidR="00314A68" w:rsidRPr="008C3040" w:rsidRDefault="00494F6B">
      <w:pPr>
        <w:spacing w:line="360" w:lineRule="auto"/>
        <w:jc w:val="both"/>
        <w:rPr>
          <w:rFonts w:ascii="Palatino Linotype" w:eastAsia="Palatino Linotype" w:hAnsi="Palatino Linotype" w:cs="Palatino Linotype"/>
          <w:b/>
        </w:rPr>
      </w:pPr>
      <w:r w:rsidRPr="008C3040">
        <w:rPr>
          <w:rFonts w:ascii="Palatino Linotype" w:eastAsia="Palatino Linotype" w:hAnsi="Palatino Linotype" w:cs="Palatino Linotype"/>
          <w:b/>
        </w:rPr>
        <w:t>d) Cierre de Instrucción</w:t>
      </w:r>
    </w:p>
    <w:p w14:paraId="18EFE3AB"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Por lo que, una vez analizado el estado procesal que guarda el expediente, en fecha quince de marzo de dos mil veintidós, la </w:t>
      </w:r>
      <w:r w:rsidRPr="008C3040">
        <w:rPr>
          <w:rFonts w:ascii="Palatino Linotype" w:eastAsia="Palatino Linotype" w:hAnsi="Palatino Linotype" w:cs="Palatino Linotype"/>
          <w:b/>
        </w:rPr>
        <w:t xml:space="preserve">Comisionada Sharon Cristina Morales Martínez  </w:t>
      </w:r>
      <w:r w:rsidRPr="008C3040">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w:t>
      </w:r>
      <w:r w:rsidRPr="008C3040">
        <w:rPr>
          <w:rFonts w:ascii="Palatino Linotype" w:eastAsia="Palatino Linotype" w:hAnsi="Palatino Linotype" w:cs="Palatino Linotype"/>
        </w:rPr>
        <w:lastRenderedPageBreak/>
        <w:t>de la Ley de Transparencia y Acceso a la Información Pública del Estado de México y Municipios.</w:t>
      </w:r>
    </w:p>
    <w:p w14:paraId="45FDE19A" w14:textId="77777777" w:rsidR="00314A68" w:rsidRPr="008C3040" w:rsidRDefault="00314A68">
      <w:pPr>
        <w:spacing w:line="360" w:lineRule="auto"/>
        <w:jc w:val="both"/>
        <w:rPr>
          <w:rFonts w:ascii="Palatino Linotype" w:eastAsia="Palatino Linotype" w:hAnsi="Palatino Linotype" w:cs="Palatino Linotype"/>
        </w:rPr>
      </w:pPr>
    </w:p>
    <w:p w14:paraId="37C4998D" w14:textId="77777777" w:rsidR="002B3529" w:rsidRPr="008C3040" w:rsidRDefault="002B3529">
      <w:pPr>
        <w:spacing w:line="360" w:lineRule="auto"/>
        <w:jc w:val="both"/>
        <w:rPr>
          <w:rFonts w:ascii="Palatino Linotype" w:eastAsia="Palatino Linotype" w:hAnsi="Palatino Linotype" w:cs="Palatino Linotype"/>
          <w:b/>
        </w:rPr>
      </w:pPr>
      <w:r w:rsidRPr="008C3040">
        <w:rPr>
          <w:rFonts w:ascii="Palatino Linotype" w:eastAsia="Palatino Linotype" w:hAnsi="Palatino Linotype" w:cs="Palatino Linotype"/>
          <w:b/>
        </w:rPr>
        <w:t>d) Ampliación</w:t>
      </w:r>
    </w:p>
    <w:p w14:paraId="0C439071"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En fecha quince de marzo de dos mil veintidós, se notificó el acuerdo de ampliación de plazo para resolver el presente Recurso de Revisión, previsto en el artículo 181, tercer párrafo de la Ley de Transparencia y Acceso a la Información Pública del Estado de México y Municipios; y,</w:t>
      </w:r>
    </w:p>
    <w:p w14:paraId="1708E6D7" w14:textId="77777777" w:rsidR="00314A68" w:rsidRPr="008C3040" w:rsidRDefault="00314A68">
      <w:pPr>
        <w:spacing w:line="360" w:lineRule="auto"/>
        <w:jc w:val="both"/>
        <w:rPr>
          <w:rFonts w:ascii="Palatino Linotype" w:eastAsia="Palatino Linotype" w:hAnsi="Palatino Linotype" w:cs="Palatino Linotype"/>
        </w:rPr>
      </w:pPr>
    </w:p>
    <w:p w14:paraId="4B8C8AE4" w14:textId="77777777" w:rsidR="00314A68" w:rsidRPr="008C3040" w:rsidRDefault="00494F6B">
      <w:pPr>
        <w:jc w:val="center"/>
        <w:rPr>
          <w:rFonts w:ascii="Palatino Linotype" w:eastAsia="Palatino Linotype" w:hAnsi="Palatino Linotype" w:cs="Palatino Linotype"/>
          <w:b/>
          <w:sz w:val="28"/>
          <w:szCs w:val="28"/>
        </w:rPr>
      </w:pPr>
      <w:r w:rsidRPr="008C3040">
        <w:rPr>
          <w:rFonts w:ascii="Palatino Linotype" w:eastAsia="Palatino Linotype" w:hAnsi="Palatino Linotype" w:cs="Palatino Linotype"/>
          <w:b/>
          <w:sz w:val="28"/>
          <w:szCs w:val="28"/>
        </w:rPr>
        <w:t>CONSIDERANDO</w:t>
      </w:r>
    </w:p>
    <w:p w14:paraId="69B91CED" w14:textId="77777777" w:rsidR="00314A68" w:rsidRPr="008C3040" w:rsidRDefault="00314A68">
      <w:pPr>
        <w:jc w:val="center"/>
        <w:rPr>
          <w:rFonts w:ascii="Palatino Linotype" w:eastAsia="Palatino Linotype" w:hAnsi="Palatino Linotype" w:cs="Palatino Linotype"/>
          <w:b/>
          <w:sz w:val="28"/>
          <w:szCs w:val="28"/>
        </w:rPr>
      </w:pPr>
    </w:p>
    <w:p w14:paraId="7D97909A" w14:textId="77777777" w:rsidR="00314A68" w:rsidRPr="008C3040" w:rsidRDefault="00314A68">
      <w:pPr>
        <w:jc w:val="center"/>
        <w:rPr>
          <w:rFonts w:ascii="Palatino Linotype" w:eastAsia="Palatino Linotype" w:hAnsi="Palatino Linotype" w:cs="Palatino Linotype"/>
          <w:b/>
          <w:sz w:val="28"/>
          <w:szCs w:val="28"/>
        </w:rPr>
      </w:pPr>
    </w:p>
    <w:p w14:paraId="3A93625A" w14:textId="77777777" w:rsidR="00314A68" w:rsidRPr="008C3040" w:rsidRDefault="00494F6B">
      <w:pPr>
        <w:widowControl w:val="0"/>
        <w:tabs>
          <w:tab w:val="left" w:pos="1701"/>
        </w:tabs>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b/>
          <w:sz w:val="28"/>
          <w:szCs w:val="28"/>
        </w:rPr>
        <w:t>PRIMERO.</w:t>
      </w:r>
      <w:r w:rsidRPr="008C3040">
        <w:rPr>
          <w:rFonts w:ascii="Palatino Linotype" w:eastAsia="Palatino Linotype" w:hAnsi="Palatino Linotype" w:cs="Palatino Linotype"/>
          <w:b/>
        </w:rPr>
        <w:t xml:space="preserve"> Competencia</w:t>
      </w:r>
      <w:r w:rsidRPr="008C3040">
        <w:rPr>
          <w:rFonts w:ascii="Palatino Linotype" w:eastAsia="Palatino Linotype" w:hAnsi="Palatino Linotype" w:cs="Palatino Linotype"/>
        </w:rPr>
        <w:t>.</w:t>
      </w:r>
      <w:r w:rsidRPr="008C3040">
        <w:rPr>
          <w:rFonts w:ascii="Palatino Linotype" w:eastAsia="Palatino Linotype" w:hAnsi="Palatino Linotype" w:cs="Palatino Linotype"/>
          <w:b/>
        </w:rPr>
        <w:t xml:space="preserve"> </w:t>
      </w:r>
    </w:p>
    <w:p w14:paraId="4330DAA8" w14:textId="77777777" w:rsidR="00314A68" w:rsidRPr="008C3040" w:rsidRDefault="00494F6B">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8C3040">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4412F34" w14:textId="77777777" w:rsidR="00314A68" w:rsidRPr="008C3040" w:rsidRDefault="00314A68">
      <w:pPr>
        <w:widowControl w:val="0"/>
        <w:tabs>
          <w:tab w:val="left" w:pos="1701"/>
          <w:tab w:val="left" w:pos="2977"/>
        </w:tabs>
        <w:spacing w:line="360" w:lineRule="auto"/>
        <w:jc w:val="both"/>
        <w:rPr>
          <w:rFonts w:ascii="Palatino Linotype" w:eastAsia="Palatino Linotype" w:hAnsi="Palatino Linotype" w:cs="Palatino Linotype"/>
        </w:rPr>
      </w:pPr>
    </w:p>
    <w:p w14:paraId="13BCC55F" w14:textId="77777777" w:rsidR="00314A68" w:rsidRPr="008C3040" w:rsidRDefault="00494F6B">
      <w:pPr>
        <w:spacing w:line="360" w:lineRule="auto"/>
        <w:jc w:val="both"/>
        <w:rPr>
          <w:rFonts w:ascii="Palatino Linotype" w:eastAsia="Palatino Linotype" w:hAnsi="Palatino Linotype" w:cs="Palatino Linotype"/>
          <w:b/>
        </w:rPr>
      </w:pPr>
      <w:r w:rsidRPr="008C3040">
        <w:rPr>
          <w:rFonts w:ascii="Palatino Linotype" w:eastAsia="Palatino Linotype" w:hAnsi="Palatino Linotype" w:cs="Palatino Linotype"/>
          <w:b/>
          <w:sz w:val="28"/>
          <w:szCs w:val="28"/>
        </w:rPr>
        <w:t>SEGUNDO</w:t>
      </w:r>
      <w:r w:rsidRPr="008C3040">
        <w:rPr>
          <w:rFonts w:ascii="Palatino Linotype" w:eastAsia="Palatino Linotype" w:hAnsi="Palatino Linotype" w:cs="Palatino Linotype"/>
          <w:b/>
        </w:rPr>
        <w:t xml:space="preserve">. Interés. </w:t>
      </w:r>
    </w:p>
    <w:p w14:paraId="4BEC7B11" w14:textId="77777777" w:rsidR="00314A68" w:rsidRPr="008C3040" w:rsidRDefault="00494F6B">
      <w:pPr>
        <w:spacing w:line="360" w:lineRule="auto"/>
        <w:jc w:val="both"/>
        <w:rPr>
          <w:rFonts w:ascii="Palatino Linotype" w:eastAsia="Palatino Linotype" w:hAnsi="Palatino Linotype" w:cs="Palatino Linotype"/>
          <w:b/>
        </w:rPr>
      </w:pPr>
      <w:r w:rsidRPr="008C3040">
        <w:rPr>
          <w:rFonts w:ascii="Palatino Linotype" w:eastAsia="Palatino Linotype" w:hAnsi="Palatino Linotype" w:cs="Palatino Linotype"/>
        </w:rPr>
        <w:t xml:space="preserve">El Recurso de Revisión fue interpuesto por parte legítima, en atención a que se presentó por </w:t>
      </w:r>
      <w:r w:rsidRPr="008C3040">
        <w:rPr>
          <w:rFonts w:ascii="Palatino Linotype" w:eastAsia="Palatino Linotype" w:hAnsi="Palatino Linotype" w:cs="Palatino Linotype"/>
          <w:b/>
        </w:rPr>
        <w:t>EL RECURRENTE,</w:t>
      </w:r>
      <w:r w:rsidRPr="008C3040">
        <w:rPr>
          <w:rFonts w:ascii="Palatino Linotype" w:eastAsia="Palatino Linotype" w:hAnsi="Palatino Linotype" w:cs="Palatino Linotype"/>
        </w:rPr>
        <w:t xml:space="preserve"> quien es la misma persona que formuló la solicitud de acceso a la información pública al </w:t>
      </w:r>
      <w:r w:rsidRPr="008C3040">
        <w:rPr>
          <w:rFonts w:ascii="Palatino Linotype" w:eastAsia="Palatino Linotype" w:hAnsi="Palatino Linotype" w:cs="Palatino Linotype"/>
          <w:b/>
        </w:rPr>
        <w:t>SUJETO OBLIGADO.</w:t>
      </w:r>
    </w:p>
    <w:p w14:paraId="4A3A25CC" w14:textId="77777777" w:rsidR="00314A68" w:rsidRPr="008C3040" w:rsidRDefault="00314A68">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33C8EF28" w14:textId="77777777" w:rsidR="00314A68" w:rsidRPr="008C3040" w:rsidRDefault="00494F6B">
      <w:pPr>
        <w:tabs>
          <w:tab w:val="center" w:pos="4252"/>
          <w:tab w:val="right" w:pos="8504"/>
        </w:tabs>
        <w:spacing w:line="360" w:lineRule="auto"/>
        <w:ind w:left="-57"/>
        <w:jc w:val="both"/>
        <w:rPr>
          <w:rFonts w:ascii="Palatino Linotype" w:eastAsia="Palatino Linotype" w:hAnsi="Palatino Linotype" w:cs="Palatino Linotype"/>
          <w:color w:val="000000"/>
        </w:rPr>
      </w:pPr>
      <w:r w:rsidRPr="008C3040">
        <w:rPr>
          <w:rFonts w:ascii="Palatino Linotype" w:eastAsia="Palatino Linotype" w:hAnsi="Palatino Linotype" w:cs="Palatino Linotype"/>
          <w:b/>
          <w:sz w:val="28"/>
          <w:szCs w:val="28"/>
        </w:rPr>
        <w:t>TERCERO.</w:t>
      </w:r>
      <w:r w:rsidRPr="008C3040">
        <w:rPr>
          <w:rFonts w:ascii="Palatino Linotype" w:eastAsia="Palatino Linotype" w:hAnsi="Palatino Linotype" w:cs="Palatino Linotype"/>
        </w:rPr>
        <w:t xml:space="preserve"> </w:t>
      </w:r>
      <w:r w:rsidRPr="008C3040">
        <w:rPr>
          <w:rFonts w:ascii="Palatino Linotype" w:eastAsia="Palatino Linotype" w:hAnsi="Palatino Linotype" w:cs="Palatino Linotype"/>
          <w:b/>
          <w:color w:val="000000"/>
        </w:rPr>
        <w:t>Oportunidad</w:t>
      </w:r>
      <w:r w:rsidRPr="008C3040">
        <w:rPr>
          <w:rFonts w:ascii="Palatino Linotype" w:eastAsia="Palatino Linotype" w:hAnsi="Palatino Linotype" w:cs="Palatino Linotype"/>
          <w:color w:val="000000"/>
        </w:rPr>
        <w:t xml:space="preserve">. </w:t>
      </w:r>
    </w:p>
    <w:p w14:paraId="3E8BA886" w14:textId="77777777" w:rsidR="00314A68" w:rsidRPr="008C3040" w:rsidRDefault="00494F6B">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8C3040">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8C3040">
        <w:rPr>
          <w:rFonts w:ascii="Palatino Linotype" w:eastAsia="Palatino Linotype" w:hAnsi="Palatino Linotype" w:cs="Palatino Linotype"/>
          <w:b/>
          <w:color w:val="000000"/>
        </w:rPr>
        <w:t xml:space="preserve">EL RECURRENTE </w:t>
      </w:r>
      <w:r w:rsidRPr="008C3040">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0ECCF21A" w14:textId="77777777" w:rsidR="00314A68" w:rsidRPr="008C3040" w:rsidRDefault="00314A68">
      <w:pPr>
        <w:ind w:left="720" w:right="709"/>
        <w:jc w:val="both"/>
        <w:rPr>
          <w:rFonts w:ascii="Palatino Linotype" w:eastAsia="Palatino Linotype" w:hAnsi="Palatino Linotype" w:cs="Palatino Linotype"/>
          <w:i/>
          <w:sz w:val="22"/>
          <w:szCs w:val="22"/>
        </w:rPr>
      </w:pPr>
    </w:p>
    <w:p w14:paraId="6770859E" w14:textId="77777777" w:rsidR="00314A68" w:rsidRPr="008C3040" w:rsidRDefault="00494F6B">
      <w:pPr>
        <w:ind w:left="851"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w:t>
      </w:r>
      <w:r w:rsidRPr="008C3040">
        <w:rPr>
          <w:rFonts w:ascii="Palatino Linotype" w:eastAsia="Palatino Linotype" w:hAnsi="Palatino Linotype" w:cs="Palatino Linotype"/>
          <w:b/>
          <w:i/>
          <w:sz w:val="22"/>
          <w:szCs w:val="22"/>
        </w:rPr>
        <w:t>Artículo 178.</w:t>
      </w:r>
      <w:r w:rsidRPr="008C3040">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2C2E4C0" w14:textId="77777777" w:rsidR="00314A68" w:rsidRPr="008C3040" w:rsidRDefault="00314A68">
      <w:pPr>
        <w:ind w:left="851" w:right="899"/>
        <w:jc w:val="both"/>
        <w:rPr>
          <w:rFonts w:ascii="Palatino Linotype" w:eastAsia="Palatino Linotype" w:hAnsi="Palatino Linotype" w:cs="Palatino Linotype"/>
          <w:i/>
          <w:sz w:val="22"/>
          <w:szCs w:val="22"/>
        </w:rPr>
      </w:pPr>
    </w:p>
    <w:p w14:paraId="69CE783B" w14:textId="77777777" w:rsidR="00314A68" w:rsidRPr="008C3040" w:rsidRDefault="00494F6B">
      <w:pPr>
        <w:ind w:left="851"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0E77183" w14:textId="77777777" w:rsidR="00314A68" w:rsidRPr="008C3040" w:rsidRDefault="00314A68">
      <w:pPr>
        <w:ind w:left="851" w:right="899"/>
        <w:jc w:val="both"/>
        <w:rPr>
          <w:rFonts w:ascii="Palatino Linotype" w:eastAsia="Palatino Linotype" w:hAnsi="Palatino Linotype" w:cs="Palatino Linotype"/>
          <w:i/>
          <w:sz w:val="22"/>
          <w:szCs w:val="22"/>
        </w:rPr>
      </w:pPr>
    </w:p>
    <w:p w14:paraId="39FA6EA7" w14:textId="77777777" w:rsidR="00314A68" w:rsidRPr="008C3040" w:rsidRDefault="00494F6B">
      <w:pPr>
        <w:ind w:left="851"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5773E21F" w14:textId="77777777" w:rsidR="00314A68" w:rsidRPr="008C3040" w:rsidRDefault="00314A68">
      <w:pPr>
        <w:ind w:left="720" w:right="709"/>
        <w:jc w:val="both"/>
        <w:rPr>
          <w:rFonts w:ascii="Palatino Linotype" w:eastAsia="Palatino Linotype" w:hAnsi="Palatino Linotype" w:cs="Palatino Linotype"/>
          <w:i/>
          <w:sz w:val="22"/>
          <w:szCs w:val="22"/>
        </w:rPr>
      </w:pPr>
    </w:p>
    <w:p w14:paraId="13B696DB" w14:textId="77777777" w:rsidR="00314A68" w:rsidRPr="008C3040" w:rsidRDefault="00494F6B">
      <w:pPr>
        <w:spacing w:line="360" w:lineRule="auto"/>
        <w:jc w:val="both"/>
        <w:rPr>
          <w:rFonts w:ascii="Palatino Linotype" w:eastAsia="Palatino Linotype" w:hAnsi="Palatino Linotype" w:cs="Palatino Linotype"/>
        </w:rPr>
      </w:pPr>
      <w:bookmarkStart w:id="4" w:name="_heading=h.2et92p0" w:colFirst="0" w:colLast="0"/>
      <w:bookmarkEnd w:id="4"/>
      <w:r w:rsidRPr="008C3040">
        <w:rPr>
          <w:rFonts w:ascii="Palatino Linotype" w:eastAsia="Palatino Linotype" w:hAnsi="Palatino Linotype" w:cs="Palatino Linotype"/>
        </w:rPr>
        <w:t xml:space="preserve">En esa tesitura, atendiendo a que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notificó la respuesta a la solicitud de acceso a la información pública el día</w:t>
      </w:r>
      <w:r w:rsidRPr="008C3040">
        <w:rPr>
          <w:rFonts w:ascii="Palatino Linotype" w:eastAsia="Palatino Linotype" w:hAnsi="Palatino Linotype" w:cs="Palatino Linotype"/>
          <w:b/>
        </w:rPr>
        <w:t xml:space="preserve"> trece de enero de dos mil veintidós</w:t>
      </w:r>
      <w:r w:rsidRPr="008C3040">
        <w:rPr>
          <w:rFonts w:ascii="Palatino Linotype" w:eastAsia="Palatino Linotype" w:hAnsi="Palatino Linotype" w:cs="Palatino Linotype"/>
        </w:rPr>
        <w:t xml:space="preserve">; </w:t>
      </w:r>
      <w:r w:rsidRPr="008C3040">
        <w:rPr>
          <w:rFonts w:ascii="Palatino Linotype" w:eastAsia="Palatino Linotype" w:hAnsi="Palatino Linotype" w:cs="Palatino Linotype"/>
        </w:rPr>
        <w:lastRenderedPageBreak/>
        <w:t>así, el plazo de quince días hábiles que el artículo 178 de la Ley de la materia otorga al</w:t>
      </w:r>
      <w:r w:rsidRPr="008C3040">
        <w:rPr>
          <w:rFonts w:ascii="Palatino Linotype" w:eastAsia="Palatino Linotype" w:hAnsi="Palatino Linotype" w:cs="Palatino Linotype"/>
          <w:b/>
        </w:rPr>
        <w:t xml:space="preserve"> RECURRENTE</w:t>
      </w:r>
      <w:r w:rsidRPr="008C3040">
        <w:rPr>
          <w:rFonts w:ascii="Palatino Linotype" w:eastAsia="Palatino Linotype" w:hAnsi="Palatino Linotype" w:cs="Palatino Linotype"/>
        </w:rPr>
        <w:t xml:space="preserve"> para presentar el respectivo Recurso de Revisión, transcurrió del </w:t>
      </w:r>
      <w:r w:rsidRPr="008C3040">
        <w:rPr>
          <w:rFonts w:ascii="Palatino Linotype" w:eastAsia="Palatino Linotype" w:hAnsi="Palatino Linotype" w:cs="Palatino Linotype"/>
          <w:b/>
        </w:rPr>
        <w:t xml:space="preserve">catorce de enero al tres de febrero de dos mil veintidós, </w:t>
      </w:r>
      <w:r w:rsidRPr="008C3040">
        <w:rPr>
          <w:rFonts w:ascii="Palatino Linotype" w:eastAsia="Palatino Linotype" w:hAnsi="Palatino Linotype" w:cs="Palatino Linotype"/>
        </w:rPr>
        <w:t xml:space="preserve">sin contemplar en el cómputo los días quince, dieciséis veintidós y veintitrés de enero de dos mil veintidós por corresponder a sábados y domingos, considerados como días inhábiles, en términos del artículo 3, fracción X de la Ley de Transparencia y Acceso a la Información Pública del Estado de México y Municipios. </w:t>
      </w:r>
    </w:p>
    <w:p w14:paraId="5EC60FFF" w14:textId="77777777" w:rsidR="00314A68" w:rsidRPr="008C3040" w:rsidRDefault="00314A68">
      <w:pPr>
        <w:spacing w:line="360" w:lineRule="auto"/>
        <w:jc w:val="both"/>
        <w:rPr>
          <w:rFonts w:ascii="Palatino Linotype" w:eastAsia="Palatino Linotype" w:hAnsi="Palatino Linotype" w:cs="Palatino Linotype"/>
        </w:rPr>
      </w:pPr>
      <w:bookmarkStart w:id="5" w:name="_heading=h.521bf0z6d3w8" w:colFirst="0" w:colLast="0"/>
      <w:bookmarkEnd w:id="5"/>
    </w:p>
    <w:p w14:paraId="6F608B91" w14:textId="77777777" w:rsidR="00314A68" w:rsidRPr="008C3040" w:rsidRDefault="00494F6B">
      <w:pPr>
        <w:spacing w:line="360" w:lineRule="auto"/>
        <w:ind w:left="-5" w:hanging="10"/>
        <w:jc w:val="both"/>
        <w:rPr>
          <w:rFonts w:ascii="Palatino Linotype" w:eastAsia="Palatino Linotype" w:hAnsi="Palatino Linotype" w:cs="Palatino Linotype"/>
        </w:rPr>
      </w:pPr>
      <w:r w:rsidRPr="008C3040">
        <w:rPr>
          <w:rFonts w:ascii="Palatino Linotype" w:eastAsia="Palatino Linotype" w:hAnsi="Palatino Linotype" w:cs="Palatino Linotype"/>
        </w:rPr>
        <w:t>En ese tenor, si el Recurso de Revisión que nos ocupa, se interpuso el</w:t>
      </w:r>
      <w:r w:rsidRPr="008C3040">
        <w:rPr>
          <w:rFonts w:ascii="Palatino Linotype" w:eastAsia="Palatino Linotype" w:hAnsi="Palatino Linotype" w:cs="Palatino Linotype"/>
          <w:b/>
        </w:rPr>
        <w:t xml:space="preserve"> veintiséis de enero de dos mil veintidós,</w:t>
      </w:r>
      <w:r w:rsidRPr="008C3040">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65D72306" w14:textId="77777777" w:rsidR="00314A68" w:rsidRPr="008C3040" w:rsidRDefault="00314A68">
      <w:pPr>
        <w:spacing w:line="360" w:lineRule="auto"/>
        <w:ind w:left="-5" w:hanging="10"/>
        <w:jc w:val="both"/>
        <w:rPr>
          <w:rFonts w:ascii="Palatino Linotype" w:eastAsia="Palatino Linotype" w:hAnsi="Palatino Linotype" w:cs="Palatino Linotype"/>
        </w:rPr>
      </w:pPr>
    </w:p>
    <w:p w14:paraId="09678602" w14:textId="77777777" w:rsidR="00314A68" w:rsidRPr="008C3040" w:rsidRDefault="00494F6B">
      <w:pPr>
        <w:spacing w:line="360" w:lineRule="auto"/>
        <w:ind w:right="49"/>
        <w:jc w:val="both"/>
        <w:rPr>
          <w:rFonts w:ascii="Palatino Linotype" w:eastAsia="Palatino Linotype" w:hAnsi="Palatino Linotype" w:cs="Palatino Linotype"/>
          <w:b/>
        </w:rPr>
      </w:pPr>
      <w:r w:rsidRPr="008C3040">
        <w:rPr>
          <w:rFonts w:ascii="Palatino Linotype" w:eastAsia="Palatino Linotype" w:hAnsi="Palatino Linotype" w:cs="Palatino Linotype"/>
          <w:b/>
          <w:sz w:val="28"/>
          <w:szCs w:val="28"/>
        </w:rPr>
        <w:t>CUARTO</w:t>
      </w:r>
      <w:r w:rsidRPr="008C3040">
        <w:rPr>
          <w:rFonts w:ascii="Palatino Linotype" w:eastAsia="Palatino Linotype" w:hAnsi="Palatino Linotype" w:cs="Palatino Linotype"/>
          <w:b/>
        </w:rPr>
        <w:t xml:space="preserve">. Procedibilidad. </w:t>
      </w:r>
    </w:p>
    <w:p w14:paraId="638CB29F" w14:textId="77777777" w:rsidR="00314A68" w:rsidRPr="008C3040" w:rsidRDefault="00494F6B">
      <w:pPr>
        <w:spacing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27AD6AEF" w14:textId="77777777" w:rsidR="00314A68" w:rsidRPr="008C3040" w:rsidRDefault="00314A68">
      <w:pPr>
        <w:spacing w:line="360" w:lineRule="auto"/>
        <w:ind w:right="49"/>
        <w:jc w:val="both"/>
        <w:rPr>
          <w:rFonts w:ascii="Palatino Linotype" w:eastAsia="Palatino Linotype" w:hAnsi="Palatino Linotype" w:cs="Palatino Linotype"/>
          <w:sz w:val="10"/>
          <w:szCs w:val="10"/>
        </w:rPr>
      </w:pPr>
    </w:p>
    <w:p w14:paraId="42EC1F40" w14:textId="77777777" w:rsidR="00314A68" w:rsidRPr="008C3040" w:rsidRDefault="00494F6B">
      <w:pPr>
        <w:tabs>
          <w:tab w:val="left" w:pos="851"/>
        </w:tabs>
        <w:ind w:left="851" w:right="901"/>
        <w:jc w:val="both"/>
        <w:rPr>
          <w:rFonts w:ascii="Palatino Linotype" w:eastAsia="Palatino Linotype" w:hAnsi="Palatino Linotype" w:cs="Palatino Linotype"/>
          <w:b/>
          <w:i/>
          <w:sz w:val="22"/>
          <w:szCs w:val="22"/>
        </w:rPr>
      </w:pPr>
      <w:r w:rsidRPr="008C3040">
        <w:rPr>
          <w:rFonts w:ascii="Palatino Linotype" w:eastAsia="Palatino Linotype" w:hAnsi="Palatino Linotype" w:cs="Palatino Linotype"/>
          <w:b/>
          <w:i/>
          <w:sz w:val="22"/>
          <w:szCs w:val="22"/>
        </w:rPr>
        <w:t xml:space="preserve">“Artículo 180. </w:t>
      </w:r>
      <w:r w:rsidRPr="008C3040">
        <w:rPr>
          <w:rFonts w:ascii="Palatino Linotype" w:eastAsia="Palatino Linotype" w:hAnsi="Palatino Linotype" w:cs="Palatino Linotype"/>
          <w:i/>
          <w:sz w:val="22"/>
          <w:szCs w:val="22"/>
        </w:rPr>
        <w:t>El Recurso de Revisión contendrá:</w:t>
      </w:r>
      <w:r w:rsidRPr="008C3040">
        <w:rPr>
          <w:rFonts w:ascii="Palatino Linotype" w:eastAsia="Palatino Linotype" w:hAnsi="Palatino Linotype" w:cs="Palatino Linotype"/>
          <w:b/>
          <w:i/>
          <w:sz w:val="22"/>
          <w:szCs w:val="22"/>
        </w:rPr>
        <w:t xml:space="preserve"> </w:t>
      </w:r>
    </w:p>
    <w:p w14:paraId="7777BE93" w14:textId="77777777" w:rsidR="00314A68" w:rsidRPr="008C3040" w:rsidRDefault="00494F6B">
      <w:pPr>
        <w:tabs>
          <w:tab w:val="left" w:pos="851"/>
        </w:tabs>
        <w:ind w:left="851" w:right="901"/>
        <w:jc w:val="both"/>
        <w:rPr>
          <w:rFonts w:ascii="Palatino Linotype" w:eastAsia="Palatino Linotype" w:hAnsi="Palatino Linotype" w:cs="Palatino Linotype"/>
          <w:b/>
          <w:i/>
          <w:sz w:val="22"/>
          <w:szCs w:val="22"/>
        </w:rPr>
      </w:pPr>
      <w:r w:rsidRPr="008C3040">
        <w:rPr>
          <w:rFonts w:ascii="Palatino Linotype" w:eastAsia="Palatino Linotype" w:hAnsi="Palatino Linotype" w:cs="Palatino Linotype"/>
          <w:b/>
          <w:i/>
          <w:sz w:val="22"/>
          <w:szCs w:val="22"/>
        </w:rPr>
        <w:t>…</w:t>
      </w:r>
    </w:p>
    <w:p w14:paraId="47D715EC" w14:textId="77777777" w:rsidR="00314A68" w:rsidRPr="008C3040" w:rsidRDefault="00494F6B">
      <w:pPr>
        <w:tabs>
          <w:tab w:val="left" w:pos="851"/>
        </w:tabs>
        <w:ind w:left="851" w:right="901"/>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b/>
          <w:i/>
          <w:sz w:val="22"/>
          <w:szCs w:val="22"/>
        </w:rPr>
        <w:t xml:space="preserve">II. El nombre del solicitante </w:t>
      </w:r>
      <w:r w:rsidRPr="008C3040">
        <w:rPr>
          <w:rFonts w:ascii="Palatino Linotype" w:eastAsia="Palatino Linotype" w:hAnsi="Palatino Linotype" w:cs="Palatino Linotype"/>
          <w:b/>
          <w:i/>
          <w:color w:val="222222"/>
          <w:sz w:val="22"/>
          <w:szCs w:val="22"/>
        </w:rPr>
        <w:t>que</w:t>
      </w:r>
      <w:r w:rsidRPr="008C3040">
        <w:rPr>
          <w:rFonts w:ascii="Palatino Linotype" w:eastAsia="Palatino Linotype" w:hAnsi="Palatino Linotype" w:cs="Palatino Linotype"/>
          <w:b/>
          <w:i/>
          <w:sz w:val="22"/>
          <w:szCs w:val="22"/>
        </w:rPr>
        <w:t xml:space="preserve"> recurre </w:t>
      </w:r>
      <w:r w:rsidRPr="008C3040">
        <w:rPr>
          <w:rFonts w:ascii="Palatino Linotype" w:eastAsia="Palatino Linotype" w:hAnsi="Palatino Linotype" w:cs="Palatino Linotype"/>
          <w:i/>
          <w:sz w:val="22"/>
          <w:szCs w:val="22"/>
        </w:rPr>
        <w:t>o de su representante y, en su caso, …</w:t>
      </w:r>
    </w:p>
    <w:p w14:paraId="2170D6C7" w14:textId="77777777" w:rsidR="00314A68" w:rsidRPr="008C3040" w:rsidRDefault="00494F6B">
      <w:pPr>
        <w:tabs>
          <w:tab w:val="left" w:pos="851"/>
        </w:tabs>
        <w:ind w:left="851" w:right="901"/>
        <w:jc w:val="both"/>
        <w:rPr>
          <w:rFonts w:ascii="Palatino Linotype" w:eastAsia="Palatino Linotype" w:hAnsi="Palatino Linotype" w:cs="Palatino Linotype"/>
          <w:b/>
          <w:i/>
          <w:sz w:val="22"/>
          <w:szCs w:val="22"/>
        </w:rPr>
      </w:pPr>
      <w:r w:rsidRPr="008C3040">
        <w:rPr>
          <w:rFonts w:ascii="Palatino Linotype" w:eastAsia="Palatino Linotype" w:hAnsi="Palatino Linotype" w:cs="Palatino Linotype"/>
          <w:b/>
          <w:i/>
          <w:sz w:val="22"/>
          <w:szCs w:val="22"/>
        </w:rPr>
        <w:t xml:space="preserve">En caso de </w:t>
      </w:r>
      <w:r w:rsidRPr="008C3040">
        <w:rPr>
          <w:rFonts w:ascii="Palatino Linotype" w:eastAsia="Palatino Linotype" w:hAnsi="Palatino Linotype" w:cs="Palatino Linotype"/>
          <w:b/>
          <w:i/>
          <w:color w:val="222222"/>
          <w:sz w:val="22"/>
          <w:szCs w:val="22"/>
        </w:rPr>
        <w:t>que</w:t>
      </w:r>
      <w:r w:rsidRPr="008C3040">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8C3040">
        <w:rPr>
          <w:rFonts w:ascii="Palatino Linotype" w:eastAsia="Palatino Linotype" w:hAnsi="Palatino Linotype" w:cs="Palatino Linotype"/>
          <w:i/>
          <w:sz w:val="22"/>
          <w:szCs w:val="22"/>
        </w:rPr>
        <w:t>, IV, VII y VIII.</w:t>
      </w:r>
      <w:r w:rsidRPr="008C3040">
        <w:rPr>
          <w:rFonts w:ascii="Palatino Linotype" w:eastAsia="Palatino Linotype" w:hAnsi="Palatino Linotype" w:cs="Palatino Linotype"/>
          <w:b/>
          <w:i/>
          <w:sz w:val="22"/>
          <w:szCs w:val="22"/>
        </w:rPr>
        <w:t>”</w:t>
      </w:r>
    </w:p>
    <w:p w14:paraId="00EC542F" w14:textId="77777777" w:rsidR="00314A68" w:rsidRPr="008C3040" w:rsidRDefault="00494F6B">
      <w:pPr>
        <w:tabs>
          <w:tab w:val="left" w:pos="851"/>
        </w:tabs>
        <w:ind w:left="851" w:right="901"/>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(Énfasis añadido)</w:t>
      </w:r>
    </w:p>
    <w:p w14:paraId="056631EB" w14:textId="77777777" w:rsidR="00314A68" w:rsidRPr="008C3040" w:rsidRDefault="00314A68">
      <w:pPr>
        <w:tabs>
          <w:tab w:val="left" w:pos="851"/>
        </w:tabs>
        <w:ind w:right="901"/>
        <w:jc w:val="both"/>
        <w:rPr>
          <w:rFonts w:ascii="Palatino Linotype" w:eastAsia="Palatino Linotype" w:hAnsi="Palatino Linotype" w:cs="Palatino Linotype"/>
          <w:i/>
          <w:sz w:val="22"/>
          <w:szCs w:val="22"/>
        </w:rPr>
      </w:pPr>
    </w:p>
    <w:p w14:paraId="3C95C99B"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8C3040">
        <w:rPr>
          <w:rFonts w:ascii="Palatino Linotype" w:eastAsia="Palatino Linotype" w:hAnsi="Palatino Linotype" w:cs="Palatino Linotype"/>
          <w:b/>
        </w:rPr>
        <w:t>;</w:t>
      </w:r>
      <w:r w:rsidRPr="008C3040">
        <w:rPr>
          <w:rFonts w:ascii="Palatino Linotype" w:eastAsia="Palatino Linotype" w:hAnsi="Palatino Linotype" w:cs="Palatino Linotype"/>
        </w:rPr>
        <w:t xml:space="preserve"> por lo que, en el presente caso, al haber sido presentado el Recurso de Revisión vía </w:t>
      </w:r>
      <w:r w:rsidRPr="008C3040">
        <w:rPr>
          <w:rFonts w:ascii="Palatino Linotype" w:eastAsia="Palatino Linotype" w:hAnsi="Palatino Linotype" w:cs="Palatino Linotype"/>
          <w:b/>
        </w:rPr>
        <w:t>SAIMEX</w:t>
      </w:r>
      <w:r w:rsidRPr="008C3040">
        <w:rPr>
          <w:rFonts w:ascii="Palatino Linotype" w:eastAsia="Palatino Linotype" w:hAnsi="Palatino Linotype" w:cs="Palatino Linotype"/>
        </w:rPr>
        <w:t>, dicho requisito resulta innecesario.</w:t>
      </w:r>
    </w:p>
    <w:p w14:paraId="59641E59" w14:textId="77777777" w:rsidR="00314A68" w:rsidRPr="008C3040" w:rsidRDefault="00314A68">
      <w:pPr>
        <w:spacing w:line="360" w:lineRule="auto"/>
        <w:jc w:val="both"/>
        <w:rPr>
          <w:rFonts w:ascii="Palatino Linotype" w:eastAsia="Palatino Linotype" w:hAnsi="Palatino Linotype" w:cs="Palatino Linotype"/>
          <w:b/>
        </w:rPr>
      </w:pPr>
    </w:p>
    <w:p w14:paraId="70ED3184"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8C3040">
        <w:rPr>
          <w:rFonts w:ascii="Palatino Linotype" w:eastAsia="Palatino Linotype" w:hAnsi="Palatino Linotype" w:cs="Palatino Linotype"/>
          <w:b/>
          <w:u w:val="single"/>
        </w:rPr>
        <w:t xml:space="preserve">el nombre no es un requisito </w:t>
      </w:r>
      <w:r w:rsidRPr="008C3040">
        <w:rPr>
          <w:rFonts w:ascii="Palatino Linotype" w:eastAsia="Palatino Linotype" w:hAnsi="Palatino Linotype" w:cs="Palatino Linotype"/>
          <w:b/>
          <w:i/>
          <w:u w:val="single"/>
        </w:rPr>
        <w:t>sine qua non</w:t>
      </w:r>
      <w:r w:rsidRPr="008C3040">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6919874" w14:textId="77777777" w:rsidR="00314A68" w:rsidRPr="008C3040" w:rsidRDefault="00314A68">
      <w:pPr>
        <w:spacing w:line="360" w:lineRule="auto"/>
        <w:jc w:val="both"/>
        <w:rPr>
          <w:rFonts w:ascii="Palatino Linotype" w:eastAsia="Palatino Linotype" w:hAnsi="Palatino Linotype" w:cs="Palatino Linotype"/>
        </w:rPr>
      </w:pPr>
    </w:p>
    <w:p w14:paraId="2A926B97" w14:textId="77777777" w:rsidR="00314A68" w:rsidRPr="008C3040" w:rsidRDefault="00494F6B">
      <w:pPr>
        <w:spacing w:line="360" w:lineRule="auto"/>
        <w:jc w:val="both"/>
        <w:rPr>
          <w:rFonts w:ascii="Palatino Linotype" w:eastAsia="Palatino Linotype" w:hAnsi="Palatino Linotype" w:cs="Palatino Linotype"/>
          <w:sz w:val="22"/>
          <w:szCs w:val="22"/>
        </w:rPr>
      </w:pPr>
      <w:r w:rsidRPr="008C3040">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E364457" w14:textId="77777777" w:rsidR="00314A68" w:rsidRPr="008C3040" w:rsidRDefault="00314A68">
      <w:pPr>
        <w:tabs>
          <w:tab w:val="left" w:pos="851"/>
        </w:tabs>
        <w:ind w:left="851" w:right="901"/>
        <w:jc w:val="both"/>
        <w:rPr>
          <w:rFonts w:ascii="Palatino Linotype" w:eastAsia="Palatino Linotype" w:hAnsi="Palatino Linotype" w:cs="Palatino Linotype"/>
          <w:sz w:val="22"/>
          <w:szCs w:val="22"/>
        </w:rPr>
      </w:pPr>
    </w:p>
    <w:p w14:paraId="12E89832"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lastRenderedPageBreak/>
        <w:t>Asimismo, se estima que el requisito relativo al nombre del</w:t>
      </w:r>
      <w:r w:rsidRPr="008C3040">
        <w:rPr>
          <w:rFonts w:ascii="Palatino Linotype" w:eastAsia="Palatino Linotype" w:hAnsi="Palatino Linotype" w:cs="Palatino Linotype"/>
          <w:b/>
        </w:rPr>
        <w:t xml:space="preserve"> RECURRENTE</w:t>
      </w:r>
      <w:r w:rsidRPr="008C3040">
        <w:rPr>
          <w:rFonts w:ascii="Palatino Linotype" w:eastAsia="Palatino Linotype" w:hAnsi="Palatino Linotype" w:cs="Palatino Linotype"/>
        </w:rPr>
        <w:t xml:space="preserve">  no constituye un presupuesto indispensable de procedibilidad de los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C3040">
        <w:rPr>
          <w:rFonts w:ascii="Palatino Linotype" w:eastAsia="Palatino Linotype" w:hAnsi="Palatino Linotype" w:cs="Palatino Linotype"/>
          <w:b/>
        </w:rPr>
        <w:t xml:space="preserve">EL RECURRENTE </w:t>
      </w:r>
      <w:r w:rsidRPr="008C3040">
        <w:rPr>
          <w:rFonts w:ascii="Palatino Linotype" w:eastAsia="Palatino Linotype" w:hAnsi="Palatino Linotype" w:cs="Palatino Linotype"/>
        </w:rPr>
        <w:t xml:space="preserve"> es la misma persona que realizó la solicitud de acceso a la información pública que ahora se impugna.</w:t>
      </w:r>
    </w:p>
    <w:p w14:paraId="002380CC" w14:textId="77777777" w:rsidR="00314A68" w:rsidRPr="008C3040" w:rsidRDefault="00314A68">
      <w:pPr>
        <w:tabs>
          <w:tab w:val="left" w:pos="851"/>
        </w:tabs>
        <w:ind w:left="851" w:right="901"/>
        <w:jc w:val="both"/>
        <w:rPr>
          <w:rFonts w:ascii="Palatino Linotype" w:eastAsia="Palatino Linotype" w:hAnsi="Palatino Linotype" w:cs="Palatino Linotype"/>
          <w:sz w:val="22"/>
          <w:szCs w:val="22"/>
        </w:rPr>
      </w:pPr>
    </w:p>
    <w:p w14:paraId="6D10C249"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6FA62DB" w14:textId="77777777" w:rsidR="00314A68" w:rsidRPr="008C3040" w:rsidRDefault="00314A68">
      <w:pPr>
        <w:spacing w:line="360" w:lineRule="auto"/>
        <w:ind w:right="49"/>
        <w:jc w:val="both"/>
        <w:rPr>
          <w:rFonts w:ascii="Palatino Linotype" w:eastAsia="Palatino Linotype" w:hAnsi="Palatino Linotype" w:cs="Palatino Linotype"/>
          <w:b/>
        </w:rPr>
      </w:pPr>
    </w:p>
    <w:p w14:paraId="3EAF48D8" w14:textId="77777777" w:rsidR="00314A68" w:rsidRPr="008C3040" w:rsidRDefault="00494F6B">
      <w:pPr>
        <w:spacing w:line="360" w:lineRule="auto"/>
        <w:jc w:val="both"/>
        <w:rPr>
          <w:rFonts w:ascii="Palatino Linotype" w:eastAsia="Palatino Linotype" w:hAnsi="Palatino Linotype" w:cs="Palatino Linotype"/>
          <w:b/>
        </w:rPr>
      </w:pPr>
      <w:r w:rsidRPr="008C3040">
        <w:rPr>
          <w:rFonts w:ascii="Palatino Linotype" w:eastAsia="Palatino Linotype" w:hAnsi="Palatino Linotype" w:cs="Palatino Linotype"/>
          <w:b/>
          <w:sz w:val="28"/>
          <w:szCs w:val="28"/>
        </w:rPr>
        <w:t>QUINTO</w:t>
      </w:r>
      <w:r w:rsidRPr="008C3040">
        <w:rPr>
          <w:rFonts w:ascii="Palatino Linotype" w:eastAsia="Palatino Linotype" w:hAnsi="Palatino Linotype" w:cs="Palatino Linotype"/>
          <w:b/>
        </w:rPr>
        <w:t xml:space="preserve">. Estudio y resolución del asunto. </w:t>
      </w:r>
    </w:p>
    <w:p w14:paraId="658A65C7" w14:textId="77777777" w:rsidR="00314A68" w:rsidRPr="008C3040" w:rsidRDefault="00314A68">
      <w:pPr>
        <w:spacing w:line="360" w:lineRule="auto"/>
        <w:ind w:right="49"/>
        <w:jc w:val="both"/>
        <w:rPr>
          <w:rFonts w:ascii="Palatino Linotype" w:eastAsia="Palatino Linotype" w:hAnsi="Palatino Linotype" w:cs="Palatino Linotype"/>
        </w:rPr>
      </w:pPr>
    </w:p>
    <w:p w14:paraId="096F5EEF" w14:textId="77777777" w:rsidR="00314A68" w:rsidRPr="008C3040" w:rsidRDefault="00494F6B">
      <w:pPr>
        <w:spacing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En ese tenor, para un mejor estudio y comprensión del asunto que se resuelve, es preciso recordar que </w:t>
      </w:r>
      <w:r w:rsidRPr="008C3040">
        <w:rPr>
          <w:rFonts w:ascii="Palatino Linotype" w:eastAsia="Palatino Linotype" w:hAnsi="Palatino Linotype" w:cs="Palatino Linotype"/>
          <w:b/>
        </w:rPr>
        <w:t>EL RECURRENTE</w:t>
      </w:r>
      <w:r w:rsidRPr="008C3040">
        <w:rPr>
          <w:rFonts w:ascii="Palatino Linotype" w:eastAsia="Palatino Linotype" w:hAnsi="Palatino Linotype" w:cs="Palatino Linotype"/>
        </w:rPr>
        <w:t xml:space="preserve"> en su solicitud de acceso a la información pública señaló lo siguiente: </w:t>
      </w:r>
    </w:p>
    <w:p w14:paraId="1099AFEC" w14:textId="77777777" w:rsidR="00314A68" w:rsidRPr="008C3040" w:rsidRDefault="00494F6B">
      <w:pPr>
        <w:ind w:left="850" w:right="757"/>
        <w:jc w:val="both"/>
        <w:rPr>
          <w:rFonts w:ascii="Palatino Linotype" w:eastAsia="Palatino Linotype" w:hAnsi="Palatino Linotype" w:cs="Palatino Linotype"/>
          <w:i/>
          <w:sz w:val="32"/>
          <w:szCs w:val="32"/>
        </w:rPr>
      </w:pPr>
      <w:r w:rsidRPr="008C3040">
        <w:rPr>
          <w:rFonts w:ascii="Palatino Linotype" w:eastAsia="Palatino Linotype" w:hAnsi="Palatino Linotype" w:cs="Palatino Linotype"/>
          <w:i/>
          <w:sz w:val="22"/>
          <w:szCs w:val="22"/>
        </w:rPr>
        <w:t xml:space="preserve">“Instituto Nacional para la Educación de los Adultos (INEA) en el Estado de México 1. Solicito descripción detallada y copia del plan académico (o malla curricular o plan didáctico) que se imparte en los Centros Penitenciarios y de Reinserción Social del Estado de México, por nivel educativo: a. Primaria b. Secundaria 2. ¿Cuál es el número personas adscritas al INEA que participan en los servicios de alfabetización, educación primaria y secundaria que se imparte en los Centros Penitenciarios y de Reinserción Social del Estado de México? 3. ¿Cuál es el perfil educativo o características profesionales de las personas adscritas al INEA que participan en los servicios de alfabetización, educación primaria y secundaria que se imparte en los Centros Penitenciarios y de Reinserción Social del Estado de México? 4. ¿Qué tipo de capacitación específica reciben las personas adscritas al INEA que participan en los servicios de alfabetización, educación primaria y secundaria que se imparte en los Centros Penitenciarios y de Reinserción Social del Estado de México, para desarrollar sus labores con esta población específica? Describir detalladamente el o los programas de capacitación y, de ser posible, compartir alguna liga electrónica que permita la mejor comprensión de su contenido y características. 5. Número de personas (separado por género) en los Centros Penitenciarios y de Reinserción Social del Estado de México que se encuentran inscritos actualmente en los servicios de alfabetización, educación primaria y secundaria que imparte el INEA. 6. ¿El INEA cuenta con algún programa que fomente el hábito de la lectura en los centros penitenciarios? En caso de ser afirmativo, describa en que consiste el programa y qué nivel de eficacia se ha logrado en el último año. 7. ¿Todos los centros penitenciarios en el Estado de México cuentan con bibliotecas que apoyen los programas educativos que imparte el INEA? Servicios Educativos Integrados al Estado de México / Subsistema de Preparatoria Abierta 1. Solicito descripción detallada y copia del plan académico (o malla curricular, o plan didáctico) que se imparte en los Centros Penitenciarios y de Reinserción Social del Estado de México, así como los requisitos o procedimiento relacionado con la presentación de exámenes de preparatoria abierta con esta población. 2. Número de exámenes presentados en los Centros Penitenciarios y de Reinserción Social del Estado de México en los últimos tres años en los cuales se tenga registro y porcentaje de aprobación (separado por género) 3. ¿Todos los centros penitenciarios en el Estado de </w:t>
      </w:r>
      <w:r w:rsidRPr="008C3040">
        <w:rPr>
          <w:rFonts w:ascii="Palatino Linotype" w:eastAsia="Palatino Linotype" w:hAnsi="Palatino Linotype" w:cs="Palatino Linotype"/>
          <w:i/>
          <w:sz w:val="22"/>
          <w:szCs w:val="22"/>
        </w:rPr>
        <w:lastRenderedPageBreak/>
        <w:t>México cuentan con bibliotecas que apoyen los programas educativos que se imparten a nivel medio superior? 4. ¿Cuáles son las opciones educativas de nivel superior que tienen las personas que se encuentran en los centros penitenciarios del Estado de México al concluir su nivel medio superior?” (Sic)</w:t>
      </w:r>
    </w:p>
    <w:p w14:paraId="72FEB3F1" w14:textId="77777777" w:rsidR="00314A68" w:rsidRPr="008C3040" w:rsidRDefault="00314A68">
      <w:pPr>
        <w:spacing w:line="360" w:lineRule="auto"/>
        <w:ind w:right="49"/>
        <w:jc w:val="both"/>
        <w:rPr>
          <w:rFonts w:ascii="Palatino Linotype" w:eastAsia="Palatino Linotype" w:hAnsi="Palatino Linotype" w:cs="Palatino Linotype"/>
        </w:rPr>
      </w:pPr>
    </w:p>
    <w:p w14:paraId="304A2222" w14:textId="77777777" w:rsidR="00314A68" w:rsidRPr="008C3040" w:rsidRDefault="00494F6B">
      <w:pPr>
        <w:spacing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Acto seguido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se declaró incompetente para conocer de la información solicitada por el particular en términos del artículo 167 de la Ley de Transparencia y Acceso a la Información Pública del Estado de México y Municipios. </w:t>
      </w:r>
    </w:p>
    <w:p w14:paraId="270C3650" w14:textId="77777777" w:rsidR="00314A68" w:rsidRPr="008C3040" w:rsidRDefault="00314A68">
      <w:pPr>
        <w:spacing w:line="360" w:lineRule="auto"/>
        <w:ind w:right="49"/>
        <w:jc w:val="both"/>
        <w:rPr>
          <w:rFonts w:ascii="Palatino Linotype" w:eastAsia="Palatino Linotype" w:hAnsi="Palatino Linotype" w:cs="Palatino Linotype"/>
        </w:rPr>
      </w:pPr>
    </w:p>
    <w:p w14:paraId="1A8C6B3D" w14:textId="77777777" w:rsidR="00314A68" w:rsidRPr="008C3040" w:rsidRDefault="00494F6B">
      <w:pPr>
        <w:spacing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Inconforme con la respuesta, el particular presentó el medio de impugnación en estudio, en el que se duele de la incompetencia señalado por el ente recurrido, manifestando que en respuesta a una solicitud diversa la Secretaría de Seguridad Pública le informó que </w:t>
      </w:r>
      <w:r w:rsidRPr="008C3040">
        <w:rPr>
          <w:rFonts w:ascii="Palatino Linotype" w:eastAsia="Palatino Linotype" w:hAnsi="Palatino Linotype" w:cs="Palatino Linotype"/>
          <w:b/>
        </w:rPr>
        <w:t xml:space="preserve">EL SUJETO OBLIGADO </w:t>
      </w:r>
      <w:r w:rsidRPr="008C3040">
        <w:rPr>
          <w:rFonts w:ascii="Palatino Linotype" w:eastAsia="Palatino Linotype" w:hAnsi="Palatino Linotype" w:cs="Palatino Linotype"/>
        </w:rPr>
        <w:t xml:space="preserve">ofreció apoyo de Preparatoria Abierta para la aplicación de exámenes con personas privadas de la libertad en los centros penitenciarios y de reinserción social del Estado de México, por lo que solicitó que se hiciera una nueva búsqueda de la información solicitada. </w:t>
      </w:r>
    </w:p>
    <w:p w14:paraId="17FAC447" w14:textId="77777777" w:rsidR="00314A68" w:rsidRPr="008C3040" w:rsidRDefault="00314A68">
      <w:pPr>
        <w:spacing w:line="360" w:lineRule="auto"/>
        <w:ind w:right="49"/>
        <w:jc w:val="both"/>
        <w:rPr>
          <w:rFonts w:ascii="Palatino Linotype" w:eastAsia="Palatino Linotype" w:hAnsi="Palatino Linotype" w:cs="Palatino Linotype"/>
        </w:rPr>
      </w:pPr>
    </w:p>
    <w:p w14:paraId="0A48855A" w14:textId="77777777" w:rsidR="00314A68" w:rsidRPr="008C3040" w:rsidRDefault="00494F6B">
      <w:pPr>
        <w:spacing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En tal sentido es importante referir que en la solicitud de información realizada por el particular se aprecian requerimientos para dos Sujetos Obligados distintos, siendo el primero la Secretaría de Educación del Estado de México a través del Instituto Nacional para la Educación de los Adultos y el segundo Servicios Educativos Integrados al Estado de México a quien se le solicita dar respuesta a los requerimientos  que se aprecian a continuación mediante la Dirección de Preparatoria Abierta:</w:t>
      </w:r>
    </w:p>
    <w:p w14:paraId="1B3091F5" w14:textId="77777777" w:rsidR="00314A68" w:rsidRPr="008C3040" w:rsidRDefault="00314A68">
      <w:pPr>
        <w:ind w:left="850" w:right="757"/>
        <w:jc w:val="both"/>
        <w:rPr>
          <w:rFonts w:ascii="Palatino Linotype" w:eastAsia="Palatino Linotype" w:hAnsi="Palatino Linotype" w:cs="Palatino Linotype"/>
          <w:i/>
          <w:sz w:val="22"/>
          <w:szCs w:val="22"/>
        </w:rPr>
      </w:pPr>
    </w:p>
    <w:p w14:paraId="315C29B0" w14:textId="77777777" w:rsidR="00314A68" w:rsidRPr="008C3040" w:rsidRDefault="00494F6B">
      <w:pPr>
        <w:ind w:left="850" w:right="757"/>
        <w:jc w:val="both"/>
        <w:rPr>
          <w:rFonts w:ascii="Palatino Linotype" w:eastAsia="Palatino Linotype" w:hAnsi="Palatino Linotype" w:cs="Palatino Linotype"/>
        </w:rPr>
      </w:pPr>
      <w:r w:rsidRPr="008C3040">
        <w:rPr>
          <w:rFonts w:ascii="Palatino Linotype" w:eastAsia="Palatino Linotype" w:hAnsi="Palatino Linotype" w:cs="Palatino Linotype"/>
          <w:i/>
          <w:sz w:val="22"/>
          <w:szCs w:val="22"/>
        </w:rPr>
        <w:lastRenderedPageBreak/>
        <w:t>“Servicios Educativos Integrados al Estado de México / Subsistema de Preparatoria Abierta 1. Solicito descripción detallada y copia del plan académico (o malla curricular, o plan didáctico) que se imparte en los Centros Penitenciarios y de Reinserción Social del Estado de México, así como los requisitos o procedimiento relacionado con la presentación de exámenes de preparatoria abierta con esta población. 2. Número de exámenes presentados en los Centros Penitenciarios y de Reinserción Social del Estado de México en los últimos tres años en los cuales se tenga registro y porcentaje de aprobación (separado por género) 3. ¿Todos los centros penitenciarios en el Estado de México cuentan con bibliotecas que apoyen los programas educativos que se imparten a nivel medio superior? 4. ¿Cuáles son las opciones educativas de nivel superior que tienen las personas que se encuentran en los centros penitenciarios del Estado de México al concluir su nivel medio superior?” (Sic)</w:t>
      </w:r>
    </w:p>
    <w:p w14:paraId="37B81BEE" w14:textId="77777777" w:rsidR="00314A68" w:rsidRPr="008C3040" w:rsidRDefault="00314A68">
      <w:pPr>
        <w:spacing w:line="360" w:lineRule="auto"/>
        <w:ind w:right="49"/>
        <w:jc w:val="both"/>
        <w:rPr>
          <w:rFonts w:ascii="Palatino Linotype" w:eastAsia="Palatino Linotype" w:hAnsi="Palatino Linotype" w:cs="Palatino Linotype"/>
        </w:rPr>
      </w:pPr>
    </w:p>
    <w:p w14:paraId="2D144EE1" w14:textId="77777777" w:rsidR="00314A68" w:rsidRPr="008C3040" w:rsidRDefault="00494F6B">
      <w:pPr>
        <w:spacing w:line="360" w:lineRule="auto"/>
        <w:ind w:right="49"/>
        <w:jc w:val="both"/>
        <w:rPr>
          <w:rFonts w:ascii="Palatino Linotype" w:eastAsia="Palatino Linotype" w:hAnsi="Palatino Linotype" w:cs="Palatino Linotype"/>
          <w:b/>
        </w:rPr>
      </w:pPr>
      <w:r w:rsidRPr="008C3040">
        <w:rPr>
          <w:rFonts w:ascii="Palatino Linotype" w:eastAsia="Palatino Linotype" w:hAnsi="Palatino Linotype" w:cs="Palatino Linotype"/>
        </w:rPr>
        <w:t xml:space="preserve">Del precepto en cita se advierte que </w:t>
      </w:r>
      <w:r w:rsidRPr="008C3040">
        <w:rPr>
          <w:rFonts w:ascii="Palatino Linotype" w:eastAsia="Palatino Linotype" w:hAnsi="Palatino Linotype" w:cs="Palatino Linotype"/>
          <w:b/>
        </w:rPr>
        <w:t xml:space="preserve">EL RECURRENTE </w:t>
      </w:r>
      <w:r w:rsidRPr="008C3040">
        <w:rPr>
          <w:rFonts w:ascii="Palatino Linotype" w:eastAsia="Palatino Linotype" w:hAnsi="Palatino Linotype" w:cs="Palatino Linotype"/>
        </w:rPr>
        <w:t xml:space="preserve">solicitó información de dos autoridades distintas, siendo la segunda parte de la solicitud la que es requerida específicamente a Servicios Educativos Integrados al Estado de México, el ahora </w:t>
      </w:r>
      <w:r w:rsidRPr="008C3040">
        <w:rPr>
          <w:rFonts w:ascii="Palatino Linotype" w:eastAsia="Palatino Linotype" w:hAnsi="Palatino Linotype" w:cs="Palatino Linotype"/>
          <w:b/>
        </w:rPr>
        <w:t>SUJETO OBLIGADO.</w:t>
      </w:r>
    </w:p>
    <w:p w14:paraId="7F22EA45" w14:textId="77777777" w:rsidR="00314A68" w:rsidRPr="008C3040" w:rsidRDefault="00314A68">
      <w:pPr>
        <w:spacing w:line="360" w:lineRule="auto"/>
        <w:ind w:right="49"/>
        <w:jc w:val="both"/>
        <w:rPr>
          <w:rFonts w:ascii="Palatino Linotype" w:eastAsia="Palatino Linotype" w:hAnsi="Palatino Linotype" w:cs="Palatino Linotype"/>
          <w:b/>
        </w:rPr>
      </w:pPr>
    </w:p>
    <w:p w14:paraId="798265C7" w14:textId="77777777" w:rsidR="00314A68" w:rsidRPr="008C3040" w:rsidRDefault="00494F6B">
      <w:pPr>
        <w:spacing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Situación que se ve reflejada en la interposición del presente Recurso de Revisión, pues </w:t>
      </w:r>
      <w:r w:rsidRPr="008C3040">
        <w:rPr>
          <w:rFonts w:ascii="Palatino Linotype" w:eastAsia="Palatino Linotype" w:hAnsi="Palatino Linotype" w:cs="Palatino Linotype"/>
          <w:b/>
        </w:rPr>
        <w:t>EL RECURRENTE</w:t>
      </w:r>
      <w:r w:rsidRPr="008C3040">
        <w:rPr>
          <w:rFonts w:ascii="Palatino Linotype" w:eastAsia="Palatino Linotype" w:hAnsi="Palatino Linotype" w:cs="Palatino Linotype"/>
        </w:rPr>
        <w:t xml:space="preserve"> únicamente señala como acto impugnado lo referente a la segunda parte de la solicitud como se puede apreciar de la transcripción que a continuación se cita: </w:t>
      </w:r>
    </w:p>
    <w:p w14:paraId="1A87884B" w14:textId="77777777" w:rsidR="00314A68" w:rsidRPr="008C3040" w:rsidRDefault="00314A68">
      <w:pPr>
        <w:spacing w:line="360" w:lineRule="auto"/>
        <w:ind w:right="49"/>
        <w:jc w:val="both"/>
        <w:rPr>
          <w:rFonts w:ascii="Palatino Linotype" w:eastAsia="Palatino Linotype" w:hAnsi="Palatino Linotype" w:cs="Palatino Linotype"/>
        </w:rPr>
      </w:pPr>
    </w:p>
    <w:p w14:paraId="5C84689B" w14:textId="77777777" w:rsidR="00314A68" w:rsidRPr="008C3040" w:rsidRDefault="00494F6B">
      <w:pPr>
        <w:spacing w:line="360" w:lineRule="auto"/>
        <w:ind w:left="-57" w:right="-57"/>
        <w:jc w:val="both"/>
        <w:rPr>
          <w:rFonts w:ascii="Palatino Linotype" w:eastAsia="Palatino Linotype" w:hAnsi="Palatino Linotype" w:cs="Palatino Linotype"/>
          <w:b/>
        </w:rPr>
      </w:pPr>
      <w:r w:rsidRPr="008C3040">
        <w:rPr>
          <w:rFonts w:ascii="Palatino Linotype" w:eastAsia="Palatino Linotype" w:hAnsi="Palatino Linotype" w:cs="Palatino Linotype"/>
          <w:b/>
        </w:rPr>
        <w:t>Acto Impugnado:</w:t>
      </w:r>
      <w:r w:rsidRPr="008C3040">
        <w:rPr>
          <w:b/>
        </w:rPr>
        <w:t xml:space="preserve"> </w:t>
      </w:r>
    </w:p>
    <w:p w14:paraId="5EADE776" w14:textId="77777777" w:rsidR="00314A68" w:rsidRPr="008C3040" w:rsidRDefault="00494F6B">
      <w:pPr>
        <w:tabs>
          <w:tab w:val="left" w:pos="709"/>
        </w:tabs>
        <w:spacing w:before="66"/>
        <w:ind w:left="850" w:right="899"/>
        <w:jc w:val="both"/>
        <w:rPr>
          <w:rFonts w:ascii="Palatino Linotype" w:eastAsia="Palatino Linotype" w:hAnsi="Palatino Linotype" w:cs="Palatino Linotype"/>
        </w:rPr>
      </w:pPr>
      <w:r w:rsidRPr="008C3040">
        <w:rPr>
          <w:rFonts w:ascii="Palatino Linotype" w:eastAsia="Palatino Linotype" w:hAnsi="Palatino Linotype" w:cs="Palatino Linotype"/>
          <w:i/>
          <w:sz w:val="22"/>
          <w:szCs w:val="22"/>
        </w:rPr>
        <w:t xml:space="preserve">“Servicios Educativos Integrados al Estado de México / Subsistema de Preparatoria Abierta 1. Solicito descripción detallada y copia del plan académico (o malla curricular, o plan didáctico) que se imparte en los Centros Penitenciarios y de Reinserción Social del Estado de México, así como los requisitos o procedimiento relacionado con la presentación de exámenes de preparatoria abierta con esta </w:t>
      </w:r>
      <w:r w:rsidRPr="008C3040">
        <w:rPr>
          <w:rFonts w:ascii="Palatino Linotype" w:eastAsia="Palatino Linotype" w:hAnsi="Palatino Linotype" w:cs="Palatino Linotype"/>
          <w:i/>
          <w:sz w:val="22"/>
          <w:szCs w:val="22"/>
        </w:rPr>
        <w:lastRenderedPageBreak/>
        <w:t>población. 2. Número de exámenes presentados en los Centros Penitenciarios y de Reinserción Social del Estado de México en los últimos tres años en los cuales se tenga registro y porcentaje de aprobación (separado por género) 3. ¿Las personas privadas de su libertad en los Centros Penitenciarios y de Reinserción Social del Estado de México que participan en programas educativo-formativos y de capacitación laboral son acreedoras a algún beneficio respecto a disminuir el tiempo de pena impuesta por el delito cometido? En caso afirmativo, ¿Qué normatividad o reglamentación aplica para estos casos? 4. Si existen programas educativos dirigidos a personas con discapacidad. Describir en que consiste el programa. 5. ¿Los centros penitenciarios cuentan con alguna biblioteca? En caso de que la respuesta sea positiva. ¿Cuáles son los requisitos para que las personas privadas de la libertad tengan acceso a los libros? Solicitamos el número de libros existentes en cada biblioteca.”(sic)</w:t>
      </w:r>
    </w:p>
    <w:p w14:paraId="50957BF3" w14:textId="77777777" w:rsidR="00314A68" w:rsidRPr="008C3040" w:rsidRDefault="00314A68">
      <w:pPr>
        <w:spacing w:line="360" w:lineRule="auto"/>
        <w:ind w:right="49"/>
        <w:jc w:val="both"/>
        <w:rPr>
          <w:rFonts w:ascii="Palatino Linotype" w:eastAsia="Palatino Linotype" w:hAnsi="Palatino Linotype" w:cs="Palatino Linotype"/>
        </w:rPr>
      </w:pPr>
    </w:p>
    <w:p w14:paraId="11C0EA34" w14:textId="77777777" w:rsidR="00314A68" w:rsidRPr="008C3040" w:rsidRDefault="00494F6B">
      <w:pPr>
        <w:spacing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Por lo que la primera parte de la solicitud de información no forma parte de la litis del presente recurso y al no existir pronunciamiento por parte del particular sobre dichos requerimientos, este Órgano Garante advierte que la inconformidad del </w:t>
      </w:r>
      <w:r w:rsidRPr="008C3040">
        <w:rPr>
          <w:rFonts w:ascii="Palatino Linotype" w:eastAsia="Palatino Linotype" w:hAnsi="Palatino Linotype" w:cs="Palatino Linotype"/>
          <w:b/>
        </w:rPr>
        <w:t>RECURRENTE</w:t>
      </w:r>
      <w:r w:rsidRPr="008C3040">
        <w:rPr>
          <w:rFonts w:ascii="Palatino Linotype" w:eastAsia="Palatino Linotype" w:hAnsi="Palatino Linotype" w:cs="Palatino Linotype"/>
        </w:rPr>
        <w:t>,</w:t>
      </w:r>
      <w:r w:rsidRPr="008C3040">
        <w:rPr>
          <w:rFonts w:ascii="Palatino Linotype" w:eastAsia="Palatino Linotype" w:hAnsi="Palatino Linotype" w:cs="Palatino Linotype"/>
          <w:b/>
        </w:rPr>
        <w:t xml:space="preserve"> </w:t>
      </w:r>
      <w:r w:rsidRPr="008C3040">
        <w:rPr>
          <w:rFonts w:ascii="Palatino Linotype" w:eastAsia="Palatino Linotype" w:hAnsi="Palatino Linotype" w:cs="Palatino Linotype"/>
        </w:rPr>
        <w:t xml:space="preserve">únicamente versa sobre la parte de la solicitud señalada de forma expresa en el acto impugnado. </w:t>
      </w:r>
    </w:p>
    <w:p w14:paraId="30E586F6"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Es así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14:paraId="70775C70" w14:textId="77777777" w:rsidR="00314A68" w:rsidRPr="008C3040" w:rsidRDefault="00494F6B">
      <w:pPr>
        <w:spacing w:before="280" w:after="28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2E22230F" w14:textId="77777777" w:rsidR="00314A68" w:rsidRPr="008C3040" w:rsidRDefault="00494F6B">
      <w:pPr>
        <w:tabs>
          <w:tab w:val="left" w:pos="851"/>
        </w:tabs>
        <w:ind w:left="851" w:right="616"/>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b/>
          <w:i/>
          <w:sz w:val="22"/>
          <w:szCs w:val="22"/>
        </w:rPr>
        <w:lastRenderedPageBreak/>
        <w:t xml:space="preserve">“ACTOS CONSENTIDOS. SON LOS QUE NO SE IMPUGNAN MEDIANTE EL RECURSO IDÓNEO. </w:t>
      </w:r>
      <w:r w:rsidRPr="008C3040">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EA7BF5A" w14:textId="77777777" w:rsidR="00314A68" w:rsidRPr="008C3040" w:rsidRDefault="00494F6B">
      <w:pPr>
        <w:spacing w:before="280" w:after="28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De la interpretación del criterio antes citado, se advierte que cuando el particular impugnó la respuesta del </w:t>
      </w:r>
      <w:r w:rsidRPr="008C3040">
        <w:rPr>
          <w:rFonts w:ascii="Palatino Linotype" w:eastAsia="Palatino Linotype" w:hAnsi="Palatino Linotype" w:cs="Palatino Linotype"/>
          <w:b/>
        </w:rPr>
        <w:t>SUJETO OBLIGADO</w:t>
      </w:r>
      <w:r w:rsidRPr="008C3040">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sidRPr="008C3040">
        <w:rPr>
          <w:rFonts w:ascii="Palatino Linotype" w:eastAsia="Palatino Linotype" w:hAnsi="Palatino Linotype" w:cs="Palatino Linotype"/>
          <w:b/>
        </w:rPr>
        <w:t>EL RECURRENTE</w:t>
      </w:r>
      <w:r w:rsidRPr="008C3040">
        <w:rPr>
          <w:rFonts w:ascii="Palatino Linotype" w:eastAsia="Palatino Linotype" w:hAnsi="Palatino Linotype" w:cs="Palatino Linotype"/>
        </w:rPr>
        <w:t xml:space="preserve"> está conforme con la respuesta proporcionada por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al no contravenir la misma. </w:t>
      </w:r>
    </w:p>
    <w:p w14:paraId="3464D5C9" w14:textId="77777777" w:rsidR="00314A68" w:rsidRPr="008C3040" w:rsidRDefault="00494F6B">
      <w:pPr>
        <w:spacing w:before="280" w:after="28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1B6A3DB0" w14:textId="77777777" w:rsidR="00314A68" w:rsidRPr="008C3040" w:rsidRDefault="00494F6B">
      <w:pPr>
        <w:tabs>
          <w:tab w:val="left" w:pos="7937"/>
          <w:tab w:val="left" w:pos="8222"/>
        </w:tabs>
        <w:ind w:left="851" w:right="901"/>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b/>
          <w:i/>
          <w:sz w:val="22"/>
          <w:szCs w:val="22"/>
        </w:rPr>
        <w:t xml:space="preserve">“REVISIÓN EN AMPARO. LOS RESOLUTIVOS NO COMBATIDOS DEBEN DECLARARSE FIRMES. </w:t>
      </w:r>
      <w:r w:rsidRPr="008C3040">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5CD4F38" w14:textId="77777777" w:rsidR="00314A68" w:rsidRPr="008C3040" w:rsidRDefault="00314A68">
      <w:pPr>
        <w:tabs>
          <w:tab w:val="left" w:pos="7937"/>
          <w:tab w:val="left" w:pos="8222"/>
        </w:tabs>
        <w:ind w:left="851" w:right="901"/>
        <w:jc w:val="both"/>
        <w:rPr>
          <w:rFonts w:ascii="Palatino Linotype" w:eastAsia="Palatino Linotype" w:hAnsi="Palatino Linotype" w:cs="Palatino Linotype"/>
          <w:i/>
          <w:sz w:val="22"/>
          <w:szCs w:val="22"/>
        </w:rPr>
      </w:pPr>
    </w:p>
    <w:p w14:paraId="4064FFB8" w14:textId="77777777" w:rsidR="00314A68" w:rsidRPr="008C3040" w:rsidRDefault="00314A68">
      <w:pPr>
        <w:tabs>
          <w:tab w:val="left" w:pos="7937"/>
          <w:tab w:val="left" w:pos="8222"/>
        </w:tabs>
        <w:ind w:left="851" w:right="901"/>
        <w:jc w:val="both"/>
        <w:rPr>
          <w:rFonts w:ascii="Palatino Linotype" w:eastAsia="Palatino Linotype" w:hAnsi="Palatino Linotype" w:cs="Palatino Linotype"/>
          <w:i/>
          <w:sz w:val="22"/>
          <w:szCs w:val="22"/>
        </w:rPr>
      </w:pPr>
    </w:p>
    <w:p w14:paraId="7DB310A7"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De manera que lo referente a la información solicitada a la Secretaría de Educación Pública a través del Instituto Nacional para la Educación de los Adultos (INEA) en el </w:t>
      </w:r>
      <w:r w:rsidRPr="008C3040">
        <w:rPr>
          <w:rFonts w:ascii="Palatino Linotype" w:eastAsia="Palatino Linotype" w:hAnsi="Palatino Linotype" w:cs="Palatino Linotype"/>
        </w:rPr>
        <w:lastRenderedPageBreak/>
        <w:t>Estado de México tendiente a conocer:</w:t>
      </w:r>
    </w:p>
    <w:p w14:paraId="5992DC90" w14:textId="77777777" w:rsidR="00314A68" w:rsidRPr="008C3040" w:rsidRDefault="00494F6B">
      <w:pPr>
        <w:widowControl w:val="0"/>
        <w:spacing w:before="280" w:after="280"/>
        <w:ind w:left="850" w:right="899"/>
        <w:jc w:val="both"/>
        <w:rPr>
          <w:rFonts w:ascii="Palatino Linotype" w:eastAsia="Palatino Linotype" w:hAnsi="Palatino Linotype" w:cs="Palatino Linotype"/>
          <w:i/>
          <w:sz w:val="32"/>
          <w:szCs w:val="32"/>
        </w:rPr>
      </w:pPr>
      <w:r w:rsidRPr="008C3040">
        <w:rPr>
          <w:rFonts w:ascii="Palatino Linotype" w:eastAsia="Palatino Linotype" w:hAnsi="Palatino Linotype" w:cs="Palatino Linotype"/>
          <w:i/>
          <w:sz w:val="22"/>
          <w:szCs w:val="22"/>
        </w:rPr>
        <w:t xml:space="preserve"> 1. Solicito descripción detallada y copia del plan académico (o malla curricular o plan didáctico) que se imparte en los Centros Penitenciarios y de Reinserción Social del Estado de México, por nivel educativo: a. Primaria b. Secundaria 2. ¿Cuál es el número personas adscritas al INEA que participan en los servicios de alfabetización, educación primaria y secundaria que se imparte en los Centros Penitenciarios y de Reinserción Social del Estado de México? 3. ¿Cuál es el perfil educativo o características profesionales de las personas adscritas al INEA que participan en los servicios de alfabetización, educación primaria y secundaria que se imparte en los Centros Penitenciarios y de Reinserción Social del Estado de México? 4. ¿Qué tipo de capacitación específica reciben las personas adscritas al INEA que participan en los servicios de alfabetización, educación primaria y secundaria que se imparte en los Centros Penitenciarios y de Reinserción Social del Estado de México, para desarrollar sus labores con esta población específica? Describir detalladamente el o los programas de capacitación y, de ser posible, compartir alguna liga electrónica que permita la mejor comprensión de su contenido y características. 5. Número de personas (separado por género) en los Centros Penitenciarios y de Reinserción Social del Estado de México que se encuentran inscritos actualmente en los servicios de alfabetización, educación primaria y secundaria que imparte el INEA. 6. ¿El INEA cuenta con algún programa que fomente el hábito de la lectura en los centros penitenciarios? En caso de ser afirmativo, describa en que consiste el programa y qué nivel de eficacia se ha logrado en el último año. 7. ¿Todos los centros penitenciarios en el Estado de México cuentan con bibliotecas que apoyen los programas educativos que imparte el INEA? </w:t>
      </w:r>
    </w:p>
    <w:p w14:paraId="722470ED"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Se consideran actos consentidos y, en consecuencia, este Órgano Resolutor no entrará al estudio del mismo por las razones hasta aquí expuestas. </w:t>
      </w:r>
    </w:p>
    <w:p w14:paraId="7B0D3485"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Una vez hecha la precisión anterior, es importante recordar que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en su respuesta primigenia a la solicitud de información se declaró incompetente orientando al particular para que dirigiese su petición a la Secretaría de Educación Pública del Estado de México, indicando para tales efectos, los medios de </w:t>
      </w:r>
      <w:r w:rsidRPr="008C3040">
        <w:rPr>
          <w:rFonts w:ascii="Palatino Linotype" w:eastAsia="Palatino Linotype" w:hAnsi="Palatino Linotype" w:cs="Palatino Linotype"/>
        </w:rPr>
        <w:lastRenderedPageBreak/>
        <w:t xml:space="preserve">contacto de la Unidad de Transparencia. </w:t>
      </w:r>
    </w:p>
    <w:p w14:paraId="44A4DF68"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Motivo por cual </w:t>
      </w:r>
      <w:r w:rsidRPr="008C3040">
        <w:rPr>
          <w:rFonts w:ascii="Palatino Linotype" w:eastAsia="Palatino Linotype" w:hAnsi="Palatino Linotype" w:cs="Palatino Linotype"/>
          <w:b/>
        </w:rPr>
        <w:t>EL RECURRENTE</w:t>
      </w:r>
      <w:r w:rsidRPr="008C3040">
        <w:rPr>
          <w:rFonts w:ascii="Palatino Linotype" w:eastAsia="Palatino Linotype" w:hAnsi="Palatino Linotype" w:cs="Palatino Linotype"/>
        </w:rPr>
        <w:t xml:space="preserve"> manifiesta su inconformidad, señalando que en respuesta a una solicitud de información diversa la Secretaría de Seguridad del Estado de México indicó que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ofreció apoyo de preparatoria Abierta para la aplicación de exámenes a personas privadas de su libertad en centros penitenciarios y de reinserción social del Estado de México. </w:t>
      </w:r>
    </w:p>
    <w:p w14:paraId="041B73D3"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Al escrito de interposición de su Recurso de Revisión adjuntó el documento denominado  </w:t>
      </w:r>
      <w:r w:rsidRPr="008C3040">
        <w:rPr>
          <w:rFonts w:ascii="Palatino Linotype" w:eastAsia="Palatino Linotype" w:hAnsi="Palatino Linotype" w:cs="Palatino Linotype"/>
          <w:i/>
        </w:rPr>
        <w:t xml:space="preserve">0572 RESPUESTA.pdf </w:t>
      </w:r>
      <w:r w:rsidRPr="008C3040">
        <w:rPr>
          <w:rFonts w:ascii="Palatino Linotype" w:eastAsia="Palatino Linotype" w:hAnsi="Palatino Linotype" w:cs="Palatino Linotype"/>
        </w:rPr>
        <w:t xml:space="preserve">mediante el cual se aprecia la respuesta otorgada por la Secretaría de Seguridad que señala </w:t>
      </w:r>
      <w:r w:rsidRPr="008C3040">
        <w:rPr>
          <w:rFonts w:ascii="Palatino Linotype" w:eastAsia="Palatino Linotype" w:hAnsi="Palatino Linotype" w:cs="Palatino Linotype"/>
          <w:b/>
        </w:rPr>
        <w:t>EL RECURRENTE</w:t>
      </w:r>
      <w:r w:rsidRPr="008C3040">
        <w:rPr>
          <w:rFonts w:ascii="Palatino Linotype" w:eastAsia="Palatino Linotype" w:hAnsi="Palatino Linotype" w:cs="Palatino Linotype"/>
        </w:rPr>
        <w:t xml:space="preserve"> en donde el Titular de la Unidad de Transparencia de dicha autoridad se pronuncia sobre diversos requerimientos, señalando en el relativo a “</w:t>
      </w:r>
      <w:r w:rsidRPr="008C3040">
        <w:rPr>
          <w:rFonts w:ascii="Palatino Linotype" w:eastAsia="Palatino Linotype" w:hAnsi="Palatino Linotype" w:cs="Palatino Linotype"/>
          <w:i/>
        </w:rPr>
        <w:t xml:space="preserve">Número de convenios y nombre de las instituciones con las que mantienen convenios de colaboración a nivel educativo” </w:t>
      </w:r>
      <w:r w:rsidRPr="008C3040">
        <w:rPr>
          <w:rFonts w:ascii="Palatino Linotype" w:eastAsia="Palatino Linotype" w:hAnsi="Palatino Linotype" w:cs="Palatino Linotype"/>
        </w:rPr>
        <w:t>que existe un convenio firmado con Servicios Educativos Integrados al Estado de México para que se puede ofrecer dentro de los centros educación preparatoria. Se inserta captura de pantalla del fragmento referido para mayor certeza:</w:t>
      </w:r>
    </w:p>
    <w:p w14:paraId="2C370D5E"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noProof/>
        </w:rPr>
        <w:drawing>
          <wp:inline distT="114300" distB="114300" distL="114300" distR="114300" wp14:anchorId="3197AC44" wp14:editId="22B867D3">
            <wp:extent cx="5743575" cy="1695450"/>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43575" cy="1695450"/>
                    </a:xfrm>
                    <a:prstGeom prst="rect">
                      <a:avLst/>
                    </a:prstGeom>
                    <a:ln/>
                  </pic:spPr>
                </pic:pic>
              </a:graphicData>
            </a:graphic>
          </wp:inline>
        </w:drawing>
      </w:r>
    </w:p>
    <w:p w14:paraId="57088CF7"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lastRenderedPageBreak/>
        <w:t xml:space="preserve">Así se advierte que la información solicitada por </w:t>
      </w:r>
      <w:r w:rsidRPr="008C3040">
        <w:rPr>
          <w:rFonts w:ascii="Palatino Linotype" w:eastAsia="Palatino Linotype" w:hAnsi="Palatino Linotype" w:cs="Palatino Linotype"/>
          <w:b/>
        </w:rPr>
        <w:t>EL RECURRENTE</w:t>
      </w:r>
      <w:r w:rsidRPr="008C3040">
        <w:rPr>
          <w:rFonts w:ascii="Palatino Linotype" w:eastAsia="Palatino Linotype" w:hAnsi="Palatino Linotype" w:cs="Palatino Linotype"/>
        </w:rPr>
        <w:t xml:space="preserve"> deriva de un convenio celebrado entre entes públicos, que en el caso que nos ocupa son EL </w:t>
      </w:r>
      <w:r w:rsidRPr="008C3040">
        <w:rPr>
          <w:rFonts w:ascii="Palatino Linotype" w:eastAsia="Palatino Linotype" w:hAnsi="Palatino Linotype" w:cs="Palatino Linotype"/>
          <w:b/>
        </w:rPr>
        <w:t>SUJETO OBLIGADO</w:t>
      </w:r>
      <w:r w:rsidRPr="008C3040">
        <w:rPr>
          <w:rFonts w:ascii="Palatino Linotype" w:eastAsia="Palatino Linotype" w:hAnsi="Palatino Linotype" w:cs="Palatino Linotype"/>
        </w:rPr>
        <w:t xml:space="preserve"> y la Secretaría de Seguridad del Estado de México. </w:t>
      </w:r>
    </w:p>
    <w:p w14:paraId="7E14B3F2"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De tal manera que dicha información corresponde a las obligaciones comunes de los Sujetos Obligados en materia de Transparencia que deberán ser publicadas y actualizadas en términos de lo establecido por el artículo 92 fracción XXXVII, el cual a la letra dice: </w:t>
      </w:r>
    </w:p>
    <w:p w14:paraId="7B485168"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b/>
          <w:i/>
          <w:sz w:val="22"/>
          <w:szCs w:val="22"/>
        </w:rPr>
        <w:t>“Artículo 92.</w:t>
      </w:r>
      <w:r w:rsidRPr="008C3040">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06804C9" w14:textId="77777777" w:rsidR="00314A68" w:rsidRPr="008C3040" w:rsidRDefault="00494F6B">
      <w:pPr>
        <w:widowControl w:val="0"/>
        <w:tabs>
          <w:tab w:val="left" w:pos="1701"/>
          <w:tab w:val="left" w:pos="1843"/>
        </w:tabs>
        <w:ind w:left="850" w:right="899"/>
        <w:jc w:val="both"/>
        <w:rPr>
          <w:rFonts w:ascii="Palatino Linotype" w:eastAsia="Palatino Linotype" w:hAnsi="Palatino Linotype" w:cs="Palatino Linotype"/>
          <w:b/>
          <w:i/>
          <w:sz w:val="22"/>
          <w:szCs w:val="22"/>
        </w:rPr>
      </w:pPr>
      <w:r w:rsidRPr="008C3040">
        <w:rPr>
          <w:rFonts w:ascii="Palatino Linotype" w:eastAsia="Palatino Linotype" w:hAnsi="Palatino Linotype" w:cs="Palatino Linotype"/>
          <w:b/>
          <w:i/>
          <w:sz w:val="22"/>
          <w:szCs w:val="22"/>
        </w:rPr>
        <w:t>XXXVII. Los convenios de coordinación, de concertación, entre otros, que suscriban con otros entes de los sectores público, social y privado;”</w:t>
      </w:r>
    </w:p>
    <w:p w14:paraId="518C4C30" w14:textId="77777777" w:rsidR="00314A68" w:rsidRPr="008C3040" w:rsidRDefault="00494F6B">
      <w:pPr>
        <w:widowControl w:val="0"/>
        <w:tabs>
          <w:tab w:val="left" w:pos="1701"/>
          <w:tab w:val="left" w:pos="1843"/>
        </w:tabs>
        <w:ind w:left="850" w:right="899"/>
        <w:jc w:val="both"/>
        <w:rPr>
          <w:rFonts w:ascii="Palatino Linotype" w:eastAsia="Palatino Linotype" w:hAnsi="Palatino Linotype" w:cs="Palatino Linotype"/>
          <w:b/>
          <w:i/>
          <w:sz w:val="22"/>
          <w:szCs w:val="22"/>
        </w:rPr>
      </w:pPr>
      <w:r w:rsidRPr="008C3040">
        <w:rPr>
          <w:rFonts w:ascii="Palatino Linotype" w:eastAsia="Palatino Linotype" w:hAnsi="Palatino Linotype" w:cs="Palatino Linotype"/>
          <w:b/>
          <w:i/>
          <w:sz w:val="22"/>
          <w:szCs w:val="22"/>
        </w:rPr>
        <w:t>(énfasis añadido)</w:t>
      </w:r>
    </w:p>
    <w:p w14:paraId="0E53BDFC"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Del precepto en cita se puede apreciar que los Sujetos Obligados deberán mantener disponible y actualizada la información referente a los convenios que celebren con otros entes del sector público, por lo que este Instituto hizo una inspección en el portal de IPOMEX</w:t>
      </w:r>
      <w:r w:rsidRPr="008C3040">
        <w:rPr>
          <w:rFonts w:ascii="Palatino Linotype" w:eastAsia="Palatino Linotype" w:hAnsi="Palatino Linotype" w:cs="Palatino Linotype"/>
          <w:vertAlign w:val="superscript"/>
        </w:rPr>
        <w:footnoteReference w:id="1"/>
      </w:r>
      <w:r w:rsidRPr="008C3040">
        <w:rPr>
          <w:rFonts w:ascii="Palatino Linotype" w:eastAsia="Palatino Linotype" w:hAnsi="Palatino Linotype" w:cs="Palatino Linotype"/>
        </w:rPr>
        <w:t xml:space="preserve"> del </w:t>
      </w:r>
      <w:r w:rsidRPr="008C3040">
        <w:rPr>
          <w:rFonts w:ascii="Palatino Linotype" w:eastAsia="Palatino Linotype" w:hAnsi="Palatino Linotype" w:cs="Palatino Linotype"/>
          <w:b/>
        </w:rPr>
        <w:t>SUJETO OBLIGADO</w:t>
      </w:r>
      <w:r w:rsidRPr="008C3040">
        <w:rPr>
          <w:rFonts w:ascii="Palatino Linotype" w:eastAsia="Palatino Linotype" w:hAnsi="Palatino Linotype" w:cs="Palatino Linotype"/>
        </w:rPr>
        <w:t>, encontrando lo siguiente:</w:t>
      </w:r>
    </w:p>
    <w:p w14:paraId="3DAC1948" w14:textId="77777777" w:rsidR="00314A68" w:rsidRPr="008C3040" w:rsidRDefault="00494F6B">
      <w:pPr>
        <w:widowControl w:val="0"/>
        <w:tabs>
          <w:tab w:val="left" w:pos="1701"/>
          <w:tab w:val="left" w:pos="1843"/>
        </w:tabs>
        <w:spacing w:before="360" w:after="240" w:line="360" w:lineRule="auto"/>
        <w:jc w:val="center"/>
        <w:rPr>
          <w:rFonts w:ascii="Palatino Linotype" w:eastAsia="Palatino Linotype" w:hAnsi="Palatino Linotype" w:cs="Palatino Linotype"/>
        </w:rPr>
      </w:pPr>
      <w:r w:rsidRPr="008C3040">
        <w:rPr>
          <w:rFonts w:ascii="Palatino Linotype" w:eastAsia="Palatino Linotype" w:hAnsi="Palatino Linotype" w:cs="Palatino Linotype"/>
          <w:noProof/>
        </w:rPr>
        <w:lastRenderedPageBreak/>
        <w:drawing>
          <wp:inline distT="114300" distB="114300" distL="114300" distR="114300" wp14:anchorId="1773C932" wp14:editId="4FFA37D7">
            <wp:extent cx="4142423" cy="1044164"/>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142423" cy="1044164"/>
                    </a:xfrm>
                    <a:prstGeom prst="rect">
                      <a:avLst/>
                    </a:prstGeom>
                    <a:ln/>
                  </pic:spPr>
                </pic:pic>
              </a:graphicData>
            </a:graphic>
          </wp:inline>
        </w:drawing>
      </w:r>
    </w:p>
    <w:p w14:paraId="0E52A37F" w14:textId="77777777" w:rsidR="00314A68" w:rsidRPr="008C3040" w:rsidRDefault="00494F6B">
      <w:pPr>
        <w:widowControl w:val="0"/>
        <w:tabs>
          <w:tab w:val="left" w:pos="1701"/>
          <w:tab w:val="left" w:pos="1843"/>
        </w:tabs>
        <w:spacing w:before="360" w:after="240" w:line="360" w:lineRule="auto"/>
        <w:jc w:val="center"/>
        <w:rPr>
          <w:rFonts w:ascii="Palatino Linotype" w:eastAsia="Palatino Linotype" w:hAnsi="Palatino Linotype" w:cs="Palatino Linotype"/>
        </w:rPr>
      </w:pPr>
      <w:r w:rsidRPr="008C3040">
        <w:rPr>
          <w:rFonts w:ascii="Palatino Linotype" w:eastAsia="Palatino Linotype" w:hAnsi="Palatino Linotype" w:cs="Palatino Linotype"/>
          <w:noProof/>
        </w:rPr>
        <w:drawing>
          <wp:inline distT="114300" distB="114300" distL="114300" distR="114300" wp14:anchorId="4D3D012E" wp14:editId="386325E4">
            <wp:extent cx="5362575" cy="1559560"/>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b="74092"/>
                    <a:stretch>
                      <a:fillRect/>
                    </a:stretch>
                  </pic:blipFill>
                  <pic:spPr>
                    <a:xfrm>
                      <a:off x="0" y="0"/>
                      <a:ext cx="5362575" cy="1559560"/>
                    </a:xfrm>
                    <a:prstGeom prst="rect">
                      <a:avLst/>
                    </a:prstGeom>
                    <a:ln/>
                  </pic:spPr>
                </pic:pic>
              </a:graphicData>
            </a:graphic>
          </wp:inline>
        </w:drawing>
      </w:r>
    </w:p>
    <w:p w14:paraId="1356E56E" w14:textId="77777777" w:rsidR="00314A68" w:rsidRPr="008C3040" w:rsidRDefault="00494F6B">
      <w:pPr>
        <w:widowControl w:val="0"/>
        <w:tabs>
          <w:tab w:val="left" w:pos="1701"/>
          <w:tab w:val="left" w:pos="1843"/>
        </w:tabs>
        <w:spacing w:before="360" w:after="240" w:line="360" w:lineRule="auto"/>
        <w:jc w:val="center"/>
        <w:rPr>
          <w:rFonts w:ascii="Palatino Linotype" w:eastAsia="Palatino Linotype" w:hAnsi="Palatino Linotype" w:cs="Palatino Linotype"/>
        </w:rPr>
      </w:pPr>
      <w:r w:rsidRPr="008C3040">
        <w:rPr>
          <w:rFonts w:ascii="Palatino Linotype" w:eastAsia="Palatino Linotype" w:hAnsi="Palatino Linotype" w:cs="Palatino Linotype"/>
          <w:noProof/>
        </w:rPr>
        <w:lastRenderedPageBreak/>
        <w:drawing>
          <wp:inline distT="114300" distB="114300" distL="114300" distR="114300" wp14:anchorId="4EB1700C" wp14:editId="08245C7F">
            <wp:extent cx="5362575" cy="4384040"/>
            <wp:effectExtent l="0" t="0" r="0" b="0"/>
            <wp:docPr id="6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t="27172"/>
                    <a:stretch>
                      <a:fillRect/>
                    </a:stretch>
                  </pic:blipFill>
                  <pic:spPr>
                    <a:xfrm>
                      <a:off x="0" y="0"/>
                      <a:ext cx="5362575" cy="4384040"/>
                    </a:xfrm>
                    <a:prstGeom prst="rect">
                      <a:avLst/>
                    </a:prstGeom>
                    <a:ln/>
                  </pic:spPr>
                </pic:pic>
              </a:graphicData>
            </a:graphic>
          </wp:inline>
        </w:drawing>
      </w:r>
    </w:p>
    <w:p w14:paraId="07AC5979"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De las imágenes insertas, se desprende que en el apartado referente a los Convenios suscritos entre entes públicos del ejercicio 2020,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firmó el convenio cuyo objetivo es dar continuidad a través de oficinas regionales para que los Adolescentes en conflicto con la ley culminen su preparación académica, así pues, se advierte que en efecto el ente recurrido suscribe convenios de colaboración de la naturaleza referida por el particular. </w:t>
      </w:r>
    </w:p>
    <w:p w14:paraId="79F12662"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Aunado a lo anterior el Reglamento Interior de Servicios Educativos Integrados al </w:t>
      </w:r>
      <w:r w:rsidRPr="008C3040">
        <w:rPr>
          <w:rFonts w:ascii="Palatino Linotype" w:eastAsia="Palatino Linotype" w:hAnsi="Palatino Linotype" w:cs="Palatino Linotype"/>
        </w:rPr>
        <w:lastRenderedPageBreak/>
        <w:t>Estado de México en su artículo 15 señala que el Director General se auxiliará de diversas unidades administrativas para el desempeño de sus funciones de las cuales se resalta la Coordinación Académica y de Operación Educativa contemplada en la fracción primera:</w:t>
      </w:r>
    </w:p>
    <w:p w14:paraId="335A7CFB"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w:t>
      </w:r>
      <w:r w:rsidRPr="008C3040">
        <w:rPr>
          <w:rFonts w:ascii="Palatino Linotype" w:eastAsia="Palatino Linotype" w:hAnsi="Palatino Linotype" w:cs="Palatino Linotype"/>
          <w:b/>
          <w:i/>
          <w:sz w:val="22"/>
          <w:szCs w:val="22"/>
        </w:rPr>
        <w:t>Artículo 15.-</w:t>
      </w:r>
      <w:r w:rsidRPr="008C3040">
        <w:rPr>
          <w:rFonts w:ascii="Palatino Linotype" w:eastAsia="Palatino Linotype" w:hAnsi="Palatino Linotype" w:cs="Palatino Linotype"/>
          <w:i/>
          <w:sz w:val="22"/>
          <w:szCs w:val="22"/>
        </w:rPr>
        <w:t xml:space="preserve"> Para el estudio, planeación y despacho de los asuntos de su competencia, así como para atender las funciones de control y evaluación que le corresponden, el Director General se auxiliará de las unidades administrativas básicas siguientes: </w:t>
      </w:r>
    </w:p>
    <w:p w14:paraId="31797AEE"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b/>
          <w:i/>
          <w:sz w:val="22"/>
          <w:szCs w:val="22"/>
        </w:rPr>
      </w:pPr>
      <w:r w:rsidRPr="008C3040">
        <w:rPr>
          <w:rFonts w:ascii="Palatino Linotype" w:eastAsia="Palatino Linotype" w:hAnsi="Palatino Linotype" w:cs="Palatino Linotype"/>
          <w:b/>
          <w:i/>
          <w:sz w:val="22"/>
          <w:szCs w:val="22"/>
        </w:rPr>
        <w:t xml:space="preserve">I. Coordinación Académica y de Operación Educativa. </w:t>
      </w:r>
    </w:p>
    <w:p w14:paraId="1C6DDCD2"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II. Coordinación de Administración y Finanzas; </w:t>
      </w:r>
    </w:p>
    <w:p w14:paraId="3DBD2E65"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III.- Dirección de Planeación y Evaluación; </w:t>
      </w:r>
    </w:p>
    <w:p w14:paraId="1DA9A4D2"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IV. Dirección de Educación Superior; </w:t>
      </w:r>
    </w:p>
    <w:p w14:paraId="1024D4BF"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V. Derogada. </w:t>
      </w:r>
    </w:p>
    <w:p w14:paraId="70026FA9"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VI. Dirección de Educación Elemental; </w:t>
      </w:r>
    </w:p>
    <w:p w14:paraId="2882A327"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VII. Dirección de Educación Secundaria y Servicios de Apoyo; </w:t>
      </w:r>
    </w:p>
    <w:p w14:paraId="36B9D347"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VIII. Dirección de Preparatoria Abierta; </w:t>
      </w:r>
    </w:p>
    <w:p w14:paraId="11EB28E8"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IX. Dirección de Servicios Regionalizados; </w:t>
      </w:r>
    </w:p>
    <w:p w14:paraId="058D0528"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X. Dirección de Instalaciones Educativas; </w:t>
      </w:r>
    </w:p>
    <w:p w14:paraId="0E0B7DD7"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XI. Dirección de Informática y Telecomunicaciones; </w:t>
      </w:r>
    </w:p>
    <w:p w14:paraId="69E75E52"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lastRenderedPageBreak/>
        <w:t xml:space="preserve">XII. Dirección de Administración y Desarrollo de Personal; </w:t>
      </w:r>
    </w:p>
    <w:p w14:paraId="6C1A58FC"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XIII. Dirección de Recursos Materiales y Financieros; </w:t>
      </w:r>
    </w:p>
    <w:p w14:paraId="49D4BCA6" w14:textId="77777777" w:rsidR="00314A68" w:rsidRPr="008C3040" w:rsidRDefault="00494F6B">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XIV. Unidad de Asuntos Jurídicos; </w:t>
      </w:r>
    </w:p>
    <w:p w14:paraId="015604F3" w14:textId="77777777" w:rsidR="00314A68" w:rsidRPr="008C3040" w:rsidRDefault="00494F6B">
      <w:pPr>
        <w:widowControl w:val="0"/>
        <w:tabs>
          <w:tab w:val="left" w:pos="1701"/>
          <w:tab w:val="left" w:pos="1843"/>
        </w:tabs>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XIV Bis. Unidad de Apoyo al Servicio Profesional Docente; y XV. Órgano Interno de Control.” </w:t>
      </w:r>
    </w:p>
    <w:p w14:paraId="5C088D2E" w14:textId="77777777" w:rsidR="00314A68" w:rsidRPr="008C3040" w:rsidRDefault="00494F6B">
      <w:pPr>
        <w:widowControl w:val="0"/>
        <w:tabs>
          <w:tab w:val="left" w:pos="1701"/>
          <w:tab w:val="left" w:pos="1843"/>
        </w:tabs>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(énfasis añadido)</w:t>
      </w:r>
    </w:p>
    <w:p w14:paraId="4F1D12AD"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Así bien, el mismo reglamento en su capítulo 18 se refiere a las atribuciones que tiene dicha coordinación Académica </w:t>
      </w:r>
    </w:p>
    <w:p w14:paraId="29624A8B"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b/>
          <w:i/>
          <w:sz w:val="22"/>
          <w:szCs w:val="22"/>
        </w:rPr>
        <w:t>“Artículo 18.-</w:t>
      </w:r>
      <w:r w:rsidRPr="008C3040">
        <w:rPr>
          <w:rFonts w:ascii="Palatino Linotype" w:eastAsia="Palatino Linotype" w:hAnsi="Palatino Linotype" w:cs="Palatino Linotype"/>
          <w:i/>
          <w:sz w:val="22"/>
          <w:szCs w:val="22"/>
        </w:rPr>
        <w:t xml:space="preserve"> Corresponde a la Coordinación Académica y de Operación Educativa:</w:t>
      </w:r>
    </w:p>
    <w:p w14:paraId="3AD28C37"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I.- Organizar, supervisar y evaluar los servicios de educación inicial, preescolar, primaria, secundaria, especial, indígena, física, para adultos, de nivel medio superior, en su modalidad abierta y superior para la formación continua y desarrollo profesional del magisterio de SEIEM, así como el registro, control y certificación escolar de este nivel educativo; </w:t>
      </w:r>
    </w:p>
    <w:p w14:paraId="3A59EC07"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II. Proponer y supervisar las disposiciones técnicas y administrativas para la eficiente organización, operación, supervisión y evaluación del servicio educativo que le corresponde y vigilar su cumplimiento; </w:t>
      </w:r>
    </w:p>
    <w:p w14:paraId="26C09E6A"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II Bis. Coordinar y supervisar en el ámbito de su competencia, las estrategias derivadas del Servicio Profesional Docente, conforme a la normatividad vigente; </w:t>
      </w:r>
    </w:p>
    <w:p w14:paraId="468A0221"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III. Proponer al Director General la incorporación de contenidos regionales a los planes y programas de estudio bajo su coordinación; </w:t>
      </w:r>
    </w:p>
    <w:p w14:paraId="3780799D"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b/>
          <w:i/>
          <w:sz w:val="22"/>
          <w:szCs w:val="22"/>
        </w:rPr>
      </w:pPr>
      <w:r w:rsidRPr="008C3040">
        <w:rPr>
          <w:rFonts w:ascii="Palatino Linotype" w:eastAsia="Palatino Linotype" w:hAnsi="Palatino Linotype" w:cs="Palatino Linotype"/>
          <w:b/>
          <w:i/>
          <w:sz w:val="22"/>
          <w:szCs w:val="22"/>
        </w:rPr>
        <w:t xml:space="preserve">IV. Suscribir convenios de colaboración para el establecimiento y operación de centros de asesoría de tipo social y particular del Subsistema de Preparatoria Abierta, informando lo conducente al Director General; </w:t>
      </w:r>
    </w:p>
    <w:p w14:paraId="56C65CC4"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V. Derogada </w:t>
      </w:r>
    </w:p>
    <w:p w14:paraId="12E1B827"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lastRenderedPageBreak/>
        <w:t xml:space="preserve">VI. Promover el mejoramiento de los centros educativos a su cargo y opinar sobre la creación de otros; y </w:t>
      </w:r>
    </w:p>
    <w:p w14:paraId="786267B0"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VII. Las demás que le confieran otras disposiciones legales y aquellas que le encomiende el Director General. “</w:t>
      </w:r>
    </w:p>
    <w:p w14:paraId="7230BBA0"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(énfasis añadido)</w:t>
      </w:r>
    </w:p>
    <w:p w14:paraId="529AF085"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Del precepto previo se observa que una de las facultades con las que cuenta la Coordinación Académica es la de suscribir convenios de colaboración para el establecimiento y operación de centros de asistencia de preparatoria abierta. </w:t>
      </w:r>
    </w:p>
    <w:p w14:paraId="1D0A00D9"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Por lo que se concluye que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tiene facultades para conocer de la información sobre la cual se declaró incompetente en su respuesta primigenia a la solicitud materia del presente recurso. En consecuencia, con dicha respuesta no se puede tener por colmado el derecho de acceso a la Información del particular. </w:t>
      </w:r>
    </w:p>
    <w:p w14:paraId="23CF5934"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No obstante, una vez abierta la etapa de manifestaciones, </w:t>
      </w:r>
      <w:r w:rsidRPr="008C3040">
        <w:rPr>
          <w:rFonts w:ascii="Palatino Linotype" w:eastAsia="Palatino Linotype" w:hAnsi="Palatino Linotype" w:cs="Palatino Linotype"/>
          <w:b/>
        </w:rPr>
        <w:t xml:space="preserve">EL SUJETO OBLIGADO </w:t>
      </w:r>
      <w:r w:rsidRPr="008C3040">
        <w:rPr>
          <w:rFonts w:ascii="Palatino Linotype" w:eastAsia="Palatino Linotype" w:hAnsi="Palatino Linotype" w:cs="Palatino Linotype"/>
        </w:rPr>
        <w:t xml:space="preserve">rindió el Informe Justificado, mediante el cual remitió el anexo denominado  </w:t>
      </w:r>
      <w:r w:rsidRPr="008C3040">
        <w:rPr>
          <w:rFonts w:ascii="Palatino Linotype" w:eastAsia="Palatino Linotype" w:hAnsi="Palatino Linotype" w:cs="Palatino Linotype"/>
          <w:i/>
        </w:rPr>
        <w:t xml:space="preserve">ARCHIVO ADJUNTO 008-22.pdf </w:t>
      </w:r>
      <w:r w:rsidRPr="008C3040">
        <w:rPr>
          <w:rFonts w:ascii="Palatino Linotype" w:eastAsia="Palatino Linotype" w:hAnsi="Palatino Linotype" w:cs="Palatino Linotype"/>
        </w:rPr>
        <w:t xml:space="preserve">de cuyo contenido se observa que el  ente recurrido se pronuncia sobre los diferentes requerimientos del particular, en atención a la información que localizó en sus archivos después de haber realizado una búsqueda exhaustiva. </w:t>
      </w:r>
    </w:p>
    <w:p w14:paraId="649DE798"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En tal sentido, es conveniente recordar que el ahora </w:t>
      </w:r>
      <w:r w:rsidRPr="008C3040">
        <w:rPr>
          <w:rFonts w:ascii="Palatino Linotype" w:eastAsia="Palatino Linotype" w:hAnsi="Palatino Linotype" w:cs="Palatino Linotype"/>
          <w:b/>
        </w:rPr>
        <w:t xml:space="preserve">RECURRENTE </w:t>
      </w:r>
      <w:r w:rsidRPr="008C3040">
        <w:rPr>
          <w:rFonts w:ascii="Palatino Linotype" w:eastAsia="Palatino Linotype" w:hAnsi="Palatino Linotype" w:cs="Palatino Linotype"/>
        </w:rPr>
        <w:t xml:space="preserve">solicitó la información que a continuación se desagrega: </w:t>
      </w:r>
    </w:p>
    <w:p w14:paraId="18CAABE8" w14:textId="77777777" w:rsidR="00314A68" w:rsidRPr="008C3040" w:rsidRDefault="00494F6B">
      <w:pPr>
        <w:widowControl w:val="0"/>
        <w:numPr>
          <w:ilvl w:val="0"/>
          <w:numId w:val="1"/>
        </w:numPr>
        <w:tabs>
          <w:tab w:val="left" w:pos="1701"/>
          <w:tab w:val="left" w:pos="1843"/>
        </w:tabs>
        <w:spacing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Descripción detallada y copia del plan académico (o malla curricular, o plan didáctico) que se imparte en los Centros Penitenciarios y de Reinserción Social </w:t>
      </w:r>
      <w:r w:rsidRPr="008C3040">
        <w:rPr>
          <w:rFonts w:ascii="Palatino Linotype" w:eastAsia="Palatino Linotype" w:hAnsi="Palatino Linotype" w:cs="Palatino Linotype"/>
        </w:rPr>
        <w:lastRenderedPageBreak/>
        <w:t xml:space="preserve">del Estado de México, así como los requisitos o procedimiento relacionado con la presentación de exámenes de preparatoria abierta con esta población. </w:t>
      </w:r>
    </w:p>
    <w:p w14:paraId="32319629" w14:textId="77777777" w:rsidR="00314A68" w:rsidRPr="008C3040" w:rsidRDefault="00494F6B">
      <w:pPr>
        <w:widowControl w:val="0"/>
        <w:numPr>
          <w:ilvl w:val="0"/>
          <w:numId w:val="1"/>
        </w:numPr>
        <w:tabs>
          <w:tab w:val="left" w:pos="1701"/>
          <w:tab w:val="left" w:pos="1843"/>
        </w:tabs>
        <w:spacing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Número de exámenes presentados en los Centros Penitenciarios y de Reinserción Social del Estado de México en los últimos tres años en los cuales se tenga registro y porcentaje de aprobación (separado por género)</w:t>
      </w:r>
    </w:p>
    <w:p w14:paraId="335A632F" w14:textId="77777777" w:rsidR="00314A68" w:rsidRPr="008C3040" w:rsidRDefault="00494F6B">
      <w:pPr>
        <w:widowControl w:val="0"/>
        <w:numPr>
          <w:ilvl w:val="0"/>
          <w:numId w:val="1"/>
        </w:numPr>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¿Todos los centros penitenciarios en el Estado de México cuentan con bibliotecas que apoyen los programas educativos que se imparten a nivel medio superior? </w:t>
      </w:r>
    </w:p>
    <w:p w14:paraId="2D9BD612" w14:textId="77777777" w:rsidR="00314A68" w:rsidRPr="008C3040" w:rsidRDefault="00494F6B">
      <w:pPr>
        <w:widowControl w:val="0"/>
        <w:tabs>
          <w:tab w:val="left" w:pos="1701"/>
          <w:tab w:val="left" w:pos="1843"/>
        </w:tabs>
        <w:spacing w:after="240" w:line="360" w:lineRule="auto"/>
        <w:ind w:left="720" w:right="-92"/>
        <w:jc w:val="both"/>
        <w:rPr>
          <w:rFonts w:ascii="Palatino Linotype" w:eastAsia="Palatino Linotype" w:hAnsi="Palatino Linotype" w:cs="Palatino Linotype"/>
        </w:rPr>
      </w:pPr>
      <w:r w:rsidRPr="008C3040">
        <w:rPr>
          <w:rFonts w:ascii="Palatino Linotype" w:eastAsia="Palatino Linotype" w:hAnsi="Palatino Linotype" w:cs="Palatino Linotype"/>
        </w:rPr>
        <w:t>4. ¿Cuáles son las opciones educativas de nivel superior que tienen las personas que se encuentran en los centros penitenciarios del Estado de México al concluir su nivel medio superior?</w:t>
      </w:r>
    </w:p>
    <w:p w14:paraId="4E703BC4"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En relación al punto uno: </w:t>
      </w:r>
      <w:r w:rsidRPr="008C3040">
        <w:rPr>
          <w:rFonts w:ascii="Palatino Linotype" w:eastAsia="Palatino Linotype" w:hAnsi="Palatino Linotype" w:cs="Palatino Linotype"/>
          <w:i/>
        </w:rPr>
        <w:t>Descripción detallada y copia del plan académico (o malla curricular, o plan didáctico) que se imparte en los Centros Penitenciarios y de Reinserción Social del Estado de México, así como los requisitos o procedimiento relacionado con la presentación de exámenes de preparatoria abierta con esta población.</w:t>
      </w:r>
      <w:r w:rsidRPr="008C3040">
        <w:rPr>
          <w:rFonts w:ascii="Palatino Linotype" w:eastAsia="Palatino Linotype" w:hAnsi="Palatino Linotype" w:cs="Palatino Linotype"/>
        </w:rPr>
        <w:t xml:space="preserve">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remite el Plan Académico que se imparte en los centros preventivos de reinserción social señalando las asignaturas con su respectiva clave y el área al que pertenecen,  tal y como se puede apreciar en las capturas de pantalla que se insertan a continuación: </w:t>
      </w:r>
    </w:p>
    <w:p w14:paraId="42B1B621"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noProof/>
        </w:rPr>
        <w:lastRenderedPageBreak/>
        <w:drawing>
          <wp:inline distT="114300" distB="114300" distL="114300" distR="114300" wp14:anchorId="75FD2955" wp14:editId="0C27A0BC">
            <wp:extent cx="5791835" cy="3238500"/>
            <wp:effectExtent l="0" t="0" r="0" b="0"/>
            <wp:docPr id="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791835" cy="3238500"/>
                    </a:xfrm>
                    <a:prstGeom prst="rect">
                      <a:avLst/>
                    </a:prstGeom>
                    <a:ln/>
                  </pic:spPr>
                </pic:pic>
              </a:graphicData>
            </a:graphic>
          </wp:inline>
        </w:drawing>
      </w:r>
    </w:p>
    <w:p w14:paraId="36A4E75B"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lastRenderedPageBreak/>
        <w:t xml:space="preserve"> </w:t>
      </w:r>
      <w:r w:rsidRPr="008C3040">
        <w:rPr>
          <w:rFonts w:ascii="Palatino Linotype" w:eastAsia="Palatino Linotype" w:hAnsi="Palatino Linotype" w:cs="Palatino Linotype"/>
          <w:noProof/>
        </w:rPr>
        <w:drawing>
          <wp:inline distT="114300" distB="114300" distL="114300" distR="114300" wp14:anchorId="674E13B4" wp14:editId="3956BE34">
            <wp:extent cx="5791835" cy="6172200"/>
            <wp:effectExtent l="0" t="0" r="0" b="0"/>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91835" cy="6172200"/>
                    </a:xfrm>
                    <a:prstGeom prst="rect">
                      <a:avLst/>
                    </a:prstGeom>
                    <a:ln/>
                  </pic:spPr>
                </pic:pic>
              </a:graphicData>
            </a:graphic>
          </wp:inline>
        </w:drawing>
      </w:r>
    </w:p>
    <w:p w14:paraId="6F4C5FF4"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Así también señaló los requisitos que deberán reunir los estudiantes para poder solicitar la presentación de los exámenes, y el procedimiento que deberán seguir para ello, </w:t>
      </w:r>
      <w:r w:rsidRPr="008C3040">
        <w:rPr>
          <w:rFonts w:ascii="Palatino Linotype" w:eastAsia="Palatino Linotype" w:hAnsi="Palatino Linotype" w:cs="Palatino Linotype"/>
        </w:rPr>
        <w:lastRenderedPageBreak/>
        <w:t xml:space="preserve">señalando desde la recepción de los materiales tales como el cuadernillo de preguntas y la hoja de respuestas, hasta el momento de la elaboración del informe de resultados. Se insertan imágenes para mayor referencia: </w:t>
      </w:r>
    </w:p>
    <w:p w14:paraId="600A01EF" w14:textId="77777777" w:rsidR="00314A68" w:rsidRPr="008C3040" w:rsidRDefault="00494F6B">
      <w:pPr>
        <w:widowControl w:val="0"/>
        <w:tabs>
          <w:tab w:val="left" w:pos="1701"/>
          <w:tab w:val="left" w:pos="1843"/>
        </w:tabs>
        <w:spacing w:after="240" w:line="360" w:lineRule="auto"/>
        <w:ind w:right="-92"/>
        <w:jc w:val="center"/>
        <w:rPr>
          <w:rFonts w:ascii="Palatino Linotype" w:eastAsia="Palatino Linotype" w:hAnsi="Palatino Linotype" w:cs="Palatino Linotype"/>
        </w:rPr>
      </w:pPr>
      <w:r w:rsidRPr="008C3040">
        <w:rPr>
          <w:rFonts w:ascii="Palatino Linotype" w:eastAsia="Palatino Linotype" w:hAnsi="Palatino Linotype" w:cs="Palatino Linotype"/>
          <w:noProof/>
        </w:rPr>
        <w:drawing>
          <wp:inline distT="114300" distB="114300" distL="114300" distR="114300" wp14:anchorId="4FCB9440" wp14:editId="50034067">
            <wp:extent cx="5304473" cy="1055660"/>
            <wp:effectExtent l="0" t="0" r="0" b="0"/>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304473" cy="1055660"/>
                    </a:xfrm>
                    <a:prstGeom prst="rect">
                      <a:avLst/>
                    </a:prstGeom>
                    <a:ln/>
                  </pic:spPr>
                </pic:pic>
              </a:graphicData>
            </a:graphic>
          </wp:inline>
        </w:drawing>
      </w:r>
    </w:p>
    <w:p w14:paraId="7AF9160C"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noProof/>
        </w:rPr>
        <w:lastRenderedPageBreak/>
        <w:drawing>
          <wp:inline distT="114300" distB="114300" distL="114300" distR="114300" wp14:anchorId="27CA9180" wp14:editId="213CAC6D">
            <wp:extent cx="5514844" cy="4707573"/>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514844" cy="4707573"/>
                    </a:xfrm>
                    <a:prstGeom prst="rect">
                      <a:avLst/>
                    </a:prstGeom>
                    <a:ln/>
                  </pic:spPr>
                </pic:pic>
              </a:graphicData>
            </a:graphic>
          </wp:inline>
        </w:drawing>
      </w:r>
    </w:p>
    <w:p w14:paraId="40CFBD99" w14:textId="77777777" w:rsidR="00314A68" w:rsidRPr="008C3040" w:rsidRDefault="00494F6B">
      <w:pPr>
        <w:widowControl w:val="0"/>
        <w:tabs>
          <w:tab w:val="left" w:pos="1701"/>
          <w:tab w:val="left" w:pos="1843"/>
        </w:tabs>
        <w:spacing w:after="240" w:line="360" w:lineRule="auto"/>
        <w:ind w:right="-92"/>
        <w:jc w:val="center"/>
        <w:rPr>
          <w:rFonts w:ascii="Palatino Linotype" w:eastAsia="Palatino Linotype" w:hAnsi="Palatino Linotype" w:cs="Palatino Linotype"/>
        </w:rPr>
      </w:pPr>
      <w:r w:rsidRPr="008C3040">
        <w:rPr>
          <w:rFonts w:ascii="Palatino Linotype" w:eastAsia="Palatino Linotype" w:hAnsi="Palatino Linotype" w:cs="Palatino Linotype"/>
          <w:noProof/>
        </w:rPr>
        <w:drawing>
          <wp:inline distT="114300" distB="114300" distL="114300" distR="114300" wp14:anchorId="2FAF8BAB" wp14:editId="7C8DF031">
            <wp:extent cx="5616352" cy="1764348"/>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16352" cy="1764348"/>
                    </a:xfrm>
                    <a:prstGeom prst="rect">
                      <a:avLst/>
                    </a:prstGeom>
                    <a:ln/>
                  </pic:spPr>
                </pic:pic>
              </a:graphicData>
            </a:graphic>
          </wp:inline>
        </w:drawing>
      </w:r>
    </w:p>
    <w:p w14:paraId="7CA97E81" w14:textId="77777777" w:rsidR="00314A68" w:rsidRPr="008C3040" w:rsidRDefault="00494F6B">
      <w:pPr>
        <w:widowControl w:val="0"/>
        <w:tabs>
          <w:tab w:val="left" w:pos="1701"/>
          <w:tab w:val="left" w:pos="1843"/>
        </w:tabs>
        <w:spacing w:after="240" w:line="360" w:lineRule="auto"/>
        <w:ind w:right="-92"/>
        <w:jc w:val="center"/>
        <w:rPr>
          <w:rFonts w:ascii="Palatino Linotype" w:eastAsia="Palatino Linotype" w:hAnsi="Palatino Linotype" w:cs="Palatino Linotype"/>
        </w:rPr>
      </w:pPr>
      <w:r w:rsidRPr="008C3040">
        <w:rPr>
          <w:rFonts w:ascii="Palatino Linotype" w:eastAsia="Palatino Linotype" w:hAnsi="Palatino Linotype" w:cs="Palatino Linotype"/>
          <w:noProof/>
        </w:rPr>
        <w:lastRenderedPageBreak/>
        <w:drawing>
          <wp:inline distT="114300" distB="114300" distL="114300" distR="114300" wp14:anchorId="6C44762B" wp14:editId="19763EE4">
            <wp:extent cx="5686479" cy="1430973"/>
            <wp:effectExtent l="0" t="0" r="0" b="0"/>
            <wp:docPr id="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686479" cy="1430973"/>
                    </a:xfrm>
                    <a:prstGeom prst="rect">
                      <a:avLst/>
                    </a:prstGeom>
                    <a:ln/>
                  </pic:spPr>
                </pic:pic>
              </a:graphicData>
            </a:graphic>
          </wp:inline>
        </w:drawing>
      </w:r>
    </w:p>
    <w:p w14:paraId="0D671899"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De forma que dicho requerimiento del particular se tiene por colmado con la información entregada en el Informe Justificado. </w:t>
      </w:r>
    </w:p>
    <w:p w14:paraId="47275144"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i/>
        </w:rPr>
      </w:pPr>
      <w:r w:rsidRPr="008C3040">
        <w:rPr>
          <w:rFonts w:ascii="Palatino Linotype" w:eastAsia="Palatino Linotype" w:hAnsi="Palatino Linotype" w:cs="Palatino Linotype"/>
        </w:rPr>
        <w:t xml:space="preserve">En cuanto al segundo punto de la solicitud referente al </w:t>
      </w:r>
      <w:r w:rsidRPr="008C3040">
        <w:rPr>
          <w:rFonts w:ascii="Palatino Linotype" w:eastAsia="Palatino Linotype" w:hAnsi="Palatino Linotype" w:cs="Palatino Linotype"/>
          <w:i/>
        </w:rPr>
        <w:t>Número de exámenes presentados en los Centros Penitenciarios y de Reinserción Social del Estado de México en los últimos tres años en los cuales se tenga registro y porcentaje de aprobación (separado por género).</w:t>
      </w:r>
    </w:p>
    <w:p w14:paraId="4A657392"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i/>
        </w:rPr>
        <w:t xml:space="preserve"> </w:t>
      </w:r>
      <w:r w:rsidRPr="008C3040">
        <w:rPr>
          <w:rFonts w:ascii="Palatino Linotype" w:eastAsia="Palatino Linotype" w:hAnsi="Palatino Linotype" w:cs="Palatino Linotype"/>
        </w:rPr>
        <w:t xml:space="preserve">En el Informe Justificado,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remite tres tablas que contienen información de los exámenes presentados en los Centros Penitenciarios, indicando el porcentaje de aprobación, ambos datos segregados por género como fue solicitado por el particular, como puede corroborarse de la imagen inserta a continuación:</w:t>
      </w:r>
    </w:p>
    <w:p w14:paraId="310F8806" w14:textId="77777777" w:rsidR="00314A68" w:rsidRPr="008C3040" w:rsidRDefault="00314A68">
      <w:pPr>
        <w:widowControl w:val="0"/>
        <w:tabs>
          <w:tab w:val="left" w:pos="1701"/>
          <w:tab w:val="left" w:pos="1843"/>
        </w:tabs>
        <w:spacing w:after="240" w:line="360" w:lineRule="auto"/>
        <w:ind w:right="-92"/>
        <w:jc w:val="both"/>
        <w:rPr>
          <w:rFonts w:ascii="Palatino Linotype" w:eastAsia="Palatino Linotype" w:hAnsi="Palatino Linotype" w:cs="Palatino Linotype"/>
        </w:rPr>
      </w:pPr>
    </w:p>
    <w:p w14:paraId="3BE21BCE" w14:textId="77777777" w:rsidR="00314A68" w:rsidRPr="008C3040" w:rsidRDefault="00494F6B">
      <w:pPr>
        <w:widowControl w:val="0"/>
        <w:tabs>
          <w:tab w:val="left" w:pos="1701"/>
          <w:tab w:val="left" w:pos="1843"/>
        </w:tabs>
        <w:spacing w:after="240" w:line="360" w:lineRule="auto"/>
        <w:ind w:right="-92"/>
        <w:jc w:val="center"/>
        <w:rPr>
          <w:rFonts w:ascii="Palatino Linotype" w:eastAsia="Palatino Linotype" w:hAnsi="Palatino Linotype" w:cs="Palatino Linotype"/>
        </w:rPr>
      </w:pPr>
      <w:r w:rsidRPr="008C3040">
        <w:rPr>
          <w:rFonts w:ascii="Palatino Linotype" w:eastAsia="Palatino Linotype" w:hAnsi="Palatino Linotype" w:cs="Palatino Linotype"/>
          <w:noProof/>
        </w:rPr>
        <w:lastRenderedPageBreak/>
        <w:drawing>
          <wp:inline distT="114300" distB="114300" distL="114300" distR="114300" wp14:anchorId="685780A0" wp14:editId="7FEE651E">
            <wp:extent cx="5791835" cy="4318000"/>
            <wp:effectExtent l="0" t="0" r="0" b="0"/>
            <wp:docPr id="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791835" cy="4318000"/>
                    </a:xfrm>
                    <a:prstGeom prst="rect">
                      <a:avLst/>
                    </a:prstGeom>
                    <a:ln/>
                  </pic:spPr>
                </pic:pic>
              </a:graphicData>
            </a:graphic>
          </wp:inline>
        </w:drawing>
      </w:r>
    </w:p>
    <w:p w14:paraId="6C518E91"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Así </w:t>
      </w:r>
      <w:r w:rsidRPr="008C3040">
        <w:rPr>
          <w:rFonts w:ascii="Palatino Linotype" w:eastAsia="Palatino Linotype" w:hAnsi="Palatino Linotype" w:cs="Palatino Linotype"/>
          <w:b/>
        </w:rPr>
        <w:t>EL RECURRENTE</w:t>
      </w:r>
      <w:r w:rsidRPr="008C3040">
        <w:rPr>
          <w:rFonts w:ascii="Palatino Linotype" w:eastAsia="Palatino Linotype" w:hAnsi="Palatino Linotype" w:cs="Palatino Linotype"/>
        </w:rPr>
        <w:t xml:space="preserve"> se pronunció sobre la información solicitada indicando la cantidad de exámenes, el porcentaje de aprobación y el género en ambos rubros por lo que también se tiene por colmado dicho punto de la solicitud de información. </w:t>
      </w:r>
    </w:p>
    <w:p w14:paraId="0FD73DA0"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Por lo que se refiere a los puntos 3 y 4: </w:t>
      </w:r>
      <w:r w:rsidRPr="008C3040">
        <w:rPr>
          <w:rFonts w:ascii="Palatino Linotype" w:eastAsia="Palatino Linotype" w:hAnsi="Palatino Linotype" w:cs="Palatino Linotype"/>
          <w:i/>
        </w:rPr>
        <w:t xml:space="preserve">¿Todos los centros penitenciarios en el Estado de México cuentan con bibliotecas que apoyen los programas educativos que se imparten a nivel medio superior? y ¿Cuáles son las opciones educativas de nivel superior que tienen las personas que se encuentran en los centros penitenciarios del Estado de México al concluir su nivel medio superior? </w:t>
      </w:r>
      <w:r w:rsidRPr="008C3040">
        <w:rPr>
          <w:rFonts w:ascii="Palatino Linotype" w:eastAsia="Palatino Linotype" w:hAnsi="Palatino Linotype" w:cs="Palatino Linotype"/>
        </w:rPr>
        <w:t xml:space="preserve">estos requieren de un pronunciamiento específico que implicaría que </w:t>
      </w:r>
      <w:r w:rsidRPr="008C3040">
        <w:rPr>
          <w:rFonts w:ascii="Palatino Linotype" w:eastAsia="Palatino Linotype" w:hAnsi="Palatino Linotype" w:cs="Palatino Linotype"/>
          <w:b/>
        </w:rPr>
        <w:t xml:space="preserve">EL </w:t>
      </w:r>
      <w:r w:rsidRPr="008C3040">
        <w:rPr>
          <w:rFonts w:ascii="Palatino Linotype" w:eastAsia="Palatino Linotype" w:hAnsi="Palatino Linotype" w:cs="Palatino Linotype"/>
          <w:b/>
        </w:rPr>
        <w:lastRenderedPageBreak/>
        <w:t>SUJETO OBLIGADO</w:t>
      </w:r>
      <w:r w:rsidRPr="008C3040">
        <w:rPr>
          <w:rFonts w:ascii="Palatino Linotype" w:eastAsia="Palatino Linotype" w:hAnsi="Palatino Linotype" w:cs="Palatino Linotype"/>
        </w:rPr>
        <w:t xml:space="preserve"> lleve a cabo un documento a modo siendo una consulta y no así una solicitud de acceso a información pública que pueda ser atendida mediante una expresión documental; pues corresponde a varias preguntas que implicarían elaborar un documento </w:t>
      </w:r>
      <w:r w:rsidRPr="008C3040">
        <w:rPr>
          <w:rFonts w:ascii="Palatino Linotype" w:eastAsia="Palatino Linotype" w:hAnsi="Palatino Linotype" w:cs="Palatino Linotype"/>
          <w:i/>
        </w:rPr>
        <w:t>ad hoc.</w:t>
      </w:r>
      <w:r w:rsidRPr="008C3040">
        <w:rPr>
          <w:rFonts w:ascii="Palatino Linotype" w:eastAsia="Palatino Linotype" w:hAnsi="Palatino Linotype" w:cs="Palatino Linotype"/>
          <w:b/>
        </w:rPr>
        <w:t> </w:t>
      </w:r>
    </w:p>
    <w:p w14:paraId="4F63DACC"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Lo anterior, toma sustento la Jurisprudencia XXI.1o.P.A. J/27, de los Tribunales Colegiados de Circuito, localizada en la página 1406, del Semanario Judicial de la Federación y su Gaceta, Tomo XXXIII, marzo 2011, Novena Época, que establece lo siguiente:</w:t>
      </w:r>
    </w:p>
    <w:p w14:paraId="44CD9C60" w14:textId="77777777" w:rsidR="00314A68" w:rsidRPr="008C3040" w:rsidRDefault="00314A68"/>
    <w:p w14:paraId="1EF4E7AB" w14:textId="77777777" w:rsidR="00314A68" w:rsidRPr="008C3040" w:rsidRDefault="00494F6B">
      <w:pPr>
        <w:ind w:left="567" w:right="567"/>
        <w:jc w:val="both"/>
        <w:rPr>
          <w:sz w:val="28"/>
          <w:szCs w:val="28"/>
        </w:rPr>
      </w:pPr>
      <w:r w:rsidRPr="008C3040">
        <w:rPr>
          <w:rFonts w:ascii="Palatino Linotype" w:eastAsia="Palatino Linotype" w:hAnsi="Palatino Linotype" w:cs="Palatino Linotype"/>
          <w:b/>
          <w:i/>
          <w:sz w:val="22"/>
          <w:szCs w:val="22"/>
        </w:rPr>
        <w:t xml:space="preserve">“DERECHO DE PETICIÓN. SUS ELEMENTOS. </w:t>
      </w:r>
      <w:r w:rsidRPr="008C3040">
        <w:rPr>
          <w:rFonts w:ascii="Palatino Linotype" w:eastAsia="Palatino Linotype" w:hAnsi="Palatino Linotype" w:cs="Palatino Linotype"/>
          <w:i/>
          <w:sz w:val="22"/>
          <w:szCs w:val="22"/>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diversa.”(Sic)</w:t>
      </w:r>
    </w:p>
    <w:p w14:paraId="346847F7" w14:textId="77777777" w:rsidR="00314A68" w:rsidRPr="008C3040" w:rsidRDefault="00314A68"/>
    <w:p w14:paraId="1F9D9517"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De la Jurisprudencia citada, se advierte que el derecho de petición, es una prerrogativa individual consagrada en el artículo 8° de la Constitución Política de los Estados </w:t>
      </w:r>
      <w:r w:rsidRPr="008C3040">
        <w:rPr>
          <w:rFonts w:ascii="Palatino Linotype" w:eastAsia="Palatino Linotype" w:hAnsi="Palatino Linotype" w:cs="Palatino Linotype"/>
        </w:rPr>
        <w:lastRenderedPageBreak/>
        <w:t>Unidos Mexicanos, con el fin de que cualquier ciudadano o persona, presente una petición de manera pacífica y respetuosa (pregunta, consulta, duda, entre otros), ante una autoridad, por lo que, tiene derecho de recibir una respuesta.</w:t>
      </w:r>
    </w:p>
    <w:p w14:paraId="7B6D5C55" w14:textId="77777777" w:rsidR="00314A68" w:rsidRPr="008C3040" w:rsidRDefault="00314A68">
      <w:pPr>
        <w:spacing w:line="360" w:lineRule="auto"/>
        <w:jc w:val="both"/>
        <w:rPr>
          <w:rFonts w:ascii="Palatino Linotype" w:eastAsia="Palatino Linotype" w:hAnsi="Palatino Linotype" w:cs="Palatino Linotype"/>
        </w:rPr>
      </w:pPr>
    </w:p>
    <w:p w14:paraId="2D7C25F0"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Sin embargo,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en aras de privilegiar el derecho de acceso a la información, dio contestación a dichas peticiones, señalando lo siguiente: </w:t>
      </w:r>
    </w:p>
    <w:p w14:paraId="0EC821D0"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noProof/>
        </w:rPr>
        <w:drawing>
          <wp:inline distT="114300" distB="114300" distL="114300" distR="114300" wp14:anchorId="77AA3EC9" wp14:editId="59378DD8">
            <wp:extent cx="5791835" cy="3403600"/>
            <wp:effectExtent l="0" t="0" r="0" b="0"/>
            <wp:docPr id="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791835" cy="3403600"/>
                    </a:xfrm>
                    <a:prstGeom prst="rect">
                      <a:avLst/>
                    </a:prstGeom>
                    <a:ln/>
                  </pic:spPr>
                </pic:pic>
              </a:graphicData>
            </a:graphic>
          </wp:inline>
        </w:drawing>
      </w:r>
    </w:p>
    <w:p w14:paraId="2EC5CFD4"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En la imagen previa se puede observar que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da respuesta a ambos cuestionamientos según la información que conoce en ejercicio de sus funciones por lo que es importante señalar que los Sujetos Obligados, únicamente deben entregar la información que obre en sus archivos sin procesarla, resumirla, efectuar cálculos o practicar investigaciones, así como lo establece el artículo 12 de la Ley de Transparencia </w:t>
      </w:r>
      <w:r w:rsidRPr="008C3040">
        <w:rPr>
          <w:rFonts w:ascii="Palatino Linotype" w:eastAsia="Palatino Linotype" w:hAnsi="Palatino Linotype" w:cs="Palatino Linotype"/>
        </w:rPr>
        <w:lastRenderedPageBreak/>
        <w:t xml:space="preserve">y Acceso a la Información Pública del Estado de México y Municipios, el cual se transcribe a continuación: </w:t>
      </w:r>
    </w:p>
    <w:p w14:paraId="75C2B262" w14:textId="77777777" w:rsidR="00314A68" w:rsidRPr="008C3040" w:rsidRDefault="00494F6B">
      <w:pPr>
        <w:ind w:left="851" w:right="902"/>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“Artículo 12. Quienes generen, recopilen, administren, manejen, procesen, archiven o conserven información pública serán responsables de la misma en los términos de las disposiciones jurídicas aplicables. </w:t>
      </w:r>
    </w:p>
    <w:p w14:paraId="4942468C" w14:textId="77777777" w:rsidR="00314A68" w:rsidRPr="008C3040" w:rsidRDefault="00494F6B">
      <w:pPr>
        <w:ind w:left="851" w:right="902"/>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E9946E6" w14:textId="77777777" w:rsidR="00314A68" w:rsidRPr="008C3040" w:rsidRDefault="00494F6B">
      <w:pPr>
        <w:shd w:val="clear" w:color="auto" w:fill="FFFFFF"/>
        <w:jc w:val="both"/>
      </w:pPr>
      <w:r w:rsidRPr="008C3040">
        <w:rPr>
          <w:rFonts w:ascii="Palatino Linotype" w:eastAsia="Palatino Linotype" w:hAnsi="Palatino Linotype" w:cs="Palatino Linotype"/>
          <w:sz w:val="22"/>
          <w:szCs w:val="22"/>
        </w:rPr>
        <w:t> </w:t>
      </w:r>
    </w:p>
    <w:p w14:paraId="29419775" w14:textId="77777777" w:rsidR="00314A68" w:rsidRPr="008C3040" w:rsidRDefault="00494F6B">
      <w:pPr>
        <w:shd w:val="clear" w:color="auto" w:fill="FFFFFF"/>
        <w:jc w:val="both"/>
      </w:pPr>
      <w:r w:rsidRPr="008C3040">
        <w:rPr>
          <w:rFonts w:ascii="Palatino Linotype" w:eastAsia="Palatino Linotype" w:hAnsi="Palatino Linotype" w:cs="Palatino Linotype"/>
          <w:sz w:val="22"/>
          <w:szCs w:val="22"/>
        </w:rPr>
        <w:t> </w:t>
      </w:r>
    </w:p>
    <w:p w14:paraId="545C3C4B" w14:textId="77777777" w:rsidR="00314A68" w:rsidRPr="008C3040" w:rsidRDefault="00494F6B">
      <w:pPr>
        <w:shd w:val="clear" w:color="auto" w:fill="FFFFFF"/>
        <w:spacing w:line="360" w:lineRule="auto"/>
        <w:jc w:val="both"/>
        <w:rPr>
          <w:sz w:val="28"/>
          <w:szCs w:val="28"/>
        </w:rPr>
      </w:pPr>
      <w:r w:rsidRPr="008C3040">
        <w:rPr>
          <w:rFonts w:ascii="Palatino Linotype" w:eastAsia="Palatino Linotype" w:hAnsi="Palatino Linotype" w:cs="Palatino Linotype"/>
        </w:rPr>
        <w:t>Robustece lo anterior el Criterio 03/17 emitido por el Instituto Nacional de Transparencia, Acceso a la Información y Protección de Datos Personales, que a continuación se cita:</w:t>
      </w:r>
    </w:p>
    <w:p w14:paraId="7181EC73" w14:textId="77777777" w:rsidR="00314A68" w:rsidRPr="008C3040" w:rsidRDefault="00494F6B">
      <w:pPr>
        <w:shd w:val="clear" w:color="auto" w:fill="FFFFFF"/>
        <w:ind w:left="567" w:right="567"/>
        <w:jc w:val="both"/>
        <w:rPr>
          <w:sz w:val="28"/>
          <w:szCs w:val="28"/>
        </w:rPr>
      </w:pPr>
      <w:r w:rsidRPr="008C3040">
        <w:rPr>
          <w:rFonts w:ascii="Palatino Linotype" w:eastAsia="Palatino Linotype" w:hAnsi="Palatino Linotype" w:cs="Palatino Linotype"/>
          <w:b/>
          <w:i/>
          <w:sz w:val="22"/>
          <w:szCs w:val="22"/>
        </w:rPr>
        <w:t>“No existe obligación de elaborar documentos ad hoc para atender las solicitudes de acceso a la información. </w:t>
      </w:r>
      <w:r w:rsidRPr="008C3040">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 (Sic)</w:t>
      </w:r>
    </w:p>
    <w:p w14:paraId="2058E480" w14:textId="77777777" w:rsidR="00314A68" w:rsidRPr="008C3040" w:rsidRDefault="00314A68">
      <w:pPr>
        <w:widowControl w:val="0"/>
        <w:tabs>
          <w:tab w:val="left" w:pos="1701"/>
          <w:tab w:val="left" w:pos="1843"/>
        </w:tabs>
        <w:spacing w:after="240" w:line="360" w:lineRule="auto"/>
        <w:ind w:right="-92"/>
        <w:jc w:val="both"/>
        <w:rPr>
          <w:sz w:val="26"/>
          <w:szCs w:val="26"/>
        </w:rPr>
      </w:pPr>
    </w:p>
    <w:p w14:paraId="0D42CB8F"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De manera que la información que puede solicitar de los Sujetos Obligados, es únicamente aquella que poseen, generan o administran en relación con sus funciones, así pues se advierte que,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da respuesta a los cuestionamientos señalando para el punto 3 que el material necesario es otorgado a cada centro a través </w:t>
      </w:r>
      <w:r w:rsidRPr="008C3040">
        <w:rPr>
          <w:rFonts w:ascii="Palatino Linotype" w:eastAsia="Palatino Linotype" w:hAnsi="Palatino Linotype" w:cs="Palatino Linotype"/>
        </w:rPr>
        <w:lastRenderedPageBreak/>
        <w:t>de un Gestor Asignado, no obstante desconoce de si todos los centros penitenciarios cuentan con una biblioteca pues es información que atañe a las facultades de  una autoridad diversa.</w:t>
      </w:r>
    </w:p>
    <w:p w14:paraId="5687E43F"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Asimismo, en lo requerido por el particular identificado con el número 4 contesta indicando que los estudiantes podrán escoger cualquier carrera de su interés que sea reconocida y autorizada por la Secretaría de Educación  Pública así como las instituciones autónomas en los estados y la federación. </w:t>
      </w:r>
    </w:p>
    <w:p w14:paraId="364C20AD" w14:textId="77777777" w:rsidR="00314A68" w:rsidRPr="008C3040" w:rsidRDefault="00494F6B">
      <w:pPr>
        <w:widowControl w:val="0"/>
        <w:tabs>
          <w:tab w:val="left" w:pos="1701"/>
          <w:tab w:val="left" w:pos="1843"/>
        </w:tabs>
        <w:spacing w:after="240" w:line="360" w:lineRule="auto"/>
        <w:ind w:right="-92"/>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Por lo que, en atención a lo señalado anteriormente se consideran colmados ambos puntos de la solicitud de acceso a la información  del </w:t>
      </w:r>
      <w:r w:rsidRPr="008C3040">
        <w:rPr>
          <w:rFonts w:ascii="Palatino Linotype" w:eastAsia="Palatino Linotype" w:hAnsi="Palatino Linotype" w:cs="Palatino Linotype"/>
          <w:b/>
        </w:rPr>
        <w:t xml:space="preserve">RECURRENTE </w:t>
      </w:r>
      <w:r w:rsidRPr="008C3040">
        <w:rPr>
          <w:rFonts w:ascii="Palatino Linotype" w:eastAsia="Palatino Linotype" w:hAnsi="Palatino Linotype" w:cs="Palatino Linotype"/>
        </w:rPr>
        <w:t xml:space="preserve">con lo manifestado por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en el Informe Justificado.</w:t>
      </w:r>
    </w:p>
    <w:p w14:paraId="218E53E2" w14:textId="77777777" w:rsidR="00314A68" w:rsidRPr="008C3040" w:rsidRDefault="00494F6B">
      <w:pPr>
        <w:spacing w:line="360" w:lineRule="auto"/>
        <w:ind w:right="49"/>
        <w:jc w:val="both"/>
        <w:rPr>
          <w:rFonts w:ascii="Palatino Linotype" w:eastAsia="Palatino Linotype" w:hAnsi="Palatino Linotype" w:cs="Palatino Linotype"/>
          <w:color w:val="222222"/>
        </w:rPr>
      </w:pPr>
      <w:r w:rsidRPr="008C3040">
        <w:rPr>
          <w:rFonts w:ascii="Palatino Linotype" w:eastAsia="Palatino Linotype" w:hAnsi="Palatino Linotype" w:cs="Palatino Linotype"/>
          <w:color w:val="222222"/>
        </w:rPr>
        <w:t>Con relación a lo señalado en los párrafos que anteceden y a fin de robustecer la determinación que se asentará en la presente resolución, conviene citar el criterio orientador 002/2017 del INAI, y la tesis 1a. CCCXXVII/2014 (10a.) emitida por la Primera Sala de la Suprema Corte de Justicia de la Nación, cuyo tenor es el siguiente:</w:t>
      </w:r>
    </w:p>
    <w:p w14:paraId="6C34C011" w14:textId="77777777" w:rsidR="00314A68" w:rsidRPr="008C3040" w:rsidRDefault="00314A68">
      <w:pPr>
        <w:ind w:right="902"/>
        <w:jc w:val="both"/>
        <w:rPr>
          <w:rFonts w:ascii="Palatino Linotype" w:eastAsia="Palatino Linotype" w:hAnsi="Palatino Linotype" w:cs="Palatino Linotype"/>
          <w:color w:val="222222"/>
        </w:rPr>
      </w:pPr>
    </w:p>
    <w:p w14:paraId="3EB94A81" w14:textId="77777777" w:rsidR="00314A68" w:rsidRPr="008C3040" w:rsidRDefault="00494F6B">
      <w:pPr>
        <w:ind w:left="851" w:right="902"/>
        <w:jc w:val="both"/>
        <w:rPr>
          <w:rFonts w:ascii="Palatino Linotype" w:eastAsia="Palatino Linotype" w:hAnsi="Palatino Linotype" w:cs="Palatino Linotype"/>
          <w:i/>
          <w:color w:val="222222"/>
          <w:sz w:val="22"/>
          <w:szCs w:val="22"/>
        </w:rPr>
      </w:pPr>
      <w:r w:rsidRPr="008C3040">
        <w:rPr>
          <w:rFonts w:ascii="Palatino Linotype" w:eastAsia="Palatino Linotype" w:hAnsi="Palatino Linotype" w:cs="Palatino Linotype"/>
          <w:i/>
          <w:color w:val="222222"/>
          <w:sz w:val="22"/>
          <w:szCs w:val="22"/>
        </w:rPr>
        <w:t>“</w:t>
      </w:r>
      <w:r w:rsidRPr="008C3040">
        <w:rPr>
          <w:rFonts w:ascii="Palatino Linotype" w:eastAsia="Palatino Linotype" w:hAnsi="Palatino Linotype" w:cs="Palatino Linotype"/>
          <w:b/>
          <w:i/>
          <w:color w:val="222222"/>
          <w:sz w:val="22"/>
          <w:szCs w:val="22"/>
        </w:rPr>
        <w:t>Congruencia y exhaustividad</w:t>
      </w:r>
      <w:r w:rsidRPr="008C3040">
        <w:rPr>
          <w:rFonts w:ascii="Palatino Linotype" w:eastAsia="Palatino Linotype" w:hAnsi="Palatino Linotype" w:cs="Palatino Linotype"/>
          <w:i/>
          <w:color w:val="222222"/>
          <w:sz w:val="22"/>
          <w:szCs w:val="22"/>
        </w:rPr>
        <w:t>.</w:t>
      </w:r>
      <w:r w:rsidRPr="008C3040">
        <w:rPr>
          <w:rFonts w:ascii="Palatino Linotype" w:eastAsia="Palatino Linotype" w:hAnsi="Palatino Linotype" w:cs="Palatino Linotype"/>
          <w:b/>
          <w:i/>
          <w:color w:val="222222"/>
          <w:sz w:val="22"/>
          <w:szCs w:val="22"/>
        </w:rPr>
        <w:t xml:space="preserve"> Sus alcances para garantizar el derecho de acceso a la información.</w:t>
      </w:r>
      <w:r w:rsidRPr="008C3040">
        <w:rPr>
          <w:rFonts w:ascii="Palatino Linotype" w:eastAsia="Palatino Linotype" w:hAnsi="Palatino Linotype" w:cs="Palatino Linotype"/>
          <w:i/>
          <w:color w:val="222222"/>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w:t>
      </w:r>
      <w:r w:rsidRPr="008C3040">
        <w:rPr>
          <w:rFonts w:ascii="Palatino Linotype" w:eastAsia="Palatino Linotype" w:hAnsi="Palatino Linotype" w:cs="Palatino Linotype"/>
          <w:i/>
          <w:color w:val="222222"/>
          <w:sz w:val="22"/>
          <w:szCs w:val="22"/>
        </w:rPr>
        <w:lastRenderedPageBreak/>
        <w:t>relación lógica con lo solicitado y atiendan de manera puntual y expresa, cada uno de los contenidos de información.”(Sic)</w:t>
      </w:r>
    </w:p>
    <w:p w14:paraId="656C1A4B" w14:textId="77777777" w:rsidR="00314A68" w:rsidRPr="008C3040" w:rsidRDefault="00314A68">
      <w:pPr>
        <w:widowControl w:val="0"/>
        <w:tabs>
          <w:tab w:val="left" w:pos="1701"/>
          <w:tab w:val="left" w:pos="1843"/>
        </w:tabs>
        <w:spacing w:line="360" w:lineRule="auto"/>
        <w:ind w:right="49"/>
        <w:jc w:val="both"/>
        <w:rPr>
          <w:rFonts w:ascii="Palatino Linotype" w:eastAsia="Palatino Linotype" w:hAnsi="Palatino Linotype" w:cs="Palatino Linotype"/>
        </w:rPr>
      </w:pPr>
      <w:bookmarkStart w:id="6" w:name="_heading=h.h5f6uylknmte" w:colFirst="0" w:colLast="0"/>
      <w:bookmarkEnd w:id="6"/>
    </w:p>
    <w:p w14:paraId="7F398A81" w14:textId="77777777" w:rsidR="00314A68" w:rsidRPr="008C3040" w:rsidRDefault="00494F6B">
      <w:pPr>
        <w:widowControl w:val="0"/>
        <w:tabs>
          <w:tab w:val="left" w:pos="1701"/>
          <w:tab w:val="left" w:pos="1843"/>
        </w:tabs>
        <w:spacing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Del criterio citado se desprende que las respuestas de los sujetos obligados deberán contar con dos elementos; la congruencia y la exhaustividad. Entendiendo el  primero como una relación entre el requerimiento formulado y la respuesta propiciada y el segundo como atender de manera puntual a cada uno de los pronunciamientos en la solicitud. </w:t>
      </w:r>
    </w:p>
    <w:p w14:paraId="5D838035" w14:textId="77777777" w:rsidR="00314A68" w:rsidRPr="008C3040" w:rsidRDefault="00314A68">
      <w:pPr>
        <w:widowControl w:val="0"/>
        <w:tabs>
          <w:tab w:val="left" w:pos="1701"/>
          <w:tab w:val="left" w:pos="1843"/>
        </w:tabs>
        <w:spacing w:line="360" w:lineRule="auto"/>
        <w:ind w:right="49"/>
        <w:jc w:val="both"/>
        <w:rPr>
          <w:rFonts w:ascii="Palatino Linotype" w:eastAsia="Palatino Linotype" w:hAnsi="Palatino Linotype" w:cs="Palatino Linotype"/>
        </w:rPr>
      </w:pPr>
    </w:p>
    <w:p w14:paraId="18DA4926" w14:textId="77777777" w:rsidR="00314A68" w:rsidRPr="008C3040" w:rsidRDefault="00494F6B">
      <w:pPr>
        <w:widowControl w:val="0"/>
        <w:tabs>
          <w:tab w:val="left" w:pos="1701"/>
          <w:tab w:val="left" w:pos="1843"/>
        </w:tabs>
        <w:spacing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Así, se aprecia que si bien en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en su respuesta no atendió puntualmente la solicitud de información hecha por </w:t>
      </w:r>
      <w:r w:rsidRPr="008C3040">
        <w:rPr>
          <w:rFonts w:ascii="Palatino Linotype" w:eastAsia="Palatino Linotype" w:hAnsi="Palatino Linotype" w:cs="Palatino Linotype"/>
          <w:b/>
        </w:rPr>
        <w:t>EL RECURRENTE</w:t>
      </w:r>
      <w:r w:rsidRPr="008C3040">
        <w:rPr>
          <w:rFonts w:ascii="Palatino Linotype" w:eastAsia="Palatino Linotype" w:hAnsi="Palatino Linotype" w:cs="Palatino Linotype"/>
        </w:rPr>
        <w:t xml:space="preserve">, en el Informe Justificado se pronuncia sobre cada uno de los requerimientos, al grado de desagregación peticionado por el particular en atención a sus facultades y atribuciones. </w:t>
      </w:r>
    </w:p>
    <w:p w14:paraId="0934ECC2" w14:textId="77777777" w:rsidR="00314A68" w:rsidRPr="008C3040" w:rsidRDefault="00314A68">
      <w:pPr>
        <w:widowControl w:val="0"/>
        <w:tabs>
          <w:tab w:val="left" w:pos="1701"/>
          <w:tab w:val="left" w:pos="1843"/>
        </w:tabs>
        <w:spacing w:line="360" w:lineRule="auto"/>
        <w:ind w:right="49"/>
        <w:jc w:val="both"/>
        <w:rPr>
          <w:rFonts w:ascii="Palatino Linotype" w:eastAsia="Palatino Linotype" w:hAnsi="Palatino Linotype" w:cs="Palatino Linotype"/>
        </w:rPr>
      </w:pPr>
    </w:p>
    <w:p w14:paraId="4E6B798F" w14:textId="77777777" w:rsidR="00314A68" w:rsidRPr="008C3040" w:rsidRDefault="00494F6B">
      <w:pPr>
        <w:widowControl w:val="0"/>
        <w:tabs>
          <w:tab w:val="left" w:pos="1701"/>
          <w:tab w:val="left" w:pos="1843"/>
        </w:tabs>
        <w:spacing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En atención a lo anterior, se advierte que el área encargada de remitir la información que conforma el Informe Justificado es la Dirección de Preparatoria Abierta misma que se encuentra adscrita a la Coordinación Académica y de Operación Educativa,  según lo establecido por el artículo 19 del Reglamento Interior de Servicios Educativos Integrados al Estado de México y la cual como quedó establecido en líneas previas del presente estudio es la autoridad competente para conocer de la información solicitada: </w:t>
      </w:r>
    </w:p>
    <w:p w14:paraId="0C234DCD" w14:textId="77777777" w:rsidR="00314A68" w:rsidRPr="008C3040" w:rsidRDefault="00314A68">
      <w:pPr>
        <w:widowControl w:val="0"/>
        <w:tabs>
          <w:tab w:val="left" w:pos="1701"/>
          <w:tab w:val="left" w:pos="1843"/>
        </w:tabs>
        <w:ind w:left="850" w:right="899"/>
        <w:jc w:val="both"/>
        <w:rPr>
          <w:rFonts w:ascii="Palatino Linotype" w:eastAsia="Palatino Linotype" w:hAnsi="Palatino Linotype" w:cs="Palatino Linotype"/>
          <w:i/>
          <w:sz w:val="22"/>
          <w:szCs w:val="22"/>
        </w:rPr>
      </w:pPr>
    </w:p>
    <w:p w14:paraId="416C65B3"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w:t>
      </w:r>
      <w:r w:rsidRPr="008C3040">
        <w:rPr>
          <w:rFonts w:ascii="Palatino Linotype" w:eastAsia="Palatino Linotype" w:hAnsi="Palatino Linotype" w:cs="Palatino Linotype"/>
          <w:b/>
          <w:i/>
          <w:sz w:val="22"/>
          <w:szCs w:val="22"/>
        </w:rPr>
        <w:t>Artículo 19.-</w:t>
      </w:r>
      <w:r w:rsidRPr="008C3040">
        <w:rPr>
          <w:rFonts w:ascii="Palatino Linotype" w:eastAsia="Palatino Linotype" w:hAnsi="Palatino Linotype" w:cs="Palatino Linotype"/>
          <w:i/>
          <w:sz w:val="22"/>
          <w:szCs w:val="22"/>
        </w:rPr>
        <w:t xml:space="preserve"> Quedan adscritas a la Coordinación Académica y de Operación Educativa: </w:t>
      </w:r>
    </w:p>
    <w:p w14:paraId="76864EA7"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lastRenderedPageBreak/>
        <w:t xml:space="preserve">I. Dirección de Educación Elemental; </w:t>
      </w:r>
    </w:p>
    <w:p w14:paraId="19845993"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II. Dirección de Educación Secundaria y Servicios de Apoyo; y </w:t>
      </w:r>
    </w:p>
    <w:p w14:paraId="056D2E74"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b/>
          <w:i/>
          <w:sz w:val="22"/>
          <w:szCs w:val="22"/>
        </w:rPr>
      </w:pPr>
      <w:r w:rsidRPr="008C3040">
        <w:rPr>
          <w:rFonts w:ascii="Palatino Linotype" w:eastAsia="Palatino Linotype" w:hAnsi="Palatino Linotype" w:cs="Palatino Linotype"/>
          <w:b/>
          <w:i/>
          <w:sz w:val="22"/>
          <w:szCs w:val="22"/>
        </w:rPr>
        <w:t>III. Dirección de Preparatoria Abierta.</w:t>
      </w:r>
    </w:p>
    <w:p w14:paraId="489BC7A5"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sz w:val="22"/>
          <w:szCs w:val="22"/>
        </w:rPr>
      </w:pPr>
      <w:r w:rsidRPr="008C3040">
        <w:rPr>
          <w:rFonts w:ascii="Palatino Linotype" w:eastAsia="Palatino Linotype" w:hAnsi="Palatino Linotype" w:cs="Palatino Linotype"/>
          <w:i/>
          <w:sz w:val="22"/>
          <w:szCs w:val="22"/>
        </w:rPr>
        <w:t xml:space="preserve"> IV. Dirección de Educación Superior</w:t>
      </w:r>
      <w:r w:rsidRPr="008C3040">
        <w:rPr>
          <w:rFonts w:ascii="Palatino Linotype" w:eastAsia="Palatino Linotype" w:hAnsi="Palatino Linotype" w:cs="Palatino Linotype"/>
          <w:sz w:val="22"/>
          <w:szCs w:val="22"/>
        </w:rPr>
        <w:t>.”</w:t>
      </w:r>
    </w:p>
    <w:p w14:paraId="1B46E4ED"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(Énfasis añadido)</w:t>
      </w:r>
    </w:p>
    <w:p w14:paraId="09C925BA" w14:textId="77777777" w:rsidR="00314A68" w:rsidRPr="008C3040" w:rsidRDefault="00494F6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Así bien, la Dirección de Preparatoria Abierta tiene las funciones contempladas en el artículo 28 del reglamento en comento entre las cuales se destaca la de dirigir y vigilar la prestación de servicio de preparatoria abierta indicada en la fracción I: </w:t>
      </w:r>
    </w:p>
    <w:p w14:paraId="04B90AF2"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w:t>
      </w:r>
      <w:r w:rsidRPr="008C3040">
        <w:rPr>
          <w:rFonts w:ascii="Palatino Linotype" w:eastAsia="Palatino Linotype" w:hAnsi="Palatino Linotype" w:cs="Palatino Linotype"/>
          <w:b/>
          <w:i/>
          <w:sz w:val="22"/>
          <w:szCs w:val="22"/>
        </w:rPr>
        <w:t>Artículo 28.-</w:t>
      </w:r>
      <w:r w:rsidRPr="008C3040">
        <w:rPr>
          <w:rFonts w:ascii="Palatino Linotype" w:eastAsia="Palatino Linotype" w:hAnsi="Palatino Linotype" w:cs="Palatino Linotype"/>
          <w:i/>
          <w:sz w:val="22"/>
          <w:szCs w:val="22"/>
        </w:rPr>
        <w:t xml:space="preserve"> Corresponde a la Dirección de Preparatoria Abierta; </w:t>
      </w:r>
    </w:p>
    <w:p w14:paraId="49E58622"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b/>
          <w:i/>
          <w:sz w:val="22"/>
          <w:szCs w:val="22"/>
        </w:rPr>
        <w:t>I. Dirigir y vigilar la prestación del servicio de preparatoria abierta a cargo de SEIEM, con base en la normatividad aplicable</w:t>
      </w:r>
      <w:r w:rsidRPr="008C3040">
        <w:rPr>
          <w:rFonts w:ascii="Palatino Linotype" w:eastAsia="Palatino Linotype" w:hAnsi="Palatino Linotype" w:cs="Palatino Linotype"/>
          <w:i/>
          <w:sz w:val="22"/>
          <w:szCs w:val="22"/>
        </w:rPr>
        <w:t xml:space="preserve">; </w:t>
      </w:r>
    </w:p>
    <w:p w14:paraId="0557A43E"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II. Fortalecer y difundir los servicios que presta el subsistema de preparatoria abierta; </w:t>
      </w:r>
    </w:p>
    <w:p w14:paraId="0E44827E"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III. Vigilar y evaluar los procesos de preinscripción, inscripción, acreditación y certificación de estudios de preparatoria abierta, de conformidad con la normatividad aplicable; </w:t>
      </w:r>
    </w:p>
    <w:p w14:paraId="754ED670"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IV. Coordinar la selección, capacitación y contratación de aplicadores, coordinadores y observadores vinculados con la aplicación de exámenes en el subsistema de preparatoria abierta; </w:t>
      </w:r>
    </w:p>
    <w:p w14:paraId="6C858F81"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V. Gestionar ante la autoridad competente, cuando le sea requerido, la revalidación y equivalencia de estudios en el subsistema de preparatoria abierta; </w:t>
      </w:r>
    </w:p>
    <w:p w14:paraId="5ADF3BC7"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VI. Resguardar y disponer para su consulta los documentos oficiales de los usuarios del subsistema de preparatoria abierta; </w:t>
      </w:r>
    </w:p>
    <w:p w14:paraId="41051B22" w14:textId="77777777" w:rsidR="00314A68" w:rsidRPr="008C3040" w:rsidRDefault="00494F6B">
      <w:pPr>
        <w:widowControl w:val="0"/>
        <w:tabs>
          <w:tab w:val="left" w:pos="1701"/>
          <w:tab w:val="left" w:pos="1843"/>
        </w:tabs>
        <w:spacing w:after="24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VII. Las demás que le confieran otras disposiciones legales y aquellas que le encomiende el Coordinador Académico y de Operación Educativa y el Director </w:t>
      </w:r>
      <w:r w:rsidRPr="008C3040">
        <w:rPr>
          <w:rFonts w:ascii="Palatino Linotype" w:eastAsia="Palatino Linotype" w:hAnsi="Palatino Linotype" w:cs="Palatino Linotype"/>
          <w:i/>
          <w:sz w:val="22"/>
          <w:szCs w:val="22"/>
        </w:rPr>
        <w:lastRenderedPageBreak/>
        <w:t>General.”</w:t>
      </w:r>
    </w:p>
    <w:p w14:paraId="7BEEB905"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Por lo que al haber existido un pronunciamiento por parte del </w:t>
      </w:r>
      <w:r w:rsidRPr="008C3040">
        <w:rPr>
          <w:rFonts w:ascii="Palatino Linotype" w:eastAsia="Palatino Linotype" w:hAnsi="Palatino Linotype" w:cs="Palatino Linotype"/>
          <w:b/>
        </w:rPr>
        <w:t>SUJETO OBLIGADO</w:t>
      </w:r>
      <w:r w:rsidRPr="008C3040">
        <w:rPr>
          <w:rFonts w:ascii="Palatino Linotype" w:eastAsia="Palatino Linotype" w:hAnsi="Palatino Linotype" w:cs="Palatino Linotype"/>
        </w:rPr>
        <w:t xml:space="preserve">, a fin de dar respuesta a la solicitud planteada, no está facultado para manifestarse sobre la veracidad de la misma, pues no existe precepto legal alguno en la Ley de la materia que lo faculte para que vía Recurso de Revisión pueda pronunciarse al respecto. </w:t>
      </w:r>
    </w:p>
    <w:p w14:paraId="103CF493" w14:textId="77777777" w:rsidR="00314A68" w:rsidRPr="008C3040" w:rsidRDefault="00314A68">
      <w:pPr>
        <w:spacing w:line="360" w:lineRule="auto"/>
        <w:jc w:val="both"/>
        <w:rPr>
          <w:rFonts w:ascii="Palatino Linotype" w:eastAsia="Palatino Linotype" w:hAnsi="Palatino Linotype" w:cs="Palatino Linotype"/>
        </w:rPr>
      </w:pPr>
    </w:p>
    <w:p w14:paraId="0D7F5358"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68AD0353" w14:textId="77777777" w:rsidR="00314A68" w:rsidRPr="008C3040" w:rsidRDefault="00494F6B">
      <w:pPr>
        <w:tabs>
          <w:tab w:val="left" w:pos="1140"/>
        </w:tabs>
        <w:jc w:val="both"/>
        <w:rPr>
          <w:rFonts w:ascii="Palatino Linotype" w:eastAsia="Palatino Linotype" w:hAnsi="Palatino Linotype" w:cs="Palatino Linotype"/>
        </w:rPr>
      </w:pPr>
      <w:r w:rsidRPr="008C3040">
        <w:rPr>
          <w:rFonts w:ascii="Palatino Linotype" w:eastAsia="Palatino Linotype" w:hAnsi="Palatino Linotype" w:cs="Palatino Linotype"/>
        </w:rPr>
        <w:tab/>
      </w:r>
    </w:p>
    <w:p w14:paraId="5065755F" w14:textId="77777777" w:rsidR="00314A68" w:rsidRPr="008C3040" w:rsidRDefault="00494F6B">
      <w:pPr>
        <w:tabs>
          <w:tab w:val="left" w:pos="709"/>
        </w:tabs>
        <w:ind w:left="851" w:right="899"/>
        <w:jc w:val="both"/>
        <w:rPr>
          <w:rFonts w:ascii="Palatino Linotype" w:eastAsia="Palatino Linotype" w:hAnsi="Palatino Linotype" w:cs="Palatino Linotype"/>
          <w:b/>
          <w:i/>
          <w:sz w:val="22"/>
          <w:szCs w:val="22"/>
        </w:rPr>
      </w:pPr>
      <w:r w:rsidRPr="008C3040">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8C3040">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C3040">
        <w:rPr>
          <w:rFonts w:ascii="Palatino Linotype" w:eastAsia="Palatino Linotype" w:hAnsi="Palatino Linotype" w:cs="Palatino Linotype"/>
          <w:b/>
          <w:i/>
          <w:sz w:val="22"/>
          <w:szCs w:val="22"/>
        </w:rPr>
        <w:t>”</w:t>
      </w:r>
    </w:p>
    <w:p w14:paraId="5F549EC4" w14:textId="77777777" w:rsidR="00314A68" w:rsidRPr="008C3040" w:rsidRDefault="00314A68">
      <w:pPr>
        <w:tabs>
          <w:tab w:val="left" w:pos="709"/>
        </w:tabs>
        <w:ind w:left="851" w:right="899"/>
        <w:jc w:val="both"/>
        <w:rPr>
          <w:rFonts w:ascii="Palatino Linotype" w:eastAsia="Palatino Linotype" w:hAnsi="Palatino Linotype" w:cs="Palatino Linotype"/>
          <w:b/>
          <w:i/>
          <w:sz w:val="22"/>
          <w:szCs w:val="22"/>
        </w:rPr>
      </w:pPr>
    </w:p>
    <w:p w14:paraId="4C5BBC90" w14:textId="77777777" w:rsidR="00314A68" w:rsidRPr="008C3040" w:rsidRDefault="00494F6B">
      <w:pPr>
        <w:tabs>
          <w:tab w:val="left" w:pos="709"/>
        </w:tabs>
        <w:spacing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Por lo último, no escapa de la óptica de este Órgano Garante que en el formato de interposición del presente Recurso de Revisión, el particular señaló en el acto impugnado lo siguiente: </w:t>
      </w:r>
    </w:p>
    <w:p w14:paraId="765DC7B6" w14:textId="77777777" w:rsidR="00314A68" w:rsidRPr="008C3040" w:rsidRDefault="00494F6B">
      <w:pPr>
        <w:tabs>
          <w:tab w:val="left" w:pos="709"/>
        </w:tabs>
        <w:ind w:left="850" w:right="899"/>
        <w:jc w:val="both"/>
        <w:rPr>
          <w:rFonts w:ascii="Palatino Linotype" w:eastAsia="Palatino Linotype" w:hAnsi="Palatino Linotype" w:cs="Palatino Linotype"/>
          <w:i/>
          <w:sz w:val="22"/>
          <w:szCs w:val="22"/>
        </w:rPr>
      </w:pPr>
      <w:bookmarkStart w:id="7" w:name="_heading=h.30j0zll" w:colFirst="0" w:colLast="0"/>
      <w:bookmarkEnd w:id="7"/>
      <w:r w:rsidRPr="008C3040">
        <w:rPr>
          <w:rFonts w:ascii="Palatino Linotype" w:eastAsia="Palatino Linotype" w:hAnsi="Palatino Linotype" w:cs="Palatino Linotype"/>
          <w:i/>
          <w:sz w:val="22"/>
          <w:szCs w:val="22"/>
        </w:rPr>
        <w:lastRenderedPageBreak/>
        <w:t>“Servicios Educativos Integrados al Estado de México / Subsistema de Preparatoria Abierta 1. Solicito descripción detallada y copia del plan académico (o malla curricular, o plan didáctico) que se imparte en los Centros Penitenciarios y de Reinserción Social del Estado de México, así como los requisitos o procedimiento relacionado con la presentación de exámenes de preparatoria abierta con esta población. 2. Número de exámenes presentados en los Centros Penitenciarios y de Reinserción Social del Estado de México en los últimos tres años en los cuales se tenga registro y porcentaje de aprobación (separado por género) 3. ¿Las personas privadas de su libertad en los Centros Penitenciarios y de Reinserción Social del Estado de México que participan en programas educativo-formativos y de capacitación laboral son acreedoras a algún beneficio respecto a disminuir el tiempo de pena impuesta por el delito cometido? En caso afirmativo, ¿Qué normatividad o reglamentación aplica para estos casos? 4. Si existen programas educativos dirigidos a personas con discapacidad. Describir en que consiste el programa. 5. ¿Los centros penitenciarios cuentan con alguna biblioteca? En caso de que la respuesta sea positiva. ¿Cuáles son los requisitos para que las personas privadas de la libertad tengan acceso a los libros? Solicitamos el número de libros existentes en cada biblioteca.” (Sic)</w:t>
      </w:r>
    </w:p>
    <w:p w14:paraId="06C38470" w14:textId="77777777" w:rsidR="00314A68" w:rsidRPr="008C3040" w:rsidRDefault="00314A68">
      <w:pPr>
        <w:tabs>
          <w:tab w:val="left" w:pos="709"/>
        </w:tabs>
        <w:ind w:left="850" w:right="899"/>
        <w:jc w:val="both"/>
        <w:rPr>
          <w:rFonts w:ascii="Palatino Linotype" w:eastAsia="Palatino Linotype" w:hAnsi="Palatino Linotype" w:cs="Palatino Linotype"/>
          <w:i/>
          <w:sz w:val="22"/>
          <w:szCs w:val="22"/>
        </w:rPr>
      </w:pPr>
    </w:p>
    <w:p w14:paraId="15BC5EC8" w14:textId="77777777" w:rsidR="00314A68" w:rsidRPr="008C3040" w:rsidRDefault="00494F6B">
      <w:pPr>
        <w:tabs>
          <w:tab w:val="left" w:pos="709"/>
        </w:tabs>
        <w:spacing w:line="360" w:lineRule="auto"/>
        <w:ind w:right="49"/>
        <w:jc w:val="both"/>
        <w:rPr>
          <w:rFonts w:ascii="Palatino Linotype" w:eastAsia="Palatino Linotype" w:hAnsi="Palatino Linotype" w:cs="Palatino Linotype"/>
          <w:sz w:val="26"/>
          <w:szCs w:val="26"/>
        </w:rPr>
      </w:pPr>
      <w:r w:rsidRPr="008C3040">
        <w:rPr>
          <w:rFonts w:ascii="Palatino Linotype" w:eastAsia="Palatino Linotype" w:hAnsi="Palatino Linotype" w:cs="Palatino Linotype"/>
        </w:rPr>
        <w:t>Del cual si bien se reitera la solicitud primigenia, dentro de los puntos solicitados se advierte el relacionado a</w:t>
      </w:r>
      <w:r w:rsidRPr="008C3040">
        <w:rPr>
          <w:rFonts w:ascii="Palatino Linotype" w:eastAsia="Palatino Linotype" w:hAnsi="Palatino Linotype" w:cs="Palatino Linotype"/>
          <w:sz w:val="26"/>
          <w:szCs w:val="26"/>
        </w:rPr>
        <w:t xml:space="preserve"> “</w:t>
      </w:r>
      <w:r w:rsidRPr="008C3040">
        <w:rPr>
          <w:rFonts w:ascii="Palatino Linotype" w:eastAsia="Palatino Linotype" w:hAnsi="Palatino Linotype" w:cs="Palatino Linotype"/>
          <w:i/>
        </w:rPr>
        <w:t>4. Si existen programas educativos dirigidos a personas con discapacidad. Describir en que consiste el programa.”</w:t>
      </w:r>
      <w:r w:rsidRPr="008C3040">
        <w:rPr>
          <w:rFonts w:ascii="Palatino Linotype" w:eastAsia="Palatino Linotype" w:hAnsi="Palatino Linotype" w:cs="Palatino Linotype"/>
          <w:i/>
          <w:sz w:val="22"/>
          <w:szCs w:val="22"/>
        </w:rPr>
        <w:t xml:space="preserve">  </w:t>
      </w:r>
      <w:r w:rsidRPr="008C3040">
        <w:rPr>
          <w:rFonts w:ascii="Palatino Linotype" w:eastAsia="Palatino Linotype" w:hAnsi="Palatino Linotype" w:cs="Palatino Linotype"/>
        </w:rPr>
        <w:t xml:space="preserve">mismo que no se aprecia en la solicitud original. </w:t>
      </w:r>
    </w:p>
    <w:p w14:paraId="768CEAEE" w14:textId="77777777" w:rsidR="00314A68" w:rsidRPr="008C3040" w:rsidRDefault="00314A68">
      <w:pPr>
        <w:tabs>
          <w:tab w:val="left" w:pos="709"/>
        </w:tabs>
        <w:ind w:right="899"/>
        <w:jc w:val="both"/>
        <w:rPr>
          <w:rFonts w:ascii="Palatino Linotype" w:eastAsia="Palatino Linotype" w:hAnsi="Palatino Linotype" w:cs="Palatino Linotype"/>
        </w:rPr>
      </w:pPr>
    </w:p>
    <w:p w14:paraId="171DA938" w14:textId="77777777" w:rsidR="00314A68" w:rsidRPr="008C3040" w:rsidRDefault="00494F6B">
      <w:pPr>
        <w:widowControl w:val="0"/>
        <w:tabs>
          <w:tab w:val="left" w:pos="1701"/>
          <w:tab w:val="left" w:pos="1843"/>
        </w:tabs>
        <w:spacing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Por lo que si bien es cierto que este Órgano Garante tiene como objetivo el promover el acceso a la información, que se verifica mediante el trámite de las solicitudes de información hechas por los ciudadanos, también es cierto que dentro de todo procedimiento existen reglas que deben respetarse para así resguardar el derecho al debido proceso que consagra la Constitución Política de los Estados Unidos Mexicanos, en su artículo 14; es así que cada normatividad contiene sus disposiciones </w:t>
      </w:r>
      <w:r w:rsidRPr="008C3040">
        <w:rPr>
          <w:rFonts w:ascii="Palatino Linotype" w:eastAsia="Palatino Linotype" w:hAnsi="Palatino Linotype" w:cs="Palatino Linotype"/>
        </w:rPr>
        <w:lastRenderedPageBreak/>
        <w:t xml:space="preserve">referentes a las formalidades que deberán observarse y dentro de estas, se encuentran lo momentos procesales oportunos para cada actuación. </w:t>
      </w:r>
    </w:p>
    <w:p w14:paraId="67F18D74" w14:textId="77777777" w:rsidR="00314A68" w:rsidRPr="008C3040" w:rsidRDefault="00314A68">
      <w:pPr>
        <w:widowControl w:val="0"/>
        <w:tabs>
          <w:tab w:val="left" w:pos="1701"/>
          <w:tab w:val="left" w:pos="1843"/>
        </w:tabs>
        <w:spacing w:line="360" w:lineRule="auto"/>
        <w:ind w:right="49"/>
        <w:jc w:val="both"/>
        <w:rPr>
          <w:rFonts w:ascii="Palatino Linotype" w:eastAsia="Palatino Linotype" w:hAnsi="Palatino Linotype" w:cs="Palatino Linotype"/>
        </w:rPr>
      </w:pPr>
    </w:p>
    <w:p w14:paraId="38CC7940" w14:textId="77777777" w:rsidR="00314A68" w:rsidRPr="008C3040" w:rsidRDefault="00494F6B">
      <w:pPr>
        <w:widowControl w:val="0"/>
        <w:tabs>
          <w:tab w:val="left" w:pos="1701"/>
          <w:tab w:val="left" w:pos="1843"/>
        </w:tabs>
        <w:spacing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Es por ello, que esta solicitud referente los programas educativos dirigidos a personas con discapacidad hecha por </w:t>
      </w:r>
      <w:r w:rsidRPr="008C3040">
        <w:rPr>
          <w:rFonts w:ascii="Palatino Linotype" w:eastAsia="Palatino Linotype" w:hAnsi="Palatino Linotype" w:cs="Palatino Linotype"/>
          <w:b/>
        </w:rPr>
        <w:t>EL RECURRENTE</w:t>
      </w:r>
      <w:r w:rsidRPr="008C3040">
        <w:rPr>
          <w:rFonts w:ascii="Palatino Linotype" w:eastAsia="Palatino Linotype" w:hAnsi="Palatino Linotype" w:cs="Palatino Linotype"/>
        </w:rPr>
        <w:t xml:space="preserve"> debe considerarse como </w:t>
      </w:r>
      <w:r w:rsidRPr="008C3040">
        <w:rPr>
          <w:rFonts w:ascii="Palatino Linotype" w:eastAsia="Palatino Linotype" w:hAnsi="Palatino Linotype" w:cs="Palatino Linotype"/>
          <w:b/>
        </w:rPr>
        <w:t>inoperante,</w:t>
      </w:r>
      <w:r w:rsidRPr="008C3040">
        <w:rPr>
          <w:rFonts w:ascii="Palatino Linotype" w:eastAsia="Palatino Linotype" w:hAnsi="Palatino Linotype" w:cs="Palatino Linotype"/>
        </w:rPr>
        <w:t xml:space="preserve"> al tratarse de una petición adicional o </w:t>
      </w:r>
      <w:r w:rsidRPr="008C3040">
        <w:rPr>
          <w:rFonts w:ascii="Palatino Linotype" w:eastAsia="Palatino Linotype" w:hAnsi="Palatino Linotype" w:cs="Palatino Linotype"/>
          <w:i/>
        </w:rPr>
        <w:t xml:space="preserve">plus </w:t>
      </w:r>
      <w:proofErr w:type="spellStart"/>
      <w:r w:rsidRPr="008C3040">
        <w:rPr>
          <w:rFonts w:ascii="Palatino Linotype" w:eastAsia="Palatino Linotype" w:hAnsi="Palatino Linotype" w:cs="Palatino Linotype"/>
          <w:i/>
        </w:rPr>
        <w:t>petitio</w:t>
      </w:r>
      <w:proofErr w:type="spellEnd"/>
      <w:r w:rsidRPr="008C3040">
        <w:rPr>
          <w:rFonts w:ascii="Palatino Linotype" w:eastAsia="Palatino Linotype" w:hAnsi="Palatino Linotype" w:cs="Palatino Linotype"/>
        </w:rPr>
        <w:t xml:space="preserve">; pues el Recurso de Revisión es una garantía para ejercer los derechos y opera en contra de las respuestas emitidas por los Sujetos Obligados, o en su caso, de la falta de ellas, las cuales deben derivarse de una solicitud original. </w:t>
      </w:r>
    </w:p>
    <w:p w14:paraId="17546B7D" w14:textId="77777777" w:rsidR="00314A68" w:rsidRPr="008C3040" w:rsidRDefault="00314A68">
      <w:pPr>
        <w:widowControl w:val="0"/>
        <w:spacing w:before="120" w:after="120" w:line="360" w:lineRule="auto"/>
        <w:ind w:right="49"/>
        <w:jc w:val="both"/>
        <w:rPr>
          <w:rFonts w:ascii="Palatino Linotype" w:eastAsia="Palatino Linotype" w:hAnsi="Palatino Linotype" w:cs="Palatino Linotype"/>
        </w:rPr>
      </w:pPr>
    </w:p>
    <w:p w14:paraId="1CAC48B8" w14:textId="77777777" w:rsidR="00314A68" w:rsidRPr="008C3040" w:rsidRDefault="00494F6B">
      <w:pPr>
        <w:widowControl w:val="0"/>
        <w:spacing w:before="120" w:after="120"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De modo que al existir una nueva petición dentro del Recurso de Revisión, este Instituto no puede pronunciarse sobre ella, pues el momento procesal oportuno para ello es al interponer la solicitud, para que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pertinente pueda emitir  una respuesta o no y con ello, este Órgano Garante pueda analizarla y emitir una resolución con respecto de la misma.</w:t>
      </w:r>
    </w:p>
    <w:p w14:paraId="186E7810" w14:textId="77777777" w:rsidR="00314A68" w:rsidRPr="008C3040" w:rsidRDefault="00314A68">
      <w:pPr>
        <w:widowControl w:val="0"/>
        <w:spacing w:before="120" w:after="120" w:line="360" w:lineRule="auto"/>
        <w:ind w:right="49"/>
        <w:jc w:val="both"/>
        <w:rPr>
          <w:rFonts w:ascii="Palatino Linotype" w:eastAsia="Palatino Linotype" w:hAnsi="Palatino Linotype" w:cs="Palatino Linotype"/>
        </w:rPr>
      </w:pPr>
    </w:p>
    <w:p w14:paraId="6100C0A6" w14:textId="77777777" w:rsidR="00314A68" w:rsidRPr="008C3040" w:rsidRDefault="00494F6B">
      <w:pPr>
        <w:widowControl w:val="0"/>
        <w:spacing w:before="120" w:after="120"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Sobre lo anterior versa el criterio 27/2010 del entonces Instituto Federal de Acceso a la Información y Protección de Datos Personales ahora Instituto Nacional de Transparencia, Acceso a la Información y Protección de Datos Personales en donde establece lo siguiente: </w:t>
      </w:r>
    </w:p>
    <w:p w14:paraId="74EB7B0A" w14:textId="77777777" w:rsidR="00314A68" w:rsidRPr="008C3040" w:rsidRDefault="00494F6B">
      <w:pPr>
        <w:widowControl w:val="0"/>
        <w:spacing w:before="120" w:after="120"/>
        <w:ind w:left="850"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b/>
          <w:i/>
          <w:sz w:val="22"/>
          <w:szCs w:val="22"/>
        </w:rPr>
        <w:t>“Es improcedente ampliar las solicitudes de acceso a información pública o datos personales, a través de la interposición del Recurso de Revisión.</w:t>
      </w:r>
      <w:r w:rsidRPr="008C3040">
        <w:rPr>
          <w:rFonts w:ascii="Palatino Linotype" w:eastAsia="Palatino Linotype" w:hAnsi="Palatino Linotype" w:cs="Palatino Linotype"/>
          <w:i/>
          <w:sz w:val="22"/>
          <w:szCs w:val="22"/>
        </w:rPr>
        <w:t xml:space="preserve"> En </w:t>
      </w:r>
      <w:r w:rsidRPr="008C3040">
        <w:rPr>
          <w:rFonts w:ascii="Palatino Linotype" w:eastAsia="Palatino Linotype" w:hAnsi="Palatino Linotype" w:cs="Palatino Linotype"/>
          <w:i/>
          <w:sz w:val="22"/>
          <w:szCs w:val="22"/>
        </w:rPr>
        <w:lastRenderedPageBreak/>
        <w:t>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08DC2D91" w14:textId="77777777" w:rsidR="00314A68" w:rsidRPr="008C3040" w:rsidRDefault="00314A68">
      <w:pPr>
        <w:widowControl w:val="0"/>
        <w:spacing w:before="120" w:after="120" w:line="360" w:lineRule="auto"/>
        <w:ind w:right="49"/>
        <w:jc w:val="both"/>
        <w:rPr>
          <w:rFonts w:ascii="Palatino Linotype" w:eastAsia="Palatino Linotype" w:hAnsi="Palatino Linotype" w:cs="Palatino Linotype"/>
        </w:rPr>
      </w:pPr>
    </w:p>
    <w:p w14:paraId="01CCBBC4" w14:textId="77777777" w:rsidR="00314A68" w:rsidRPr="008C3040" w:rsidRDefault="00494F6B">
      <w:pPr>
        <w:widowControl w:val="0"/>
        <w:spacing w:before="120" w:after="120"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Del precepto anterior se desprende que aquellos requerimientos que no se encuentren establecidos desde el origen de la solicitud de acceso a la información, o en su caso busquen ampliar la misma no podrán ser materia del recurso que se resuelva; No obstante, los recurrentes podrán ejercer su derecho a realizar una nueva solicitud, en los términos establecidos por la ley de la materia. </w:t>
      </w:r>
    </w:p>
    <w:p w14:paraId="264C0880" w14:textId="77777777" w:rsidR="00314A68" w:rsidRPr="008C3040" w:rsidRDefault="00314A68">
      <w:pPr>
        <w:widowControl w:val="0"/>
        <w:spacing w:before="120" w:after="120" w:line="360" w:lineRule="auto"/>
        <w:ind w:right="49"/>
        <w:jc w:val="both"/>
        <w:rPr>
          <w:rFonts w:ascii="Palatino Linotype" w:eastAsia="Palatino Linotype" w:hAnsi="Palatino Linotype" w:cs="Palatino Linotype"/>
        </w:rPr>
      </w:pPr>
    </w:p>
    <w:p w14:paraId="4DEED61E" w14:textId="77777777" w:rsidR="00314A68" w:rsidRPr="008C3040" w:rsidRDefault="00494F6B">
      <w:pPr>
        <w:widowControl w:val="0"/>
        <w:spacing w:before="120" w:after="120"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t>Así también, sirve de apoyo por analogía la siguiente tesis jurisprudencial número VI. 2º. A. J/7, publicada en el Semanario Judicial de la Federación y su gaceta, bajo el número de registro 178,788:</w:t>
      </w:r>
    </w:p>
    <w:p w14:paraId="5E990F8B" w14:textId="77777777" w:rsidR="00314A68" w:rsidRPr="008C3040" w:rsidRDefault="00494F6B">
      <w:pPr>
        <w:spacing w:before="120" w:after="120" w:line="276" w:lineRule="auto"/>
        <w:ind w:left="709"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sz w:val="22"/>
          <w:szCs w:val="22"/>
        </w:rPr>
        <w:t>“</w:t>
      </w:r>
      <w:r w:rsidRPr="008C3040">
        <w:rPr>
          <w:rFonts w:ascii="Palatino Linotype" w:eastAsia="Palatino Linotype" w:hAnsi="Palatino Linotype" w:cs="Palatino Linotype"/>
          <w:i/>
          <w:sz w:val="22"/>
          <w:szCs w:val="22"/>
        </w:rPr>
        <w:t xml:space="preserve">CONCEPTOS DE VIOLACIÓN EN EL AMPARO DIRECTO. </w:t>
      </w:r>
      <w:r w:rsidRPr="008C3040">
        <w:rPr>
          <w:rFonts w:ascii="Palatino Linotype" w:eastAsia="Palatino Linotype" w:hAnsi="Palatino Linotype" w:cs="Palatino Linotype"/>
          <w:b/>
          <w:i/>
          <w:sz w:val="22"/>
          <w:szCs w:val="22"/>
        </w:rPr>
        <w:t>INOPERANCIA DE LOS QUE INTRODUCEN CUESTIONAMIENTOS NOVEDOSOS QUE NO FUERON PLANTEADOS EN EL JUICIO NATURAL</w:t>
      </w:r>
      <w:r w:rsidRPr="008C3040">
        <w:rPr>
          <w:rFonts w:ascii="Palatino Linotype" w:eastAsia="Palatino Linotype" w:hAnsi="Palatino Linotype" w:cs="Palatino Linotype"/>
          <w:i/>
          <w:sz w:val="22"/>
          <w:szCs w:val="22"/>
        </w:rPr>
        <w:t xml:space="preserve">. </w:t>
      </w:r>
      <w:r w:rsidRPr="008C3040">
        <w:rPr>
          <w:rFonts w:ascii="Palatino Linotype" w:eastAsia="Palatino Linotype" w:hAnsi="Palatino Linotype" w:cs="Palatino Linotype"/>
          <w:b/>
          <w:i/>
          <w:sz w:val="22"/>
          <w:szCs w:val="22"/>
        </w:rPr>
        <w:t>Si en los conceptos de violación se formulan argumentos que no se plantearon</w:t>
      </w:r>
      <w:r w:rsidRPr="008C3040">
        <w:rPr>
          <w:rFonts w:ascii="Palatino Linotype" w:eastAsia="Palatino Linotype" w:hAnsi="Palatino Linotype" w:cs="Palatino Linotype"/>
          <w:i/>
          <w:sz w:val="22"/>
          <w:szCs w:val="22"/>
        </w:rPr>
        <w:t xml:space="preserve"> ante la Sala Fiscal que dictó la sentencia que constituye el acto reclamado, </w:t>
      </w:r>
      <w:r w:rsidRPr="008C3040">
        <w:rPr>
          <w:rFonts w:ascii="Palatino Linotype" w:eastAsia="Palatino Linotype" w:hAnsi="Palatino Linotype" w:cs="Palatino Linotype"/>
          <w:b/>
          <w:i/>
          <w:sz w:val="22"/>
          <w:szCs w:val="22"/>
        </w:rPr>
        <w:t xml:space="preserve">los mismos son </w:t>
      </w:r>
      <w:r w:rsidRPr="008C3040">
        <w:rPr>
          <w:rFonts w:ascii="Palatino Linotype" w:eastAsia="Palatino Linotype" w:hAnsi="Palatino Linotype" w:cs="Palatino Linotype"/>
          <w:i/>
          <w:sz w:val="22"/>
          <w:szCs w:val="22"/>
        </w:rPr>
        <w:t xml:space="preserve">inoperantes, toda vez que resultaría injustificado examinar la constitucionalidad de la sentencia combatida </w:t>
      </w:r>
      <w:r w:rsidRPr="008C3040">
        <w:rPr>
          <w:rFonts w:ascii="Palatino Linotype" w:eastAsia="Palatino Linotype" w:hAnsi="Palatino Linotype" w:cs="Palatino Linotype"/>
          <w:b/>
          <w:i/>
          <w:sz w:val="22"/>
          <w:szCs w:val="22"/>
        </w:rPr>
        <w:t>a la luz de razonamientos que no conoció la autoridad responsable</w:t>
      </w:r>
      <w:r w:rsidRPr="008C3040">
        <w:rPr>
          <w:rFonts w:ascii="Palatino Linotype" w:eastAsia="Palatino Linotype" w:hAnsi="Palatino Linotype" w:cs="Palatino Linotype"/>
          <w:i/>
          <w:sz w:val="22"/>
          <w:szCs w:val="22"/>
        </w:rPr>
        <w:t xml:space="preserve">, </w:t>
      </w:r>
      <w:r w:rsidRPr="008C3040">
        <w:rPr>
          <w:rFonts w:ascii="Palatino Linotype" w:eastAsia="Palatino Linotype" w:hAnsi="Palatino Linotype" w:cs="Palatino Linotype"/>
          <w:b/>
          <w:i/>
          <w:sz w:val="22"/>
          <w:szCs w:val="22"/>
        </w:rPr>
        <w:t>pues como tales manifestaciones no formaron parte de la litis natural</w:t>
      </w:r>
      <w:r w:rsidRPr="008C3040">
        <w:rPr>
          <w:rFonts w:ascii="Palatino Linotype" w:eastAsia="Palatino Linotype" w:hAnsi="Palatino Linotype" w:cs="Palatino Linotype"/>
          <w:i/>
          <w:sz w:val="22"/>
          <w:szCs w:val="22"/>
        </w:rPr>
        <w:t xml:space="preserve">, la Sala </w:t>
      </w:r>
      <w:r w:rsidRPr="008C3040">
        <w:rPr>
          <w:rFonts w:ascii="Palatino Linotype" w:eastAsia="Palatino Linotype" w:hAnsi="Palatino Linotype" w:cs="Palatino Linotype"/>
          <w:b/>
          <w:i/>
          <w:sz w:val="22"/>
          <w:szCs w:val="22"/>
        </w:rPr>
        <w:t>no tuvo la oportunidad legal de analizarlas ni de pronunciarse sobre ellas</w:t>
      </w:r>
      <w:r w:rsidRPr="008C3040">
        <w:rPr>
          <w:rFonts w:ascii="Palatino Linotype" w:eastAsia="Palatino Linotype" w:hAnsi="Palatino Linotype" w:cs="Palatino Linotype"/>
          <w:i/>
          <w:sz w:val="22"/>
          <w:szCs w:val="22"/>
        </w:rPr>
        <w:t>.</w:t>
      </w:r>
    </w:p>
    <w:p w14:paraId="30F62EC0" w14:textId="77777777" w:rsidR="00314A68" w:rsidRPr="008C3040" w:rsidRDefault="00494F6B">
      <w:pPr>
        <w:spacing w:before="120" w:after="120" w:line="276" w:lineRule="auto"/>
        <w:ind w:left="709" w:right="899"/>
        <w:jc w:val="both"/>
        <w:rPr>
          <w:rFonts w:ascii="Palatino Linotype" w:eastAsia="Palatino Linotype" w:hAnsi="Palatino Linotype" w:cs="Palatino Linotype"/>
          <w:i/>
          <w:sz w:val="22"/>
          <w:szCs w:val="22"/>
        </w:rPr>
      </w:pPr>
      <w:r w:rsidRPr="008C3040">
        <w:rPr>
          <w:rFonts w:ascii="Palatino Linotype" w:eastAsia="Palatino Linotype" w:hAnsi="Palatino Linotype" w:cs="Palatino Linotype"/>
          <w:i/>
          <w:sz w:val="22"/>
          <w:szCs w:val="22"/>
        </w:rPr>
        <w:t xml:space="preserve"> (Énfasis añadido)</w:t>
      </w:r>
    </w:p>
    <w:p w14:paraId="6F6C3AC3" w14:textId="77777777" w:rsidR="00314A68" w:rsidRPr="008C3040" w:rsidRDefault="00494F6B">
      <w:pPr>
        <w:spacing w:before="280" w:after="280" w:line="360" w:lineRule="auto"/>
        <w:ind w:right="49"/>
        <w:jc w:val="both"/>
        <w:rPr>
          <w:rFonts w:ascii="Palatino Linotype" w:eastAsia="Palatino Linotype" w:hAnsi="Palatino Linotype" w:cs="Palatino Linotype"/>
        </w:rPr>
      </w:pPr>
      <w:r w:rsidRPr="008C3040">
        <w:rPr>
          <w:rFonts w:ascii="Palatino Linotype" w:eastAsia="Palatino Linotype" w:hAnsi="Palatino Linotype" w:cs="Palatino Linotype"/>
        </w:rPr>
        <w:lastRenderedPageBreak/>
        <w:t xml:space="preserve">Los criterios antes citados aplican al caso en concreto ya que de las manifestaciones vertidas por </w:t>
      </w:r>
      <w:r w:rsidRPr="008C3040">
        <w:rPr>
          <w:rFonts w:ascii="Palatino Linotype" w:eastAsia="Palatino Linotype" w:hAnsi="Palatino Linotype" w:cs="Palatino Linotype"/>
          <w:b/>
        </w:rPr>
        <w:t>EL</w:t>
      </w:r>
      <w:r w:rsidRPr="008C3040">
        <w:rPr>
          <w:rFonts w:ascii="Palatino Linotype" w:eastAsia="Palatino Linotype" w:hAnsi="Palatino Linotype" w:cs="Palatino Linotype"/>
        </w:rPr>
        <w:t xml:space="preserve"> </w:t>
      </w:r>
      <w:r w:rsidRPr="008C3040">
        <w:rPr>
          <w:rFonts w:ascii="Palatino Linotype" w:eastAsia="Palatino Linotype" w:hAnsi="Palatino Linotype" w:cs="Palatino Linotype"/>
          <w:b/>
        </w:rPr>
        <w:t>RECURRENTE</w:t>
      </w:r>
      <w:r w:rsidRPr="008C3040">
        <w:rPr>
          <w:rFonts w:ascii="Palatino Linotype" w:eastAsia="Palatino Linotype" w:hAnsi="Palatino Linotype" w:cs="Palatino Linotype"/>
        </w:rPr>
        <w:t xml:space="preserve"> en su impugnación de la respuesta que dio el </w:t>
      </w:r>
      <w:r w:rsidRPr="008C3040">
        <w:rPr>
          <w:rFonts w:ascii="Palatino Linotype" w:eastAsia="Palatino Linotype" w:hAnsi="Palatino Linotype" w:cs="Palatino Linotype"/>
          <w:b/>
        </w:rPr>
        <w:t>SUJETO OBLIGADO</w:t>
      </w:r>
      <w:r w:rsidRPr="008C3040">
        <w:rPr>
          <w:rFonts w:ascii="Palatino Linotype" w:eastAsia="Palatino Linotype" w:hAnsi="Palatino Linotype" w:cs="Palatino Linotype"/>
        </w:rPr>
        <w:t xml:space="preserve"> se aprecia un requerimiento adicionales sobre la cuales este Instituto no puede pronunciarse toda vez que a pesar de tener relación con la solicitud original, no fue requerido desde un inicio, así bien, al ser novedoso </w:t>
      </w:r>
      <w:r w:rsidRPr="008C3040">
        <w:rPr>
          <w:rFonts w:ascii="Palatino Linotype" w:eastAsia="Palatino Linotype" w:hAnsi="Palatino Linotype" w:cs="Palatino Linotype"/>
          <w:b/>
        </w:rPr>
        <w:t>EL SUJETO OBLIGADO</w:t>
      </w:r>
      <w:r w:rsidRPr="008C3040">
        <w:rPr>
          <w:rFonts w:ascii="Palatino Linotype" w:eastAsia="Palatino Linotype" w:hAnsi="Palatino Linotype" w:cs="Palatino Linotype"/>
        </w:rPr>
        <w:t xml:space="preserve"> no puede pronunciarse sobre ellos y este Órgano Garante no puede calificar la dicha respuesta, únicamente puede pronunciarse sobre la respuesta original emitida con motivo de las peticiones hechas en la solicitud primigenia. </w:t>
      </w:r>
    </w:p>
    <w:p w14:paraId="261741D4"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sidRPr="008C3040">
        <w:rPr>
          <w:rFonts w:ascii="Palatino" w:eastAsia="Palatino" w:hAnsi="Palatino" w:cs="Palatino"/>
        </w:rPr>
        <w:t xml:space="preserve">En virtud de todo lo anteriormente expuesto, este Órgano Garante advierte que en el caso se actualiza la causal de sobreseimiento prevista en la fracción III del artículo 192 de la Ley de Transparencia y Acceso a la Información Pública del Estado de México y Municipios, que a la letra dice: </w:t>
      </w:r>
    </w:p>
    <w:p w14:paraId="65452693"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901"/>
        <w:jc w:val="both"/>
        <w:rPr>
          <w:rFonts w:ascii="Palatino" w:eastAsia="Palatino" w:hAnsi="Palatino" w:cs="Palatino"/>
          <w:i/>
          <w:sz w:val="22"/>
          <w:szCs w:val="22"/>
        </w:rPr>
      </w:pPr>
      <w:r w:rsidRPr="008C3040">
        <w:rPr>
          <w:rFonts w:ascii="Palatino" w:eastAsia="Palatino" w:hAnsi="Palatino" w:cs="Palatino"/>
          <w:i/>
          <w:sz w:val="22"/>
          <w:szCs w:val="22"/>
        </w:rPr>
        <w:t>“</w:t>
      </w:r>
      <w:r w:rsidRPr="008C3040">
        <w:rPr>
          <w:rFonts w:ascii="Palatino" w:eastAsia="Palatino" w:hAnsi="Palatino" w:cs="Palatino"/>
          <w:b/>
          <w:i/>
          <w:sz w:val="22"/>
          <w:szCs w:val="22"/>
        </w:rPr>
        <w:t xml:space="preserve">Artículo 192. </w:t>
      </w:r>
      <w:r w:rsidRPr="008C3040">
        <w:rPr>
          <w:rFonts w:ascii="Palatino" w:eastAsia="Palatino" w:hAnsi="Palatino" w:cs="Palatino"/>
          <w:i/>
          <w:sz w:val="22"/>
          <w:szCs w:val="22"/>
        </w:rPr>
        <w:t>El recurso será sobreseído, en todo o en parte, cuando una vez admitido, se actualicen alguno de los siguientes supuestos:</w:t>
      </w:r>
    </w:p>
    <w:p w14:paraId="28E5B6F6"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901"/>
        <w:jc w:val="both"/>
        <w:rPr>
          <w:rFonts w:ascii="Palatino" w:eastAsia="Palatino" w:hAnsi="Palatino" w:cs="Palatino"/>
          <w:i/>
          <w:sz w:val="22"/>
          <w:szCs w:val="22"/>
        </w:rPr>
      </w:pPr>
      <w:r w:rsidRPr="008C3040">
        <w:rPr>
          <w:rFonts w:ascii="Palatino" w:eastAsia="Palatino" w:hAnsi="Palatino" w:cs="Palatino"/>
          <w:i/>
          <w:sz w:val="22"/>
          <w:szCs w:val="22"/>
        </w:rPr>
        <w:t>(…)</w:t>
      </w:r>
    </w:p>
    <w:p w14:paraId="0FA8C1E1"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901"/>
        <w:jc w:val="both"/>
        <w:rPr>
          <w:rFonts w:ascii="Palatino" w:eastAsia="Palatino" w:hAnsi="Palatino" w:cs="Palatino"/>
          <w:b/>
          <w:i/>
          <w:sz w:val="22"/>
          <w:szCs w:val="22"/>
        </w:rPr>
      </w:pPr>
      <w:r w:rsidRPr="008C3040">
        <w:rPr>
          <w:rFonts w:ascii="Palatino" w:eastAsia="Palatino" w:hAnsi="Palatino" w:cs="Palatino"/>
          <w:b/>
          <w:i/>
          <w:sz w:val="22"/>
          <w:szCs w:val="22"/>
        </w:rPr>
        <w:t xml:space="preserve">III. El sujeto obligado responsable del acto lo modifique o revoque de tal manera que el Recurso de Revisión quede sin materia;” </w:t>
      </w:r>
    </w:p>
    <w:p w14:paraId="5822854A" w14:textId="77777777" w:rsidR="00314A68" w:rsidRPr="008C3040" w:rsidRDefault="00314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3F605CB2"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sidRPr="008C3040">
        <w:rPr>
          <w:rFonts w:ascii="Palatino" w:eastAsia="Palatino" w:hAnsi="Palatino" w:cs="Palatino"/>
        </w:rPr>
        <w:t xml:space="preserve">Luego, conforme a la transcripción que antecede conviene desglosar los elementos de la disposición enunciada, de manera tal, que procede el sobreseimiento del Recurso de Revisión cuando </w:t>
      </w:r>
      <w:r w:rsidRPr="008C3040">
        <w:rPr>
          <w:rFonts w:ascii="Palatino" w:eastAsia="Palatino" w:hAnsi="Palatino" w:cs="Palatino"/>
          <w:b/>
        </w:rPr>
        <w:t>EL SUJETO OBLIGADO</w:t>
      </w:r>
      <w:r w:rsidRPr="008C3040">
        <w:rPr>
          <w:rFonts w:ascii="Palatino" w:eastAsia="Palatino" w:hAnsi="Palatino" w:cs="Palatino"/>
        </w:rPr>
        <w:t xml:space="preserve"> modifique o revoque el acto impugnado, quedando el medio de impugnación sin efecto o materia.</w:t>
      </w:r>
    </w:p>
    <w:p w14:paraId="6ED0F952"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Palatino" w:eastAsia="Palatino" w:hAnsi="Palatino" w:cs="Palatino"/>
        </w:rPr>
      </w:pPr>
      <w:r w:rsidRPr="008C3040">
        <w:rPr>
          <w:rFonts w:ascii="Palatino" w:eastAsia="Palatino" w:hAnsi="Palatino" w:cs="Palatino"/>
        </w:rPr>
        <w:t xml:space="preserve">1.- El sujeto obligado responsable, </w:t>
      </w:r>
    </w:p>
    <w:p w14:paraId="61F9A4C4"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Palatino" w:eastAsia="Palatino" w:hAnsi="Palatino" w:cs="Palatino"/>
        </w:rPr>
      </w:pPr>
      <w:r w:rsidRPr="008C3040">
        <w:rPr>
          <w:rFonts w:ascii="Palatino" w:eastAsia="Palatino" w:hAnsi="Palatino" w:cs="Palatino"/>
        </w:rPr>
        <w:t xml:space="preserve">2.- Acto, </w:t>
      </w:r>
    </w:p>
    <w:p w14:paraId="4132D549"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Palatino" w:eastAsia="Palatino" w:hAnsi="Palatino" w:cs="Palatino"/>
        </w:rPr>
      </w:pPr>
      <w:r w:rsidRPr="008C3040">
        <w:rPr>
          <w:rFonts w:ascii="Palatino" w:eastAsia="Palatino" w:hAnsi="Palatino" w:cs="Palatino"/>
        </w:rPr>
        <w:t>3.- Que se modifique o revoque, y</w:t>
      </w:r>
    </w:p>
    <w:p w14:paraId="562D2271"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sidRPr="008C3040">
        <w:rPr>
          <w:rFonts w:ascii="Palatino" w:eastAsia="Palatino" w:hAnsi="Palatino" w:cs="Palatino"/>
        </w:rPr>
        <w:lastRenderedPageBreak/>
        <w:t>4.- De tal manera que el medio de impugnación quede sin efecto o materia.</w:t>
      </w:r>
    </w:p>
    <w:p w14:paraId="1C8F297C" w14:textId="77777777" w:rsidR="00314A68" w:rsidRPr="008C3040" w:rsidRDefault="00314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3B374B1F"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sidRPr="008C3040">
        <w:rPr>
          <w:rFonts w:ascii="Palatino" w:eastAsia="Palatino" w:hAnsi="Palatino" w:cs="Palatino"/>
        </w:rPr>
        <w:t xml:space="preserve">El primer elemento normativo, se actualiza ya que </w:t>
      </w:r>
      <w:r w:rsidRPr="008C3040">
        <w:rPr>
          <w:rFonts w:ascii="Palatino" w:eastAsia="Palatino" w:hAnsi="Palatino" w:cs="Palatino"/>
          <w:b/>
        </w:rPr>
        <w:t xml:space="preserve">EL SUJETO OBLIGADO </w:t>
      </w:r>
      <w:r w:rsidRPr="008C3040">
        <w:rPr>
          <w:rFonts w:ascii="Palatino" w:eastAsia="Palatino" w:hAnsi="Palatino" w:cs="Palatino"/>
        </w:rPr>
        <w:t xml:space="preserve">responsable, es Servicios Educativos Integrados al Estado de México. El segundo elemento normativo, es la existencia de un acto, en el caso en concreto que nos ocupa se actualiza con la respuesta del </w:t>
      </w:r>
      <w:r w:rsidRPr="008C3040">
        <w:rPr>
          <w:rFonts w:ascii="Palatino" w:eastAsia="Palatino" w:hAnsi="Palatino" w:cs="Palatino"/>
          <w:b/>
        </w:rPr>
        <w:t>SUJETO OBLIGADO</w:t>
      </w:r>
      <w:r w:rsidRPr="008C3040">
        <w:rPr>
          <w:rFonts w:ascii="Palatino" w:eastAsia="Palatino" w:hAnsi="Palatino" w:cs="Palatino"/>
        </w:rPr>
        <w:t>.</w:t>
      </w:r>
    </w:p>
    <w:p w14:paraId="5349AC44" w14:textId="77777777" w:rsidR="00314A68" w:rsidRPr="008C3040" w:rsidRDefault="00314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4C629BE5"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sidRPr="008C3040">
        <w:rPr>
          <w:rFonts w:ascii="Palatino" w:eastAsia="Palatino" w:hAnsi="Palatino" w:cs="Palatino"/>
        </w:rPr>
        <w:t xml:space="preserve">Cabe destacar que, de la respuesta otorgada por </w:t>
      </w:r>
      <w:r w:rsidRPr="008C3040">
        <w:rPr>
          <w:rFonts w:ascii="Palatino" w:eastAsia="Palatino" w:hAnsi="Palatino" w:cs="Palatino"/>
          <w:b/>
        </w:rPr>
        <w:t>EL SUJETO OBLIGADO</w:t>
      </w:r>
      <w:r w:rsidRPr="008C3040">
        <w:rPr>
          <w:rFonts w:ascii="Palatino" w:eastAsia="Palatino" w:hAnsi="Palatino" w:cs="Palatino"/>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8C3040">
        <w:rPr>
          <w:rFonts w:ascii="Palatino" w:eastAsia="Palatino" w:hAnsi="Palatino" w:cs="Palatino"/>
          <w:b/>
        </w:rPr>
        <w:t>SUJETO OBLIGADO</w:t>
      </w:r>
      <w:r w:rsidRPr="008C3040">
        <w:rPr>
          <w:rFonts w:ascii="Palatino" w:eastAsia="Palatino" w:hAnsi="Palatino" w:cs="Palatino"/>
        </w:rPr>
        <w:t xml:space="preserve"> se observa a través de sus actos que se llevan a cabo, al realizar sus atribuciones legalmente conferidas.</w:t>
      </w:r>
    </w:p>
    <w:p w14:paraId="7E038F4E" w14:textId="77777777" w:rsidR="00314A68" w:rsidRPr="008C3040" w:rsidRDefault="00314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699DB1D9"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sidRPr="008C3040">
        <w:rPr>
          <w:rFonts w:ascii="Palatino" w:eastAsia="Palatino" w:hAnsi="Palatino" w:cs="Palatino"/>
        </w:rPr>
        <w:t>Luego entonces, la naturaleza jurídica de los actos que emiten los Sujetos Obligados, está delimitada, en este caso por la Ley de Transparencia y Acceso a la Información Pública del Estado de México y Municipios en su artículo 53, el cual contempla un catálogo de actos que realizan los Sujetos Obligados  en la sustanciación de una solicitud de información:</w:t>
      </w:r>
    </w:p>
    <w:p w14:paraId="61BCBE40"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ind w:left="708"/>
        <w:jc w:val="both"/>
        <w:rPr>
          <w:rFonts w:ascii="Palatino" w:eastAsia="Palatino" w:hAnsi="Palatino" w:cs="Palatino"/>
          <w:i/>
          <w:sz w:val="22"/>
          <w:szCs w:val="22"/>
        </w:rPr>
      </w:pPr>
      <w:r w:rsidRPr="008C3040">
        <w:rPr>
          <w:rFonts w:ascii="Palatino" w:eastAsia="Palatino" w:hAnsi="Palatino" w:cs="Palatino"/>
          <w:b/>
          <w:i/>
          <w:sz w:val="22"/>
          <w:szCs w:val="22"/>
        </w:rPr>
        <w:t>“Artículo 53</w:t>
      </w:r>
      <w:r w:rsidRPr="008C3040">
        <w:rPr>
          <w:rFonts w:ascii="Palatino" w:eastAsia="Palatino" w:hAnsi="Palatino" w:cs="Palatino"/>
          <w:i/>
          <w:sz w:val="22"/>
          <w:szCs w:val="22"/>
        </w:rPr>
        <w:t xml:space="preserve">. Las Unidades de Transparencia tendrán las siguientes funciones: </w:t>
      </w:r>
    </w:p>
    <w:p w14:paraId="20DB9716"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w:t>
      </w:r>
      <w:r w:rsidRPr="008C3040">
        <w:rPr>
          <w:rFonts w:ascii="Palatino" w:eastAsia="Palatino" w:hAnsi="Palatino" w:cs="Palatino"/>
          <w:i/>
          <w:sz w:val="22"/>
          <w:szCs w:val="22"/>
        </w:rPr>
        <w:lastRenderedPageBreak/>
        <w:t xml:space="preserve">propiciar que las áreas la actualicen periódicamente conforme a la normatividad aplicable; </w:t>
      </w:r>
    </w:p>
    <w:p w14:paraId="233FE7CF"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 xml:space="preserve">II. Recibir, tramitar y dar respuesta a las solicitudes de acceso a la información; </w:t>
      </w:r>
    </w:p>
    <w:p w14:paraId="65ACA83E"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 xml:space="preserve">III. Auxiliar a los particulares en la elaboración de solicitudes de acceso a la información y, en su caso, orientarlos sobre los sujetos obligados competentes conforme a la normatividad aplicable; </w:t>
      </w:r>
    </w:p>
    <w:p w14:paraId="2BBF4DA2"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 xml:space="preserve">IV. Realizar, con efectividad, los trámites internos necesarios para la atención de las solicitudes de acceso a la información; </w:t>
      </w:r>
    </w:p>
    <w:p w14:paraId="65120409"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 xml:space="preserve">V. Entregar, en su caso, a los particulares la información solicitada; </w:t>
      </w:r>
    </w:p>
    <w:p w14:paraId="7F31B258"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 xml:space="preserve">VI. Efectuar las notificaciones a los solicitantes; </w:t>
      </w:r>
    </w:p>
    <w:p w14:paraId="3093DB72"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 xml:space="preserve">VII. Proponer al Comité de Transparencia, los procedimientos internos que aseguren la mayor eficiencia en la gestión de las solicitudes de acceso a la información, conforme a la normatividad aplicable; </w:t>
      </w:r>
    </w:p>
    <w:p w14:paraId="33567975"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 xml:space="preserve">VIII. Proponer a quien preside el Comité de Transparencia, personal habilitado que sea necesario para recibir y dar trámite a las solicitudes de acceso a la información; </w:t>
      </w:r>
    </w:p>
    <w:p w14:paraId="177E5D91"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 xml:space="preserve">IX. Llevar un registro de las solicitudes de acceso a la información, sus respuestas, resultados, costos de reproducción y envío, resolución a los Recurso de Revisión que se hayan emitido en contra de sus respuestas y del cumplimiento de las mismas; </w:t>
      </w:r>
    </w:p>
    <w:p w14:paraId="65D831E8"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 xml:space="preserve">X. Presentar ante el Comité, el proyecto de clasificación de información; </w:t>
      </w:r>
    </w:p>
    <w:p w14:paraId="31FF6DE5"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 xml:space="preserve">XI. Promover e implementar políticas de transparencia proactiva procurando su accesibilidad; </w:t>
      </w:r>
    </w:p>
    <w:p w14:paraId="2F27B126"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 xml:space="preserve">XII. Fomentar la transparencia y accesibilidad al interior del sujeto obligado; </w:t>
      </w:r>
    </w:p>
    <w:p w14:paraId="20C3D92C"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 xml:space="preserve">XIII. Hacer del conocimiento de la instancia competente la probable responsabilidad por el incumplimiento de las obligaciones previstas en la presente Ley; y </w:t>
      </w:r>
    </w:p>
    <w:p w14:paraId="146F22B6"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1183"/>
        <w:jc w:val="both"/>
        <w:rPr>
          <w:rFonts w:ascii="Palatino" w:eastAsia="Palatino" w:hAnsi="Palatino" w:cs="Palatino"/>
          <w:i/>
          <w:sz w:val="22"/>
          <w:szCs w:val="22"/>
        </w:rPr>
      </w:pPr>
      <w:r w:rsidRPr="008C3040">
        <w:rPr>
          <w:rFonts w:ascii="Palatino" w:eastAsia="Palatino" w:hAnsi="Palatino" w:cs="Palatino"/>
          <w:i/>
          <w:sz w:val="22"/>
          <w:szCs w:val="22"/>
        </w:rPr>
        <w:t>XIV. Las demás que resulten necesarias para facilitar el acceso a la información y aquellas que se desprenden de la presente Ley y demás disposiciones jurídicas aplicables.</w:t>
      </w:r>
      <w:r w:rsidRPr="008C3040">
        <w:rPr>
          <w:rFonts w:ascii="Palatino" w:eastAsia="Palatino" w:hAnsi="Palatino" w:cs="Palatino"/>
          <w:b/>
          <w:i/>
          <w:sz w:val="22"/>
          <w:szCs w:val="22"/>
        </w:rPr>
        <w:t>”</w:t>
      </w:r>
    </w:p>
    <w:p w14:paraId="06935CAA" w14:textId="77777777" w:rsidR="00314A68" w:rsidRPr="008C3040" w:rsidRDefault="00314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5E56903E"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sidRPr="008C3040">
        <w:rPr>
          <w:rFonts w:ascii="Palatino" w:eastAsia="Palatino" w:hAnsi="Palatino" w:cs="Palatino"/>
        </w:rPr>
        <w:t xml:space="preserve">Por lo que, el hecho de emitir actos no previstos en el marco normativo que en materia transparencia rige su actuar, serían ilegales de estricto derecho. </w:t>
      </w:r>
    </w:p>
    <w:p w14:paraId="39E873FD" w14:textId="77777777" w:rsidR="00314A68" w:rsidRPr="008C3040" w:rsidRDefault="00314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25B6861B"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sidRPr="008C3040">
        <w:rPr>
          <w:rFonts w:ascii="Palatino" w:eastAsia="Palatino" w:hAnsi="Palatino" w:cs="Palatino"/>
        </w:rPr>
        <w:t xml:space="preserve">Es decir, la impugnación del </w:t>
      </w:r>
      <w:r w:rsidRPr="008C3040">
        <w:rPr>
          <w:rFonts w:ascii="Palatino" w:eastAsia="Palatino" w:hAnsi="Palatino" w:cs="Palatino"/>
          <w:b/>
        </w:rPr>
        <w:t>RECURRENTE</w:t>
      </w:r>
      <w:r w:rsidRPr="008C3040">
        <w:rPr>
          <w:rFonts w:ascii="Palatino" w:eastAsia="Palatino" w:hAnsi="Palatino" w:cs="Palatino"/>
        </w:rPr>
        <w:t xml:space="preserve"> debe ser sobre la emisión de un “Acto” contenido en la misma Ley o la omisión en la emisión de éste, lo que en el caso que nos </w:t>
      </w:r>
      <w:r w:rsidRPr="008C3040">
        <w:rPr>
          <w:rFonts w:ascii="Palatino" w:eastAsia="Palatino" w:hAnsi="Palatino" w:cs="Palatino"/>
        </w:rPr>
        <w:lastRenderedPageBreak/>
        <w:t xml:space="preserve">ocupa es la respuesta del </w:t>
      </w:r>
      <w:r w:rsidRPr="008C3040">
        <w:rPr>
          <w:rFonts w:ascii="Palatino" w:eastAsia="Palatino" w:hAnsi="Palatino" w:cs="Palatino"/>
          <w:b/>
        </w:rPr>
        <w:t>SUJETO OBLIGADO</w:t>
      </w:r>
      <w:r w:rsidRPr="008C3040">
        <w:rPr>
          <w:rFonts w:ascii="Palatino" w:eastAsia="Palatino" w:hAnsi="Palatino" w:cs="Palatino"/>
        </w:rPr>
        <w:t xml:space="preserve"> y su entrega incompleta o diversa  de la información solicitada al  remitir información que en sentido estricto no corresponde con la requerida por la particular en su solicitud de información. </w:t>
      </w:r>
    </w:p>
    <w:p w14:paraId="66438170" w14:textId="77777777" w:rsidR="00314A68" w:rsidRPr="008C3040" w:rsidRDefault="00314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46C99867"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sidRPr="008C3040">
        <w:rPr>
          <w:rFonts w:ascii="Palatino" w:eastAsia="Palatino" w:hAnsi="Palatino" w:cs="Palatino"/>
        </w:rPr>
        <w:t xml:space="preserve">Por cuanto hace al tercer elemento normativo, es en esencia una condicional, consistente en que la dependencia o entidad responsable del acto o resolución impugnada </w:t>
      </w:r>
      <w:r w:rsidRPr="008C3040">
        <w:rPr>
          <w:rFonts w:ascii="Palatino" w:eastAsia="Palatino" w:hAnsi="Palatino" w:cs="Palatino"/>
          <w:b/>
          <w:u w:val="single"/>
        </w:rPr>
        <w:t>la modifique o revoque</w:t>
      </w:r>
      <w:r w:rsidRPr="008C3040">
        <w:rPr>
          <w:rFonts w:ascii="Palatino" w:eastAsia="Palatino" w:hAnsi="Palatino" w:cs="Palatino"/>
        </w:rPr>
        <w:t xml:space="preserve">; entendiendo modificar como el acto que realiza el Sujeto Obligado cuando emite una respuesta, la cual, en un acto posterior cambia sustituyendo o ampliando la información proporcionada en un principio, cuyos resultados no dejan sin efectos la respuesta dada, sino que tiene por objeto </w:t>
      </w:r>
      <w:r w:rsidRPr="008C3040">
        <w:rPr>
          <w:rFonts w:ascii="Palatino" w:eastAsia="Palatino" w:hAnsi="Palatino" w:cs="Palatino"/>
          <w:b/>
          <w:u w:val="single"/>
        </w:rPr>
        <w:t>añadir</w:t>
      </w:r>
      <w:r w:rsidRPr="008C3040">
        <w:rPr>
          <w:rFonts w:ascii="Palatino" w:eastAsia="Palatino" w:hAnsi="Palatino" w:cs="Palatino"/>
        </w:rPr>
        <w:t>, suprimir, o sustituir datos, lo cual puede ser de forma parcial.</w:t>
      </w:r>
    </w:p>
    <w:p w14:paraId="3EE884C7" w14:textId="77777777" w:rsidR="00314A68" w:rsidRPr="008C3040" w:rsidRDefault="00314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793AAC91"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sidRPr="008C3040">
        <w:rPr>
          <w:rFonts w:ascii="Palatino" w:eastAsia="Palatino" w:hAnsi="Palatino" w:cs="Palatino"/>
        </w:rPr>
        <w:t xml:space="preserve">Entonces, la modificación, se  actualiza cuando otorga una respuesta y posteriormente emite otra en su lugar dejando sin efecto la anterior, esto mediante el Informe Justificado. </w:t>
      </w:r>
    </w:p>
    <w:p w14:paraId="5AFB348E" w14:textId="77777777" w:rsidR="00314A68" w:rsidRPr="008C3040" w:rsidRDefault="00314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721C0B6B"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sidRPr="008C3040">
        <w:rPr>
          <w:rFonts w:ascii="Palatino" w:eastAsia="Palatino" w:hAnsi="Palatino" w:cs="Palatino"/>
        </w:rPr>
        <w:t xml:space="preserve">En ese tenor, un acto impugnado queda sin efectos, cuando aun existiendo ya no genera ninguna consecuencia legal. Por otra parte, un acto impugnado queda sin materia, cuando ha sido satisfecha la pretensión de lo pedido o exigido por </w:t>
      </w:r>
      <w:r w:rsidRPr="008C3040">
        <w:rPr>
          <w:rFonts w:ascii="Palatino" w:eastAsia="Palatino" w:hAnsi="Palatino" w:cs="Palatino"/>
          <w:b/>
        </w:rPr>
        <w:t xml:space="preserve">EL RECURRENTE </w:t>
      </w:r>
      <w:r w:rsidRPr="008C3040">
        <w:rPr>
          <w:rFonts w:ascii="Palatino" w:eastAsia="Palatino" w:hAnsi="Palatino" w:cs="Palatino"/>
        </w:rPr>
        <w:t xml:space="preserve">ya que </w:t>
      </w:r>
      <w:r w:rsidRPr="008C3040">
        <w:rPr>
          <w:rFonts w:ascii="Palatino" w:eastAsia="Palatino" w:hAnsi="Palatino" w:cs="Palatino"/>
          <w:b/>
        </w:rPr>
        <w:t xml:space="preserve">EL SUJETO OBLIGADO </w:t>
      </w:r>
      <w:r w:rsidRPr="008C3040">
        <w:rPr>
          <w:rFonts w:ascii="Palatino" w:eastAsia="Palatino" w:hAnsi="Palatino" w:cs="Palatino"/>
        </w:rPr>
        <w:t xml:space="preserve">entrega su respuesta en los términos previstos en la ley y mediante ésta cumple lo establecido en la Ley de Transparencia y Acceso a la Información Pública del Estado de México y Municipios.  </w:t>
      </w:r>
    </w:p>
    <w:p w14:paraId="38EEEDED" w14:textId="77777777" w:rsidR="00314A68" w:rsidRPr="008C3040" w:rsidRDefault="00314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412A5FDC"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b/>
        </w:rPr>
      </w:pPr>
      <w:r w:rsidRPr="008C3040">
        <w:rPr>
          <w:rFonts w:ascii="Palatino" w:eastAsia="Palatino" w:hAnsi="Palatino" w:cs="Palatino"/>
        </w:rPr>
        <w:lastRenderedPageBreak/>
        <w:t xml:space="preserve">Con lo anterior en mente, se advierte que en el Recurso de Revisión materia del presente estudio </w:t>
      </w:r>
      <w:r w:rsidRPr="008C3040">
        <w:rPr>
          <w:rFonts w:ascii="Palatino" w:eastAsia="Palatino" w:hAnsi="Palatino" w:cs="Palatino"/>
          <w:b/>
        </w:rPr>
        <w:t>EL SUJETO OBLIGADO</w:t>
      </w:r>
      <w:r w:rsidRPr="008C3040">
        <w:rPr>
          <w:rFonts w:ascii="Palatino" w:eastAsia="Palatino" w:hAnsi="Palatino" w:cs="Palatino"/>
        </w:rPr>
        <w:t xml:space="preserve"> mediante un acto posterior, remitió la información que obraba en sus registros después de haber hecho una búsqueda razonable y exhaustiva, sobre lo cual versa la inconformidad del </w:t>
      </w:r>
      <w:r w:rsidRPr="008C3040">
        <w:rPr>
          <w:rFonts w:ascii="Palatino" w:eastAsia="Palatino" w:hAnsi="Palatino" w:cs="Palatino"/>
          <w:b/>
        </w:rPr>
        <w:t xml:space="preserve">RECURRENTE </w:t>
      </w:r>
      <w:r w:rsidRPr="008C3040">
        <w:rPr>
          <w:rFonts w:ascii="Palatino" w:eastAsia="Palatino" w:hAnsi="Palatino" w:cs="Palatino"/>
        </w:rPr>
        <w:t>y la cual como se puede apreciar de las razones expuestas a lo largo del presente estudio colma la petición del</w:t>
      </w:r>
      <w:r w:rsidRPr="008C3040">
        <w:rPr>
          <w:rFonts w:ascii="Palatino" w:eastAsia="Palatino" w:hAnsi="Palatino" w:cs="Palatino"/>
          <w:b/>
        </w:rPr>
        <w:t xml:space="preserve"> RECURRENTE. </w:t>
      </w:r>
    </w:p>
    <w:p w14:paraId="11AC4EB2" w14:textId="77777777" w:rsidR="00314A68" w:rsidRPr="008C3040" w:rsidRDefault="00314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1A53B8FD" w14:textId="77777777" w:rsidR="00314A68" w:rsidRPr="008C3040" w:rsidRDefault="00494F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sidRPr="008C3040">
        <w:rPr>
          <w:rFonts w:ascii="Palatino" w:eastAsia="Palatino" w:hAnsi="Palatino" w:cs="Palatino"/>
        </w:rPr>
        <w:t xml:space="preserve">En consecuencia, resulta procedente </w:t>
      </w:r>
      <w:r w:rsidRPr="008C3040">
        <w:rPr>
          <w:rFonts w:ascii="Palatino" w:eastAsia="Palatino" w:hAnsi="Palatino" w:cs="Palatino"/>
          <w:b/>
        </w:rPr>
        <w:t>SOBRESEER</w:t>
      </w:r>
      <w:r w:rsidRPr="008C3040">
        <w:rPr>
          <w:rFonts w:ascii="Palatino" w:eastAsia="Palatino" w:hAnsi="Palatino" w:cs="Palatino"/>
        </w:rPr>
        <w:t xml:space="preserve"> </w:t>
      </w:r>
      <w:r w:rsidRPr="008C3040">
        <w:rPr>
          <w:rFonts w:ascii="Palatino Linotype" w:eastAsia="Palatino Linotype" w:hAnsi="Palatino Linotype" w:cs="Palatino Linotype"/>
        </w:rPr>
        <w:t xml:space="preserve">el Recurso de Revisión número </w:t>
      </w:r>
      <w:r w:rsidRPr="008C3040">
        <w:rPr>
          <w:rFonts w:ascii="Palatino Linotype" w:eastAsia="Palatino Linotype" w:hAnsi="Palatino Linotype" w:cs="Palatino Linotype"/>
          <w:b/>
        </w:rPr>
        <w:t>00327/INFOEM/IP/RR/2022</w:t>
      </w:r>
      <w:r w:rsidRPr="008C3040">
        <w:rPr>
          <w:rFonts w:ascii="Palatino" w:eastAsia="Palatino" w:hAnsi="Palatino" w:cs="Palatino"/>
        </w:rPr>
        <w:t xml:space="preserve">, con fundamento en el artículo 192, fracciones III de la Ley de Transparencia y Acceso a la Información Pública del Estado de México y Municipios; toda vez que, queda sin materia, en atención a que </w:t>
      </w:r>
      <w:r w:rsidRPr="008C3040">
        <w:rPr>
          <w:rFonts w:ascii="Palatino" w:eastAsia="Palatino" w:hAnsi="Palatino" w:cs="Palatino"/>
          <w:b/>
        </w:rPr>
        <w:t>EL SUJETO OBLIGADO</w:t>
      </w:r>
      <w:r w:rsidRPr="008C3040">
        <w:rPr>
          <w:rFonts w:ascii="Palatino" w:eastAsia="Palatino" w:hAnsi="Palatino" w:cs="Palatino"/>
        </w:rPr>
        <w:t xml:space="preserve"> modificó su respuesta, como ya quedó asentado en párrafos que anteceden.</w:t>
      </w:r>
    </w:p>
    <w:p w14:paraId="18EC8FD7" w14:textId="77777777" w:rsidR="00314A68" w:rsidRPr="008C3040" w:rsidRDefault="00314A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p>
    <w:p w14:paraId="4656DAFC"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0D1BD203" w14:textId="77777777" w:rsidR="00314A68" w:rsidRPr="008C3040" w:rsidRDefault="00314A68">
      <w:pPr>
        <w:spacing w:line="360" w:lineRule="auto"/>
        <w:jc w:val="both"/>
        <w:rPr>
          <w:rFonts w:ascii="Palatino Linotype" w:eastAsia="Palatino Linotype" w:hAnsi="Palatino Linotype" w:cs="Palatino Linotype"/>
        </w:rPr>
      </w:pPr>
    </w:p>
    <w:p w14:paraId="7F54761B" w14:textId="77777777" w:rsidR="00314A68" w:rsidRPr="008C3040" w:rsidRDefault="00494F6B">
      <w:pPr>
        <w:spacing w:line="360" w:lineRule="auto"/>
        <w:jc w:val="center"/>
        <w:rPr>
          <w:rFonts w:ascii="Palatino Linotype" w:eastAsia="Palatino Linotype" w:hAnsi="Palatino Linotype" w:cs="Palatino Linotype"/>
          <w:b/>
          <w:sz w:val="26"/>
          <w:szCs w:val="26"/>
        </w:rPr>
      </w:pPr>
      <w:r w:rsidRPr="008C3040">
        <w:rPr>
          <w:rFonts w:ascii="Palatino Linotype" w:eastAsia="Palatino Linotype" w:hAnsi="Palatino Linotype" w:cs="Palatino Linotype"/>
          <w:b/>
          <w:sz w:val="26"/>
          <w:szCs w:val="26"/>
        </w:rPr>
        <w:t>RESUELVE</w:t>
      </w:r>
    </w:p>
    <w:p w14:paraId="6643F2C7" w14:textId="77777777" w:rsidR="00314A68" w:rsidRPr="008C3040" w:rsidRDefault="00314A68">
      <w:pPr>
        <w:spacing w:line="360" w:lineRule="auto"/>
        <w:jc w:val="center"/>
        <w:rPr>
          <w:rFonts w:ascii="Palatino Linotype" w:eastAsia="Palatino Linotype" w:hAnsi="Palatino Linotype" w:cs="Palatino Linotype"/>
          <w:b/>
          <w:sz w:val="26"/>
          <w:szCs w:val="26"/>
        </w:rPr>
      </w:pPr>
    </w:p>
    <w:p w14:paraId="57C597A1" w14:textId="77777777" w:rsidR="00314A68" w:rsidRPr="008C3040" w:rsidRDefault="00494F6B">
      <w:pPr>
        <w:spacing w:line="360" w:lineRule="auto"/>
        <w:jc w:val="both"/>
        <w:rPr>
          <w:rFonts w:ascii="Palatino Linotype" w:eastAsia="Palatino Linotype" w:hAnsi="Palatino Linotype" w:cs="Palatino Linotype"/>
        </w:rPr>
      </w:pPr>
      <w:bookmarkStart w:id="8" w:name="_heading=h.1ksv4uv" w:colFirst="0" w:colLast="0"/>
      <w:bookmarkEnd w:id="8"/>
      <w:r w:rsidRPr="008C3040">
        <w:rPr>
          <w:rFonts w:ascii="Palatino Linotype" w:eastAsia="Palatino Linotype" w:hAnsi="Palatino Linotype" w:cs="Palatino Linotype"/>
          <w:b/>
          <w:sz w:val="28"/>
          <w:szCs w:val="28"/>
        </w:rPr>
        <w:lastRenderedPageBreak/>
        <w:t>PRIMERO</w:t>
      </w:r>
      <w:r w:rsidRPr="008C3040">
        <w:rPr>
          <w:rFonts w:ascii="Palatino Linotype" w:eastAsia="Palatino Linotype" w:hAnsi="Palatino Linotype" w:cs="Palatino Linotype"/>
          <w:sz w:val="28"/>
          <w:szCs w:val="28"/>
        </w:rPr>
        <w:t>.</w:t>
      </w:r>
      <w:r w:rsidRPr="008C3040">
        <w:rPr>
          <w:rFonts w:ascii="Palatino Linotype" w:eastAsia="Palatino Linotype" w:hAnsi="Palatino Linotype" w:cs="Palatino Linotype"/>
        </w:rPr>
        <w:t xml:space="preserve"> Se </w:t>
      </w:r>
      <w:r w:rsidRPr="008C3040">
        <w:rPr>
          <w:rFonts w:ascii="Palatino Linotype" w:eastAsia="Palatino Linotype" w:hAnsi="Palatino Linotype" w:cs="Palatino Linotype"/>
          <w:b/>
        </w:rPr>
        <w:t xml:space="preserve">SOBRESEE </w:t>
      </w:r>
      <w:r w:rsidRPr="008C3040">
        <w:rPr>
          <w:rFonts w:ascii="Palatino Linotype" w:eastAsia="Palatino Linotype" w:hAnsi="Palatino Linotype" w:cs="Palatino Linotype"/>
        </w:rPr>
        <w:t xml:space="preserve">el Recurso de Revisión número </w:t>
      </w:r>
      <w:r w:rsidRPr="008C3040">
        <w:rPr>
          <w:rFonts w:ascii="Palatino Linotype" w:eastAsia="Palatino Linotype" w:hAnsi="Palatino Linotype" w:cs="Palatino Linotype"/>
          <w:b/>
        </w:rPr>
        <w:t>00327/INFOEM/IP/RR/2022</w:t>
      </w:r>
      <w:r w:rsidR="002B3529" w:rsidRPr="008C3040">
        <w:rPr>
          <w:rFonts w:ascii="Palatino Linotype" w:eastAsia="Palatino Linotype" w:hAnsi="Palatino Linotype" w:cs="Palatino Linotype"/>
          <w:b/>
        </w:rPr>
        <w:t>,</w:t>
      </w:r>
      <w:r w:rsidRPr="008C3040">
        <w:rPr>
          <w:rFonts w:ascii="Palatino Linotype" w:eastAsia="Palatino Linotype" w:hAnsi="Palatino Linotype" w:cs="Palatino Linotype"/>
        </w:rPr>
        <w:t xml:space="preserve"> </w:t>
      </w:r>
      <w:r w:rsidRPr="008C3040">
        <w:rPr>
          <w:rFonts w:ascii="Palatino Linotype" w:eastAsia="Palatino Linotype" w:hAnsi="Palatino Linotype" w:cs="Palatino Linotype"/>
          <w:b/>
        </w:rPr>
        <w:t>porque al modificar la respuesta EL SUJETO OBLIGADO, el Recurso de Revisión quedó sin materia</w:t>
      </w:r>
      <w:r w:rsidRPr="008C3040">
        <w:rPr>
          <w:rFonts w:ascii="Palatino Linotype" w:eastAsia="Palatino Linotype" w:hAnsi="Palatino Linotype" w:cs="Palatino Linotype"/>
        </w:rPr>
        <w:t xml:space="preserve"> en términos del Considerando </w:t>
      </w:r>
      <w:r w:rsidRPr="008C3040">
        <w:rPr>
          <w:rFonts w:ascii="Palatino Linotype" w:eastAsia="Palatino Linotype" w:hAnsi="Palatino Linotype" w:cs="Palatino Linotype"/>
          <w:b/>
        </w:rPr>
        <w:t xml:space="preserve">QUINTO </w:t>
      </w:r>
      <w:r w:rsidRPr="008C3040">
        <w:rPr>
          <w:rFonts w:ascii="Palatino Linotype" w:eastAsia="Palatino Linotype" w:hAnsi="Palatino Linotype" w:cs="Palatino Linotype"/>
        </w:rPr>
        <w:t>de la presente resolución.</w:t>
      </w:r>
    </w:p>
    <w:p w14:paraId="5256E570" w14:textId="77777777" w:rsidR="00314A68" w:rsidRPr="008C3040" w:rsidRDefault="00494F6B">
      <w:pPr>
        <w:widowControl w:val="0"/>
        <w:spacing w:before="280" w:after="28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b/>
          <w:sz w:val="28"/>
          <w:szCs w:val="28"/>
        </w:rPr>
        <w:t>SEGUNDO.</w:t>
      </w:r>
      <w:r w:rsidRPr="008C3040">
        <w:rPr>
          <w:rFonts w:ascii="Palatino Linotype" w:eastAsia="Palatino Linotype" w:hAnsi="Palatino Linotype" w:cs="Palatino Linotype"/>
          <w:b/>
        </w:rPr>
        <w:t xml:space="preserve"> Notifíquese</w:t>
      </w:r>
      <w:r w:rsidRPr="008C3040">
        <w:rPr>
          <w:rFonts w:ascii="Palatino Linotype" w:eastAsia="Palatino Linotype" w:hAnsi="Palatino Linotype" w:cs="Palatino Linotype"/>
        </w:rPr>
        <w:t xml:space="preserve"> la presente resolución a la Titular de la Unidad de Transparencia del </w:t>
      </w:r>
      <w:r w:rsidRPr="008C3040">
        <w:rPr>
          <w:rFonts w:ascii="Palatino Linotype" w:eastAsia="Palatino Linotype" w:hAnsi="Palatino Linotype" w:cs="Palatino Linotype"/>
          <w:b/>
        </w:rPr>
        <w:t>SUJETO OBLIGADO</w:t>
      </w:r>
      <w:r w:rsidRPr="008C3040">
        <w:rPr>
          <w:rFonts w:ascii="Palatino Linotype" w:eastAsia="Palatino Linotype" w:hAnsi="Palatino Linotype" w:cs="Palatino Linotype"/>
        </w:rPr>
        <w:t xml:space="preserve"> para su conocimiento.</w:t>
      </w:r>
    </w:p>
    <w:p w14:paraId="6AACCD61" w14:textId="77777777" w:rsidR="00314A68" w:rsidRPr="008C3040" w:rsidRDefault="00494F6B">
      <w:pPr>
        <w:widowControl w:val="0"/>
        <w:tabs>
          <w:tab w:val="left" w:pos="1701"/>
        </w:tabs>
        <w:spacing w:before="280" w:after="280"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b/>
          <w:sz w:val="28"/>
          <w:szCs w:val="28"/>
        </w:rPr>
        <w:t>TERCERO.</w:t>
      </w:r>
      <w:r w:rsidRPr="008C3040">
        <w:rPr>
          <w:rFonts w:ascii="Palatino Linotype" w:eastAsia="Palatino Linotype" w:hAnsi="Palatino Linotype" w:cs="Palatino Linotype"/>
          <w:b/>
        </w:rPr>
        <w:t xml:space="preserve"> Notifíquese</w:t>
      </w:r>
      <w:r w:rsidRPr="008C3040">
        <w:rPr>
          <w:rFonts w:ascii="Palatino Linotype" w:eastAsia="Palatino Linotype" w:hAnsi="Palatino Linotype" w:cs="Palatino Linotype"/>
        </w:rPr>
        <w:t xml:space="preserve"> al </w:t>
      </w:r>
      <w:r w:rsidRPr="008C3040">
        <w:rPr>
          <w:rFonts w:ascii="Palatino Linotype" w:eastAsia="Palatino Linotype" w:hAnsi="Palatino Linotype" w:cs="Palatino Linotype"/>
          <w:b/>
        </w:rPr>
        <w:t>RECURRENTE</w:t>
      </w:r>
      <w:r w:rsidRPr="008C3040">
        <w:rPr>
          <w:rFonts w:ascii="Palatino Linotype" w:eastAsia="Palatino Linotype" w:hAnsi="Palatino Linotype" w:cs="Palatino Linotype"/>
        </w:rPr>
        <w:t xml:space="preserve"> la presente resolución vía Sistema de Acceso a la Información Mexiquense (SAIMEX).</w:t>
      </w:r>
    </w:p>
    <w:p w14:paraId="024FFE53" w14:textId="77777777" w:rsidR="00314A68" w:rsidRPr="008C3040" w:rsidRDefault="00494F6B">
      <w:pPr>
        <w:widowControl w:val="0"/>
        <w:tabs>
          <w:tab w:val="left" w:pos="1701"/>
        </w:tabs>
        <w:spacing w:before="280" w:after="280" w:line="360" w:lineRule="auto"/>
        <w:jc w:val="both"/>
        <w:rPr>
          <w:rFonts w:ascii="Palatino Linotype" w:eastAsia="Palatino Linotype" w:hAnsi="Palatino Linotype" w:cs="Palatino Linotype"/>
          <w:b/>
          <w:sz w:val="26"/>
          <w:szCs w:val="26"/>
        </w:rPr>
      </w:pPr>
      <w:r w:rsidRPr="008C3040">
        <w:rPr>
          <w:rFonts w:ascii="Palatino Linotype" w:eastAsia="Palatino Linotype" w:hAnsi="Palatino Linotype" w:cs="Palatino Linotype"/>
          <w:b/>
          <w:sz w:val="28"/>
          <w:szCs w:val="28"/>
        </w:rPr>
        <w:t>CUARTO.</w:t>
      </w:r>
      <w:r w:rsidRPr="008C3040">
        <w:rPr>
          <w:rFonts w:ascii="Palatino Linotype" w:eastAsia="Palatino Linotype" w:hAnsi="Palatino Linotype" w:cs="Palatino Linotype"/>
          <w:b/>
        </w:rPr>
        <w:t xml:space="preserve"> Hágase</w:t>
      </w:r>
      <w:r w:rsidRPr="008C3040">
        <w:rPr>
          <w:rFonts w:ascii="Palatino Linotype" w:eastAsia="Palatino Linotype" w:hAnsi="Palatino Linotype" w:cs="Palatino Linotype"/>
        </w:rPr>
        <w:t xml:space="preserve"> </w:t>
      </w:r>
      <w:r w:rsidRPr="008C3040">
        <w:rPr>
          <w:rFonts w:ascii="Palatino Linotype" w:eastAsia="Palatino Linotype" w:hAnsi="Palatino Linotype" w:cs="Palatino Linotype"/>
          <w:b/>
        </w:rPr>
        <w:t>del conocimiento</w:t>
      </w:r>
      <w:r w:rsidRPr="008C3040">
        <w:rPr>
          <w:rFonts w:ascii="Palatino Linotype" w:eastAsia="Palatino Linotype" w:hAnsi="Palatino Linotype" w:cs="Palatino Linotype"/>
        </w:rPr>
        <w:t xml:space="preserve"> del </w:t>
      </w:r>
      <w:r w:rsidRPr="008C3040">
        <w:rPr>
          <w:rFonts w:ascii="Palatino Linotype" w:eastAsia="Palatino Linotype" w:hAnsi="Palatino Linotype" w:cs="Palatino Linotype"/>
          <w:b/>
        </w:rPr>
        <w:t>RECURRENTE</w:t>
      </w:r>
      <w:r w:rsidRPr="008C3040">
        <w:rPr>
          <w:rFonts w:ascii="Palatino Linotype" w:eastAsia="Palatino Linotype" w:hAnsi="Palatino Linotype" w:cs="Palatino Linotype"/>
        </w:rPr>
        <w:t>, que de conformidad con lo establecido en el artículo 196 de la Ley de Transparencia y Acceso a la Información Pública del Estado de México y Municipios, podrá impugnarla vía Juicio de Amparo en los términos de las leyes aplicables.</w:t>
      </w:r>
    </w:p>
    <w:p w14:paraId="51DC61D6" w14:textId="77777777" w:rsidR="00314A68" w:rsidRPr="008C3040" w:rsidRDefault="00494F6B">
      <w:pPr>
        <w:spacing w:line="360" w:lineRule="auto"/>
        <w:jc w:val="both"/>
        <w:rPr>
          <w:rFonts w:ascii="Palatino Linotype" w:eastAsia="Palatino Linotype" w:hAnsi="Palatino Linotype" w:cs="Palatino Linotype"/>
        </w:rPr>
      </w:pPr>
      <w:r w:rsidRPr="008C3040">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DIECISÉIS DE MARZO DE DOS MIL </w:t>
      </w:r>
      <w:r w:rsidRPr="008C3040">
        <w:rPr>
          <w:rFonts w:ascii="Palatino Linotype" w:eastAsia="Palatino Linotype" w:hAnsi="Palatino Linotype" w:cs="Palatino Linotype"/>
        </w:rPr>
        <w:lastRenderedPageBreak/>
        <w:t xml:space="preserve">VEINTIDÓS, </w:t>
      </w:r>
      <w:r w:rsidR="00D92CBF" w:rsidRPr="008C3040">
        <w:rPr>
          <w:rFonts w:ascii="Palatino Linotype" w:hAnsi="Palatino Linotype" w:cs="Arial"/>
        </w:rPr>
        <w:t>ANTE EL SECRETARIO TÉCNICO DEL PLENO, ALEXIS TAPIA RAMÍREZ.</w:t>
      </w:r>
    </w:p>
    <w:p w14:paraId="0EA2249E" w14:textId="77777777" w:rsidR="00314A68" w:rsidRDefault="00494F6B">
      <w:pPr>
        <w:spacing w:line="360" w:lineRule="auto"/>
        <w:jc w:val="both"/>
        <w:rPr>
          <w:rFonts w:ascii="Palatino Linotype" w:eastAsia="Palatino Linotype" w:hAnsi="Palatino Linotype" w:cs="Palatino Linotype"/>
          <w:sz w:val="14"/>
          <w:szCs w:val="14"/>
        </w:rPr>
      </w:pPr>
      <w:r w:rsidRPr="008C3040">
        <w:rPr>
          <w:rFonts w:ascii="Palatino Linotype" w:eastAsia="Palatino Linotype" w:hAnsi="Palatino Linotype" w:cs="Palatino Linotype"/>
          <w:sz w:val="14"/>
          <w:szCs w:val="14"/>
        </w:rPr>
        <w:t>SCMM/BLA/DEMF/PMRE</w:t>
      </w:r>
    </w:p>
    <w:p w14:paraId="7D636BA8" w14:textId="77777777" w:rsidR="00314A68" w:rsidRDefault="00494F6B">
      <w:pPr>
        <w:rPr>
          <w:rFonts w:ascii="Palatino Linotype" w:eastAsia="Palatino Linotype" w:hAnsi="Palatino Linotype" w:cs="Palatino Linotype"/>
        </w:rPr>
      </w:pPr>
      <w:r>
        <w:br w:type="page"/>
      </w:r>
    </w:p>
    <w:p w14:paraId="6A25F6F4" w14:textId="77777777" w:rsidR="00314A68" w:rsidRDefault="00314A68">
      <w:pPr>
        <w:spacing w:line="360" w:lineRule="auto"/>
        <w:jc w:val="both"/>
        <w:rPr>
          <w:rFonts w:ascii="Palatino Linotype" w:eastAsia="Palatino Linotype" w:hAnsi="Palatino Linotype" w:cs="Palatino Linotype"/>
        </w:rPr>
      </w:pPr>
    </w:p>
    <w:p w14:paraId="4D7FD046" w14:textId="77777777" w:rsidR="00314A68" w:rsidRDefault="00314A68">
      <w:pPr>
        <w:spacing w:line="360" w:lineRule="auto"/>
        <w:jc w:val="both"/>
        <w:rPr>
          <w:rFonts w:ascii="Palatino Linotype" w:eastAsia="Palatino Linotype" w:hAnsi="Palatino Linotype" w:cs="Palatino Linotype"/>
        </w:rPr>
      </w:pPr>
    </w:p>
    <w:p w14:paraId="3B65DAE8" w14:textId="77777777" w:rsidR="00314A68" w:rsidRDefault="00314A68">
      <w:pPr>
        <w:spacing w:line="360" w:lineRule="auto"/>
        <w:jc w:val="both"/>
        <w:rPr>
          <w:rFonts w:ascii="Palatino Linotype" w:eastAsia="Palatino Linotype" w:hAnsi="Palatino Linotype" w:cs="Palatino Linotype"/>
        </w:rPr>
      </w:pPr>
    </w:p>
    <w:p w14:paraId="4D8BC914" w14:textId="77777777" w:rsidR="00314A68" w:rsidRDefault="00314A68">
      <w:pPr>
        <w:spacing w:line="360" w:lineRule="auto"/>
        <w:jc w:val="both"/>
        <w:rPr>
          <w:rFonts w:ascii="Palatino Linotype" w:eastAsia="Palatino Linotype" w:hAnsi="Palatino Linotype" w:cs="Palatino Linotype"/>
        </w:rPr>
      </w:pPr>
    </w:p>
    <w:p w14:paraId="06ADD318" w14:textId="77777777" w:rsidR="00314A68" w:rsidRDefault="00314A68">
      <w:pPr>
        <w:spacing w:line="360" w:lineRule="auto"/>
        <w:jc w:val="both"/>
        <w:rPr>
          <w:rFonts w:ascii="Palatino Linotype" w:eastAsia="Palatino Linotype" w:hAnsi="Palatino Linotype" w:cs="Palatino Linotype"/>
        </w:rPr>
      </w:pPr>
    </w:p>
    <w:p w14:paraId="5587F67E" w14:textId="77777777" w:rsidR="00314A68" w:rsidRDefault="00314A68">
      <w:pPr>
        <w:spacing w:line="360" w:lineRule="auto"/>
        <w:jc w:val="both"/>
        <w:rPr>
          <w:rFonts w:ascii="Palatino Linotype" w:eastAsia="Palatino Linotype" w:hAnsi="Palatino Linotype" w:cs="Palatino Linotype"/>
        </w:rPr>
      </w:pPr>
    </w:p>
    <w:p w14:paraId="5C081125" w14:textId="77777777" w:rsidR="00314A68" w:rsidRDefault="00314A68">
      <w:pPr>
        <w:spacing w:line="360" w:lineRule="auto"/>
        <w:jc w:val="both"/>
        <w:rPr>
          <w:rFonts w:ascii="Palatino Linotype" w:eastAsia="Palatino Linotype" w:hAnsi="Palatino Linotype" w:cs="Palatino Linotype"/>
        </w:rPr>
      </w:pPr>
    </w:p>
    <w:p w14:paraId="3C869C52" w14:textId="77777777" w:rsidR="00314A68" w:rsidRDefault="00314A68">
      <w:pPr>
        <w:spacing w:line="360" w:lineRule="auto"/>
        <w:jc w:val="both"/>
        <w:rPr>
          <w:rFonts w:ascii="Palatino Linotype" w:eastAsia="Palatino Linotype" w:hAnsi="Palatino Linotype" w:cs="Palatino Linotype"/>
        </w:rPr>
      </w:pPr>
    </w:p>
    <w:p w14:paraId="1327D480" w14:textId="77777777" w:rsidR="00314A68" w:rsidRDefault="00314A68">
      <w:pPr>
        <w:spacing w:line="360" w:lineRule="auto"/>
        <w:jc w:val="both"/>
        <w:rPr>
          <w:rFonts w:ascii="Palatino Linotype" w:eastAsia="Palatino Linotype" w:hAnsi="Palatino Linotype" w:cs="Palatino Linotype"/>
        </w:rPr>
      </w:pPr>
    </w:p>
    <w:p w14:paraId="7A0FFCC0" w14:textId="77777777" w:rsidR="00314A68" w:rsidRDefault="00314A68">
      <w:pPr>
        <w:spacing w:line="360" w:lineRule="auto"/>
        <w:jc w:val="both"/>
        <w:rPr>
          <w:rFonts w:ascii="Palatino Linotype" w:eastAsia="Palatino Linotype" w:hAnsi="Palatino Linotype" w:cs="Palatino Linotype"/>
        </w:rPr>
      </w:pPr>
    </w:p>
    <w:p w14:paraId="5260522D" w14:textId="77777777" w:rsidR="00314A68" w:rsidRDefault="00314A68">
      <w:pPr>
        <w:spacing w:line="360" w:lineRule="auto"/>
        <w:jc w:val="both"/>
        <w:rPr>
          <w:rFonts w:ascii="Palatino Linotype" w:eastAsia="Palatino Linotype" w:hAnsi="Palatino Linotype" w:cs="Palatino Linotype"/>
        </w:rPr>
      </w:pPr>
    </w:p>
    <w:p w14:paraId="543D6F13" w14:textId="77777777" w:rsidR="00314A68" w:rsidRDefault="00314A68">
      <w:pPr>
        <w:spacing w:line="360" w:lineRule="auto"/>
        <w:jc w:val="both"/>
        <w:rPr>
          <w:rFonts w:ascii="Palatino Linotype" w:eastAsia="Palatino Linotype" w:hAnsi="Palatino Linotype" w:cs="Palatino Linotype"/>
        </w:rPr>
      </w:pPr>
    </w:p>
    <w:p w14:paraId="53DB06DD" w14:textId="77777777" w:rsidR="00314A68" w:rsidRDefault="00314A68">
      <w:pPr>
        <w:spacing w:line="360" w:lineRule="auto"/>
        <w:jc w:val="both"/>
        <w:rPr>
          <w:rFonts w:ascii="Palatino Linotype" w:eastAsia="Palatino Linotype" w:hAnsi="Palatino Linotype" w:cs="Palatino Linotype"/>
        </w:rPr>
      </w:pPr>
    </w:p>
    <w:p w14:paraId="14A339C2" w14:textId="77777777" w:rsidR="00314A68" w:rsidRDefault="00314A68">
      <w:pPr>
        <w:spacing w:line="360" w:lineRule="auto"/>
        <w:jc w:val="both"/>
        <w:rPr>
          <w:rFonts w:ascii="Palatino Linotype" w:eastAsia="Palatino Linotype" w:hAnsi="Palatino Linotype" w:cs="Palatino Linotype"/>
        </w:rPr>
      </w:pPr>
    </w:p>
    <w:p w14:paraId="54EB896A" w14:textId="77777777" w:rsidR="00314A68" w:rsidRDefault="00314A68">
      <w:pPr>
        <w:spacing w:line="360" w:lineRule="auto"/>
        <w:jc w:val="both"/>
        <w:rPr>
          <w:rFonts w:ascii="Palatino Linotype" w:eastAsia="Palatino Linotype" w:hAnsi="Palatino Linotype" w:cs="Palatino Linotype"/>
        </w:rPr>
      </w:pPr>
    </w:p>
    <w:p w14:paraId="6B037B5A" w14:textId="77777777" w:rsidR="00314A68" w:rsidRDefault="00314A68">
      <w:pPr>
        <w:spacing w:line="360" w:lineRule="auto"/>
        <w:jc w:val="both"/>
        <w:rPr>
          <w:rFonts w:ascii="Palatino Linotype" w:eastAsia="Palatino Linotype" w:hAnsi="Palatino Linotype" w:cs="Palatino Linotype"/>
        </w:rPr>
      </w:pPr>
    </w:p>
    <w:p w14:paraId="7FA00F59" w14:textId="77777777" w:rsidR="00314A68" w:rsidRDefault="00314A68">
      <w:pPr>
        <w:spacing w:line="360" w:lineRule="auto"/>
        <w:jc w:val="both"/>
        <w:rPr>
          <w:rFonts w:ascii="Palatino Linotype" w:eastAsia="Palatino Linotype" w:hAnsi="Palatino Linotype" w:cs="Palatino Linotype"/>
        </w:rPr>
      </w:pPr>
    </w:p>
    <w:p w14:paraId="3A79B9A6" w14:textId="77777777" w:rsidR="00314A68" w:rsidRDefault="00314A68">
      <w:pPr>
        <w:spacing w:line="360" w:lineRule="auto"/>
        <w:jc w:val="both"/>
        <w:rPr>
          <w:rFonts w:ascii="Palatino Linotype" w:eastAsia="Palatino Linotype" w:hAnsi="Palatino Linotype" w:cs="Palatino Linotype"/>
        </w:rPr>
      </w:pPr>
    </w:p>
    <w:p w14:paraId="6AD3F9EE" w14:textId="77777777" w:rsidR="002B3529" w:rsidRDefault="002B3529">
      <w:pPr>
        <w:spacing w:line="360" w:lineRule="auto"/>
        <w:jc w:val="both"/>
        <w:rPr>
          <w:rFonts w:ascii="Palatino Linotype" w:eastAsia="Palatino Linotype" w:hAnsi="Palatino Linotype" w:cs="Palatino Linotype"/>
        </w:rPr>
      </w:pPr>
    </w:p>
    <w:sectPr w:rsidR="002B3529">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ED9B4" w14:textId="77777777" w:rsidR="007D2DE8" w:rsidRDefault="007D2DE8">
      <w:r>
        <w:separator/>
      </w:r>
    </w:p>
  </w:endnote>
  <w:endnote w:type="continuationSeparator" w:id="0">
    <w:p w14:paraId="4CD5C2B1" w14:textId="77777777" w:rsidR="007D2DE8" w:rsidRDefault="007D2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158E1" w14:textId="77777777" w:rsidR="00314A68" w:rsidRDefault="00494F6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B77905">
      <w:rPr>
        <w:rFonts w:ascii="Palatino Linotype" w:eastAsia="Palatino Linotype" w:hAnsi="Palatino Linotype" w:cs="Palatino Linotype"/>
        <w:noProof/>
        <w:color w:val="000000"/>
        <w:sz w:val="22"/>
        <w:szCs w:val="22"/>
      </w:rPr>
      <w:t>51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B77905">
      <w:rPr>
        <w:rFonts w:ascii="Palatino Linotype" w:eastAsia="Palatino Linotype" w:hAnsi="Palatino Linotype" w:cs="Palatino Linotype"/>
        <w:noProof/>
        <w:color w:val="000000"/>
        <w:sz w:val="22"/>
        <w:szCs w:val="22"/>
      </w:rPr>
      <w:t>51</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9953" w14:textId="77777777" w:rsidR="00314A68" w:rsidRDefault="00494F6B">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B77905">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B77905">
      <w:rPr>
        <w:rFonts w:ascii="Palatino Linotype" w:eastAsia="Palatino Linotype" w:hAnsi="Palatino Linotype" w:cs="Palatino Linotype"/>
        <w:noProof/>
        <w:color w:val="000000"/>
        <w:sz w:val="22"/>
        <w:szCs w:val="22"/>
      </w:rPr>
      <w:t>51</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B3BCD" w14:textId="77777777" w:rsidR="007D2DE8" w:rsidRDefault="007D2DE8">
      <w:r>
        <w:separator/>
      </w:r>
    </w:p>
  </w:footnote>
  <w:footnote w:type="continuationSeparator" w:id="0">
    <w:p w14:paraId="5689B284" w14:textId="77777777" w:rsidR="007D2DE8" w:rsidRDefault="007D2DE8">
      <w:r>
        <w:continuationSeparator/>
      </w:r>
    </w:p>
  </w:footnote>
  <w:footnote w:id="1">
    <w:p w14:paraId="16B584B1" w14:textId="77777777" w:rsidR="00314A68" w:rsidRDefault="00494F6B">
      <w:pPr>
        <w:rPr>
          <w:sz w:val="20"/>
          <w:szCs w:val="20"/>
        </w:rPr>
      </w:pPr>
      <w:r>
        <w:rPr>
          <w:vertAlign w:val="superscript"/>
        </w:rPr>
        <w:footnoteRef/>
      </w:r>
      <w:r>
        <w:rPr>
          <w:sz w:val="20"/>
          <w:szCs w:val="20"/>
        </w:rPr>
        <w:t xml:space="preserve"> Información Pública de Oficio Mexiquense.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8CDE3" w14:textId="77777777" w:rsidR="00314A68" w:rsidRDefault="007D2DE8">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B825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14A87" w14:textId="77777777" w:rsidR="00314A68" w:rsidRDefault="007D2DE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52FAB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0;margin-top:0;width:540pt;height:10in;z-index:-251659776;mso-position-horizontal:center;mso-position-horizontal-relative:margin;mso-position-vertical:center;mso-position-vertical-relative:margin">
          <v:imagedata r:id="rId1" o:title="image3"/>
          <w10:wrap anchorx="margin" anchory="margin"/>
        </v:shape>
      </w:pict>
    </w:r>
  </w:p>
  <w:tbl>
    <w:tblPr>
      <w:tblStyle w:val="ac"/>
      <w:tblW w:w="9534" w:type="dxa"/>
      <w:tblInd w:w="-142" w:type="dxa"/>
      <w:tblLayout w:type="fixed"/>
      <w:tblLook w:val="0400" w:firstRow="0" w:lastRow="0" w:firstColumn="0" w:lastColumn="0" w:noHBand="0" w:noVBand="1"/>
    </w:tblPr>
    <w:tblGrid>
      <w:gridCol w:w="3261"/>
      <w:gridCol w:w="2551"/>
      <w:gridCol w:w="3722"/>
    </w:tblGrid>
    <w:tr w:rsidR="00314A68" w14:paraId="215DB18E" w14:textId="77777777">
      <w:tc>
        <w:tcPr>
          <w:tcW w:w="3261" w:type="dxa"/>
          <w:vMerge w:val="restart"/>
        </w:tcPr>
        <w:p w14:paraId="34A515C1" w14:textId="77777777" w:rsidR="00314A68" w:rsidRDefault="00494F6B">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80EA77A" wp14:editId="653BED74">
                <wp:extent cx="1692162" cy="852673"/>
                <wp:effectExtent l="0" t="0" r="0" b="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C40587E" w14:textId="77777777" w:rsidR="00314A68" w:rsidRDefault="00494F6B">
          <w:pPr>
            <w:rPr>
              <w:rFonts w:ascii="Palatino Linotype" w:eastAsia="Palatino Linotype" w:hAnsi="Palatino Linotype" w:cs="Palatino Linotype"/>
              <w:b/>
            </w:rPr>
          </w:pPr>
          <w:r>
            <w:rPr>
              <w:rFonts w:ascii="Palatino Linotype" w:eastAsia="Palatino Linotype" w:hAnsi="Palatino Linotype" w:cs="Palatino Linotype"/>
              <w:b/>
            </w:rPr>
            <w:t xml:space="preserve">Recurso de </w:t>
          </w:r>
          <w:r w:rsidR="002B3529">
            <w:rPr>
              <w:rFonts w:ascii="Palatino Linotype" w:eastAsia="Palatino Linotype" w:hAnsi="Palatino Linotype" w:cs="Palatino Linotype"/>
              <w:b/>
            </w:rPr>
            <w:t>R</w:t>
          </w:r>
          <w:r>
            <w:rPr>
              <w:rFonts w:ascii="Palatino Linotype" w:eastAsia="Palatino Linotype" w:hAnsi="Palatino Linotype" w:cs="Palatino Linotype"/>
              <w:b/>
            </w:rPr>
            <w:t>evisión:</w:t>
          </w:r>
        </w:p>
      </w:tc>
      <w:tc>
        <w:tcPr>
          <w:tcW w:w="3722" w:type="dxa"/>
          <w:shd w:val="clear" w:color="auto" w:fill="auto"/>
          <w:vAlign w:val="center"/>
        </w:tcPr>
        <w:p w14:paraId="0B8FA947" w14:textId="77777777" w:rsidR="00314A68" w:rsidRDefault="00494F6B">
          <w:pPr>
            <w:jc w:val="both"/>
            <w:rPr>
              <w:rFonts w:ascii="Palatino Linotype" w:eastAsia="Palatino Linotype" w:hAnsi="Palatino Linotype" w:cs="Palatino Linotype"/>
              <w:b/>
            </w:rPr>
          </w:pPr>
          <w:r>
            <w:rPr>
              <w:rFonts w:ascii="Palatino Linotype" w:eastAsia="Palatino Linotype" w:hAnsi="Palatino Linotype" w:cs="Palatino Linotype"/>
              <w:b/>
            </w:rPr>
            <w:t>00327/INFOEM/IP/RR/2022</w:t>
          </w:r>
        </w:p>
      </w:tc>
    </w:tr>
    <w:tr w:rsidR="00314A68" w14:paraId="03E27858" w14:textId="77777777">
      <w:tc>
        <w:tcPr>
          <w:tcW w:w="3261" w:type="dxa"/>
          <w:vMerge/>
        </w:tcPr>
        <w:p w14:paraId="2271673C" w14:textId="77777777" w:rsidR="00314A68" w:rsidRDefault="00314A6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39229AF" w14:textId="77777777" w:rsidR="00314A68" w:rsidRDefault="00494F6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495603F4" w14:textId="77777777" w:rsidR="00314A68" w:rsidRDefault="00494F6B">
          <w:pPr>
            <w:jc w:val="both"/>
            <w:rPr>
              <w:rFonts w:ascii="Palatino Linotype" w:eastAsia="Palatino Linotype" w:hAnsi="Palatino Linotype" w:cs="Palatino Linotype"/>
              <w:b/>
            </w:rPr>
          </w:pPr>
          <w:r>
            <w:rPr>
              <w:rFonts w:ascii="Palatino Linotype" w:eastAsia="Palatino Linotype" w:hAnsi="Palatino Linotype" w:cs="Palatino Linotype"/>
              <w:b/>
            </w:rPr>
            <w:t>Servicios Educativos Integrados al Estado de México</w:t>
          </w:r>
        </w:p>
      </w:tc>
    </w:tr>
    <w:tr w:rsidR="00314A68" w14:paraId="3A91DE19" w14:textId="77777777">
      <w:trPr>
        <w:trHeight w:val="228"/>
      </w:trPr>
      <w:tc>
        <w:tcPr>
          <w:tcW w:w="3261" w:type="dxa"/>
          <w:vMerge/>
        </w:tcPr>
        <w:p w14:paraId="222F6D23" w14:textId="77777777" w:rsidR="00314A68" w:rsidRDefault="00314A6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07A8ECA" w14:textId="77777777" w:rsidR="00314A68" w:rsidRDefault="00494F6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48C4A244" w14:textId="77777777" w:rsidR="00314A68" w:rsidRDefault="00494F6B">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0902454B" w14:textId="77777777" w:rsidR="00314A68" w:rsidRDefault="00314A6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223BD" w14:textId="77777777" w:rsidR="00314A68" w:rsidRDefault="007D2DE8">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7115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3"/>
          <w10:wrap anchorx="margin" anchory="margin"/>
        </v:shape>
      </w:pict>
    </w:r>
  </w:p>
  <w:tbl>
    <w:tblPr>
      <w:tblStyle w:val="ad"/>
      <w:tblW w:w="9900" w:type="dxa"/>
      <w:tblInd w:w="-833" w:type="dxa"/>
      <w:tblLayout w:type="fixed"/>
      <w:tblLook w:val="0400" w:firstRow="0" w:lastRow="0" w:firstColumn="0" w:lastColumn="0" w:noHBand="0" w:noVBand="1"/>
    </w:tblPr>
    <w:tblGrid>
      <w:gridCol w:w="3805"/>
      <w:gridCol w:w="3000"/>
      <w:gridCol w:w="3095"/>
    </w:tblGrid>
    <w:tr w:rsidR="00314A68" w14:paraId="086FC3BE" w14:textId="77777777">
      <w:tc>
        <w:tcPr>
          <w:tcW w:w="3805" w:type="dxa"/>
          <w:vMerge w:val="restart"/>
          <w:shd w:val="clear" w:color="auto" w:fill="auto"/>
        </w:tcPr>
        <w:p w14:paraId="1501BC8A" w14:textId="77777777" w:rsidR="00314A68" w:rsidRDefault="00494F6B">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F68EDAE" wp14:editId="77732092">
                <wp:extent cx="1692162" cy="852673"/>
                <wp:effectExtent l="0" t="0" r="0" b="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7EAABA6B" w14:textId="77777777" w:rsidR="00314A68" w:rsidRDefault="00494F6B">
          <w:pPr>
            <w:rPr>
              <w:rFonts w:ascii="Palatino Linotype" w:eastAsia="Palatino Linotype" w:hAnsi="Palatino Linotype" w:cs="Palatino Linotype"/>
              <w:b/>
            </w:rPr>
          </w:pPr>
          <w:r>
            <w:rPr>
              <w:rFonts w:ascii="Palatino Linotype" w:eastAsia="Palatino Linotype" w:hAnsi="Palatino Linotype" w:cs="Palatino Linotype"/>
              <w:b/>
            </w:rPr>
            <w:t xml:space="preserve">Recurso de </w:t>
          </w:r>
          <w:r w:rsidR="002B3529">
            <w:rPr>
              <w:rFonts w:ascii="Palatino Linotype" w:eastAsia="Palatino Linotype" w:hAnsi="Palatino Linotype" w:cs="Palatino Linotype"/>
              <w:b/>
            </w:rPr>
            <w:t>R</w:t>
          </w:r>
          <w:r>
            <w:rPr>
              <w:rFonts w:ascii="Palatino Linotype" w:eastAsia="Palatino Linotype" w:hAnsi="Palatino Linotype" w:cs="Palatino Linotype"/>
              <w:b/>
            </w:rPr>
            <w:t>evisión:</w:t>
          </w:r>
        </w:p>
      </w:tc>
      <w:tc>
        <w:tcPr>
          <w:tcW w:w="3095" w:type="dxa"/>
          <w:shd w:val="clear" w:color="auto" w:fill="auto"/>
          <w:vAlign w:val="center"/>
        </w:tcPr>
        <w:p w14:paraId="76BE953A" w14:textId="77777777" w:rsidR="00314A68" w:rsidRDefault="00494F6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00327/INFOEM/IP/RR/2022 </w:t>
          </w:r>
        </w:p>
      </w:tc>
    </w:tr>
    <w:tr w:rsidR="00314A68" w14:paraId="7A623E76" w14:textId="77777777">
      <w:tc>
        <w:tcPr>
          <w:tcW w:w="3805" w:type="dxa"/>
          <w:vMerge/>
          <w:shd w:val="clear" w:color="auto" w:fill="auto"/>
        </w:tcPr>
        <w:p w14:paraId="42B4F244" w14:textId="77777777" w:rsidR="00314A68" w:rsidRDefault="00314A6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2BEF4EB" w14:textId="77777777" w:rsidR="00314A68" w:rsidRDefault="00494F6B">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62C6A985" w14:textId="2941280A" w:rsidR="00314A68" w:rsidRDefault="00B77905">
          <w:pPr>
            <w:jc w:val="both"/>
            <w:rPr>
              <w:rFonts w:ascii="Palatino Linotype" w:eastAsia="Palatino Linotype" w:hAnsi="Palatino Linotype" w:cs="Palatino Linotype"/>
              <w:b/>
            </w:rPr>
          </w:pPr>
          <w:r w:rsidRPr="00B77905">
            <w:rPr>
              <w:rFonts w:ascii="Palatino Linotype" w:eastAsia="Palatino Linotype" w:hAnsi="Palatino Linotype" w:cs="Palatino Linotype"/>
              <w:b/>
            </w:rPr>
            <w:t xml:space="preserve">XXXXXXXXXX XX </w:t>
          </w:r>
          <w:proofErr w:type="spellStart"/>
          <w:r w:rsidRPr="00B77905">
            <w:rPr>
              <w:rFonts w:ascii="Palatino Linotype" w:eastAsia="Palatino Linotype" w:hAnsi="Palatino Linotype" w:cs="Palatino Linotype"/>
              <w:b/>
            </w:rPr>
            <w:t>XX</w:t>
          </w:r>
          <w:proofErr w:type="spellEnd"/>
          <w:r w:rsidRPr="00B77905">
            <w:rPr>
              <w:rFonts w:ascii="Palatino Linotype" w:eastAsia="Palatino Linotype" w:hAnsi="Palatino Linotype" w:cs="Palatino Linotype"/>
              <w:b/>
            </w:rPr>
            <w:t xml:space="preserve"> XXXXXXXX XX XXXXXXXXXXXXX XX XXXXXXXXXXXXX</w:t>
          </w:r>
        </w:p>
      </w:tc>
    </w:tr>
    <w:tr w:rsidR="00314A68" w14:paraId="6D0F047B" w14:textId="77777777">
      <w:trPr>
        <w:trHeight w:val="228"/>
      </w:trPr>
      <w:tc>
        <w:tcPr>
          <w:tcW w:w="3805" w:type="dxa"/>
          <w:vMerge/>
          <w:shd w:val="clear" w:color="auto" w:fill="auto"/>
        </w:tcPr>
        <w:p w14:paraId="26032B55" w14:textId="77777777" w:rsidR="00314A68" w:rsidRDefault="00314A6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2A21619" w14:textId="77777777" w:rsidR="00314A68" w:rsidRDefault="00494F6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7F369C16" w14:textId="77777777" w:rsidR="00314A68" w:rsidRDefault="00494F6B">
          <w:pPr>
            <w:jc w:val="both"/>
            <w:rPr>
              <w:rFonts w:ascii="Palatino Linotype" w:eastAsia="Palatino Linotype" w:hAnsi="Palatino Linotype" w:cs="Palatino Linotype"/>
              <w:b/>
            </w:rPr>
          </w:pPr>
          <w:r>
            <w:rPr>
              <w:rFonts w:ascii="Palatino Linotype" w:eastAsia="Palatino Linotype" w:hAnsi="Palatino Linotype" w:cs="Palatino Linotype"/>
              <w:b/>
            </w:rPr>
            <w:t>Servicios Educativos Integrados al Estado de México</w:t>
          </w:r>
        </w:p>
      </w:tc>
    </w:tr>
    <w:tr w:rsidR="00314A68" w14:paraId="2F48A000" w14:textId="77777777">
      <w:tc>
        <w:tcPr>
          <w:tcW w:w="3805" w:type="dxa"/>
          <w:vMerge/>
          <w:shd w:val="clear" w:color="auto" w:fill="auto"/>
        </w:tcPr>
        <w:p w14:paraId="742BD2B3" w14:textId="77777777" w:rsidR="00314A68" w:rsidRDefault="00314A6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03F0C25" w14:textId="77777777" w:rsidR="00314A68" w:rsidRDefault="00494F6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1DC1CFAB" w14:textId="77777777" w:rsidR="00314A68" w:rsidRDefault="00494F6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102EE16A" w14:textId="77777777" w:rsidR="00314A68" w:rsidRDefault="00314A68">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232A0B"/>
    <w:multiLevelType w:val="multilevel"/>
    <w:tmpl w:val="68F62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90B6E24"/>
    <w:multiLevelType w:val="multilevel"/>
    <w:tmpl w:val="678852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A68"/>
    <w:rsid w:val="00176896"/>
    <w:rsid w:val="002B3529"/>
    <w:rsid w:val="00314A68"/>
    <w:rsid w:val="00494F6B"/>
    <w:rsid w:val="007D2DE8"/>
    <w:rsid w:val="008C3040"/>
    <w:rsid w:val="008F0D88"/>
    <w:rsid w:val="00B77905"/>
    <w:rsid w:val="00C80A10"/>
    <w:rsid w:val="00D92CBF"/>
    <w:rsid w:val="00E827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C80508"/>
  <w15:docId w15:val="{0BEBBA17-AB27-4A50-85CD-ED53D7E38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c">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WQPn2D09gzXadwDtOZBCdioSRg==">AMUW2mXkYJf4gqD6f4L1mjtYdggx71gvtUIENGweaJT5aEZBdodGBzhUR9KwMeJjbFgcNp9HthOldYbx1vTemo/vjoDsKSEq0UBmgAvuXFGbPMLLlHzCrJgxrcXgls4vVvHR7cRVDcSwx1yib82rl00rPDuBga1rz+V3sgTNh+Kxe11nPV3Gel4VWQLgJ4CT5YhJr5y5qel7NeW6UzO/FcQ7WyjQ8S4Fph1qHRBzw+Q7Xo/iN25XsR1Rl0tcya5/ayGJ+qgXc5Fl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51</Pages>
  <Words>10687</Words>
  <Characters>58784</Characters>
  <Application>Microsoft Office Word</Application>
  <DocSecurity>0</DocSecurity>
  <Lines>489</Lines>
  <Paragraphs>138</Paragraphs>
  <ScaleCrop>false</ScaleCrop>
  <Company/>
  <LinksUpToDate>false</LinksUpToDate>
  <CharactersWithSpaces>69333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cp:lastModifiedBy>
  <cp:revision>8</cp:revision>
  <cp:lastPrinted>2022-03-21T22:31:00Z</cp:lastPrinted>
  <dcterms:created xsi:type="dcterms:W3CDTF">2022-03-11T00:45:00Z</dcterms:created>
  <dcterms:modified xsi:type="dcterms:W3CDTF">2022-04-25T19:01:00Z</dcterms:modified>
</cp:coreProperties>
</file>