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treinta y uno de agosto de dos mil veintidós</w:t>
      </w:r>
      <w:r>
        <w:rPr>
          <w:rFonts w:ascii="Palatino Linotype" w:eastAsia="Palatino Linotype" w:hAnsi="Palatino Linotype" w:cs="Palatino Linotype"/>
        </w:rPr>
        <w:t xml:space="preserve">. </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05824/INFOEM/IP/RR/2022</w:t>
      </w:r>
      <w:r>
        <w:rPr>
          <w:rFonts w:ascii="Palatino Linotype" w:eastAsia="Palatino Linotype" w:hAnsi="Palatino Linotype" w:cs="Palatino Linotype"/>
        </w:rPr>
        <w:t xml:space="preserve">, interpuesto por el C. </w:t>
      </w:r>
      <w:r w:rsidR="00FC4088">
        <w:rPr>
          <w:rFonts w:ascii="Palatino Linotype" w:eastAsia="Palatino Linotype" w:hAnsi="Palatino Linotype" w:cs="Palatino Linotype"/>
          <w:b/>
          <w:bCs/>
          <w:iCs/>
          <w:color w:val="000000"/>
          <w:sz w:val="22"/>
          <w:szCs w:val="22"/>
        </w:rPr>
        <w:t>XXXXXXXXX XXXXXXX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Temascalcingo,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474667" w:rsidRDefault="00F27194">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diez de marzo de dos mil veintidós,</w:t>
      </w:r>
      <w:r>
        <w:rPr>
          <w:rFonts w:ascii="Palatino Linotype" w:eastAsia="Palatino Linotype" w:hAnsi="Palatino Linotype" w:cs="Palatino Linotype"/>
        </w:rPr>
        <w:t xml:space="preserve"> la persona solicitante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00058/TMASCALC/IP/2022, </w:t>
      </w:r>
      <w:r>
        <w:rPr>
          <w:rFonts w:ascii="Palatino Linotype" w:eastAsia="Palatino Linotype" w:hAnsi="Palatino Linotype" w:cs="Palatino Linotype"/>
        </w:rPr>
        <w:t xml:space="preserve">mediante la cual requirió la información siguiente: </w:t>
      </w:r>
    </w:p>
    <w:p w:rsidR="00474667" w:rsidRDefault="00F27194">
      <w:pPr>
        <w:spacing w:before="240" w:after="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“requisitos para que se </w:t>
      </w:r>
      <w:proofErr w:type="spellStart"/>
      <w:r>
        <w:rPr>
          <w:rFonts w:ascii="Palatino Linotype" w:eastAsia="Palatino Linotype" w:hAnsi="Palatino Linotype" w:cs="Palatino Linotype"/>
          <w:i/>
          <w:sz w:val="22"/>
          <w:szCs w:val="22"/>
        </w:rPr>
        <w:t>apolle</w:t>
      </w:r>
      <w:proofErr w:type="spellEnd"/>
      <w:r>
        <w:rPr>
          <w:rFonts w:ascii="Palatino Linotype" w:eastAsia="Palatino Linotype" w:hAnsi="Palatino Linotype" w:cs="Palatino Linotype"/>
          <w:i/>
          <w:sz w:val="22"/>
          <w:szCs w:val="22"/>
        </w:rPr>
        <w:t xml:space="preserve"> con una jornada de las que hace el </w:t>
      </w:r>
      <w:proofErr w:type="spellStart"/>
      <w:r>
        <w:rPr>
          <w:rFonts w:ascii="Palatino Linotype" w:eastAsia="Palatino Linotype" w:hAnsi="Palatino Linotype" w:cs="Palatino Linotype"/>
          <w:i/>
          <w:sz w:val="22"/>
          <w:szCs w:val="22"/>
        </w:rPr>
        <w:t>prsidente</w:t>
      </w:r>
      <w:proofErr w:type="spellEnd"/>
      <w:r>
        <w:rPr>
          <w:rFonts w:ascii="Palatino Linotype" w:eastAsia="Palatino Linotype" w:hAnsi="Palatino Linotype" w:cs="Palatino Linotype"/>
          <w:i/>
          <w:sz w:val="22"/>
          <w:szCs w:val="22"/>
        </w:rPr>
        <w:t xml:space="preserve"> los domingos con el diputado </w:t>
      </w:r>
      <w:proofErr w:type="spellStart"/>
      <w:r>
        <w:rPr>
          <w:rFonts w:ascii="Palatino Linotype" w:eastAsia="Palatino Linotype" w:hAnsi="Palatino Linotype" w:cs="Palatino Linotype"/>
          <w:i/>
          <w:sz w:val="22"/>
          <w:szCs w:val="22"/>
        </w:rPr>
        <w:t>Ivan</w:t>
      </w:r>
      <w:proofErr w:type="spellEnd"/>
      <w:r>
        <w:rPr>
          <w:rFonts w:ascii="Palatino Linotype" w:eastAsia="Palatino Linotype" w:hAnsi="Palatino Linotype" w:cs="Palatino Linotype"/>
          <w:i/>
          <w:sz w:val="22"/>
          <w:szCs w:val="22"/>
        </w:rPr>
        <w:t xml:space="preserve">, una parte del encementado de la iglesia de </w:t>
      </w:r>
      <w:proofErr w:type="spellStart"/>
      <w:r>
        <w:rPr>
          <w:rFonts w:ascii="Palatino Linotype" w:eastAsia="Palatino Linotype" w:hAnsi="Palatino Linotype" w:cs="Palatino Linotype"/>
          <w:i/>
          <w:sz w:val="22"/>
          <w:szCs w:val="22"/>
        </w:rPr>
        <w:t>solis</w:t>
      </w:r>
      <w:proofErr w:type="spellEnd"/>
      <w:r>
        <w:rPr>
          <w:rFonts w:ascii="Palatino Linotype" w:eastAsia="Palatino Linotype" w:hAnsi="Palatino Linotype" w:cs="Palatino Linotype"/>
          <w:i/>
          <w:sz w:val="22"/>
          <w:szCs w:val="22"/>
        </w:rPr>
        <w:t xml:space="preserve"> esta defectuoso y saber si se puede </w:t>
      </w:r>
      <w:proofErr w:type="spellStart"/>
      <w:r>
        <w:rPr>
          <w:rFonts w:ascii="Palatino Linotype" w:eastAsia="Palatino Linotype" w:hAnsi="Palatino Linotype" w:cs="Palatino Linotype"/>
          <w:i/>
          <w:sz w:val="22"/>
          <w:szCs w:val="22"/>
        </w:rPr>
        <w:t>apollar</w:t>
      </w:r>
      <w:proofErr w:type="spellEnd"/>
      <w:r>
        <w:rPr>
          <w:rFonts w:ascii="Palatino Linotype" w:eastAsia="Palatino Linotype" w:hAnsi="Palatino Linotype" w:cs="Palatino Linotype"/>
          <w:i/>
          <w:sz w:val="22"/>
          <w:szCs w:val="22"/>
        </w:rPr>
        <w:t xml:space="preserve">. saber </w:t>
      </w:r>
      <w:proofErr w:type="spellStart"/>
      <w:r>
        <w:rPr>
          <w:rFonts w:ascii="Palatino Linotype" w:eastAsia="Palatino Linotype" w:hAnsi="Palatino Linotype" w:cs="Palatino Linotype"/>
          <w:i/>
          <w:sz w:val="22"/>
          <w:szCs w:val="22"/>
        </w:rPr>
        <w:t>donde</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estan</w:t>
      </w:r>
      <w:proofErr w:type="spellEnd"/>
      <w:r>
        <w:rPr>
          <w:rFonts w:ascii="Palatino Linotype" w:eastAsia="Palatino Linotype" w:hAnsi="Palatino Linotype" w:cs="Palatino Linotype"/>
          <w:i/>
          <w:sz w:val="22"/>
          <w:szCs w:val="22"/>
        </w:rPr>
        <w:t xml:space="preserve"> las oficinas en </w:t>
      </w:r>
      <w:proofErr w:type="spellStart"/>
      <w:r>
        <w:rPr>
          <w:rFonts w:ascii="Palatino Linotype" w:eastAsia="Palatino Linotype" w:hAnsi="Palatino Linotype" w:cs="Palatino Linotype"/>
          <w:i/>
          <w:sz w:val="22"/>
          <w:szCs w:val="22"/>
        </w:rPr>
        <w:t>temascalcingo</w:t>
      </w:r>
      <w:proofErr w:type="spellEnd"/>
      <w:r>
        <w:rPr>
          <w:rFonts w:ascii="Palatino Linotype" w:eastAsia="Palatino Linotype" w:hAnsi="Palatino Linotype" w:cs="Palatino Linotype"/>
          <w:i/>
          <w:sz w:val="22"/>
          <w:szCs w:val="22"/>
        </w:rPr>
        <w:t xml:space="preserve"> del diputado </w:t>
      </w:r>
      <w:proofErr w:type="spellStart"/>
      <w:r>
        <w:rPr>
          <w:rFonts w:ascii="Palatino Linotype" w:eastAsia="Palatino Linotype" w:hAnsi="Palatino Linotype" w:cs="Palatino Linotype"/>
          <w:i/>
          <w:sz w:val="22"/>
          <w:szCs w:val="22"/>
        </w:rPr>
        <w:t>ivan</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esquer</w:t>
      </w:r>
      <w:proofErr w:type="spellEnd"/>
      <w:r>
        <w:rPr>
          <w:rFonts w:ascii="Palatino Linotype" w:eastAsia="Palatino Linotype" w:hAnsi="Palatino Linotype" w:cs="Palatino Linotype"/>
          <w:i/>
          <w:sz w:val="22"/>
          <w:szCs w:val="22"/>
        </w:rPr>
        <w:t xml:space="preserve"> y </w:t>
      </w:r>
      <w:proofErr w:type="spellStart"/>
      <w:r>
        <w:rPr>
          <w:rFonts w:ascii="Palatino Linotype" w:eastAsia="Palatino Linotype" w:hAnsi="Palatino Linotype" w:cs="Palatino Linotype"/>
          <w:i/>
          <w:sz w:val="22"/>
          <w:szCs w:val="22"/>
        </w:rPr>
        <w:t>cual</w:t>
      </w:r>
      <w:proofErr w:type="spellEnd"/>
      <w:r>
        <w:rPr>
          <w:rFonts w:ascii="Palatino Linotype" w:eastAsia="Palatino Linotype" w:hAnsi="Palatino Linotype" w:cs="Palatino Linotype"/>
          <w:i/>
          <w:sz w:val="22"/>
          <w:szCs w:val="22"/>
        </w:rPr>
        <w:t xml:space="preserve"> es su </w:t>
      </w:r>
      <w:proofErr w:type="spellStart"/>
      <w:r>
        <w:rPr>
          <w:rFonts w:ascii="Palatino Linotype" w:eastAsia="Palatino Linotype" w:hAnsi="Palatino Linotype" w:cs="Palatino Linotype"/>
          <w:i/>
          <w:sz w:val="22"/>
          <w:szCs w:val="22"/>
        </w:rPr>
        <w:t>numero</w:t>
      </w:r>
      <w:proofErr w:type="spellEnd"/>
      <w:r>
        <w:rPr>
          <w:rFonts w:ascii="Palatino Linotype" w:eastAsia="Palatino Linotype" w:hAnsi="Palatino Linotype" w:cs="Palatino Linotype"/>
          <w:i/>
          <w:sz w:val="22"/>
          <w:szCs w:val="22"/>
        </w:rPr>
        <w:t xml:space="preserve"> de </w:t>
      </w:r>
      <w:proofErr w:type="spellStart"/>
      <w:r>
        <w:rPr>
          <w:rFonts w:ascii="Palatino Linotype" w:eastAsia="Palatino Linotype" w:hAnsi="Palatino Linotype" w:cs="Palatino Linotype"/>
          <w:i/>
          <w:sz w:val="22"/>
          <w:szCs w:val="22"/>
        </w:rPr>
        <w:t>telefono</w:t>
      </w:r>
      <w:proofErr w:type="spellEnd"/>
      <w:r>
        <w:rPr>
          <w:rFonts w:ascii="Palatino Linotype" w:eastAsia="Palatino Linotype" w:hAnsi="Palatino Linotype" w:cs="Palatino Linotype"/>
          <w:i/>
          <w:sz w:val="22"/>
          <w:szCs w:val="22"/>
        </w:rPr>
        <w:t xml:space="preserve"> de la oficina. saber que </w:t>
      </w:r>
      <w:proofErr w:type="spellStart"/>
      <w:r>
        <w:rPr>
          <w:rFonts w:ascii="Palatino Linotype" w:eastAsia="Palatino Linotype" w:hAnsi="Palatino Linotype" w:cs="Palatino Linotype"/>
          <w:i/>
          <w:sz w:val="22"/>
          <w:szCs w:val="22"/>
        </w:rPr>
        <w:t>dia</w:t>
      </w:r>
      <w:proofErr w:type="spellEnd"/>
      <w:r>
        <w:rPr>
          <w:rFonts w:ascii="Palatino Linotype" w:eastAsia="Palatino Linotype" w:hAnsi="Palatino Linotype" w:cs="Palatino Linotype"/>
          <w:i/>
          <w:sz w:val="22"/>
          <w:szCs w:val="22"/>
        </w:rPr>
        <w:t xml:space="preserve"> son los </w:t>
      </w:r>
      <w:proofErr w:type="spellStart"/>
      <w:r>
        <w:rPr>
          <w:rFonts w:ascii="Palatino Linotype" w:eastAsia="Palatino Linotype" w:hAnsi="Palatino Linotype" w:cs="Palatino Linotype"/>
          <w:i/>
          <w:sz w:val="22"/>
          <w:szCs w:val="22"/>
        </w:rPr>
        <w:t>dias</w:t>
      </w:r>
      <w:proofErr w:type="spellEnd"/>
      <w:r>
        <w:rPr>
          <w:rFonts w:ascii="Palatino Linotype" w:eastAsia="Palatino Linotype" w:hAnsi="Palatino Linotype" w:cs="Palatino Linotype"/>
          <w:i/>
          <w:sz w:val="22"/>
          <w:szCs w:val="22"/>
        </w:rPr>
        <w:t xml:space="preserve"> de audiencia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con el presidente y en que oficina se solicitan. saber la fecha para elegir nuevo delegado de </w:t>
      </w:r>
      <w:proofErr w:type="spellStart"/>
      <w:r>
        <w:rPr>
          <w:rFonts w:ascii="Palatino Linotype" w:eastAsia="Palatino Linotype" w:hAnsi="Palatino Linotype" w:cs="Palatino Linotype"/>
          <w:i/>
          <w:sz w:val="22"/>
          <w:szCs w:val="22"/>
        </w:rPr>
        <w:t>solis</w:t>
      </w:r>
      <w:proofErr w:type="spellEnd"/>
      <w:r>
        <w:rPr>
          <w:rFonts w:ascii="Palatino Linotype" w:eastAsia="Palatino Linotype" w:hAnsi="Palatino Linotype" w:cs="Palatino Linotype"/>
          <w:i/>
          <w:sz w:val="22"/>
          <w:szCs w:val="22"/>
        </w:rPr>
        <w:t xml:space="preserve"> copias simples del </w:t>
      </w:r>
      <w:proofErr w:type="spellStart"/>
      <w:r>
        <w:rPr>
          <w:rFonts w:ascii="Palatino Linotype" w:eastAsia="Palatino Linotype" w:hAnsi="Palatino Linotype" w:cs="Palatino Linotype"/>
          <w:i/>
          <w:sz w:val="22"/>
          <w:szCs w:val="22"/>
        </w:rPr>
        <w:t>presuúesto</w:t>
      </w:r>
      <w:proofErr w:type="spellEnd"/>
      <w:r>
        <w:rPr>
          <w:rFonts w:ascii="Palatino Linotype" w:eastAsia="Palatino Linotype" w:hAnsi="Palatino Linotype" w:cs="Palatino Linotype"/>
          <w:i/>
          <w:sz w:val="22"/>
          <w:szCs w:val="22"/>
        </w:rPr>
        <w:t xml:space="preserve"> de ingresos y egresos del ejercicio fiscal 2022 saber el convenio que se </w:t>
      </w:r>
      <w:proofErr w:type="spellStart"/>
      <w:r>
        <w:rPr>
          <w:rFonts w:ascii="Palatino Linotype" w:eastAsia="Palatino Linotype" w:hAnsi="Palatino Linotype" w:cs="Palatino Linotype"/>
          <w:i/>
          <w:sz w:val="22"/>
          <w:szCs w:val="22"/>
        </w:rPr>
        <w:t>celebro</w:t>
      </w:r>
      <w:proofErr w:type="spellEnd"/>
      <w:r>
        <w:rPr>
          <w:rFonts w:ascii="Palatino Linotype" w:eastAsia="Palatino Linotype" w:hAnsi="Palatino Linotype" w:cs="Palatino Linotype"/>
          <w:i/>
          <w:sz w:val="22"/>
          <w:szCs w:val="22"/>
        </w:rPr>
        <w:t xml:space="preserve"> entre el IMEVIS y el ayuntamiento de Temascalcingo. copias simples del convenio celebrado entre el centro de control de confianza y el ayuntamiento de </w:t>
      </w:r>
      <w:proofErr w:type="spellStart"/>
      <w:r>
        <w:rPr>
          <w:rFonts w:ascii="Palatino Linotype" w:eastAsia="Palatino Linotype" w:hAnsi="Palatino Linotype" w:cs="Palatino Linotype"/>
          <w:i/>
          <w:sz w:val="22"/>
          <w:szCs w:val="22"/>
        </w:rPr>
        <w:t>temascalcingo</w:t>
      </w:r>
      <w:proofErr w:type="spellEnd"/>
      <w:r>
        <w:rPr>
          <w:rFonts w:ascii="Palatino Linotype" w:eastAsia="Palatino Linotype" w:hAnsi="Palatino Linotype" w:cs="Palatino Linotype"/>
          <w:i/>
          <w:sz w:val="22"/>
          <w:szCs w:val="22"/>
        </w:rPr>
        <w:t xml:space="preserve"> copias simples de la minuta y los acuerdos </w:t>
      </w:r>
      <w:r>
        <w:rPr>
          <w:rFonts w:ascii="Palatino Linotype" w:eastAsia="Palatino Linotype" w:hAnsi="Palatino Linotype" w:cs="Palatino Linotype"/>
          <w:i/>
          <w:sz w:val="22"/>
          <w:szCs w:val="22"/>
        </w:rPr>
        <w:lastRenderedPageBreak/>
        <w:t xml:space="preserve">obtenidos en la primera </w:t>
      </w:r>
      <w:proofErr w:type="spellStart"/>
      <w:r>
        <w:rPr>
          <w:rFonts w:ascii="Palatino Linotype" w:eastAsia="Palatino Linotype" w:hAnsi="Palatino Linotype" w:cs="Palatino Linotype"/>
          <w:i/>
          <w:sz w:val="22"/>
          <w:szCs w:val="22"/>
        </w:rPr>
        <w:t>sesion</w:t>
      </w:r>
      <w:proofErr w:type="spellEnd"/>
      <w:r>
        <w:rPr>
          <w:rFonts w:ascii="Palatino Linotype" w:eastAsia="Palatino Linotype" w:hAnsi="Palatino Linotype" w:cs="Palatino Linotype"/>
          <w:i/>
          <w:sz w:val="22"/>
          <w:szCs w:val="22"/>
        </w:rPr>
        <w:t xml:space="preserve"> ordinaria del consejo municipal de seguridad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(sic)</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De las constancias que obran en el 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proporciona respuesta del </w:t>
      </w:r>
      <w:r>
        <w:rPr>
          <w:rFonts w:ascii="Palatino Linotype" w:eastAsia="Palatino Linotype" w:hAnsi="Palatino Linotype" w:cs="Palatino Linotype"/>
          <w:b/>
        </w:rPr>
        <w:t>doce de abril de dos mil veintidós</w:t>
      </w:r>
      <w:r>
        <w:rPr>
          <w:rFonts w:ascii="Palatino Linotype" w:eastAsia="Palatino Linotype" w:hAnsi="Palatino Linotype" w:cs="Palatino Linotype"/>
        </w:rPr>
        <w:t>, en el siguiente sentido:</w:t>
      </w:r>
    </w:p>
    <w:p w:rsidR="00474667" w:rsidRDefault="00F2719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“POR MEDIO DE LA PRESENTE ENVIÓ A USTED UN AFECTUOSOS SALUDO Y AL MISMO TIEMPO HAGO ENTREGA DE LA RESPUESTA A SU SOLICITUD DE INFORMACIÓN. SIN OTRO PARTICULAR ME REITERO A SUS ORDENES. ATTE. ARMANDO GARCIA SANCHEZ ENCARGADO DE DESPACHO DE LA UNIDAD DE TRANSPARENCIA</w:t>
      </w:r>
    </w:p>
    <w:p w:rsidR="00474667" w:rsidRDefault="00F2719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474667" w:rsidRDefault="00F2719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Lic. Armando </w:t>
      </w:r>
      <w:proofErr w:type="spellStart"/>
      <w:r>
        <w:rPr>
          <w:rFonts w:ascii="Palatino Linotype" w:eastAsia="Palatino Linotype" w:hAnsi="Palatino Linotype" w:cs="Palatino Linotype"/>
          <w:i/>
          <w:sz w:val="22"/>
          <w:szCs w:val="22"/>
        </w:rPr>
        <w:t>Garcia</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Sanchez</w:t>
      </w:r>
      <w:proofErr w:type="spellEnd"/>
      <w:r>
        <w:rPr>
          <w:rFonts w:ascii="Palatino Linotype" w:eastAsia="Palatino Linotype" w:hAnsi="Palatino Linotype" w:cs="Palatino Linotype"/>
          <w:i/>
          <w:sz w:val="22"/>
          <w:szCs w:val="22"/>
        </w:rPr>
        <w:t>” (Sic)</w:t>
      </w:r>
    </w:p>
    <w:p w:rsidR="00474667" w:rsidRDefault="00F2719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Sujeto Obligado adjuntó en respuesta a la solicitud de información el siguiente documento: </w:t>
      </w:r>
      <w:r>
        <w:rPr>
          <w:rFonts w:ascii="Palatino Linotype" w:eastAsia="Palatino Linotype" w:hAnsi="Palatino Linotype" w:cs="Palatino Linotype"/>
          <w:b/>
        </w:rPr>
        <w:t>00058.pdf,</w:t>
      </w:r>
      <w:r>
        <w:rPr>
          <w:rFonts w:ascii="Palatino Linotype" w:eastAsia="Palatino Linotype" w:hAnsi="Palatino Linotype" w:cs="Palatino Linotype"/>
        </w:rPr>
        <w:t xml:space="preserve"> oficio número MTM/VC/05/2022  de fecha catorce de marzo de dos mil veintidós, suscrito y signado por el Director de Vinculación Ciudadana, por medio de la cual informa sustancialmente que: “</w:t>
      </w:r>
      <w:r>
        <w:rPr>
          <w:rFonts w:ascii="Palatino Linotype" w:eastAsia="Palatino Linotype" w:hAnsi="Palatino Linotype" w:cs="Palatino Linotype"/>
          <w:b/>
          <w:i/>
        </w:rPr>
        <w:t xml:space="preserve">los requisitos para la jornada que hace el presidente se </w:t>
      </w:r>
      <w:proofErr w:type="spellStart"/>
      <w:r>
        <w:rPr>
          <w:rFonts w:ascii="Palatino Linotype" w:eastAsia="Palatino Linotype" w:hAnsi="Palatino Linotype" w:cs="Palatino Linotype"/>
          <w:b/>
          <w:i/>
        </w:rPr>
        <w:t>solitan</w:t>
      </w:r>
      <w:proofErr w:type="spellEnd"/>
      <w:r>
        <w:rPr>
          <w:rFonts w:ascii="Palatino Linotype" w:eastAsia="Palatino Linotype" w:hAnsi="Palatino Linotype" w:cs="Palatino Linotype"/>
          <w:b/>
          <w:i/>
        </w:rPr>
        <w:t xml:space="preserve"> mediante solicitud a oficialía de partes y que con referencia a los días de audiencia pública, se realiza un </w:t>
      </w:r>
      <w:proofErr w:type="spellStart"/>
      <w:r>
        <w:rPr>
          <w:rFonts w:ascii="Palatino Linotype" w:eastAsia="Palatino Linotype" w:hAnsi="Palatino Linotype" w:cs="Palatino Linotype"/>
          <w:b/>
          <w:i/>
        </w:rPr>
        <w:t>dñia</w:t>
      </w:r>
      <w:proofErr w:type="spellEnd"/>
      <w:r>
        <w:rPr>
          <w:rFonts w:ascii="Palatino Linotype" w:eastAsia="Palatino Linotype" w:hAnsi="Palatino Linotype" w:cs="Palatino Linotype"/>
          <w:b/>
          <w:i/>
        </w:rPr>
        <w:t xml:space="preserve"> a la semana, no hay día específico, se solicita en la </w:t>
      </w:r>
      <w:proofErr w:type="spellStart"/>
      <w:r>
        <w:rPr>
          <w:rFonts w:ascii="Palatino Linotype" w:eastAsia="Palatino Linotype" w:hAnsi="Palatino Linotype" w:cs="Palatino Linotype"/>
          <w:b/>
          <w:i/>
        </w:rPr>
        <w:t>oficna</w:t>
      </w:r>
      <w:proofErr w:type="spellEnd"/>
      <w:r>
        <w:rPr>
          <w:rFonts w:ascii="Palatino Linotype" w:eastAsia="Palatino Linotype" w:hAnsi="Palatino Linotype" w:cs="Palatino Linotype"/>
          <w:b/>
          <w:i/>
        </w:rPr>
        <w:t xml:space="preserve"> de vinculación Ciudadana</w:t>
      </w:r>
      <w:r>
        <w:rPr>
          <w:rFonts w:ascii="Palatino Linotype" w:eastAsia="Palatino Linotype" w:hAnsi="Palatino Linotype" w:cs="Palatino Linotype"/>
        </w:rPr>
        <w:t>…” (Sic)</w:t>
      </w:r>
    </w:p>
    <w:p w:rsidR="00474667" w:rsidRDefault="00F2719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catorce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w:t>
      </w:r>
      <w:r>
        <w:rPr>
          <w:rFonts w:ascii="Palatino Linotype" w:eastAsia="Palatino Linotype" w:hAnsi="Palatino Linotype" w:cs="Palatino Linotype"/>
        </w:rPr>
        <w:lastRenderedPageBreak/>
        <w:t xml:space="preserve">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474667" w:rsidRDefault="00F27194">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rsidR="00474667" w:rsidRDefault="00F27194">
      <w:pPr>
        <w:tabs>
          <w:tab w:val="left" w:pos="2745"/>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que entregan es incompleta y la que dieron está muy borrosa lo que hace incomprensible he impide el derecho a informarme, por lo que pido me la den completa y que sea legible (sic)</w:t>
      </w: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474667" w:rsidRDefault="00F27194">
      <w:pPr>
        <w:ind w:left="851" w:right="616"/>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“La información que entregan es incompleta y la que dieron está muy borrosa lo que hace incomprensible he impide el derecho a informarme, por lo que pido me la den completa y que sea legible “ (sic)</w:t>
      </w:r>
    </w:p>
    <w:p w:rsidR="00474667" w:rsidRDefault="00F27194">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Anexos: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rsidR="00474667" w:rsidRDefault="00F27194">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veintiuno de abril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Pr>
          <w:rFonts w:ascii="Palatino Linotype" w:eastAsia="Palatino Linotype" w:hAnsi="Palatino Linotype" w:cs="Palatino Linotype"/>
        </w:rPr>
        <w:lastRenderedPageBreak/>
        <w:t xml:space="preserve">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474667" w:rsidRDefault="00F27194">
      <w:pPr>
        <w:spacing w:before="240"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veinticinco de abril de dos mil veintidós</w:t>
      </w:r>
      <w:r>
        <w:rPr>
          <w:rFonts w:ascii="Palatino Linotype" w:eastAsia="Palatino Linotype" w:hAnsi="Palatino Linotype" w:cs="Palatino Linotype"/>
        </w:rPr>
        <w:t xml:space="preserve">, a través del cual </w:t>
      </w:r>
      <w:proofErr w:type="spellStart"/>
      <w:r>
        <w:rPr>
          <w:rFonts w:ascii="Palatino Linotype" w:eastAsia="Palatino Linotype" w:hAnsi="Palatino Linotype" w:cs="Palatino Linotype"/>
        </w:rPr>
        <w:t>manifesta</w:t>
      </w:r>
      <w:proofErr w:type="spellEnd"/>
      <w:r>
        <w:rPr>
          <w:rFonts w:ascii="Palatino Linotype" w:eastAsia="Palatino Linotype" w:hAnsi="Palatino Linotype" w:cs="Palatino Linotype"/>
        </w:rPr>
        <w:t xml:space="preserve"> lo siguiente: “QUE CON FUNDAMENTO EN LO ESTABLECIDO POR EL ART. 185 FRACCION II Y III, DE LA LEY DE TRANSPARENCIA, EN VIA DE INFORME JUSTIFICADO, INFORMO A USTED QUE SE HAN REALIZADO LOS TRAMITES CORRESPONDIENTES PARA DAR RESPUESTA A LA SOLICITUD DE INFORMACION, SIN EMBARGO HASTA EL MOMENTO SOLO SE ENTREGO AL RECURRENTE PARCIALMENTE LA INFORMACION. ATTE. ARMANDO GARCIA SANCHEZ.” (Sic)</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Adjunta el documento denominado: </w:t>
      </w:r>
      <w:r>
        <w:rPr>
          <w:rFonts w:ascii="Palatino Linotype" w:eastAsia="Palatino Linotype" w:hAnsi="Palatino Linotype" w:cs="Palatino Linotype"/>
          <w:b/>
          <w:i/>
        </w:rPr>
        <w:t>58.A.pdf,</w:t>
      </w:r>
      <w:r>
        <w:rPr>
          <w:rFonts w:ascii="Palatino Linotype" w:eastAsia="Palatino Linotype" w:hAnsi="Palatino Linotype" w:cs="Palatino Linotype"/>
        </w:rPr>
        <w:t xml:space="preserve"> que contiene los acuses del oficio  número MTM/UT/81/03/22, de fecha once de marzo de dos mil veintidós, suscrito y signado por el Encargado del Despacho de la Unidad de Transparencia, a través del cual solicita a la Secretaría del Ayuntamiento y al Director del Vinculación Ciudadana, dar contestación a la solicitud de información que nos ocupa, el cual se muestra a continuación:</w:t>
      </w:r>
    </w:p>
    <w:p w:rsidR="00474667" w:rsidRDefault="00474667">
      <w:pPr>
        <w:spacing w:before="240" w:after="240" w:line="360" w:lineRule="auto"/>
        <w:jc w:val="both"/>
        <w:rPr>
          <w:rFonts w:ascii="Palatino Linotype" w:eastAsia="Palatino Linotype" w:hAnsi="Palatino Linotype" w:cs="Palatino Linotype"/>
        </w:rPr>
      </w:pPr>
    </w:p>
    <w:p w:rsidR="00474667" w:rsidRDefault="00F2719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085601" cy="4581163"/>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085601" cy="4581163"/>
                    </a:xfrm>
                    <a:prstGeom prst="rect">
                      <a:avLst/>
                    </a:prstGeom>
                    <a:ln/>
                  </pic:spPr>
                </pic:pic>
              </a:graphicData>
            </a:graphic>
          </wp:inline>
        </w:drawing>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fueron puestos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de junio de dos mil veintidós,</w:t>
      </w:r>
      <w:r>
        <w:rPr>
          <w:rFonts w:ascii="Palatino Linotype" w:eastAsia="Palatino Linotype" w:hAnsi="Palatino Linotype" w:cs="Palatino Linotype"/>
        </w:rPr>
        <w:t xml:space="preserve"> por su parte,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realizó manifestación alguna. </w:t>
      </w:r>
    </w:p>
    <w:p w:rsidR="00474667" w:rsidRDefault="00F2719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siete de julio de dos mil veintidós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74667" w:rsidRDefault="00F27194">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474667" w:rsidRDefault="00F27194">
      <w:pPr>
        <w:numPr>
          <w:ilvl w:val="0"/>
          <w:numId w:val="7"/>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rsidR="00474667" w:rsidRDefault="00F27194">
      <w:pPr>
        <w:numPr>
          <w:ilvl w:val="0"/>
          <w:numId w:val="7"/>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474667" w:rsidRDefault="00F27194">
      <w:pPr>
        <w:numPr>
          <w:ilvl w:val="0"/>
          <w:numId w:val="7"/>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474667" w:rsidRDefault="00F27194">
      <w:pPr>
        <w:tabs>
          <w:tab w:val="left" w:pos="993"/>
        </w:tabs>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74667" w:rsidRDefault="00F2719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74667" w:rsidRDefault="00F27194">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 consultable en el Seminario Judicial de la Federación y su gaceta, con el registro digital 2002351.</w:t>
      </w:r>
    </w:p>
    <w:p w:rsidR="00474667" w:rsidRDefault="00F27194">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i/>
          <w:sz w:val="22"/>
          <w:szCs w:val="22"/>
        </w:rPr>
        <w:t>.”, visible en el Seminario Judicial de la Federación y su gaceta, con el registro digital 2002350.</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cuatro de agosto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474667" w:rsidRDefault="00F27194">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el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474667" w:rsidRDefault="00F27194">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color w:val="000000"/>
        </w:rPr>
        <w:t>Segundo. Oportunidad y Procedibilidad de los Recursos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Previo al estudio del fondo del asunto, se procede a analizar los requisitos de oportunidad y </w:t>
      </w:r>
      <w:r>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w:t>
      </w:r>
      <w:r>
        <w:rPr>
          <w:rFonts w:ascii="Palatino Linotype" w:eastAsia="Palatino Linotype" w:hAnsi="Palatino Linotype" w:cs="Palatino Linotype"/>
          <w:b/>
        </w:rPr>
        <w:t>doce de abril del dos mil veintidós</w:t>
      </w:r>
      <w:r>
        <w:rPr>
          <w:rFonts w:ascii="Palatino Linotype" w:eastAsia="Palatino Linotype" w:hAnsi="Palatino Linotype" w:cs="Palatino Linotype"/>
        </w:rPr>
        <w:t xml:space="preserve">,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w:t>
      </w:r>
      <w:proofErr w:type="spellStart"/>
      <w:r>
        <w:rPr>
          <w:rFonts w:ascii="Palatino Linotype" w:eastAsia="Palatino Linotype" w:hAnsi="Palatino Linotype" w:cs="Palatino Linotype"/>
          <w:b/>
        </w:rPr>
        <w:t>catroce</w:t>
      </w:r>
      <w:proofErr w:type="spellEnd"/>
      <w:r>
        <w:rPr>
          <w:rFonts w:ascii="Palatino Linotype" w:eastAsia="Palatino Linotype" w:hAnsi="Palatino Linotype" w:cs="Palatino Linotype"/>
          <w:b/>
        </w:rPr>
        <w:t xml:space="preserve"> de abril del mismo año</w:t>
      </w:r>
      <w:r>
        <w:rPr>
          <w:rFonts w:ascii="Palatino Linotype" w:eastAsia="Palatino Linotype" w:hAnsi="Palatino Linotype" w:cs="Palatino Linotype"/>
        </w:rPr>
        <w:t>, esto es al segundo día hábil siguiente de aquel en que tuvo conocimiento de la respuesta impugnada.</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474667" w:rsidRDefault="00F2719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resulta procedente la interposición del recurso de revisión al rubro anotado, toda vez que se actualiza las hipótesis previstas en el artículo 179, fracciones V y XI de la ley de la materia, que a la letra dice:</w:t>
      </w:r>
    </w:p>
    <w:p w:rsidR="00474667" w:rsidRDefault="00F27194">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474667" w:rsidRDefault="00F27194">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spacing w:line="276" w:lineRule="auto"/>
        <w:ind w:left="1276" w:right="175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rsidR="00474667" w:rsidRDefault="00F27194">
      <w:pPr>
        <w:spacing w:line="276" w:lineRule="auto"/>
        <w:ind w:left="1276" w:right="175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474667" w:rsidRDefault="00F27194">
      <w:pPr>
        <w:spacing w:line="276" w:lineRule="auto"/>
        <w:ind w:left="1276" w:right="175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La entrega o puesta a disposición de información en un formato incomprensible y/o no accesible para el solicitante;”</w:t>
      </w:r>
      <w:r>
        <w:rPr>
          <w:rFonts w:ascii="Palatino Linotype" w:eastAsia="Palatino Linotype" w:hAnsi="Palatino Linotype" w:cs="Palatino Linotype"/>
          <w:i/>
          <w:sz w:val="22"/>
          <w:szCs w:val="22"/>
        </w:rPr>
        <w:t xml:space="preserve"> (Sic)</w:t>
      </w:r>
    </w:p>
    <w:p w:rsidR="00474667" w:rsidRDefault="00474667">
      <w:pPr>
        <w:spacing w:line="276" w:lineRule="auto"/>
        <w:ind w:left="1276" w:right="1752"/>
        <w:jc w:val="both"/>
        <w:rPr>
          <w:rFonts w:ascii="Palatino Linotype" w:eastAsia="Palatino Linotype" w:hAnsi="Palatino Linotype" w:cs="Palatino Linotype"/>
          <w:b/>
          <w:i/>
          <w:sz w:val="22"/>
          <w:szCs w:val="22"/>
        </w:rPr>
      </w:pPr>
    </w:p>
    <w:p w:rsidR="00474667" w:rsidRDefault="00F27194">
      <w:pPr>
        <w:tabs>
          <w:tab w:val="left" w:pos="7088"/>
        </w:tabs>
        <w:spacing w:before="240" w:after="240"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o en su defecto, en caso de ser procedente, ordenar la entrega de información oportuna.</w:t>
      </w:r>
    </w:p>
    <w:p w:rsidR="00474667" w:rsidRDefault="00F2719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Cuarto. Estudio del asunto.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474667" w:rsidRDefault="00F27194">
      <w:pPr>
        <w:tabs>
          <w:tab w:val="left" w:pos="709"/>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1"/>
          <w:szCs w:val="21"/>
          <w:u w:val="single"/>
        </w:rPr>
        <w:lastRenderedPageBreak/>
        <w:t xml:space="preserve">Artículo 1o. En los </w:t>
      </w:r>
      <w:r>
        <w:rPr>
          <w:rFonts w:ascii="Palatino Linotype" w:eastAsia="Palatino Linotype" w:hAnsi="Palatino Linotype" w:cs="Palatino Linotype"/>
          <w:b/>
          <w:i/>
          <w:sz w:val="22"/>
          <w:szCs w:val="22"/>
          <w:u w:val="single"/>
        </w:rPr>
        <w:t>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474667" w:rsidRDefault="00F27194">
      <w:pPr>
        <w:tabs>
          <w:tab w:val="left" w:pos="709"/>
        </w:tabs>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474667" w:rsidRDefault="00F27194">
      <w:pPr>
        <w:tabs>
          <w:tab w:val="left" w:pos="709"/>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474667" w:rsidRDefault="00F27194">
      <w:pPr>
        <w:tabs>
          <w:tab w:val="left" w:pos="709"/>
        </w:tabs>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Pr>
          <w:rFonts w:ascii="Palatino Linotype" w:eastAsia="Palatino Linotype" w:hAnsi="Palatino Linotype" w:cs="Palatino Linotype"/>
          <w:i/>
          <w:sz w:val="22"/>
          <w:szCs w:val="22"/>
        </w:rPr>
        <w:lastRenderedPageBreak/>
        <w:t>los supuestos específicos bajo los cuales procederá la declaración de inexistencia de la información.</w:t>
      </w:r>
    </w:p>
    <w:p w:rsidR="00474667" w:rsidRDefault="00F27194">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r>
        <w:rPr>
          <w:rFonts w:ascii="Palatino Linotype" w:eastAsia="Palatino Linotype" w:hAnsi="Palatino Linotype" w:cs="Palatino Linotype"/>
          <w:i/>
          <w:sz w:val="22"/>
          <w:szCs w:val="22"/>
        </w:rPr>
        <w:t> </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rPr>
        <w:lastRenderedPageBreak/>
        <w:t>privilegiando el principio de máxima publicidad, como así lo establece dicha determinación, que a continuación se trascribe para un mejor entendimiento:</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74667" w:rsidRDefault="00F27194">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74667" w:rsidRDefault="00F2719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los cuales señalan lo siguiente:</w:t>
      </w:r>
    </w:p>
    <w:p w:rsidR="00474667" w:rsidRDefault="00F27194">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474667" w:rsidRDefault="00F27194">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474667" w:rsidRDefault="00F2719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74667" w:rsidRDefault="00F2719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474667" w:rsidRDefault="00F27194">
      <w:pP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74667" w:rsidRDefault="00F27194">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74667" w:rsidRDefault="00F2719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474667" w:rsidRDefault="00F27194">
      <w:pPr>
        <w:numPr>
          <w:ilvl w:val="0"/>
          <w:numId w:val="1"/>
        </w:numPr>
        <w:pBdr>
          <w:top w:val="nil"/>
          <w:left w:val="nil"/>
          <w:bottom w:val="nil"/>
          <w:right w:val="nil"/>
          <w:between w:val="nil"/>
        </w:pBdr>
        <w:spacing w:before="240" w:after="240" w:line="276" w:lineRule="auto"/>
        <w:ind w:left="1134" w:right="616"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474667" w:rsidRDefault="00F27194">
      <w:pPr>
        <w:numPr>
          <w:ilvl w:val="0"/>
          <w:numId w:val="1"/>
        </w:numPr>
        <w:pBdr>
          <w:top w:val="nil"/>
          <w:left w:val="nil"/>
          <w:bottom w:val="nil"/>
          <w:right w:val="nil"/>
          <w:between w:val="nil"/>
        </w:pBdr>
        <w:spacing w:before="240" w:after="240" w:line="276" w:lineRule="auto"/>
        <w:ind w:left="1134" w:right="616"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administrada por los Sujetos Obligados, y</w:t>
      </w:r>
    </w:p>
    <w:p w:rsidR="00474667" w:rsidRDefault="00F27194">
      <w:pPr>
        <w:spacing w:before="240" w:after="240" w:line="276" w:lineRule="auto"/>
        <w:ind w:left="1134" w:right="616" w:hanging="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474667" w:rsidRDefault="00F27194">
      <w:pPr>
        <w:spacing w:before="240" w:after="240"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474667" w:rsidRDefault="00F27194">
      <w:pPr>
        <w:pBdr>
          <w:top w:val="nil"/>
          <w:left w:val="nil"/>
          <w:bottom w:val="nil"/>
          <w:right w:val="nil"/>
          <w:between w:val="nil"/>
        </w:pBdr>
        <w:tabs>
          <w:tab w:val="left" w:pos="0"/>
        </w:tabs>
        <w:spacing w:before="240" w:after="240"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Por lo que, con la finalidad de ilustrar el asunto qué se resuelve, es importante precisar que lo que</w:t>
      </w:r>
      <w:r>
        <w:rPr>
          <w:rFonts w:ascii="Palatino Linotype" w:eastAsia="Palatino Linotype" w:hAnsi="Palatino Linotype" w:cs="Palatino Linotype"/>
          <w:b/>
          <w:color w:val="000000"/>
        </w:rPr>
        <w:t xml:space="preserve"> el RECURRENTE </w:t>
      </w:r>
      <w:r>
        <w:rPr>
          <w:rFonts w:ascii="Palatino Linotype" w:eastAsia="Palatino Linotype" w:hAnsi="Palatino Linotype" w:cs="Palatino Linotype"/>
          <w:color w:val="000000"/>
        </w:rPr>
        <w:t xml:space="preserve">solicitó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fue</w:t>
      </w:r>
      <w:r>
        <w:rPr>
          <w:rFonts w:ascii="Palatino Linotype" w:eastAsia="Palatino Linotype" w:hAnsi="Palatino Linotype" w:cs="Palatino Linotype"/>
          <w:i/>
          <w:color w:val="000000"/>
        </w:rPr>
        <w:t>:</w:t>
      </w:r>
    </w:p>
    <w:p w:rsidR="00474667" w:rsidRDefault="00F27194">
      <w:pPr>
        <w:numPr>
          <w:ilvl w:val="0"/>
          <w:numId w:val="2"/>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Requisitos para que se apoye con una jornada de las que hace el presidente los domingos con el diputado </w:t>
      </w:r>
      <w:proofErr w:type="spellStart"/>
      <w:r>
        <w:rPr>
          <w:rFonts w:ascii="Palatino Linotype" w:eastAsia="Palatino Linotype" w:hAnsi="Palatino Linotype" w:cs="Palatino Linotype"/>
          <w:i/>
          <w:color w:val="000000"/>
        </w:rPr>
        <w:t>Ivan</w:t>
      </w:r>
      <w:proofErr w:type="spellEnd"/>
      <w:r>
        <w:rPr>
          <w:rFonts w:ascii="Palatino Linotype" w:eastAsia="Palatino Linotype" w:hAnsi="Palatino Linotype" w:cs="Palatino Linotype"/>
          <w:i/>
          <w:color w:val="000000"/>
        </w:rPr>
        <w:t>…</w:t>
      </w:r>
    </w:p>
    <w:p w:rsidR="00474667" w:rsidRDefault="00F27194">
      <w:pPr>
        <w:numPr>
          <w:ilvl w:val="0"/>
          <w:numId w:val="2"/>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Donde </w:t>
      </w:r>
      <w:proofErr w:type="spellStart"/>
      <w:r>
        <w:rPr>
          <w:rFonts w:ascii="Palatino Linotype" w:eastAsia="Palatino Linotype" w:hAnsi="Palatino Linotype" w:cs="Palatino Linotype"/>
          <w:i/>
          <w:color w:val="000000"/>
        </w:rPr>
        <w:t>estan</w:t>
      </w:r>
      <w:proofErr w:type="spellEnd"/>
      <w:r>
        <w:rPr>
          <w:rFonts w:ascii="Palatino Linotype" w:eastAsia="Palatino Linotype" w:hAnsi="Palatino Linotype" w:cs="Palatino Linotype"/>
          <w:i/>
          <w:color w:val="000000"/>
        </w:rPr>
        <w:t xml:space="preserve"> las oficinas en </w:t>
      </w:r>
      <w:proofErr w:type="spellStart"/>
      <w:r>
        <w:rPr>
          <w:rFonts w:ascii="Palatino Linotype" w:eastAsia="Palatino Linotype" w:hAnsi="Palatino Linotype" w:cs="Palatino Linotype"/>
          <w:i/>
          <w:color w:val="000000"/>
        </w:rPr>
        <w:t>temascalcingo</w:t>
      </w:r>
      <w:proofErr w:type="spellEnd"/>
      <w:r>
        <w:rPr>
          <w:rFonts w:ascii="Palatino Linotype" w:eastAsia="Palatino Linotype" w:hAnsi="Palatino Linotype" w:cs="Palatino Linotype"/>
          <w:i/>
          <w:color w:val="000000"/>
        </w:rPr>
        <w:t xml:space="preserve"> del diputado </w:t>
      </w:r>
      <w:proofErr w:type="spellStart"/>
      <w:r>
        <w:rPr>
          <w:rFonts w:ascii="Palatino Linotype" w:eastAsia="Palatino Linotype" w:hAnsi="Palatino Linotype" w:cs="Palatino Linotype"/>
          <w:i/>
          <w:color w:val="000000"/>
        </w:rPr>
        <w:t>ivan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esquer</w:t>
      </w:r>
      <w:proofErr w:type="spellEnd"/>
      <w:r>
        <w:rPr>
          <w:rFonts w:ascii="Palatino Linotype" w:eastAsia="Palatino Linotype" w:hAnsi="Palatino Linotype" w:cs="Palatino Linotype"/>
          <w:i/>
          <w:color w:val="000000"/>
        </w:rPr>
        <w:t xml:space="preserve"> y </w:t>
      </w:r>
      <w:proofErr w:type="spellStart"/>
      <w:r>
        <w:rPr>
          <w:rFonts w:ascii="Palatino Linotype" w:eastAsia="Palatino Linotype" w:hAnsi="Palatino Linotype" w:cs="Palatino Linotype"/>
          <w:i/>
          <w:color w:val="000000"/>
        </w:rPr>
        <w:t>cual</w:t>
      </w:r>
      <w:proofErr w:type="spellEnd"/>
      <w:r>
        <w:rPr>
          <w:rFonts w:ascii="Palatino Linotype" w:eastAsia="Palatino Linotype" w:hAnsi="Palatino Linotype" w:cs="Palatino Linotype"/>
          <w:i/>
          <w:color w:val="000000"/>
        </w:rPr>
        <w:t xml:space="preserve"> es su número de </w:t>
      </w:r>
      <w:proofErr w:type="spellStart"/>
      <w:r>
        <w:rPr>
          <w:rFonts w:ascii="Palatino Linotype" w:eastAsia="Palatino Linotype" w:hAnsi="Palatino Linotype" w:cs="Palatino Linotype"/>
          <w:i/>
          <w:color w:val="000000"/>
        </w:rPr>
        <w:t>telefono</w:t>
      </w:r>
      <w:proofErr w:type="spellEnd"/>
      <w:r>
        <w:rPr>
          <w:rFonts w:ascii="Palatino Linotype" w:eastAsia="Palatino Linotype" w:hAnsi="Palatino Linotype" w:cs="Palatino Linotype"/>
          <w:i/>
          <w:color w:val="000000"/>
        </w:rPr>
        <w:t xml:space="preserve"> de la oficina. </w:t>
      </w:r>
    </w:p>
    <w:p w:rsidR="00474667" w:rsidRDefault="00F27194">
      <w:pPr>
        <w:numPr>
          <w:ilvl w:val="0"/>
          <w:numId w:val="2"/>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Que día son los </w:t>
      </w:r>
      <w:proofErr w:type="spellStart"/>
      <w:r>
        <w:rPr>
          <w:rFonts w:ascii="Palatino Linotype" w:eastAsia="Palatino Linotype" w:hAnsi="Palatino Linotype" w:cs="Palatino Linotype"/>
          <w:i/>
          <w:color w:val="000000"/>
        </w:rPr>
        <w:t>dias</w:t>
      </w:r>
      <w:proofErr w:type="spellEnd"/>
      <w:r>
        <w:rPr>
          <w:rFonts w:ascii="Palatino Linotype" w:eastAsia="Palatino Linotype" w:hAnsi="Palatino Linotype" w:cs="Palatino Linotype"/>
          <w:i/>
          <w:color w:val="000000"/>
        </w:rPr>
        <w:t xml:space="preserve"> de audiencia </w:t>
      </w:r>
      <w:proofErr w:type="spellStart"/>
      <w:r>
        <w:rPr>
          <w:rFonts w:ascii="Palatino Linotype" w:eastAsia="Palatino Linotype" w:hAnsi="Palatino Linotype" w:cs="Palatino Linotype"/>
          <w:i/>
          <w:color w:val="000000"/>
        </w:rPr>
        <w:t>publica</w:t>
      </w:r>
      <w:proofErr w:type="spellEnd"/>
      <w:r>
        <w:rPr>
          <w:rFonts w:ascii="Palatino Linotype" w:eastAsia="Palatino Linotype" w:hAnsi="Palatino Linotype" w:cs="Palatino Linotype"/>
          <w:i/>
          <w:color w:val="000000"/>
        </w:rPr>
        <w:t xml:space="preserve"> con el presidente y en que oficina se solicitan. </w:t>
      </w:r>
    </w:p>
    <w:p w:rsidR="00474667" w:rsidRDefault="00F27194">
      <w:pPr>
        <w:numPr>
          <w:ilvl w:val="0"/>
          <w:numId w:val="2"/>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fecha para elegir nuevo delegado.</w:t>
      </w:r>
    </w:p>
    <w:p w:rsidR="00474667" w:rsidRDefault="00F27194">
      <w:pPr>
        <w:numPr>
          <w:ilvl w:val="0"/>
          <w:numId w:val="2"/>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Copias simples del presupuesto de ingresos y egresos del ejercicio fiscal 2022. </w:t>
      </w:r>
    </w:p>
    <w:p w:rsidR="00474667" w:rsidRDefault="00F27194">
      <w:pPr>
        <w:numPr>
          <w:ilvl w:val="0"/>
          <w:numId w:val="2"/>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Convenio que se </w:t>
      </w:r>
      <w:proofErr w:type="spellStart"/>
      <w:r>
        <w:rPr>
          <w:rFonts w:ascii="Palatino Linotype" w:eastAsia="Palatino Linotype" w:hAnsi="Palatino Linotype" w:cs="Palatino Linotype"/>
          <w:i/>
          <w:color w:val="000000"/>
        </w:rPr>
        <w:t>celebro</w:t>
      </w:r>
      <w:proofErr w:type="spellEnd"/>
      <w:r>
        <w:rPr>
          <w:rFonts w:ascii="Palatino Linotype" w:eastAsia="Palatino Linotype" w:hAnsi="Palatino Linotype" w:cs="Palatino Linotype"/>
          <w:i/>
          <w:color w:val="000000"/>
        </w:rPr>
        <w:t xml:space="preserve"> entre el IMEVIS y el ayuntamiento de Temascalcingo. </w:t>
      </w:r>
    </w:p>
    <w:p w:rsidR="00474667" w:rsidRDefault="00F27194">
      <w:pPr>
        <w:numPr>
          <w:ilvl w:val="0"/>
          <w:numId w:val="2"/>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Convenio celebrado entre el centro de control de confianza y el ayuntamiento de </w:t>
      </w:r>
      <w:proofErr w:type="spellStart"/>
      <w:r>
        <w:rPr>
          <w:rFonts w:ascii="Palatino Linotype" w:eastAsia="Palatino Linotype" w:hAnsi="Palatino Linotype" w:cs="Palatino Linotype"/>
          <w:i/>
          <w:color w:val="000000"/>
        </w:rPr>
        <w:t>temascalcingo</w:t>
      </w:r>
      <w:proofErr w:type="spellEnd"/>
      <w:r>
        <w:rPr>
          <w:rFonts w:ascii="Palatino Linotype" w:eastAsia="Palatino Linotype" w:hAnsi="Palatino Linotype" w:cs="Palatino Linotype"/>
          <w:i/>
          <w:color w:val="000000"/>
        </w:rPr>
        <w:t xml:space="preserve"> </w:t>
      </w:r>
    </w:p>
    <w:p w:rsidR="00474667" w:rsidRDefault="00F27194">
      <w:pPr>
        <w:numPr>
          <w:ilvl w:val="0"/>
          <w:numId w:val="2"/>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Minuta y los acuerdos obtenidos en la primera </w:t>
      </w:r>
      <w:proofErr w:type="spellStart"/>
      <w:r>
        <w:rPr>
          <w:rFonts w:ascii="Palatino Linotype" w:eastAsia="Palatino Linotype" w:hAnsi="Palatino Linotype" w:cs="Palatino Linotype"/>
          <w:i/>
          <w:color w:val="000000"/>
        </w:rPr>
        <w:t>sesion</w:t>
      </w:r>
      <w:proofErr w:type="spellEnd"/>
      <w:r>
        <w:rPr>
          <w:rFonts w:ascii="Palatino Linotype" w:eastAsia="Palatino Linotype" w:hAnsi="Palatino Linotype" w:cs="Palatino Linotype"/>
          <w:i/>
          <w:color w:val="000000"/>
        </w:rPr>
        <w:t xml:space="preserve"> ordinaria del consejo municipal de seguridad </w:t>
      </w:r>
      <w:proofErr w:type="spellStart"/>
      <w:r>
        <w:rPr>
          <w:rFonts w:ascii="Palatino Linotype" w:eastAsia="Palatino Linotype" w:hAnsi="Palatino Linotype" w:cs="Palatino Linotype"/>
          <w:i/>
          <w:color w:val="000000"/>
        </w:rPr>
        <w:t>publica</w:t>
      </w:r>
      <w:proofErr w:type="spellEnd"/>
      <w:r>
        <w:rPr>
          <w:rFonts w:ascii="Palatino Linotype" w:eastAsia="Palatino Linotype" w:hAnsi="Palatino Linotype" w:cs="Palatino Linotype"/>
          <w:i/>
          <w:color w:val="000000"/>
        </w:rPr>
        <w:t>.</w:t>
      </w:r>
    </w:p>
    <w:p w:rsidR="00474667" w:rsidRDefault="00474667">
      <w:pPr>
        <w:spacing w:before="240" w:line="360" w:lineRule="auto"/>
        <w:jc w:val="both"/>
        <w:rPr>
          <w:rFonts w:ascii="Palatino Linotype" w:eastAsia="Palatino Linotype" w:hAnsi="Palatino Linotype" w:cs="Palatino Linotype"/>
        </w:rPr>
      </w:pPr>
    </w:p>
    <w:p w:rsidR="00474667" w:rsidRDefault="00F27194">
      <w:pPr>
        <w:spacing w:before="240" w:line="360" w:lineRule="auto"/>
        <w:jc w:val="both"/>
        <w:rPr>
          <w:rFonts w:ascii="Palatino Linotype" w:eastAsia="Palatino Linotype" w:hAnsi="Palatino Linotype" w:cs="Palatino Linotype"/>
        </w:rPr>
      </w:pPr>
      <w:bookmarkStart w:id="4" w:name="_heading=h.17dp8vu" w:colFirst="0" w:colLast="0"/>
      <w:bookmarkEnd w:id="4"/>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da la siguiente respuesta:</w:t>
      </w:r>
    </w:p>
    <w:p w:rsidR="00474667" w:rsidRDefault="00F27194">
      <w:pPr>
        <w:spacing w:before="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897367" cy="3523986"/>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t="22252" b="1"/>
                    <a:stretch>
                      <a:fillRect/>
                    </a:stretch>
                  </pic:blipFill>
                  <pic:spPr>
                    <a:xfrm>
                      <a:off x="0" y="0"/>
                      <a:ext cx="4897367" cy="3523986"/>
                    </a:xfrm>
                    <a:prstGeom prst="rect">
                      <a:avLst/>
                    </a:prstGeom>
                    <a:ln/>
                  </pic:spPr>
                </pic:pic>
              </a:graphicData>
            </a:graphic>
          </wp:inline>
        </w:drawing>
      </w:r>
    </w:p>
    <w:p w:rsidR="00474667" w:rsidRDefault="00474667">
      <w:pPr>
        <w:spacing w:before="240" w:line="360" w:lineRule="auto"/>
        <w:jc w:val="center"/>
        <w:rPr>
          <w:rFonts w:ascii="Palatino Linotype" w:eastAsia="Palatino Linotype" w:hAnsi="Palatino Linotype" w:cs="Palatino Linotype"/>
        </w:rPr>
      </w:pPr>
    </w:p>
    <w:p w:rsidR="00474667" w:rsidRDefault="00F27194">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atención a la respuesta proporcionada, el  </w:t>
      </w:r>
      <w:r>
        <w:rPr>
          <w:rFonts w:ascii="Palatino Linotype" w:eastAsia="Palatino Linotype" w:hAnsi="Palatino Linotype" w:cs="Palatino Linotype"/>
          <w:b/>
        </w:rPr>
        <w:t>RECURRENTE</w:t>
      </w:r>
      <w:r>
        <w:rPr>
          <w:rFonts w:ascii="Palatino Linotype" w:eastAsia="Palatino Linotype" w:hAnsi="Palatino Linotype" w:cs="Palatino Linotype"/>
        </w:rPr>
        <w:t>, interpone recurso de revisión, señalando como Acto Impugnado y Motivos de Inconformidad</w:t>
      </w:r>
      <w:r>
        <w:rPr>
          <w:rFonts w:ascii="Palatino Linotype" w:eastAsia="Palatino Linotype" w:hAnsi="Palatino Linotype" w:cs="Palatino Linotype"/>
          <w:b/>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La información que entregan es incompleta y la que dieron está muy borrosa lo que hace incomprensible he impide el derecho a informarme, por lo que pido me la den completa y que sea legible” (sic)</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Mediante el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sólo envía copia de los acuses de recibido de los requerimientos de información a la Secretaría del Ayuntamiento y al Director del Vinculación Ciudadana, señalando que se han realizado los trámites correspondientes para dar respuesta a la solicitud de </w:t>
      </w:r>
      <w:r>
        <w:rPr>
          <w:rFonts w:ascii="Palatino Linotype" w:eastAsia="Palatino Linotype" w:hAnsi="Palatino Linotype" w:cs="Palatino Linotype"/>
        </w:rPr>
        <w:lastRenderedPageBreak/>
        <w:t>información, y que hasta el momento sólo se entregó al recurrente parcialmente la información.</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que se puso a la vista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sin embargo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realizó manifestaciones, ni formuló alegatos y tampoco ofreció medios de prueba, quedando precluido  su derecho.</w:t>
      </w:r>
    </w:p>
    <w:p w:rsidR="00474667" w:rsidRDefault="00F27194">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lo que derivado de las constancias que integran el expediente de mérito, el Pleno de Instituto, entrará al análisis de conformidad con lo que establece el marco normativo aplicable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color w:val="000000"/>
        </w:rPr>
        <w:t xml:space="preserve"> por lo que primeramente, para un mejor entendimiento se analizan mediante la siguiente tabla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que se obvia el informe justificado, toda vez que no aporta ningún elemento novedoso:</w:t>
      </w: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6"/>
        <w:gridCol w:w="2781"/>
        <w:gridCol w:w="1985"/>
        <w:gridCol w:w="1036"/>
      </w:tblGrid>
      <w:tr w:rsidR="00474667">
        <w:tc>
          <w:tcPr>
            <w:tcW w:w="3026" w:type="dxa"/>
            <w:shd w:val="clear" w:color="auto" w:fill="D9D9D9"/>
          </w:tcPr>
          <w:p w:rsidR="00474667" w:rsidRDefault="00F27194">
            <w:pPr>
              <w:spacing w:before="240"/>
              <w:jc w:val="cente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21"/>
                <w:szCs w:val="21"/>
              </w:rPr>
              <w:t>Solicitud de Información</w:t>
            </w:r>
          </w:p>
        </w:tc>
        <w:tc>
          <w:tcPr>
            <w:tcW w:w="2781" w:type="dxa"/>
            <w:shd w:val="clear" w:color="auto" w:fill="D9D9D9"/>
          </w:tcPr>
          <w:p w:rsidR="00474667" w:rsidRDefault="00F27194">
            <w:pPr>
              <w:spacing w:before="240"/>
              <w:jc w:val="center"/>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Respuesta</w:t>
            </w:r>
          </w:p>
        </w:tc>
        <w:tc>
          <w:tcPr>
            <w:tcW w:w="1985" w:type="dxa"/>
            <w:shd w:val="clear" w:color="auto" w:fill="D9D9D9"/>
          </w:tcPr>
          <w:p w:rsidR="00474667" w:rsidRDefault="00F27194">
            <w:pPr>
              <w:spacing w:before="240"/>
              <w:jc w:val="center"/>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Acto Impugnado</w:t>
            </w:r>
          </w:p>
        </w:tc>
        <w:tc>
          <w:tcPr>
            <w:tcW w:w="1036" w:type="dxa"/>
            <w:shd w:val="clear" w:color="auto" w:fill="D9D9D9"/>
          </w:tcPr>
          <w:p w:rsidR="00474667" w:rsidRDefault="00F27194">
            <w:pPr>
              <w:spacing w:before="240"/>
              <w:jc w:val="center"/>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Colma</w:t>
            </w:r>
          </w:p>
        </w:tc>
      </w:tr>
      <w:tr w:rsidR="00474667">
        <w:tc>
          <w:tcPr>
            <w:tcW w:w="3026" w:type="dxa"/>
          </w:tcPr>
          <w:p w:rsidR="00474667" w:rsidRDefault="00F27194">
            <w:pPr>
              <w:spacing w:before="240" w:line="36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sz w:val="16"/>
                <w:szCs w:val="16"/>
              </w:rPr>
              <w:t xml:space="preserve">Requisitos para que se apoye con una jornada de las que hace el presidente los domingos con el diputado </w:t>
            </w:r>
            <w:proofErr w:type="spellStart"/>
            <w:r>
              <w:rPr>
                <w:rFonts w:ascii="Palatino Linotype" w:eastAsia="Palatino Linotype" w:hAnsi="Palatino Linotype" w:cs="Palatino Linotype"/>
                <w:i/>
                <w:sz w:val="16"/>
                <w:szCs w:val="16"/>
              </w:rPr>
              <w:t>Ivan</w:t>
            </w:r>
            <w:proofErr w:type="spellEnd"/>
            <w:r>
              <w:rPr>
                <w:rFonts w:ascii="Palatino Linotype" w:eastAsia="Palatino Linotype" w:hAnsi="Palatino Linotype" w:cs="Palatino Linotype"/>
                <w:i/>
                <w:sz w:val="16"/>
                <w:szCs w:val="16"/>
              </w:rPr>
              <w:t xml:space="preserve">, una parte del encementado de la iglesia de </w:t>
            </w:r>
            <w:proofErr w:type="spellStart"/>
            <w:r>
              <w:rPr>
                <w:rFonts w:ascii="Palatino Linotype" w:eastAsia="Palatino Linotype" w:hAnsi="Palatino Linotype" w:cs="Palatino Linotype"/>
                <w:i/>
                <w:sz w:val="16"/>
                <w:szCs w:val="16"/>
              </w:rPr>
              <w:t>solis</w:t>
            </w:r>
            <w:proofErr w:type="spellEnd"/>
            <w:r>
              <w:rPr>
                <w:rFonts w:ascii="Palatino Linotype" w:eastAsia="Palatino Linotype" w:hAnsi="Palatino Linotype" w:cs="Palatino Linotype"/>
                <w:i/>
                <w:sz w:val="16"/>
                <w:szCs w:val="16"/>
              </w:rPr>
              <w:t xml:space="preserve"> esta defectuoso y saber si se puede apoyar. </w:t>
            </w:r>
          </w:p>
        </w:tc>
        <w:tc>
          <w:tcPr>
            <w:tcW w:w="2781"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 xml:space="preserve">El Director de Vinculación Ciudadana manifiesta que se </w:t>
            </w:r>
            <w:proofErr w:type="spellStart"/>
            <w:r>
              <w:rPr>
                <w:rFonts w:ascii="Palatino Linotype" w:eastAsia="Palatino Linotype" w:hAnsi="Palatino Linotype" w:cs="Palatino Linotype"/>
                <w:color w:val="000000"/>
                <w:sz w:val="21"/>
                <w:szCs w:val="21"/>
              </w:rPr>
              <w:t>solitan</w:t>
            </w:r>
            <w:proofErr w:type="spellEnd"/>
            <w:r>
              <w:rPr>
                <w:rFonts w:ascii="Palatino Linotype" w:eastAsia="Palatino Linotype" w:hAnsi="Palatino Linotype" w:cs="Palatino Linotype"/>
                <w:color w:val="000000"/>
                <w:sz w:val="21"/>
                <w:szCs w:val="21"/>
              </w:rPr>
              <w:t xml:space="preserve"> mediante solicitud en oficialía de partes. </w:t>
            </w:r>
          </w:p>
        </w:tc>
        <w:tc>
          <w:tcPr>
            <w:tcW w:w="1985"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Información Incompleta, borrosa e incomprensible.</w:t>
            </w:r>
          </w:p>
        </w:tc>
        <w:tc>
          <w:tcPr>
            <w:tcW w:w="1036"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Si</w:t>
            </w:r>
          </w:p>
        </w:tc>
      </w:tr>
      <w:tr w:rsidR="00474667">
        <w:tc>
          <w:tcPr>
            <w:tcW w:w="3026" w:type="dxa"/>
          </w:tcPr>
          <w:p w:rsidR="00474667" w:rsidRDefault="00F27194">
            <w:pPr>
              <w:spacing w:before="240" w:line="36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sz w:val="16"/>
                <w:szCs w:val="16"/>
              </w:rPr>
              <w:t xml:space="preserve">Donde </w:t>
            </w:r>
            <w:proofErr w:type="spellStart"/>
            <w:r>
              <w:rPr>
                <w:rFonts w:ascii="Palatino Linotype" w:eastAsia="Palatino Linotype" w:hAnsi="Palatino Linotype" w:cs="Palatino Linotype"/>
                <w:i/>
                <w:sz w:val="16"/>
                <w:szCs w:val="16"/>
              </w:rPr>
              <w:t>estan</w:t>
            </w:r>
            <w:proofErr w:type="spellEnd"/>
            <w:r>
              <w:rPr>
                <w:rFonts w:ascii="Palatino Linotype" w:eastAsia="Palatino Linotype" w:hAnsi="Palatino Linotype" w:cs="Palatino Linotype"/>
                <w:i/>
                <w:sz w:val="16"/>
                <w:szCs w:val="16"/>
              </w:rPr>
              <w:t xml:space="preserve"> las oficinas en </w:t>
            </w:r>
            <w:proofErr w:type="spellStart"/>
            <w:r>
              <w:rPr>
                <w:rFonts w:ascii="Palatino Linotype" w:eastAsia="Palatino Linotype" w:hAnsi="Palatino Linotype" w:cs="Palatino Linotype"/>
                <w:i/>
                <w:sz w:val="16"/>
                <w:szCs w:val="16"/>
              </w:rPr>
              <w:t>temascalcingo</w:t>
            </w:r>
            <w:proofErr w:type="spellEnd"/>
            <w:r>
              <w:rPr>
                <w:rFonts w:ascii="Palatino Linotype" w:eastAsia="Palatino Linotype" w:hAnsi="Palatino Linotype" w:cs="Palatino Linotype"/>
                <w:i/>
                <w:sz w:val="16"/>
                <w:szCs w:val="16"/>
              </w:rPr>
              <w:t xml:space="preserve"> del diputado </w:t>
            </w:r>
            <w:proofErr w:type="spellStart"/>
            <w:r>
              <w:rPr>
                <w:rFonts w:ascii="Palatino Linotype" w:eastAsia="Palatino Linotype" w:hAnsi="Palatino Linotype" w:cs="Palatino Linotype"/>
                <w:i/>
                <w:sz w:val="16"/>
                <w:szCs w:val="16"/>
              </w:rPr>
              <w:t>ivan</w:t>
            </w:r>
            <w:proofErr w:type="spellEnd"/>
            <w:r>
              <w:rPr>
                <w:rFonts w:ascii="Palatino Linotype" w:eastAsia="Palatino Linotype" w:hAnsi="Palatino Linotype" w:cs="Palatino Linotype"/>
                <w:i/>
                <w:sz w:val="16"/>
                <w:szCs w:val="16"/>
              </w:rPr>
              <w:t xml:space="preserve"> </w:t>
            </w:r>
            <w:proofErr w:type="spellStart"/>
            <w:r>
              <w:rPr>
                <w:rFonts w:ascii="Palatino Linotype" w:eastAsia="Palatino Linotype" w:hAnsi="Palatino Linotype" w:cs="Palatino Linotype"/>
                <w:i/>
                <w:sz w:val="16"/>
                <w:szCs w:val="16"/>
              </w:rPr>
              <w:t>esquer</w:t>
            </w:r>
            <w:proofErr w:type="spellEnd"/>
            <w:r>
              <w:rPr>
                <w:rFonts w:ascii="Palatino Linotype" w:eastAsia="Palatino Linotype" w:hAnsi="Palatino Linotype" w:cs="Palatino Linotype"/>
                <w:i/>
                <w:sz w:val="16"/>
                <w:szCs w:val="16"/>
              </w:rPr>
              <w:t xml:space="preserve"> y </w:t>
            </w:r>
            <w:proofErr w:type="spellStart"/>
            <w:r>
              <w:rPr>
                <w:rFonts w:ascii="Palatino Linotype" w:eastAsia="Palatino Linotype" w:hAnsi="Palatino Linotype" w:cs="Palatino Linotype"/>
                <w:i/>
                <w:sz w:val="16"/>
                <w:szCs w:val="16"/>
              </w:rPr>
              <w:t>cual</w:t>
            </w:r>
            <w:proofErr w:type="spellEnd"/>
            <w:r>
              <w:rPr>
                <w:rFonts w:ascii="Palatino Linotype" w:eastAsia="Palatino Linotype" w:hAnsi="Palatino Linotype" w:cs="Palatino Linotype"/>
                <w:i/>
                <w:sz w:val="16"/>
                <w:szCs w:val="16"/>
              </w:rPr>
              <w:t xml:space="preserve"> es su </w:t>
            </w:r>
            <w:proofErr w:type="spellStart"/>
            <w:r>
              <w:rPr>
                <w:rFonts w:ascii="Palatino Linotype" w:eastAsia="Palatino Linotype" w:hAnsi="Palatino Linotype" w:cs="Palatino Linotype"/>
                <w:i/>
                <w:sz w:val="16"/>
                <w:szCs w:val="16"/>
              </w:rPr>
              <w:t>numero</w:t>
            </w:r>
            <w:proofErr w:type="spellEnd"/>
            <w:r>
              <w:rPr>
                <w:rFonts w:ascii="Palatino Linotype" w:eastAsia="Palatino Linotype" w:hAnsi="Palatino Linotype" w:cs="Palatino Linotype"/>
                <w:i/>
                <w:sz w:val="16"/>
                <w:szCs w:val="16"/>
              </w:rPr>
              <w:t xml:space="preserve"> de </w:t>
            </w:r>
            <w:proofErr w:type="spellStart"/>
            <w:r>
              <w:rPr>
                <w:rFonts w:ascii="Palatino Linotype" w:eastAsia="Palatino Linotype" w:hAnsi="Palatino Linotype" w:cs="Palatino Linotype"/>
                <w:i/>
                <w:sz w:val="16"/>
                <w:szCs w:val="16"/>
              </w:rPr>
              <w:t>telefono</w:t>
            </w:r>
            <w:proofErr w:type="spellEnd"/>
            <w:r>
              <w:rPr>
                <w:rFonts w:ascii="Palatino Linotype" w:eastAsia="Palatino Linotype" w:hAnsi="Palatino Linotype" w:cs="Palatino Linotype"/>
                <w:i/>
                <w:sz w:val="16"/>
                <w:szCs w:val="16"/>
              </w:rPr>
              <w:t xml:space="preserve"> de la oficina. </w:t>
            </w:r>
          </w:p>
        </w:tc>
        <w:tc>
          <w:tcPr>
            <w:tcW w:w="2781"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 emite manifestación</w:t>
            </w:r>
          </w:p>
        </w:tc>
        <w:tc>
          <w:tcPr>
            <w:tcW w:w="1985"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w:t>
            </w:r>
          </w:p>
        </w:tc>
        <w:tc>
          <w:tcPr>
            <w:tcW w:w="1036"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w:t>
            </w:r>
          </w:p>
        </w:tc>
      </w:tr>
      <w:tr w:rsidR="00474667">
        <w:tc>
          <w:tcPr>
            <w:tcW w:w="3026" w:type="dxa"/>
          </w:tcPr>
          <w:p w:rsidR="00474667" w:rsidRDefault="00F27194">
            <w:pPr>
              <w:spacing w:before="240" w:line="36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sz w:val="16"/>
                <w:szCs w:val="16"/>
              </w:rPr>
              <w:t xml:space="preserve">Que día son los </w:t>
            </w:r>
            <w:proofErr w:type="spellStart"/>
            <w:r>
              <w:rPr>
                <w:rFonts w:ascii="Palatino Linotype" w:eastAsia="Palatino Linotype" w:hAnsi="Palatino Linotype" w:cs="Palatino Linotype"/>
                <w:i/>
                <w:sz w:val="16"/>
                <w:szCs w:val="16"/>
              </w:rPr>
              <w:t>dias</w:t>
            </w:r>
            <w:proofErr w:type="spellEnd"/>
            <w:r>
              <w:rPr>
                <w:rFonts w:ascii="Palatino Linotype" w:eastAsia="Palatino Linotype" w:hAnsi="Palatino Linotype" w:cs="Palatino Linotype"/>
                <w:i/>
                <w:sz w:val="16"/>
                <w:szCs w:val="16"/>
              </w:rPr>
              <w:t xml:space="preserve"> de audiencia </w:t>
            </w:r>
            <w:proofErr w:type="spellStart"/>
            <w:r>
              <w:rPr>
                <w:rFonts w:ascii="Palatino Linotype" w:eastAsia="Palatino Linotype" w:hAnsi="Palatino Linotype" w:cs="Palatino Linotype"/>
                <w:i/>
                <w:sz w:val="16"/>
                <w:szCs w:val="16"/>
              </w:rPr>
              <w:t>publica</w:t>
            </w:r>
            <w:proofErr w:type="spellEnd"/>
            <w:r>
              <w:rPr>
                <w:rFonts w:ascii="Palatino Linotype" w:eastAsia="Palatino Linotype" w:hAnsi="Palatino Linotype" w:cs="Palatino Linotype"/>
                <w:i/>
                <w:sz w:val="16"/>
                <w:szCs w:val="16"/>
              </w:rPr>
              <w:t xml:space="preserve"> con el presidente y en que oficina se solicitan. </w:t>
            </w:r>
          </w:p>
        </w:tc>
        <w:tc>
          <w:tcPr>
            <w:tcW w:w="2781"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 xml:space="preserve">El Director de Vinculación Ciudadana señala que no hay día específico, y que se </w:t>
            </w:r>
            <w:r>
              <w:rPr>
                <w:rFonts w:ascii="Palatino Linotype" w:eastAsia="Palatino Linotype" w:hAnsi="Palatino Linotype" w:cs="Palatino Linotype"/>
                <w:color w:val="000000"/>
                <w:sz w:val="21"/>
                <w:szCs w:val="21"/>
              </w:rPr>
              <w:lastRenderedPageBreak/>
              <w:t>solicita en la oficina de Vinculación Ciudadana.</w:t>
            </w:r>
          </w:p>
        </w:tc>
        <w:tc>
          <w:tcPr>
            <w:tcW w:w="1985"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lastRenderedPageBreak/>
              <w:t>-</w:t>
            </w:r>
          </w:p>
        </w:tc>
        <w:tc>
          <w:tcPr>
            <w:tcW w:w="1036"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Si</w:t>
            </w:r>
          </w:p>
        </w:tc>
      </w:tr>
      <w:tr w:rsidR="00474667">
        <w:tc>
          <w:tcPr>
            <w:tcW w:w="3026" w:type="dxa"/>
          </w:tcPr>
          <w:p w:rsidR="00474667" w:rsidRDefault="00F27194">
            <w:pPr>
              <w:spacing w:before="240" w:line="36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sz w:val="16"/>
                <w:szCs w:val="16"/>
              </w:rPr>
              <w:t>fecha para elegir nuevo delegado.</w:t>
            </w:r>
          </w:p>
        </w:tc>
        <w:tc>
          <w:tcPr>
            <w:tcW w:w="2781"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 emite manifestación</w:t>
            </w:r>
          </w:p>
        </w:tc>
        <w:tc>
          <w:tcPr>
            <w:tcW w:w="1985"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w:t>
            </w:r>
          </w:p>
        </w:tc>
        <w:tc>
          <w:tcPr>
            <w:tcW w:w="1036"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w:t>
            </w:r>
          </w:p>
        </w:tc>
      </w:tr>
      <w:tr w:rsidR="00474667">
        <w:tc>
          <w:tcPr>
            <w:tcW w:w="3026" w:type="dxa"/>
          </w:tcPr>
          <w:p w:rsidR="00474667" w:rsidRDefault="00F27194">
            <w:pPr>
              <w:spacing w:before="240" w:line="36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sz w:val="16"/>
                <w:szCs w:val="16"/>
              </w:rPr>
              <w:t xml:space="preserve">Copias simples del presupuesto de ingresos y egresos del ejercicio fiscal 2022. </w:t>
            </w:r>
          </w:p>
        </w:tc>
        <w:tc>
          <w:tcPr>
            <w:tcW w:w="2781"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 emite manifestación</w:t>
            </w:r>
          </w:p>
        </w:tc>
        <w:tc>
          <w:tcPr>
            <w:tcW w:w="1985"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w:t>
            </w:r>
          </w:p>
        </w:tc>
        <w:tc>
          <w:tcPr>
            <w:tcW w:w="1036"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w:t>
            </w:r>
          </w:p>
        </w:tc>
      </w:tr>
      <w:tr w:rsidR="00474667">
        <w:tc>
          <w:tcPr>
            <w:tcW w:w="3026" w:type="dxa"/>
          </w:tcPr>
          <w:p w:rsidR="00474667" w:rsidRDefault="00F27194">
            <w:pPr>
              <w:spacing w:before="240" w:line="36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sz w:val="16"/>
                <w:szCs w:val="16"/>
              </w:rPr>
              <w:t xml:space="preserve">Convenio que se </w:t>
            </w:r>
            <w:proofErr w:type="spellStart"/>
            <w:r>
              <w:rPr>
                <w:rFonts w:ascii="Palatino Linotype" w:eastAsia="Palatino Linotype" w:hAnsi="Palatino Linotype" w:cs="Palatino Linotype"/>
                <w:i/>
                <w:sz w:val="16"/>
                <w:szCs w:val="16"/>
              </w:rPr>
              <w:t>celebro</w:t>
            </w:r>
            <w:proofErr w:type="spellEnd"/>
            <w:r>
              <w:rPr>
                <w:rFonts w:ascii="Palatino Linotype" w:eastAsia="Palatino Linotype" w:hAnsi="Palatino Linotype" w:cs="Palatino Linotype"/>
                <w:i/>
                <w:sz w:val="16"/>
                <w:szCs w:val="16"/>
              </w:rPr>
              <w:t xml:space="preserve"> entre el IMEVIS y el ayuntamiento de Temascalcingo. </w:t>
            </w:r>
          </w:p>
        </w:tc>
        <w:tc>
          <w:tcPr>
            <w:tcW w:w="2781"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 emite manifestación</w:t>
            </w:r>
          </w:p>
        </w:tc>
        <w:tc>
          <w:tcPr>
            <w:tcW w:w="1985"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w:t>
            </w:r>
          </w:p>
        </w:tc>
        <w:tc>
          <w:tcPr>
            <w:tcW w:w="1036"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w:t>
            </w:r>
          </w:p>
        </w:tc>
      </w:tr>
      <w:tr w:rsidR="00474667">
        <w:tc>
          <w:tcPr>
            <w:tcW w:w="3026" w:type="dxa"/>
          </w:tcPr>
          <w:p w:rsidR="00474667" w:rsidRDefault="00F27194">
            <w:pPr>
              <w:spacing w:before="240" w:line="360" w:lineRule="auto"/>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Convenio celebrado entre el centro de control de confianza y el ayuntamiento de </w:t>
            </w:r>
            <w:proofErr w:type="spellStart"/>
            <w:r>
              <w:rPr>
                <w:rFonts w:ascii="Palatino Linotype" w:eastAsia="Palatino Linotype" w:hAnsi="Palatino Linotype" w:cs="Palatino Linotype"/>
                <w:i/>
                <w:sz w:val="16"/>
                <w:szCs w:val="16"/>
              </w:rPr>
              <w:t>temascalcingo</w:t>
            </w:r>
            <w:proofErr w:type="spellEnd"/>
          </w:p>
        </w:tc>
        <w:tc>
          <w:tcPr>
            <w:tcW w:w="2781"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 emite manifestación</w:t>
            </w:r>
          </w:p>
        </w:tc>
        <w:tc>
          <w:tcPr>
            <w:tcW w:w="1985"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w:t>
            </w:r>
          </w:p>
        </w:tc>
        <w:tc>
          <w:tcPr>
            <w:tcW w:w="1036"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w:t>
            </w:r>
          </w:p>
        </w:tc>
      </w:tr>
      <w:tr w:rsidR="00474667">
        <w:tc>
          <w:tcPr>
            <w:tcW w:w="3026" w:type="dxa"/>
          </w:tcPr>
          <w:p w:rsidR="00474667" w:rsidRDefault="00F27194">
            <w:pPr>
              <w:spacing w:before="240" w:line="360" w:lineRule="auto"/>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Minuta y los acuerdos obtenidos en la primera </w:t>
            </w:r>
            <w:proofErr w:type="spellStart"/>
            <w:r>
              <w:rPr>
                <w:rFonts w:ascii="Palatino Linotype" w:eastAsia="Palatino Linotype" w:hAnsi="Palatino Linotype" w:cs="Palatino Linotype"/>
                <w:i/>
                <w:sz w:val="16"/>
                <w:szCs w:val="16"/>
              </w:rPr>
              <w:t>sesion</w:t>
            </w:r>
            <w:proofErr w:type="spellEnd"/>
            <w:r>
              <w:rPr>
                <w:rFonts w:ascii="Palatino Linotype" w:eastAsia="Palatino Linotype" w:hAnsi="Palatino Linotype" w:cs="Palatino Linotype"/>
                <w:i/>
                <w:sz w:val="16"/>
                <w:szCs w:val="16"/>
              </w:rPr>
              <w:t xml:space="preserve"> ordinaria del consejo municipal de seguridad publica</w:t>
            </w:r>
          </w:p>
        </w:tc>
        <w:tc>
          <w:tcPr>
            <w:tcW w:w="2781"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 emite manifestación</w:t>
            </w:r>
          </w:p>
        </w:tc>
        <w:tc>
          <w:tcPr>
            <w:tcW w:w="1985"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w:t>
            </w:r>
          </w:p>
        </w:tc>
        <w:tc>
          <w:tcPr>
            <w:tcW w:w="1036" w:type="dxa"/>
          </w:tcPr>
          <w:p w:rsidR="00474667" w:rsidRDefault="00F27194">
            <w:pPr>
              <w:spacing w:before="240" w:line="360" w:lineRule="auto"/>
              <w:jc w:val="both"/>
              <w:rPr>
                <w:rFonts w:ascii="Palatino Linotype" w:eastAsia="Palatino Linotype" w:hAnsi="Palatino Linotype" w:cs="Palatino Linotype"/>
                <w:color w:val="000000"/>
                <w:sz w:val="21"/>
                <w:szCs w:val="21"/>
              </w:rPr>
            </w:pPr>
            <w:r>
              <w:rPr>
                <w:rFonts w:ascii="Palatino Linotype" w:eastAsia="Palatino Linotype" w:hAnsi="Palatino Linotype" w:cs="Palatino Linotype"/>
                <w:color w:val="000000"/>
                <w:sz w:val="21"/>
                <w:szCs w:val="21"/>
              </w:rPr>
              <w:t>No</w:t>
            </w:r>
          </w:p>
        </w:tc>
      </w:tr>
    </w:tbl>
    <w:p w:rsidR="00474667" w:rsidRDefault="00F2719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color w:val="000000"/>
        </w:rPr>
        <w:t>Primeramente, en atención a la solicitud donde el particular requiere</w:t>
      </w:r>
      <w:r>
        <w:rPr>
          <w:rFonts w:ascii="Palatino Linotype" w:eastAsia="Palatino Linotype" w:hAnsi="Palatino Linotype" w:cs="Palatino Linotype"/>
          <w:b/>
          <w:color w:val="000000"/>
        </w:rPr>
        <w:t>:</w:t>
      </w:r>
      <w:r>
        <w:rPr>
          <w:rFonts w:ascii="Palatino Linotype" w:eastAsia="Palatino Linotype" w:hAnsi="Palatino Linotype" w:cs="Palatino Linotype"/>
          <w:b/>
          <w:i/>
          <w:color w:val="000000"/>
          <w:sz w:val="21"/>
          <w:szCs w:val="21"/>
        </w:rPr>
        <w:t xml:space="preserve"> “</w:t>
      </w:r>
      <w:r>
        <w:rPr>
          <w:rFonts w:ascii="Palatino Linotype" w:eastAsia="Palatino Linotype" w:hAnsi="Palatino Linotype" w:cs="Palatino Linotype"/>
          <w:b/>
          <w:i/>
        </w:rPr>
        <w:t xml:space="preserve">Requisitos para que se apoye con una jornada de las que hace el presidente los domingos con el diputado </w:t>
      </w:r>
      <w:proofErr w:type="spellStart"/>
      <w:r>
        <w:rPr>
          <w:rFonts w:ascii="Palatino Linotype" w:eastAsia="Palatino Linotype" w:hAnsi="Palatino Linotype" w:cs="Palatino Linotype"/>
          <w:b/>
          <w:i/>
        </w:rPr>
        <w:t>Ivan</w:t>
      </w:r>
      <w:proofErr w:type="spellEnd"/>
      <w:r>
        <w:rPr>
          <w:rFonts w:ascii="Palatino Linotype" w:eastAsia="Palatino Linotype" w:hAnsi="Palatino Linotype" w:cs="Palatino Linotype"/>
          <w:b/>
          <w:i/>
        </w:rPr>
        <w:t xml:space="preserve">, y que día son los </w:t>
      </w:r>
      <w:proofErr w:type="spellStart"/>
      <w:r>
        <w:rPr>
          <w:rFonts w:ascii="Palatino Linotype" w:eastAsia="Palatino Linotype" w:hAnsi="Palatino Linotype" w:cs="Palatino Linotype"/>
          <w:b/>
          <w:i/>
        </w:rPr>
        <w:t>dias</w:t>
      </w:r>
      <w:proofErr w:type="spellEnd"/>
      <w:r>
        <w:rPr>
          <w:rFonts w:ascii="Palatino Linotype" w:eastAsia="Palatino Linotype" w:hAnsi="Palatino Linotype" w:cs="Palatino Linotype"/>
          <w:b/>
          <w:i/>
        </w:rPr>
        <w:t xml:space="preserve"> de audiencia </w:t>
      </w:r>
      <w:proofErr w:type="spellStart"/>
      <w:r>
        <w:rPr>
          <w:rFonts w:ascii="Palatino Linotype" w:eastAsia="Palatino Linotype" w:hAnsi="Palatino Linotype" w:cs="Palatino Linotype"/>
          <w:b/>
          <w:i/>
        </w:rPr>
        <w:t>publica</w:t>
      </w:r>
      <w:proofErr w:type="spellEnd"/>
      <w:r>
        <w:rPr>
          <w:rFonts w:ascii="Palatino Linotype" w:eastAsia="Palatino Linotype" w:hAnsi="Palatino Linotype" w:cs="Palatino Linotype"/>
          <w:b/>
          <w:i/>
        </w:rPr>
        <w:t xml:space="preserve"> con el presidente y en que oficina se solicitan” </w:t>
      </w:r>
      <w:r>
        <w:rPr>
          <w:rFonts w:ascii="Palatino Linotype" w:eastAsia="Palatino Linotype" w:hAnsi="Palatino Linotype" w:cs="Palatino Linotype"/>
          <w:i/>
        </w:rPr>
        <w:t xml:space="preserve">(Sic), </w:t>
      </w:r>
      <w:r>
        <w:rPr>
          <w:rFonts w:ascii="Palatino Linotype" w:eastAsia="Palatino Linotype" w:hAnsi="Palatino Linotype" w:cs="Palatino Linotype"/>
        </w:rPr>
        <w:t xml:space="preserve">se tienen por atendidos estos requerimientos de información,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como único requisito, solicitud en oficialía de partes, respecto a que días se tiene audiencia, que no hay día específico, y en que oficina se solicita en la de Vinculación Ciudadana.</w:t>
      </w:r>
    </w:p>
    <w:p w:rsidR="00474667" w:rsidRDefault="00F27194">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 xml:space="preserve">Aunado a lo anterior, este Pleno considera necesario dejar claro que, al haber existido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fin de dar respuesta a este punto de la solicitud planteada, este no está facultado para manifestarse sobre la veracidad de la información proporcionada, pues no existe </w:t>
      </w:r>
      <w:r>
        <w:rPr>
          <w:rFonts w:ascii="Palatino Linotype" w:eastAsia="Palatino Linotype" w:hAnsi="Palatino Linotype" w:cs="Palatino Linotype"/>
          <w:color w:val="000000"/>
        </w:rPr>
        <w:lastRenderedPageBreak/>
        <w:t>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474667" w:rsidRDefault="00F27194">
      <w:pPr>
        <w:pBdr>
          <w:top w:val="nil"/>
          <w:left w:val="nil"/>
          <w:bottom w:val="nil"/>
          <w:right w:val="nil"/>
          <w:between w:val="nil"/>
        </w:pBdr>
        <w:spacing w:line="276" w:lineRule="auto"/>
        <w:ind w:left="860" w:right="560"/>
        <w:jc w:val="both"/>
        <w:rPr>
          <w:color w:val="000000"/>
        </w:rPr>
      </w:pPr>
      <w:r>
        <w:rPr>
          <w:rFonts w:ascii="Palatino Linotype" w:eastAsia="Palatino Linotype" w:hAnsi="Palatino Linotype" w:cs="Palatino Linotype"/>
          <w:i/>
          <w:color w:val="000000"/>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74667" w:rsidRDefault="00F2719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la respuesta que proporciona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éstos puntos, no se encuentra borrosa ni incompresible, como se muestra a continuación:</w:t>
      </w:r>
    </w:p>
    <w:p w:rsidR="00474667" w:rsidRDefault="00F27194">
      <w:pPr>
        <w:pBdr>
          <w:top w:val="nil"/>
          <w:left w:val="nil"/>
          <w:bottom w:val="nil"/>
          <w:right w:val="nil"/>
          <w:between w:val="nil"/>
        </w:pBdr>
        <w:spacing w:before="240" w:after="240" w:line="360" w:lineRule="auto"/>
        <w:ind w:right="99"/>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180140" cy="3965409"/>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180140" cy="3965409"/>
                    </a:xfrm>
                    <a:prstGeom prst="rect">
                      <a:avLst/>
                    </a:prstGeom>
                    <a:ln/>
                  </pic:spPr>
                </pic:pic>
              </a:graphicData>
            </a:graphic>
          </wp:inline>
        </w:drawing>
      </w:r>
    </w:p>
    <w:p w:rsidR="00474667" w:rsidRDefault="00F2719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cual, el  argumento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respecto de que le dieron una respuesta muy borrosa que la hace incomprensible he impide el derecho a informarme, deviene como infundado.</w:t>
      </w:r>
    </w:p>
    <w:p w:rsidR="00474667" w:rsidRDefault="00F27194">
      <w:p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Por otra parte, en relación a que el solicitante requiere saber “</w:t>
      </w:r>
      <w:r>
        <w:rPr>
          <w:rFonts w:ascii="Palatino Linotype" w:eastAsia="Palatino Linotype" w:hAnsi="Palatino Linotype" w:cs="Palatino Linotype"/>
          <w:b/>
          <w:i/>
          <w:color w:val="000000"/>
        </w:rPr>
        <w:t xml:space="preserve">Donde </w:t>
      </w:r>
      <w:proofErr w:type="spellStart"/>
      <w:r>
        <w:rPr>
          <w:rFonts w:ascii="Palatino Linotype" w:eastAsia="Palatino Linotype" w:hAnsi="Palatino Linotype" w:cs="Palatino Linotype"/>
          <w:b/>
          <w:i/>
          <w:color w:val="000000"/>
        </w:rPr>
        <w:t>estan</w:t>
      </w:r>
      <w:proofErr w:type="spellEnd"/>
      <w:r>
        <w:rPr>
          <w:rFonts w:ascii="Palatino Linotype" w:eastAsia="Palatino Linotype" w:hAnsi="Palatino Linotype" w:cs="Palatino Linotype"/>
          <w:b/>
          <w:i/>
          <w:color w:val="000000"/>
        </w:rPr>
        <w:t xml:space="preserve"> las oficinas en </w:t>
      </w:r>
      <w:proofErr w:type="spellStart"/>
      <w:r>
        <w:rPr>
          <w:rFonts w:ascii="Palatino Linotype" w:eastAsia="Palatino Linotype" w:hAnsi="Palatino Linotype" w:cs="Palatino Linotype"/>
          <w:b/>
          <w:i/>
          <w:color w:val="000000"/>
        </w:rPr>
        <w:t>temascalcingo</w:t>
      </w:r>
      <w:proofErr w:type="spellEnd"/>
      <w:r>
        <w:rPr>
          <w:rFonts w:ascii="Palatino Linotype" w:eastAsia="Palatino Linotype" w:hAnsi="Palatino Linotype" w:cs="Palatino Linotype"/>
          <w:b/>
          <w:i/>
          <w:color w:val="000000"/>
        </w:rPr>
        <w:t xml:space="preserve"> del diputado </w:t>
      </w:r>
      <w:proofErr w:type="spellStart"/>
      <w:r>
        <w:rPr>
          <w:rFonts w:ascii="Palatino Linotype" w:eastAsia="Palatino Linotype" w:hAnsi="Palatino Linotype" w:cs="Palatino Linotype"/>
          <w:b/>
          <w:i/>
          <w:color w:val="000000"/>
        </w:rPr>
        <w:t>ivan</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esquer</w:t>
      </w:r>
      <w:proofErr w:type="spellEnd"/>
      <w:r>
        <w:rPr>
          <w:rFonts w:ascii="Palatino Linotype" w:eastAsia="Palatino Linotype" w:hAnsi="Palatino Linotype" w:cs="Palatino Linotype"/>
          <w:b/>
          <w:i/>
          <w:color w:val="000000"/>
        </w:rPr>
        <w:t xml:space="preserve"> y </w:t>
      </w:r>
      <w:proofErr w:type="spellStart"/>
      <w:r>
        <w:rPr>
          <w:rFonts w:ascii="Palatino Linotype" w:eastAsia="Palatino Linotype" w:hAnsi="Palatino Linotype" w:cs="Palatino Linotype"/>
          <w:b/>
          <w:i/>
          <w:color w:val="000000"/>
        </w:rPr>
        <w:t>cual</w:t>
      </w:r>
      <w:proofErr w:type="spellEnd"/>
      <w:r>
        <w:rPr>
          <w:rFonts w:ascii="Palatino Linotype" w:eastAsia="Palatino Linotype" w:hAnsi="Palatino Linotype" w:cs="Palatino Linotype"/>
          <w:b/>
          <w:i/>
          <w:color w:val="000000"/>
        </w:rPr>
        <w:t xml:space="preserve"> es su </w:t>
      </w:r>
      <w:proofErr w:type="spellStart"/>
      <w:r>
        <w:rPr>
          <w:rFonts w:ascii="Palatino Linotype" w:eastAsia="Palatino Linotype" w:hAnsi="Palatino Linotype" w:cs="Palatino Linotype"/>
          <w:b/>
          <w:i/>
          <w:color w:val="000000"/>
        </w:rPr>
        <w:t>numero</w:t>
      </w:r>
      <w:proofErr w:type="spellEnd"/>
      <w:r>
        <w:rPr>
          <w:rFonts w:ascii="Palatino Linotype" w:eastAsia="Palatino Linotype" w:hAnsi="Palatino Linotype" w:cs="Palatino Linotype"/>
          <w:b/>
          <w:i/>
          <w:color w:val="000000"/>
        </w:rPr>
        <w:t xml:space="preserve"> de </w:t>
      </w:r>
      <w:proofErr w:type="spellStart"/>
      <w:r>
        <w:rPr>
          <w:rFonts w:ascii="Palatino Linotype" w:eastAsia="Palatino Linotype" w:hAnsi="Palatino Linotype" w:cs="Palatino Linotype"/>
          <w:b/>
          <w:i/>
          <w:color w:val="000000"/>
        </w:rPr>
        <w:t>telefono</w:t>
      </w:r>
      <w:proofErr w:type="spellEnd"/>
      <w:r>
        <w:rPr>
          <w:rFonts w:ascii="Palatino Linotype" w:eastAsia="Palatino Linotype" w:hAnsi="Palatino Linotype" w:cs="Palatino Linotype"/>
          <w:b/>
          <w:i/>
          <w:color w:val="000000"/>
        </w:rPr>
        <w:t xml:space="preserve"> de la oficina”. </w:t>
      </w:r>
      <w:r>
        <w:rPr>
          <w:rFonts w:ascii="Palatino Linotype" w:eastAsia="Palatino Linotype" w:hAnsi="Palatino Linotype" w:cs="Palatino Linotype"/>
          <w:i/>
          <w:color w:val="000000"/>
        </w:rPr>
        <w:t>(Sic)</w:t>
      </w:r>
    </w:p>
    <w:p w:rsidR="00474667" w:rsidRDefault="00F2719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conformidad con la Ley Orgánica del Poder Legislativo del Estado Libre y Soberano de México, que dispone lo siguiente:</w:t>
      </w:r>
    </w:p>
    <w:p w:rsidR="00474667" w:rsidRDefault="00F27194">
      <w:pPr>
        <w:pBdr>
          <w:top w:val="nil"/>
          <w:left w:val="nil"/>
          <w:bottom w:val="nil"/>
          <w:right w:val="nil"/>
          <w:between w:val="nil"/>
        </w:pBdr>
        <w:spacing w:before="280" w:after="280"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“Artículo 5.- El ejercicio </w:t>
      </w:r>
      <w:r>
        <w:rPr>
          <w:rFonts w:ascii="Palatino Linotype" w:eastAsia="Palatino Linotype" w:hAnsi="Palatino Linotype" w:cs="Palatino Linotype"/>
          <w:b/>
          <w:i/>
          <w:color w:val="000000"/>
          <w:sz w:val="22"/>
          <w:szCs w:val="22"/>
        </w:rPr>
        <w:t>del Poder Legislativo se deposita en una asamblea denominada Legislatura del Estado, integrada por diputados electos</w:t>
      </w:r>
      <w:r>
        <w:rPr>
          <w:rFonts w:ascii="Palatino Linotype" w:eastAsia="Palatino Linotype" w:hAnsi="Palatino Linotype" w:cs="Palatino Linotype"/>
          <w:i/>
          <w:color w:val="000000"/>
          <w:sz w:val="22"/>
          <w:szCs w:val="22"/>
        </w:rPr>
        <w:t xml:space="preserve"> en su totalidad por sufragio universal, libre, secreto y directo, conforme a los principios de votación mayoritaria relativa y de representación proporcional, en el número y términos que determinen la Constitución y la ley de la materia la Legislatura se renovará en su totalidad cada tres años. …”</w:t>
      </w:r>
    </w:p>
    <w:p w:rsidR="00474667" w:rsidRDefault="00F2719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93DDF">
        <w:rPr>
          <w:rFonts w:ascii="Palatino Linotype" w:eastAsia="Palatino Linotype" w:hAnsi="Palatino Linotype" w:cs="Palatino Linotype"/>
          <w:color w:val="000000"/>
        </w:rPr>
        <w:t xml:space="preserve">En este sentido, </w:t>
      </w:r>
      <w:r w:rsidR="00E64B65" w:rsidRPr="00C93DDF">
        <w:rPr>
          <w:rFonts w:ascii="Palatino Linotype" w:eastAsia="Palatino Linotype" w:hAnsi="Palatino Linotype" w:cs="Palatino Linotype"/>
          <w:color w:val="000000"/>
        </w:rPr>
        <w:t>la fracción VII del artículo 92 de la Ley de Transparencia vigente en el Estado de México, establece como obligación de transparencia común, la relacionada con la publicación del Directorio de Servidores Públicos, por lo que este Organismo Garante realizó una consulta al Portal del</w:t>
      </w:r>
      <w:r w:rsidRPr="00C93DDF">
        <w:rPr>
          <w:rFonts w:ascii="Palatino Linotype" w:eastAsia="Palatino Linotype" w:hAnsi="Palatino Linotype" w:cs="Palatino Linotype"/>
          <w:color w:val="000000"/>
        </w:rPr>
        <w:t xml:space="preserve"> Poder Legislativo del Estado México, </w:t>
      </w:r>
      <w:r w:rsidR="00E64B65" w:rsidRPr="00C93DDF">
        <w:rPr>
          <w:rFonts w:ascii="Palatino Linotype" w:eastAsia="Palatino Linotype" w:hAnsi="Palatino Linotype" w:cs="Palatino Linotype"/>
          <w:color w:val="000000"/>
        </w:rPr>
        <w:t xml:space="preserve">específicamente </w:t>
      </w:r>
      <w:r w:rsidRPr="00C93DDF">
        <w:rPr>
          <w:rFonts w:ascii="Palatino Linotype" w:eastAsia="Palatino Linotype" w:hAnsi="Palatino Linotype" w:cs="Palatino Linotype"/>
          <w:color w:val="000000"/>
        </w:rPr>
        <w:t>en el Sistema de Información Pública de Oficio Mexiquense,</w:t>
      </w:r>
      <w:r w:rsidR="00E64B65" w:rsidRPr="00C93DDF">
        <w:rPr>
          <w:rFonts w:ascii="Palatino Linotype" w:eastAsia="Palatino Linotype" w:hAnsi="Palatino Linotype" w:cs="Palatino Linotype"/>
          <w:color w:val="000000"/>
        </w:rPr>
        <w:t xml:space="preserve"> que</w:t>
      </w:r>
      <w:r w:rsidRPr="00C93DDF">
        <w:rPr>
          <w:rFonts w:ascii="Palatino Linotype" w:eastAsia="Palatino Linotype" w:hAnsi="Palatino Linotype" w:cs="Palatino Linotype"/>
          <w:color w:val="000000"/>
        </w:rPr>
        <w:t xml:space="preserve"> tiene</w:t>
      </w:r>
      <w:r>
        <w:rPr>
          <w:rFonts w:ascii="Palatino Linotype" w:eastAsia="Palatino Linotype" w:hAnsi="Palatino Linotype" w:cs="Palatino Linotype"/>
          <w:color w:val="000000"/>
        </w:rPr>
        <w:t xml:space="preserve"> publicado su Directorio de Servidores Públicos, en la dirección electrónica siguiente:</w:t>
      </w:r>
    </w:p>
    <w:p w:rsidR="00474667" w:rsidRDefault="00FC408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hyperlink r:id="rId11">
        <w:r w:rsidR="00F27194">
          <w:rPr>
            <w:rFonts w:ascii="Palatino Linotype" w:eastAsia="Palatino Linotype" w:hAnsi="Palatino Linotype" w:cs="Palatino Linotype"/>
            <w:color w:val="0000FF"/>
            <w:u w:val="single"/>
          </w:rPr>
          <w:t>https://ipomex.org.mx/ipo3/lgt/indice/CDDIPUTADOS/art_92_vii/4.web?token=03ANYolquerqzkRyUX8X5pLxAQddsDH_tWMnOU7aw2GRaKVoBOMj3-Mum0Asf0i_kBMFkq9jRY_9Zk3aSySN_ugcrjhoKLC97pB1WNfd6nXt4cogDhQa-FqzZUHbpCg0LItVkzdeDwtzskZzG2iQuvlGs1RNAaFarVMD4pxDKQ18KQh18wyxQVOwOgYVcHoi2yHi9EUR0-qDdf09lY6k47mQEOqBeWDnAcoDI6BRFfc9A2GXd7UT9J2XKz-ADQFGHqI_u456OGvSkfltT6qpD6L_KaqL1N6ak_qDidu21UD08Q3vaqOiGDZ-7smmqbnhVEHr3etN3HLYnfR8_qPZoT4iCBpMwVMbvU11jRQ5qPFnDHHS8Wh02avy91rZz4uQIHgp737BHbv6qZ5Tm7gCjkT3RfTmhn1Bt6MJ-YwyjOwMSvIRjFm5v1mPm_WqkMFMBbN6lD078mrc7K06pNWf2bJ3EQvzklfll7E</w:t>
        </w:r>
        <w:r w:rsidR="00F27194">
          <w:rPr>
            <w:rFonts w:ascii="Palatino Linotype" w:eastAsia="Palatino Linotype" w:hAnsi="Palatino Linotype" w:cs="Palatino Linotype"/>
            <w:color w:val="0000FF"/>
            <w:u w:val="single"/>
          </w:rPr>
          <w:lastRenderedPageBreak/>
          <w:t>JyihKtrLQsEBZaqZMarYwHDflIm8M6vRxEpvUtuIxd0bPdhw2_TnN5mhTMVR6lhsz0QJ0N7eDY5A4AEdmVvQTY</w:t>
        </w:r>
      </w:hyperlink>
    </w:p>
    <w:p w:rsidR="00474667" w:rsidRDefault="00F2719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manera de ejemplo, se muestra en la siguiente captura de pantalla:</w:t>
      </w:r>
    </w:p>
    <w:p w:rsidR="00474667" w:rsidRDefault="00F27194">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lang w:val="es-MX" w:eastAsia="es-MX"/>
        </w:rPr>
        <w:drawing>
          <wp:inline distT="0" distB="0" distL="0" distR="0">
            <wp:extent cx="5612130" cy="1930400"/>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2130" cy="1930400"/>
                    </a:xfrm>
                    <a:prstGeom prst="rect">
                      <a:avLst/>
                    </a:prstGeom>
                    <a:ln/>
                  </pic:spPr>
                </pic:pic>
              </a:graphicData>
            </a:graphic>
          </wp:inline>
        </w:drawing>
      </w:r>
    </w:p>
    <w:p w:rsidR="00474667" w:rsidRPr="00C93DDF" w:rsidRDefault="00F27194" w:rsidP="001445D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dicho documento, se puede visualizar el nombre del diputado Iván de Jesús Esquer Cruz, domicilio oficial, números de teléfono oficial, así como su extensión y correo electrónico, por lo cual </w:t>
      </w:r>
      <w:r w:rsidR="009F168D">
        <w:rPr>
          <w:rFonts w:ascii="Palatino Linotype" w:eastAsia="Palatino Linotype" w:hAnsi="Palatino Linotype" w:cs="Palatino Linotype"/>
          <w:color w:val="000000"/>
        </w:rPr>
        <w:t xml:space="preserve">se </w:t>
      </w:r>
      <w:r w:rsidR="009F168D" w:rsidRPr="00C93DDF">
        <w:rPr>
          <w:rFonts w:ascii="Palatino Linotype" w:eastAsia="Palatino Linotype" w:hAnsi="Palatino Linotype" w:cs="Palatino Linotype"/>
          <w:color w:val="000000"/>
        </w:rPr>
        <w:t xml:space="preserve">considera que la información no corresponde al </w:t>
      </w:r>
      <w:r w:rsidR="00E64B65" w:rsidRPr="00C93DDF">
        <w:rPr>
          <w:rFonts w:ascii="Palatino Linotype" w:eastAsia="Palatino Linotype" w:hAnsi="Palatino Linotype" w:cs="Palatino Linotype"/>
          <w:b/>
          <w:bCs/>
          <w:color w:val="000000"/>
        </w:rPr>
        <w:t>Sujeto Obligado</w:t>
      </w:r>
      <w:r w:rsidR="008E4FC1" w:rsidRPr="00C93DDF">
        <w:rPr>
          <w:rFonts w:ascii="Palatino Linotype" w:eastAsia="Palatino Linotype" w:hAnsi="Palatino Linotype" w:cs="Palatino Linotype"/>
          <w:b/>
          <w:bCs/>
          <w:color w:val="000000"/>
        </w:rPr>
        <w:t xml:space="preserve">, </w:t>
      </w:r>
      <w:r w:rsidR="008E4FC1" w:rsidRPr="00C93DDF">
        <w:rPr>
          <w:rFonts w:ascii="Palatino Linotype" w:eastAsia="Palatino Linotype" w:hAnsi="Palatino Linotype" w:cs="Palatino Linotype"/>
          <w:color w:val="000000"/>
        </w:rPr>
        <w:t xml:space="preserve">y por lo cual, </w:t>
      </w:r>
      <w:r w:rsidR="001445D6" w:rsidRPr="00C93DDF">
        <w:rPr>
          <w:rFonts w:ascii="Palatino Linotype" w:eastAsia="Palatino Linotype" w:hAnsi="Palatino Linotype" w:cs="Palatino Linotype"/>
          <w:color w:val="000000"/>
        </w:rPr>
        <w:t>no es dable ordenar la entrega de esta información, pues</w:t>
      </w:r>
      <w:r w:rsidRPr="00C93DDF">
        <w:rPr>
          <w:rFonts w:ascii="Palatino Linotype" w:eastAsia="Palatino Linotype" w:hAnsi="Palatino Linotype" w:cs="Palatino Linotype"/>
        </w:rPr>
        <w:t xml:space="preserve"> </w:t>
      </w:r>
      <w:r w:rsidR="00E64B65" w:rsidRPr="00C93DDF">
        <w:rPr>
          <w:rFonts w:ascii="Palatino Linotype" w:eastAsia="Palatino Linotype" w:hAnsi="Palatino Linotype" w:cs="Palatino Linotype"/>
        </w:rPr>
        <w:t>no compete a</w:t>
      </w:r>
      <w:r w:rsidRPr="00C93DDF">
        <w:rPr>
          <w:rFonts w:ascii="Palatino Linotype" w:eastAsia="Palatino Linotype" w:hAnsi="Palatino Linotype" w:cs="Palatino Linotype"/>
        </w:rPr>
        <w:t xml:space="preserve">l </w:t>
      </w:r>
      <w:r w:rsidRPr="00C93DDF">
        <w:rPr>
          <w:rFonts w:ascii="Palatino Linotype" w:eastAsia="Palatino Linotype" w:hAnsi="Palatino Linotype" w:cs="Palatino Linotype"/>
          <w:b/>
        </w:rPr>
        <w:t>SUJETO OBLIGADO,</w:t>
      </w:r>
      <w:r w:rsidRPr="00C93DDF">
        <w:rPr>
          <w:rFonts w:ascii="Palatino Linotype" w:eastAsia="Palatino Linotype" w:hAnsi="Palatino Linotype" w:cs="Palatino Linotype"/>
        </w:rPr>
        <w:t xml:space="preserve"> </w:t>
      </w:r>
      <w:r w:rsidR="00E64B65" w:rsidRPr="00C93DDF">
        <w:rPr>
          <w:rFonts w:ascii="Palatino Linotype" w:eastAsia="Palatino Linotype" w:hAnsi="Palatino Linotype" w:cs="Palatino Linotype"/>
        </w:rPr>
        <w:t xml:space="preserve">dar respuesta con respecto de la dirección y número de </w:t>
      </w:r>
      <w:r w:rsidR="00A400EA" w:rsidRPr="00C93DDF">
        <w:rPr>
          <w:rFonts w:ascii="Palatino Linotype" w:eastAsia="Palatino Linotype" w:hAnsi="Palatino Linotype" w:cs="Palatino Linotype"/>
        </w:rPr>
        <w:t xml:space="preserve">teléfono </w:t>
      </w:r>
      <w:r w:rsidR="001445D6" w:rsidRPr="00C93DDF">
        <w:rPr>
          <w:rFonts w:ascii="Palatino Linotype" w:eastAsia="Palatino Linotype" w:hAnsi="Palatino Linotype" w:cs="Palatino Linotype"/>
        </w:rPr>
        <w:t xml:space="preserve">del servidor público señalado, siendo que </w:t>
      </w:r>
      <w:r w:rsidRPr="00C93DDF">
        <w:rPr>
          <w:rFonts w:ascii="Palatino Linotype" w:eastAsia="Palatino Linotype" w:hAnsi="Palatino Linotype" w:cs="Palatino Linotype"/>
        </w:rPr>
        <w:t xml:space="preserve">en este caso </w:t>
      </w:r>
      <w:r w:rsidR="008E4FC1" w:rsidRPr="00C93DDF">
        <w:rPr>
          <w:rFonts w:ascii="Palatino Linotype" w:eastAsia="Palatino Linotype" w:hAnsi="Palatino Linotype" w:cs="Palatino Linotype"/>
        </w:rPr>
        <w:t>corresponde a</w:t>
      </w:r>
      <w:r w:rsidRPr="00C93DDF">
        <w:rPr>
          <w:rFonts w:ascii="Palatino Linotype" w:eastAsia="Palatino Linotype" w:hAnsi="Palatino Linotype" w:cs="Palatino Linotype"/>
        </w:rPr>
        <w:t>l Poder L</w:t>
      </w:r>
      <w:r w:rsidR="001445D6" w:rsidRPr="00C93DDF">
        <w:rPr>
          <w:rFonts w:ascii="Palatino Linotype" w:eastAsia="Palatino Linotype" w:hAnsi="Palatino Linotype" w:cs="Palatino Linotype"/>
        </w:rPr>
        <w:t xml:space="preserve">egislativo del Estado de México, por lo que en caso de requerir información adicional deberá dirigir su solicitud a dicho Sujeto Obligado (Poder Legislativo del Estado de México). </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 xml:space="preserve">A efecto de robustecer lo anterior, conviene reiterar que el derecho de acceso a la información pública es un derecho humano convencional y constitucionalmente reconocido, en consecuencia, todas las autoridades en el ámbito de sus </w:t>
      </w:r>
      <w:r w:rsidRPr="00C93DDF">
        <w:rPr>
          <w:rFonts w:ascii="Palatino Linotype" w:eastAsia="Palatino Linotype" w:hAnsi="Palatino Linotype" w:cs="Palatino Linotype"/>
        </w:rPr>
        <w:lastRenderedPageBreak/>
        <w:t>competencias, funciones y atribuciones tienen la obligación de respetarlo, protegerlo y garantizarlo.</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 xml:space="preserve">Sin embargo, del contenido de este punto de la solicitud de información se puede apreciar que el requerimiento realizado no forma parte de las atribuciones del Sujeto Obligado.  </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“CRITERIO 0002-11</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INFORMACIÓN PÚBLICA, CONCEPTO DE, EN MATERIA DE TRANSPARENCIA. INTERPRETACIÓN 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En consecuencia el acceso a la información se refiere a que se cumplan cualquiera de los siguientes tres supuestos:</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Que se trate de información registrada en cualquier soporte documental, que en ejercicio de las atribuciones conferidas, sea generada por los Sujetos Obligados;</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Que se trate de información registrada en cualquier soporte documental, que en ejercicio de las atribuciones conferidas, sea administrada por los Sujetos Obligados, y</w:t>
      </w:r>
      <w:r w:rsidR="00C93DDF">
        <w:rPr>
          <w:rFonts w:ascii="Palatino Linotype" w:eastAsia="Palatino Linotype" w:hAnsi="Palatino Linotype" w:cs="Palatino Linotype"/>
        </w:rPr>
        <w:t>;</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Que se trate de información registrada en cualquier soporte documental, que en ejercicio de las atribuciones conferidas, se encuentre en posesión de los Sujetos Obligados.”</w:t>
      </w:r>
    </w:p>
    <w:p w:rsidR="006D0163" w:rsidRPr="00C93DDF" w:rsidRDefault="006D0163" w:rsidP="006D01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F">
        <w:rPr>
          <w:rFonts w:ascii="Palatino Linotype" w:eastAsia="Palatino Linotype" w:hAnsi="Palatino Linotype" w:cs="Palatino Linotype"/>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ad hoc, para satisfacer el derecho de acceso a la información pública, </w:t>
      </w:r>
      <w:r w:rsidRPr="00C93DDF">
        <w:rPr>
          <w:rFonts w:ascii="Palatino Linotype" w:eastAsia="Palatino Linotype" w:hAnsi="Palatino Linotype" w:cs="Palatino Linotype"/>
          <w:b/>
          <w:u w:val="single"/>
        </w:rPr>
        <w:t>siendo que en el presente caso no se advierte fuente obligacional para que el Sujeto Obligado posea, genere, o administre la información solicitada.</w:t>
      </w:r>
      <w:r w:rsidRPr="00C93DDF">
        <w:rPr>
          <w:rFonts w:ascii="Palatino Linotype" w:eastAsia="Palatino Linotype" w:hAnsi="Palatino Linotype" w:cs="Palatino Linotype"/>
        </w:rPr>
        <w:t xml:space="preserve"> </w:t>
      </w:r>
    </w:p>
    <w:p w:rsidR="00474667" w:rsidRDefault="00F27194">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atención a</w:t>
      </w:r>
      <w:r>
        <w:rPr>
          <w:rFonts w:ascii="Palatino Linotype" w:eastAsia="Palatino Linotype" w:hAnsi="Palatino Linotype" w:cs="Palatino Linotype"/>
          <w:b/>
          <w:i/>
        </w:rPr>
        <w:t xml:space="preserve"> “ la fecha para elegir nuevo delegado” </w:t>
      </w:r>
      <w:r>
        <w:rPr>
          <w:rFonts w:ascii="Palatino Linotype" w:eastAsia="Palatino Linotype" w:hAnsi="Palatino Linotype" w:cs="Palatino Linotype"/>
          <w:i/>
        </w:rPr>
        <w:t>(Sic).</w:t>
      </w:r>
      <w:r>
        <w:rPr>
          <w:rFonts w:ascii="Palatino Linotype" w:eastAsia="Palatino Linotype" w:hAnsi="Palatino Linotype" w:cs="Palatino Linotype"/>
          <w:b/>
          <w:i/>
        </w:rPr>
        <w:t xml:space="preserve"> </w:t>
      </w:r>
    </w:p>
    <w:p w:rsidR="00474667" w:rsidRDefault="00F27194">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artículo 31 de la Ley Orgánica Municipal del Estado de México, señala en su fracción XII, que son atribuciones de los ayuntamientos convocar a elección de delegados y subdelegados municipales, y en su artículo 59, así como el </w:t>
      </w:r>
      <w:r>
        <w:rPr>
          <w:rFonts w:ascii="Palatino Linotype" w:eastAsia="Palatino Linotype" w:hAnsi="Palatino Linotype" w:cs="Palatino Linotype"/>
        </w:rPr>
        <w:lastRenderedPageBreak/>
        <w:t>40 del Bando Municipal de Temascalcingo 2022, dan a conocer procedimiento y plazos para sus nombramientos, como se refiere a continuación:</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59.- La </w:t>
      </w:r>
      <w:r>
        <w:rPr>
          <w:rFonts w:ascii="Palatino Linotype" w:eastAsia="Palatino Linotype" w:hAnsi="Palatino Linotype" w:cs="Palatino Linotype"/>
          <w:b/>
          <w:i/>
          <w:sz w:val="22"/>
          <w:szCs w:val="22"/>
          <w:u w:val="single"/>
        </w:rPr>
        <w:t>elección de Delegados</w:t>
      </w:r>
      <w:r>
        <w:rPr>
          <w:rFonts w:ascii="Palatino Linotype" w:eastAsia="Palatino Linotype" w:hAnsi="Palatino Linotype" w:cs="Palatino Linotype"/>
          <w:i/>
          <w:sz w:val="22"/>
          <w:szCs w:val="22"/>
        </w:rPr>
        <w:t xml:space="preserve"> y Subdelegados se sujetará al procedimiento establecido en la convocatoria que al efecto expida el Ayuntamiento. Por cada Delegado y Subdelegado deberá elegirse un suplente.</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La elección de los Delegados y Subdelegados se realizará en la fecha señalada en la convocatoria, entre el segundo domingo de marzo y el 30 de ese mes del primer año de gobierno del Ayuntamiento</w:t>
      </w:r>
      <w:r>
        <w:rPr>
          <w:rFonts w:ascii="Palatino Linotype" w:eastAsia="Palatino Linotype" w:hAnsi="Palatino Linotype" w:cs="Palatino Linotype"/>
          <w:i/>
          <w:sz w:val="22"/>
          <w:szCs w:val="22"/>
        </w:rPr>
        <w:t>.</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 xml:space="preserve">La convocatoria deberá expedirse cuando menos diez días antes de la elección. Sus nombramientos serán firmados por el Presidente Municipal y el Secretario del Ayuntamiento, </w:t>
      </w:r>
      <w:r>
        <w:rPr>
          <w:rFonts w:ascii="Palatino Linotype" w:eastAsia="Palatino Linotype" w:hAnsi="Palatino Linotype" w:cs="Palatino Linotype"/>
          <w:b/>
          <w:i/>
          <w:sz w:val="22"/>
          <w:szCs w:val="22"/>
          <w:u w:val="single"/>
        </w:rPr>
        <w:t>entregándose a los electos a más tardar el día en que entren en funciones, que será el 15 de abril del mismo año</w:t>
      </w:r>
      <w:r>
        <w:rPr>
          <w:rFonts w:ascii="Palatino Linotype" w:eastAsia="Palatino Linotype" w:hAnsi="Palatino Linotype" w:cs="Palatino Linotype"/>
          <w:b/>
          <w:i/>
          <w:u w:val="single"/>
        </w:rPr>
        <w:t>.”</w:t>
      </w:r>
    </w:p>
    <w:p w:rsidR="00474667" w:rsidRDefault="00F27194">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antes señalado, para la elección de las autoridades auxiliares, de las cuales forman parte los delegados, se realizarán con previa convocatoria en el periodo comprendido entre el segundo domingo de marzo y treinta de marzo del primer año del gobierno del Ayuntamiento, debiendo tener sus nombramientos a más tardar el quince de abril del mismo año, por lo cual corresponde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Presidencia Municipal o Secretaría Particular, dar a conocer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fecha para elegir al o los Delegados, por lo cual deberá de proporcionar la información de este punto.</w:t>
      </w:r>
    </w:p>
    <w:p w:rsidR="00474667" w:rsidRDefault="00F27194">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cuanto hace al “</w:t>
      </w:r>
      <w:r>
        <w:rPr>
          <w:rFonts w:ascii="Palatino Linotype" w:eastAsia="Palatino Linotype" w:hAnsi="Palatino Linotype" w:cs="Palatino Linotype"/>
          <w:b/>
          <w:i/>
        </w:rPr>
        <w:t>presupuesto de ingresos y egresos del ejercicio fiscal 2022”</w:t>
      </w:r>
      <w:r>
        <w:rPr>
          <w:rFonts w:ascii="Palatino Linotype" w:eastAsia="Palatino Linotype" w:hAnsi="Palatino Linotype" w:cs="Palatino Linotype"/>
        </w:rPr>
        <w:t xml:space="preserve">, (Sic)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al emitir pronunciamiento alguno, al respecto, conviene señalar que de conformidad a la Ley Orgánica Municipal del Estado de México, la Hacienda Municipal se integrara de la siguiente manera:</w:t>
      </w:r>
    </w:p>
    <w:p w:rsidR="00474667" w:rsidRDefault="00F2719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97.- La hacienda pública municipal se integra por:</w:t>
      </w:r>
    </w:p>
    <w:p w:rsidR="00474667" w:rsidRDefault="00F2719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Las participaciones que perciban de acuerdo con las leyes federales y del Estado;</w:t>
      </w:r>
    </w:p>
    <w:p w:rsidR="00474667" w:rsidRDefault="00F27194">
      <w:pPr>
        <w:spacing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 Las contribuciones y demás ingresos determinados en la Ley de Ingresos de los Municipios, los que decrete la Legislatura y otros que por cualquier título legal reciba</w:t>
      </w:r>
      <w:r>
        <w:rPr>
          <w:rFonts w:ascii="Palatino Linotype" w:eastAsia="Palatino Linotype" w:hAnsi="Palatino Linotype" w:cs="Palatino Linotype"/>
          <w:sz w:val="22"/>
          <w:szCs w:val="22"/>
        </w:rPr>
        <w:t>;</w:t>
      </w:r>
    </w:p>
    <w:p w:rsidR="00474667" w:rsidRDefault="00474667">
      <w:pPr>
        <w:spacing w:line="360" w:lineRule="auto"/>
        <w:ind w:right="49"/>
        <w:jc w:val="both"/>
        <w:rPr>
          <w:rFonts w:ascii="Palatino Linotype" w:eastAsia="Palatino Linotype" w:hAnsi="Palatino Linotype" w:cs="Palatino Linotype"/>
        </w:rPr>
      </w:pPr>
    </w:p>
    <w:p w:rsidR="00474667" w:rsidRDefault="00F2719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a lo anterior la hacienda pública municipal se integra por las participaciones que perciba de índole federal y estatal, así como de las contribuciones y demás ingresos determinados en la Ley de Ingresos de los Municipios y por cualquier medio legal que se allegue de ellos. </w:t>
      </w:r>
    </w:p>
    <w:p w:rsidR="00474667" w:rsidRDefault="00474667">
      <w:pPr>
        <w:spacing w:line="360" w:lineRule="auto"/>
        <w:ind w:left="851" w:right="851"/>
        <w:jc w:val="both"/>
        <w:rPr>
          <w:rFonts w:ascii="Palatino Linotype" w:eastAsia="Palatino Linotype" w:hAnsi="Palatino Linotype" w:cs="Palatino Linotype"/>
          <w:b/>
        </w:rPr>
      </w:pPr>
    </w:p>
    <w:p w:rsidR="00474667" w:rsidRDefault="00F2719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rsidR="00474667" w:rsidRDefault="00474667">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285</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Presupuesto de Egresos</w:t>
      </w:r>
      <w:r>
        <w:rPr>
          <w:rFonts w:ascii="Palatino Linotype" w:eastAsia="Palatino Linotype" w:hAnsi="Palatino Linotype" w:cs="Palatino Linotype"/>
          <w:i/>
          <w:color w:val="000000"/>
        </w:rPr>
        <w:t xml:space="preserve"> del Estado </w:t>
      </w:r>
      <w:r>
        <w:rPr>
          <w:rFonts w:ascii="Palatino Linotype" w:eastAsia="Palatino Linotype" w:hAnsi="Palatino Linotype" w:cs="Palatino Linotype"/>
          <w:b/>
          <w:i/>
          <w:color w:val="000000"/>
        </w:rPr>
        <w:t>es el instrumento jurídico, de política económica y de política de gasto</w:t>
      </w:r>
      <w:r>
        <w:rPr>
          <w:rFonts w:ascii="Palatino Linotype" w:eastAsia="Palatino Linotype" w:hAnsi="Palatino Linotype" w:cs="Palatino Linotype"/>
          <w:i/>
          <w:color w:val="000000"/>
        </w:rPr>
        <w:t xml:space="preserve">, que aprueba la Legislatura conforme a la iniciativa que presenta el Gobernador, </w:t>
      </w:r>
      <w:r>
        <w:rPr>
          <w:rFonts w:ascii="Palatino Linotype" w:eastAsia="Palatino Linotype" w:hAnsi="Palatino Linotype" w:cs="Palatino Linotype"/>
          <w:b/>
          <w:i/>
          <w:color w:val="000000"/>
        </w:rPr>
        <w:t>en el cual se establece el ejercicio, control y evaluación del gasto público de las Dependencias</w:t>
      </w:r>
      <w:r>
        <w:rPr>
          <w:rFonts w:ascii="Palatino Linotype" w:eastAsia="Palatino Linotype" w:hAnsi="Palatino Linotype" w:cs="Palatino Linotype"/>
          <w:i/>
          <w:color w:val="000000"/>
        </w:rPr>
        <w:t>, Entidades Públicas y Organismos Autónomos a través de los programas derivados del Plan de Desarrollo del Estado de México, durante el ejercicio fiscal correspondiente, así como de aquellos de naturaleza multianual propuestos por la Secretaría.</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lastRenderedPageBreak/>
        <w:t>En el caso de los municipios, el Presupuesto de Egresos, será el que se apruebe por el Ayuntamiento</w:t>
      </w:r>
      <w:r>
        <w:rPr>
          <w:rFonts w:ascii="Palatino Linotype" w:eastAsia="Palatino Linotype" w:hAnsi="Palatino Linotype" w:cs="Palatino Linotype"/>
          <w:b/>
          <w:i/>
          <w:color w:val="000000"/>
        </w:rPr>
        <w:t>…”(Sic)</w:t>
      </w:r>
    </w:p>
    <w:p w:rsidR="00474667" w:rsidRDefault="00474667">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Manual para la Planeación, Programación y Presupuesto de Egresos Municipal para el Ejercicio Fiscal 2022, publicado en el Periódico Oficial “Gaceta del Gobierno” del Estado de México, en fecha catorce de octubre del dos mil veintiuno, en el Marco Conceptual numeral 1.2, definen al presupuesto como:</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 base en lo que establece el artículo 285 del Código Financiero del Estado de México y Municipios, el Presupuesto de Egresos Municipal se conceptualiza como el instrumento jurídico, de política económica y de política de gasto, que aprueba</w:t>
      </w:r>
    </w:p>
    <w:p w:rsidR="00474667" w:rsidRDefault="00F27194">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inversiones.”(Sic)</w:t>
      </w:r>
    </w:p>
    <w:p w:rsidR="00474667" w:rsidRDefault="00474667">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rsidR="00474667" w:rsidRDefault="00F27194">
      <w:pPr>
        <w:spacing w:before="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efectivamente el presupuesto es la estimación financiera anticipada, generalmente anual, de los egresos e ingresos del gobierno, necesario para cumplir con los propósitos de un programa determinado, el cual constituye un instrumento </w:t>
      </w:r>
      <w:r>
        <w:rPr>
          <w:rFonts w:ascii="Palatino Linotype" w:eastAsia="Palatino Linotype" w:hAnsi="Palatino Linotype" w:cs="Palatino Linotype"/>
        </w:rPr>
        <w:lastRenderedPageBreak/>
        <w:t>operativo básico para la ejecución para las decisiones de política, económica y de operación.</w:t>
      </w:r>
    </w:p>
    <w:p w:rsidR="00474667" w:rsidRDefault="00474667">
      <w:pPr>
        <w:spacing w:line="360" w:lineRule="auto"/>
        <w:jc w:val="both"/>
        <w:rPr>
          <w:rFonts w:ascii="Palatino Linotype" w:eastAsia="Palatino Linotype" w:hAnsi="Palatino Linotype" w:cs="Palatino Linotype"/>
        </w:rPr>
      </w:pP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Conjuntamente, en el citado Manual se estipula que los Ayuntamientos deberán realizar un Proyecto de Presupuesto de Egresos, que debe conocer la estimación de ingresos que serán captados por el Ayuntamiento por lo que para este fin se deberá integrar el referido proyecto, para lo cual, servirá de apoyo el formato de Presupuesto de ingresos (Presupuesto de Ingresos Detallado) (PbRM-03a), el cual deberá registrar los ingresos que se estiman recaudar para el siguiente ejercicio, antes de la publicación de la Ley de Ingresos, Participaciones Federales y Programas Federales y Estatales durante la etapa del anteproyecto y en el que se deberán registrar los ingresos estimados a nivel concepto y distribuirlos por mes, del mismo modo se incluirá la Carátula de Presupuesto de Ingresos (PbRM-03b), el cual será constituido por el área de planeación y Tesorería, con base en la información del Anteproyecto de Presupuesto de Egresos, en donde registrara los importes por tipo de Ingreso formatos que se muestra a continuación de la inserción de pantallas que se muestra:</w:t>
      </w:r>
    </w:p>
    <w:p w:rsidR="00474667" w:rsidRDefault="00F27194">
      <w:pPr>
        <w:spacing w:line="360" w:lineRule="auto"/>
        <w:ind w:right="900"/>
        <w:jc w:val="both"/>
        <w:rPr>
          <w:rFonts w:ascii="Palatino Linotype" w:eastAsia="Palatino Linotype" w:hAnsi="Palatino Linotype" w:cs="Palatino Linotype"/>
          <w:sz w:val="28"/>
          <w:szCs w:val="28"/>
        </w:rPr>
      </w:pPr>
      <w:r>
        <w:rPr>
          <w:noProof/>
          <w:lang w:val="es-MX" w:eastAsia="es-MX"/>
        </w:rPr>
        <w:lastRenderedPageBreak/>
        <w:drawing>
          <wp:inline distT="0" distB="0" distL="0" distR="0">
            <wp:extent cx="5693650" cy="2382669"/>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8160" t="44960" r="19379" b="8568"/>
                    <a:stretch>
                      <a:fillRect/>
                    </a:stretch>
                  </pic:blipFill>
                  <pic:spPr>
                    <a:xfrm>
                      <a:off x="0" y="0"/>
                      <a:ext cx="5693650" cy="2382669"/>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1638300</wp:posOffset>
                </wp:positionH>
                <wp:positionV relativeFrom="paragraph">
                  <wp:posOffset>406400</wp:posOffset>
                </wp:positionV>
                <wp:extent cx="990600" cy="1095375"/>
                <wp:effectExtent l="0" t="0" r="0" b="0"/>
                <wp:wrapNone/>
                <wp:docPr id="59" name="Rectángulo 59"/>
                <wp:cNvGraphicFramePr/>
                <a:graphic xmlns:a="http://schemas.openxmlformats.org/drawingml/2006/main">
                  <a:graphicData uri="http://schemas.microsoft.com/office/word/2010/wordprocessingShape">
                    <wps:wsp>
                      <wps:cNvSpPr/>
                      <wps:spPr>
                        <a:xfrm>
                          <a:off x="4907850" y="3289463"/>
                          <a:ext cx="876300" cy="981075"/>
                        </a:xfrm>
                        <a:prstGeom prst="rect">
                          <a:avLst/>
                        </a:prstGeom>
                        <a:noFill/>
                        <a:ln w="38100" cap="flat" cmpd="sng">
                          <a:solidFill>
                            <a:srgbClr val="FF0000"/>
                          </a:solidFill>
                          <a:prstDash val="solid"/>
                          <a:miter lim="800000"/>
                          <a:headEnd type="none" w="sm" len="sm"/>
                          <a:tailEnd type="none" w="sm" len="sm"/>
                        </a:ln>
                      </wps:spPr>
                      <wps:txbx>
                        <w:txbxContent>
                          <w:p w:rsidR="00474667" w:rsidRDefault="00474667">
                            <w:pPr>
                              <w:textDirection w:val="btLr"/>
                            </w:pPr>
                          </w:p>
                        </w:txbxContent>
                      </wps:txbx>
                      <wps:bodyPr spcFirstLastPara="1" wrap="square" lIns="91425" tIns="91425" rIns="91425" bIns="91425" anchor="ctr" anchorCtr="0">
                        <a:noAutofit/>
                      </wps:bodyPr>
                    </wps:wsp>
                  </a:graphicData>
                </a:graphic>
              </wp:anchor>
            </w:drawing>
          </mc:Choice>
          <mc:Fallback>
            <w:pict>
              <v:rect id="Rectángulo 59" o:spid="_x0000_s1026" style="position:absolute;left:0;text-align:left;margin-left:129pt;margin-top:32pt;width:78pt;height:8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nyEwIAACQEAAAOAAAAZHJzL2Uyb0RvYy54bWysU9uOGjEMfa/Uf4jyXma4LiCGVbWUqtKq&#10;Rdr2A0wmw0TKrXFg4O/rZOhC24dKVXkI9tg5PrZPVo9no9lJBlTOVnw4KDmTVrha2UPFv33dvptz&#10;hhFsDdpZWfGLRP64fvtm1fmlHLnW6VoGRiAWl52veBujXxYFilYawIHz0lKwccFAJDccijpAR+hG&#10;F6OynBWdC7UPTkhE+rrpg3yd8ZtGivilaVBGpitO3GI+Qz736SzWK1geAvhWiSsN+AcWBpSloq9Q&#10;G4jAjkH9AWWUCA5dEwfCmcI1jRIy90DdDMvfunlpwcvcCw0H/euY8P/Bis+nF78LNIbO4xLJTF2c&#10;m2DSP/Fj54pPFuXDfErju1R8PJovJrNxPzh5jkxQwvxhNi4pLihhMR+WD9MUL25APmD8KJ1hyah4&#10;oL3kccHpGWOf+jMl1bVuq7TOu9GWdVSVQBM+kEQaDZFM4+uKoz1kHHRa1elOuo3hsH/SgZ2Alr7d&#10;lvS70vklLRXcALZ9Xg71XRkVSZNaGWosXb6qpJVQf7A1ixdPQrYkZ56ooeFMSxI/GZlxBKX/nkfD&#10;0ZZmdBt7suJ5fyaQZO5dfdkFhl5sFTF9Bow7CCTOIZUlwVLB70cIREJ/sqSIxXAympLC751w7+zv&#10;HbCidfQORAyc9c5TzO+in//7Y3SNyqu5kbnSJSnm5V6fTdL6vZ+zbo97/QMAAP//AwBQSwMEFAAG&#10;AAgAAAAhADAF1I/jAAAADwEAAA8AAABkcnMvZG93bnJldi54bWxMT8lOwzAQvSPxD9YgcaNOulhV&#10;GqeCIlQOSFUbhDi6sUki4nGwnTbw9UxPcJlFb+Yt+Xq0HTsZH1qHEtJJAsxg5XSLtYTX8uluCSxE&#10;hVp1Do2EbxNgXVxf5SrT7ox7czrEmhEJhkxJaGLsM85D1RirwsT1Bgn7cN6qSKuvufbqTOS249Mk&#10;EdyqFkmhUb3ZNKb6PAxWwtfbMNvtX7z4STZb8VCm5fv2uZTy9mZ8XFG5XwGLZox/H3DJQP6hIGNH&#10;N6AOrJMwXSwpUJQg5tTpYJ5ehiMhM7EAXuT8f47iFwAA//8DAFBLAQItABQABgAIAAAAIQC2gziS&#10;/gAAAOEBAAATAAAAAAAAAAAAAAAAAAAAAABbQ29udGVudF9UeXBlc10ueG1sUEsBAi0AFAAGAAgA&#10;AAAhADj9If/WAAAAlAEAAAsAAAAAAAAAAAAAAAAALwEAAF9yZWxzLy5yZWxzUEsBAi0AFAAGAAgA&#10;AAAhALmG+fITAgAAJAQAAA4AAAAAAAAAAAAAAAAALgIAAGRycy9lMm9Eb2MueG1sUEsBAi0AFAAG&#10;AAgAAAAhADAF1I/jAAAADwEAAA8AAAAAAAAAAAAAAAAAbQQAAGRycy9kb3ducmV2LnhtbFBLBQYA&#10;AAAABAAEAPMAAAB9BQAAAAA=&#10;" filled="f" strokecolor="red" strokeweight="3pt">
                <v:stroke startarrowwidth="narrow" startarrowlength="short" endarrowwidth="narrow" endarrowlength="short"/>
                <v:textbox inset="2.53958mm,2.53958mm,2.53958mm,2.53958mm">
                  <w:txbxContent>
                    <w:p w:rsidR="00474667" w:rsidRDefault="00474667">
                      <w:pPr>
                        <w:textDirection w:val="btLr"/>
                      </w:pPr>
                    </w:p>
                  </w:txbxContent>
                </v:textbox>
              </v:rect>
            </w:pict>
          </mc:Fallback>
        </mc:AlternateContent>
      </w:r>
    </w:p>
    <w:p w:rsidR="00474667" w:rsidRDefault="00F27194">
      <w:pPr>
        <w:spacing w:line="360" w:lineRule="auto"/>
        <w:ind w:right="900"/>
        <w:jc w:val="both"/>
        <w:rPr>
          <w:rFonts w:ascii="Palatino Linotype" w:eastAsia="Palatino Linotype" w:hAnsi="Palatino Linotype" w:cs="Palatino Linotype"/>
          <w:sz w:val="28"/>
          <w:szCs w:val="28"/>
        </w:rPr>
      </w:pPr>
      <w:r>
        <w:rPr>
          <w:noProof/>
          <w:lang w:val="es-MX" w:eastAsia="es-MX"/>
        </w:rPr>
        <w:drawing>
          <wp:inline distT="0" distB="0" distL="0" distR="0">
            <wp:extent cx="5571314" cy="3914205"/>
            <wp:effectExtent l="0" t="0" r="0" b="0"/>
            <wp:docPr id="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19178" t="12672" r="14630" b="4646"/>
                    <a:stretch>
                      <a:fillRect/>
                    </a:stretch>
                  </pic:blipFill>
                  <pic:spPr>
                    <a:xfrm>
                      <a:off x="0" y="0"/>
                      <a:ext cx="5571314" cy="3914205"/>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-38099</wp:posOffset>
                </wp:positionH>
                <wp:positionV relativeFrom="paragraph">
                  <wp:posOffset>-38099</wp:posOffset>
                </wp:positionV>
                <wp:extent cx="1647825" cy="1581150"/>
                <wp:effectExtent l="0" t="0" r="0" b="0"/>
                <wp:wrapNone/>
                <wp:docPr id="58" name="Rectángulo 58"/>
                <wp:cNvGraphicFramePr/>
                <a:graphic xmlns:a="http://schemas.openxmlformats.org/drawingml/2006/main">
                  <a:graphicData uri="http://schemas.microsoft.com/office/word/2010/wordprocessingShape">
                    <wps:wsp>
                      <wps:cNvSpPr/>
                      <wps:spPr>
                        <a:xfrm>
                          <a:off x="4579238" y="3046575"/>
                          <a:ext cx="1533525" cy="1466850"/>
                        </a:xfrm>
                        <a:prstGeom prst="rect">
                          <a:avLst/>
                        </a:prstGeom>
                        <a:noFill/>
                        <a:ln w="38100" cap="flat" cmpd="sng">
                          <a:solidFill>
                            <a:srgbClr val="FF0000"/>
                          </a:solidFill>
                          <a:prstDash val="solid"/>
                          <a:miter lim="800000"/>
                          <a:headEnd type="none" w="sm" len="sm"/>
                          <a:tailEnd type="none" w="sm" len="sm"/>
                        </a:ln>
                      </wps:spPr>
                      <wps:txbx>
                        <w:txbxContent>
                          <w:p w:rsidR="00474667" w:rsidRDefault="00474667">
                            <w:pPr>
                              <w:textDirection w:val="btLr"/>
                            </w:pPr>
                          </w:p>
                        </w:txbxContent>
                      </wps:txbx>
                      <wps:bodyPr spcFirstLastPara="1" wrap="square" lIns="91425" tIns="91425" rIns="91425" bIns="91425" anchor="ctr" anchorCtr="0">
                        <a:noAutofit/>
                      </wps:bodyPr>
                    </wps:wsp>
                  </a:graphicData>
                </a:graphic>
              </wp:anchor>
            </w:drawing>
          </mc:Choice>
          <mc:Fallback>
            <w:pict>
              <v:rect id="Rectángulo 58" o:spid="_x0000_s1027" style="position:absolute;left:0;text-align:left;margin-left:-3pt;margin-top:-3pt;width:129.75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6uHgIAAC0EAAAOAAAAZHJzL2Uyb0RvYy54bWysU9uO0zAQfUfiHyy/s0naptutmq7QliKk&#10;FVRa+ICpYzeWfMN2m/TvGTtlW+ABCZEHZ8Yenzkzc7x6HLQiJ+6DtKah1V1JCTfMttIcGvrt6/bd&#10;gpIQwbSgrOENPfNAH9dv36x6t+QT21nVck8QxIRl7xraxeiWRRFYxzWEO+u4wUNhvYaIrj8UrYce&#10;0bUqJmU5L3rrW+ct4yHg7mY8pOuMLwRn8YsQgUeiGorcYl59XvdpLdYrWB48uE6yCw34BxYapMGk&#10;r1AbiECOXv4BpSXzNlgR75jVhRVCMp5rwGqq8rdqXjpwPNeCzQnutU3h/8Gyz6cXt/PYht6FZUAz&#10;VTEIr9Mf+ZGhobP6/mEyxUmeGzotZ/P6vh4bx4dIGAZU9XRaT2pKGEZUs/l8UefWFlco50P8yK0m&#10;yWiox8nkhsHpOURMj6E/Q1JmY7dSqTwdZUiPeRdViQNkgCIRCiKa2rUNDeaQcYJVsk130u3gD/sn&#10;5ckJcOzbbYlfIow5fglLCTcQujEuH411aRlRlUrqhi7S5YtOOg7tB9OSeHYoZYOCpola0JQojvJH&#10;IzOOINXf45CNMkjq2vhkxWE/EImFVQkr7exte955EhzbSiT8DCHuwKNKK8yOysW834/gkYv6ZFAa&#10;D9UsjSLeOv7W2d86YFhn8UGw6CkZnaeYH8g4hvfHaIXME7qSubBGTeamXt5PEv2tn6Our3z9AwAA&#10;//8DAFBLAwQUAAYACAAAACEAMNlmreMAAAAOAQAADwAAAGRycy9kb3ducmV2LnhtbEyPX0vDMBTF&#10;3wW/Q7iCb1uy1RXpmg6dyHwQZKuIj1lzbYtNUpN06/bpvYKgL/cPh3vu+eWr0XTsgD60zkqYTQUw&#10;tJXTra0lvJaPk1tgISqrVecsSjhhgFVxeZGrTLuj3eJhF2tGJjZkSkITY59xHqoGjQpT16Ml7cN5&#10;oyKtvubaqyOZm47PhUi5Ua2lD43qcd1g9bkbjISvtyF52T779CzWm/S+nJXvm6dSyuur8WFJ5W4J&#10;LOIY/y7gh4HyQ0HB9m6wOrBOwiQlnvjbSZ8vkgWwPQ03iQBe5Pw/RvENAAD//wMAUEsBAi0AFAAG&#10;AAgAAAAhALaDOJL+AAAA4QEAABMAAAAAAAAAAAAAAAAAAAAAAFtDb250ZW50X1R5cGVzXS54bWxQ&#10;SwECLQAUAAYACAAAACEAOP0h/9YAAACUAQAACwAAAAAAAAAAAAAAAAAvAQAAX3JlbHMvLnJlbHNQ&#10;SwECLQAUAAYACAAAACEAYcferh4CAAAtBAAADgAAAAAAAAAAAAAAAAAuAgAAZHJzL2Uyb0RvYy54&#10;bWxQSwECLQAUAAYACAAAACEAMNlmreMAAAAOAQAADwAAAAAAAAAAAAAAAAB4BAAAZHJzL2Rvd25y&#10;ZXYueG1sUEsFBgAAAAAEAAQA8wAAAIgFAAAAAA==&#10;" filled="f" strokecolor="red" strokeweight="3pt">
                <v:stroke startarrowwidth="narrow" startarrowlength="short" endarrowwidth="narrow" endarrowlength="short"/>
                <v:textbox inset="2.53958mm,2.53958mm,2.53958mm,2.53958mm">
                  <w:txbxContent>
                    <w:p w:rsidR="00474667" w:rsidRDefault="00474667">
                      <w:pPr>
                        <w:textDirection w:val="btLr"/>
                      </w:pPr>
                    </w:p>
                  </w:txbxContent>
                </v:textbox>
              </v:rect>
            </w:pict>
          </mc:Fallback>
        </mc:AlternateContent>
      </w:r>
    </w:p>
    <w:p w:rsidR="00474667" w:rsidRDefault="00F27194">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los Lineamientos para la Entrega del Presupuesto de Egresos Municipal del ejercicio fiscal 2022, prevé los formatos antes mencionados, para tal efecto dichos lineamientos establecen:</w:t>
      </w:r>
    </w:p>
    <w:p w:rsidR="00474667" w:rsidRDefault="00F27194">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49061" cy="3076935"/>
            <wp:effectExtent l="0" t="0" r="0" b="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9362" t="32589" r="30753" b="28786"/>
                    <a:stretch>
                      <a:fillRect/>
                    </a:stretch>
                  </pic:blipFill>
                  <pic:spPr>
                    <a:xfrm>
                      <a:off x="0" y="0"/>
                      <a:ext cx="5649061" cy="3076935"/>
                    </a:xfrm>
                    <a:prstGeom prst="rect">
                      <a:avLst/>
                    </a:prstGeom>
                    <a:ln/>
                  </pic:spPr>
                </pic:pic>
              </a:graphicData>
            </a:graphic>
          </wp:inline>
        </w:drawing>
      </w:r>
    </w:p>
    <w:p w:rsidR="00474667" w:rsidRDefault="00F27194">
      <w:pPr>
        <w:spacing w:line="360" w:lineRule="auto"/>
        <w:jc w:val="both"/>
        <w:rPr>
          <w:rFonts w:ascii="Palatino Linotype" w:eastAsia="Palatino Linotype" w:hAnsi="Palatino Linotype" w:cs="Palatino Linotype"/>
        </w:rPr>
      </w:pPr>
      <w:r>
        <w:rPr>
          <w:noProof/>
          <w:lang w:val="es-MX" w:eastAsia="es-MX"/>
        </w:rPr>
        <w:drawing>
          <wp:inline distT="0" distB="0" distL="0" distR="0">
            <wp:extent cx="5630361" cy="3114668"/>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13577" t="17500" r="14630" b="11887"/>
                    <a:stretch>
                      <a:fillRect/>
                    </a:stretch>
                  </pic:blipFill>
                  <pic:spPr>
                    <a:xfrm>
                      <a:off x="0" y="0"/>
                      <a:ext cx="5630361" cy="3114668"/>
                    </a:xfrm>
                    <a:prstGeom prst="rect">
                      <a:avLst/>
                    </a:prstGeom>
                    <a:ln/>
                  </pic:spPr>
                </pic:pic>
              </a:graphicData>
            </a:graphic>
          </wp:inline>
        </w:drawing>
      </w: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instructivos, se observa que se contienen los datos que pueden colmar la solicitud de acceso a la información pública del particular.</w:t>
      </w: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los artículos 99 de la Ley Orgánica Municipal del Estado de México y 302 del Código Financiero vigente en el Estado de México; que señalan de manera literal lo siguiente:</w:t>
      </w:r>
    </w:p>
    <w:p w:rsidR="00474667" w:rsidRDefault="00474667">
      <w:pPr>
        <w:ind w:left="567" w:right="616"/>
        <w:jc w:val="both"/>
        <w:rPr>
          <w:rFonts w:ascii="Palatino Linotype" w:eastAsia="Palatino Linotype" w:hAnsi="Palatino Linotype" w:cs="Palatino Linotype"/>
          <w:i/>
        </w:rPr>
      </w:pPr>
    </w:p>
    <w:p w:rsidR="00474667" w:rsidRDefault="00F27194">
      <w:pPr>
        <w:spacing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99.-</w:t>
      </w:r>
      <w:r>
        <w:rPr>
          <w:rFonts w:ascii="Palatino Linotype" w:eastAsia="Palatino Linotype" w:hAnsi="Palatino Linotype" w:cs="Palatino Linotype"/>
          <w:i/>
        </w:rPr>
        <w:t xml:space="preserve"> El presidente municipal presentará anualmente al ayuntamiento a más tardar el 20 de diciembre, el proyecto de presupuesto de egresos, para su consideración y aprobación.</w:t>
      </w:r>
    </w:p>
    <w:p w:rsidR="00474667" w:rsidRDefault="00474667">
      <w:pPr>
        <w:spacing w:line="276" w:lineRule="auto"/>
        <w:ind w:left="567" w:right="616"/>
        <w:jc w:val="both"/>
        <w:rPr>
          <w:rFonts w:ascii="Palatino Linotype" w:eastAsia="Palatino Linotype" w:hAnsi="Palatino Linotype" w:cs="Palatino Linotype"/>
          <w:i/>
        </w:rPr>
      </w:pPr>
    </w:p>
    <w:p w:rsidR="00474667" w:rsidRDefault="00F27194">
      <w:pPr>
        <w:spacing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302.-</w:t>
      </w:r>
      <w:r>
        <w:rPr>
          <w:rFonts w:ascii="Palatino Linotype" w:eastAsia="Palatino Linotype" w:hAnsi="Palatino Linotype" w:cs="Palatino Linotype"/>
          <w:i/>
        </w:rPr>
        <w:t xml:space="preserve"> El Gobernador presentará a la Legislatura a más tardar el veintiuno de noviembre el Proyecto del Presupuesto de Egresos del Gobierno del Estado.</w:t>
      </w:r>
    </w:p>
    <w:p w:rsidR="00474667" w:rsidRDefault="00474667">
      <w:pPr>
        <w:spacing w:line="276" w:lineRule="auto"/>
        <w:ind w:left="567" w:right="616"/>
        <w:jc w:val="both"/>
        <w:rPr>
          <w:rFonts w:ascii="Palatino Linotype" w:eastAsia="Palatino Linotype" w:hAnsi="Palatino Linotype" w:cs="Palatino Linotype"/>
          <w:i/>
        </w:rPr>
      </w:pPr>
    </w:p>
    <w:p w:rsidR="00474667" w:rsidRDefault="00F27194">
      <w:pPr>
        <w:spacing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el caso de los Municipios, el Presidente Municipal lo presentará al Ayuntamiento a más tardar el veinte de diciembre.” (Sic)</w:t>
      </w:r>
    </w:p>
    <w:p w:rsidR="00474667" w:rsidRDefault="00474667">
      <w:pPr>
        <w:spacing w:after="80" w:line="276" w:lineRule="auto"/>
        <w:ind w:left="567" w:right="616"/>
        <w:jc w:val="both"/>
        <w:rPr>
          <w:rFonts w:ascii="Palatino Linotype" w:eastAsia="Palatino Linotype" w:hAnsi="Palatino Linotype" w:cs="Palatino Linotype"/>
          <w:i/>
        </w:rPr>
      </w:pPr>
    </w:p>
    <w:p w:rsidR="00474667" w:rsidRDefault="00F27194">
      <w:pPr>
        <w:spacing w:before="8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Establecen que el Presidente Municipal presentara al Ayuntamiento a más tardar el veinte de diciembre de cada año el proyecto de presupuesto de egresos del año inmediato; esto es, que el Presidente Municipal, debió presentar al Ayuntamiento a más tardar el veinte de diciembre del 2021 el proyecto del presupuesto de egresos para el ejercicio fiscal del año 2022, para su consideración y aprobación en sesión de cabildo, con lo que se robustece con lo señalado por el artículo 31 de la Ley Orgánica Municipal del Estado de México, que indica las atribuciones de las autoridades municipales respecto de la aprobación, integración, aplicación y formulación del Presupuesto de Egresos conforme lo siguiente:</w:t>
      </w:r>
    </w:p>
    <w:p w:rsidR="00474667" w:rsidRDefault="00F27194">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Artículo 31</w:t>
      </w:r>
      <w:r>
        <w:rPr>
          <w:rFonts w:ascii="Palatino Linotype" w:eastAsia="Palatino Linotype" w:hAnsi="Palatino Linotype" w:cs="Palatino Linotype"/>
          <w:i/>
          <w:color w:val="000000"/>
        </w:rPr>
        <w:t>.- Son atribuciones de los ayuntamientos:</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XVIII. Administrar su hacienda en términos de ley, y controlar a través del presidente y síndico la aplicación del presupuesto de egresos del municipio;</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XIX. </w:t>
      </w:r>
      <w:r>
        <w:rPr>
          <w:rFonts w:ascii="Palatino Linotype" w:eastAsia="Palatino Linotype" w:hAnsi="Palatino Linotype" w:cs="Palatino Linotype"/>
          <w:b/>
          <w:i/>
          <w:color w:val="000000"/>
          <w:u w:val="single"/>
        </w:rPr>
        <w:t>Aprobar anualmente a más tardar el 20 de diciembre, su Presupuesto de Egresos, en base a los ingresos presupuestados para el ejercicio que corresponda</w:t>
      </w:r>
      <w:r>
        <w:rPr>
          <w:rFonts w:ascii="Palatino Linotype" w:eastAsia="Palatino Linotype" w:hAnsi="Palatino Linotype" w:cs="Palatino Linotype"/>
          <w:i/>
          <w:color w:val="000000"/>
        </w:rPr>
        <w:t>, el cual podrá ser adecuado en función de las implicaciones que deriven de la aprobación de la Ley de Ingresos Municipal que haga la Legislatura, así como por la asignación de las participaciones y aportaciones federales y estatales.</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474667" w:rsidRDefault="00F27194">
      <w:pPr>
        <w:pBdr>
          <w:top w:val="nil"/>
          <w:left w:val="nil"/>
          <w:bottom w:val="nil"/>
          <w:right w:val="nil"/>
          <w:between w:val="nil"/>
        </w:pBdr>
        <w:spacing w:line="276" w:lineRule="auto"/>
        <w:ind w:left="851"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w:t>
      </w:r>
    </w:p>
    <w:p w:rsidR="00474667" w:rsidRDefault="00474667">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rsidR="00474667" w:rsidRDefault="00F2719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este sentido, la información que está solicitando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en uso de sus funciones y atribuciones, toda vez que debe </w:t>
      </w:r>
      <w:r>
        <w:rPr>
          <w:rFonts w:ascii="Palatino Linotype" w:eastAsia="Palatino Linotype" w:hAnsi="Palatino Linotype" w:cs="Palatino Linotype"/>
          <w:color w:val="000000"/>
        </w:rPr>
        <w:t>aprobar anualmente su presupuesto de</w:t>
      </w:r>
      <w:r>
        <w:rPr>
          <w:rFonts w:ascii="Palatino Linotype" w:eastAsia="Palatino Linotype" w:hAnsi="Palatino Linotype" w:cs="Palatino Linotype"/>
          <w:b/>
          <w:color w:val="000000"/>
          <w:u w:val="single"/>
        </w:rPr>
        <w:t xml:space="preserve"> egresos</w:t>
      </w:r>
      <w:r>
        <w:rPr>
          <w:rFonts w:ascii="Palatino Linotype" w:eastAsia="Palatino Linotype" w:hAnsi="Palatino Linotype" w:cs="Palatino Linotype"/>
          <w:color w:val="000000"/>
        </w:rPr>
        <w:t xml:space="preserve">, en base a los </w:t>
      </w:r>
      <w:r>
        <w:rPr>
          <w:rFonts w:ascii="Palatino Linotype" w:eastAsia="Palatino Linotype" w:hAnsi="Palatino Linotype" w:cs="Palatino Linotype"/>
          <w:b/>
          <w:color w:val="000000"/>
          <w:u w:val="single"/>
        </w:rPr>
        <w:t>ingresos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presupuestados para el ejercicio que corresponda.</w:t>
      </w:r>
    </w:p>
    <w:p w:rsidR="00474667" w:rsidRDefault="00474667">
      <w:pPr>
        <w:spacing w:line="360" w:lineRule="auto"/>
        <w:jc w:val="both"/>
        <w:rPr>
          <w:rFonts w:ascii="Palatino Linotype" w:eastAsia="Palatino Linotype" w:hAnsi="Palatino Linotype" w:cs="Palatino Linotype"/>
          <w:color w:val="000000"/>
        </w:rPr>
      </w:pPr>
    </w:p>
    <w:p w:rsidR="00474667" w:rsidRDefault="00F27194">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atención a lo anterior, el Bando Municipal de Temascalcingo 2022, en su artículo 81,  refiere que la </w:t>
      </w:r>
      <w:r>
        <w:rPr>
          <w:rFonts w:ascii="Palatino Linotype" w:eastAsia="Palatino Linotype" w:hAnsi="Palatino Linotype" w:cs="Palatino Linotype"/>
          <w:b/>
          <w:color w:val="000000"/>
        </w:rPr>
        <w:t>Tesorería Municipal es el único órgano de la Administración Pública Municipal autorizado para ejecutar el ejercicio fiscal del año que transcurre,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rsidR="00474667" w:rsidRDefault="00474667">
      <w:pPr>
        <w:spacing w:line="360" w:lineRule="auto"/>
        <w:jc w:val="both"/>
      </w:pPr>
    </w:p>
    <w:p w:rsidR="00474667" w:rsidRDefault="00F27194">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Razones por las cuales, lo dable es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Servidor Público Habilitado de la Tesorería Municipal, entregue el presupuesto de ingresos y egresos del ejercicio fiscal 2022. </w:t>
      </w:r>
    </w:p>
    <w:p w:rsidR="00474667" w:rsidRDefault="00F27194">
      <w:pPr>
        <w:tabs>
          <w:tab w:val="left" w:pos="1134"/>
        </w:tabs>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Por otra parte, en atención</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a los </w:t>
      </w:r>
      <w:r>
        <w:rPr>
          <w:rFonts w:ascii="Palatino Linotype" w:eastAsia="Palatino Linotype" w:hAnsi="Palatino Linotype" w:cs="Palatino Linotype"/>
          <w:b/>
          <w:i/>
        </w:rPr>
        <w:t>Convenios que se celebró el Ayuntamiento de Temascalcingo entre el IMEVIS y el Centro de Control de Confianza.</w:t>
      </w:r>
    </w:p>
    <w:p w:rsidR="00474667" w:rsidRDefault="00F2719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primera instancia debe recordarse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w:t>
      </w:r>
      <w:r>
        <w:rPr>
          <w:rFonts w:ascii="Palatino Linotype" w:eastAsia="Palatino Linotype" w:hAnsi="Palatino Linotype" w:cs="Palatino Linotype"/>
          <w:b/>
          <w:color w:val="000000"/>
          <w:u w:val="single"/>
        </w:rPr>
        <w:t>, convenios</w:t>
      </w:r>
      <w:r>
        <w:rPr>
          <w:rFonts w:ascii="Palatino Linotype" w:eastAsia="Palatino Linotype" w:hAnsi="Palatino Linotype" w:cs="Palatino Linotype"/>
          <w:color w:val="000000"/>
        </w:rPr>
        <w:t>,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74667" w:rsidRDefault="00474667">
      <w:pPr>
        <w:rPr>
          <w:color w:val="000000"/>
        </w:rPr>
      </w:pPr>
    </w:p>
    <w:p w:rsidR="00474667" w:rsidRDefault="00F27194">
      <w:pPr>
        <w:pBdr>
          <w:top w:val="nil"/>
          <w:left w:val="nil"/>
          <w:bottom w:val="nil"/>
          <w:right w:val="nil"/>
          <w:between w:val="nil"/>
        </w:pBdr>
        <w:spacing w:line="276" w:lineRule="auto"/>
        <w:ind w:left="851" w:right="899"/>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474667" w:rsidRDefault="00F27194">
      <w:pPr>
        <w:pBdr>
          <w:top w:val="nil"/>
          <w:left w:val="nil"/>
          <w:bottom w:val="nil"/>
          <w:right w:val="nil"/>
          <w:between w:val="nil"/>
        </w:pBdr>
        <w:spacing w:line="276" w:lineRule="auto"/>
        <w:ind w:left="851" w:right="899"/>
        <w:jc w:val="both"/>
        <w:rPr>
          <w:color w:val="000000"/>
        </w:rPr>
      </w:pPr>
      <w:r>
        <w:rPr>
          <w:rFonts w:ascii="Palatino Linotype" w:eastAsia="Palatino Linotype" w:hAnsi="Palatino Linotype" w:cs="Palatino Linotype"/>
          <w:i/>
          <w:color w:val="000000"/>
          <w:sz w:val="22"/>
          <w:szCs w:val="22"/>
        </w:rPr>
        <w:t>…</w:t>
      </w:r>
    </w:p>
    <w:p w:rsidR="00474667" w:rsidRDefault="00F27194">
      <w:pPr>
        <w:pBdr>
          <w:top w:val="nil"/>
          <w:left w:val="nil"/>
          <w:bottom w:val="nil"/>
          <w:right w:val="nil"/>
          <w:between w:val="nil"/>
        </w:pBdr>
        <w:spacing w:line="276" w:lineRule="auto"/>
        <w:ind w:left="851" w:right="899"/>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w:t>
      </w:r>
      <w:r>
        <w:rPr>
          <w:rFonts w:ascii="Palatino Linotype" w:eastAsia="Palatino Linotype" w:hAnsi="Palatino Linotype" w:cs="Palatino Linotype"/>
          <w:b/>
          <w:i/>
          <w:color w:val="000000"/>
          <w:sz w:val="22"/>
          <w:szCs w:val="22"/>
          <w:u w:val="single"/>
        </w:rPr>
        <w:t>convenios</w:t>
      </w:r>
      <w:r>
        <w:rPr>
          <w:rFonts w:ascii="Palatino Linotype" w:eastAsia="Palatino Linotype" w:hAnsi="Palatino Linotype" w:cs="Palatino Linotype"/>
          <w:i/>
          <w:color w:val="000000"/>
          <w:sz w:val="22"/>
          <w:szCs w:val="22"/>
        </w:rPr>
        <w:t>,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 (Énfasis añadido)</w:t>
      </w:r>
    </w:p>
    <w:p w:rsidR="00474667" w:rsidRDefault="00474667">
      <w:pPr>
        <w:rPr>
          <w:color w:val="000000"/>
        </w:rPr>
      </w:pPr>
    </w:p>
    <w:p w:rsidR="00474667" w:rsidRDefault="00F2719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74667" w:rsidRDefault="00474667">
      <w:pPr>
        <w:rPr>
          <w:color w:val="000000"/>
        </w:rPr>
      </w:pPr>
    </w:p>
    <w:p w:rsidR="00474667" w:rsidRDefault="00F27194">
      <w:pPr>
        <w:pBdr>
          <w:top w:val="nil"/>
          <w:left w:val="nil"/>
          <w:bottom w:val="nil"/>
          <w:right w:val="nil"/>
          <w:between w:val="nil"/>
        </w:pBdr>
        <w:spacing w:line="276" w:lineRule="auto"/>
        <w:ind w:left="851" w:right="899"/>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474667" w:rsidRDefault="00F27194">
      <w:pPr>
        <w:pBdr>
          <w:top w:val="nil"/>
          <w:left w:val="nil"/>
          <w:bottom w:val="nil"/>
          <w:right w:val="nil"/>
          <w:between w:val="nil"/>
        </w:pBdr>
        <w:spacing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74667" w:rsidRDefault="00474667">
      <w:pPr>
        <w:pBdr>
          <w:top w:val="nil"/>
          <w:left w:val="nil"/>
          <w:bottom w:val="nil"/>
          <w:right w:val="nil"/>
          <w:between w:val="nil"/>
        </w:pBdr>
        <w:spacing w:line="276" w:lineRule="auto"/>
        <w:ind w:left="851" w:right="899"/>
        <w:jc w:val="both"/>
        <w:rPr>
          <w:color w:val="000000"/>
        </w:rPr>
      </w:pPr>
    </w:p>
    <w:p w:rsidR="00474667" w:rsidRDefault="00F27194">
      <w:pPr>
        <w:pBdr>
          <w:top w:val="nil"/>
          <w:left w:val="nil"/>
          <w:bottom w:val="nil"/>
          <w:right w:val="nil"/>
          <w:between w:val="nil"/>
        </w:pBdr>
        <w:spacing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474667" w:rsidRDefault="00474667">
      <w:pPr>
        <w:pBdr>
          <w:top w:val="nil"/>
          <w:left w:val="nil"/>
          <w:bottom w:val="nil"/>
          <w:right w:val="nil"/>
          <w:between w:val="nil"/>
        </w:pBdr>
        <w:spacing w:line="276" w:lineRule="auto"/>
        <w:ind w:left="851" w:right="899"/>
        <w:jc w:val="both"/>
        <w:rPr>
          <w:color w:val="000000"/>
        </w:rPr>
      </w:pPr>
    </w:p>
    <w:p w:rsidR="00474667" w:rsidRDefault="00F27194">
      <w:pPr>
        <w:pBdr>
          <w:top w:val="nil"/>
          <w:left w:val="nil"/>
          <w:bottom w:val="nil"/>
          <w:right w:val="nil"/>
          <w:between w:val="nil"/>
        </w:pBdr>
        <w:spacing w:line="276" w:lineRule="auto"/>
        <w:ind w:left="851" w:right="899"/>
        <w:jc w:val="both"/>
        <w:rPr>
          <w:color w:val="000000"/>
        </w:rPr>
      </w:pPr>
      <w:r>
        <w:rPr>
          <w:rFonts w:ascii="Palatino Linotype" w:eastAsia="Palatino Linotype" w:hAnsi="Palatino Linotype" w:cs="Palatino Linotype"/>
          <w:i/>
          <w:color w:val="000000"/>
          <w:sz w:val="22"/>
          <w:szCs w:val="22"/>
        </w:rPr>
        <w:t xml:space="preserve">1)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sea generada por los Sujetos Obligados;</w:t>
      </w:r>
    </w:p>
    <w:p w:rsidR="00474667" w:rsidRDefault="00F27194">
      <w:pPr>
        <w:pBdr>
          <w:top w:val="nil"/>
          <w:left w:val="nil"/>
          <w:bottom w:val="nil"/>
          <w:right w:val="nil"/>
          <w:between w:val="nil"/>
        </w:pBdr>
        <w:spacing w:line="276" w:lineRule="auto"/>
        <w:ind w:left="851" w:right="899"/>
        <w:jc w:val="both"/>
        <w:rPr>
          <w:color w:val="000000"/>
        </w:rPr>
      </w:pPr>
      <w:r>
        <w:rPr>
          <w:rFonts w:ascii="Palatino Linotype" w:eastAsia="Palatino Linotype" w:hAnsi="Palatino Linotype" w:cs="Palatino Linotype"/>
          <w:b/>
          <w:i/>
          <w:color w:val="000000"/>
          <w:sz w:val="22"/>
          <w:szCs w:val="22"/>
        </w:rPr>
        <w:t>2) Que se trate de información registrada en cualquier soporte documental, que en ejercicio de las atribuciones conferidas, sea administrada por los Sujetos Obligados, y</w:t>
      </w:r>
    </w:p>
    <w:p w:rsidR="00474667" w:rsidRDefault="00F27194">
      <w:pPr>
        <w:pBdr>
          <w:top w:val="nil"/>
          <w:left w:val="nil"/>
          <w:bottom w:val="nil"/>
          <w:right w:val="nil"/>
          <w:between w:val="nil"/>
        </w:pBdr>
        <w:spacing w:line="276" w:lineRule="auto"/>
        <w:ind w:left="851" w:right="899"/>
        <w:jc w:val="both"/>
        <w:rPr>
          <w:color w:val="000000"/>
        </w:rPr>
      </w:pPr>
      <w:r>
        <w:rPr>
          <w:rFonts w:ascii="Palatino Linotype" w:eastAsia="Palatino Linotype" w:hAnsi="Palatino Linotype" w:cs="Palatino Linotype"/>
          <w:b/>
          <w:i/>
          <w:color w:val="000000"/>
          <w:sz w:val="22"/>
          <w:szCs w:val="22"/>
        </w:rPr>
        <w:t>3) Que se trate de información registrada en cualquier soporte documental, que en ejercicio de las atribuciones conferidas, se encuentre en posesión de los Sujetos Obligados.” </w:t>
      </w:r>
    </w:p>
    <w:p w:rsidR="00474667" w:rsidRDefault="00F27194">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En esta tesitura, debe apuntarse que este Organismo Garante determina que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está constreñido a entregar la información; tal y como, la genera y obra en sus archivos; por lo que, debe entregar aquella sin que, dicha </w:t>
      </w:r>
      <w:r>
        <w:rPr>
          <w:rFonts w:ascii="Palatino Linotype" w:eastAsia="Palatino Linotype" w:hAnsi="Palatino Linotype" w:cs="Palatino Linotype"/>
          <w:color w:val="000000"/>
        </w:rPr>
        <w:lastRenderedPageBreak/>
        <w:t>situación conlleve a la realización de un documento en específico, es decir, debe entregarse la información tal como conste en sus archivos y en el estado en que se encuentren, salvo las excepciones de reserva y confidencialidad de la información. </w:t>
      </w:r>
    </w:p>
    <w:p w:rsidR="00474667" w:rsidRDefault="00F2719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este contexto, resulta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principios de universalidad, interdependencia, indivisibilidad y progresividad, por tal motivo se debe prevenir, investigar, sancionar y reparar toda violación en los términos que establezca la ley.</w:t>
      </w:r>
    </w:p>
    <w:p w:rsidR="00474667" w:rsidRDefault="00F2719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se adelante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cuenta con el deber en el ánimo de satisfacer las solicitudes de acceso a la información que le sean formuladas, de entregar la información pública que obre en sus archivos como lo indica el artículo 12, segundo párrafo de la Ley en análisis;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w:t>
      </w:r>
    </w:p>
    <w:p w:rsidR="00474667" w:rsidRDefault="00F2719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el artículo 92 fracción I, señala que los sujetos obligados deberán poner a disposición del público de manera permanente y actualizada de forma sencilla, precisa y entendible,  en los respectivos medios electrónicos, de acuerdo con sus facultades, funciones u objeto social, según corresponda, la información relacionada </w:t>
      </w:r>
      <w:r>
        <w:rPr>
          <w:rFonts w:ascii="Palatino Linotype" w:eastAsia="Palatino Linotype" w:hAnsi="Palatino Linotype" w:cs="Palatino Linotype"/>
          <w:color w:val="000000"/>
        </w:rPr>
        <w:lastRenderedPageBreak/>
        <w:t>con el marco normativo aplicable al sujeto obligado, en el cual deberá incluirse los convenios.</w:t>
      </w:r>
    </w:p>
    <w:p w:rsidR="00474667" w:rsidRDefault="00F2719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Sin embargo, del análisis realizado se advierte que estamos ante una falta de requerimiento de información, así como de la búsqueda exhaustiva y razonable por parte de los Servidores Públicos Habilitados Competentes.</w:t>
      </w:r>
    </w:p>
    <w:p w:rsidR="00474667" w:rsidRDefault="00F27194">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que se analizará el marco normativo, en este sentido, la Ley Orgánica Municipal del Estado de México, refiere:</w:t>
      </w:r>
    </w:p>
    <w:p w:rsidR="00474667" w:rsidRDefault="00F27194">
      <w:pPr>
        <w:pBdr>
          <w:top w:val="nil"/>
          <w:left w:val="nil"/>
          <w:bottom w:val="nil"/>
          <w:right w:val="nil"/>
          <w:between w:val="nil"/>
        </w:pBdr>
        <w:spacing w:before="280" w:after="280"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roofErr w:type="spellStart"/>
      <w:r>
        <w:rPr>
          <w:rFonts w:ascii="Palatino Linotype" w:eastAsia="Palatino Linotype" w:hAnsi="Palatino Linotype" w:cs="Palatino Linotype"/>
          <w:i/>
          <w:color w:val="000000"/>
          <w:sz w:val="22"/>
          <w:szCs w:val="22"/>
        </w:rPr>
        <w:t>Artículo</w:t>
      </w:r>
      <w:proofErr w:type="spellEnd"/>
      <w:r>
        <w:rPr>
          <w:rFonts w:ascii="Palatino Linotype" w:eastAsia="Palatino Linotype" w:hAnsi="Palatino Linotype" w:cs="Palatino Linotype"/>
          <w:i/>
          <w:color w:val="000000"/>
          <w:sz w:val="22"/>
          <w:szCs w:val="22"/>
        </w:rPr>
        <w:t xml:space="preserve"> 2.- </w:t>
      </w:r>
      <w:r>
        <w:rPr>
          <w:rFonts w:ascii="Palatino Linotype" w:eastAsia="Palatino Linotype" w:hAnsi="Palatino Linotype" w:cs="Palatino Linotype"/>
          <w:b/>
          <w:i/>
          <w:color w:val="000000"/>
          <w:sz w:val="22"/>
          <w:szCs w:val="22"/>
        </w:rPr>
        <w:t xml:space="preserve">Las autoridades municipales tienen las atribuciones que les </w:t>
      </w:r>
      <w:proofErr w:type="spellStart"/>
      <w:r>
        <w:rPr>
          <w:rFonts w:ascii="Palatino Linotype" w:eastAsia="Palatino Linotype" w:hAnsi="Palatino Linotype" w:cs="Palatino Linotype"/>
          <w:b/>
          <w:i/>
          <w:color w:val="000000"/>
          <w:sz w:val="22"/>
          <w:szCs w:val="22"/>
        </w:rPr>
        <w:t>señalen</w:t>
      </w:r>
      <w:proofErr w:type="spellEnd"/>
      <w:r>
        <w:rPr>
          <w:rFonts w:ascii="Palatino Linotype" w:eastAsia="Palatino Linotype" w:hAnsi="Palatino Linotype" w:cs="Palatino Linotype"/>
          <w:b/>
          <w:i/>
          <w:color w:val="000000"/>
          <w:sz w:val="22"/>
          <w:szCs w:val="22"/>
        </w:rPr>
        <w:t xml:space="preserve"> los ordenamientos federales, locales y municipales y las </w:t>
      </w:r>
      <w:r>
        <w:rPr>
          <w:rFonts w:ascii="Palatino Linotype" w:eastAsia="Palatino Linotype" w:hAnsi="Palatino Linotype" w:cs="Palatino Linotype"/>
          <w:b/>
          <w:i/>
          <w:color w:val="000000"/>
          <w:sz w:val="22"/>
          <w:szCs w:val="22"/>
          <w:u w:val="single"/>
        </w:rPr>
        <w:t>derivadas de los convenios que se celebren con el Gobierno del Estado</w:t>
      </w:r>
      <w:r>
        <w:rPr>
          <w:rFonts w:ascii="Palatino Linotype" w:eastAsia="Palatino Linotype" w:hAnsi="Palatino Linotype" w:cs="Palatino Linotype"/>
          <w:b/>
          <w:i/>
          <w:color w:val="000000"/>
          <w:sz w:val="22"/>
          <w:szCs w:val="22"/>
        </w:rPr>
        <w:t xml:space="preserve"> o con otros municipios</w:t>
      </w:r>
      <w:r>
        <w:rPr>
          <w:rFonts w:ascii="Palatino Linotype" w:eastAsia="Palatino Linotype" w:hAnsi="Palatino Linotype" w:cs="Palatino Linotype"/>
          <w:i/>
          <w:color w:val="000000"/>
          <w:sz w:val="22"/>
          <w:szCs w:val="22"/>
        </w:rPr>
        <w:t xml:space="preserve">. </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31.- Son atribuciones de los ayuntamientos:</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Celebrar convenios, cuando así fuese necesario, con las autoridades estatales competentes; en</w:t>
      </w:r>
      <w:r>
        <w:rPr>
          <w:rFonts w:ascii="Palatino Linotype" w:eastAsia="Palatino Linotype" w:hAnsi="Palatino Linotype" w:cs="Palatino Linotype"/>
          <w:i/>
          <w:sz w:val="22"/>
          <w:szCs w:val="22"/>
        </w:rPr>
        <w:t xml:space="preserve"> relación con la prestación de servicios públicos a que se refiere el artículo 115, fracción III, de la </w:t>
      </w:r>
      <w:proofErr w:type="spellStart"/>
      <w:r>
        <w:rPr>
          <w:rFonts w:ascii="Palatino Linotype" w:eastAsia="Palatino Linotype" w:hAnsi="Palatino Linotype" w:cs="Palatino Linotype"/>
          <w:i/>
          <w:sz w:val="22"/>
          <w:szCs w:val="22"/>
        </w:rPr>
        <w:t>Constitucón</w:t>
      </w:r>
      <w:proofErr w:type="spellEnd"/>
      <w:r>
        <w:rPr>
          <w:rFonts w:ascii="Palatino Linotype" w:eastAsia="Palatino Linotype" w:hAnsi="Palatino Linotype" w:cs="Palatino Linotype"/>
          <w:i/>
          <w:sz w:val="22"/>
          <w:szCs w:val="22"/>
        </w:rPr>
        <w:t xml:space="preserve"> General, así como lo referente a la administración de contribuciones fiscales.</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96. </w:t>
      </w:r>
      <w:proofErr w:type="spellStart"/>
      <w:r>
        <w:rPr>
          <w:rFonts w:ascii="Palatino Linotype" w:eastAsia="Palatino Linotype" w:hAnsi="Palatino Linotype" w:cs="Palatino Linotype"/>
          <w:i/>
          <w:sz w:val="22"/>
          <w:szCs w:val="22"/>
        </w:rPr>
        <w:t>Sexies</w:t>
      </w:r>
      <w:proofErr w:type="spellEnd"/>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Director de Desarrollo Urbano o el Titular de la Unidad Administrativa equivalente</w:t>
      </w:r>
      <w:r>
        <w:rPr>
          <w:rFonts w:ascii="Palatino Linotype" w:eastAsia="Palatino Linotype" w:hAnsi="Palatino Linotype" w:cs="Palatino Linotype"/>
          <w:i/>
          <w:sz w:val="22"/>
          <w:szCs w:val="22"/>
        </w:rPr>
        <w:t xml:space="preserve">, tiene las atribuciones siguientes: </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b/>
          <w:i/>
          <w:sz w:val="22"/>
          <w:szCs w:val="22"/>
          <w:u w:val="single"/>
        </w:rPr>
        <w:t>Proponer al Presidente Municipal, convenios,</w:t>
      </w:r>
      <w:r>
        <w:rPr>
          <w:rFonts w:ascii="Palatino Linotype" w:eastAsia="Palatino Linotype" w:hAnsi="Palatino Linotype" w:cs="Palatino Linotype"/>
          <w:i/>
          <w:sz w:val="22"/>
          <w:szCs w:val="22"/>
        </w:rPr>
        <w:t xml:space="preserve"> contratos y acuerdos, y</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142. Las funciones de seguridad pública del municipio en su respectivo ámbito de competencia, estarán a cargo de un Director de Seguridad Pública Municipal o su equivalente, el cual deberá ser nombrado en los términos y </w:t>
      </w:r>
      <w:r>
        <w:rPr>
          <w:rFonts w:ascii="Palatino Linotype" w:eastAsia="Palatino Linotype" w:hAnsi="Palatino Linotype" w:cs="Palatino Linotype"/>
          <w:b/>
          <w:i/>
          <w:sz w:val="22"/>
          <w:szCs w:val="22"/>
        </w:rPr>
        <w:t>requisitos establecidos en la Ley de Seguridad del Estado de México.</w:t>
      </w:r>
      <w:r>
        <w:rPr>
          <w:rFonts w:ascii="Palatino Linotype" w:eastAsia="Palatino Linotype" w:hAnsi="Palatino Linotype" w:cs="Palatino Linotype"/>
          <w:i/>
          <w:sz w:val="22"/>
          <w:szCs w:val="22"/>
        </w:rPr>
        <w:t xml:space="preserve"> </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cada municipio se deberán integrar cuerpos de seguridad pública, de bomberos y, en su caso, de tránsito, estos servidores públicos preferentemente serán vecinos del municipio, de los cuales el presidente municipal será el jefe inmediato.”</w:t>
      </w:r>
    </w:p>
    <w:p w:rsidR="00474667" w:rsidRDefault="00F27194">
      <w:pPr>
        <w:tabs>
          <w:tab w:val="left" w:pos="1134"/>
        </w:tabs>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Por otra parte, el Bando Municipal de Temascalcingo 2022, refiere lo siguiente:</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93. La Dirección de Desarrollo Urbano tiene la responsabilidad de fijar las bases para planear, ordenar, regular, controlar, vigilar y fomentar el ordenamiento territorial de los asentamientos humanos y el desarrollo urbano de los centros de población en el municipio</w:t>
      </w:r>
      <w:r>
        <w:rPr>
          <w:rFonts w:ascii="Palatino Linotype" w:eastAsia="Palatino Linotype" w:hAnsi="Palatino Linotype" w:cs="Palatino Linotype"/>
          <w:i/>
          <w:sz w:val="22"/>
          <w:szCs w:val="22"/>
        </w:rPr>
        <w:t>.</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94. La Dirección de Desarrollo Urbano, para la vigilancia y cumplimiento del uso del suelo y sus disposiciones normativas, así como de las construcciones que se lleven a cabo dentro del territorio municipal, podrá iniciar procedimientos administrativos comunes en términos del Código Administrativo del Estado de México, Código de Procedimientos Administrativos del Estado de México y demás disposiciones jurídicas aplicables; imponer sanciones, medidas de seguridad, así como ordenar la suspensión de obras como medida cautelar, en términos de las disposiciones jurídicas aplicables en materia de Desarrollo Urbano.</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Queda estrictamente prohibida la ocupación e invasión con construcciones de cualquier tipo, sin autorización previa y expresa de la autoridad competente, de derechos de vía de ríos, arroyos, canales, presas, redes primarias de agua potable, drenaje y alcantarillado, líneas eléctricas, carreteras, avenidas, calles, callejones, camellones, guarniciones, banquetas y en general, cualquier </w:t>
      </w:r>
      <w:r>
        <w:rPr>
          <w:rFonts w:ascii="Palatino Linotype" w:eastAsia="Palatino Linotype" w:hAnsi="Palatino Linotype" w:cs="Palatino Linotype"/>
          <w:i/>
          <w:sz w:val="22"/>
          <w:szCs w:val="22"/>
        </w:rPr>
        <w:lastRenderedPageBreak/>
        <w:t xml:space="preserve">elemento que forme parte de la vía pública, o se encuentren </w:t>
      </w:r>
      <w:proofErr w:type="spellStart"/>
      <w:r>
        <w:rPr>
          <w:rFonts w:ascii="Palatino Linotype" w:eastAsia="Palatino Linotype" w:hAnsi="Palatino Linotype" w:cs="Palatino Linotype"/>
          <w:i/>
          <w:sz w:val="22"/>
          <w:szCs w:val="22"/>
        </w:rPr>
        <w:t>dentrodel</w:t>
      </w:r>
      <w:proofErr w:type="spellEnd"/>
      <w:r>
        <w:rPr>
          <w:rFonts w:ascii="Palatino Linotype" w:eastAsia="Palatino Linotype" w:hAnsi="Palatino Linotype" w:cs="Palatino Linotype"/>
          <w:i/>
          <w:sz w:val="22"/>
          <w:szCs w:val="22"/>
        </w:rPr>
        <w:t xml:space="preserve"> Polígono de Protección del Centro Histórico, así como de monumentos históricos, zonas de preservación ecológica de los centros de población o bienes inmuebles de dominio público.</w:t>
      </w:r>
    </w:p>
    <w:p w:rsidR="00474667" w:rsidRDefault="00F27194">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140. El </w:t>
      </w:r>
      <w:r>
        <w:rPr>
          <w:rFonts w:ascii="Palatino Linotype" w:eastAsia="Palatino Linotype" w:hAnsi="Palatino Linotype" w:cs="Palatino Linotype"/>
          <w:b/>
          <w:i/>
          <w:sz w:val="22"/>
          <w:szCs w:val="22"/>
        </w:rPr>
        <w:t>Presidente o Presidenta municipal en conjunto con los integrantes del Cabildo, podrán suscribir convenios de coordinación y colaboración con el Gobierno del Estado de México, a través de la Comisión Estatal de Seguridad Ciudadana y c</w:t>
      </w:r>
      <w:r>
        <w:rPr>
          <w:rFonts w:ascii="Palatino Linotype" w:eastAsia="Palatino Linotype" w:hAnsi="Palatino Linotype" w:cs="Palatino Linotype"/>
          <w:i/>
          <w:sz w:val="22"/>
          <w:szCs w:val="22"/>
        </w:rPr>
        <w:t>on otros municipios, para establecer la política estatal coordinadora de la entidad; así como para que antes de ser designados los mandos municipales, estos ya hayan sido evaluados, certificados y cumplan con el programa de capacitación de mandos en el marco del Sistema Nacional de Seguridad Pública.</w:t>
      </w:r>
    </w:p>
    <w:p w:rsidR="00474667" w:rsidRDefault="00F2719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143. Los principios rectores para los elementos de Seguridad Pública Municipal serán los de honestidad, lealtad, probidad, legalidad, compromiso con la sociedad, transparencia y eficacia en el desempeño de sus funciones, y en su caso, </w:t>
      </w:r>
      <w:r>
        <w:rPr>
          <w:rFonts w:ascii="Palatino Linotype" w:eastAsia="Palatino Linotype" w:hAnsi="Palatino Linotype" w:cs="Palatino Linotype"/>
          <w:b/>
          <w:i/>
          <w:sz w:val="22"/>
          <w:szCs w:val="22"/>
        </w:rPr>
        <w:t>se someterán a los exámenes de control de confianza, antidoping, psicométrico y los demás que determinen la legislación estatal y federal aplicable, el Reglamento Interno de la Administración Pública Munici</w:t>
      </w:r>
      <w:r>
        <w:rPr>
          <w:rFonts w:ascii="Palatino Linotype" w:eastAsia="Palatino Linotype" w:hAnsi="Palatino Linotype" w:cs="Palatino Linotype"/>
          <w:i/>
          <w:sz w:val="22"/>
          <w:szCs w:val="22"/>
        </w:rPr>
        <w:t>pal, así como el presente Bando y demás ordenamientos normativos que regulan la función de los y las policías municipales, siempre preservando de manera estricta los derechos humanos y sus garantías individuales.”</w:t>
      </w:r>
    </w:p>
    <w:p w:rsidR="00474667" w:rsidRDefault="00F27194">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atención a los exámenes de control de confianza que se realiza el personal de seguridad pública municipal,  la Ley de Seguridad del Estado de México, establece que se podrán celebrar convenios, como lo señala a continuación:</w:t>
      </w:r>
    </w:p>
    <w:p w:rsidR="00474667" w:rsidRDefault="00F2719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 Son atribuciones de los Ayuntamientos: </w:t>
      </w:r>
    </w:p>
    <w:p w:rsidR="00474667" w:rsidRDefault="00474667">
      <w:pPr>
        <w:ind w:left="1134" w:right="900"/>
        <w:jc w:val="both"/>
        <w:rPr>
          <w:rFonts w:ascii="Palatino Linotype" w:eastAsia="Palatino Linotype" w:hAnsi="Palatino Linotype" w:cs="Palatino Linotype"/>
          <w:i/>
          <w:sz w:val="22"/>
          <w:szCs w:val="22"/>
        </w:rPr>
      </w:pPr>
    </w:p>
    <w:p w:rsidR="00474667" w:rsidRDefault="00F27194">
      <w:pPr>
        <w:numPr>
          <w:ilvl w:val="0"/>
          <w:numId w:val="4"/>
        </w:numPr>
        <w:pBdr>
          <w:top w:val="nil"/>
          <w:left w:val="nil"/>
          <w:bottom w:val="nil"/>
          <w:right w:val="nil"/>
          <w:between w:val="nil"/>
        </w:pBdr>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Garantizar la seguridad y tranquilidad en territorio Municipal de las personas y sus bienes, así como preservar y guardar el orden público, expidiendo para el efecto los reglamentos correspondientes.</w:t>
      </w:r>
    </w:p>
    <w:p w:rsidR="00474667" w:rsidRDefault="00F2719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II. Dictar los acuerdos y demás disposiciones legales relacionadas con la Seguridad Pública. </w:t>
      </w:r>
    </w:p>
    <w:p w:rsidR="00474667" w:rsidRDefault="00474667">
      <w:pPr>
        <w:ind w:left="1134" w:right="900"/>
        <w:jc w:val="both"/>
        <w:rPr>
          <w:rFonts w:ascii="Palatino Linotype" w:eastAsia="Palatino Linotype" w:hAnsi="Palatino Linotype" w:cs="Palatino Linotype"/>
          <w:i/>
          <w:sz w:val="22"/>
          <w:szCs w:val="22"/>
        </w:rPr>
      </w:pPr>
    </w:p>
    <w:p w:rsidR="00474667" w:rsidRDefault="00F27194">
      <w:pPr>
        <w:ind w:left="1134" w:right="900"/>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u w:val="single"/>
        </w:rPr>
        <w:t>III. Acordar la celebración de convenios o emitir acuerdos de coordinación o de asunción de atribuciones en el Estado y otros Municipios.</w:t>
      </w:r>
    </w:p>
    <w:p w:rsidR="00474667" w:rsidRDefault="00474667">
      <w:pPr>
        <w:tabs>
          <w:tab w:val="left" w:pos="1134"/>
        </w:tabs>
        <w:spacing w:before="240" w:after="240" w:line="360" w:lineRule="auto"/>
        <w:ind w:right="900"/>
        <w:jc w:val="both"/>
        <w:rPr>
          <w:rFonts w:ascii="Palatino Linotype" w:eastAsia="Palatino Linotype" w:hAnsi="Palatino Linotype" w:cs="Palatino Linotype"/>
        </w:rPr>
      </w:pPr>
    </w:p>
    <w:p w:rsidR="00474667" w:rsidRDefault="00F27194">
      <w:pPr>
        <w:spacing w:line="360" w:lineRule="auto"/>
        <w:jc w:val="both"/>
      </w:pPr>
      <w:r>
        <w:rPr>
          <w:rFonts w:ascii="Palatino Linotype" w:eastAsia="Palatino Linotype" w:hAnsi="Palatino Linotype" w:cs="Palatino Linotype"/>
        </w:rPr>
        <w:t xml:space="preserve">Por lo antes referido, si bien no existe una obligación normativa para suscribir convenios entre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el IMEVIS o el Centro de Control de Confianza, si otorga la facultad para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pueda suscribir los mismos, por lo que al no tener una respuesta</w:t>
      </w:r>
      <w:r>
        <w:rPr>
          <w:rFonts w:ascii="Palatino Linotype" w:eastAsia="Palatino Linotype" w:hAnsi="Palatino Linotype" w:cs="Palatino Linotype"/>
          <w:color w:val="000000"/>
        </w:rPr>
        <w:t xml:space="preserve"> a través de sus servidores públicos habilitados competentes</w:t>
      </w:r>
      <w:r>
        <w:rPr>
          <w:rFonts w:ascii="Palatino Linotype" w:eastAsia="Palatino Linotype" w:hAnsi="Palatino Linotype" w:cs="Palatino Linotype"/>
        </w:rPr>
        <w:t xml:space="preserve">, no se tiene certeza de su existencia, por tanto, deberá de </w:t>
      </w:r>
      <w:r>
        <w:rPr>
          <w:rFonts w:ascii="Palatino Linotype" w:eastAsia="Palatino Linotype" w:hAnsi="Palatino Linotype" w:cs="Palatino Linotype"/>
          <w:color w:val="000000"/>
        </w:rPr>
        <w:t xml:space="preserve"> realizar una búsqueda exhaustiva y razonable de los documentos solicitados.</w:t>
      </w:r>
    </w:p>
    <w:p w:rsidR="00474667" w:rsidRDefault="00F27194">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caso de no contar con los mismos, bastará con que lo haga del conocimiento del particular, de manera fundada y motivada en términos del segundo párrafo del artículo 19 de la Ley en la Materia para tener por colmado estos puntos de la solicitud de información.</w:t>
      </w:r>
    </w:p>
    <w:p w:rsidR="00474667" w:rsidRDefault="00F27194">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el caso de que cuenten con los convenios suscritos con IMEVIS y con el Centro Estatal de Control de Confianza, y en ellos se tenga información confidencial o reservada, deberá de realizar la clasificación de información en atención al </w:t>
      </w:r>
      <w:r>
        <w:rPr>
          <w:rFonts w:ascii="Palatino Linotype" w:eastAsia="Palatino Linotype" w:hAnsi="Palatino Linotype" w:cs="Palatino Linotype"/>
          <w:b/>
        </w:rPr>
        <w:t>Considerando Quinto</w:t>
      </w:r>
      <w:r>
        <w:rPr>
          <w:rFonts w:ascii="Palatino Linotype" w:eastAsia="Palatino Linotype" w:hAnsi="Palatino Linotype" w:cs="Palatino Linotype"/>
        </w:rPr>
        <w:t>,  de la presente resolución.</w:t>
      </w:r>
    </w:p>
    <w:p w:rsidR="00474667" w:rsidRDefault="00F27194">
      <w:pPr>
        <w:tabs>
          <w:tab w:val="left" w:pos="1134"/>
        </w:tabs>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t>Finalmente en atención a</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 minuta y los acuerdos obtenidos en la primera </w:t>
      </w:r>
      <w:proofErr w:type="spellStart"/>
      <w:r>
        <w:rPr>
          <w:rFonts w:ascii="Palatino Linotype" w:eastAsia="Palatino Linotype" w:hAnsi="Palatino Linotype" w:cs="Palatino Linotype"/>
          <w:b/>
          <w:i/>
        </w:rPr>
        <w:t>sesion</w:t>
      </w:r>
      <w:proofErr w:type="spellEnd"/>
      <w:r>
        <w:rPr>
          <w:rFonts w:ascii="Palatino Linotype" w:eastAsia="Palatino Linotype" w:hAnsi="Palatino Linotype" w:cs="Palatino Linotype"/>
          <w:b/>
          <w:i/>
        </w:rPr>
        <w:t xml:space="preserve"> ordinaria del consejo municipal de seguridad </w:t>
      </w:r>
      <w:proofErr w:type="spellStart"/>
      <w:r>
        <w:rPr>
          <w:rFonts w:ascii="Palatino Linotype" w:eastAsia="Palatino Linotype" w:hAnsi="Palatino Linotype" w:cs="Palatino Linotype"/>
          <w:b/>
          <w:i/>
        </w:rPr>
        <w:t>publica</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(Sic)</w:t>
      </w:r>
    </w:p>
    <w:p w:rsidR="00474667" w:rsidRDefault="00F2719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Es conveniente precisar que no se tuvo respuesta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ello  es conveniente analizar el marco normativo, al respecto el Bando Municipal de Temascalcingo 2022, refiere lo siguiente: </w:t>
      </w:r>
    </w:p>
    <w:p w:rsidR="00474667" w:rsidRDefault="00F27194">
      <w:pPr>
        <w:shd w:val="clear" w:color="auto" w:fill="FFFFFF"/>
        <w:spacing w:line="276" w:lineRule="auto"/>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CAPÍTULO III</w:t>
      </w:r>
    </w:p>
    <w:p w:rsidR="00474667" w:rsidRDefault="00F27194">
      <w:pPr>
        <w:shd w:val="clear" w:color="auto" w:fill="FFFFFF"/>
        <w:spacing w:line="276" w:lineRule="auto"/>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CONSEJO MUNICIPAL DE SEGURIDAD PÚBLICA</w:t>
      </w:r>
    </w:p>
    <w:p w:rsidR="00474667" w:rsidRDefault="00474667">
      <w:pPr>
        <w:shd w:val="clear" w:color="auto" w:fill="FFFFFF"/>
        <w:spacing w:line="276" w:lineRule="auto"/>
        <w:ind w:left="1134" w:right="900"/>
        <w:jc w:val="both"/>
        <w:rPr>
          <w:rFonts w:ascii="Palatino Linotype" w:eastAsia="Palatino Linotype" w:hAnsi="Palatino Linotype" w:cs="Palatino Linotype"/>
          <w:i/>
          <w:color w:val="000000"/>
          <w:sz w:val="22"/>
          <w:szCs w:val="22"/>
        </w:rPr>
      </w:pP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147.</w:t>
      </w:r>
      <w:r>
        <w:rPr>
          <w:rFonts w:ascii="Palatino Linotype" w:eastAsia="Palatino Linotype" w:hAnsi="Palatino Linotype" w:cs="Palatino Linotype"/>
          <w:i/>
          <w:color w:val="000000"/>
          <w:sz w:val="22"/>
          <w:szCs w:val="22"/>
        </w:rPr>
        <w:t xml:space="preserve"> El Consejo Municipal de Seguridad Pública es la instancia del</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Sistema Nacional de Seguridad Pública encargado de la coordinación, planeación y supervisión de los fines de la seguridad pública, en su ámbito de gobierno, y tendrá las siguientes funciones:</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148. El Consejo Municipal de Seguridad Pública sesionará una vez cada 2 meses con base a la normatividad en la materia, donde se conocerá y atenderá la problemática existente en las distintas comunidades del municipio, en coordinación con las dependencias del ámbito municipal, estatal y federal</w:t>
      </w:r>
      <w:r>
        <w:rPr>
          <w:rFonts w:ascii="Palatino Linotype" w:eastAsia="Palatino Linotype" w:hAnsi="Palatino Linotype" w:cs="Palatino Linotype"/>
          <w:i/>
          <w:color w:val="000000"/>
          <w:sz w:val="22"/>
          <w:szCs w:val="22"/>
        </w:rPr>
        <w:t>, y estará integrado por:</w:t>
      </w:r>
    </w:p>
    <w:p w:rsidR="00474667" w:rsidRDefault="00474667">
      <w:pPr>
        <w:shd w:val="clear" w:color="auto" w:fill="FFFFFF"/>
        <w:spacing w:line="276" w:lineRule="auto"/>
        <w:ind w:right="900"/>
        <w:jc w:val="both"/>
        <w:rPr>
          <w:rFonts w:ascii="Palatino Linotype" w:eastAsia="Palatino Linotype" w:hAnsi="Palatino Linotype" w:cs="Palatino Linotype"/>
          <w:i/>
          <w:color w:val="000000"/>
          <w:sz w:val="22"/>
          <w:szCs w:val="22"/>
        </w:rPr>
      </w:pPr>
    </w:p>
    <w:p w:rsidR="00474667" w:rsidRDefault="00F27194">
      <w:pPr>
        <w:numPr>
          <w:ilvl w:val="0"/>
          <w:numId w:val="5"/>
        </w:numPr>
        <w:pBdr>
          <w:top w:val="nil"/>
          <w:left w:val="nil"/>
          <w:bottom w:val="nil"/>
          <w:right w:val="nil"/>
          <w:between w:val="nil"/>
        </w:pBdr>
        <w:shd w:val="clear" w:color="auto" w:fill="FFFFFF"/>
        <w:spacing w:line="276" w:lineRule="auto"/>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Mesa directiva</w:t>
      </w:r>
    </w:p>
    <w:p w:rsidR="00474667" w:rsidRDefault="00474667">
      <w:pPr>
        <w:pBdr>
          <w:top w:val="nil"/>
          <w:left w:val="nil"/>
          <w:bottom w:val="nil"/>
          <w:right w:val="nil"/>
          <w:between w:val="nil"/>
        </w:pBdr>
        <w:shd w:val="clear" w:color="auto" w:fill="FFFFFF"/>
        <w:spacing w:line="276" w:lineRule="auto"/>
        <w:ind w:left="1494" w:right="900"/>
        <w:jc w:val="both"/>
        <w:rPr>
          <w:rFonts w:ascii="Palatino Linotype" w:eastAsia="Palatino Linotype" w:hAnsi="Palatino Linotype" w:cs="Palatino Linotype"/>
          <w:i/>
          <w:color w:val="000000"/>
          <w:sz w:val="22"/>
          <w:szCs w:val="22"/>
        </w:rPr>
      </w:pP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w:t>
      </w:r>
      <w:r>
        <w:rPr>
          <w:rFonts w:ascii="Palatino Linotype" w:eastAsia="Palatino Linotype" w:hAnsi="Palatino Linotype" w:cs="Palatino Linotype"/>
          <w:b/>
          <w:i/>
          <w:color w:val="000000"/>
          <w:sz w:val="22"/>
          <w:szCs w:val="22"/>
          <w:u w:val="single"/>
        </w:rPr>
        <w:t>La o el Presidente municipal</w:t>
      </w:r>
      <w:r>
        <w:rPr>
          <w:rFonts w:ascii="Palatino Linotype" w:eastAsia="Palatino Linotype" w:hAnsi="Palatino Linotype" w:cs="Palatino Linotype"/>
          <w:i/>
          <w:color w:val="000000"/>
          <w:sz w:val="22"/>
          <w:szCs w:val="22"/>
        </w:rPr>
        <w:t>; quien fungirá como Presidente o Presidenta del Consejo;</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w:t>
      </w:r>
      <w:r>
        <w:rPr>
          <w:rFonts w:ascii="Palatino Linotype" w:eastAsia="Palatino Linotype" w:hAnsi="Palatino Linotype" w:cs="Palatino Linotype"/>
          <w:b/>
          <w:i/>
          <w:color w:val="000000"/>
          <w:sz w:val="22"/>
          <w:szCs w:val="22"/>
          <w:u w:val="single"/>
        </w:rPr>
        <w:t>La o el Secretario del Ayuntamiento</w:t>
      </w:r>
      <w:r>
        <w:rPr>
          <w:rFonts w:ascii="Palatino Linotype" w:eastAsia="Palatino Linotype" w:hAnsi="Palatino Linotype" w:cs="Palatino Linotype"/>
          <w:i/>
          <w:color w:val="000000"/>
          <w:sz w:val="22"/>
          <w:szCs w:val="22"/>
        </w:rPr>
        <w:t>; quien fungirá como Vicepresidente o Vicepresidenta del Consejo; y</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w:t>
      </w:r>
      <w:r>
        <w:rPr>
          <w:rFonts w:ascii="Palatino Linotype" w:eastAsia="Palatino Linotype" w:hAnsi="Palatino Linotype" w:cs="Palatino Linotype"/>
          <w:b/>
          <w:i/>
          <w:color w:val="000000"/>
          <w:sz w:val="22"/>
          <w:szCs w:val="22"/>
        </w:rPr>
        <w:t>La Secretaria o Secretario Técnico del Consejo municipal.</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Consejeros</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El o la Síndica municipal;</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El Director o Directora de Gobernación, según la denominación que corresponda a cada Ayuntamiento;</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La Presidenta del Sistema Municipal para el Desarrollo Integral de la Familia (SMDIF) de Temascalcingo, México;</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El Comisario de Seguridad Pública Municipal;</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Un representante de la Comisión Estatal de Seguridad Ciudadana;</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El Oficial Mediador-Conciliador;</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VII. La o el Secretario Ejecutivo; quien será designado por el Presidente municipal;</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El Defensor Municipal de Derechos Humanos; y</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IX. Las o los Delegados municipales.</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Invitados permanentes</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Un representante de la Secretaría de la Defensa Nacional;</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Un representante de la Policía Federal;</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Un representante de la Procuraduría General de la República;</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Un representante de la Procuraduría General de Justicia del Estado de México; y</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Un representante del Instituto de Salud del Estado de México. Quienes tendrán derecho a voz.</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 Invitados especiales</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Representantes de los Comités de Administración previstos por la Ley que regula el Régimen de Propiedad en Condominio en el Estado de México, cuando los asuntos a tratar en la sesión correspondiente así lo ameriten;</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Representantes de las instancias estatales y federales cuando los asuntos a tratar en la sesión correspondiente así lo ameriten; y</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El demás personal del servicio público municipal que considere el Presidente o Presidenta municipal del Consejo Municipal en razón de sus funciones y responsabilidades. Quienes tendrán derecho a voz.</w:t>
      </w:r>
    </w:p>
    <w:p w:rsidR="00474667" w:rsidRDefault="00F27194">
      <w:pPr>
        <w:shd w:val="clear" w:color="auto" w:fill="FFFFFF"/>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Consejo Municipal de Seguridad Pública, se constituirá dentro de los treinta primeros días siguientes a la renovación inmediata del Ayuntamiento; se renovará cada tres años y sesionará por lo menos una vez cada tres meses en forma ordinaria, y extraordinaria cuando lo crea conveniente el Consejo.”</w:t>
      </w:r>
    </w:p>
    <w:p w:rsidR="00474667" w:rsidRDefault="00474667">
      <w:pPr>
        <w:shd w:val="clear" w:color="auto" w:fill="FFFFFF"/>
        <w:spacing w:line="360" w:lineRule="auto"/>
        <w:jc w:val="both"/>
        <w:rPr>
          <w:rFonts w:ascii="Palatino Linotype" w:eastAsia="Palatino Linotype" w:hAnsi="Palatino Linotype" w:cs="Palatino Linotype"/>
          <w:color w:val="000000"/>
        </w:rPr>
      </w:pPr>
    </w:p>
    <w:p w:rsidR="00474667" w:rsidRDefault="00F27194">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 claro que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le compete conocer la información relacionada con la minuta y los acuerdos obtenidos en la primera sesión ordinaria del Consejo Municipal de Seguridad Pública, y es a través de los servidores públicos habilitados del Secretario Técnico del Consejo Municipal, Secretario del Ayuntamiento o Área de Presidencia que se puede obtener la información. </w:t>
      </w:r>
    </w:p>
    <w:p w:rsidR="00474667" w:rsidRDefault="00474667">
      <w:pPr>
        <w:shd w:val="clear" w:color="auto" w:fill="FFFFFF"/>
        <w:spacing w:line="360" w:lineRule="auto"/>
        <w:jc w:val="both"/>
        <w:rPr>
          <w:rFonts w:ascii="Palatino Linotype" w:eastAsia="Palatino Linotype" w:hAnsi="Palatino Linotype" w:cs="Palatino Linotype"/>
          <w:color w:val="000000"/>
        </w:rPr>
      </w:pPr>
    </w:p>
    <w:p w:rsidR="00474667" w:rsidRDefault="00F27194">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No pasa desapercibido para este Organismo Garante, que la información contenida en la minuta y acuerdos obtenidos en la primera sesión ordinaria del Consejo Municipal de Seguridad Pública, toda vez que contienen información relacionada con la problemática existente en las distintas comunidades del municipio, y la coordinación con las dependencias en los tres ámbitos de gobierno en materia de seguridad pública, puede incluir información reservada.</w:t>
      </w:r>
    </w:p>
    <w:p w:rsidR="00474667" w:rsidRDefault="00474667">
      <w:pPr>
        <w:shd w:val="clear" w:color="auto" w:fill="FFFFFF"/>
        <w:spacing w:line="360" w:lineRule="auto"/>
        <w:jc w:val="both"/>
        <w:rPr>
          <w:rFonts w:ascii="Palatino Linotype" w:eastAsia="Palatino Linotype" w:hAnsi="Palatino Linotype" w:cs="Palatino Linotype"/>
          <w:color w:val="000000"/>
        </w:rPr>
      </w:pP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a efecto de sustentar lo anterior, lo requerido, puede corresponder con información que podría actualizar una causal de reserva; prevista en el artículo 140, fracción I, de la Ley de Transparencia y Acceso a la Información Pública del Estado de México y Municipios, (homólogo a parte del artículo 113, fracción I de la Ley General de Transparencia y Acceso a la Información Pública), prevé lo siguiente:</w:t>
      </w:r>
    </w:p>
    <w:p w:rsidR="00474667" w:rsidRDefault="00474667">
      <w:pPr>
        <w:spacing w:line="276" w:lineRule="auto"/>
        <w:jc w:val="both"/>
        <w:rPr>
          <w:rFonts w:ascii="Palatino Linotype" w:eastAsia="Palatino Linotype" w:hAnsi="Palatino Linotype" w:cs="Palatino Linotype"/>
        </w:rPr>
      </w:pPr>
    </w:p>
    <w:p w:rsidR="00474667" w:rsidRDefault="00F27194">
      <w:pPr>
        <w:tabs>
          <w:tab w:val="left" w:pos="4962"/>
        </w:tabs>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rsidR="00474667" w:rsidRDefault="00F27194">
      <w:pPr>
        <w:tabs>
          <w:tab w:val="left" w:pos="4962"/>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Comprometa la seguridad pública y cuente con un propósito genuino y un efecto demostrable;” (Sic)</w:t>
      </w:r>
    </w:p>
    <w:p w:rsidR="00474667" w:rsidRDefault="00474667">
      <w:pPr>
        <w:spacing w:line="360" w:lineRule="auto"/>
        <w:jc w:val="both"/>
        <w:rPr>
          <w:rFonts w:ascii="Palatino Linotype" w:eastAsia="Palatino Linotype" w:hAnsi="Palatino Linotype" w:cs="Palatino Linotype"/>
        </w:rPr>
      </w:pP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Del precepto legal citado se desprende que como información reservada podrá clasificarse aquella cuya publicación pueda poner en riesgo la seguridad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En concatenación con lo anterior, los Lineamientos Generales en Materia de Clasificación y Desclasificación de la Información, así como para la Elaboración de Versiones Públicas -Lineamientos Generales-, establecen lo siguiente:</w:t>
      </w:r>
    </w:p>
    <w:p w:rsidR="00474667" w:rsidRDefault="00F27194">
      <w:pPr>
        <w:tabs>
          <w:tab w:val="left" w:pos="4962"/>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Décimo séptimo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conformidad con el artículo 113, fracción I de la Ley General, podrá considerarse como información reservada, aquella que de difundirse actualice o potencialice un riesgo o amenaza a la seguridad nacional cuando</w:t>
      </w:r>
      <w:r>
        <w:rPr>
          <w:rFonts w:ascii="Palatino Linotype" w:eastAsia="Palatino Linotype" w:hAnsi="Palatino Linotype" w:cs="Palatino Linotype"/>
          <w:i/>
          <w:sz w:val="22"/>
          <w:szCs w:val="22"/>
        </w:rPr>
        <w:t xml:space="preserve">: </w:t>
      </w:r>
    </w:p>
    <w:p w:rsidR="00474667" w:rsidRDefault="00F27194">
      <w:pPr>
        <w:tabs>
          <w:tab w:val="left" w:pos="4962"/>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tabs>
          <w:tab w:val="left" w:pos="4962"/>
        </w:tabs>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rsidR="00474667" w:rsidRDefault="00F27194">
      <w:pPr>
        <w:tabs>
          <w:tab w:val="left" w:pos="4962"/>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tabs>
          <w:tab w:val="left" w:pos="4962"/>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Asimismo, </w:t>
      </w:r>
      <w:r>
        <w:rPr>
          <w:rFonts w:ascii="Palatino Linotype" w:eastAsia="Palatino Linotype" w:hAnsi="Palatino Linotype" w:cs="Palatino Linotype"/>
          <w:b/>
          <w:i/>
          <w:sz w:val="22"/>
          <w:szCs w:val="22"/>
        </w:rPr>
        <w:t>podrá considerarse como reservada aquella que revele datos que pudieran ser aprovechados para conocer la capacidad de reacción de las instituciones encargadas de la seguridad nacional</w:t>
      </w:r>
      <w:r>
        <w:rPr>
          <w:rFonts w:ascii="Palatino Linotype" w:eastAsia="Palatino Linotype" w:hAnsi="Palatino Linotype" w:cs="Palatino Linotype"/>
          <w:i/>
          <w:sz w:val="22"/>
          <w:szCs w:val="22"/>
        </w:rPr>
        <w:t xml:space="preserve">; sus normas, procedimientos, métodos, fuentes, especificaciones técnicas, tecnología o equipo útiles a la generación de inteligencia para la Seguridad Nacional, sin importar la naturaleza o el origen de los documentos que la consignen. </w:t>
      </w:r>
    </w:p>
    <w:p w:rsidR="00474667" w:rsidRDefault="00F27194">
      <w:pPr>
        <w:tabs>
          <w:tab w:val="left" w:pos="4962"/>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octavo</w:t>
      </w:r>
      <w:r>
        <w:rPr>
          <w:rFonts w:ascii="Palatino Linotype" w:eastAsia="Palatino Linotype" w:hAnsi="Palatino Linotype" w:cs="Palatino Linotype"/>
          <w:i/>
          <w:sz w:val="22"/>
          <w:szCs w:val="22"/>
        </w:rPr>
        <w:t xml:space="preserve">. De conformidad con el artículo 113, fracción I de la Ley General, </w:t>
      </w:r>
      <w:r>
        <w:rPr>
          <w:rFonts w:ascii="Palatino Linotype" w:eastAsia="Palatino Linotype" w:hAnsi="Palatino Linotype" w:cs="Palatino Linotype"/>
          <w:b/>
          <w:i/>
          <w:sz w:val="22"/>
          <w:szCs w:val="22"/>
        </w:rPr>
        <w:t>podrá considerarse como información reservada, aquella que comprometa la seguridad pública, al poner en peligro las funciones a cargo de la</w:t>
      </w:r>
      <w:r>
        <w:rPr>
          <w:rFonts w:ascii="Palatino Linotype" w:eastAsia="Palatino Linotype" w:hAnsi="Palatino Linotype" w:cs="Palatino Linotype"/>
          <w:i/>
          <w:sz w:val="22"/>
          <w:szCs w:val="22"/>
        </w:rPr>
        <w:t xml:space="preserve"> Federación, la Ciudad de México, los Estados y </w:t>
      </w:r>
      <w:r>
        <w:rPr>
          <w:rFonts w:ascii="Palatino Linotype" w:eastAsia="Palatino Linotype" w:hAnsi="Palatino Linotype" w:cs="Palatino Linotype"/>
          <w:b/>
          <w:i/>
          <w:sz w:val="22"/>
          <w:szCs w:val="22"/>
        </w:rPr>
        <w:t>los Municipios</w:t>
      </w:r>
      <w:r>
        <w:rPr>
          <w:rFonts w:ascii="Palatino Linotype" w:eastAsia="Palatino Linotype" w:hAnsi="Palatino Linotype" w:cs="Palatino Linotype"/>
          <w:i/>
          <w:sz w:val="22"/>
          <w:szCs w:val="22"/>
        </w:rPr>
        <w:t xml:space="preserve">,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474667" w:rsidRDefault="00F27194">
      <w:pPr>
        <w:tabs>
          <w:tab w:val="left" w:pos="4962"/>
        </w:tabs>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Asimismo, </w:t>
      </w:r>
      <w:r>
        <w:rPr>
          <w:rFonts w:ascii="Palatino Linotype" w:eastAsia="Palatino Linotype" w:hAnsi="Palatino Linotype" w:cs="Palatino Linotype"/>
          <w:b/>
          <w:i/>
          <w:sz w:val="22"/>
          <w:szCs w:val="22"/>
        </w:rPr>
        <w:t xml:space="preserve">podrá considerarse como reservada aquella que revele datos que pudieran ser aprovechados para conocer la capacidad de reacción de las instituciones encargadas de la seguridad pública, sus planes, estrategias, tecnología, información, sistemas de comunicaciones. </w:t>
      </w:r>
    </w:p>
    <w:p w:rsidR="00474667" w:rsidRDefault="00F27194">
      <w:pPr>
        <w:tabs>
          <w:tab w:val="left" w:pos="4962"/>
        </w:tabs>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Décimo noveno. De conformidad con el artículo 113, fracción I de la Ley General, podrá considerarse como información reservada que compromete la defensa nacional, aquella que difunda, actualice o </w:t>
      </w:r>
      <w:r>
        <w:rPr>
          <w:rFonts w:ascii="Palatino Linotype" w:eastAsia="Palatino Linotype" w:hAnsi="Palatino Linotype" w:cs="Palatino Linotype"/>
          <w:b/>
          <w:i/>
          <w:sz w:val="22"/>
          <w:szCs w:val="22"/>
        </w:rPr>
        <w:lastRenderedPageBreak/>
        <w:t>potencialice un riesgo o amenaza que ponga en peligro las misiones generales</w:t>
      </w:r>
      <w:r>
        <w:rPr>
          <w:rFonts w:ascii="Palatino Linotype" w:eastAsia="Palatino Linotype" w:hAnsi="Palatino Linotype" w:cs="Palatino Linotype"/>
          <w:i/>
          <w:sz w:val="22"/>
          <w:szCs w:val="22"/>
        </w:rPr>
        <w:t xml:space="preserve"> del Ejército, Fuerza Aérea Mexicana o Armada de México, relacionadas con la defensa del Estado mexicano, para salvaguardar la soberanía y defender la integridad, y permanencia del territorio nacional. Asimismo, </w:t>
      </w:r>
      <w:r>
        <w:rPr>
          <w:rFonts w:ascii="Palatino Linotype" w:eastAsia="Palatino Linotype" w:hAnsi="Palatino Linotype" w:cs="Palatino Linotype"/>
          <w:b/>
          <w:i/>
          <w:sz w:val="22"/>
          <w:szCs w:val="22"/>
        </w:rPr>
        <w:t>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 (Sic)</w:t>
      </w:r>
    </w:p>
    <w:p w:rsidR="00474667" w:rsidRDefault="00474667">
      <w:pPr>
        <w:spacing w:line="360" w:lineRule="auto"/>
        <w:jc w:val="both"/>
        <w:rPr>
          <w:rFonts w:ascii="Palatino Linotype" w:eastAsia="Palatino Linotype" w:hAnsi="Palatino Linotype" w:cs="Palatino Linotype"/>
        </w:rPr>
      </w:pP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Lineamientos referidos,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rsidR="00474667" w:rsidRDefault="00474667">
      <w:pPr>
        <w:spacing w:line="360" w:lineRule="auto"/>
        <w:jc w:val="both"/>
        <w:rPr>
          <w:rFonts w:ascii="Palatino Linotype" w:eastAsia="Palatino Linotype" w:hAnsi="Palatino Linotype" w:cs="Palatino Linotype"/>
        </w:rPr>
      </w:pP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 artículo 81, fracción II, de la Ley de Seguridad del Estado de México, establece lo siguiente:</w:t>
      </w:r>
    </w:p>
    <w:p w:rsidR="00474667" w:rsidRDefault="00474667">
      <w:pPr>
        <w:spacing w:line="360" w:lineRule="auto"/>
        <w:jc w:val="both"/>
        <w:rPr>
          <w:rFonts w:ascii="Palatino Linotype" w:eastAsia="Palatino Linotype" w:hAnsi="Palatino Linotype" w:cs="Palatino Linotype"/>
        </w:rPr>
      </w:pPr>
    </w:p>
    <w:p w:rsidR="00474667" w:rsidRDefault="00F27194">
      <w:pPr>
        <w:tabs>
          <w:tab w:val="left" w:pos="4962"/>
          <w:tab w:val="left" w:pos="7938"/>
        </w:tabs>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474667" w:rsidRDefault="00F27194">
      <w:pPr>
        <w:tabs>
          <w:tab w:val="left" w:pos="4962"/>
          <w:tab w:val="left" w:pos="7938"/>
        </w:tabs>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74667" w:rsidRDefault="00F27194">
      <w:pPr>
        <w:tabs>
          <w:tab w:val="left" w:pos="4962"/>
          <w:tab w:val="left" w:pos="7938"/>
        </w:tabs>
        <w:spacing w:line="276" w:lineRule="auto"/>
        <w:ind w:left="1134" w:right="900"/>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Aquella cuya revelación pueda ser utilizada para actualizar o potenciar una amenaza a la seguridad pública o a las instituciones del Estado de México…” </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se desprende que es reservada toda aquella información que revele el estado de fuerza, y que puede ser utilizada para poner en riesgo la seguridad pública del Municipio. </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identificar que dicho supuesto era factible de aplicarse, y justificar de manera fundada y motivada las circunstancias por la cuales se podría comprometer la seguridad pública, poniendo en peligro las funciones del municipio, asimismo debió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 con el objeto de salvaguardar la información de mérito, y por tanto se evitara poner en riesgo la seguridad de los gobernados.</w:t>
      </w:r>
    </w:p>
    <w:p w:rsidR="00474667" w:rsidRDefault="00F27194">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conclusión, se puede advertir que  en su mayoría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no turnó la solicitud de información a los servidores públicos habilitados competentes de las diversas unidades administrativas con las que cuenta y que de acuerdo a sus atribuciones debieron contar con la información requerida, por lo que se aprecia,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222222"/>
        </w:rPr>
        <w:t>incumplió con lo señalado por el artículo 162 de la Ley de Transparencia y Acceso a la Información Pública del Estado de México y Municipios, ya que, no se puede perder de vista que para otorgar respuesta a la solicitud inicial,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no turnó la solicitud a las áreas en las que podría obrar la información, tal como se puede apreciar en el expediente electrónico, ya que, de conformidad con la fracción XXXIX del artículo tercero de la legislación </w:t>
      </w:r>
      <w:r>
        <w:rPr>
          <w:rFonts w:ascii="Palatino Linotype" w:eastAsia="Palatino Linotype" w:hAnsi="Palatino Linotype" w:cs="Palatino Linotype"/>
          <w:color w:val="222222"/>
        </w:rPr>
        <w:lastRenderedPageBreak/>
        <w:t>local vigente en materia de transparencia, el Servidor Público Habilitado es el competente para apoyar, gestionar y entregar la información:</w:t>
      </w:r>
    </w:p>
    <w:p w:rsidR="00474667" w:rsidRDefault="00F27194">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w:t>
      </w:r>
    </w:p>
    <w:p w:rsidR="00474667" w:rsidRDefault="00F27194">
      <w:pPr>
        <w:shd w:val="clear" w:color="auto" w:fill="FFFFFF"/>
        <w:spacing w:line="276" w:lineRule="auto"/>
        <w:ind w:left="709" w:right="902"/>
        <w:jc w:val="both"/>
        <w:rPr>
          <w:rFonts w:ascii="Palatino Linotype" w:eastAsia="Palatino Linotype" w:hAnsi="Palatino Linotype" w:cs="Palatino Linotype"/>
          <w:color w:val="000000"/>
        </w:rPr>
      </w:pPr>
      <w:r>
        <w:rPr>
          <w:rFonts w:ascii="Palatino Linotype" w:eastAsia="Palatino Linotype" w:hAnsi="Palatino Linotype" w:cs="Palatino Linotype"/>
          <w:i/>
          <w:color w:val="222222"/>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474667" w:rsidRDefault="00F27194">
      <w:pPr>
        <w:shd w:val="clear" w:color="auto" w:fill="FFFFFF"/>
        <w:spacing w:line="360" w:lineRule="auto"/>
        <w:ind w:left="709" w:right="90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w:t>
      </w:r>
    </w:p>
    <w:p w:rsidR="00474667" w:rsidRDefault="00F27194">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Pr>
          <w:rFonts w:ascii="Palatino Linotype" w:eastAsia="Palatino Linotype" w:hAnsi="Palatino Linotype" w:cs="Palatino Linotype"/>
          <w:color w:val="000000"/>
        </w:rPr>
        <w:t>de Transparencia y Acceso a la Información Pública del Estado de México y Municipios, el cual menciona lo siguiente:</w:t>
      </w:r>
    </w:p>
    <w:p w:rsidR="00474667" w:rsidRDefault="00F27194">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w:t>
      </w:r>
    </w:p>
    <w:p w:rsidR="00474667" w:rsidRDefault="00F27194">
      <w:pPr>
        <w:shd w:val="clear" w:color="auto" w:fill="FFFFFF"/>
        <w:spacing w:after="240" w:line="276"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222222"/>
          <w:sz w:val="22"/>
          <w:szCs w:val="22"/>
        </w:rPr>
        <w:t>“Artículo 162.</w:t>
      </w:r>
      <w:r>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474667" w:rsidRDefault="00F27194">
      <w:pPr>
        <w:shd w:val="clear" w:color="auto" w:fill="FFFFFF"/>
        <w:spacing w:after="1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hyperlink r:id="rId17" w:anchor="m_7497382118753252293__ftn1">
        <w:r>
          <w:rPr>
            <w:rFonts w:ascii="Palatino Linotype" w:eastAsia="Palatino Linotype" w:hAnsi="Palatino Linotype" w:cs="Palatino Linotype"/>
            <w:color w:val="222222"/>
            <w:sz w:val="14"/>
            <w:szCs w:val="14"/>
            <w:u w:val="single"/>
            <w:vertAlign w:val="superscript"/>
          </w:rPr>
          <w:t>[1]</w:t>
        </w:r>
      </w:hyperlink>
      <w:r>
        <w:rPr>
          <w:rFonts w:ascii="Palatino Linotype" w:eastAsia="Palatino Linotype" w:hAnsi="Palatino Linotype" w:cs="Palatino Linotype"/>
          <w:color w:val="222222"/>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w:t>
      </w:r>
      <w:r>
        <w:rPr>
          <w:rFonts w:ascii="Palatino Linotype" w:eastAsia="Palatino Linotype" w:hAnsi="Palatino Linotype" w:cs="Palatino Linotype"/>
          <w:color w:val="222222"/>
        </w:rPr>
        <w:lastRenderedPageBreak/>
        <w:t>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474667" w:rsidRDefault="00F27194">
      <w:pPr>
        <w:shd w:val="clear" w:color="auto" w:fill="FFFFFF"/>
        <w:spacing w:line="360"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222222"/>
          <w:sz w:val="22"/>
          <w:szCs w:val="22"/>
        </w:rPr>
        <w:t> </w:t>
      </w:r>
    </w:p>
    <w:p w:rsidR="00474667" w:rsidRDefault="00F27194">
      <w:pPr>
        <w:shd w:val="clear" w:color="auto" w:fill="FFFFFF"/>
        <w:spacing w:line="276"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222222"/>
          <w:sz w:val="22"/>
          <w:szCs w:val="22"/>
        </w:rPr>
        <w:t>“Artículo 160. </w:t>
      </w:r>
      <w:r>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74667" w:rsidRDefault="00F27194">
      <w:pPr>
        <w:shd w:val="clear" w:color="auto" w:fill="FFFFFF"/>
        <w:spacing w:line="276" w:lineRule="auto"/>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rsidR="00474667" w:rsidRDefault="00474667">
      <w:pPr>
        <w:shd w:val="clear" w:color="auto" w:fill="FFFFFF"/>
        <w:spacing w:line="276" w:lineRule="auto"/>
        <w:ind w:left="993" w:right="1041"/>
        <w:jc w:val="both"/>
        <w:rPr>
          <w:rFonts w:ascii="Palatino Linotype" w:eastAsia="Palatino Linotype" w:hAnsi="Palatino Linotype" w:cs="Palatino Linotype"/>
          <w:color w:val="000000"/>
        </w:rPr>
      </w:pPr>
    </w:p>
    <w:p w:rsidR="00474667" w:rsidRDefault="00F27194">
      <w:pPr>
        <w:shd w:val="clear" w:color="auto" w:fill="FFFFFF"/>
        <w:spacing w:line="276"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222222"/>
          <w:sz w:val="22"/>
          <w:szCs w:val="22"/>
        </w:rPr>
        <w:t>Artículo 163.</w:t>
      </w:r>
      <w:r>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474667" w:rsidRDefault="00F27194">
      <w:pPr>
        <w:shd w:val="clear" w:color="auto" w:fill="FFFFFF"/>
        <w:spacing w:line="276"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474667" w:rsidRDefault="00F27194">
      <w:pPr>
        <w:shd w:val="clear" w:color="auto" w:fill="FFFFFF"/>
        <w:spacing w:line="276"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222222"/>
          <w:sz w:val="22"/>
          <w:szCs w:val="22"/>
        </w:rPr>
        <w:t>Artículo 165.</w:t>
      </w:r>
      <w:r>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rsidR="00474667" w:rsidRDefault="00F27194">
      <w:pPr>
        <w:shd w:val="clear" w:color="auto" w:fill="FFFFFF"/>
        <w:spacing w:line="276"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474667" w:rsidRDefault="00F27194">
      <w:pPr>
        <w:shd w:val="clear" w:color="auto" w:fill="FFFFFF"/>
        <w:spacing w:line="276"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i/>
          <w:color w:val="222222"/>
          <w:sz w:val="22"/>
          <w:szCs w:val="22"/>
        </w:rPr>
        <w:lastRenderedPageBreak/>
        <w:t>Ante la falta de respuesta a una solicitud en el plazo previsto y en caso de que proceda el acceso, los costos de reproducción y envío correrán a cargo del sujeto obligado.”(Sic)</w:t>
      </w:r>
    </w:p>
    <w:p w:rsidR="00474667" w:rsidRDefault="00F27194">
      <w:pPr>
        <w:shd w:val="clear" w:color="auto" w:fill="FFFFFF"/>
        <w:spacing w:line="360" w:lineRule="auto"/>
        <w:ind w:left="993" w:right="10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w:t>
      </w:r>
    </w:p>
    <w:p w:rsidR="00474667" w:rsidRDefault="00F27194">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hyperlink r:id="rId18" w:anchor="m_7497382118753252293__ftn2">
        <w:r>
          <w:rPr>
            <w:rFonts w:ascii="Palatino Linotype" w:eastAsia="Palatino Linotype" w:hAnsi="Palatino Linotype" w:cs="Palatino Linotype"/>
            <w:color w:val="222222"/>
            <w:sz w:val="14"/>
            <w:szCs w:val="14"/>
            <w:u w:val="single"/>
            <w:vertAlign w:val="superscript"/>
          </w:rPr>
          <w:t>[2]</w:t>
        </w:r>
      </w:hyperlink>
      <w:r>
        <w:rPr>
          <w:rFonts w:ascii="Palatino Linotype" w:eastAsia="Palatino Linotype" w:hAnsi="Palatino Linotype" w:cs="Palatino Linotype"/>
          <w:color w:val="222222"/>
        </w:rPr>
        <w:t>, situación que no se advierte en el presente caso, toda vez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474667" w:rsidRDefault="00474667">
      <w:pPr>
        <w:shd w:val="clear" w:color="auto" w:fill="FFFFFF"/>
        <w:spacing w:line="360" w:lineRule="auto"/>
        <w:jc w:val="both"/>
        <w:rPr>
          <w:rFonts w:ascii="Palatino Linotype" w:eastAsia="Palatino Linotype" w:hAnsi="Palatino Linotype" w:cs="Palatino Linotype"/>
          <w:color w:val="000000"/>
        </w:rPr>
      </w:pP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respecto de “…</w:t>
      </w:r>
      <w:r>
        <w:rPr>
          <w:rFonts w:ascii="Palatino Linotype" w:eastAsia="Palatino Linotype" w:hAnsi="Palatino Linotype" w:cs="Palatino Linotype"/>
          <w:b/>
          <w:i/>
        </w:rPr>
        <w:t xml:space="preserve">una parte del encementado de la iglesia de </w:t>
      </w:r>
      <w:proofErr w:type="spellStart"/>
      <w:r>
        <w:rPr>
          <w:rFonts w:ascii="Palatino Linotype" w:eastAsia="Palatino Linotype" w:hAnsi="Palatino Linotype" w:cs="Palatino Linotype"/>
          <w:b/>
          <w:i/>
        </w:rPr>
        <w:t>solis</w:t>
      </w:r>
      <w:proofErr w:type="spellEnd"/>
      <w:r>
        <w:rPr>
          <w:rFonts w:ascii="Palatino Linotype" w:eastAsia="Palatino Linotype" w:hAnsi="Palatino Linotype" w:cs="Palatino Linotype"/>
          <w:b/>
          <w:i/>
        </w:rPr>
        <w:t xml:space="preserve"> esta defectuoso y saber si se puede </w:t>
      </w:r>
      <w:proofErr w:type="spellStart"/>
      <w:r>
        <w:rPr>
          <w:rFonts w:ascii="Palatino Linotype" w:eastAsia="Palatino Linotype" w:hAnsi="Palatino Linotype" w:cs="Palatino Linotype"/>
          <w:b/>
          <w:i/>
        </w:rPr>
        <w:t>apollar</w:t>
      </w:r>
      <w:proofErr w:type="spellEnd"/>
      <w:r>
        <w:rPr>
          <w:rFonts w:ascii="Palatino Linotype" w:eastAsia="Palatino Linotype" w:hAnsi="Palatino Linotype" w:cs="Palatino Linotype"/>
          <w:b/>
          <w:i/>
        </w:rPr>
        <w:t>” (</w:t>
      </w:r>
      <w:r>
        <w:rPr>
          <w:rFonts w:ascii="Palatino Linotype" w:eastAsia="Palatino Linotype" w:hAnsi="Palatino Linotype" w:cs="Palatino Linotype"/>
          <w:i/>
        </w:rPr>
        <w:t>Sic)</w:t>
      </w:r>
      <w:r>
        <w:rPr>
          <w:rFonts w:ascii="Palatino Linotype" w:eastAsia="Palatino Linotype" w:hAnsi="Palatino Linotype" w:cs="Palatino Linotype"/>
        </w:rPr>
        <w:t xml:space="preserve">, se advierte que el particular no pretendió ejercer su derecho de acceso a la información pública; sino que por este medio presentó una inquietud o interrogante, que no es factible atenderse vía acceso a la información pública, toda vez, que la atención a dicha pretensión no se puede colmar con documentos que obren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del análisis realizado al expediente electrónico, se advierte que esta parte de la solicitud no constituye un derecho de acceso a la información y por lo tanto, no es atendible mediante una solicitud de acceso a la información pública, </w:t>
      </w:r>
      <w:r>
        <w:rPr>
          <w:rFonts w:ascii="Palatino Linotype" w:eastAsia="Palatino Linotype" w:hAnsi="Palatino Linotype" w:cs="Palatino Linotype"/>
        </w:rPr>
        <w:lastRenderedPageBreak/>
        <w:t xml:space="preserve">porque se tratan de </w:t>
      </w:r>
      <w:r>
        <w:rPr>
          <w:rFonts w:ascii="Palatino Linotype" w:eastAsia="Palatino Linotype" w:hAnsi="Palatino Linotype" w:cs="Palatino Linotype"/>
          <w:b/>
          <w:u w:val="single"/>
        </w:rPr>
        <w:t>manifestaciones subjetivas</w:t>
      </w:r>
      <w:r>
        <w:rPr>
          <w:rFonts w:ascii="Palatino Linotype" w:eastAsia="Palatino Linotype" w:hAnsi="Palatino Linotype" w:cs="Palatino Linotype"/>
        </w:rPr>
        <w:t xml:space="preserve"> vertidas por el particular, interrogantes y declaraciones, situación que conlleva a afirmar que se está en presencia del ejercicio del derecho a la libre expresión y en todo caso a un derecho de petición. </w:t>
      </w:r>
    </w:p>
    <w:p w:rsidR="00474667" w:rsidRDefault="00F27194">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 efecto de sustentar lo anterior, es preciso mencionar que David Cienfuegos Salgado, concibe al derecho de petición como </w:t>
      </w:r>
      <w:r>
        <w:rPr>
          <w:rFonts w:ascii="Palatino Linotype" w:eastAsia="Palatino Linotype" w:hAnsi="Palatino Linotype" w:cs="Palatino Linotype"/>
          <w:i/>
        </w:rPr>
        <w:t>“</w:t>
      </w:r>
      <w:r>
        <w:rPr>
          <w:rFonts w:ascii="Palatino Linotype" w:eastAsia="Palatino Linotype" w:hAnsi="Palatino Linotype" w:cs="Palatino Linotype"/>
          <w:b/>
          <w:i/>
          <w:u w:val="single"/>
        </w:rPr>
        <w:t>el derecho de toda persona a ser escuchado por quienes ejercen el poder públic</w:t>
      </w:r>
      <w:r>
        <w:rPr>
          <w:rFonts w:ascii="Palatino Linotype" w:eastAsia="Palatino Linotype" w:hAnsi="Palatino Linotype" w:cs="Palatino Linotype"/>
          <w:i/>
        </w:rPr>
        <w:t>o.</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i/>
        </w:rPr>
        <w:t xml:space="preserve">” (Sic) </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Miguel Carbonell en su libro “Los derechos fundamentales” refiere que el </w:t>
      </w:r>
      <w:r>
        <w:rPr>
          <w:rFonts w:ascii="Palatino Linotype" w:eastAsia="Palatino Linotype" w:hAnsi="Palatino Linotype" w:cs="Palatino Linotype"/>
          <w:u w:val="single"/>
        </w:rPr>
        <w:t>derecho de petición se ha entendido de dos distintitas maneras</w:t>
      </w:r>
      <w:r>
        <w:rPr>
          <w:rFonts w:ascii="Palatino Linotype" w:eastAsia="Palatino Linotype" w:hAnsi="Palatino Linotype" w:cs="Palatino Linotype"/>
        </w:rPr>
        <w:t xml:space="preserve">, a saber: como un derecho fundamental de participación política ya que </w:t>
      </w:r>
      <w:r>
        <w:rPr>
          <w:rFonts w:ascii="Palatino Linotype" w:eastAsia="Palatino Linotype" w:hAnsi="Palatino Linotype" w:cs="Palatino Linotype"/>
          <w:u w:val="single"/>
        </w:rPr>
        <w:t xml:space="preserve">permite a los particulares trasladar a las autoridades sus </w:t>
      </w:r>
      <w:r>
        <w:rPr>
          <w:rFonts w:ascii="Palatino Linotype" w:eastAsia="Palatino Linotype" w:hAnsi="Palatino Linotype" w:cs="Palatino Linotype"/>
          <w:b/>
          <w:u w:val="single"/>
        </w:rPr>
        <w:t>inquietudes, quejas</w:t>
      </w:r>
      <w:r>
        <w:rPr>
          <w:rFonts w:ascii="Palatino Linotype" w:eastAsia="Palatino Linotype" w:hAnsi="Palatino Linotype" w:cs="Palatino Linotype"/>
          <w:u w:val="single"/>
        </w:rPr>
        <w:t>, sugerencias</w:t>
      </w:r>
      <w:r>
        <w:rPr>
          <w:rFonts w:ascii="Palatino Linotype" w:eastAsia="Palatino Linotype" w:hAnsi="Palatino Linotype" w:cs="Palatino Linotype"/>
        </w:rPr>
        <w:t xml:space="preserve"> y requerimientos en cualquier materia o asunto; y como una </w:t>
      </w:r>
      <w:r>
        <w:rPr>
          <w:rFonts w:ascii="Palatino Linotype" w:eastAsia="Palatino Linotype" w:hAnsi="Palatino Linotype" w:cs="Palatino Linotype"/>
          <w:b/>
        </w:rPr>
        <w:t>forma específica de la libertad de expresión</w:t>
      </w:r>
      <w:r>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Pr>
          <w:rFonts w:ascii="Palatino Linotype" w:eastAsia="Palatino Linotype" w:hAnsi="Palatino Linotype" w:cs="Palatino Linotype"/>
          <w:vertAlign w:val="superscript"/>
        </w:rPr>
        <w:footnoteReference w:id="4"/>
      </w:r>
    </w:p>
    <w:p w:rsidR="00474667" w:rsidRDefault="00F2719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el autor anteriormente citado, indica que el </w:t>
      </w:r>
      <w:r>
        <w:rPr>
          <w:rFonts w:ascii="Palatino Linotype" w:eastAsia="Palatino Linotype" w:hAnsi="Palatino Linotype" w:cs="Palatino Linotype"/>
          <w:b/>
          <w:u w:val="single"/>
        </w:rPr>
        <w:t>derecho de acceso a la información pública</w:t>
      </w:r>
      <w:r>
        <w:rPr>
          <w:rFonts w:ascii="Palatino Linotype" w:eastAsia="Palatino Linotype" w:hAnsi="Palatino Linotype" w:cs="Palatino Linotype"/>
        </w:rPr>
        <w:t xml:space="preserve"> es el derecho de conocer la </w:t>
      </w:r>
      <w:r>
        <w:rPr>
          <w:rFonts w:ascii="Palatino Linotype" w:eastAsia="Palatino Linotype" w:hAnsi="Palatino Linotype" w:cs="Palatino Linotype"/>
          <w:u w:val="single"/>
        </w:rPr>
        <w:t xml:space="preserve">información de carácter público </w:t>
      </w:r>
      <w:r>
        <w:rPr>
          <w:rFonts w:ascii="Palatino Linotype" w:eastAsia="Palatino Linotype" w:hAnsi="Palatino Linotype" w:cs="Palatino Linotype"/>
          <w:u w:val="single"/>
        </w:rPr>
        <w:lastRenderedPageBreak/>
        <w:t>que se genera o está en posesión de los órganos del poder público</w:t>
      </w:r>
      <w:r>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rsidR="00474667" w:rsidRDefault="00F2719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vertAlign w:val="superscript"/>
        </w:rPr>
        <w:footnoteReference w:id="5"/>
      </w:r>
    </w:p>
    <w:p w:rsidR="00474667" w:rsidRDefault="00F2719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puede concluir que la distinción entre el </w:t>
      </w:r>
      <w:r>
        <w:rPr>
          <w:rFonts w:ascii="Palatino Linotype" w:eastAsia="Palatino Linotype" w:hAnsi="Palatino Linotype" w:cs="Palatino Linotype"/>
          <w:b/>
        </w:rPr>
        <w:t>derecho de petición</w:t>
      </w:r>
      <w:r>
        <w:rPr>
          <w:rFonts w:ascii="Palatino Linotype" w:eastAsia="Palatino Linotype" w:hAnsi="Palatino Linotype" w:cs="Palatino Linotype"/>
        </w:rPr>
        <w:t xml:space="preserve"> y el derecho de acceso a la información descansa, principalmente, en que </w:t>
      </w:r>
      <w:r>
        <w:rPr>
          <w:rFonts w:ascii="Palatino Linotype" w:eastAsia="Palatino Linotype" w:hAnsi="Palatino Linotype" w:cs="Palatino Linotype"/>
          <w:u w:val="single"/>
        </w:rPr>
        <w:t xml:space="preserve">la pretensión del peticionario consiste generalmente en obligar a la autoridad responsable a que actúe </w:t>
      </w:r>
      <w:r>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474667" w:rsidRDefault="00F2719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 xml:space="preserve">Con base a lo anterior, tenemos que la parte </w:t>
      </w:r>
      <w:r>
        <w:rPr>
          <w:rFonts w:ascii="Palatino Linotype" w:eastAsia="Palatino Linotype" w:hAnsi="Palatino Linotype" w:cs="Palatino Linotype"/>
          <w:b/>
        </w:rPr>
        <w:t>RECURRENTE</w:t>
      </w:r>
      <w:r>
        <w:rPr>
          <w:rFonts w:ascii="Palatino Linotype" w:eastAsia="Palatino Linotype" w:hAnsi="Palatino Linotype" w:cs="Palatino Linotype"/>
        </w:rPr>
        <w:t>, a través de su solicitud requirió saber si se puede apoyar en una parte del “</w:t>
      </w:r>
      <w:r>
        <w:rPr>
          <w:rFonts w:ascii="Palatino Linotype" w:eastAsia="Palatino Linotype" w:hAnsi="Palatino Linotype" w:cs="Palatino Linotype"/>
          <w:i/>
        </w:rPr>
        <w:t xml:space="preserve">encementado de la iglesia de </w:t>
      </w:r>
      <w:proofErr w:type="spellStart"/>
      <w:r>
        <w:rPr>
          <w:rFonts w:ascii="Palatino Linotype" w:eastAsia="Palatino Linotype" w:hAnsi="Palatino Linotype" w:cs="Palatino Linotype"/>
          <w:i/>
        </w:rPr>
        <w:t>solis</w:t>
      </w:r>
      <w:proofErr w:type="spellEnd"/>
      <w:r>
        <w:rPr>
          <w:rFonts w:ascii="Palatino Linotype" w:eastAsia="Palatino Linotype" w:hAnsi="Palatino Linotype" w:cs="Palatino Linotype"/>
          <w:i/>
        </w:rPr>
        <w:t xml:space="preserve">  que esta defectuoso”</w:t>
      </w:r>
      <w:r>
        <w:rPr>
          <w:rFonts w:ascii="Palatino Linotype" w:eastAsia="Palatino Linotype" w:hAnsi="Palatino Linotype" w:cs="Palatino Linotype"/>
        </w:rPr>
        <w:t xml:space="preserve">, la atención a este punto que no encuentren en soporte </w:t>
      </w:r>
      <w:r>
        <w:rPr>
          <w:rFonts w:ascii="Palatino Linotype" w:eastAsia="Palatino Linotype" w:hAnsi="Palatino Linotype" w:cs="Palatino Linotype"/>
        </w:rPr>
        <w:lastRenderedPageBreak/>
        <w:t xml:space="preserve">documental alguno, no es algo que la Ley de la Materia establezca como atribución, derecho o facultad. </w:t>
      </w:r>
    </w:p>
    <w:p w:rsidR="00474667" w:rsidRDefault="00F2719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b/>
          <w:color w:val="000000"/>
        </w:rPr>
        <w:t>Quinto. Versión Pública.</w:t>
      </w:r>
      <w:r>
        <w:rPr>
          <w:rFonts w:ascii="Palatino Linotype" w:eastAsia="Palatino Linotype" w:hAnsi="Palatino Linotype" w:cs="Palatino Linotype"/>
          <w:color w:val="000000"/>
        </w:rPr>
        <w:t xml:space="preserve"> Finalmente, debe señalarse que de ser el caso en que los documentos que vayan a ser entregados por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para dar cumplimiento a la presente resolución, contengan datos que deban ser clasificados,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474667" w:rsidRDefault="00F2719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Para los efectos de la presente Ley se entenderá por:</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i/>
          <w:color w:val="000000"/>
          <w:sz w:val="22"/>
          <w:szCs w:val="22"/>
        </w:rPr>
        <w:t>[…]</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IX. Datos personales:</w:t>
      </w:r>
      <w:r>
        <w:rPr>
          <w:rFonts w:ascii="Palatino Linotype" w:eastAsia="Palatino Linotype" w:hAnsi="Palatino Linotype" w:cs="Palatino Linotype"/>
          <w:i/>
          <w:color w:val="000000"/>
          <w:sz w:val="22"/>
          <w:szCs w:val="22"/>
        </w:rPr>
        <w:t xml:space="preserve"> La información concerniente a una persona, identificada o identificable según lo dispuesto por la Ley de Protección de Datos Personales del Estado de México; </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Aquella considerada por la presente Ley como reservada o confidencial;</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XXI. Información confidencial:</w:t>
      </w:r>
      <w:r>
        <w:rPr>
          <w:rFonts w:ascii="Palatino Linotype" w:eastAsia="Palatino Linotype" w:hAnsi="Palatino Linotype" w:cs="Palatino Linotype"/>
          <w:i/>
          <w:color w:val="000000"/>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lastRenderedPageBreak/>
        <w:t>XLV. Versión pública:</w:t>
      </w:r>
      <w:r>
        <w:rPr>
          <w:rFonts w:ascii="Palatino Linotype" w:eastAsia="Palatino Linotype" w:hAnsi="Palatino Linotype" w:cs="Palatino Linotype"/>
          <w:i/>
          <w:color w:val="000000"/>
          <w:sz w:val="22"/>
          <w:szCs w:val="22"/>
        </w:rPr>
        <w:t xml:space="preserve"> Documento en el que se elimine, suprime o borra la información clasificada como reservada o confidencial para permitir su acceso.</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i/>
          <w:color w:val="000000"/>
          <w:sz w:val="22"/>
          <w:szCs w:val="22"/>
        </w:rPr>
        <w:t>[…]</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 xml:space="preserve">Artículo 91. </w:t>
      </w:r>
      <w:r>
        <w:rPr>
          <w:rFonts w:ascii="Palatino Linotype" w:eastAsia="Palatino Linotype" w:hAnsi="Palatino Linotype" w:cs="Palatino Linotype"/>
          <w:i/>
          <w:color w:val="000000"/>
          <w:sz w:val="22"/>
          <w:szCs w:val="22"/>
        </w:rPr>
        <w:t>El acceso a la información pública será restringido excepcionalmente, cuando ésta sea clasificada como reservada o confidencial.</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 xml:space="preserve">Artículo 132. </w:t>
      </w:r>
      <w:r>
        <w:rPr>
          <w:rFonts w:ascii="Palatino Linotype" w:eastAsia="Palatino Linotype" w:hAnsi="Palatino Linotype" w:cs="Palatino Linotype"/>
          <w:i/>
          <w:color w:val="000000"/>
          <w:sz w:val="22"/>
          <w:szCs w:val="22"/>
        </w:rPr>
        <w:t>La clasificación de la información se llevará a cabo en el momento en que:</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Se reciba una solicitud de acceso a la información;</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Se determine mediante resolución de autoridad competente; o</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Se generen versiones públicas para dar cumplimiento a las obligaciones de transparencia previstas en esta Ley.</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jurídico colectiva identificada o identificable;</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La que presenten los particulares a los sujetos obligados, de conformidad con lo dispuesto por las leyes o los tratados internacionales.</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La información confidencial no estará sujeta a temporalidad alguna y sólo podrán tener acceso a ella los titulares de la misma, sus representantes y los servidores públicos facultados para ello.</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No se considerará confidencial la información que se encuentre en los registros públicos o en fuentes de acceso público, ni tampoco la que sea considerada por la presente ley como información pública.”</w:t>
      </w:r>
    </w:p>
    <w:p w:rsidR="00474667" w:rsidRDefault="00F2719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74667" w:rsidRDefault="00F2719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Quincuagésimo sexto</w:t>
      </w:r>
      <w:r>
        <w:rPr>
          <w:rFonts w:ascii="Palatino Linotype" w:eastAsia="Palatino Linotype" w:hAnsi="Palatino Linotype" w:cs="Palatino Linotype"/>
          <w:i/>
          <w:color w:val="000000"/>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séptimo</w:t>
      </w:r>
      <w:r>
        <w:rPr>
          <w:rFonts w:ascii="Palatino Linotype" w:eastAsia="Palatino Linotype" w:hAnsi="Palatino Linotype" w:cs="Palatino Linotype"/>
          <w:i/>
          <w:color w:val="000000"/>
          <w:sz w:val="22"/>
          <w:szCs w:val="22"/>
        </w:rPr>
        <w:t>. Se considera, en principio, como información pública y no podrá omitirse de las versiones públicas la siguiente: </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La relativa a las Obligaciones de Transparencia que contempla el Título V de la Ley General y las demás disposiciones legales aplicables; </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El nombre de los servidores públicos en los documentos, y sus firmas autógrafas, cuando sean utilizados en el ejercicio de las facultades conferidas para el desempeño del servicio público, y </w:t>
      </w:r>
    </w:p>
    <w:p w:rsidR="00474667" w:rsidRDefault="00F27194">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lastRenderedPageBreak/>
        <w:t>Lo anterior, siempre y cuando no se acredite alguna causal de clasificación, prevista en las leyes o en los tratados internaciones suscritos por el Estado mexicano. </w:t>
      </w:r>
    </w:p>
    <w:p w:rsidR="00474667" w:rsidRDefault="00F27194">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octavo</w:t>
      </w:r>
      <w:r>
        <w:rPr>
          <w:rFonts w:ascii="Palatino Linotype" w:eastAsia="Palatino Linotype" w:hAnsi="Palatino Linotype" w:cs="Palatino Linotype"/>
          <w:i/>
          <w:color w:val="000000"/>
          <w:sz w:val="22"/>
          <w:szCs w:val="22"/>
        </w:rPr>
        <w:t>. Los sujetos obligados garantizarán que los sistemas o medios empleados para eliminar la información en las versiones públicas no permitan la recuperación o visualización de la misma.”</w:t>
      </w:r>
    </w:p>
    <w:p w:rsidR="00474667" w:rsidRDefault="00F2719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74667" w:rsidRDefault="00F2719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relación directa con ello, los Lineamientos en estudio establecen los formatos para la clasificación parcial y total de los documentos, que atienden a lo siguiente:</w:t>
      </w:r>
    </w:p>
    <w:tbl>
      <w:tblPr>
        <w:tblStyle w:val="aa"/>
        <w:tblW w:w="8838" w:type="dxa"/>
        <w:tblInd w:w="0" w:type="dxa"/>
        <w:tblLayout w:type="fixed"/>
        <w:tblLook w:val="0400" w:firstRow="0" w:lastRow="0" w:firstColumn="0" w:lastColumn="0" w:noHBand="0" w:noVBand="1"/>
      </w:tblPr>
      <w:tblGrid>
        <w:gridCol w:w="1270"/>
        <w:gridCol w:w="3413"/>
        <w:gridCol w:w="1356"/>
        <w:gridCol w:w="2799"/>
      </w:tblGrid>
      <w:tr w:rsidR="00474667">
        <w:tc>
          <w:tcPr>
            <w:tcW w:w="4683" w:type="dxa"/>
            <w:gridSpan w:val="2"/>
            <w:tcBorders>
              <w:bottom w:val="single" w:sz="4" w:space="0" w:color="95B3D7"/>
            </w:tcBorders>
            <w:tcMar>
              <w:top w:w="0" w:type="dxa"/>
              <w:left w:w="108" w:type="dxa"/>
              <w:bottom w:w="0" w:type="dxa"/>
              <w:right w:w="108" w:type="dxa"/>
            </w:tcMar>
          </w:tcPr>
          <w:p w:rsidR="00474667" w:rsidRDefault="00F2719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Parcial</w:t>
            </w:r>
          </w:p>
        </w:tc>
        <w:tc>
          <w:tcPr>
            <w:tcW w:w="4155" w:type="dxa"/>
            <w:gridSpan w:val="2"/>
            <w:tcBorders>
              <w:bottom w:val="single" w:sz="4" w:space="0" w:color="95B3D7"/>
            </w:tcBorders>
            <w:tcMar>
              <w:top w:w="0" w:type="dxa"/>
              <w:left w:w="108" w:type="dxa"/>
              <w:bottom w:w="0" w:type="dxa"/>
              <w:right w:w="108" w:type="dxa"/>
            </w:tcMar>
          </w:tcPr>
          <w:p w:rsidR="00474667" w:rsidRDefault="00F2719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Total</w:t>
            </w:r>
          </w:p>
        </w:tc>
      </w:tr>
      <w:tr w:rsidR="00474667">
        <w:tc>
          <w:tcPr>
            <w:tcW w:w="1270"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Concepto</w:t>
            </w:r>
          </w:p>
        </w:tc>
        <w:tc>
          <w:tcPr>
            <w:tcW w:w="3413"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Dónde</w:t>
            </w:r>
          </w:p>
        </w:tc>
        <w:tc>
          <w:tcPr>
            <w:tcW w:w="1356"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Concepto</w:t>
            </w:r>
          </w:p>
        </w:tc>
        <w:tc>
          <w:tcPr>
            <w:tcW w:w="2799"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Dónde</w:t>
            </w:r>
          </w:p>
        </w:tc>
      </w:tr>
      <w:tr w:rsidR="00474667">
        <w:tc>
          <w:tcPr>
            <w:tcW w:w="88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Sello oficial o logotipo del sujeto obligado</w:t>
            </w:r>
          </w:p>
        </w:tc>
      </w:tr>
      <w:tr w:rsidR="00474667">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clasificación</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clasificación</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474667">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Área</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área del cual es titular quien clasifica.</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Área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área de la cual es el titular quien clasifica.</w:t>
            </w:r>
          </w:p>
        </w:tc>
      </w:tr>
      <w:tr w:rsidR="00474667">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Información reservada</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Reservado</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Leyenda de información RESERVADA.</w:t>
            </w:r>
          </w:p>
        </w:tc>
      </w:tr>
      <w:tr w:rsidR="00474667">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Periodo de reserva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474667">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lastRenderedPageBreak/>
              <w:t>Ampliación del periodo de reserva</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474667">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Confidencial</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Ampliación del periodo de reserva</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474667">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Confidencial</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Leyenda de información CONFIDENCIAL.</w:t>
            </w:r>
          </w:p>
        </w:tc>
      </w:tr>
      <w:tr w:rsidR="00474667">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del titular del área</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clasifica.</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474667">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desclasificación</w:t>
            </w:r>
          </w:p>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que se desclasifica el documento.</w:t>
            </w:r>
          </w:p>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del titular del área</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clasifica.</w:t>
            </w:r>
          </w:p>
        </w:tc>
      </w:tr>
      <w:tr w:rsidR="00474667">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y cargo del servidor público</w:t>
            </w:r>
          </w:p>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desclasifica.</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desclasificación</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que se desclasifica.</w:t>
            </w:r>
          </w:p>
        </w:tc>
      </w:tr>
      <w:tr w:rsidR="00474667">
        <w:tc>
          <w:tcPr>
            <w:tcW w:w="127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474667"/>
        </w:tc>
        <w:tc>
          <w:tcPr>
            <w:tcW w:w="3413"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474667"/>
        </w:tc>
        <w:tc>
          <w:tcPr>
            <w:tcW w:w="135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Partes o secciones reservadas o confidenciales</w:t>
            </w:r>
          </w:p>
        </w:tc>
        <w:tc>
          <w:tcPr>
            <w:tcW w:w="279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 xml:space="preserve">En caso que una vez desclasificado el expediente, </w:t>
            </w:r>
            <w:proofErr w:type="spellStart"/>
            <w:r>
              <w:rPr>
                <w:rFonts w:ascii="Palatino Linotype" w:eastAsia="Palatino Linotype" w:hAnsi="Palatino Linotype" w:cs="Palatino Linotype"/>
                <w:color w:val="000000"/>
                <w:sz w:val="12"/>
                <w:szCs w:val="12"/>
              </w:rPr>
              <w:t>subsistanpartes</w:t>
            </w:r>
            <w:proofErr w:type="spellEnd"/>
            <w:r>
              <w:rPr>
                <w:rFonts w:ascii="Palatino Linotype" w:eastAsia="Palatino Linotype" w:hAnsi="Palatino Linotype" w:cs="Palatino Linotype"/>
                <w:color w:val="000000"/>
                <w:sz w:val="12"/>
                <w:szCs w:val="12"/>
              </w:rPr>
              <w:t xml:space="preserve"> o secciones del mismo reservadas o confidenciales, se señalará este hecho.</w:t>
            </w:r>
          </w:p>
        </w:tc>
      </w:tr>
      <w:tr w:rsidR="00474667">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474667"/>
        </w:tc>
        <w:tc>
          <w:tcPr>
            <w:tcW w:w="3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474667"/>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y cargo del servidor público</w:t>
            </w:r>
          </w:p>
        </w:tc>
        <w:tc>
          <w:tcPr>
            <w:tcW w:w="2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667" w:rsidRDefault="00F27194">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desclasifica.</w:t>
            </w:r>
          </w:p>
        </w:tc>
      </w:tr>
    </w:tbl>
    <w:p w:rsidR="00474667" w:rsidRDefault="00F2719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Efectivamente, cuando se clasifica información como confidencial es importante someterlo al Comité de Transparencia, quien debe confirmar, modificar o revocar la clasificación.</w:t>
      </w:r>
    </w:p>
    <w:p w:rsidR="00474667" w:rsidRDefault="00F2719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Pr>
          <w:rFonts w:ascii="Palatino Linotype" w:eastAsia="Palatino Linotype" w:hAnsi="Palatino Linotype" w:cs="Palatino Linotype"/>
          <w:color w:val="000000"/>
        </w:rPr>
        <w:lastRenderedPageBreak/>
        <w:t>acceso a la información del solicitante, por lo que el acuerdo respectivo, deberá hacerse del conocimiento de la parte Recurrente.</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w:t>
      </w:r>
      <w:r>
        <w:rPr>
          <w:rFonts w:ascii="Palatino Linotype" w:eastAsia="Palatino Linotype" w:hAnsi="Palatino Linotype" w:cs="Palatino Linotype"/>
          <w:highlight w:val="white"/>
        </w:rPr>
        <w:t xml:space="preserve"> fracciones IV y V de la </w:t>
      </w:r>
      <w:r>
        <w:rPr>
          <w:rFonts w:ascii="Palatino Linotype" w:eastAsia="Palatino Linotype" w:hAnsi="Palatino Linotype" w:cs="Palatino Linotype"/>
        </w:rPr>
        <w:t>Constitución Política del Estado Libre y Soberano de México; 2, fracción II; 29, 36 fracciones I y II; 176, 178, 181, 185, fracción I, 186 y 188 de la Ley de Transparencia y Acceso a la Información Pública del Estado de México y Municipios, este Pleno:</w:t>
      </w:r>
    </w:p>
    <w:p w:rsidR="00474667" w:rsidRDefault="00474667">
      <w:pPr>
        <w:spacing w:before="240" w:after="240" w:line="360" w:lineRule="auto"/>
        <w:jc w:val="both"/>
        <w:rPr>
          <w:rFonts w:ascii="Palatino Linotype" w:eastAsia="Palatino Linotype" w:hAnsi="Palatino Linotype" w:cs="Palatino Linotype"/>
        </w:rPr>
      </w:pPr>
    </w:p>
    <w:p w:rsidR="00474667" w:rsidRDefault="00F27194">
      <w:pPr>
        <w:numPr>
          <w:ilvl w:val="0"/>
          <w:numId w:val="6"/>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parcialmente</w:t>
      </w:r>
      <w:r>
        <w:rPr>
          <w:rFonts w:ascii="Palatino Linotype" w:eastAsia="Palatino Linotype" w:hAnsi="Palatino Linotype" w:cs="Palatino Linotype"/>
        </w:rPr>
        <w:t xml:space="preserve">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planteados por el R</w:t>
      </w:r>
      <w:r>
        <w:rPr>
          <w:rFonts w:ascii="Palatino Linotype" w:eastAsia="Palatino Linotype" w:hAnsi="Palatino Linotype" w:cs="Palatino Linotype"/>
          <w:b/>
        </w:rPr>
        <w:t>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05824/INFOEM/IP/RR/2022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 xml:space="preserve">SUJETO OBLIGADO. </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Considerandos Cuarto y Quinto</w:t>
      </w:r>
      <w:r>
        <w:rPr>
          <w:rFonts w:ascii="Palatino Linotype" w:eastAsia="Palatino Linotype" w:hAnsi="Palatino Linotype" w:cs="Palatino Linotype"/>
        </w:rPr>
        <w:t xml:space="preserve"> de esta resolución haga entrega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versión pública de ser procedente, lo siguiente: </w:t>
      </w:r>
    </w:p>
    <w:p w:rsidR="00474667" w:rsidRDefault="00F27194">
      <w:pPr>
        <w:numPr>
          <w:ilvl w:val="0"/>
          <w:numId w:val="3"/>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para elegir nuevo delegado.</w:t>
      </w:r>
    </w:p>
    <w:p w:rsidR="00474667" w:rsidRDefault="00F27194">
      <w:pPr>
        <w:numPr>
          <w:ilvl w:val="0"/>
          <w:numId w:val="3"/>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Presupuesto de ingresos y egresos del ejercicio fiscal 2022. </w:t>
      </w:r>
    </w:p>
    <w:p w:rsidR="00474667" w:rsidRDefault="00F27194">
      <w:pPr>
        <w:numPr>
          <w:ilvl w:val="0"/>
          <w:numId w:val="3"/>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Convenio vigente celebrado entre el IMEVIS y el Ayuntamiento de Temascalcingo. </w:t>
      </w:r>
    </w:p>
    <w:p w:rsidR="00474667" w:rsidRDefault="00F27194">
      <w:pPr>
        <w:numPr>
          <w:ilvl w:val="0"/>
          <w:numId w:val="3"/>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Convenio  vigente celebrado entre el Centro de Control de Confianza y el Ayuntamiento de Temascalcingo.</w:t>
      </w:r>
    </w:p>
    <w:p w:rsidR="00474667" w:rsidRDefault="00F27194">
      <w:pPr>
        <w:numPr>
          <w:ilvl w:val="0"/>
          <w:numId w:val="3"/>
        </w:numPr>
        <w:pBdr>
          <w:top w:val="nil"/>
          <w:left w:val="nil"/>
          <w:bottom w:val="nil"/>
          <w:right w:val="nil"/>
          <w:between w:val="nil"/>
        </w:pBdr>
        <w:tabs>
          <w:tab w:val="left" w:pos="1134"/>
        </w:tabs>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Minuta y los acuerdos obtenidos en la primera sesión ordinaria del Consejo Municipal de Seguridad Pública.</w:t>
      </w:r>
    </w:p>
    <w:p w:rsidR="00474667" w:rsidRDefault="00F27194">
      <w:pPr>
        <w:pBdr>
          <w:top w:val="nil"/>
          <w:left w:val="nil"/>
          <w:bottom w:val="nil"/>
          <w:right w:val="nil"/>
          <w:between w:val="nil"/>
        </w:pBdr>
        <w:spacing w:before="120"/>
        <w:ind w:left="1134" w:right="1041"/>
        <w:jc w:val="both"/>
        <w:rPr>
          <w:color w:val="000000"/>
        </w:rPr>
      </w:pPr>
      <w:r>
        <w:rPr>
          <w:rFonts w:ascii="Palatino Linotype" w:eastAsia="Palatino Linotype" w:hAnsi="Palatino Linotype" w:cs="Palatino Linotype"/>
          <w:i/>
          <w:color w:val="00000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del </w:t>
      </w:r>
      <w:r>
        <w:rPr>
          <w:rFonts w:ascii="Palatino Linotype" w:eastAsia="Palatino Linotype" w:hAnsi="Palatino Linotype" w:cs="Palatino Linotype"/>
          <w:b/>
          <w:i/>
          <w:color w:val="000000"/>
        </w:rPr>
        <w:t>RECURRENTE.</w:t>
      </w:r>
    </w:p>
    <w:p w:rsidR="00474667" w:rsidRDefault="00474667">
      <w:pPr>
        <w:spacing w:after="240"/>
        <w:ind w:left="1134" w:right="1041"/>
        <w:jc w:val="both"/>
        <w:rPr>
          <w:i/>
        </w:rPr>
      </w:pPr>
    </w:p>
    <w:p w:rsidR="00474667" w:rsidRDefault="00F27194">
      <w:pPr>
        <w:spacing w:after="240"/>
        <w:ind w:left="1134" w:right="104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Para el caso de que después de una búsqueda exhaustiva y razonable, el </w:t>
      </w:r>
      <w:r>
        <w:rPr>
          <w:rFonts w:ascii="Palatino Linotype" w:eastAsia="Palatino Linotype" w:hAnsi="Palatino Linotype" w:cs="Palatino Linotype"/>
          <w:b/>
          <w:i/>
          <w:color w:val="000000"/>
        </w:rPr>
        <w:t>SUJETO OBLIGADO</w:t>
      </w:r>
      <w:r>
        <w:rPr>
          <w:rFonts w:ascii="Palatino Linotype" w:eastAsia="Palatino Linotype" w:hAnsi="Palatino Linotype" w:cs="Palatino Linotype"/>
          <w:i/>
          <w:color w:val="000000"/>
        </w:rPr>
        <w:t xml:space="preserve"> no cuente con la información que se ordena  en los </w:t>
      </w:r>
      <w:r w:rsidRPr="00C93DDF">
        <w:rPr>
          <w:rFonts w:ascii="Palatino Linotype" w:eastAsia="Palatino Linotype" w:hAnsi="Palatino Linotype" w:cs="Palatino Linotype"/>
          <w:i/>
          <w:color w:val="000000"/>
        </w:rPr>
        <w:t xml:space="preserve">numerales </w:t>
      </w:r>
      <w:r w:rsidR="009F168D" w:rsidRPr="00C93DDF">
        <w:rPr>
          <w:rFonts w:ascii="Palatino Linotype" w:eastAsia="Palatino Linotype" w:hAnsi="Palatino Linotype" w:cs="Palatino Linotype"/>
          <w:i/>
          <w:color w:val="000000"/>
        </w:rPr>
        <w:t>3</w:t>
      </w:r>
      <w:r w:rsidRPr="00C93DDF">
        <w:rPr>
          <w:rFonts w:ascii="Palatino Linotype" w:eastAsia="Palatino Linotype" w:hAnsi="Palatino Linotype" w:cs="Palatino Linotype"/>
          <w:i/>
          <w:color w:val="000000"/>
        </w:rPr>
        <w:t xml:space="preserve"> y </w:t>
      </w:r>
      <w:r w:rsidR="009F168D" w:rsidRPr="00C93DDF">
        <w:rPr>
          <w:rFonts w:ascii="Palatino Linotype" w:eastAsia="Palatino Linotype" w:hAnsi="Palatino Linotype" w:cs="Palatino Linotype"/>
          <w:i/>
          <w:color w:val="000000"/>
        </w:rPr>
        <w:t>4</w:t>
      </w:r>
      <w:r w:rsidRPr="00C93DDF">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 xml:space="preserve"> bastará con que así lo refiera de manera clara y precisa, en</w:t>
      </w:r>
      <w:r>
        <w:t xml:space="preserve"> </w:t>
      </w:r>
      <w:r>
        <w:rPr>
          <w:rFonts w:ascii="Palatino Linotype" w:eastAsia="Palatino Linotype" w:hAnsi="Palatino Linotype" w:cs="Palatino Linotype"/>
          <w:i/>
          <w:color w:val="000000"/>
        </w:rPr>
        <w:t>términos del segundo párrafo del artículo 19 de la Ley en la Materia vigente en la entidad.</w:t>
      </w:r>
    </w:p>
    <w:p w:rsidR="00474667" w:rsidRDefault="00F2719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Titular  de la Unidad de Transparencia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74667" w:rsidRDefault="00F2719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474667" w:rsidRDefault="00F27194">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de conformidad con lo establecido en el artículo 196 de la Ley de Transparencia y Acceso a la Información Pública del Estado de México y Municipios podrá impugnarla vía Juicio de Amparo en los términos de las leyes aplicables</w:t>
      </w:r>
      <w:r>
        <w:rPr>
          <w:rFonts w:ascii="Palatino Linotype" w:eastAsia="Palatino Linotype" w:hAnsi="Palatino Linotype" w:cs="Palatino Linotype"/>
          <w:color w:val="222222"/>
        </w:rPr>
        <w:t>.</w:t>
      </w:r>
    </w:p>
    <w:p w:rsidR="00474667" w:rsidRDefault="00F27194">
      <w:pPr>
        <w:spacing w:line="360" w:lineRule="auto"/>
        <w:ind w:right="49"/>
        <w:jc w:val="both"/>
        <w:rPr>
          <w:rFonts w:ascii="Palatino Linotype" w:eastAsia="Palatino Linotype" w:hAnsi="Palatino Linotype" w:cs="Palatino Linotype"/>
        </w:rPr>
        <w:sectPr w:rsidR="00474667">
          <w:headerReference w:type="default" r:id="rId19"/>
          <w:footerReference w:type="default" r:id="rId20"/>
          <w:headerReference w:type="first" r:id="rId21"/>
          <w:footerReference w:type="first" r:id="rId22"/>
          <w:pgSz w:w="12240" w:h="15840"/>
          <w:pgMar w:top="1417" w:right="1701" w:bottom="1417" w:left="1701" w:header="709" w:footer="709"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DE AGOSTO DE DOS MIL VEINTIDÓS, ANTE EL SECRETARIO TÉCNICO DEL PLENO ALEXIS TAPIA RAMÍREZ.</w:t>
      </w:r>
    </w:p>
    <w:p w:rsidR="00474667" w:rsidRDefault="0047466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474667" w:rsidRDefault="0047466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474667" w:rsidRDefault="0047466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474667" w:rsidRDefault="0047466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474667" w:rsidRDefault="0047466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474667" w:rsidRDefault="0047466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474667" w:rsidRDefault="0047466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474667">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431F" w:rsidRDefault="00AA431F">
      <w:r>
        <w:separator/>
      </w:r>
    </w:p>
  </w:endnote>
  <w:endnote w:type="continuationSeparator" w:id="0">
    <w:p w:rsidR="00AA431F" w:rsidRDefault="00AA4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20B0604020202020204"/>
    <w:charset w:val="00"/>
    <w:family w:val="roman"/>
    <w:notTrueType/>
    <w:pitch w:val="default"/>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yriad Pro">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667" w:rsidRDefault="00F2719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D0163">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D0163">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rsidR="00474667" w:rsidRDefault="00474667">
    <w:pPr>
      <w:pBdr>
        <w:top w:val="nil"/>
        <w:left w:val="nil"/>
        <w:bottom w:val="nil"/>
        <w:right w:val="nil"/>
        <w:between w:val="nil"/>
      </w:pBdr>
      <w:tabs>
        <w:tab w:val="center" w:pos="4252"/>
        <w:tab w:val="right" w:pos="8504"/>
      </w:tabs>
      <w:rPr>
        <w:color w:val="000000"/>
      </w:rPr>
    </w:pPr>
  </w:p>
  <w:p w:rsidR="00474667" w:rsidRDefault="0047466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667" w:rsidRDefault="00F2719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D016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D0163">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474667" w:rsidRDefault="0047466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667" w:rsidRDefault="00F271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end"/>
    </w:r>
  </w:p>
  <w:p w:rsidR="00474667" w:rsidRDefault="0047466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667" w:rsidRDefault="00F271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016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0163">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rsidR="00474667" w:rsidRDefault="0047466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431F" w:rsidRDefault="00AA431F">
      <w:r>
        <w:separator/>
      </w:r>
    </w:p>
  </w:footnote>
  <w:footnote w:type="continuationSeparator" w:id="0">
    <w:p w:rsidR="00AA431F" w:rsidRDefault="00AA431F">
      <w:r>
        <w:continuationSeparator/>
      </w:r>
    </w:p>
  </w:footnote>
  <w:footnote w:id="1">
    <w:p w:rsidR="00474667" w:rsidRDefault="00F2719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474667" w:rsidRDefault="00F271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474667" w:rsidRDefault="00F27194">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4">
    <w:p w:rsidR="00474667" w:rsidRDefault="00F27194">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5">
    <w:p w:rsidR="00474667" w:rsidRDefault="00F27194">
      <w:pPr>
        <w:pBdr>
          <w:top w:val="nil"/>
          <w:left w:val="nil"/>
          <w:bottom w:val="nil"/>
          <w:right w:val="nil"/>
          <w:between w:val="nil"/>
        </w:pBdr>
        <w:spacing w:after="120" w:line="198"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667" w:rsidRDefault="00474667">
    <w:pPr>
      <w:widowControl w:val="0"/>
      <w:pBdr>
        <w:top w:val="nil"/>
        <w:left w:val="nil"/>
        <w:bottom w:val="nil"/>
        <w:right w:val="nil"/>
        <w:between w:val="nil"/>
      </w:pBdr>
      <w:spacing w:line="276" w:lineRule="auto"/>
      <w:rPr>
        <w:rFonts w:ascii="Cambria" w:eastAsia="Cambria" w:hAnsi="Cambria" w:cs="Cambria"/>
        <w:color w:val="000000"/>
      </w:rPr>
    </w:pPr>
  </w:p>
  <w:tbl>
    <w:tblPr>
      <w:tblStyle w:val="ac"/>
      <w:tblW w:w="6240" w:type="dxa"/>
      <w:tblInd w:w="3746" w:type="dxa"/>
      <w:tblLayout w:type="fixed"/>
      <w:tblLook w:val="0400" w:firstRow="0" w:lastRow="0" w:firstColumn="0" w:lastColumn="0" w:noHBand="0" w:noVBand="1"/>
    </w:tblPr>
    <w:tblGrid>
      <w:gridCol w:w="2553"/>
      <w:gridCol w:w="3687"/>
    </w:tblGrid>
    <w:tr w:rsidR="00474667">
      <w:tc>
        <w:tcPr>
          <w:tcW w:w="2553" w:type="dxa"/>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474667" w:rsidRDefault="00F27194">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05824/INFOEM/IP/RR/2022</w:t>
          </w:r>
        </w:p>
      </w:tc>
    </w:tr>
    <w:tr w:rsidR="00474667">
      <w:trPr>
        <w:trHeight w:val="228"/>
      </w:trPr>
      <w:tc>
        <w:tcPr>
          <w:tcW w:w="2553" w:type="dxa"/>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474667" w:rsidRDefault="00F27194">
          <w:pPr>
            <w:ind w:right="8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Temascalcingo</w:t>
          </w:r>
        </w:p>
      </w:tc>
    </w:tr>
    <w:tr w:rsidR="00474667">
      <w:tc>
        <w:tcPr>
          <w:tcW w:w="2553" w:type="dxa"/>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474667" w:rsidRDefault="00F2719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74667" w:rsidRDefault="00F2719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eastAsia="es-MX"/>
      </w:rPr>
      <w:drawing>
        <wp:anchor distT="0" distB="0" distL="0" distR="0" simplePos="0" relativeHeight="251658240" behindDoc="1" locked="0" layoutInCell="1" hidden="0" allowOverlap="1">
          <wp:simplePos x="0" y="0"/>
          <wp:positionH relativeFrom="column">
            <wp:posOffset>-982343</wp:posOffset>
          </wp:positionH>
          <wp:positionV relativeFrom="paragraph">
            <wp:posOffset>-1108073</wp:posOffset>
          </wp:positionV>
          <wp:extent cx="7635600" cy="9943200"/>
          <wp:effectExtent l="0" t="0" r="0" b="0"/>
          <wp:wrapNone/>
          <wp:docPr id="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667" w:rsidRDefault="00F27194">
    <w:pPr>
      <w:pBdr>
        <w:top w:val="nil"/>
        <w:left w:val="nil"/>
        <w:bottom w:val="nil"/>
        <w:right w:val="nil"/>
        <w:between w:val="nil"/>
      </w:pBdr>
      <w:tabs>
        <w:tab w:val="center" w:pos="4252"/>
        <w:tab w:val="right" w:pos="8504"/>
      </w:tabs>
      <w:ind w:right="333"/>
      <w:jc w:val="both"/>
      <w:rPr>
        <w:rFonts w:ascii="Cambria" w:eastAsia="Cambria" w:hAnsi="Cambria" w:cs="Cambria"/>
        <w:color w:val="000000"/>
      </w:rPr>
    </w:pPr>
    <w:r>
      <w:rPr>
        <w:rFonts w:ascii="Cambria" w:eastAsia="Cambria" w:hAnsi="Cambria" w:cs="Cambria"/>
        <w:color w:val="000000"/>
      </w:rPr>
      <w:t xml:space="preserve">                                  </w:t>
    </w:r>
    <w:r>
      <w:rPr>
        <w:noProof/>
        <w:lang w:val="es-MX" w:eastAsia="es-MX"/>
      </w:rPr>
      <w:drawing>
        <wp:anchor distT="0" distB="0" distL="0" distR="0" simplePos="0" relativeHeight="251659264" behindDoc="1" locked="0" layoutInCell="1" hidden="0" allowOverlap="1">
          <wp:simplePos x="0" y="0"/>
          <wp:positionH relativeFrom="column">
            <wp:posOffset>-916302</wp:posOffset>
          </wp:positionH>
          <wp:positionV relativeFrom="paragraph">
            <wp:posOffset>-354864</wp:posOffset>
          </wp:positionV>
          <wp:extent cx="7635600" cy="9943200"/>
          <wp:effectExtent l="0" t="0" r="0" b="0"/>
          <wp:wrapNone/>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685" w:type="dxa"/>
      <w:tblLayout w:type="fixed"/>
      <w:tblLook w:val="0400" w:firstRow="0" w:lastRow="0" w:firstColumn="0" w:lastColumn="0" w:noHBand="0" w:noVBand="1"/>
    </w:tblPr>
    <w:tblGrid>
      <w:gridCol w:w="2553"/>
      <w:gridCol w:w="3687"/>
    </w:tblGrid>
    <w:tr w:rsidR="00474667">
      <w:tc>
        <w:tcPr>
          <w:tcW w:w="2553" w:type="dxa"/>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05824/INFOEM/IP/RR/2022</w:t>
          </w:r>
        </w:p>
      </w:tc>
    </w:tr>
    <w:tr w:rsidR="00474667">
      <w:tc>
        <w:tcPr>
          <w:tcW w:w="2553" w:type="dxa"/>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474667" w:rsidRDefault="00FC4088">
          <w:pPr>
            <w:rPr>
              <w:rFonts w:ascii="Palatino Linotype" w:eastAsia="Palatino Linotype" w:hAnsi="Palatino Linotype" w:cs="Palatino Linotype"/>
              <w:b/>
              <w:sz w:val="22"/>
              <w:szCs w:val="22"/>
            </w:rPr>
          </w:pPr>
          <w:r>
            <w:rPr>
              <w:rFonts w:ascii="Palatino Linotype" w:eastAsia="Palatino Linotype" w:hAnsi="Palatino Linotype" w:cs="Palatino Linotype"/>
              <w:b/>
              <w:bCs/>
              <w:iCs/>
              <w:color w:val="000000"/>
              <w:sz w:val="22"/>
              <w:szCs w:val="22"/>
            </w:rPr>
            <w:t>XXXXXXXXX XXXXXXX</w:t>
          </w:r>
        </w:p>
      </w:tc>
    </w:tr>
    <w:tr w:rsidR="00474667">
      <w:trPr>
        <w:trHeight w:val="228"/>
      </w:trPr>
      <w:tc>
        <w:tcPr>
          <w:tcW w:w="2553" w:type="dxa"/>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474667" w:rsidRDefault="00F27194">
          <w:pPr>
            <w:ind w:right="-1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Temascalcingo</w:t>
          </w:r>
        </w:p>
      </w:tc>
    </w:tr>
    <w:tr w:rsidR="00474667">
      <w:tc>
        <w:tcPr>
          <w:tcW w:w="2553" w:type="dxa"/>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474667" w:rsidRDefault="00F2719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74667" w:rsidRDefault="00474667">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667" w:rsidRDefault="00F2719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eastAsia="es-MX"/>
      </w:rPr>
      <w:drawing>
        <wp:anchor distT="0" distB="0" distL="0" distR="0" simplePos="0" relativeHeight="251660288" behindDoc="1" locked="0" layoutInCell="1" hidden="0" allowOverlap="1">
          <wp:simplePos x="0" y="0"/>
          <wp:positionH relativeFrom="column">
            <wp:posOffset>-1080130</wp:posOffset>
          </wp:positionH>
          <wp:positionV relativeFrom="paragraph">
            <wp:posOffset>-488310</wp:posOffset>
          </wp:positionV>
          <wp:extent cx="7809865" cy="10165715"/>
          <wp:effectExtent l="0" t="0" r="0" b="0"/>
          <wp:wrapNone/>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474667">
      <w:tc>
        <w:tcPr>
          <w:tcW w:w="2489" w:type="dxa"/>
          <w:shd w:val="clear" w:color="auto" w:fill="auto"/>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474667" w:rsidRDefault="00F271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10379/INFOEM/IP/RR/2022</w:t>
          </w:r>
        </w:p>
      </w:tc>
    </w:tr>
    <w:tr w:rsidR="00474667">
      <w:trPr>
        <w:trHeight w:val="228"/>
      </w:trPr>
      <w:tc>
        <w:tcPr>
          <w:tcW w:w="2489" w:type="dxa"/>
          <w:shd w:val="clear" w:color="auto" w:fill="auto"/>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474667" w:rsidRDefault="00F2719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474667">
      <w:tc>
        <w:tcPr>
          <w:tcW w:w="2489" w:type="dxa"/>
          <w:shd w:val="clear" w:color="auto" w:fill="auto"/>
          <w:vAlign w:val="center"/>
        </w:tcPr>
        <w:p w:rsidR="00474667" w:rsidRDefault="00F2719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474667" w:rsidRDefault="00F271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74667" w:rsidRDefault="00F2719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667" w:rsidRDefault="0047466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d"/>
      <w:tblW w:w="5670" w:type="dxa"/>
      <w:tblInd w:w="3261" w:type="dxa"/>
      <w:tblLayout w:type="fixed"/>
      <w:tblLook w:val="0400" w:firstRow="0" w:lastRow="0" w:firstColumn="0" w:lastColumn="0" w:noHBand="0" w:noVBand="1"/>
    </w:tblPr>
    <w:tblGrid>
      <w:gridCol w:w="2551"/>
      <w:gridCol w:w="3119"/>
    </w:tblGrid>
    <w:tr w:rsidR="00474667">
      <w:tc>
        <w:tcPr>
          <w:tcW w:w="2551" w:type="dxa"/>
          <w:shd w:val="clear" w:color="auto" w:fill="auto"/>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474667" w:rsidRDefault="00F2719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10379/INFOEM/IP/RR/2022</w:t>
          </w:r>
        </w:p>
      </w:tc>
    </w:tr>
    <w:tr w:rsidR="00474667">
      <w:trPr>
        <w:trHeight w:val="130"/>
      </w:trPr>
      <w:tc>
        <w:tcPr>
          <w:tcW w:w="2551" w:type="dxa"/>
          <w:shd w:val="clear" w:color="auto" w:fill="auto"/>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474667" w:rsidRDefault="00474667">
          <w:pPr>
            <w:ind w:left="-45"/>
            <w:jc w:val="both"/>
            <w:rPr>
              <w:rFonts w:ascii="Palatino Linotype" w:eastAsia="Palatino Linotype" w:hAnsi="Palatino Linotype" w:cs="Palatino Linotype"/>
              <w:b/>
              <w:sz w:val="22"/>
              <w:szCs w:val="22"/>
            </w:rPr>
          </w:pPr>
        </w:p>
      </w:tc>
    </w:tr>
    <w:tr w:rsidR="00474667">
      <w:trPr>
        <w:trHeight w:val="228"/>
      </w:trPr>
      <w:tc>
        <w:tcPr>
          <w:tcW w:w="2551" w:type="dxa"/>
          <w:shd w:val="clear" w:color="auto" w:fill="auto"/>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474667" w:rsidRDefault="00F27194">
          <w:pPr>
            <w:ind w:left="-45"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474667">
      <w:tc>
        <w:tcPr>
          <w:tcW w:w="2551" w:type="dxa"/>
          <w:shd w:val="clear" w:color="auto" w:fill="auto"/>
          <w:vAlign w:val="center"/>
        </w:tcPr>
        <w:p w:rsidR="00474667" w:rsidRDefault="00F271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474667" w:rsidRDefault="00F2719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74667" w:rsidRDefault="00F2719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eastAsia="es-MX"/>
      </w:rPr>
      <w:drawing>
        <wp:anchor distT="0" distB="0" distL="0" distR="0" simplePos="0" relativeHeight="251661312" behindDoc="1" locked="0" layoutInCell="1" hidden="0" allowOverlap="1">
          <wp:simplePos x="0" y="0"/>
          <wp:positionH relativeFrom="column">
            <wp:posOffset>-1089655</wp:posOffset>
          </wp:positionH>
          <wp:positionV relativeFrom="paragraph">
            <wp:posOffset>-1169665</wp:posOffset>
          </wp:positionV>
          <wp:extent cx="7809865" cy="10165715"/>
          <wp:effectExtent l="0" t="0" r="0" b="0"/>
          <wp:wrapNone/>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2EEC"/>
    <w:multiLevelType w:val="multilevel"/>
    <w:tmpl w:val="C5389A72"/>
    <w:lvl w:ilvl="0">
      <w:start w:val="1"/>
      <w:numFmt w:val="decimal"/>
      <w:lvlText w:val="%1."/>
      <w:lvlJc w:val="left"/>
      <w:pPr>
        <w:ind w:left="1854" w:hanging="360"/>
      </w:p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 w15:restartNumberingAfterBreak="0">
    <w:nsid w:val="276F7CB9"/>
    <w:multiLevelType w:val="multilevel"/>
    <w:tmpl w:val="25CE991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AD15799"/>
    <w:multiLevelType w:val="multilevel"/>
    <w:tmpl w:val="BDA4D84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34317490"/>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AD1F40"/>
    <w:multiLevelType w:val="multilevel"/>
    <w:tmpl w:val="0F92CB1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9D0EA2"/>
    <w:multiLevelType w:val="multilevel"/>
    <w:tmpl w:val="3A3440F2"/>
    <w:lvl w:ilvl="0">
      <w:start w:val="1"/>
      <w:numFmt w:val="bullet"/>
      <w:pStyle w:val="Listaconvietas3"/>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6" w15:restartNumberingAfterBreak="0">
    <w:nsid w:val="622E44AF"/>
    <w:multiLevelType w:val="multilevel"/>
    <w:tmpl w:val="6B6EE5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50366E"/>
    <w:multiLevelType w:val="multilevel"/>
    <w:tmpl w:val="965CD098"/>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16cid:durableId="1433935833">
    <w:abstractNumId w:val="2"/>
  </w:num>
  <w:num w:numId="2" w16cid:durableId="1337880835">
    <w:abstractNumId w:val="5"/>
  </w:num>
  <w:num w:numId="3" w16cid:durableId="1644309987">
    <w:abstractNumId w:val="0"/>
  </w:num>
  <w:num w:numId="4" w16cid:durableId="1063677783">
    <w:abstractNumId w:val="6"/>
  </w:num>
  <w:num w:numId="5" w16cid:durableId="1361510904">
    <w:abstractNumId w:val="7"/>
  </w:num>
  <w:num w:numId="6" w16cid:durableId="744769049">
    <w:abstractNumId w:val="4"/>
  </w:num>
  <w:num w:numId="7" w16cid:durableId="1238133390">
    <w:abstractNumId w:val="1"/>
  </w:num>
  <w:num w:numId="8" w16cid:durableId="11854388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67"/>
    <w:rsid w:val="0001478C"/>
    <w:rsid w:val="001445D6"/>
    <w:rsid w:val="00281F25"/>
    <w:rsid w:val="00385386"/>
    <w:rsid w:val="00474667"/>
    <w:rsid w:val="004860B7"/>
    <w:rsid w:val="00624FE8"/>
    <w:rsid w:val="006D0163"/>
    <w:rsid w:val="008E4FC1"/>
    <w:rsid w:val="009F168D"/>
    <w:rsid w:val="00A400EA"/>
    <w:rsid w:val="00AA431F"/>
    <w:rsid w:val="00C93DDF"/>
    <w:rsid w:val="00E40CC1"/>
    <w:rsid w:val="00E64B65"/>
    <w:rsid w:val="00F27194"/>
    <w:rsid w:val="00FC4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B2D796-2EE9-054B-B066-D88EAB58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431"/>
    <w:rPr>
      <w:lang w:eastAsia="zh-CN"/>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MX" w:eastAsia="es-MX"/>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MX" w:eastAsia="es-MX"/>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eastAsia="es-MX"/>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eastAsia="es-MX"/>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MX" w:eastAsia="es-MX"/>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MX" w:eastAsia="es-MX"/>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eastAsia="es-MX"/>
    </w:rPr>
  </w:style>
  <w:style w:type="paragraph" w:styleId="NormalWeb">
    <w:name w:val="Normal (Web)"/>
    <w:basedOn w:val="Normal"/>
    <w:uiPriority w:val="99"/>
    <w:rsid w:val="000470FE"/>
    <w:pPr>
      <w:spacing w:before="100" w:beforeAutospacing="1" w:after="100" w:afterAutospacing="1"/>
    </w:pPr>
    <w:rPr>
      <w:lang w:val="es-MX" w:eastAsia="es-MX"/>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MX" w:eastAsia="es-MX"/>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MX" w:eastAsia="es-MX"/>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eastAsia="es-MX"/>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MX" w:eastAsia="es-MX"/>
    </w:rPr>
  </w:style>
  <w:style w:type="paragraph" w:styleId="Lista2">
    <w:name w:val="List 2"/>
    <w:basedOn w:val="Normal"/>
    <w:uiPriority w:val="99"/>
    <w:unhideWhenUsed/>
    <w:rsid w:val="00603D72"/>
    <w:pPr>
      <w:ind w:left="566" w:hanging="283"/>
      <w:contextualSpacing/>
    </w:pPr>
    <w:rPr>
      <w:lang w:val="es-MX" w:eastAsia="es-MX"/>
    </w:rPr>
  </w:style>
  <w:style w:type="paragraph" w:styleId="Lista3">
    <w:name w:val="List 3"/>
    <w:basedOn w:val="Normal"/>
    <w:uiPriority w:val="99"/>
    <w:unhideWhenUsed/>
    <w:rsid w:val="00603D72"/>
    <w:pPr>
      <w:ind w:left="849" w:hanging="283"/>
      <w:contextualSpacing/>
    </w:pPr>
    <w:rPr>
      <w:lang w:val="es-MX" w:eastAsia="es-MX"/>
    </w:rPr>
  </w:style>
  <w:style w:type="paragraph" w:styleId="Listaconvietas3">
    <w:name w:val="List Bullet 3"/>
    <w:basedOn w:val="Normal"/>
    <w:uiPriority w:val="99"/>
    <w:unhideWhenUsed/>
    <w:rsid w:val="00603D72"/>
    <w:pPr>
      <w:numPr>
        <w:numId w:val="2"/>
      </w:numPr>
      <w:contextualSpacing/>
    </w:pPr>
    <w:rPr>
      <w:lang w:val="es-MX" w:eastAsia="es-MX"/>
    </w:rPr>
  </w:style>
  <w:style w:type="paragraph" w:styleId="Continuarlista">
    <w:name w:val="List Continue"/>
    <w:basedOn w:val="Normal"/>
    <w:uiPriority w:val="99"/>
    <w:unhideWhenUsed/>
    <w:rsid w:val="00603D72"/>
    <w:pPr>
      <w:spacing w:after="120"/>
      <w:ind w:left="283"/>
      <w:contextualSpacing/>
    </w:pPr>
    <w:rPr>
      <w:lang w:val="es-MX" w:eastAsia="es-MX"/>
    </w:rPr>
  </w:style>
  <w:style w:type="paragraph" w:styleId="Continuarlista2">
    <w:name w:val="List Continue 2"/>
    <w:basedOn w:val="Normal"/>
    <w:uiPriority w:val="99"/>
    <w:unhideWhenUsed/>
    <w:rsid w:val="00603D72"/>
    <w:pPr>
      <w:spacing w:after="120"/>
      <w:ind w:left="566"/>
      <w:contextualSpacing/>
    </w:pPr>
    <w:rPr>
      <w:lang w:val="es-MX" w:eastAsia="es-MX"/>
    </w:rPr>
  </w:style>
  <w:style w:type="paragraph" w:styleId="Textoindependiente">
    <w:name w:val="Body Text"/>
    <w:basedOn w:val="Normal"/>
    <w:link w:val="TextoindependienteCar"/>
    <w:uiPriority w:val="99"/>
    <w:unhideWhenUsed/>
    <w:rsid w:val="00603D72"/>
    <w:pPr>
      <w:spacing w:after="120"/>
    </w:pPr>
    <w:rPr>
      <w:lang w:val="es-MX" w:eastAsia="es-MX"/>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MX" w:eastAsia="es-MX"/>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1D3E0B"/>
  </w:style>
  <w:style w:type="character" w:customStyle="1" w:styleId="Mencinsinresolver4">
    <w:name w:val="Mención sin resolver4"/>
    <w:basedOn w:val="Fuentedeprrafopredeter"/>
    <w:uiPriority w:val="99"/>
    <w:semiHidden/>
    <w:unhideWhenUsed/>
    <w:rsid w:val="002713BD"/>
    <w:rPr>
      <w:color w:val="605E5C"/>
      <w:shd w:val="clear" w:color="auto" w:fill="E1DFDD"/>
    </w:rPr>
  </w:style>
  <w:style w:type="character" w:customStyle="1" w:styleId="Mencinsinresolver5">
    <w:name w:val="Mención sin resolver5"/>
    <w:basedOn w:val="Fuentedeprrafopredeter"/>
    <w:uiPriority w:val="99"/>
    <w:semiHidden/>
    <w:unhideWhenUsed/>
    <w:rsid w:val="00F570E3"/>
    <w:rPr>
      <w:color w:val="605E5C"/>
      <w:shd w:val="clear" w:color="auto" w:fill="E1DFDD"/>
    </w:r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114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mail.google.com/mail/u/0/"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ail.google.com/mail/u/0/"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CDDIPUTADOS/art_92_vii/4.web?token=03ANYolquerqzkRyUX8X5pLxAQddsDH_tWMnOU7aw2GRaKVoBOMj3-Mum0Asf0i_kBMFkq9jRY_9Zk3aSySN_ugcrjhoKLC97pB1WNfd6nXt4cogDhQa-FqzZUHbpCg0LItVkzdeDwtzskZzG2iQuvlGs1RNAaFarVMD4pxDKQ18KQh18wyxQVOwOgYVcHoi2yHi9EUR0-qDdf09lY6k47mQEOqBeWDnAcoDI6BRFfc9A2GXd7UT9J2XKz-ADQFGHqI_u456OGvSkfltT6qpD6L_KaqL1N6ak_qDidu21UD08Q3vaqOiGDZ-7smmqbnhVEHr3etN3HLYnfR8_qPZoT4iCBpMwVMbvU11jRQ5qPFnDHHS8Wh02avy91rZz4uQIHgp737BHbv6qZ5Tm7gCjkT3RfTmhn1Bt6MJ-YwyjOwMSvIRjFm5v1mPm_WqkMFMBbN6lD078mrc7K06pNWf2bJ3EQvzklfll7EJyihKtrLQsEBZaqZMarYwHDflIm8M6vRxEpvUtuIxd0bPdhw2_TnN5mhTMVR6lhsz0QJ0N7eDY5A4AEdmVvQTY"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x0QN7okCRQoWkB0vx+6gIazyBQ==">AMUW2mWUgsydvw+m1+ckza+Cj9bLIT8Z0pGCJoybuFHke+brBJDs3th9+JAXlfbWYiT87Q/I2+ulHrlHl+Yl43U+IEVYcNkS3dIbrQis54FzaRBRpz/mbD6VtMX+/T0oyzID1ZMVoRLWH285sBEaGLepXaYxzy1zL1CR9FasukYaQYlt2GeKAOs=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63</Pages>
  <Words>14718</Words>
  <Characters>80950</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Microsoft Office User</cp:lastModifiedBy>
  <cp:revision>5</cp:revision>
  <dcterms:created xsi:type="dcterms:W3CDTF">2022-08-30T01:41:00Z</dcterms:created>
  <dcterms:modified xsi:type="dcterms:W3CDTF">2022-09-03T21:27:00Z</dcterms:modified>
</cp:coreProperties>
</file>