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w:t>
      </w:r>
      <w:r w:rsidDel="00000000" w:rsidR="00000000" w:rsidRPr="00000000">
        <w:rPr>
          <w:rFonts w:ascii="Palatino Linotype" w:cs="Palatino Linotype" w:eastAsia="Palatino Linotype" w:hAnsi="Palatino Linotype"/>
          <w:b w:val="1"/>
          <w:rtl w:val="0"/>
        </w:rPr>
        <w:t xml:space="preserve">veinticuatro de agosto del dos mil veintidós</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relativo al recurso de revisión </w:t>
      </w:r>
      <w:r w:rsidDel="00000000" w:rsidR="00000000" w:rsidRPr="00000000">
        <w:rPr>
          <w:rFonts w:ascii="Palatino Linotype" w:cs="Palatino Linotype" w:eastAsia="Palatino Linotype" w:hAnsi="Palatino Linotype"/>
          <w:b w:val="1"/>
          <w:rtl w:val="0"/>
        </w:rPr>
        <w:t xml:space="preserve">06204/INFOEM/IP/RR/2022</w:t>
      </w:r>
      <w:r w:rsidDel="00000000" w:rsidR="00000000" w:rsidRPr="00000000">
        <w:rPr>
          <w:rFonts w:ascii="Palatino Linotype" w:cs="Palatino Linotype" w:eastAsia="Palatino Linotype" w:hAnsi="Palatino Linotype"/>
          <w:rtl w:val="0"/>
        </w:rPr>
        <w:t xml:space="preserve">, interpuesto por una persona de manera anónima, al cual en lo sucesivo se le denominara 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en contra de la respuesta a su solicitud de información con número de folio </w:t>
      </w:r>
      <w:r w:rsidDel="00000000" w:rsidR="00000000" w:rsidRPr="00000000">
        <w:rPr>
          <w:rFonts w:ascii="Palatino Linotype" w:cs="Palatino Linotype" w:eastAsia="Palatino Linotype" w:hAnsi="Palatino Linotype"/>
          <w:b w:val="1"/>
          <w:rtl w:val="0"/>
        </w:rPr>
        <w:t xml:space="preserve">00830/DIFMETEPEC/IP/2022, </w:t>
      </w:r>
      <w:r w:rsidDel="00000000" w:rsidR="00000000" w:rsidRPr="00000000">
        <w:rPr>
          <w:rFonts w:ascii="Palatino Linotype" w:cs="Palatino Linotype" w:eastAsia="Palatino Linotype" w:hAnsi="Palatino Linotype"/>
          <w:rtl w:val="0"/>
        </w:rPr>
        <w:t xml:space="preserve">por parte del </w:t>
      </w:r>
      <w:r w:rsidDel="00000000" w:rsidR="00000000" w:rsidRPr="00000000">
        <w:rPr>
          <w:rFonts w:ascii="Palatino Linotype" w:cs="Palatino Linotype" w:eastAsia="Palatino Linotype" w:hAnsi="Palatino Linotype"/>
          <w:b w:val="1"/>
          <w:rtl w:val="0"/>
        </w:rPr>
        <w:t xml:space="preserve">Sistema Municipal Para el Desarrollo Integral de la Familia de Metepec</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w:t>
      </w:r>
    </w:p>
    <w:p w:rsidR="00000000" w:rsidDel="00000000" w:rsidP="00000000" w:rsidRDefault="00000000" w:rsidRPr="00000000" w14:paraId="00000003">
      <w:pPr>
        <w:numPr>
          <w:ilvl w:val="0"/>
          <w:numId w:val="7"/>
        </w:numPr>
        <w:pBdr>
          <w:top w:space="0" w:sz="0" w:val="nil"/>
          <w:left w:space="0" w:sz="0" w:val="nil"/>
          <w:bottom w:space="0" w:sz="0" w:val="nil"/>
          <w:right w:space="0" w:sz="0" w:val="nil"/>
          <w:between w:space="0" w:sz="0" w:val="nil"/>
        </w:pBdr>
        <w:spacing w:after="240" w:before="240" w:line="360" w:lineRule="auto"/>
        <w:ind w:left="1077" w:hanging="720"/>
        <w:jc w:val="center"/>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Solicitud de acceso a la información.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uno de marzo del dos mil veintidós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requiriéndole lo siguiente:</w:t>
      </w:r>
      <w:r w:rsidDel="00000000" w:rsidR="00000000" w:rsidRPr="00000000">
        <w:rPr>
          <w:rtl w:val="0"/>
        </w:rPr>
      </w:r>
    </w:p>
    <w:p w:rsidR="00000000" w:rsidDel="00000000" w:rsidP="00000000" w:rsidRDefault="00000000" w:rsidRPr="00000000" w14:paraId="00000005">
      <w:pPr>
        <w:spacing w:after="240" w:before="240" w:lineRule="auto"/>
        <w:ind w:left="851" w:right="900"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“Solicito una copia en pdf del acta de nacimiento de: Ortiz Piña Hugo Orlando Sandoval Perez Diana Mireya Velasco Reyes Dulce Maria Carballido Barba Margarita Cedeño Dominguez Filiberto Reyna Valdez Gloria Alicia Aparicio Samano Nayeli Dayanne Gonzalez Mociño Ana Patricia Barraza Olmeda Lineth Zuñiga Becerril Margarita Berenice Diaz Mancilla Luis Alberto Carmona Gonzalez Araceli Leon Arias Beatriz Lopez Rivera Carole Suarez Juarez Nery Adrian Rios Esparza Omar Hazan Escudero Martinez Jose Antonio Garcia Valdez Jesus Omar Perez Hernandez Arturo Sandoval Valdes Miguel Angel Avila de Luna Nancy Karina Mancera Corona Sara Camacho Seamanduras Erik Alfonso Zapata Navarrete Fernando Oscar Diaz Montellano Flor del Consuelo Ramos Luna Guillermo Arzate Colin Eduardo Vilchis Cortes Veronica Patricia Islas Lucio Gloria Isaura Carrasco Chavez Itdania Quijada Badillo Maria Elisa Arzate Contreras Oscar” (Sic)</w:t>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 </w:t>
      </w:r>
      <w:r w:rsidDel="00000000" w:rsidR="00000000" w:rsidRPr="00000000">
        <w:rPr>
          <w:rFonts w:ascii="Palatino Linotype" w:cs="Palatino Linotype" w:eastAsia="Palatino Linotype" w:hAnsi="Palatino Linotype"/>
          <w:rtl w:val="0"/>
        </w:rPr>
        <w:t xml:space="preserve">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Solicitud de Aclaración.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nueve de marzo de dos mil veintidós</w:t>
      </w:r>
      <w:r w:rsidDel="00000000" w:rsidR="00000000" w:rsidRPr="00000000">
        <w:rPr>
          <w:rFonts w:ascii="Palatino Linotype" w:cs="Palatino Linotype" w:eastAsia="Palatino Linotype" w:hAnsi="Palatino Linotype"/>
          <w:rtl w:val="0"/>
        </w:rPr>
        <w:t xml:space="preserve">,</w:t>
      </w:r>
      <w:r w:rsidDel="00000000" w:rsidR="00000000" w:rsidRPr="00000000">
        <w:rPr>
          <w:rtl w:val="0"/>
        </w:rPr>
        <w:t xml:space="preserve"> e</w:t>
      </w:r>
      <w:r w:rsidDel="00000000" w:rsidR="00000000" w:rsidRPr="00000000">
        <w:rPr>
          <w:rFonts w:ascii="Palatino Linotype" w:cs="Palatino Linotype" w:eastAsia="Palatino Linotype" w:hAnsi="Palatino Linotype"/>
          <w:rtl w:val="0"/>
        </w:rPr>
        <w:t xml:space="preserv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requirió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aclarara la solicitud de información, de conformidad con lo siguiente:</w:t>
      </w:r>
    </w:p>
    <w:p w:rsidR="00000000" w:rsidDel="00000000" w:rsidP="00000000" w:rsidRDefault="00000000" w:rsidRPr="00000000" w14:paraId="00000008">
      <w:pPr>
        <w:spacing w:after="240" w:before="240" w:line="276" w:lineRule="auto"/>
        <w:ind w:left="1080" w:right="9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el articulo 159 de la Ley de Transparencia y Acceso a la Información Pública del Estado de México y Municipios, se le requiere para que dentro del plazo de diez días hábiles realice lo siguiente:</w:t>
      </w:r>
    </w:p>
    <w:p w:rsidR="00000000" w:rsidDel="00000000" w:rsidP="00000000" w:rsidRDefault="00000000" w:rsidRPr="00000000" w14:paraId="00000009">
      <w:pPr>
        <w:spacing w:after="240" w:before="240" w:line="276" w:lineRule="auto"/>
        <w:ind w:left="1080" w:right="91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La solicitud de información no es clara, se solicita al solicitante </w:t>
      </w:r>
      <w:r w:rsidDel="00000000" w:rsidR="00000000" w:rsidRPr="00000000">
        <w:rPr>
          <w:rFonts w:ascii="Palatino Linotype" w:cs="Palatino Linotype" w:eastAsia="Palatino Linotype" w:hAnsi="Palatino Linotype"/>
          <w:b w:val="1"/>
          <w:i w:val="1"/>
          <w:sz w:val="22"/>
          <w:szCs w:val="22"/>
          <w:rtl w:val="0"/>
        </w:rPr>
        <w:t xml:space="preserve">haga aclaración total de la información a obtener.</w:t>
      </w:r>
    </w:p>
    <w:p w:rsidR="00000000" w:rsidDel="00000000" w:rsidP="00000000" w:rsidRDefault="00000000" w:rsidRPr="00000000" w14:paraId="0000000A">
      <w:pPr>
        <w:spacing w:after="240" w:before="240" w:line="276" w:lineRule="auto"/>
        <w:ind w:left="1080" w:right="9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000000" w:rsidDel="00000000" w:rsidP="00000000" w:rsidRDefault="00000000" w:rsidRPr="00000000" w14:paraId="0000000B">
      <w:pPr>
        <w:spacing w:after="240" w:before="240" w:line="276" w:lineRule="auto"/>
        <w:ind w:left="1080" w:right="9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0C">
      <w:pPr>
        <w:spacing w:after="240" w:before="240" w:line="276" w:lineRule="auto"/>
        <w:ind w:left="1080" w:right="9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Licenciado FERNANDO OSCAR ZAPATA NAVARRETE” (Sic)</w:t>
      </w:r>
    </w:p>
    <w:p w:rsidR="00000000" w:rsidDel="00000000" w:rsidP="00000000" w:rsidRDefault="00000000" w:rsidRPr="00000000" w14:paraId="0000000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Aclaración.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nueve de marzo de dos mil veintidós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aclara la solicitud de información, de la siguiente forma:</w:t>
      </w:r>
    </w:p>
    <w:p w:rsidR="00000000" w:rsidDel="00000000" w:rsidP="00000000" w:rsidRDefault="00000000" w:rsidRPr="00000000" w14:paraId="0000000E">
      <w:pPr>
        <w:spacing w:after="240" w:before="240" w:line="276" w:lineRule="auto"/>
        <w:ind w:left="1080" w:right="9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“Solicito una copia en pdf del acta de nacimiento de: Ortiz Piña Hugo Orlando Sandoval Perez Diana Mireya Velasco Reyes Dulce Maria Carballido Barba Margarita Cedeño Dominguez Filiberto Reyna Valdez Gloria Alicia Aparicio Samano Nayeli Dayanne Gonzalez Mociño Ana Patricia Barraza Olmeda Lineth Zuñiga Becerril Margarita Berenice Diaz Mancilla Luis Alberto Carmona Gonzalez Araceli Leon Arias Beatriz Lopez Rivera Carole Suarez Juarez Nery Adrian Rios Esparza Omar Hazan Escudero Martinez Jose Antonio Garcia Valdez Jesus Omar Perez Hernandez Arturo Sandoval Valdes Miguel Angel Avila de Luna Nancy Karina Mancera Corona Sara Camacho Seamanduras Erik Alfonso Zapata Navarrete Fernando Oscar Diaz Montellano Flor del Consuelo Ramos Luna Guillermo Arzate Colin Eduardo Vilchis Cortes Veronica Patricia Islas Lucio Gloria Isaura Carrasco Chavez Itdania Quijada Badillo Maria Elisa Arzate Contreras Oscar” (Sic)</w:t>
      </w:r>
    </w:p>
    <w:p w:rsidR="00000000" w:rsidDel="00000000" w:rsidP="00000000" w:rsidRDefault="00000000" w:rsidRPr="00000000" w14:paraId="0000000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Prórroga.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treinta de marzo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notificó al particular una prórroga para atender su solicitud de información, medularmente en los siguientes términos:</w:t>
      </w:r>
    </w:p>
    <w:p w:rsidR="00000000" w:rsidDel="00000000" w:rsidP="00000000" w:rsidRDefault="00000000" w:rsidRPr="00000000" w14:paraId="00000010">
      <w:pPr>
        <w:spacing w:after="240" w:before="240" w:line="276"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00000" w:rsidDel="00000000" w:rsidP="00000000" w:rsidRDefault="00000000" w:rsidRPr="00000000" w14:paraId="00000011">
      <w:pPr>
        <w:spacing w:after="240" w:before="240" w:line="276"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APRUEBA PRORROGA</w:t>
      </w:r>
    </w:p>
    <w:p w:rsidR="00000000" w:rsidDel="00000000" w:rsidP="00000000" w:rsidRDefault="00000000" w:rsidRPr="00000000" w14:paraId="00000012">
      <w:pPr>
        <w:spacing w:after="240" w:before="240" w:line="276"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Licenciado FERNANDO OSCAR ZAPATA NAVARRETE</w:t>
      </w:r>
    </w:p>
    <w:p w:rsidR="00000000" w:rsidDel="00000000" w:rsidP="00000000" w:rsidRDefault="00000000" w:rsidRPr="00000000" w14:paraId="00000013">
      <w:pPr>
        <w:spacing w:after="240" w:before="240" w:line="276"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Responsable de la Unidad de Transparencia” (Sic)</w:t>
      </w:r>
    </w:p>
    <w:p w:rsidR="00000000" w:rsidDel="00000000" w:rsidP="00000000" w:rsidRDefault="00000000" w:rsidRPr="00000000" w14:paraId="0000001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Respuesta.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dieciocho de abril del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envió su respuesta a la solicitud de acceso a la información a través del SAIMEX, la cual versa como sigue:</w:t>
      </w:r>
    </w:p>
    <w:p w:rsidR="00000000" w:rsidDel="00000000" w:rsidP="00000000" w:rsidRDefault="00000000" w:rsidRPr="00000000" w14:paraId="00000015">
      <w:pPr>
        <w:spacing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6">
      <w:pPr>
        <w:spacing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respuesta a la solicitud recibida, nos permitimos hacer de su conocimiento que: después de realizar una búsqueda exhaustiva en nuestros archivos</w:t>
      </w:r>
      <w:r w:rsidDel="00000000" w:rsidR="00000000" w:rsidRPr="00000000">
        <w:rPr>
          <w:rFonts w:ascii="Palatino Linotype" w:cs="Palatino Linotype" w:eastAsia="Palatino Linotype" w:hAnsi="Palatino Linotype"/>
          <w:b w:val="1"/>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u w:val="single"/>
          <w:rtl w:val="0"/>
        </w:rPr>
        <w:t xml:space="preserve">no encontramos la información solicitada, ya que no contamos con los documentos solicitados de los servidores publicos solicitados</w:t>
      </w:r>
      <w:r w:rsidDel="00000000" w:rsidR="00000000" w:rsidRPr="00000000">
        <w:rPr>
          <w:rFonts w:ascii="Palatino Linotype" w:cs="Palatino Linotype" w:eastAsia="Palatino Linotype" w:hAnsi="Palatino Linotype"/>
          <w:i w:val="1"/>
          <w:color w:val="000000"/>
          <w:sz w:val="22"/>
          <w:szCs w:val="22"/>
          <w:u w:val="single"/>
          <w:rtl w:val="0"/>
        </w:rPr>
        <w:t xml:space="preserve">. </w:t>
      </w:r>
      <w:r w:rsidDel="00000000" w:rsidR="00000000" w:rsidRPr="00000000">
        <w:rPr>
          <w:rFonts w:ascii="Palatino Linotype" w:cs="Palatino Linotype" w:eastAsia="Palatino Linotype" w:hAnsi="Palatino Linotype"/>
          <w:i w:val="1"/>
          <w:color w:val="000000"/>
          <w:sz w:val="22"/>
          <w:szCs w:val="22"/>
          <w:rtl w:val="0"/>
        </w:rPr>
        <w:t xml:space="preserve">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rsidR="00000000" w:rsidDel="00000000" w:rsidP="00000000" w:rsidRDefault="00000000" w:rsidRPr="00000000" w14:paraId="00000017">
      <w:pPr>
        <w:spacing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ATENTAMENTE</w:t>
      </w:r>
    </w:p>
    <w:p w:rsidR="00000000" w:rsidDel="00000000" w:rsidP="00000000" w:rsidRDefault="00000000" w:rsidRPr="00000000" w14:paraId="00000018">
      <w:pPr>
        <w:spacing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Licenciado FERNANDO OSCAR ZAPATA NAVARRETE” (Sic)</w:t>
      </w:r>
    </w:p>
    <w:p w:rsidR="00000000" w:rsidDel="00000000" w:rsidP="00000000" w:rsidRDefault="00000000" w:rsidRPr="00000000" w14:paraId="00000019">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A">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Interposición del recurso de revisión. </w:t>
      </w:r>
      <w:r w:rsidDel="00000000" w:rsidR="00000000" w:rsidRPr="00000000">
        <w:rPr>
          <w:rFonts w:ascii="Palatino Linotype" w:cs="Palatino Linotype" w:eastAsia="Palatino Linotype" w:hAnsi="Palatino Linotype"/>
          <w:rtl w:val="0"/>
        </w:rPr>
        <w:t xml:space="preserve">Inconforme con la respuesta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interpuso recurso de revisión a través del SAIMEX el </w:t>
      </w:r>
      <w:r w:rsidDel="00000000" w:rsidR="00000000" w:rsidRPr="00000000">
        <w:rPr>
          <w:rFonts w:ascii="Palatino Linotype" w:cs="Palatino Linotype" w:eastAsia="Palatino Linotype" w:hAnsi="Palatino Linotype"/>
          <w:b w:val="1"/>
          <w:rtl w:val="0"/>
        </w:rPr>
        <w:t xml:space="preserve">veinte de abril de dos mil veintidós</w:t>
      </w:r>
      <w:r w:rsidDel="00000000" w:rsidR="00000000" w:rsidRPr="00000000">
        <w:rPr>
          <w:rFonts w:ascii="Palatino Linotype" w:cs="Palatino Linotype" w:eastAsia="Palatino Linotype" w:hAnsi="Palatino Linotype"/>
          <w:rtl w:val="0"/>
        </w:rPr>
        <w:t xml:space="preserve">, a través del cual expresó lo siguiente:</w:t>
      </w:r>
    </w:p>
    <w:p w:rsidR="00000000" w:rsidDel="00000000" w:rsidP="00000000" w:rsidRDefault="00000000" w:rsidRPr="00000000" w14:paraId="0000001B">
      <w:pPr>
        <w:spacing w:line="360" w:lineRule="auto"/>
        <w:ind w:firstLine="993"/>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1C">
      <w:pPr>
        <w:spacing w:after="240" w:lineRule="auto"/>
        <w:ind w:left="851" w:right="900" w:firstLine="992.0000000000002"/>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“La respuesta del sujeto obligado” (Sic)</w:t>
      </w:r>
    </w:p>
    <w:p w:rsidR="00000000" w:rsidDel="00000000" w:rsidP="00000000" w:rsidRDefault="00000000" w:rsidRPr="00000000" w14:paraId="0000001D">
      <w:pPr>
        <w:spacing w:line="360" w:lineRule="auto"/>
        <w:ind w:firstLine="993"/>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Motivos de inconformidad.</w:t>
      </w:r>
    </w:p>
    <w:p w:rsidR="00000000" w:rsidDel="00000000" w:rsidP="00000000" w:rsidRDefault="00000000" w:rsidRPr="00000000" w14:paraId="0000001E">
      <w:pPr>
        <w:spacing w:after="240" w:lineRule="auto"/>
        <w:ind w:left="851" w:right="900" w:firstLine="992.0000000000002"/>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“Me dicen que no tienen la información sin ningún sustento.” (Sic)</w:t>
      </w:r>
    </w:p>
    <w:p w:rsidR="00000000" w:rsidDel="00000000" w:rsidP="00000000" w:rsidRDefault="00000000" w:rsidRPr="00000000" w14:paraId="0000001F">
      <w:pP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rtl w:val="0"/>
        </w:rPr>
        <w:t xml:space="preserve">06204/INFOEM/IP/RR/2022, </w:t>
      </w:r>
      <w:r w:rsidDel="00000000" w:rsidR="00000000" w:rsidRPr="00000000">
        <w:rPr>
          <w:rFonts w:ascii="Palatino Linotype" w:cs="Palatino Linotype" w:eastAsia="Palatino Linotype" w:hAnsi="Palatino Linotype"/>
          <w:rtl w:val="0"/>
        </w:rPr>
        <w:t xml:space="preserve">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w:t>
      </w:r>
      <w:r w:rsidDel="00000000" w:rsidR="00000000" w:rsidRPr="00000000">
        <w:rPr>
          <w:rFonts w:ascii="Palatino Linotype" w:cs="Palatino Linotype" w:eastAsia="Palatino Linotype" w:hAnsi="Palatino Linotype"/>
          <w:rtl w:val="0"/>
        </w:rPr>
        <w:t xml:space="preserve">, para su análisis, estudio, elaboración del proyecto y presentación ante el Pleno de este Instituto.</w:t>
      </w:r>
    </w:p>
    <w:p w:rsidR="00000000" w:rsidDel="00000000" w:rsidP="00000000" w:rsidRDefault="00000000" w:rsidRPr="00000000" w14:paraId="0000002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1">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Admisión del recurso de revisión: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veinticinco de abril de dos mil veintidós,</w:t>
      </w:r>
      <w:r w:rsidDel="00000000" w:rsidR="00000000" w:rsidRPr="00000000">
        <w:rPr>
          <w:rFonts w:ascii="Palatino Linotype" w:cs="Palatino Linotype" w:eastAsia="Palatino Linotype" w:hAnsi="Palatino Linotype"/>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presentara su informe justificado. </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tabs>
          <w:tab w:val="left" w:pos="709"/>
        </w:tabs>
        <w:spacing w:after="240" w:before="120" w:line="360" w:lineRule="auto"/>
        <w:jc w:val="both"/>
        <w:rPr>
          <w:rFonts w:ascii="Palatino Linotype" w:cs="Palatino Linotype" w:eastAsia="Palatino Linotype" w:hAnsi="Palatino Linotype"/>
          <w:color w:val="000000"/>
        </w:rPr>
      </w:pPr>
      <w:bookmarkStart w:colFirst="0" w:colLast="0" w:name="_heading=h.gjdgxs" w:id="0"/>
      <w:bookmarkEnd w:id="0"/>
      <w:r w:rsidDel="00000000" w:rsidR="00000000" w:rsidRPr="00000000">
        <w:rPr>
          <w:rFonts w:ascii="Palatino Linotype" w:cs="Palatino Linotype" w:eastAsia="Palatino Linotype" w:hAnsi="Palatino Linotype"/>
          <w:b w:val="1"/>
          <w:color w:val="000000"/>
          <w:rtl w:val="0"/>
        </w:rPr>
        <w:t xml:space="preserve">9. Manifestaciones</w:t>
      </w:r>
      <w:r w:rsidDel="00000000" w:rsidR="00000000" w:rsidRPr="00000000">
        <w:rPr>
          <w:rFonts w:ascii="Palatino Linotype" w:cs="Palatino Linotype" w:eastAsia="Palatino Linotype" w:hAnsi="Palatino Linotype"/>
          <w:color w:val="000000"/>
          <w:rtl w:val="0"/>
        </w:rPr>
        <w:t xml:space="preserve">: De las constancias que integran el expediente en que se actúa se advierte que tanto la parte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como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color w:val="000000"/>
          <w:rtl w:val="0"/>
        </w:rPr>
        <w:t xml:space="preserve"> fueron omisos en presentar sus alegatos, y en su caso el informe justificado.</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tabs>
          <w:tab w:val="left" w:pos="709"/>
        </w:tabs>
        <w:spacing w:after="240" w:before="120" w:line="360" w:lineRule="auto"/>
        <w:jc w:val="both"/>
        <w:rPr>
          <w:rFonts w:ascii="Palatino Linotype" w:cs="Palatino Linotype" w:eastAsia="Palatino Linotype" w:hAnsi="Palatino Linotype"/>
          <w:color w:val="000000"/>
        </w:rPr>
      </w:pPr>
      <w:r w:rsidDel="00000000" w:rsidR="00000000" w:rsidRPr="00000000">
        <w:rPr/>
        <w:drawing>
          <wp:inline distB="0" distT="0" distL="0" distR="0">
            <wp:extent cx="5712611" cy="1551573"/>
            <wp:effectExtent b="0" l="0" r="0" t="0"/>
            <wp:docPr id="83" name="image4.png"/>
            <a:graphic>
              <a:graphicData uri="http://schemas.openxmlformats.org/drawingml/2006/picture">
                <pic:pic>
                  <pic:nvPicPr>
                    <pic:cNvPr id="0" name="image4.png"/>
                    <pic:cNvPicPr preferRelativeResize="0"/>
                  </pic:nvPicPr>
                  <pic:blipFill>
                    <a:blip r:embed="rId8"/>
                    <a:srcRect b="55039" l="5940" r="52817" t="25045"/>
                    <a:stretch>
                      <a:fillRect/>
                    </a:stretch>
                  </pic:blipFill>
                  <pic:spPr>
                    <a:xfrm>
                      <a:off x="0" y="0"/>
                      <a:ext cx="5712611" cy="1551573"/>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10.- Cierre de instrucción.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catorce de junio del año dos mil veintidós</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11.-Ampliación del plazo.</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siete de julio del año dos mil veintidós</w:t>
      </w:r>
      <w:r w:rsidDel="00000000" w:rsidR="00000000" w:rsidRPr="00000000">
        <w:rPr>
          <w:rFonts w:ascii="Palatino Linotype" w:cs="Palatino Linotype" w:eastAsia="Palatino Linotype" w:hAnsi="Palatino Linotype"/>
          <w:rtl w:val="0"/>
        </w:rPr>
        <w:t xml:space="preserve">, 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26">
      <w:pPr>
        <w:spacing w:line="360" w:lineRule="auto"/>
        <w:jc w:val="both"/>
        <w:rPr>
          <w:rFonts w:ascii="Palatino Linotype" w:cs="Palatino Linotype" w:eastAsia="Palatino Linotype" w:hAnsi="Palatino Linotype"/>
        </w:rPr>
      </w:pPr>
      <w:bookmarkStart w:colFirst="0" w:colLast="0" w:name="_heading=h.2et92p0" w:id="1"/>
      <w:bookmarkEnd w:id="1"/>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2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E">
      <w:pPr>
        <w:spacing w:line="360" w:lineRule="auto"/>
        <w:jc w:val="both"/>
        <w:rPr>
          <w:rFonts w:ascii="Palatino Linotype" w:cs="Palatino Linotype" w:eastAsia="Palatino Linotype" w:hAnsi="Palatino Linotype"/>
          <w:strike w:val="1"/>
          <w:color w:val="ff0000"/>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2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0">
      <w:pPr>
        <w:numPr>
          <w:ilvl w:val="0"/>
          <w:numId w:val="8"/>
        </w:numPr>
        <w:spacing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31">
      <w:pPr>
        <w:spacing w:line="360" w:lineRule="auto"/>
        <w:ind w:left="92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2">
      <w:pPr>
        <w:numPr>
          <w:ilvl w:val="0"/>
          <w:numId w:val="8"/>
        </w:numPr>
        <w:spacing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3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4">
      <w:pPr>
        <w:numPr>
          <w:ilvl w:val="0"/>
          <w:numId w:val="8"/>
        </w:numPr>
        <w:spacing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35">
      <w:pPr>
        <w:spacing w:line="360" w:lineRule="auto"/>
        <w:ind w:left="708"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6">
      <w:pPr>
        <w:spacing w:line="360" w:lineRule="auto"/>
        <w:ind w:left="993" w:hanging="426"/>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La afectación generada en la situación jurídica de la persona involucrada en el proceso: Violación a sus derechos humanos.</w:t>
      </w:r>
    </w:p>
    <w:p w:rsidR="00000000" w:rsidDel="00000000" w:rsidP="00000000" w:rsidRDefault="00000000" w:rsidRPr="00000000" w14:paraId="0000003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A">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3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41">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4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7">
      <w:pPr>
        <w:numPr>
          <w:ilvl w:val="0"/>
          <w:numId w:val="7"/>
        </w:numPr>
        <w:pBdr>
          <w:top w:space="0" w:sz="0" w:val="nil"/>
          <w:left w:space="0" w:sz="0" w:val="nil"/>
          <w:bottom w:space="0" w:sz="0" w:val="nil"/>
          <w:right w:space="0" w:sz="0" w:val="nil"/>
          <w:between w:space="0" w:sz="0" w:val="nil"/>
        </w:pBdr>
        <w:spacing w:after="240" w:before="240" w:line="360" w:lineRule="auto"/>
        <w:ind w:left="720" w:hanging="720"/>
        <w:jc w:val="center"/>
        <w:rPr>
          <w:rFonts w:ascii="Palatino Linotype" w:cs="Palatino Linotype" w:eastAsia="Palatino Linotype" w:hAnsi="Palatino Linotype"/>
          <w:b w:val="1"/>
          <w:color w:val="000000"/>
          <w:sz w:val="22"/>
          <w:szCs w:val="22"/>
        </w:rPr>
      </w:pPr>
      <w:bookmarkStart w:colFirst="0" w:colLast="0" w:name="_heading=h.30j0zll" w:id="2"/>
      <w:bookmarkEnd w:id="2"/>
      <w:r w:rsidDel="00000000" w:rsidR="00000000" w:rsidRPr="00000000">
        <w:rPr>
          <w:rFonts w:ascii="Palatino Linotype" w:cs="Palatino Linotype" w:eastAsia="Palatino Linotype" w:hAnsi="Palatino Linotype"/>
          <w:b w:val="1"/>
          <w:color w:val="000000"/>
          <w:sz w:val="22"/>
          <w:szCs w:val="22"/>
          <w:rtl w:val="0"/>
        </w:rPr>
        <w:t xml:space="preserve">C O N S I D E R A N D O S</w:t>
      </w:r>
    </w:p>
    <w:p w:rsidR="00000000" w:rsidDel="00000000" w:rsidP="00000000" w:rsidRDefault="00000000" w:rsidRPr="00000000" w14:paraId="00000048">
      <w:pPr>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highlight w:val="white"/>
          <w:rtl w:val="0"/>
        </w:rPr>
        <w:t xml:space="preserve">El Instituto de Transparencia, Acceso a la Información Pública y Protección de Datos Personales del Estado de México y Municipios, es competente para conocer y resolver el presente recurso de revisión interpuesto por la parte </w:t>
      </w:r>
      <w:r w:rsidDel="00000000" w:rsidR="00000000" w:rsidRPr="00000000">
        <w:rPr>
          <w:rFonts w:ascii="Palatino Linotype" w:cs="Palatino Linotype" w:eastAsia="Palatino Linotype" w:hAnsi="Palatino Linotype"/>
          <w:b w:val="1"/>
          <w:highlight w:val="white"/>
          <w:rtl w:val="0"/>
        </w:rPr>
        <w:t xml:space="preserve">RECURRENTE</w:t>
      </w:r>
      <w:r w:rsidDel="00000000" w:rsidR="00000000" w:rsidRPr="00000000">
        <w:rPr>
          <w:rFonts w:ascii="Palatino Linotype" w:cs="Palatino Linotype" w:eastAsia="Palatino Linotype" w:hAnsi="Palatino Linotype"/>
          <w:highlight w:val="white"/>
          <w:rtl w:val="0"/>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sidDel="00000000" w:rsidR="00000000" w:rsidRPr="00000000">
        <w:rPr>
          <w:rFonts w:ascii="Palatino Linotype" w:cs="Palatino Linotype" w:eastAsia="Palatino Linotype" w:hAnsi="Palatino Linotype"/>
          <w:rtl w:val="0"/>
        </w:rPr>
        <w:t xml:space="preserve">9, fracciones I y XXIV y 11 </w:t>
      </w:r>
      <w:r w:rsidDel="00000000" w:rsidR="00000000" w:rsidRPr="00000000">
        <w:rPr>
          <w:rFonts w:ascii="Palatino Linotype" w:cs="Palatino Linotype" w:eastAsia="Palatino Linotype" w:hAnsi="Palatino Linotype"/>
          <w:highlight w:val="white"/>
          <w:rtl w:val="0"/>
        </w:rPr>
        <w:t xml:space="preserve">del Reglamento Interior del Instituto de Transparencia, Acceso a la Información Pública y Protección de Datos Personales del Estado de México y Municipios.</w:t>
      </w:r>
    </w:p>
    <w:p w:rsidR="00000000" w:rsidDel="00000000" w:rsidP="00000000" w:rsidRDefault="00000000" w:rsidRPr="00000000" w14:paraId="0000004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4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proporcionó su respuesta a la solicitud de información </w:t>
      </w:r>
      <w:r w:rsidDel="00000000" w:rsidR="00000000" w:rsidRPr="00000000">
        <w:rPr>
          <w:rFonts w:ascii="Palatino Linotype" w:cs="Palatino Linotype" w:eastAsia="Palatino Linotype" w:hAnsi="Palatino Linotype"/>
          <w:b w:val="1"/>
          <w:rtl w:val="0"/>
        </w:rPr>
        <w:t xml:space="preserve">el dieciocho de abril del dos mil veintidós</w:t>
      </w:r>
      <w:r w:rsidDel="00000000" w:rsidR="00000000" w:rsidRPr="00000000">
        <w:rPr>
          <w:rFonts w:ascii="Palatino Linotype" w:cs="Palatino Linotype" w:eastAsia="Palatino Linotype" w:hAnsi="Palatino Linotype"/>
          <w:rtl w:val="0"/>
        </w:rPr>
        <w:t xml:space="preserve">, y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presentó el recurso de revisión el </w:t>
      </w:r>
      <w:r w:rsidDel="00000000" w:rsidR="00000000" w:rsidRPr="00000000">
        <w:rPr>
          <w:rFonts w:ascii="Palatino Linotype" w:cs="Palatino Linotype" w:eastAsia="Palatino Linotype" w:hAnsi="Palatino Linotype"/>
          <w:b w:val="1"/>
          <w:rtl w:val="0"/>
        </w:rPr>
        <w:t xml:space="preserve">veinte de abril del mismo año</w:t>
      </w:r>
      <w:r w:rsidDel="00000000" w:rsidR="00000000" w:rsidRPr="00000000">
        <w:rPr>
          <w:rFonts w:ascii="Palatino Linotype" w:cs="Palatino Linotype" w:eastAsia="Palatino Linotype" w:hAnsi="Palatino Linotype"/>
          <w:rtl w:val="0"/>
        </w:rPr>
        <w:t xml:space="preserve">, esto es al segundo día hábil siguiente de aquel en que tuvo conocimiento de la respuesta, evidenciándose que la interposición del recurso se encuentra dentro de los márgenes temporales previstos en el citado precepto legal.</w:t>
      </w:r>
    </w:p>
    <w:p w:rsidR="00000000" w:rsidDel="00000000" w:rsidP="00000000" w:rsidRDefault="00000000" w:rsidRPr="00000000" w14:paraId="0000004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la procedibilidad del recurso de revisión, es de suma importancia señalar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4C">
      <w:pPr>
        <w:spacing w:after="240" w:before="24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solicitante."(Sic)</w:t>
      </w:r>
    </w:p>
    <w:p w:rsidR="00000000" w:rsidDel="00000000" w:rsidP="00000000" w:rsidRDefault="00000000" w:rsidRPr="00000000" w14:paraId="0000004D">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000000" w:rsidDel="00000000" w:rsidP="00000000" w:rsidRDefault="00000000" w:rsidRPr="00000000" w14:paraId="0000004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resulta procedente la interposición del recurso de revisión al rubro anotado, toda vez que se actualiza las hipótesis previstas en el artículo 179, fracción XIII de la ley de la materia, que a la letra dice:</w:t>
      </w:r>
    </w:p>
    <w:p w:rsidR="00000000" w:rsidDel="00000000" w:rsidP="00000000" w:rsidRDefault="00000000" w:rsidRPr="00000000" w14:paraId="0000004F">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w:t>
      </w:r>
      <w:r w:rsidDel="00000000" w:rsidR="00000000" w:rsidRPr="00000000">
        <w:rPr>
          <w:rFonts w:ascii="Palatino Linotype" w:cs="Palatino Linotype" w:eastAsia="Palatino Linotype" w:hAnsi="Palatino Linotype"/>
          <w:i w:val="1"/>
          <w:rtl w:val="0"/>
        </w:rPr>
        <w:t xml:space="preserve">causas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0">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1">
      <w:pPr>
        <w:ind w:left="1276" w:right="175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XIII. La falta, deficiencia o insuficiencia de la fundamentación y/o motivación en la respuesta;…” (Sic)</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3">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Revisión</w:t>
      </w:r>
      <w:r w:rsidDel="00000000" w:rsidR="00000000" w:rsidRPr="00000000">
        <w:rPr>
          <w:rFonts w:ascii="Palatino Linotype" w:cs="Palatino Linotype" w:eastAsia="Palatino Linotype" w:hAnsi="Palatino Linotype"/>
          <w:rtl w:val="0"/>
        </w:rPr>
        <w:t xml:space="preserve">: De las constancias que integran el expediente electrónico se advierte que el tema sobre el que este Instituto se pronunciará será: </w:t>
      </w:r>
      <w:r w:rsidDel="00000000" w:rsidR="00000000" w:rsidRPr="00000000">
        <w:rPr>
          <w:rFonts w:ascii="Palatino Linotype" w:cs="Palatino Linotype" w:eastAsia="Palatino Linotype" w:hAnsi="Palatino Linotype"/>
          <w:b w:val="1"/>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 oportuna. </w:t>
      </w:r>
    </w:p>
    <w:p w:rsidR="00000000" w:rsidDel="00000000" w:rsidP="00000000" w:rsidRDefault="00000000" w:rsidRPr="00000000" w14:paraId="00000054">
      <w:pPr>
        <w:spacing w:after="280" w:before="280" w:line="360" w:lineRule="auto"/>
        <w:jc w:val="both"/>
        <w:rPr>
          <w:rFonts w:ascii="Palatino Linotype" w:cs="Palatino Linotype" w:eastAsia="Palatino Linotype" w:hAnsi="Palatino Linotype"/>
          <w:b w:val="1"/>
          <w:color w:val="000000"/>
          <w:sz w:val="28"/>
          <w:szCs w:val="28"/>
        </w:rPr>
      </w:pPr>
      <w:r w:rsidDel="00000000" w:rsidR="00000000" w:rsidRPr="00000000">
        <w:rPr>
          <w:rFonts w:ascii="Palatino Linotype" w:cs="Palatino Linotype" w:eastAsia="Palatino Linotype" w:hAnsi="Palatino Linotype"/>
          <w:b w:val="1"/>
          <w:rtl w:val="0"/>
        </w:rPr>
        <w:t xml:space="preserve">Cuarto. Estudio de fondo del asunto.  </w:t>
      </w:r>
      <w:r w:rsidDel="00000000" w:rsidR="00000000" w:rsidRPr="00000000">
        <w:rPr>
          <w:rFonts w:ascii="Palatino Linotype" w:cs="Palatino Linotype" w:eastAsia="Palatino Linotype" w:hAnsi="Palatino Linotype"/>
          <w:rtl w:val="0"/>
        </w:rPr>
        <w:t xml:space="preserve">Antes de entrar al análisis de los pronunciamientos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r w:rsidDel="00000000" w:rsidR="00000000" w:rsidRPr="00000000">
        <w:rPr>
          <w:rtl w:val="0"/>
        </w:rPr>
      </w:r>
    </w:p>
    <w:p w:rsidR="00000000" w:rsidDel="00000000" w:rsidP="00000000" w:rsidRDefault="00000000" w:rsidRPr="00000000" w14:paraId="00000055">
      <w:pPr>
        <w:tabs>
          <w:tab w:val="left" w:pos="709"/>
        </w:tabs>
        <w:spacing w:after="240" w:before="240" w:line="276" w:lineRule="auto"/>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56">
      <w:pPr>
        <w:tabs>
          <w:tab w:val="left" w:pos="709"/>
        </w:tabs>
        <w:spacing w:after="240" w:before="240" w:line="276" w:lineRule="auto"/>
        <w:ind w:left="851" w:right="85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57">
      <w:pPr>
        <w:tabs>
          <w:tab w:val="left" w:pos="709"/>
        </w:tabs>
        <w:spacing w:after="240" w:before="240" w:line="276" w:lineRule="auto"/>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58">
      <w:pPr>
        <w:tabs>
          <w:tab w:val="left" w:pos="709"/>
        </w:tabs>
        <w:spacing w:after="240" w:before="240" w:line="276" w:lineRule="auto"/>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9">
      <w:pPr>
        <w:spacing w:after="240" w:before="240" w:line="276" w:lineRule="auto"/>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5A">
      <w:pPr>
        <w:spacing w:after="240" w:before="240" w:line="276" w:lineRule="auto"/>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B">
      <w:pPr>
        <w:spacing w:after="240" w:before="24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05C">
      <w:pPr>
        <w:spacing w:after="240" w:before="24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u w:val="single"/>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5D">
      <w:pPr>
        <w:spacing w:after="240" w:before="240" w:line="276" w:lineRule="auto"/>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5E">
      <w:pPr>
        <w:spacing w:after="240" w:before="24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5F">
      <w:pPr>
        <w:spacing w:after="240" w:before="24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60">
      <w:pPr>
        <w:spacing w:after="240" w:before="24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61">
      <w:pPr>
        <w:spacing w:after="240" w:before="24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62">
      <w:pPr>
        <w:spacing w:after="240" w:before="240" w:line="276"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6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64">
      <w:pPr>
        <w:spacing w:after="240" w:before="240" w:line="276"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65">
      <w:pPr>
        <w:spacing w:after="240" w:before="240" w:line="276" w:lineRule="auto"/>
        <w:ind w:left="709" w:right="76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66">
      <w:pPr>
        <w:spacing w:after="240" w:before="240" w:line="276"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solicitantes.”(Sic)</w:t>
      </w:r>
    </w:p>
    <w:p w:rsidR="00000000" w:rsidDel="00000000" w:rsidP="00000000" w:rsidRDefault="00000000" w:rsidRPr="00000000" w14:paraId="0000006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0000" w:rsidDel="00000000" w:rsidP="00000000" w:rsidRDefault="00000000" w:rsidRPr="00000000" w14:paraId="00000068">
      <w:pPr>
        <w:spacing w:after="240" w:before="240" w:line="276" w:lineRule="auto"/>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69">
      <w:pPr>
        <w:spacing w:after="240" w:before="240" w:line="276" w:lineRule="auto"/>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000000" w:rsidDel="00000000" w:rsidP="00000000" w:rsidRDefault="00000000" w:rsidRPr="00000000" w14:paraId="0000006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Es decir, que el derecho de acceso a la información pública se satisface en aquellos casos en que se entregue documento en que conste la información requerida, toda vez que, los Sujetos Obligados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no tienen el deber de generar, poseer o administrar la información pública con el grado de detalle solicitado; esto es, que no tienen el deber de generar un documento </w:t>
      </w:r>
      <w:r w:rsidDel="00000000" w:rsidR="00000000" w:rsidRPr="00000000">
        <w:rPr>
          <w:rFonts w:ascii="Palatino Linotype" w:cs="Palatino Linotype" w:eastAsia="Palatino Linotype" w:hAnsi="Palatino Linotype"/>
          <w:i w:val="1"/>
          <w:rtl w:val="0"/>
        </w:rPr>
        <w:t xml:space="preserve">ad hoc</w:t>
      </w:r>
      <w:r w:rsidDel="00000000" w:rsidR="00000000" w:rsidRPr="00000000">
        <w:rPr>
          <w:rFonts w:ascii="Palatino Linotype" w:cs="Palatino Linotype" w:eastAsia="Palatino Linotype" w:hAnsi="Palatino Linotype"/>
          <w:rtl w:val="0"/>
        </w:rPr>
        <w:t xml:space="preserve">, para satisfacer el derecho de acceso a la información pública, como así lo establece</w:t>
      </w:r>
      <w:r w:rsidDel="00000000" w:rsidR="00000000" w:rsidRPr="00000000">
        <w:rPr>
          <w:rFonts w:ascii="Palatino Linotype" w:cs="Palatino Linotype" w:eastAsia="Palatino Linotype" w:hAnsi="Palatino Linotype"/>
          <w:strike w:val="1"/>
          <w:color w:val="ff0000"/>
          <w:rtl w:val="0"/>
        </w:rPr>
        <w:t xml:space="preserve"> </w:t>
      </w:r>
      <w:r w:rsidDel="00000000" w:rsidR="00000000" w:rsidRPr="00000000">
        <w:rPr>
          <w:rFonts w:ascii="Palatino Linotype" w:cs="Palatino Linotype" w:eastAsia="Palatino Linotype" w:hAnsi="Palatino Linotype"/>
          <w:rtl w:val="0"/>
        </w:rPr>
        <w:t xml:space="preserve">el criterio 03/17 emitido por el Instituto Nacional de Transparencia, Acceso a la Información Pública y Protección de Datos Perso</w:t>
      </w:r>
      <w:r w:rsidDel="00000000" w:rsidR="00000000" w:rsidRPr="00000000">
        <w:rPr>
          <w:rFonts w:ascii="Palatino Linotype" w:cs="Palatino Linotype" w:eastAsia="Palatino Linotype" w:hAnsi="Palatino Linotype"/>
          <w:sz w:val="22"/>
          <w:szCs w:val="22"/>
          <w:rtl w:val="0"/>
        </w:rPr>
        <w:t xml:space="preserve">nales, los cuales señalan lo siguiente:</w:t>
      </w:r>
    </w:p>
    <w:p w:rsidR="00000000" w:rsidDel="00000000" w:rsidP="00000000" w:rsidRDefault="00000000" w:rsidRPr="00000000" w14:paraId="0000006B">
      <w:pPr>
        <w:spacing w:after="240" w:before="240" w:line="276" w:lineRule="auto"/>
        <w:ind w:left="567"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03/17</w:t>
      </w:r>
    </w:p>
    <w:p w:rsidR="00000000" w:rsidDel="00000000" w:rsidP="00000000" w:rsidRDefault="00000000" w:rsidRPr="00000000" w14:paraId="0000006C">
      <w:pPr>
        <w:spacing w:after="240" w:before="240" w:line="276" w:lineRule="auto"/>
        <w:ind w:left="567"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p>
    <w:p w:rsidR="00000000" w:rsidDel="00000000" w:rsidP="00000000" w:rsidRDefault="00000000" w:rsidRPr="00000000" w14:paraId="0000006D">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000000" w:rsidDel="00000000" w:rsidP="00000000" w:rsidRDefault="00000000" w:rsidRPr="00000000" w14:paraId="0000006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6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7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71">
      <w:pPr>
        <w:spacing w:after="240" w:before="240"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72">
      <w:pPr>
        <w:spacing w:after="240" w:before="240"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3">
      <w:pPr>
        <w:spacing w:after="240" w:before="240"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 Documento electrónico:</w:t>
      </w:r>
      <w:r w:rsidDel="00000000" w:rsidR="00000000" w:rsidRPr="00000000">
        <w:rPr>
          <w:rFonts w:ascii="Palatino Linotype" w:cs="Palatino Linotype" w:eastAsia="Palatino Linotype" w:hAnsi="Palatino Linotype"/>
          <w:i w:val="1"/>
          <w:sz w:val="22"/>
          <w:szCs w:val="22"/>
          <w:rtl w:val="0"/>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electrónico…(Sic)</w:t>
      </w:r>
    </w:p>
    <w:p w:rsidR="00000000" w:rsidDel="00000000" w:rsidP="00000000" w:rsidRDefault="00000000" w:rsidRPr="00000000" w14:paraId="0000007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75">
      <w:pPr>
        <w:spacing w:after="240" w:before="240" w:line="276" w:lineRule="auto"/>
        <w:ind w:left="567"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76">
      <w:pPr>
        <w:spacing w:after="240" w:before="240" w:line="276" w:lineRule="auto"/>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77">
      <w:pPr>
        <w:spacing w:after="240" w:before="240" w:line="276" w:lineRule="auto"/>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78">
      <w:pPr>
        <w:numPr>
          <w:ilvl w:val="0"/>
          <w:numId w:val="1"/>
        </w:numPr>
        <w:spacing w:after="240" w:before="240" w:line="276" w:lineRule="auto"/>
        <w:ind w:left="567" w:right="899"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79">
      <w:pPr>
        <w:numPr>
          <w:ilvl w:val="0"/>
          <w:numId w:val="1"/>
        </w:numPr>
        <w:spacing w:after="240" w:before="240" w:line="276" w:lineRule="auto"/>
        <w:ind w:left="567" w:right="899"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7A">
      <w:pPr>
        <w:spacing w:after="240" w:before="240" w:line="276" w:lineRule="auto"/>
        <w:ind w:left="567" w:right="899" w:hanging="284"/>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 (Sic)</w:t>
      </w:r>
    </w:p>
    <w:p w:rsidR="00000000" w:rsidDel="00000000" w:rsidP="00000000" w:rsidRDefault="00000000" w:rsidRPr="00000000" w14:paraId="0000007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w:t>
      </w:r>
      <w:r w:rsidDel="00000000" w:rsidR="00000000" w:rsidRPr="00000000">
        <w:rPr>
          <w:rFonts w:ascii="Palatino Linotype" w:cs="Palatino Linotype" w:eastAsia="Palatino Linotype" w:hAnsi="Palatino Linotype"/>
          <w:b w:val="1"/>
          <w:rtl w:val="0"/>
        </w:rPr>
        <w:t xml:space="preserve">EL</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7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la solicitud de información motivo del Recurso de Revisión que ahora se resuelve, se advierte que la parte solicitante requirió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i w:val="1"/>
          <w:rtl w:val="0"/>
        </w:rPr>
        <w:t xml:space="preserve">copia en pdf del acta de nacimiento de: Ortiz Piña Hugo Orlando Sandoval Perez Diana Mireya Velasco Reyes Dulce Maria Carballido Barba Margarita Cedeño Dominguez Filiberto Reyna Valdez Gloria Alicia Aparicio Samano Nayeli Dayanne Gonzalez Mociño Ana Patricia Barraza Olmeda Lineth Zuñiga Becerril Margarita Berenice Diaz Mancilla Luis Alberto Carmona Gonzalez Araceli Leon Arias Beatriz Lopez Rivera Carole Suarez Juarez Nery Adrian Rios Esparza Omar Hazan Escudero Martinez Jose Antonio Garcia Valdez Jesus Omar Perez Hernandez Arturo Sandoval Valdes Miguel Angel Avila de Luna Nancy Karina Mancera Corona Sara Camacho Seamanduras Erik Alfonso Zapata Navarrete Fernando Oscar Diaz Montellano Flor del Consuelo Ramos Luna Guillermo Arzate Colin Eduardo Vilchis Cortes Veronica Patricia Islas Lucio Gloria Isaura Carrasco Chavez Itdania Quijada Badillo Maria Elisa Arzate Contreras Oscar</w:t>
      </w:r>
      <w:r w:rsidDel="00000000" w:rsidR="00000000" w:rsidRPr="00000000">
        <w:rPr>
          <w:rFonts w:ascii="Palatino Linotype" w:cs="Palatino Linotype" w:eastAsia="Palatino Linotype" w:hAnsi="Palatino Linotype"/>
          <w:rtl w:val="0"/>
        </w:rPr>
        <w:t xml:space="preserve">” (Sic)</w:t>
      </w:r>
    </w:p>
    <w:p w:rsidR="00000000" w:rsidDel="00000000" w:rsidP="00000000" w:rsidRDefault="00000000" w:rsidRPr="00000000" w14:paraId="0000007D">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emitió respuesta a través del Titular de la Unidad de Transparencia, donde refiere que: “… </w:t>
      </w:r>
      <w:r w:rsidDel="00000000" w:rsidR="00000000" w:rsidRPr="00000000">
        <w:rPr>
          <w:rFonts w:ascii="Palatino Linotype" w:cs="Palatino Linotype" w:eastAsia="Palatino Linotype" w:hAnsi="Palatino Linotype"/>
          <w:b w:val="1"/>
          <w:i w:val="1"/>
          <w:rtl w:val="0"/>
        </w:rPr>
        <w:t xml:space="preserve">después de realizar una búsqueda exhaustiva en nuestros archivos, no encontramos la información solicitada, ya que no contamos con los documentos solicitados de los servidores publicos solicitados.”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(Sic)</w:t>
      </w:r>
    </w:p>
    <w:p w:rsidR="00000000" w:rsidDel="00000000" w:rsidP="00000000" w:rsidRDefault="00000000" w:rsidRPr="00000000" w14:paraId="0000007E">
      <w:pPr>
        <w:spacing w:after="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Es así que derivado de 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inconformó porque: </w:t>
      </w: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dicen que no tienen la información sin ningún sustento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(Sic).</w:t>
      </w:r>
      <w:r w:rsidDel="00000000" w:rsidR="00000000" w:rsidRPr="00000000">
        <w:rPr>
          <w:rtl w:val="0"/>
        </w:rPr>
      </w:r>
    </w:p>
    <w:p w:rsidR="00000000" w:rsidDel="00000000" w:rsidP="00000000" w:rsidRDefault="00000000" w:rsidRPr="00000000" w14:paraId="0000007F">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las cosas, durante la etapa de manifestaciones,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no rindió su informe justificado y por cuanto hace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tiene que no emitió alegatos, manifestaciones o pronunciamiento alguno que a su derecho conviniera, luego entonces, se tiene por precluido su derecho para tal efecto.</w:t>
      </w:r>
    </w:p>
    <w:p w:rsidR="00000000" w:rsidDel="00000000" w:rsidP="00000000" w:rsidRDefault="00000000" w:rsidRPr="00000000" w14:paraId="00000080">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importante señalar que de la respuesta proporcionada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confirma que los documentos solicitados pertenecen a servidores públicos adscritos al mismo, a manera de ejemplo, este Organismo Garante, realizó una consulta al Sistema de Información Pública de Oficio Mexiquense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el link siguiente:  </w:t>
      </w:r>
      <w:hyperlink r:id="rId9">
        <w:r w:rsidDel="00000000" w:rsidR="00000000" w:rsidRPr="00000000">
          <w:rPr>
            <w:rFonts w:ascii="Palatino Linotype" w:cs="Palatino Linotype" w:eastAsia="Palatino Linotype" w:hAnsi="Palatino Linotype"/>
            <w:color w:val="0563c1"/>
            <w:u w:val="single"/>
            <w:rtl w:val="0"/>
          </w:rPr>
          <w:t xml:space="preserve">https://ipomex.org.mx/ipo3/lgt/indice/DIFMETEPEC/art_92_vii/4.web?token=03ANYolqvgiZ3GG3mYnLg4w2fUA3qbmr-fVRUCuM_2-7mzQizhuykYqzVkdFqyTWaRjIsu2LYRLBUaAPwAlmFHGbGxe_5LkiV3YEgpRShpcm3dIe6ZQqWAIzei4X4zZCrgNVNmu9rFDgrdUT3umFR30NLmbMgcZXH49T28oiu0hYu8JRo6hI6aNIQxl7GzqADZS2ATkLdMH9LLklaEwxk0huF__G0FlGIguq_SglOe3ddz-GhpssS0iFt8NgnGSnXQOq6zrQra3mfBnQCR3TNsHhRHUlEY6sqUs54OYzq4_84NbsLSv6ziuqqHsFBgbsDNtUOWE4n9oXzKReM_XabaQZtktYLX62JpOV18qELTUoiqS9_6NU8loFSOmN8UV_EMN_kBXlfxyH-Elzo6b56SgoEDUy0O8L5jsqu0OSZVyjTNouCjInJoY6roo-2dfYxeE04sI3n3DEnKp5VPMEJvvo9oLsP7PT5H-vKro9t24Ujt7gVsnsOwYEaJSTf3-jsjjdEvflxq2Dn93aUa4lJ3717bKLbmclx1L-k0cttaQj7DwQTkdeYmMN4</w:t>
        </w:r>
      </w:hyperlink>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81">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Documento que se muestra a continuación:</w:t>
      </w:r>
    </w:p>
    <w:p w:rsidR="00000000" w:rsidDel="00000000" w:rsidP="00000000" w:rsidRDefault="00000000" w:rsidRPr="00000000" w14:paraId="00000082">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38071" cy="2905424"/>
            <wp:effectExtent b="0" l="0" r="0" t="0"/>
            <wp:docPr id="8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638071" cy="2905424"/>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3060700"/>
            <wp:effectExtent b="0" l="0" r="0" t="0"/>
            <wp:docPr id="8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61213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Comprobando que efectivamente se trata de servidores públicos adscritos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tl w:val="0"/>
        </w:rPr>
      </w:r>
    </w:p>
    <w:p w:rsidR="00000000" w:rsidDel="00000000" w:rsidP="00000000" w:rsidRDefault="00000000" w:rsidRPr="00000000" w14:paraId="00000085">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 las constancias que integran el expediente electrónico  relacionado con el recurso de revisión materia de estudio, se advierte que la solicitud únicamente fue atendida por la Unidad de Transparencia, en virtud de que no se identifican los turnos a las áreas de que de acuerdo con sus competencias, facultades o atribuciones, pudieran contar con la información requerida, es decir, la Unidad de Transparencia no observó el procedimiento que la normatividad señala para la atención de las solicitudes, vulnerando el Derecho de acceso accionado por la persona solicitante.</w:t>
      </w:r>
    </w:p>
    <w:p w:rsidR="00000000" w:rsidDel="00000000" w:rsidP="00000000" w:rsidRDefault="00000000" w:rsidRPr="00000000" w14:paraId="00000086">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tesitura, se considera importante mencionar que las Unidades de Transparencia deberán garantizar que las solicitudes se turnen a todas las áreas que cuenten con la información o que deban tenerla de acuerdo a sus facultades, competencias o funciones.</w:t>
      </w:r>
    </w:p>
    <w:p w:rsidR="00000000" w:rsidDel="00000000" w:rsidP="00000000" w:rsidRDefault="00000000" w:rsidRPr="00000000" w14:paraId="00000087">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la Unidad de Transparencia la responsable de hacer las notificaciones correspondientes, además de llevar a cabo todas las gestiones necesarias para facilitar el acceso a la información; conforme a lo establecido en los artículos 162, 163, 164 y 165 de la Ley de Transparencia y Acceso a la Información Pública del Estado de México y Municipios, que rezan así:</w:t>
      </w:r>
    </w:p>
    <w:p w:rsidR="00000000" w:rsidDel="00000000" w:rsidP="00000000" w:rsidRDefault="00000000" w:rsidRPr="00000000" w14:paraId="00000088">
      <w:pPr>
        <w:spacing w:after="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162.</w:t>
      </w:r>
      <w:r w:rsidDel="00000000" w:rsidR="00000000" w:rsidRPr="00000000">
        <w:rPr>
          <w:rFonts w:ascii="Palatino Linotype" w:cs="Palatino Linotype" w:eastAsia="Palatino Linotype" w:hAnsi="Palatino Linotype"/>
          <w:i w:val="1"/>
          <w:sz w:val="22"/>
          <w:szCs w:val="22"/>
          <w:rtl w:val="0"/>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rsidR="00000000" w:rsidDel="00000000" w:rsidP="00000000" w:rsidRDefault="00000000" w:rsidRPr="00000000" w14:paraId="00000089">
      <w:pPr>
        <w:spacing w:after="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163.</w:t>
      </w:r>
      <w:r w:rsidDel="00000000" w:rsidR="00000000" w:rsidRPr="00000000">
        <w:rPr>
          <w:rFonts w:ascii="Palatino Linotype" w:cs="Palatino Linotype" w:eastAsia="Palatino Linotype" w:hAnsi="Palatino Linotype"/>
          <w:i w:val="1"/>
          <w:sz w:val="22"/>
          <w:szCs w:val="22"/>
          <w:rtl w:val="0"/>
        </w:rPr>
        <w:t xml:space="preserve"> La Unidad de Transparencia deberá notificar la respuesta a la solicitud al interesado en el menor tiempo posible, que no podrá exceder de quince días hábiles, contados a partir del día siguiente a la presentación de aquélla.  </w:t>
      </w:r>
    </w:p>
    <w:p w:rsidR="00000000" w:rsidDel="00000000" w:rsidP="00000000" w:rsidRDefault="00000000" w:rsidRPr="00000000" w14:paraId="0000008A">
      <w:pPr>
        <w:spacing w:after="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000000" w:rsidDel="00000000" w:rsidP="00000000" w:rsidRDefault="00000000" w:rsidRPr="00000000" w14:paraId="0000008B">
      <w:pPr>
        <w:spacing w:after="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164.</w:t>
      </w:r>
      <w:r w:rsidDel="00000000" w:rsidR="00000000" w:rsidRPr="00000000">
        <w:rPr>
          <w:rFonts w:ascii="Palatino Linotype" w:cs="Palatino Linotype" w:eastAsia="Palatino Linotype" w:hAnsi="Palatino Linotype"/>
          <w:i w:val="1"/>
          <w:sz w:val="22"/>
          <w:szCs w:val="22"/>
          <w:rtl w:val="0"/>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rsidR="00000000" w:rsidDel="00000000" w:rsidP="00000000" w:rsidRDefault="00000000" w:rsidRPr="00000000" w14:paraId="0000008C">
      <w:pPr>
        <w:spacing w:after="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cualquier caso, se deberá fundar y motivar la necesidad de ofrecer otras modalidades.  </w:t>
      </w:r>
    </w:p>
    <w:p w:rsidR="00000000" w:rsidDel="00000000" w:rsidP="00000000" w:rsidRDefault="00000000" w:rsidRPr="00000000" w14:paraId="0000008D">
      <w:pPr>
        <w:spacing w:after="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165.</w:t>
      </w:r>
      <w:r w:rsidDel="00000000" w:rsidR="00000000" w:rsidRPr="00000000">
        <w:rPr>
          <w:rFonts w:ascii="Palatino Linotype" w:cs="Palatino Linotype" w:eastAsia="Palatino Linotype" w:hAnsi="Palatino Linotype"/>
          <w:i w:val="1"/>
          <w:sz w:val="22"/>
          <w:szCs w:val="22"/>
          <w:rtl w:val="0"/>
        </w:rPr>
        <w:t xml:space="preserve"> Los sujetos obligados establecerán la forma y términos en que darán trámite interno a las solicitudes en materia de acceso a la información…”</w:t>
      </w:r>
    </w:p>
    <w:p w:rsidR="00000000" w:rsidDel="00000000" w:rsidP="00000000" w:rsidRDefault="00000000" w:rsidRPr="00000000" w14:paraId="0000008E">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virtud de lo anterior, es preciso reiterar que, para dar cumplimiento a la presente resolución, la Unidad de Transparencia deberá garantizar que la solicitud sea turnada al área o las áreas que puedan contar con la información materia de la solicitud, con la finalidad de que realicen una búsqueda exhaustiva y razonable de la misma, pudiendo ser, de manera enunciativa, más no limitativa, a la Dirección de Administración y Finanzas o en su caso la Subdirección de Administración.</w:t>
      </w:r>
    </w:p>
    <w:p w:rsidR="00000000" w:rsidDel="00000000" w:rsidP="00000000" w:rsidRDefault="00000000" w:rsidRPr="00000000" w14:paraId="0000008F">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efecto de sustentar lo anterior, el Reglamento Interno del Sistema Municipal para el Desarrollo Integral de la Familia de Metepec 2022 – 2024, señala lo siguiente:</w:t>
      </w:r>
    </w:p>
    <w:p w:rsidR="00000000" w:rsidDel="00000000" w:rsidP="00000000" w:rsidRDefault="00000000" w:rsidRPr="00000000" w14:paraId="00000090">
      <w:pPr>
        <w:spacing w:after="240" w:line="276"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40.- Para su operación y funcionamiento el Sistema contará con las siguientes unidades administrativas, cuyas personas serán designadas por la Junta de Gobierno:</w:t>
      </w:r>
    </w:p>
    <w:p w:rsidR="00000000" w:rsidDel="00000000" w:rsidP="00000000" w:rsidRDefault="00000000" w:rsidRPr="00000000" w14:paraId="0000009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0" w:line="276" w:lineRule="auto"/>
        <w:ind w:left="113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Dirección de Administración y Finanzas </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113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93">
      <w:pPr>
        <w:spacing w:after="240" w:line="276"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42.- La Dirección de Administración y Finanzas es el área encargada de promover y supervisar el desempeño de las actividades relacionadas con el </w:t>
      </w:r>
      <w:r w:rsidDel="00000000" w:rsidR="00000000" w:rsidRPr="00000000">
        <w:rPr>
          <w:rFonts w:ascii="Palatino Linotype" w:cs="Palatino Linotype" w:eastAsia="Palatino Linotype" w:hAnsi="Palatino Linotype"/>
          <w:b w:val="1"/>
          <w:i w:val="1"/>
          <w:sz w:val="22"/>
          <w:szCs w:val="22"/>
          <w:rtl w:val="0"/>
        </w:rPr>
        <w:t xml:space="preserve">manejo de los recursos humanos</w:t>
      </w:r>
      <w:r w:rsidDel="00000000" w:rsidR="00000000" w:rsidRPr="00000000">
        <w:rPr>
          <w:rFonts w:ascii="Palatino Linotype" w:cs="Palatino Linotype" w:eastAsia="Palatino Linotype" w:hAnsi="Palatino Linotype"/>
          <w:i w:val="1"/>
          <w:sz w:val="22"/>
          <w:szCs w:val="22"/>
          <w:rtl w:val="0"/>
        </w:rPr>
        <w:t xml:space="preserve">, materiales y financieros del SMDIF, procurando el óptimo aprovechamiento de los recursos asignados, conforme a los lineamientos, normas y disposiciones legales aplicables vigentes.</w:t>
      </w:r>
    </w:p>
    <w:p w:rsidR="00000000" w:rsidDel="00000000" w:rsidP="00000000" w:rsidRDefault="00000000" w:rsidRPr="00000000" w14:paraId="00000094">
      <w:pPr>
        <w:spacing w:after="240" w:line="276"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43.- Corresponde a la Dirección de Administración y Finanzas, a través de su titular:</w:t>
      </w:r>
    </w:p>
    <w:p w:rsidR="00000000" w:rsidDel="00000000" w:rsidP="00000000" w:rsidRDefault="00000000" w:rsidRPr="00000000" w14:paraId="0000009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0" w:line="276" w:lineRule="auto"/>
        <w:ind w:left="113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Formular, compilar y difundir las normas políticas y procedimientos en cuanto a la administración de recursos humanos,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materiales y financieros del SMDIF, estableciendo criterios de oportunidad, eficiencia y economía así como el suministro de estos.</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113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97">
      <w:pPr>
        <w:spacing w:after="240" w:line="276"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44.- Para el funcionamiento de la Dirección de Administración y Finanzas, se conformará por:</w:t>
      </w:r>
    </w:p>
    <w:p w:rsidR="00000000" w:rsidDel="00000000" w:rsidP="00000000" w:rsidRDefault="00000000" w:rsidRPr="00000000" w14:paraId="0000009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76" w:lineRule="auto"/>
        <w:ind w:left="113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La Subdirección de Administración;</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y</w:t>
      </w:r>
    </w:p>
    <w:p w:rsidR="00000000" w:rsidDel="00000000" w:rsidP="00000000" w:rsidRDefault="00000000" w:rsidRPr="00000000" w14:paraId="0000009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76" w:lineRule="auto"/>
        <w:ind w:left="1134"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La Subdirección de Finanzas.</w:t>
      </w:r>
    </w:p>
    <w:p w:rsidR="00000000" w:rsidDel="00000000" w:rsidP="00000000" w:rsidRDefault="00000000" w:rsidRPr="00000000" w14:paraId="0000009A">
      <w:pPr>
        <w:spacing w:after="240" w:line="276"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45.- La Subdirección de Administración, </w:t>
      </w:r>
      <w:r w:rsidDel="00000000" w:rsidR="00000000" w:rsidRPr="00000000">
        <w:rPr>
          <w:rFonts w:ascii="Palatino Linotype" w:cs="Palatino Linotype" w:eastAsia="Palatino Linotype" w:hAnsi="Palatino Linotype"/>
          <w:b w:val="1"/>
          <w:i w:val="1"/>
          <w:sz w:val="22"/>
          <w:szCs w:val="22"/>
          <w:rtl w:val="0"/>
        </w:rPr>
        <w:t xml:space="preserve">será la o el responsable de llevar a cabo las acciones correspondientes a los recursos humanos</w:t>
      </w:r>
      <w:r w:rsidDel="00000000" w:rsidR="00000000" w:rsidRPr="00000000">
        <w:rPr>
          <w:rFonts w:ascii="Palatino Linotype" w:cs="Palatino Linotype" w:eastAsia="Palatino Linotype" w:hAnsi="Palatino Linotype"/>
          <w:i w:val="1"/>
          <w:sz w:val="22"/>
          <w:szCs w:val="22"/>
          <w:rtl w:val="0"/>
        </w:rPr>
        <w:t xml:space="preserve">, recursos materiales, adquisiciones, control patrimonial, servicios generales y parque vehicular.”</w:t>
      </w:r>
    </w:p>
    <w:p w:rsidR="00000000" w:rsidDel="00000000" w:rsidP="00000000" w:rsidRDefault="00000000" w:rsidRPr="00000000" w14:paraId="0000009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es conveniente señalar que el artículo 7, fracción IV del Reglamento de las Condiciones Generales de Trabajo de los Servidores Públicos del Sistema Municipal para el Desarrollo Integral de la Familia de Metepec, 2019-2021, que la letra señala:</w:t>
      </w:r>
    </w:p>
    <w:p w:rsidR="00000000" w:rsidDel="00000000" w:rsidP="00000000" w:rsidRDefault="00000000" w:rsidRPr="00000000" w14:paraId="0000009C">
      <w:pPr>
        <w:spacing w:after="240" w:before="240" w:line="276"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i w:val="1"/>
          <w:sz w:val="22"/>
          <w:szCs w:val="22"/>
          <w:rtl w:val="0"/>
        </w:rPr>
        <w:t xml:space="preserve">ARTÍCULO 7.- Para ingresar a laborar al Sistema, las y los aspirantes deberán satisfacer los siguientes requisitos y documentos:</w:t>
      </w:r>
    </w:p>
    <w:p w:rsidR="00000000" w:rsidDel="00000000" w:rsidP="00000000" w:rsidRDefault="00000000" w:rsidRPr="00000000" w14:paraId="0000009D">
      <w:pPr>
        <w:spacing w:after="240" w:before="240" w:line="276" w:lineRule="auto"/>
        <w:ind w:left="1134" w:right="900"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9E">
      <w:pPr>
        <w:spacing w:after="240" w:before="240" w:line="276" w:lineRule="auto"/>
        <w:ind w:left="1134" w:right="900"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IV. Copia del Acta de Nacimiento;</w:t>
      </w:r>
    </w:p>
    <w:p w:rsidR="00000000" w:rsidDel="00000000" w:rsidP="00000000" w:rsidRDefault="00000000" w:rsidRPr="00000000" w14:paraId="0000009F">
      <w:pPr>
        <w:spacing w:after="240" w:before="240" w:line="276"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(Sic)</w:t>
      </w:r>
    </w:p>
    <w:p w:rsidR="00000000" w:rsidDel="00000000" w:rsidP="00000000" w:rsidRDefault="00000000" w:rsidRPr="00000000" w14:paraId="000000A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antes expuesto es claro, que para el ingreso a laborar en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debe entregar entre otros requisitos, la copia del acta de nacimiento, que es a través del área competente, es decir, de la Dirección de Administración y Finanzas, o en su caso, de la Subdirección de Administración, que se llevan a cabo las acciones correspondientes a los recursos humanos.</w:t>
      </w:r>
    </w:p>
    <w:p w:rsidR="00000000" w:rsidDel="00000000" w:rsidP="00000000" w:rsidRDefault="00000000" w:rsidRPr="00000000" w14:paraId="000000A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de las constancias que obran en el SAIMEX, no se tiene la certeza  de la respuesta del Servidor Público Habilitado competente, por lo cual este deberá de realizar búsqueda exhaustiva y minuciosa en sus archivos, a fin de pronunciarse sobre la existencia o inexistencia de información solicitada.</w:t>
      </w:r>
    </w:p>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Por lo que para el caso de contar con dicha documentación, deberá ser protegida mediante la clasificación </w:t>
      </w:r>
      <w:r w:rsidDel="00000000" w:rsidR="00000000" w:rsidRPr="00000000">
        <w:rPr>
          <w:rFonts w:ascii="Palatino Linotype" w:cs="Palatino Linotype" w:eastAsia="Palatino Linotype" w:hAnsi="Palatino Linotype"/>
          <w:rtl w:val="0"/>
        </w:rPr>
        <w:t xml:space="preserve">confidencial en su totalidad, ya </w:t>
      </w:r>
      <w:r w:rsidDel="00000000" w:rsidR="00000000" w:rsidRPr="00000000">
        <w:rPr>
          <w:rFonts w:ascii="Palatino Linotype" w:cs="Palatino Linotype" w:eastAsia="Palatino Linotype" w:hAnsi="Palatino Linotype"/>
          <w:color w:val="000000"/>
          <w:rtl w:val="0"/>
        </w:rPr>
        <w:t xml:space="preserve">que por su naturaleza jurídica contienen datos personales,</w:t>
      </w:r>
      <w:r w:rsidDel="00000000" w:rsidR="00000000" w:rsidRPr="00000000">
        <w:rPr>
          <w:rFonts w:ascii="Palatino Linotype" w:cs="Palatino Linotype" w:eastAsia="Palatino Linotype" w:hAnsi="Palatino Linotype"/>
          <w:rtl w:val="0"/>
        </w:rPr>
        <w:t xml:space="preserve"> que encuadran en la hipótesis que contempla la Ley de la materia en su artículo 143 fracción I, a saber:</w:t>
      </w:r>
    </w:p>
    <w:p w:rsidR="00000000" w:rsidDel="00000000" w:rsidP="00000000" w:rsidRDefault="00000000" w:rsidRPr="00000000" w14:paraId="000000A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 </w:t>
      </w:r>
    </w:p>
    <w:p w:rsidR="00000000" w:rsidDel="00000000" w:rsidP="00000000" w:rsidRDefault="00000000" w:rsidRPr="00000000" w14:paraId="000000A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Se refiera a la información privada y los datos personales concernientes a una persona física o jurídico colectiva identificada o identificable;</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A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A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La información confidencial no estará sujeta a temporalidad alguna y sólo podrán tener acceso a ella los titulares de la misma, sus representantes y los servidores públicos facultados para ello. </w:t>
      </w:r>
    </w:p>
    <w:p w:rsidR="00000000" w:rsidDel="00000000" w:rsidP="00000000" w:rsidRDefault="00000000" w:rsidRPr="00000000" w14:paraId="000000A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(Sic)</w:t>
      </w:r>
    </w:p>
    <w:p w:rsidR="00000000" w:rsidDel="00000000" w:rsidP="00000000" w:rsidRDefault="00000000" w:rsidRPr="00000000" w14:paraId="000000A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el acta de nacimiento, es un documento oficial mediante el cual se registran, entre otros datos, la fecha, hora y lugar del nacimiento, el sexo del presentado, el nombre, la razón de si es presentado vivo o muerto, la impresión de la huella digital si está vivo, el nombre y la Clave Única de Registro de Población, de conformidad con lo establecido en el artículo 3.10 del Código Civil del Estado de México</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con este documento se legaliza la filiación o unión con sus padres.</w:t>
      </w:r>
    </w:p>
    <w:p w:rsidR="00000000" w:rsidDel="00000000" w:rsidP="00000000" w:rsidRDefault="00000000" w:rsidRPr="00000000" w14:paraId="000000A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de acuerdo con el Formato Único del Acta de Nacimiento publicado por la Secretaría de Gobernación en el enlace </w:t>
      </w:r>
      <w:hyperlink r:id="rId12">
        <w:r w:rsidDel="00000000" w:rsidR="00000000" w:rsidRPr="00000000">
          <w:rPr>
            <w:rFonts w:ascii="Palatino Linotype" w:cs="Palatino Linotype" w:eastAsia="Palatino Linotype" w:hAnsi="Palatino Linotype"/>
            <w:i w:val="1"/>
            <w:color w:val="000000"/>
            <w:u w:val="single"/>
            <w:rtl w:val="0"/>
          </w:rPr>
          <w:t xml:space="preserve">http://www.diputados.gob.mx/documentos/N_Acta_Nacimiento.pdf</w:t>
        </w:r>
      </w:hyperlink>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se advierte que el acta de nacimiento se compone de quince elementos, siendo los siguientes:</w:t>
      </w:r>
    </w:p>
    <w:p w:rsidR="00000000" w:rsidDel="00000000" w:rsidP="00000000" w:rsidRDefault="00000000" w:rsidRPr="00000000" w14:paraId="000000AB">
      <w:pPr>
        <w:spacing w:after="240" w:before="240" w:line="276"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Folio de Impresión.</w:t>
      </w:r>
    </w:p>
    <w:p w:rsidR="00000000" w:rsidDel="00000000" w:rsidP="00000000" w:rsidRDefault="00000000" w:rsidRPr="00000000" w14:paraId="000000AC">
      <w:pPr>
        <w:spacing w:after="240" w:before="240" w:line="276"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Denominación del Documento. </w:t>
      </w:r>
    </w:p>
    <w:p w:rsidR="00000000" w:rsidDel="00000000" w:rsidP="00000000" w:rsidRDefault="00000000" w:rsidRPr="00000000" w14:paraId="000000AD">
      <w:pPr>
        <w:spacing w:after="240" w:before="240" w:line="276"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 Identificador Electrónico. </w:t>
      </w:r>
    </w:p>
    <w:p w:rsidR="00000000" w:rsidDel="00000000" w:rsidP="00000000" w:rsidRDefault="00000000" w:rsidRPr="00000000" w14:paraId="000000AE">
      <w:pPr>
        <w:spacing w:after="240" w:before="240" w:line="276" w:lineRule="auto"/>
        <w:ind w:left="284"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 Elementos del Registro. </w:t>
      </w:r>
    </w:p>
    <w:p w:rsidR="00000000" w:rsidDel="00000000" w:rsidP="00000000" w:rsidRDefault="00000000" w:rsidRPr="00000000" w14:paraId="000000AF">
      <w:pPr>
        <w:spacing w:after="240" w:before="240" w:line="276" w:lineRule="auto"/>
        <w:ind w:left="284"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 Datos de la Persona Registrada. </w:t>
      </w:r>
    </w:p>
    <w:p w:rsidR="00000000" w:rsidDel="00000000" w:rsidP="00000000" w:rsidRDefault="00000000" w:rsidRPr="00000000" w14:paraId="000000B0">
      <w:pPr>
        <w:spacing w:after="240" w:before="240" w:line="276" w:lineRule="auto"/>
        <w:ind w:left="284"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f) Datos de Filiación de la Persona Registrada.</w:t>
      </w:r>
    </w:p>
    <w:p w:rsidR="00000000" w:rsidDel="00000000" w:rsidP="00000000" w:rsidRDefault="00000000" w:rsidRPr="00000000" w14:paraId="000000B1">
      <w:pPr>
        <w:spacing w:after="240" w:before="240" w:line="276" w:lineRule="auto"/>
        <w:ind w:left="284"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 Anotaciones Marginales. </w:t>
      </w:r>
    </w:p>
    <w:p w:rsidR="00000000" w:rsidDel="00000000" w:rsidP="00000000" w:rsidRDefault="00000000" w:rsidRPr="00000000" w14:paraId="000000B2">
      <w:pPr>
        <w:spacing w:after="240" w:before="240" w:line="276"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 Certificación. </w:t>
      </w:r>
    </w:p>
    <w:p w:rsidR="00000000" w:rsidDel="00000000" w:rsidP="00000000" w:rsidRDefault="00000000" w:rsidRPr="00000000" w14:paraId="000000B3">
      <w:pPr>
        <w:spacing w:after="240" w:before="240" w:line="276"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 Código Bidimensional QR que contiene información encriptada del acta. </w:t>
      </w:r>
    </w:p>
    <w:p w:rsidR="00000000" w:rsidDel="00000000" w:rsidP="00000000" w:rsidRDefault="00000000" w:rsidRPr="00000000" w14:paraId="000000B4">
      <w:pPr>
        <w:spacing w:after="240" w:before="240" w:line="276"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j) Leyenda “Soy México” </w:t>
      </w:r>
    </w:p>
    <w:p w:rsidR="00000000" w:rsidDel="00000000" w:rsidP="00000000" w:rsidRDefault="00000000" w:rsidRPr="00000000" w14:paraId="000000B5">
      <w:pPr>
        <w:spacing w:after="240" w:before="240" w:line="276"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k) Firma Electrónica Avanzada. </w:t>
      </w:r>
    </w:p>
    <w:p w:rsidR="00000000" w:rsidDel="00000000" w:rsidP="00000000" w:rsidRDefault="00000000" w:rsidRPr="00000000" w14:paraId="000000B6">
      <w:pPr>
        <w:spacing w:after="240" w:before="240" w:line="276"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 Firma y datos de la autoridad emisora. </w:t>
      </w:r>
    </w:p>
    <w:p w:rsidR="00000000" w:rsidDel="00000000" w:rsidP="00000000" w:rsidRDefault="00000000" w:rsidRPr="00000000" w14:paraId="000000B7">
      <w:pPr>
        <w:spacing w:after="240" w:before="240" w:line="276" w:lineRule="auto"/>
        <w:ind w:left="284"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m) Código QR. </w:t>
      </w:r>
    </w:p>
    <w:p w:rsidR="00000000" w:rsidDel="00000000" w:rsidP="00000000" w:rsidRDefault="00000000" w:rsidRPr="00000000" w14:paraId="000000B8">
      <w:pPr>
        <w:spacing w:after="240" w:before="240" w:line="276"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 Código de Verificación. </w:t>
      </w:r>
    </w:p>
    <w:p w:rsidR="00000000" w:rsidDel="00000000" w:rsidP="00000000" w:rsidRDefault="00000000" w:rsidRPr="00000000" w14:paraId="000000B9">
      <w:pPr>
        <w:spacing w:after="240" w:before="240" w:line="276"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 Leyenda de instrucciones para la verificación del documento.</w:t>
      </w:r>
    </w:p>
    <w:p w:rsidR="00000000" w:rsidDel="00000000" w:rsidP="00000000" w:rsidRDefault="00000000" w:rsidRPr="00000000" w14:paraId="000000BA">
      <w:pPr>
        <w:spacing w:after="240" w:before="240" w:line="360" w:lineRule="auto"/>
        <w:jc w:val="both"/>
        <w:rPr>
          <w:rFonts w:ascii="Palatino Linotype" w:cs="Palatino Linotype" w:eastAsia="Palatino Linotype" w:hAnsi="Palatino Linotype"/>
        </w:rPr>
      </w:pPr>
      <w:bookmarkStart w:colFirst="0" w:colLast="0" w:name="_heading=h.3dy6vkm" w:id="3"/>
      <w:bookmarkEnd w:id="3"/>
      <w:r w:rsidDel="00000000" w:rsidR="00000000" w:rsidRPr="00000000">
        <w:rPr>
          <w:rFonts w:ascii="Palatino Linotype" w:cs="Palatino Linotype" w:eastAsia="Palatino Linotype" w:hAnsi="Palatino Linotype"/>
          <w:rtl w:val="0"/>
        </w:rPr>
        <w:t xml:space="preserve">Siendo de suma importancia mencionar que la información relativa a los incisos </w:t>
      </w:r>
      <w:r w:rsidDel="00000000" w:rsidR="00000000" w:rsidRPr="00000000">
        <w:rPr>
          <w:rFonts w:ascii="Palatino Linotype" w:cs="Palatino Linotype" w:eastAsia="Palatino Linotype" w:hAnsi="Palatino Linotype"/>
          <w:b w:val="1"/>
          <w:rtl w:val="0"/>
        </w:rPr>
        <w:t xml:space="preserve">d) elementos de registro, e) datos de la persona registrada, f) datos de filiación de la persona registrada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g), anotaciones marginales </w:t>
      </w:r>
      <w:r w:rsidDel="00000000" w:rsidR="00000000" w:rsidRPr="00000000">
        <w:rPr>
          <w:rFonts w:ascii="Palatino Linotype" w:cs="Palatino Linotype" w:eastAsia="Palatino Linotype" w:hAnsi="Palatino Linotype"/>
          <w:rtl w:val="0"/>
        </w:rPr>
        <w:t xml:space="preserve">y</w:t>
      </w:r>
      <w:r w:rsidDel="00000000" w:rsidR="00000000" w:rsidRPr="00000000">
        <w:rPr>
          <w:rFonts w:ascii="Palatino Linotype" w:cs="Palatino Linotype" w:eastAsia="Palatino Linotype" w:hAnsi="Palatino Linotype"/>
          <w:b w:val="1"/>
          <w:rtl w:val="0"/>
        </w:rPr>
        <w:t xml:space="preserve"> m) Código QR, </w:t>
      </w:r>
      <w:r w:rsidDel="00000000" w:rsidR="00000000" w:rsidRPr="00000000">
        <w:rPr>
          <w:rFonts w:ascii="Palatino Linotype" w:cs="Palatino Linotype" w:eastAsia="Palatino Linotype" w:hAnsi="Palatino Linotype"/>
          <w:rtl w:val="0"/>
        </w:rPr>
        <w:t xml:space="preserve">se encuentra intrínsecamente relacionada con la esfera privada de una persona haciéndole identificada o identificable, como al contener los siguientes datos:</w:t>
      </w:r>
    </w:p>
    <w:p w:rsidR="00000000" w:rsidDel="00000000" w:rsidP="00000000" w:rsidRDefault="00000000" w:rsidRPr="00000000" w14:paraId="000000B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0225" cy="2933700"/>
            <wp:effectExtent b="0" l="0" r="0" t="0"/>
            <wp:docPr id="87"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610225"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0225" cy="3486150"/>
            <wp:effectExtent b="0" l="0" r="0" t="0"/>
            <wp:docPr id="86" name="image7.png"/>
            <a:graphic>
              <a:graphicData uri="http://schemas.openxmlformats.org/drawingml/2006/picture">
                <pic:pic>
                  <pic:nvPicPr>
                    <pic:cNvPr id="0" name="image7.png"/>
                    <pic:cNvPicPr preferRelativeResize="0"/>
                  </pic:nvPicPr>
                  <pic:blipFill>
                    <a:blip r:embed="rId14"/>
                    <a:srcRect b="18120" l="0" r="0" t="0"/>
                    <a:stretch>
                      <a:fillRect/>
                    </a:stretch>
                  </pic:blipFill>
                  <pic:spPr>
                    <a:xfrm>
                      <a:off x="0" y="0"/>
                      <a:ext cx="5610225" cy="348615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0225" cy="581025"/>
            <wp:effectExtent b="0" l="0" r="0" t="0"/>
            <wp:docPr id="89" name="image7.png"/>
            <a:graphic>
              <a:graphicData uri="http://schemas.openxmlformats.org/drawingml/2006/picture">
                <pic:pic>
                  <pic:nvPicPr>
                    <pic:cNvPr id="0" name="image7.png"/>
                    <pic:cNvPicPr preferRelativeResize="0"/>
                  </pic:nvPicPr>
                  <pic:blipFill>
                    <a:blip r:embed="rId14"/>
                    <a:srcRect b="1343" l="0" r="0" t="85010"/>
                    <a:stretch>
                      <a:fillRect/>
                    </a:stretch>
                  </pic:blipFill>
                  <pic:spPr>
                    <a:xfrm>
                      <a:off x="0" y="0"/>
                      <a:ext cx="5610225" cy="581025"/>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577840" cy="914400"/>
            <wp:effectExtent b="0" l="0" r="0" t="0"/>
            <wp:docPr id="88"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57784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Dada esta relevancia, al ser el acta de nacimiento un documento mediante el cual se le otorga identidad a una persona, además de tratarse de información que no se encuentra relacionada con el ejercicio de un cargo público, sino con el ejercicio de los derechos personales de su titular, se estima que dicho documento debe ser clasificado como información confidencial en su totalidad, al considerar que actualiza la causal de clasificación establecida en el ya referido artículo 143, fracción I, de la Ley de Transparencia vigente en la Entidad.</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280" w:line="360" w:lineRule="auto"/>
        <w:ind w:left="927"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reciba una solicitud de acceso a la información;</w:t>
      </w:r>
    </w:p>
    <w:p w:rsidR="00000000" w:rsidDel="00000000" w:rsidP="00000000" w:rsidRDefault="00000000" w:rsidRPr="00000000" w14:paraId="000000C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927"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determine mediante resolución de autoridad competente; y/o</w:t>
      </w:r>
    </w:p>
    <w:p w:rsidR="00000000" w:rsidDel="00000000" w:rsidP="00000000" w:rsidRDefault="00000000" w:rsidRPr="00000000" w14:paraId="000000C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80" w:before="0" w:line="360" w:lineRule="auto"/>
        <w:ind w:left="927"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generen versiones públicas para dar cumplimiento a las obligaciones de transparencia previstas en la Ley.</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5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ese sentido, es de precisar que la clasificación de la información no se da por el simple mandato de la Ley, sino que es necesario que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 53 fracción X, y 49 fracciones II y VIII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222222"/>
          <w:sz w:val="24"/>
          <w:szCs w:val="24"/>
          <w:u w:val="none"/>
          <w:shd w:fill="auto" w:val="clear"/>
          <w:vertAlign w:val="baseline"/>
          <w:rtl w:val="0"/>
        </w:rPr>
        <w:t xml:space="preserve">Por otra parte, para el caso de que una vez realizada la búsqueda exahustiva y razonable,  no se cuente con la información solicitada, el </w:t>
      </w:r>
      <w:r w:rsidDel="00000000" w:rsidR="00000000" w:rsidRPr="00000000">
        <w:rPr>
          <w:rFonts w:ascii="Palatino Linotype" w:cs="Palatino Linotype" w:eastAsia="Palatino Linotype" w:hAnsi="Palatino Linotype"/>
          <w:b w:val="1"/>
          <w:i w:val="0"/>
          <w:smallCaps w:val="0"/>
          <w:strike w:val="0"/>
          <w:color w:val="222222"/>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222222"/>
          <w:sz w:val="24"/>
          <w:szCs w:val="24"/>
          <w:u w:val="none"/>
          <w:shd w:fill="auto" w:val="clear"/>
          <w:vertAlign w:val="baseline"/>
          <w:rtl w:val="0"/>
        </w:rPr>
        <w:t xml:space="preserve"> deberá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hacer entrega del </w:t>
      </w: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Acuerdo de Inexistencia,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debiendo observar lo señalado en los numerales 169 y 170 de la Ley local de la materia, mismos que a la letra, señalan lo siguiente</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C6">
      <w:pPr>
        <w:rPr>
          <w:color w:val="000000"/>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5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Artículo 169. Cuando la información no se encuentre en los archivos del sujeto obligado, el Comité de Transparencia: </w: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5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 Analizará el caso y tomará las medidas necesarias para localizar la información; </w:t>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5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II. Expedirá una resolución que confirme la inexistencia del documento; </w:t>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5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5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IV. Notificará al órgano interno de control o equivalente del sujeto obligado quien, en su caso, deberá iniciar el procedimiento de responsabilidad administrativa que corresponda.</w:t>
      </w:r>
      <w:r w:rsidDel="00000000" w:rsidR="00000000" w:rsidRPr="00000000">
        <w:rPr>
          <w:rtl w:val="0"/>
        </w:rPr>
      </w:r>
    </w:p>
    <w:p w:rsidR="00000000" w:rsidDel="00000000" w:rsidP="00000000" w:rsidRDefault="00000000" w:rsidRPr="00000000" w14:paraId="000000CC">
      <w:pPr>
        <w:spacing w:line="276" w:lineRule="auto"/>
        <w:rPr>
          <w:color w:val="000000"/>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5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170.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 resolución del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Comité de Transparencia que confirme la inexistencia de la información solicitada</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8"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8"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Conforme a los numerales anteriores,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además de entregar el Acuerdo de Inexistencia al Particular, en donde se señale de manera oportuna los elementos mínimos que den certeza sobre la inexistencia de la información, deberá dar vista a su órgano interno de control, a fin de iniciar con el procedimiento de responsabilidad que corresponda.</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consecuencia, se puede determinar que durante la respuesta,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222222"/>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no siguió a cabalidad el procedimiento de acceso a la información previsto en el ya referido artículo 162 de la Ley de Transparencia y Acceso a la Información Pública del Estado de México y Municipios,esto dado que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omitió turnar a todas las Áreas competentes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que pudiesen contar con la información o deban tenerla de acuerdo a sus facultades, competencias y funciones, con el objeto de que realizaran una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búsqueda exhaustiva y razonable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 la información solicitada; y para ello en necesario tomar en consideración las siguientes disposiciones de la Ley de la materia:</w:t>
      </w: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50.</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sujetos obligados contarán con un área responsable para la atención de las solicitudes de información, a la que se le denominará Unidad de Transparencia.</w:t>
      </w:r>
      <w:r w:rsidDel="00000000" w:rsidR="00000000" w:rsidRPr="00000000">
        <w:rPr>
          <w:rtl w:val="0"/>
        </w:rPr>
      </w:r>
    </w:p>
    <w:p w:rsidR="00000000" w:rsidDel="00000000" w:rsidP="00000000" w:rsidRDefault="00000000" w:rsidRPr="00000000" w14:paraId="000000D4">
      <w:pPr>
        <w:spacing w:line="276" w:lineRule="auto"/>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51</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r w:rsidDel="00000000" w:rsidR="00000000" w:rsidRPr="00000000">
        <w:rPr>
          <w:rtl w:val="0"/>
        </w:rPr>
      </w:r>
    </w:p>
    <w:p w:rsidR="00000000" w:rsidDel="00000000" w:rsidP="00000000" w:rsidRDefault="00000000" w:rsidRPr="00000000" w14:paraId="000000D6">
      <w:pPr>
        <w:spacing w:line="276" w:lineRule="auto"/>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53</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Las Unidades de Transparencia tendrán las siguientes funciones:</w:t>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 Recibir, </w:t>
      </w: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tramitar</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y dar respuesta a las solicitudes de acceso a la información;</w:t>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III. Auxiliar a los particulares en la elaboración de solicitudes de acceso a la información y, en su caso, orientarlos sobre los sujetos obligados competentes conforme a la normatividad aplicable;</w:t>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IV. Realizar, con efectividad, los trámites internos necesarios para la atención de las solicitudes de acceso a la información;</w:t>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 Entregar, en su caso, a los particulares la información solicitada;</w:t>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VI. Efectuar las notificaciones a los solicitantes;</w:t>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VII. Proponer al Comité de Transparencia, los procedimientos internos que aseguren la mayor eficiencia en la gestión de las solicitudes de acceso a la información, conforme a la normatividad aplicable;</w:t>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VIII. Proponer a quien preside el Comité de Transparencia, personal habilitado que sea necesario para recibir y dar trámite a las solicitudes de acceso a la información;</w:t>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IX. Llevar un registro de las solicitudes de acceso a la información, sus respuestas, resultados, costos de reproducción y envío, resolución a los recursos de revisión que se hayan emitido en contra de sus respuestas y del cumplimiento de las mismas;</w:t>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 Presentar ante el Comité, el proyecto de clasificación de información;</w:t>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XI. Promover e implementar políticas de transparencia proactiva procurando su accesibilidad;</w:t>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XII. Fomentar la transparencia y accesibilidad al interior del sujeto obligado;</w:t>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XIII. Hacer del conocimiento de la instancia competente la probable responsabilidad por el incumplimiento de las obligaciones previstas en la presente Ley; y</w:t>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XIV. Las demás que resulten necesarias para facilitar el acceso a la información y aquellas que se desprenden de la presente Ley y demás disposiciones jurídicas aplicables.</w:t>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Los sujetos obligados promoverán acuerdos con instituciones públicas especializadas que pudieran auxiliarse a entregar las respuestas a solicitudes de información, en la lengua indígena, braille o cualquier formato accesible correspondiente, en forma más eficiente.</w:t>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r w:rsidDel="00000000" w:rsidR="00000000" w:rsidRPr="00000000">
        <w:rPr>
          <w:rtl w:val="0"/>
        </w:rPr>
      </w:r>
    </w:p>
    <w:p w:rsidR="00000000" w:rsidDel="00000000" w:rsidP="00000000" w:rsidRDefault="00000000" w:rsidRPr="00000000" w14:paraId="000000E8">
      <w:pPr>
        <w:spacing w:line="276" w:lineRule="auto"/>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59</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Los servidores públicos habilitados tendrán las funciones siguientes:</w:t>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1"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Localizar la información que le solicite la Unidad de Transparencia;</w:t>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1"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 Proporcionar la información que obre en los archivos y que le sea solicitada por la Unidad de Transparencia;</w:t>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1"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III. Apoyar a la Unidad de Transparencia en lo que esta le solicite para el cumplimiento de sus funciones;</w:t>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IV. Proporcionar a la Unidad de Transparencia, las modificaciones a la información pública de oficio que obre en su poder;</w:t>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 Integrar y presentar al responsable de la Unidad de Transparencia la propuesta de clasificación de información, la cual tendrá los fundamentos y argumentos en que se basa dicha propuesta;</w:t>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VI. Verificar, una vez analizado el contenido de la información, que no se encuentre en los supuestos de información clasificada; y</w:t>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VII. Dar cuenta a la Unidad de Transparencia del vencimiento de los plazos de reserva.”</w:t>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90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(Énfasis añadido)</w:t>
      </w: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spacing w:line="360" w:lineRule="auto"/>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Es así que, le corresponde al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Titular de la Unidad de Transparencia el garantizar que las solicitudes se turnen a las áreas competentes que puedan contar con la información</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con el objeto de que se realice una búsqueda exhaustiva y razonable de la misma. </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mérito de lo expuesto en líneas anteriores, resultan fundadas las razones o motivos de inconformidad hechos valer por la parte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el recurso de revisión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06204/INFOEM/IP/RR/2022</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por ello, y con fundamento en la fracción III del numeral 186 de la Ley de Transparencia y Acceso a la Información Pública del Estado de México y Municipios, se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REVOCA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respuesta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 la solicitud de información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00830/DIFMETEPEC/IP/2022.</w:t>
      </w:r>
      <w:r w:rsidDel="00000000" w:rsidR="00000000" w:rsidRPr="00000000">
        <w:rPr>
          <w:rtl w:val="0"/>
        </w:rPr>
      </w:r>
    </w:p>
    <w:p w:rsidR="00000000" w:rsidDel="00000000" w:rsidP="00000000" w:rsidRDefault="00000000" w:rsidRPr="00000000" w14:paraId="000000F6">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0F7">
      <w:pPr>
        <w:numPr>
          <w:ilvl w:val="0"/>
          <w:numId w:val="7"/>
        </w:numPr>
        <w:pBdr>
          <w:top w:space="0" w:sz="0" w:val="nil"/>
          <w:left w:space="0" w:sz="0" w:val="nil"/>
          <w:bottom w:space="0" w:sz="0" w:val="nil"/>
          <w:right w:space="0" w:sz="0" w:val="nil"/>
          <w:between w:space="0" w:sz="0" w:val="nil"/>
        </w:pBdr>
        <w:spacing w:after="240" w:before="240" w:line="360" w:lineRule="auto"/>
        <w:ind w:left="1080" w:hanging="720"/>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 E S U E L V E</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fob9te" w:id="4"/>
      <w:bookmarkEnd w:id="4"/>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PRIMERO. </w:t>
      </w:r>
      <w:r w:rsidDel="00000000" w:rsidR="00000000" w:rsidRPr="00000000">
        <w:rPr>
          <w:rFonts w:ascii="Palatino Linotype" w:cs="Palatino Linotype" w:eastAsia="Palatino Linotype" w:hAnsi="Palatino Linotype"/>
          <w:b w:val="0"/>
          <w:i w:val="0"/>
          <w:smallCaps w:val="0"/>
          <w:strike w:val="0"/>
          <w:color w:val="222222"/>
          <w:sz w:val="24"/>
          <w:szCs w:val="24"/>
          <w:highlight w:val="white"/>
          <w:u w:val="none"/>
          <w:vertAlign w:val="baseline"/>
          <w:rtl w:val="0"/>
        </w:rPr>
        <w:t xml:space="preserve">Resultan fundados los motivos de inconformidad aducidos por la parte </w:t>
      </w:r>
      <w:r w:rsidDel="00000000" w:rsidR="00000000" w:rsidRPr="00000000">
        <w:rPr>
          <w:rFonts w:ascii="Palatino Linotype" w:cs="Palatino Linotype" w:eastAsia="Palatino Linotype" w:hAnsi="Palatino Linotype"/>
          <w:b w:val="1"/>
          <w:i w:val="0"/>
          <w:smallCaps w:val="0"/>
          <w:strike w:val="0"/>
          <w:color w:val="222222"/>
          <w:sz w:val="24"/>
          <w:szCs w:val="24"/>
          <w:highlight w:val="white"/>
          <w:u w:val="none"/>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222222"/>
          <w:sz w:val="24"/>
          <w:szCs w:val="24"/>
          <w:highlight w:val="white"/>
          <w:u w:val="none"/>
          <w:vertAlign w:val="baseline"/>
          <w:rtl w:val="0"/>
        </w:rPr>
        <w:t xml:space="preserve"> en el recurso de revisión </w:t>
      </w:r>
      <w:r w:rsidDel="00000000" w:rsidR="00000000" w:rsidRPr="00000000">
        <w:rPr>
          <w:rFonts w:ascii="Palatino Linotype" w:cs="Palatino Linotype" w:eastAsia="Palatino Linotype" w:hAnsi="Palatino Linotype"/>
          <w:b w:val="1"/>
          <w:i w:val="0"/>
          <w:smallCaps w:val="0"/>
          <w:strike w:val="0"/>
          <w:color w:val="222222"/>
          <w:sz w:val="24"/>
          <w:szCs w:val="24"/>
          <w:highlight w:val="white"/>
          <w:u w:val="none"/>
          <w:vertAlign w:val="baseline"/>
          <w:rtl w:val="0"/>
        </w:rPr>
        <w:t xml:space="preserve">06204/INFOEM/IP/RR/2022 </w:t>
      </w:r>
      <w:r w:rsidDel="00000000" w:rsidR="00000000" w:rsidRPr="00000000">
        <w:rPr>
          <w:rFonts w:ascii="Palatino Linotype" w:cs="Palatino Linotype" w:eastAsia="Palatino Linotype" w:hAnsi="Palatino Linotype"/>
          <w:b w:val="0"/>
          <w:i w:val="0"/>
          <w:smallCaps w:val="0"/>
          <w:strike w:val="0"/>
          <w:color w:val="222222"/>
          <w:sz w:val="24"/>
          <w:szCs w:val="24"/>
          <w:highlight w:val="white"/>
          <w:u w:val="none"/>
          <w:vertAlign w:val="baseline"/>
          <w:rtl w:val="0"/>
        </w:rPr>
        <w:t xml:space="preserve">por lo que, en términos del Considerando Cuarto de esta resolución, se </w:t>
      </w:r>
      <w:r w:rsidDel="00000000" w:rsidR="00000000" w:rsidRPr="00000000">
        <w:rPr>
          <w:rFonts w:ascii="Palatino Linotype" w:cs="Palatino Linotype" w:eastAsia="Palatino Linotype" w:hAnsi="Palatino Linotype"/>
          <w:b w:val="1"/>
          <w:i w:val="0"/>
          <w:smallCaps w:val="0"/>
          <w:strike w:val="0"/>
          <w:color w:val="222222"/>
          <w:sz w:val="24"/>
          <w:szCs w:val="24"/>
          <w:highlight w:val="white"/>
          <w:u w:val="none"/>
          <w:vertAlign w:val="baseline"/>
          <w:rtl w:val="0"/>
        </w:rPr>
        <w:t xml:space="preserve">REVOCA</w:t>
      </w:r>
      <w:r w:rsidDel="00000000" w:rsidR="00000000" w:rsidRPr="00000000">
        <w:rPr>
          <w:rFonts w:ascii="Palatino Linotype" w:cs="Palatino Linotype" w:eastAsia="Palatino Linotype" w:hAnsi="Palatino Linotype"/>
          <w:b w:val="0"/>
          <w:i w:val="0"/>
          <w:smallCaps w:val="0"/>
          <w:strike w:val="0"/>
          <w:color w:val="222222"/>
          <w:sz w:val="24"/>
          <w:szCs w:val="24"/>
          <w:highlight w:val="white"/>
          <w:u w:val="none"/>
          <w:vertAlign w:val="baseline"/>
          <w:rtl w:val="0"/>
        </w:rPr>
        <w:t xml:space="preserve"> la respuesta del </w:t>
      </w:r>
      <w:r w:rsidDel="00000000" w:rsidR="00000000" w:rsidRPr="00000000">
        <w:rPr>
          <w:rFonts w:ascii="Palatino Linotype" w:cs="Palatino Linotype" w:eastAsia="Palatino Linotype" w:hAnsi="Palatino Linotype"/>
          <w:b w:val="1"/>
          <w:i w:val="0"/>
          <w:smallCaps w:val="0"/>
          <w:strike w:val="0"/>
          <w:color w:val="222222"/>
          <w:sz w:val="24"/>
          <w:szCs w:val="24"/>
          <w:highlight w:val="white"/>
          <w:u w:val="none"/>
          <w:vertAlign w:val="baseline"/>
          <w:rtl w:val="0"/>
        </w:rPr>
        <w:t xml:space="preserve">SUJETO OBLIGADO.</w:t>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SEGUNDO.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ORDENA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 efecto de que, remita a través del Sistema de Acceso a la Información Mexiquense (SAIMEX), lo siguiente; </w:t>
      </w:r>
      <w:r w:rsidDel="00000000" w:rsidR="00000000" w:rsidRPr="00000000">
        <w:rPr>
          <w:rtl w:val="0"/>
        </w:rPr>
      </w:r>
    </w:p>
    <w:p w:rsidR="00000000" w:rsidDel="00000000" w:rsidP="00000000" w:rsidRDefault="00000000" w:rsidRPr="00000000" w14:paraId="000000FA">
      <w:pPr>
        <w:rPr>
          <w:color w:val="000000"/>
        </w:rPr>
      </w:pPr>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240" w:line="360" w:lineRule="auto"/>
        <w:ind w:left="720" w:right="49"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Acuerdo que emita el Comité de Transparencia, en el que clasifique como información confidencial en su to</w:t>
      </w:r>
      <w:r w:rsidDel="00000000" w:rsidR="00000000" w:rsidRPr="00000000">
        <w:rPr>
          <w:rFonts w:ascii="Palatino Linotype" w:cs="Palatino Linotype" w:eastAsia="Palatino Linotype" w:hAnsi="Palatino Linotype"/>
          <w:rtl w:val="0"/>
        </w:rPr>
        <w:t xml:space="preserve">talidad</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las actas de nacimiento de los servidores públicos enunciados en la solicitud de información número: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00830/DIFMETEPEC/IP/2022.</w:t>
      </w:r>
      <w:r w:rsidDel="00000000" w:rsidR="00000000" w:rsidRPr="00000000">
        <w:rPr>
          <w:rtl w:val="0"/>
        </w:rPr>
      </w:r>
    </w:p>
    <w:p w:rsidR="00000000" w:rsidDel="00000000" w:rsidP="00000000" w:rsidRDefault="00000000" w:rsidRPr="00000000" w14:paraId="000000FC">
      <w:pPr>
        <w:rPr>
          <w:color w:val="000000"/>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90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En caso de que no se cuente con la información, deberá emitir el acuerdo de inexistencia, en términos de lo establecido en el artículo 19, párrafo tercero, 169 y 170, de la Ley de Transparencia y Acceso a la Información Pública del Estado de México y Municipios. </w:t>
      </w:r>
      <w:r w:rsidDel="00000000" w:rsidR="00000000" w:rsidRPr="00000000">
        <w:rPr>
          <w:rtl w:val="0"/>
        </w:rPr>
      </w:r>
    </w:p>
    <w:p w:rsidR="00000000" w:rsidDel="00000000" w:rsidP="00000000" w:rsidRDefault="00000000" w:rsidRPr="00000000" w14:paraId="000000FE">
      <w:pPr>
        <w:spacing w:after="240" w:lineRule="auto"/>
        <w:rPr>
          <w:i w:val="1"/>
          <w:sz w:val="22"/>
          <w:szCs w:val="22"/>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tabs>
          <w:tab w:val="left" w:pos="7936"/>
        </w:tabs>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TERCERO. Notifíquese</w:t>
      </w:r>
      <w:r w:rsidDel="00000000" w:rsidR="00000000" w:rsidRPr="00000000">
        <w:rPr>
          <w:rFonts w:ascii="Palatino Linotype" w:cs="Palatino Linotype" w:eastAsia="Palatino Linotype" w:hAnsi="Palatino Linotype"/>
          <w:color w:val="000000"/>
          <w:rtl w:val="0"/>
        </w:rPr>
        <w:t xml:space="preserve"> vía</w:t>
      </w:r>
      <w:r w:rsidDel="00000000" w:rsidR="00000000" w:rsidRPr="00000000">
        <w:rPr>
          <w:rFonts w:ascii="Palatino Linotype" w:cs="Palatino Linotype" w:eastAsia="Palatino Linotype" w:hAnsi="Palatino Linotype"/>
          <w:b w:val="1"/>
          <w:color w:val="000000"/>
          <w:rtl w:val="0"/>
        </w:rPr>
        <w:t xml:space="preserve"> SAIMEX, </w:t>
      </w:r>
      <w:r w:rsidDel="00000000" w:rsidR="00000000" w:rsidRPr="00000000">
        <w:rPr>
          <w:rFonts w:ascii="Palatino Linotype" w:cs="Palatino Linotype" w:eastAsia="Palatino Linotype" w:hAnsi="Palatino Linotype"/>
          <w:color w:val="000000"/>
          <w:rtl w:val="0"/>
        </w:rPr>
        <w:t xml:space="preserve">al Titular de la Unidad de Transparencia del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la presente resolución, para su conocimiento.</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CUARTO. Notifíquese,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vía</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SAIMEX</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parte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 presente resolución, así como, ue de conformidad con lo establecido en los artículos 159 y 160 de la Ley General de Transparencia y Acceso a la Información Pública, y en el artículo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los términos de las leyes aplicables.</w:t>
      </w:r>
      <w:r w:rsidDel="00000000" w:rsidR="00000000" w:rsidRPr="00000000">
        <w:rPr>
          <w:rtl w:val="0"/>
        </w:rPr>
      </w:r>
    </w:p>
    <w:p w:rsidR="00000000" w:rsidDel="00000000" w:rsidP="00000000" w:rsidRDefault="00000000" w:rsidRPr="00000000" w14:paraId="00000101">
      <w:pPr>
        <w:spacing w:after="240" w:before="240" w:line="360" w:lineRule="auto"/>
        <w:jc w:val="both"/>
        <w:rPr>
          <w:rFonts w:ascii="Palatino Linotype" w:cs="Palatino Linotype" w:eastAsia="Palatino Linotype" w:hAnsi="Palatino Linotype"/>
        </w:rPr>
        <w:sectPr>
          <w:headerReference r:id="rId16" w:type="default"/>
          <w:headerReference r:id="rId17" w:type="first"/>
          <w:footerReference r:id="rId18" w:type="default"/>
          <w:footerReference r:id="rId19" w:type="first"/>
          <w:pgSz w:h="15840" w:w="12240" w:orient="portrait"/>
          <w:pgMar w:bottom="1701" w:top="2041" w:left="1701" w:right="1701" w:header="709" w:footer="709"/>
          <w:pgNumType w:start="1"/>
          <w:titlePg w:val="1"/>
        </w:sectPr>
      </w:pPr>
      <w:r w:rsidDel="00000000" w:rsidR="00000000" w:rsidRPr="00000000">
        <w:rPr>
          <w:rFonts w:ascii="Palatino Linotype" w:cs="Palatino Linotype" w:eastAsia="Palatino Linotype" w:hAnsi="Palatino Linotype"/>
          <w:color w:val="222222"/>
          <w:highlight w:val="whit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SESIÓN ORDINARIA CELEBRADA EL </w:t>
      </w:r>
      <w:r w:rsidDel="00000000" w:rsidR="00000000" w:rsidRPr="00000000">
        <w:rPr>
          <w:rFonts w:ascii="Palatino Linotype" w:cs="Palatino Linotype" w:eastAsia="Palatino Linotype" w:hAnsi="Palatino Linotype"/>
          <w:color w:val="222222"/>
          <w:rtl w:val="0"/>
        </w:rPr>
        <w:t xml:space="preserve">VEINTICUATRO</w:t>
      </w:r>
      <w:r w:rsidDel="00000000" w:rsidR="00000000" w:rsidRPr="00000000">
        <w:rPr>
          <w:rFonts w:ascii="Palatino Linotype" w:cs="Palatino Linotype" w:eastAsia="Palatino Linotype" w:hAnsi="Palatino Linotype"/>
          <w:rtl w:val="0"/>
        </w:rPr>
        <w:t xml:space="preserve"> DE AGOSTO DEL DOS MIL VEINTIDÓS, ANTE EL SECRETARIO TÉCNICO DEL PLENO ALEXIS TAPIA RAMÍREZ.                             </w:t>
      </w:r>
    </w:p>
    <w:p w:rsidR="00000000" w:rsidDel="00000000" w:rsidP="00000000" w:rsidRDefault="00000000" w:rsidRPr="00000000" w14:paraId="00000102">
      <w:pPr>
        <w:spacing w:after="240" w:before="240" w:line="360" w:lineRule="auto"/>
        <w:jc w:val="both"/>
        <w:rPr>
          <w:rFonts w:ascii="Palatino Linotype" w:cs="Palatino Linotype" w:eastAsia="Palatino Linotype" w:hAnsi="Palatino Linotype"/>
        </w:rPr>
      </w:pPr>
      <w:r w:rsidDel="00000000" w:rsidR="00000000" w:rsidRPr="00000000">
        <w:rPr>
          <w:rtl w:val="0"/>
        </w:rPr>
      </w:r>
    </w:p>
    <w:sectPr>
      <w:headerReference r:id="rId20" w:type="first"/>
      <w:type w:val="nextPage"/>
      <w:pgSz w:h="15840" w:w="1224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9">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tabs>
        <w:tab w:val="center" w:pos="4252"/>
        <w:tab w:val="right" w:pos="8504"/>
      </w:tabs>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B">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tabs>
        <w:tab w:val="center" w:pos="4252"/>
        <w:tab w:val="right" w:pos="8504"/>
      </w:tabs>
      <w:ind w:firstLine="708"/>
      <w:rPr>
        <w:rFonts w:ascii="Calibri" w:cs="Calibri" w:eastAsia="Calibri" w:hAnsi="Calibri"/>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03">
      <w:pPr>
        <w:rPr>
          <w:rFonts w:ascii="Cambria" w:cs="Cambria" w:eastAsia="Cambria" w:hAnsi="Cambria"/>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sz w:val="20"/>
          <w:szCs w:val="20"/>
          <w:rtl w:val="0"/>
        </w:rPr>
        <w:t xml:space="preserve"> </w:t>
      </w:r>
      <w:r w:rsidDel="00000000" w:rsidR="00000000" w:rsidRPr="00000000">
        <w:rPr>
          <w:rFonts w:ascii="Palatino Linotype" w:cs="Palatino Linotype" w:eastAsia="Palatino Linotype" w:hAnsi="Palatino Linotype"/>
          <w:sz w:val="16"/>
          <w:szCs w:val="16"/>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Fonts w:ascii="Cambria" w:cs="Cambria" w:eastAsia="Cambria" w:hAnsi="Cambria"/>
          <w:sz w:val="20"/>
          <w:szCs w:val="20"/>
          <w:rtl w:val="0"/>
        </w:rPr>
        <w:t xml:space="preserve"> (…)</w:t>
      </w:r>
    </w:p>
  </w:footnote>
  <w:footnote w:id="1">
    <w:p w:rsidR="00000000" w:rsidDel="00000000" w:rsidP="00000000" w:rsidRDefault="00000000" w:rsidRPr="00000000" w14:paraId="00000104">
      <w:pPr>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sz w:val="19"/>
          <w:szCs w:val="19"/>
          <w:rtl w:val="0"/>
        </w:rPr>
        <w:t xml:space="preserve"> </w:t>
      </w:r>
      <w:r w:rsidDel="00000000" w:rsidR="00000000" w:rsidRPr="00000000">
        <w:rPr>
          <w:rFonts w:ascii="Palatino Linotype" w:cs="Palatino Linotype" w:eastAsia="Palatino Linotype" w:hAnsi="Palatino Linotype"/>
          <w:sz w:val="16"/>
          <w:szCs w:val="16"/>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5">
    <w:pPr>
      <w:pBdr>
        <w:top w:space="0" w:sz="0" w:val="nil"/>
        <w:left w:space="0" w:sz="0" w:val="nil"/>
        <w:bottom w:space="0" w:sz="0" w:val="nil"/>
        <w:right w:space="0" w:sz="0" w:val="nil"/>
        <w:between w:space="0" w:sz="0" w:val="nil"/>
      </w:pBdr>
      <w:tabs>
        <w:tab w:val="center" w:pos="4252"/>
        <w:tab w:val="right"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-846154</wp:posOffset>
          </wp:positionH>
          <wp:positionV relativeFrom="paragraph">
            <wp:posOffset>-171225</wp:posOffset>
          </wp:positionV>
          <wp:extent cx="7809876" cy="10165823"/>
          <wp:effectExtent b="0" l="0" r="0" t="0"/>
          <wp:wrapNone/>
          <wp:docPr id="8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10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07">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06204/INFOEM/IP/RR/2022. </w:t>
          </w:r>
        </w:p>
      </w:tc>
    </w:tr>
    <w:tr>
      <w:trPr>
        <w:cantSplit w:val="0"/>
        <w:tblHeader w:val="0"/>
      </w:trPr>
      <w:tc>
        <w:tcPr>
          <w:vAlign w:val="center"/>
        </w:tcPr>
        <w:p w:rsidR="00000000" w:rsidDel="00000000" w:rsidP="00000000" w:rsidRDefault="00000000" w:rsidRPr="00000000" w14:paraId="00000108">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109">
          <w:pPr>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10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0B">
          <w:pPr>
            <w:ind w:right="-151"/>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Sistema Municipal Para el Desarrollo Integral de la Familia de Metepec</w:t>
          </w:r>
        </w:p>
      </w:tc>
    </w:tr>
    <w:tr>
      <w:trPr>
        <w:cantSplit w:val="0"/>
        <w:tblHeader w:val="0"/>
      </w:trPr>
      <w:tc>
        <w:tcPr>
          <w:vAlign w:val="center"/>
        </w:tcPr>
        <w:p w:rsidR="00000000" w:rsidDel="00000000" w:rsidP="00000000" w:rsidRDefault="00000000" w:rsidRPr="00000000" w14:paraId="0000010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0D">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0E">
    <w:pPr>
      <w:pBdr>
        <w:top w:space="0" w:sz="0" w:val="nil"/>
        <w:left w:space="0" w:sz="0" w:val="nil"/>
        <w:bottom w:space="0" w:sz="0" w:val="nil"/>
        <w:right w:space="0" w:sz="0" w:val="nil"/>
        <w:between w:space="0" w:sz="0" w:val="nil"/>
      </w:pBdr>
      <w:tabs>
        <w:tab w:val="center" w:pos="4252"/>
        <w:tab w:val="right" w:pos="8504"/>
      </w:tabs>
      <w:rPr>
        <w:rFonts w:ascii="Calibri" w:cs="Calibri" w:eastAsia="Calibri" w:hAnsi="Calibri"/>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p>
  <w:tbl>
    <w:tblPr>
      <w:tblStyle w:val="Table2"/>
      <w:tblW w:w="5528.0" w:type="dxa"/>
      <w:jc w:val="left"/>
      <w:tblInd w:w="3261.0" w:type="dxa"/>
      <w:tblLayout w:type="fixed"/>
      <w:tblLook w:val="0400"/>
    </w:tblPr>
    <w:tblGrid>
      <w:gridCol w:w="2551"/>
      <w:gridCol w:w="2977"/>
      <w:tblGridChange w:id="0">
        <w:tblGrid>
          <w:gridCol w:w="2551"/>
          <w:gridCol w:w="2977"/>
        </w:tblGrid>
      </w:tblGridChange>
    </w:tblGrid>
    <w:tr>
      <w:trPr>
        <w:cantSplit w:val="0"/>
        <w:tblHeader w:val="0"/>
      </w:trPr>
      <w:tc>
        <w:tcPr>
          <w:vAlign w:val="center"/>
        </w:tcPr>
        <w:p w:rsidR="00000000" w:rsidDel="00000000" w:rsidP="00000000" w:rsidRDefault="00000000" w:rsidRPr="00000000" w14:paraId="0000011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11">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06204/INFOEM/IP/RR/2022</w:t>
          </w:r>
        </w:p>
      </w:tc>
    </w:tr>
    <w:tr>
      <w:trPr>
        <w:cantSplit w:val="0"/>
        <w:trHeight w:val="228" w:hRule="atLeast"/>
        <w:tblHeader w:val="0"/>
      </w:trPr>
      <w:tc>
        <w:tcPr>
          <w:vAlign w:val="center"/>
        </w:tcPr>
        <w:p w:rsidR="00000000" w:rsidDel="00000000" w:rsidP="00000000" w:rsidRDefault="00000000" w:rsidRPr="00000000" w14:paraId="0000011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13">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Sistema Municipal Para el Desarrollo Integral de la Familia de Metepec</w:t>
          </w:r>
        </w:p>
      </w:tc>
    </w:tr>
    <w:tr>
      <w:trPr>
        <w:cantSplit w:val="0"/>
        <w:tblHeader w:val="0"/>
      </w:trPr>
      <w:tc>
        <w:tcPr>
          <w:vAlign w:val="center"/>
        </w:tcPr>
        <w:p w:rsidR="00000000" w:rsidDel="00000000" w:rsidP="00000000" w:rsidRDefault="00000000" w:rsidRPr="00000000" w14:paraId="0000011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15">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16">
    <w:pPr>
      <w:pBdr>
        <w:top w:space="0" w:sz="0" w:val="nil"/>
        <w:left w:space="0" w:sz="0" w:val="nil"/>
        <w:bottom w:space="0" w:sz="0" w:val="nil"/>
        <w:right w:space="0" w:sz="0" w:val="nil"/>
        <w:between w:space="0" w:sz="0" w:val="nil"/>
      </w:pBdr>
      <w:tabs>
        <w:tab w:val="center" w:pos="4252"/>
        <w:tab w:val="right" w:pos="8504"/>
        <w:tab w:val="left" w:pos="2326"/>
      </w:tabs>
      <w:rPr>
        <w:rFonts w:ascii="Calibri" w:cs="Calibri" w:eastAsia="Calibri" w:hAnsi="Calibri"/>
        <w:color w:val="000000"/>
      </w:rPr>
    </w:pPr>
    <w:r w:rsidDel="00000000" w:rsidR="00000000" w:rsidRPr="00000000">
      <w:rPr>
        <w:rFonts w:ascii="Calibri" w:cs="Calibri" w:eastAsia="Calibri" w:hAnsi="Calibri"/>
        <w:color w:val="000000"/>
        <w:rtl w:val="0"/>
      </w:rPr>
      <w:tab/>
    </w:r>
    <w:r w:rsidDel="00000000" w:rsidR="00000000" w:rsidRPr="00000000">
      <w:drawing>
        <wp:anchor allowOverlap="1" behindDoc="1" distB="0" distT="0" distL="0" distR="0" hidden="0" layoutInCell="1" locked="0" relativeHeight="0" simplePos="0">
          <wp:simplePos x="0" y="0"/>
          <wp:positionH relativeFrom="column">
            <wp:posOffset>-695764</wp:posOffset>
          </wp:positionH>
          <wp:positionV relativeFrom="paragraph">
            <wp:posOffset>-1200939</wp:posOffset>
          </wp:positionV>
          <wp:extent cx="7809876" cy="10165823"/>
          <wp:effectExtent b="0" l="0" r="0" t="0"/>
          <wp:wrapNone/>
          <wp:docPr id="8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7">
    <w:pPr>
      <w:pBdr>
        <w:top w:space="0" w:sz="0" w:val="nil"/>
        <w:left w:space="0" w:sz="0" w:val="nil"/>
        <w:bottom w:space="0" w:sz="0" w:val="nil"/>
        <w:right w:space="0" w:sz="0" w:val="nil"/>
        <w:between w:space="0" w:sz="0" w:val="nil"/>
      </w:pBdr>
      <w:tabs>
        <w:tab w:val="center" w:pos="4252"/>
        <w:tab w:val="right"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tabs>
        <w:tab w:val="center" w:pos="4252"/>
        <w:tab w:val="right"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94" w:hanging="360"/>
      </w:pPr>
      <w:rPr/>
    </w:lvl>
    <w:lvl w:ilvl="1">
      <w:start w:val="1"/>
      <w:numFmt w:val="lowerLetter"/>
      <w:lvlText w:val="%2."/>
      <w:lvlJc w:val="left"/>
      <w:pPr>
        <w:ind w:left="2214" w:hanging="360"/>
      </w:pPr>
      <w:rPr/>
    </w:lvl>
    <w:lvl w:ilvl="2">
      <w:start w:val="1"/>
      <w:numFmt w:val="lowerRoman"/>
      <w:lvlText w:val="%3."/>
      <w:lvlJc w:val="right"/>
      <w:pPr>
        <w:ind w:left="2934" w:hanging="180"/>
      </w:pPr>
      <w:rPr/>
    </w:lvl>
    <w:lvl w:ilvl="3">
      <w:start w:val="1"/>
      <w:numFmt w:val="decimal"/>
      <w:lvlText w:val="%4."/>
      <w:lvlJc w:val="left"/>
      <w:pPr>
        <w:ind w:left="3654" w:hanging="360"/>
      </w:pPr>
      <w:rPr/>
    </w:lvl>
    <w:lvl w:ilvl="4">
      <w:start w:val="1"/>
      <w:numFmt w:val="lowerLetter"/>
      <w:lvlText w:val="%5."/>
      <w:lvlJc w:val="left"/>
      <w:pPr>
        <w:ind w:left="4374" w:hanging="360"/>
      </w:pPr>
      <w:rPr/>
    </w:lvl>
    <w:lvl w:ilvl="5">
      <w:start w:val="1"/>
      <w:numFmt w:val="lowerRoman"/>
      <w:lvlText w:val="%6."/>
      <w:lvlJc w:val="right"/>
      <w:pPr>
        <w:ind w:left="5094" w:hanging="180"/>
      </w:pPr>
      <w:rPr/>
    </w:lvl>
    <w:lvl w:ilvl="6">
      <w:start w:val="1"/>
      <w:numFmt w:val="decimal"/>
      <w:lvlText w:val="%7."/>
      <w:lvlJc w:val="left"/>
      <w:pPr>
        <w:ind w:left="5814" w:hanging="360"/>
      </w:pPr>
      <w:rPr/>
    </w:lvl>
    <w:lvl w:ilvl="7">
      <w:start w:val="1"/>
      <w:numFmt w:val="lowerLetter"/>
      <w:lvlText w:val="%8."/>
      <w:lvlJc w:val="left"/>
      <w:pPr>
        <w:ind w:left="6534" w:hanging="360"/>
      </w:pPr>
      <w:rPr/>
    </w:lvl>
    <w:lvl w:ilvl="8">
      <w:start w:val="1"/>
      <w:numFmt w:val="lowerRoman"/>
      <w:lvlText w:val="%9."/>
      <w:lvlJc w:val="right"/>
      <w:pPr>
        <w:ind w:left="7254" w:hanging="180"/>
      </w:pPr>
      <w:rPr/>
    </w:lvl>
  </w:abstractNum>
  <w:abstractNum w:abstractNumId="2">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9A311E"/>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link w:val="Ttulo3Car"/>
    <w:uiPriority w:val="9"/>
    <w:semiHidden w:val="1"/>
    <w:unhideWhenUsed w:val="1"/>
    <w:qFormat w:val="1"/>
    <w:rsid w:val="002D2EAC"/>
    <w:pPr>
      <w:spacing w:after="100" w:afterAutospacing="1" w:before="100" w:beforeAutospacing="1"/>
      <w:outlineLvl w:val="2"/>
    </w:pPr>
    <w:rPr>
      <w:b w:val="1"/>
      <w:bCs w:val="1"/>
      <w:sz w:val="27"/>
      <w:szCs w:val="27"/>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AC3C64"/>
    <w:rPr>
      <w:rFonts w:eastAsiaTheme="minorEastAsia"/>
      <w:sz w:val="24"/>
      <w:szCs w:val="24"/>
      <w:lang w:eastAsia="es-ES" w:val="es-ES_tradnl"/>
    </w:rPr>
  </w:style>
  <w:style w:type="paragraph" w:styleId="Piedepgina">
    <w:name w:val="footer"/>
    <w:basedOn w:val="Normal"/>
    <w:link w:val="Piedepgina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AC3C64"/>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AC3C6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AC3C64"/>
  </w:style>
  <w:style w:type="character" w:styleId="apple-converted-space" w:customStyle="1">
    <w:name w:val="apple-converted-space"/>
    <w:basedOn w:val="Fuentedeprrafopredeter"/>
    <w:rsid w:val="00AC3C64"/>
  </w:style>
  <w:style w:type="paragraph" w:styleId="paragraph" w:customStyle="1">
    <w:name w:val="paragraph"/>
    <w:basedOn w:val="Normal"/>
    <w:rsid w:val="00AC3C64"/>
    <w:pPr>
      <w:spacing w:after="100" w:afterAutospacing="1" w:before="100" w:beforeAutospacing="1"/>
    </w:pPr>
  </w:style>
  <w:style w:type="character" w:styleId="eop" w:customStyle="1">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C3C64"/>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val="1"/>
    <w:qFormat w:val="1"/>
    <w:rsid w:val="00AC3C64"/>
    <w:rPr>
      <w:vertAlign w:val="superscript"/>
    </w:rPr>
  </w:style>
  <w:style w:type="character" w:styleId="Hipervnculo">
    <w:name w:val="Hyperlink"/>
    <w:basedOn w:val="Fuentedeprrafopredeter"/>
    <w:uiPriority w:val="99"/>
    <w:unhideWhenUsed w:val="1"/>
    <w:rsid w:val="00AC3C64"/>
    <w:rPr>
      <w:color w:val="0563c1" w:themeColor="hyperlink"/>
      <w:u w:val="single"/>
    </w:rPr>
  </w:style>
  <w:style w:type="paragraph" w:styleId="NormalWeb">
    <w:name w:val="Normal (Web)"/>
    <w:basedOn w:val="Normal"/>
    <w:uiPriority w:val="99"/>
    <w:unhideWhenUsed w:val="1"/>
    <w:rsid w:val="00AC3C64"/>
    <w:pPr>
      <w:spacing w:after="100" w:afterAutospacing="1" w:before="100" w:beforeAutospacing="1"/>
    </w:pPr>
  </w:style>
  <w:style w:type="character" w:styleId="Ttulo3Car" w:customStyle="1">
    <w:name w:val="Título 3 Car"/>
    <w:basedOn w:val="Fuentedeprrafopredeter"/>
    <w:link w:val="Ttulo3"/>
    <w:uiPriority w:val="9"/>
    <w:rsid w:val="002D2EAC"/>
    <w:rPr>
      <w:rFonts w:ascii="Times New Roman" w:cs="Times New Roman" w:eastAsia="Times New Roman" w:hAnsi="Times New Roman"/>
      <w:b w:val="1"/>
      <w:bCs w:val="1"/>
      <w:sz w:val="27"/>
      <w:szCs w:val="27"/>
      <w:lang w:eastAsia="es-MX"/>
    </w:rPr>
  </w:style>
  <w:style w:type="character" w:styleId="titulorubro" w:customStyle="1">
    <w:name w:val="titulorubro"/>
    <w:basedOn w:val="Fuentedeprrafopredeter"/>
    <w:rsid w:val="002D2EAC"/>
  </w:style>
  <w:style w:type="paragraph" w:styleId="Textoindependiente">
    <w:name w:val="Body Text"/>
    <w:basedOn w:val="Normal"/>
    <w:link w:val="TextoindependienteCar"/>
    <w:uiPriority w:val="1"/>
    <w:qFormat w:val="1"/>
    <w:rsid w:val="006F3C93"/>
    <w:pPr>
      <w:autoSpaceDE w:val="0"/>
      <w:autoSpaceDN w:val="0"/>
      <w:adjustRightInd w:val="0"/>
      <w:ind w:left="93"/>
    </w:pPr>
    <w:rPr>
      <w:rFonts w:eastAsiaTheme="minorHAnsi"/>
      <w:sz w:val="23"/>
      <w:szCs w:val="23"/>
      <w:lang w:eastAsia="en-US"/>
    </w:rPr>
  </w:style>
  <w:style w:type="character" w:styleId="TextoindependienteCar" w:customStyle="1">
    <w:name w:val="Texto independiente Car"/>
    <w:basedOn w:val="Fuentedeprrafopredeter"/>
    <w:link w:val="Textoindependiente"/>
    <w:uiPriority w:val="1"/>
    <w:rsid w:val="006F3C93"/>
    <w:rPr>
      <w:rFonts w:ascii="Times New Roman" w:cs="Times New Roman" w:hAnsi="Times New Roman"/>
      <w:sz w:val="23"/>
      <w:szCs w:val="23"/>
    </w:rPr>
  </w:style>
  <w:style w:type="paragraph" w:styleId="Textodeglobo">
    <w:name w:val="Balloon Text"/>
    <w:basedOn w:val="Normal"/>
    <w:link w:val="TextodegloboCar"/>
    <w:uiPriority w:val="99"/>
    <w:semiHidden w:val="1"/>
    <w:unhideWhenUsed w:val="1"/>
    <w:rsid w:val="00A037B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037B6"/>
    <w:rPr>
      <w:rFonts w:ascii="Segoe UI" w:cs="Segoe UI" w:eastAsia="Times New Roman" w:hAnsi="Segoe UI"/>
      <w:sz w:val="18"/>
      <w:szCs w:val="18"/>
      <w:lang w:eastAsia="es-ES" w:val="es-ES"/>
    </w:rPr>
  </w:style>
  <w:style w:type="paragraph" w:styleId="Pa1" w:customStyle="1">
    <w:name w:val="Pa1"/>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rPr>
  </w:style>
  <w:style w:type="paragraph" w:styleId="Pa2" w:customStyle="1">
    <w:name w:val="Pa2"/>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rPr>
  </w:style>
  <w:style w:type="paragraph" w:styleId="Pa3" w:customStyle="1">
    <w:name w:val="Pa3"/>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rPr>
  </w:style>
  <w:style w:type="paragraph" w:styleId="Sinespaciado">
    <w:name w:val="No Spacing"/>
    <w:aliases w:val="Francesa,INAI"/>
    <w:link w:val="SinespaciadoCar"/>
    <w:uiPriority w:val="1"/>
    <w:qFormat w:val="1"/>
    <w:rsid w:val="00CE2CFE"/>
  </w:style>
  <w:style w:type="character" w:styleId="SinespaciadoCar" w:customStyle="1">
    <w:name w:val="Sin espaciado Car"/>
    <w:aliases w:val="Francesa Car,INAI Car"/>
    <w:link w:val="Sinespaciado"/>
    <w:uiPriority w:val="1"/>
    <w:locked w:val="1"/>
    <w:rsid w:val="00CE2CFE"/>
  </w:style>
  <w:style w:type="table" w:styleId="Tabladelista1clara-nfasis1">
    <w:name w:val="List Table 1 Light Accent 1"/>
    <w:basedOn w:val="Tablanormal"/>
    <w:uiPriority w:val="46"/>
    <w:rsid w:val="00D30935"/>
    <w:rPr>
      <w:rFonts w:eastAsiaTheme="minorEastAsia"/>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4"/>
    <w:tblPr>
      <w:tblStyleRowBandSize w:val="1"/>
      <w:tblStyleColBandSize w:val="1"/>
      <w:tblCellMar>
        <w:left w:w="108.0" w:type="dxa"/>
        <w:right w:w="108.0" w:type="dxa"/>
      </w:tblCellMar>
    </w:tblPr>
  </w:style>
  <w:style w:type="table" w:styleId="a0" w:customStyle="1">
    <w:basedOn w:val="TableNormal4"/>
    <w:tblPr>
      <w:tblStyleRowBandSize w:val="1"/>
      <w:tblStyleColBandSize w:val="1"/>
      <w:tblCellMar>
        <w:left w:w="115.0" w:type="dxa"/>
        <w:right w:w="115.0" w:type="dxa"/>
      </w:tblCellMar>
    </w:tblPr>
  </w:style>
  <w:style w:type="table" w:styleId="a1" w:customStyle="1">
    <w:basedOn w:val="TableNormal4"/>
    <w:tblPr>
      <w:tblStyleRowBandSize w:val="1"/>
      <w:tblStyleColBandSize w:val="1"/>
      <w:tblCellMar>
        <w:left w:w="115.0" w:type="dxa"/>
        <w:right w:w="115.0" w:type="dxa"/>
      </w:tblCellMar>
    </w:tblPr>
  </w:style>
  <w:style w:type="character" w:styleId="Hipervnculovisitado">
    <w:name w:val="FollowedHyperlink"/>
    <w:basedOn w:val="Fuentedeprrafopredeter"/>
    <w:uiPriority w:val="99"/>
    <w:semiHidden w:val="1"/>
    <w:unhideWhenUsed w:val="1"/>
    <w:rsid w:val="00B93218"/>
    <w:rPr>
      <w:color w:val="954f72" w:themeColor="followedHyperlink"/>
      <w:u w:val="single"/>
    </w:rPr>
  </w:style>
  <w:style w:type="table" w:styleId="a2" w:customStyle="1">
    <w:basedOn w:val="TableNormal4"/>
    <w:tblPr>
      <w:tblStyleRowBandSize w:val="1"/>
      <w:tblStyleColBandSize w:val="1"/>
      <w:tblCellMar>
        <w:left w:w="108.0" w:type="dxa"/>
        <w:right w:w="108.0" w:type="dxa"/>
      </w:tblCellMar>
    </w:tblPr>
  </w:style>
  <w:style w:type="table" w:styleId="a3" w:customStyle="1">
    <w:basedOn w:val="TableNormal4"/>
    <w:tblPr>
      <w:tblStyleRowBandSize w:val="1"/>
      <w:tblStyleColBandSize w:val="1"/>
      <w:tblCellMar>
        <w:left w:w="108.0" w:type="dxa"/>
        <w:right w:w="108.0" w:type="dxa"/>
      </w:tblCellMar>
    </w:tblPr>
  </w:style>
  <w:style w:type="table" w:styleId="a4" w:customStyle="1">
    <w:basedOn w:val="TableNormal4"/>
    <w:tblPr>
      <w:tblStyleRowBandSize w:val="1"/>
      <w:tblStyleColBandSize w:val="1"/>
      <w:tblCellMar>
        <w:left w:w="108.0" w:type="dxa"/>
        <w:right w:w="108.0" w:type="dxa"/>
      </w:tblCellMar>
    </w:tblPr>
  </w:style>
  <w:style w:type="table" w:styleId="a5" w:customStyle="1">
    <w:basedOn w:val="TableNormal4"/>
    <w:tblPr>
      <w:tblStyleRowBandSize w:val="1"/>
      <w:tblStyleColBandSize w:val="1"/>
      <w:tblCellMar>
        <w:left w:w="108.0" w:type="dxa"/>
        <w:right w:w="108.0" w:type="dxa"/>
      </w:tblCellMar>
    </w:tblPr>
  </w:style>
  <w:style w:type="table" w:styleId="a6" w:customStyle="1">
    <w:basedOn w:val="TableNormal4"/>
    <w:tblPr>
      <w:tblStyleRowBandSize w:val="1"/>
      <w:tblStyleColBandSize w:val="1"/>
      <w:tblCellMar>
        <w:left w:w="108.0" w:type="dxa"/>
        <w:right w:w="108.0" w:type="dxa"/>
      </w:tblCellMar>
    </w:tblPr>
  </w:style>
  <w:style w:type="table" w:styleId="a7" w:customStyle="1">
    <w:basedOn w:val="TableNormal4"/>
    <w:tblPr>
      <w:tblStyleRowBandSize w:val="1"/>
      <w:tblStyleColBandSize w:val="1"/>
      <w:tblCellMar>
        <w:left w:w="108.0" w:type="dxa"/>
        <w:right w:w="108.0" w:type="dxa"/>
      </w:tblCellMar>
    </w:tblPr>
  </w:style>
  <w:style w:type="table" w:styleId="a8" w:customStyle="1">
    <w:basedOn w:val="TableNormal4"/>
    <w:tblPr>
      <w:tblStyleRowBandSize w:val="1"/>
      <w:tblStyleColBandSize w:val="1"/>
      <w:tblCellMar>
        <w:left w:w="108.0" w:type="dxa"/>
        <w:right w:w="108.0" w:type="dxa"/>
      </w:tblCellMar>
    </w:tblPr>
  </w:style>
  <w:style w:type="table" w:styleId="a9" w:customStyle="1">
    <w:basedOn w:val="TableNormal4"/>
    <w:tblPr>
      <w:tblStyleRowBandSize w:val="1"/>
      <w:tblStyleColBandSize w:val="1"/>
      <w:tblCellMar>
        <w:left w:w="115.0" w:type="dxa"/>
        <w:right w:w="115.0" w:type="dxa"/>
      </w:tblCellMar>
    </w:tblPr>
  </w:style>
  <w:style w:type="table" w:styleId="aa" w:customStyle="1">
    <w:basedOn w:val="TableNormal4"/>
    <w:tblPr>
      <w:tblStyleRowBandSize w:val="1"/>
      <w:tblStyleColBandSize w:val="1"/>
      <w:tblCellMar>
        <w:left w:w="115.0" w:type="dxa"/>
        <w:right w:w="115.0" w:type="dxa"/>
      </w:tblCellMar>
    </w:tblPr>
  </w:style>
  <w:style w:type="table" w:styleId="ab" w:customStyle="1">
    <w:basedOn w:val="TableNormal4"/>
    <w:tblPr>
      <w:tblStyleRowBandSize w:val="1"/>
      <w:tblStyleColBandSize w:val="1"/>
      <w:tblCellMar>
        <w:left w:w="115.0" w:type="dxa"/>
        <w:right w:w="115.0" w:type="dxa"/>
      </w:tblCellMar>
    </w:tblPr>
  </w:style>
  <w:style w:type="table" w:styleId="ac" w:customStyle="1">
    <w:basedOn w:val="TableNormal3"/>
    <w:tblPr>
      <w:tblStyleRowBandSize w:val="1"/>
      <w:tblStyleColBandSize w:val="1"/>
      <w:tblCellMar>
        <w:left w:w="115.0" w:type="dxa"/>
        <w:right w:w="115.0" w:type="dxa"/>
      </w:tblCellMar>
    </w:tblPr>
  </w:style>
  <w:style w:type="table" w:styleId="ad" w:customStyle="1">
    <w:basedOn w:val="TableNormal3"/>
    <w:tblPr>
      <w:tblStyleRowBandSize w:val="1"/>
      <w:tblStyleColBandSize w:val="1"/>
      <w:tblCellMar>
        <w:left w:w="115.0" w:type="dxa"/>
        <w:right w:w="115.0" w:type="dxa"/>
      </w:tblCellMar>
    </w:tblPr>
  </w:style>
  <w:style w:type="table" w:styleId="ae" w:customStyle="1">
    <w:basedOn w:val="TableNormal3"/>
    <w:tblPr>
      <w:tblStyleRowBandSize w:val="1"/>
      <w:tblStyleColBandSize w:val="1"/>
      <w:tblCellMar>
        <w:left w:w="115.0" w:type="dxa"/>
        <w:right w:w="115.0" w:type="dxa"/>
      </w:tblCellMar>
    </w:tblPr>
  </w:style>
  <w:style w:type="paragraph" w:styleId="Default" w:customStyle="1">
    <w:name w:val="Default"/>
    <w:rsid w:val="00FA3B65"/>
    <w:pPr>
      <w:autoSpaceDE w:val="0"/>
      <w:autoSpaceDN w:val="0"/>
      <w:adjustRightInd w:val="0"/>
    </w:pPr>
    <w:rPr>
      <w:rFonts w:ascii="Arial" w:cs="Arial" w:eastAsia="Calibri" w:hAnsi="Arial"/>
      <w:color w:val="000000"/>
      <w:lang w:eastAsia="en-US"/>
    </w:rPr>
  </w:style>
  <w:style w:type="character" w:styleId="Textoennegrita">
    <w:name w:val="Strong"/>
    <w:basedOn w:val="Fuentedeprrafopredeter"/>
    <w:uiPriority w:val="22"/>
    <w:qFormat w:val="1"/>
    <w:rsid w:val="00FA3B65"/>
    <w:rPr>
      <w:b w:val="1"/>
      <w:bCs w:val="1"/>
    </w:rPr>
  </w:style>
  <w:style w:type="table" w:styleId="af" w:customStyle="1">
    <w:basedOn w:val="TableNormal2"/>
    <w:tblPr>
      <w:tblStyleRowBandSize w:val="1"/>
      <w:tblStyleColBandSize w:val="1"/>
      <w:tblCellMar>
        <w:left w:w="115.0" w:type="dxa"/>
        <w:right w:w="115.0" w:type="dxa"/>
      </w:tblCellMar>
    </w:tblPr>
  </w:style>
  <w:style w:type="table" w:styleId="af0" w:customStyle="1">
    <w:basedOn w:val="TableNormal2"/>
    <w:tblPr>
      <w:tblStyleRowBandSize w:val="1"/>
      <w:tblStyleColBandSize w:val="1"/>
      <w:tblCellMar>
        <w:left w:w="115.0" w:type="dxa"/>
        <w:right w:w="115.0" w:type="dxa"/>
      </w:tblCellMar>
    </w:tblPr>
  </w:style>
  <w:style w:type="table" w:styleId="af1" w:customStyle="1">
    <w:basedOn w:val="TableNormal2"/>
    <w:tblPr>
      <w:tblStyleRowBandSize w:val="1"/>
      <w:tblStyleColBandSize w:val="1"/>
      <w:tblCellMar>
        <w:left w:w="115.0" w:type="dxa"/>
        <w:right w:w="115.0" w:type="dxa"/>
      </w:tblCellMar>
    </w:tblPr>
  </w:style>
  <w:style w:type="character" w:styleId="Mencinsinresolver1" w:customStyle="1">
    <w:name w:val="Mención sin resolver1"/>
    <w:basedOn w:val="Fuentedeprrafopredeter"/>
    <w:uiPriority w:val="99"/>
    <w:semiHidden w:val="1"/>
    <w:unhideWhenUsed w:val="1"/>
    <w:rsid w:val="006D51FF"/>
    <w:rPr>
      <w:color w:val="605e5c"/>
      <w:shd w:color="auto" w:fill="e1dfdd" w:val="clear"/>
    </w:rPr>
  </w:style>
  <w:style w:type="table" w:styleId="af2" w:customStyle="1">
    <w:basedOn w:val="TableNormal1"/>
    <w:tblPr>
      <w:tblStyleRowBandSize w:val="1"/>
      <w:tblStyleColBandSize w:val="1"/>
      <w:tblCellMar>
        <w:left w:w="115.0" w:type="dxa"/>
        <w:right w:w="115.0" w:type="dxa"/>
      </w:tblCellMar>
    </w:tblPr>
  </w:style>
  <w:style w:type="table" w:styleId="af3" w:customStyle="1">
    <w:basedOn w:val="TableNormal1"/>
    <w:tblPr>
      <w:tblStyleRowBandSize w:val="1"/>
      <w:tblStyleColBandSize w:val="1"/>
      <w:tblCellMar>
        <w:left w:w="115.0" w:type="dxa"/>
        <w:right w:w="115.0" w:type="dxa"/>
      </w:tblCellMar>
    </w:tblPr>
  </w:style>
  <w:style w:type="table" w:styleId="af4" w:customStyle="1">
    <w:basedOn w:val="TableNormal0"/>
    <w:tblPr>
      <w:tblStyleRowBandSize w:val="1"/>
      <w:tblStyleColBandSize w:val="1"/>
      <w:tblCellMar>
        <w:left w:w="115.0" w:type="dxa"/>
        <w:right w:w="115.0" w:type="dxa"/>
      </w:tblCellMar>
    </w:tblPr>
  </w:style>
  <w:style w:type="table" w:styleId="af5" w:customStyle="1">
    <w:basedOn w:val="TableNormal0"/>
    <w:tblPr>
      <w:tblStyleRowBandSize w:val="1"/>
      <w:tblStyleColBandSize w:val="1"/>
      <w:tblCellMar>
        <w:left w:w="115.0" w:type="dxa"/>
        <w:right w:w="115.0" w:type="dxa"/>
      </w:tblCellMar>
    </w:tblPr>
  </w:style>
  <w:style w:type="character" w:styleId="Mencinsinresolver">
    <w:name w:val="Unresolved Mention"/>
    <w:basedOn w:val="Fuentedeprrafopredeter"/>
    <w:uiPriority w:val="99"/>
    <w:semiHidden w:val="1"/>
    <w:unhideWhenUsed w:val="1"/>
    <w:rsid w:val="00097698"/>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3.xml"/><Relationship Id="rId11" Type="http://schemas.openxmlformats.org/officeDocument/2006/relationships/image" Target="media/image2.png"/><Relationship Id="rId10" Type="http://schemas.openxmlformats.org/officeDocument/2006/relationships/image" Target="media/image5.png"/><Relationship Id="rId13" Type="http://schemas.openxmlformats.org/officeDocument/2006/relationships/image" Target="media/image6.png"/><Relationship Id="rId12" Type="http://schemas.openxmlformats.org/officeDocument/2006/relationships/hyperlink" Target="http://www.diputados.gob.mx/documentos/N_Acta_Nacimiento.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ipomex.org.mx/ipo3/lgt/indice/DIFMETEPEC/art_92_vii/4.web?token=03ANYolqvgiZ3GG3mYnLg4w2fUA3qbmr-fVRUCuM_2-7mzQizhuykYqzVkdFqyTWaRjIsu2LYRLBUaAPwAlmFHGbGxe_5LkiV3YEgpRShpcm3dIe6ZQqWAIzei4X4zZCrgNVNmu9rFDgrdUT3umFR30NLmbMgcZXH49T28oiu0hYu8JRo6hI6aNIQxl7GzqADZS2ATkLdMH9LLklaEwxk0huF__G0FlGIguq_SglOe3ddz-GhpssS0iFt8NgnGSnXQOq6zrQra3mfBnQCR3TNsHhRHUlEY6sqUs54OYzq4_84NbsLSv6ziuqqHsFBgbsDNtUOWE4n9oXzKReM_XabaQZtktYLX62JpOV18qELTUoiqS9_6NU8loFSOmN8UV_EMN_kBXlfxyH-Elzo6b56SgoEDUy0O8L5jsqu0OSZVyjTNouCjInJoY6roo-2dfYxeE04sI3n3DEnKp5VPMEJvvo9oLsP7PT5H-vKro9t24Ujt7gVsnsOwYEaJSTf3-jsjjdEvflxq2Dn93aUa4lJ3717bKLbmclx1L-k0cttaQj7DwQTkdeYmMN4" TargetMode="External"/><Relationship Id="rId15" Type="http://schemas.openxmlformats.org/officeDocument/2006/relationships/image" Target="media/image3.png"/><Relationship Id="rId14" Type="http://schemas.openxmlformats.org/officeDocument/2006/relationships/image" Target="media/image7.png"/><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footer" Target="footer2.xml"/><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dIYR92mgG0IxHtrOLB/IIPnaiQ==">AMUW2mV295wyFWqf0z3h8UnoiCCOaOJlaM3xObI0YNIz9i5Qw5K/EwkH7VwEV1Mx5dUJDw/m0bF3hiL/VflVOhKbXF1w2uVU2Y24PF8QMW/BKba3yQ6YxQcQAzResz7Bzl2v9Be5OHIje9pVikJLSjE0OXwrg7l2LP3fZu1It1DZglXaQ3UtcKbxLQPV/Oq5YR4eZoADpUcT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2022-08-18T06:29:00Z</dcterms:created>
  <dc:creator>USER</dc:creator>
</cp:coreProperties>
</file>