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80CE85" w14:textId="77777777" w:rsidR="003326E4" w:rsidRPr="00452B91" w:rsidRDefault="003326E4" w:rsidP="00452B91">
      <w:pPr>
        <w:spacing w:line="360" w:lineRule="auto"/>
        <w:jc w:val="both"/>
        <w:rPr>
          <w:rFonts w:ascii="Palatino Linotype" w:hAnsi="Palatino Linotype"/>
        </w:rPr>
      </w:pPr>
      <w:bookmarkStart w:id="0" w:name="_Hlk105019745"/>
      <w:r w:rsidRPr="00452B91">
        <w:rPr>
          <w:rFonts w:ascii="Palatino Linotype" w:hAnsi="Palatino Linotype"/>
        </w:rPr>
        <w:t>Resolución del Pleno del Instituto de Transparencia, Acceso a la Información Pública y Protección de Datos Personales del Estado de México y Municipios, con domicilio en Metepec, Estado de México, de fecha uno de junio de dos mil veintidós.</w:t>
      </w:r>
    </w:p>
    <w:bookmarkEnd w:id="0"/>
    <w:p w14:paraId="066DE060" w14:textId="77777777" w:rsidR="00BD584A" w:rsidRPr="00452B91" w:rsidRDefault="00BD584A" w:rsidP="00452B91">
      <w:pPr>
        <w:spacing w:line="360" w:lineRule="auto"/>
        <w:jc w:val="both"/>
        <w:rPr>
          <w:rFonts w:ascii="Palatino Linotype" w:eastAsia="Palatino Linotype" w:hAnsi="Palatino Linotype" w:cs="Palatino Linotype"/>
        </w:rPr>
      </w:pPr>
    </w:p>
    <w:p w14:paraId="404578F9" w14:textId="207869E7"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b/>
          <w:sz w:val="28"/>
          <w:szCs w:val="28"/>
        </w:rPr>
        <w:t>VISTO</w:t>
      </w:r>
      <w:r w:rsidRPr="00452B91">
        <w:rPr>
          <w:rFonts w:ascii="Palatino Linotype" w:eastAsia="Palatino Linotype" w:hAnsi="Palatino Linotype" w:cs="Palatino Linotype"/>
        </w:rPr>
        <w:t xml:space="preserve"> el expediente formado con motivo del Recurso de Revisión </w:t>
      </w:r>
      <w:r w:rsidRPr="00452B91">
        <w:rPr>
          <w:rFonts w:ascii="Palatino Linotype" w:eastAsia="Palatino Linotype" w:hAnsi="Palatino Linotype" w:cs="Palatino Linotype"/>
          <w:b/>
        </w:rPr>
        <w:t xml:space="preserve">04167/INFOEM/IP/RR/2022, </w:t>
      </w:r>
      <w:r w:rsidRPr="00452B91">
        <w:rPr>
          <w:rFonts w:ascii="Palatino Linotype" w:eastAsia="Palatino Linotype" w:hAnsi="Palatino Linotype" w:cs="Palatino Linotype"/>
        </w:rPr>
        <w:t xml:space="preserve">promovido por el </w:t>
      </w:r>
      <w:r w:rsidRPr="00452B91">
        <w:rPr>
          <w:rFonts w:ascii="Palatino Linotype" w:eastAsia="Palatino Linotype" w:hAnsi="Palatino Linotype" w:cs="Palatino Linotype"/>
          <w:b/>
          <w:bCs/>
        </w:rPr>
        <w:t xml:space="preserve">C. </w:t>
      </w:r>
      <w:r w:rsidR="00DF4D4F">
        <w:rPr>
          <w:rFonts w:ascii="Palatino Linotype" w:eastAsia="Palatino Linotype" w:hAnsi="Palatino Linotype" w:cs="Palatino Linotype"/>
          <w:b/>
          <w:bCs/>
        </w:rPr>
        <w:t>XXXXXXXXX XXXXX XXXX</w:t>
      </w:r>
      <w:r w:rsidRPr="00452B91">
        <w:rPr>
          <w:rFonts w:ascii="Palatino Linotype" w:eastAsia="Palatino Linotype" w:hAnsi="Palatino Linotype" w:cs="Palatino Linotype"/>
        </w:rPr>
        <w:t xml:space="preserve">, a quien en lo sucesivo se le denominara como </w:t>
      </w:r>
      <w:r w:rsidRPr="00452B91">
        <w:rPr>
          <w:rFonts w:ascii="Palatino Linotype" w:eastAsia="Palatino Linotype" w:hAnsi="Palatino Linotype" w:cs="Palatino Linotype"/>
          <w:b/>
        </w:rPr>
        <w:t>EL RECURRENTE,</w:t>
      </w:r>
      <w:r w:rsidRPr="00452B91">
        <w:rPr>
          <w:rFonts w:ascii="Palatino Linotype" w:eastAsia="Palatino Linotype" w:hAnsi="Palatino Linotype" w:cs="Palatino Linotype"/>
        </w:rPr>
        <w:t xml:space="preserve"> en contra de la respuesta del </w:t>
      </w:r>
      <w:r w:rsidRPr="00452B91">
        <w:rPr>
          <w:rFonts w:ascii="Palatino Linotype" w:eastAsia="Palatino Linotype" w:hAnsi="Palatino Linotype" w:cs="Palatino Linotype"/>
          <w:b/>
        </w:rPr>
        <w:t xml:space="preserve">Ayuntamiento de Metepec, </w:t>
      </w:r>
      <w:r w:rsidRPr="00452B91">
        <w:rPr>
          <w:rFonts w:ascii="Palatino Linotype" w:eastAsia="Palatino Linotype" w:hAnsi="Palatino Linotype" w:cs="Palatino Linotype"/>
        </w:rPr>
        <w:t xml:space="preserve">en lo subsecuente se le denominará </w:t>
      </w:r>
      <w:r w:rsidRPr="00452B91">
        <w:rPr>
          <w:rFonts w:ascii="Palatino Linotype" w:eastAsia="Palatino Linotype" w:hAnsi="Palatino Linotype" w:cs="Palatino Linotype"/>
          <w:b/>
        </w:rPr>
        <w:t xml:space="preserve">EL SUJETO OBLIGADO, </w:t>
      </w:r>
      <w:r w:rsidRPr="00452B91">
        <w:rPr>
          <w:rFonts w:ascii="Palatino Linotype" w:eastAsia="Palatino Linotype" w:hAnsi="Palatino Linotype" w:cs="Palatino Linotype"/>
        </w:rPr>
        <w:t>se procede a dictar la presente resolución con base en lo siguiente:</w:t>
      </w:r>
    </w:p>
    <w:p w14:paraId="443EC7D7" w14:textId="77777777" w:rsidR="00BD584A" w:rsidRPr="00452B91" w:rsidRDefault="00BD584A" w:rsidP="00452B91">
      <w:pPr>
        <w:spacing w:line="360" w:lineRule="auto"/>
        <w:jc w:val="both"/>
        <w:rPr>
          <w:rFonts w:ascii="Palatino Linotype" w:eastAsia="Palatino Linotype" w:hAnsi="Palatino Linotype" w:cs="Palatino Linotype"/>
          <w:b/>
        </w:rPr>
      </w:pPr>
    </w:p>
    <w:p w14:paraId="378565B6" w14:textId="77777777" w:rsidR="00BD584A" w:rsidRPr="00452B91" w:rsidRDefault="005A341C" w:rsidP="00452B91">
      <w:pPr>
        <w:jc w:val="center"/>
        <w:rPr>
          <w:rFonts w:ascii="Palatino Linotype" w:eastAsia="Palatino Linotype" w:hAnsi="Palatino Linotype" w:cs="Palatino Linotype"/>
          <w:b/>
          <w:sz w:val="28"/>
          <w:szCs w:val="28"/>
        </w:rPr>
      </w:pPr>
      <w:r w:rsidRPr="00452B91">
        <w:rPr>
          <w:rFonts w:ascii="Palatino Linotype" w:eastAsia="Palatino Linotype" w:hAnsi="Palatino Linotype" w:cs="Palatino Linotype"/>
          <w:b/>
          <w:sz w:val="28"/>
          <w:szCs w:val="28"/>
        </w:rPr>
        <w:t>ANTECEDENTES</w:t>
      </w:r>
    </w:p>
    <w:p w14:paraId="139BD275" w14:textId="77777777" w:rsidR="00BD584A" w:rsidRPr="00452B91" w:rsidRDefault="00BD584A" w:rsidP="00452B91">
      <w:pPr>
        <w:rPr>
          <w:rFonts w:ascii="Palatino Linotype" w:eastAsia="Palatino Linotype" w:hAnsi="Palatino Linotype" w:cs="Palatino Linotype"/>
          <w:b/>
        </w:rPr>
      </w:pPr>
    </w:p>
    <w:p w14:paraId="5BE59616" w14:textId="77777777" w:rsidR="00BD584A" w:rsidRPr="00452B91" w:rsidRDefault="005A341C" w:rsidP="00452B91">
      <w:pPr>
        <w:spacing w:line="360" w:lineRule="auto"/>
        <w:jc w:val="both"/>
        <w:rPr>
          <w:rFonts w:ascii="Palatino Linotype" w:eastAsia="Palatino Linotype" w:hAnsi="Palatino Linotype" w:cs="Palatino Linotype"/>
          <w:b/>
          <w:sz w:val="28"/>
          <w:szCs w:val="28"/>
        </w:rPr>
      </w:pPr>
      <w:bookmarkStart w:id="1" w:name="_heading=h.gjdgxs" w:colFirst="0" w:colLast="0"/>
      <w:bookmarkEnd w:id="1"/>
      <w:r w:rsidRPr="00452B91">
        <w:rPr>
          <w:rFonts w:ascii="Palatino Linotype" w:eastAsia="Palatino Linotype" w:hAnsi="Palatino Linotype" w:cs="Palatino Linotype"/>
          <w:b/>
          <w:sz w:val="28"/>
          <w:szCs w:val="28"/>
        </w:rPr>
        <w:t>I.</w:t>
      </w:r>
      <w:r w:rsidRPr="00452B91">
        <w:rPr>
          <w:rFonts w:ascii="Palatino Linotype" w:eastAsia="Palatino Linotype" w:hAnsi="Palatino Linotype" w:cs="Palatino Linotype"/>
          <w:b/>
        </w:rPr>
        <w:t xml:space="preserve"> </w:t>
      </w:r>
      <w:r w:rsidRPr="00452B91">
        <w:rPr>
          <w:rFonts w:ascii="Palatino Linotype" w:eastAsia="Palatino Linotype" w:hAnsi="Palatino Linotype" w:cs="Palatino Linotype"/>
          <w:b/>
          <w:sz w:val="28"/>
          <w:szCs w:val="28"/>
        </w:rPr>
        <w:t>De la Solicitud de Información</w:t>
      </w:r>
    </w:p>
    <w:p w14:paraId="11BBC40E" w14:textId="77777777" w:rsidR="00BD584A" w:rsidRPr="00452B91" w:rsidRDefault="005A341C" w:rsidP="00452B91">
      <w:pPr>
        <w:spacing w:line="360" w:lineRule="auto"/>
        <w:jc w:val="both"/>
        <w:rPr>
          <w:rFonts w:ascii="Palatino Linotype" w:eastAsia="Palatino Linotype" w:hAnsi="Palatino Linotype" w:cs="Palatino Linotype"/>
          <w:i/>
          <w:sz w:val="20"/>
          <w:szCs w:val="20"/>
        </w:rPr>
      </w:pPr>
      <w:bookmarkStart w:id="2" w:name="_heading=h.ifuj3wtxm21l" w:colFirst="0" w:colLast="0"/>
      <w:bookmarkEnd w:id="2"/>
      <w:r w:rsidRPr="00452B91">
        <w:rPr>
          <w:rFonts w:ascii="Palatino Linotype" w:eastAsia="Palatino Linotype" w:hAnsi="Palatino Linotype" w:cs="Palatino Linotype"/>
        </w:rPr>
        <w:t xml:space="preserve">En fecha </w:t>
      </w:r>
      <w:r w:rsidRPr="00452B91">
        <w:rPr>
          <w:rFonts w:ascii="Palatino Linotype" w:eastAsia="Palatino Linotype" w:hAnsi="Palatino Linotype" w:cs="Palatino Linotype"/>
          <w:b/>
          <w:bCs/>
        </w:rPr>
        <w:t>once de febrero de dos mil veintidós</w:t>
      </w:r>
      <w:r w:rsidRPr="00452B91">
        <w:rPr>
          <w:rFonts w:ascii="Palatino Linotype" w:eastAsia="Palatino Linotype" w:hAnsi="Palatino Linotype" w:cs="Palatino Linotype"/>
        </w:rPr>
        <w:t xml:space="preserve">, </w:t>
      </w:r>
      <w:r w:rsidRPr="00452B91">
        <w:rPr>
          <w:rFonts w:ascii="Palatino Linotype" w:eastAsia="Palatino Linotype" w:hAnsi="Palatino Linotype" w:cs="Palatino Linotype"/>
          <w:b/>
        </w:rPr>
        <w:t>EL RECURRENTE</w:t>
      </w:r>
      <w:r w:rsidRPr="00452B91">
        <w:rPr>
          <w:rFonts w:ascii="Palatino Linotype" w:eastAsia="Palatino Linotype" w:hAnsi="Palatino Linotype" w:cs="Palatino Linotype"/>
        </w:rPr>
        <w:t xml:space="preserve"> presentó a través del Sistema de Acceso a la Información Mexiquense, en lo subsecuente </w:t>
      </w:r>
      <w:r w:rsidRPr="00452B91">
        <w:rPr>
          <w:rFonts w:ascii="Palatino Linotype" w:eastAsia="Palatino Linotype" w:hAnsi="Palatino Linotype" w:cs="Palatino Linotype"/>
          <w:b/>
        </w:rPr>
        <w:t>EL SAIMEX</w:t>
      </w:r>
      <w:r w:rsidRPr="00452B91">
        <w:rPr>
          <w:rFonts w:ascii="Palatino Linotype" w:eastAsia="Palatino Linotype" w:hAnsi="Palatino Linotype" w:cs="Palatino Linotype"/>
        </w:rPr>
        <w:t xml:space="preserve"> ante </w:t>
      </w:r>
      <w:r w:rsidRPr="00452B91">
        <w:rPr>
          <w:rFonts w:ascii="Palatino Linotype" w:eastAsia="Palatino Linotype" w:hAnsi="Palatino Linotype" w:cs="Palatino Linotype"/>
          <w:b/>
        </w:rPr>
        <w:t>EL SUJETO OBLIGADO</w:t>
      </w:r>
      <w:r w:rsidRPr="00452B91">
        <w:rPr>
          <w:rFonts w:ascii="Palatino Linotype" w:eastAsia="Palatino Linotype" w:hAnsi="Palatino Linotype" w:cs="Palatino Linotype"/>
        </w:rPr>
        <w:t xml:space="preserve">, la solicitud de acceso a la información pública, a la que se le asignó el número de expediente </w:t>
      </w:r>
      <w:r w:rsidRPr="00452B91">
        <w:rPr>
          <w:rFonts w:ascii="Palatino Linotype" w:eastAsia="Palatino Linotype" w:hAnsi="Palatino Linotype" w:cs="Palatino Linotype"/>
          <w:b/>
        </w:rPr>
        <w:t xml:space="preserve">01825/METEPEC/IP/2022, </w:t>
      </w:r>
      <w:r w:rsidRPr="00452B91">
        <w:rPr>
          <w:rFonts w:ascii="Palatino Linotype" w:eastAsia="Palatino Linotype" w:hAnsi="Palatino Linotype" w:cs="Palatino Linotype"/>
        </w:rPr>
        <w:t>requirió, lo siguiente:</w:t>
      </w:r>
    </w:p>
    <w:p w14:paraId="6B5CFC70" w14:textId="77777777" w:rsidR="00BD584A" w:rsidRPr="00452B91" w:rsidRDefault="005A341C" w:rsidP="00452B91">
      <w:pPr>
        <w:ind w:left="850" w:right="899"/>
        <w:jc w:val="both"/>
        <w:rPr>
          <w:rFonts w:ascii="Palatino Linotype" w:eastAsia="Palatino Linotype" w:hAnsi="Palatino Linotype" w:cs="Palatino Linotype"/>
          <w:sz w:val="22"/>
          <w:szCs w:val="22"/>
        </w:rPr>
      </w:pPr>
      <w:r w:rsidRPr="00452B91">
        <w:rPr>
          <w:rFonts w:ascii="Palatino Linotype" w:eastAsia="Palatino Linotype" w:hAnsi="Palatino Linotype" w:cs="Palatino Linotype"/>
          <w:i/>
          <w:sz w:val="22"/>
          <w:szCs w:val="22"/>
        </w:rPr>
        <w:t xml:space="preserve">“Solicito se me exhiba. via documental el convenio de colaboración o cualquier otro instrumento juridico para la celebración de la carrera atlética denominada "Maratón rock´n Roll mexico running series estado de mexico" entre el gobierno estatal a través de la secretaria de cultura y turismo, el gobierno municipal de metepec y/o el instituto municipal de cultura fisica y deporte de metepec y la empresa "As deporte", asimismo, los costos por el evento, el destino de los recursos y el mecanismo para asignar las cuotas de recuperación, si fueron aprobadas por el cabildo del municipio </w:t>
      </w:r>
      <w:r w:rsidRPr="00452B91">
        <w:rPr>
          <w:rFonts w:ascii="Palatino Linotype" w:eastAsia="Palatino Linotype" w:hAnsi="Palatino Linotype" w:cs="Palatino Linotype"/>
          <w:i/>
          <w:sz w:val="22"/>
          <w:szCs w:val="22"/>
        </w:rPr>
        <w:lastRenderedPageBreak/>
        <w:t>así como por la propia tesorería estatal o alguna otra instancia del gobierno del estado de mexico.” (sic)</w:t>
      </w:r>
    </w:p>
    <w:p w14:paraId="694D4D18" w14:textId="77777777" w:rsidR="00BD584A" w:rsidRPr="00452B91" w:rsidRDefault="00BD584A" w:rsidP="00452B91">
      <w:pPr>
        <w:tabs>
          <w:tab w:val="left" w:pos="851"/>
        </w:tabs>
        <w:ind w:right="901"/>
        <w:jc w:val="both"/>
        <w:rPr>
          <w:rFonts w:ascii="Palatino Linotype" w:eastAsia="Palatino Linotype" w:hAnsi="Palatino Linotype" w:cs="Palatino Linotype"/>
          <w:sz w:val="22"/>
          <w:szCs w:val="22"/>
        </w:rPr>
      </w:pPr>
    </w:p>
    <w:p w14:paraId="55938E06" w14:textId="77777777" w:rsidR="00BD584A" w:rsidRPr="00452B91" w:rsidRDefault="005A341C" w:rsidP="00452B91">
      <w:pPr>
        <w:widowControl w:val="0"/>
        <w:spacing w:line="360" w:lineRule="auto"/>
        <w:jc w:val="both"/>
        <w:rPr>
          <w:rFonts w:ascii="Palatino Linotype" w:eastAsia="Palatino Linotype" w:hAnsi="Palatino Linotype" w:cs="Palatino Linotype"/>
          <w:b/>
        </w:rPr>
      </w:pPr>
      <w:r w:rsidRPr="00452B91">
        <w:rPr>
          <w:rFonts w:ascii="Palatino Linotype" w:eastAsia="Palatino Linotype" w:hAnsi="Palatino Linotype" w:cs="Palatino Linotype"/>
          <w:b/>
        </w:rPr>
        <w:t xml:space="preserve">MODALIDAD DE ENTREGA: </w:t>
      </w:r>
      <w:r w:rsidRPr="00452B91">
        <w:rPr>
          <w:rFonts w:ascii="Palatino Linotype" w:eastAsia="Palatino Linotype" w:hAnsi="Palatino Linotype" w:cs="Palatino Linotype"/>
        </w:rPr>
        <w:t xml:space="preserve">Vía </w:t>
      </w:r>
      <w:r w:rsidRPr="00452B91">
        <w:rPr>
          <w:rFonts w:ascii="Palatino Linotype" w:eastAsia="Palatino Linotype" w:hAnsi="Palatino Linotype" w:cs="Palatino Linotype"/>
          <w:b/>
        </w:rPr>
        <w:t>SAIMEX.</w:t>
      </w:r>
    </w:p>
    <w:p w14:paraId="18BC6322" w14:textId="77777777" w:rsidR="00BD584A" w:rsidRPr="00452B91" w:rsidRDefault="00BD584A" w:rsidP="00452B91">
      <w:pPr>
        <w:widowControl w:val="0"/>
        <w:spacing w:line="360" w:lineRule="auto"/>
        <w:jc w:val="both"/>
        <w:rPr>
          <w:rFonts w:ascii="Palatino Linotype" w:eastAsia="Palatino Linotype" w:hAnsi="Palatino Linotype" w:cs="Palatino Linotype"/>
          <w:b/>
        </w:rPr>
      </w:pPr>
    </w:p>
    <w:p w14:paraId="0E33D8DC" w14:textId="77777777" w:rsidR="00BD584A" w:rsidRPr="00452B91" w:rsidRDefault="005A341C" w:rsidP="00452B91">
      <w:pPr>
        <w:spacing w:line="360" w:lineRule="auto"/>
        <w:jc w:val="both"/>
        <w:rPr>
          <w:rFonts w:ascii="Palatino Linotype" w:eastAsia="Palatino Linotype" w:hAnsi="Palatino Linotype" w:cs="Palatino Linotype"/>
          <w:b/>
          <w:sz w:val="28"/>
          <w:szCs w:val="28"/>
        </w:rPr>
      </w:pPr>
      <w:r w:rsidRPr="00452B91">
        <w:rPr>
          <w:rFonts w:ascii="Palatino Linotype" w:eastAsia="Palatino Linotype" w:hAnsi="Palatino Linotype" w:cs="Palatino Linotype"/>
          <w:b/>
          <w:sz w:val="28"/>
          <w:szCs w:val="28"/>
        </w:rPr>
        <w:t>II. Turno de Requerimiento del Sujeto Obligado</w:t>
      </w:r>
    </w:p>
    <w:p w14:paraId="76132AAA" w14:textId="77777777"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De las constancias que obran en el expediente electrónico del SAIMEX</w:t>
      </w:r>
      <w:r w:rsidR="005A44DF" w:rsidRPr="00452B91">
        <w:rPr>
          <w:rFonts w:ascii="Palatino Linotype" w:eastAsia="Palatino Linotype" w:hAnsi="Palatino Linotype" w:cs="Palatino Linotype"/>
        </w:rPr>
        <w:t xml:space="preserve">, se aprecia en fecha </w:t>
      </w:r>
      <w:r w:rsidR="005A44DF" w:rsidRPr="00452B91">
        <w:rPr>
          <w:rFonts w:ascii="Palatino Linotype" w:eastAsia="Palatino Linotype" w:hAnsi="Palatino Linotype" w:cs="Palatino Linotype"/>
          <w:b/>
        </w:rPr>
        <w:t>doce de</w:t>
      </w:r>
      <w:r w:rsidRPr="00452B91">
        <w:rPr>
          <w:rFonts w:ascii="Palatino Linotype" w:eastAsia="Palatino Linotype" w:hAnsi="Palatino Linotype" w:cs="Palatino Linotype"/>
          <w:b/>
        </w:rPr>
        <w:t xml:space="preserve"> febrero de dos mil veintidós</w:t>
      </w:r>
      <w:r w:rsidR="005A44DF" w:rsidRPr="00452B91">
        <w:rPr>
          <w:rFonts w:ascii="Palatino Linotype" w:eastAsia="Palatino Linotype" w:hAnsi="Palatino Linotype" w:cs="Palatino Linotype"/>
        </w:rPr>
        <w:t xml:space="preserve">, el Titular de la Unidad de Transparencia turno de requerimiento al </w:t>
      </w:r>
      <w:r w:rsidRPr="00452B91">
        <w:rPr>
          <w:rFonts w:ascii="Palatino Linotype" w:eastAsia="Palatino Linotype" w:hAnsi="Palatino Linotype" w:cs="Palatino Linotype"/>
        </w:rPr>
        <w:t>servidor público habilitado en cumplimiento al artículo 162 de la Ley de Transparencia y Acceso a la Información Pública del Estado de México y Municipios, a efecto de que realizara la búsqueda y localización de la información solicitada.</w:t>
      </w:r>
    </w:p>
    <w:p w14:paraId="5858A52E" w14:textId="77777777" w:rsidR="00BD584A" w:rsidRPr="00452B91" w:rsidRDefault="00BD584A" w:rsidP="00452B91">
      <w:pPr>
        <w:spacing w:line="360" w:lineRule="auto"/>
        <w:jc w:val="both"/>
        <w:rPr>
          <w:rFonts w:ascii="Palatino Linotype" w:eastAsia="Palatino Linotype" w:hAnsi="Palatino Linotype" w:cs="Palatino Linotype"/>
          <w:b/>
          <w:sz w:val="28"/>
          <w:szCs w:val="28"/>
        </w:rPr>
      </w:pPr>
    </w:p>
    <w:p w14:paraId="5BC5C56D" w14:textId="77777777" w:rsidR="00BD584A" w:rsidRPr="00452B91" w:rsidRDefault="005A341C" w:rsidP="00452B91">
      <w:pPr>
        <w:spacing w:line="360" w:lineRule="auto"/>
        <w:jc w:val="both"/>
        <w:rPr>
          <w:rFonts w:ascii="Palatino Linotype" w:eastAsia="Palatino Linotype" w:hAnsi="Palatino Linotype" w:cs="Palatino Linotype"/>
          <w:b/>
          <w:sz w:val="28"/>
          <w:szCs w:val="28"/>
        </w:rPr>
      </w:pPr>
      <w:r w:rsidRPr="00452B91">
        <w:rPr>
          <w:rFonts w:ascii="Palatino Linotype" w:eastAsia="Palatino Linotype" w:hAnsi="Palatino Linotype" w:cs="Palatino Linotype"/>
          <w:b/>
          <w:sz w:val="28"/>
          <w:szCs w:val="28"/>
        </w:rPr>
        <w:t>III. Respuesta del Sujeto Obligado</w:t>
      </w:r>
    </w:p>
    <w:p w14:paraId="4D33E022" w14:textId="4B4BF86B"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En fecha </w:t>
      </w:r>
      <w:r w:rsidRPr="00452B91">
        <w:rPr>
          <w:rFonts w:ascii="Palatino Linotype" w:eastAsia="Palatino Linotype" w:hAnsi="Palatino Linotype" w:cs="Palatino Linotype"/>
          <w:b/>
        </w:rPr>
        <w:t>nueve de marzo de dos mil veintidós</w:t>
      </w:r>
      <w:r w:rsidRPr="00452B91">
        <w:rPr>
          <w:rFonts w:ascii="Palatino Linotype" w:eastAsia="Palatino Linotype" w:hAnsi="Palatino Linotype" w:cs="Palatino Linotype"/>
        </w:rPr>
        <w:t xml:space="preserve">, </w:t>
      </w:r>
      <w:r w:rsidRPr="00452B91">
        <w:rPr>
          <w:rFonts w:ascii="Palatino Linotype" w:eastAsia="Palatino Linotype" w:hAnsi="Palatino Linotype" w:cs="Palatino Linotype"/>
          <w:b/>
        </w:rPr>
        <w:t>EL SUJETO OBLIGADO</w:t>
      </w:r>
      <w:r w:rsidRPr="00452B91">
        <w:rPr>
          <w:rFonts w:ascii="Palatino Linotype" w:eastAsia="Palatino Linotype" w:hAnsi="Palatino Linotype" w:cs="Palatino Linotype"/>
        </w:rPr>
        <w:t xml:space="preserve"> dio respuesta a la solicitud de información pública, la cual que fue notificada al particular en la misma  fecha  y consta del archivo denominado </w:t>
      </w:r>
      <w:r w:rsidRPr="00452B91">
        <w:rPr>
          <w:rFonts w:ascii="Palatino Linotype" w:eastAsia="Palatino Linotype" w:hAnsi="Palatino Linotype" w:cs="Palatino Linotype"/>
          <w:i/>
        </w:rPr>
        <w:t xml:space="preserve">01825.PDF </w:t>
      </w:r>
      <w:r w:rsidRPr="00452B91">
        <w:rPr>
          <w:rFonts w:ascii="Palatino Linotype" w:eastAsia="Palatino Linotype" w:hAnsi="Palatino Linotype" w:cs="Palatino Linotype"/>
        </w:rPr>
        <w:t xml:space="preserve">del cual se aprecia la respuesta emitida por el Director de Administración del </w:t>
      </w:r>
      <w:r w:rsidRPr="00452B91">
        <w:rPr>
          <w:rFonts w:ascii="Palatino Linotype" w:eastAsia="Palatino Linotype" w:hAnsi="Palatino Linotype" w:cs="Palatino Linotype"/>
          <w:b/>
        </w:rPr>
        <w:t xml:space="preserve">SUJETO OBLIGADO </w:t>
      </w:r>
      <w:r w:rsidRPr="00452B91">
        <w:rPr>
          <w:rFonts w:ascii="Palatino Linotype" w:eastAsia="Palatino Linotype" w:hAnsi="Palatino Linotype" w:cs="Palatino Linotype"/>
        </w:rPr>
        <w:t xml:space="preserve">indicando que el requerimiento de información realizado por el particular no corresponde a funciones o atribuciones de la Dirección, por lo que no obra dicha información en sus archivos. </w:t>
      </w:r>
    </w:p>
    <w:p w14:paraId="3C860679" w14:textId="77777777" w:rsidR="00841B1E" w:rsidRPr="00452B91" w:rsidRDefault="00841B1E" w:rsidP="00452B91">
      <w:pPr>
        <w:spacing w:line="360" w:lineRule="auto"/>
        <w:jc w:val="both"/>
        <w:rPr>
          <w:rFonts w:ascii="Palatino Linotype" w:eastAsia="Palatino Linotype" w:hAnsi="Palatino Linotype" w:cs="Palatino Linotype"/>
        </w:rPr>
      </w:pPr>
    </w:p>
    <w:p w14:paraId="5A2A43A7" w14:textId="77777777" w:rsidR="005A44DF" w:rsidRPr="00452B91" w:rsidRDefault="005A44DF" w:rsidP="00452B91">
      <w:pPr>
        <w:spacing w:line="360" w:lineRule="auto"/>
        <w:jc w:val="both"/>
        <w:rPr>
          <w:rFonts w:ascii="Palatino Linotype" w:eastAsia="Palatino Linotype" w:hAnsi="Palatino Linotype" w:cs="Palatino Linotype"/>
        </w:rPr>
      </w:pPr>
    </w:p>
    <w:p w14:paraId="22724C90" w14:textId="77777777" w:rsidR="00BD584A" w:rsidRPr="00452B91" w:rsidRDefault="005A44DF" w:rsidP="00452B91">
      <w:pPr>
        <w:widowControl w:val="0"/>
        <w:spacing w:line="360" w:lineRule="auto"/>
        <w:jc w:val="both"/>
        <w:rPr>
          <w:rFonts w:ascii="Palatino Linotype" w:eastAsia="Palatino Linotype" w:hAnsi="Palatino Linotype" w:cs="Palatino Linotype"/>
          <w:b/>
        </w:rPr>
      </w:pPr>
      <w:r w:rsidRPr="00452B91">
        <w:rPr>
          <w:rFonts w:ascii="Palatino Linotype" w:eastAsia="Palatino Linotype" w:hAnsi="Palatino Linotype" w:cs="Palatino Linotype"/>
          <w:b/>
          <w:sz w:val="28"/>
          <w:szCs w:val="28"/>
        </w:rPr>
        <w:lastRenderedPageBreak/>
        <w:t xml:space="preserve">IV. </w:t>
      </w:r>
      <w:r w:rsidR="005A341C" w:rsidRPr="00452B91">
        <w:rPr>
          <w:rFonts w:ascii="Palatino Linotype" w:eastAsia="Palatino Linotype" w:hAnsi="Palatino Linotype" w:cs="Palatino Linotype"/>
          <w:b/>
          <w:sz w:val="28"/>
          <w:szCs w:val="28"/>
        </w:rPr>
        <w:t>Del Recurso de Revisión</w:t>
      </w:r>
      <w:r w:rsidR="005A341C" w:rsidRPr="00452B91">
        <w:rPr>
          <w:rFonts w:ascii="Palatino Linotype" w:eastAsia="Palatino Linotype" w:hAnsi="Palatino Linotype" w:cs="Palatino Linotype"/>
          <w:b/>
        </w:rPr>
        <w:t>.</w:t>
      </w:r>
    </w:p>
    <w:p w14:paraId="15F00390" w14:textId="77777777" w:rsidR="00BD584A" w:rsidRPr="00452B91" w:rsidRDefault="005A341C" w:rsidP="00452B91">
      <w:pPr>
        <w:widowControl w:val="0"/>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Inconforme por la respuesta del</w:t>
      </w:r>
      <w:r w:rsidRPr="00452B91">
        <w:rPr>
          <w:rFonts w:ascii="Palatino Linotype" w:eastAsia="Palatino Linotype" w:hAnsi="Palatino Linotype" w:cs="Palatino Linotype"/>
          <w:b/>
        </w:rPr>
        <w:t xml:space="preserve"> SUJETO OBLIGADO</w:t>
      </w:r>
      <w:r w:rsidRPr="00452B91">
        <w:rPr>
          <w:rFonts w:ascii="Palatino Linotype" w:eastAsia="Palatino Linotype" w:hAnsi="Palatino Linotype" w:cs="Palatino Linotype"/>
        </w:rPr>
        <w:t xml:space="preserve">, el </w:t>
      </w:r>
      <w:r w:rsidRPr="00452B91">
        <w:rPr>
          <w:rFonts w:ascii="Palatino Linotype" w:eastAsia="Palatino Linotype" w:hAnsi="Palatino Linotype" w:cs="Palatino Linotype"/>
          <w:b/>
          <w:bCs/>
        </w:rPr>
        <w:t>veintidós</w:t>
      </w:r>
      <w:r w:rsidRPr="00452B91">
        <w:rPr>
          <w:rFonts w:ascii="Palatino Linotype" w:eastAsia="Palatino Linotype" w:hAnsi="Palatino Linotype" w:cs="Palatino Linotype"/>
          <w:b/>
          <w:bCs/>
          <w:vertAlign w:val="superscript"/>
        </w:rPr>
        <w:footnoteReference w:id="1"/>
      </w:r>
      <w:r w:rsidRPr="00452B91">
        <w:rPr>
          <w:rFonts w:ascii="Palatino Linotype" w:eastAsia="Palatino Linotype" w:hAnsi="Palatino Linotype" w:cs="Palatino Linotype"/>
          <w:b/>
          <w:bCs/>
        </w:rPr>
        <w:t xml:space="preserve"> de marzo de dos mil veintidós</w:t>
      </w:r>
      <w:r w:rsidRPr="00452B91">
        <w:rPr>
          <w:rFonts w:ascii="Palatino Linotype" w:eastAsia="Palatino Linotype" w:hAnsi="Palatino Linotype" w:cs="Palatino Linotype"/>
        </w:rPr>
        <w:t xml:space="preserve">, </w:t>
      </w:r>
      <w:r w:rsidRPr="00452B91">
        <w:rPr>
          <w:rFonts w:ascii="Palatino Linotype" w:eastAsia="Palatino Linotype" w:hAnsi="Palatino Linotype" w:cs="Palatino Linotype"/>
          <w:b/>
        </w:rPr>
        <w:t>EL RECURRENTE</w:t>
      </w:r>
      <w:r w:rsidRPr="00452B91">
        <w:rPr>
          <w:rFonts w:ascii="Palatino Linotype" w:eastAsia="Palatino Linotype" w:hAnsi="Palatino Linotype" w:cs="Palatino Linotype"/>
        </w:rPr>
        <w:t xml:space="preserve"> interpuso el Recurso de Revisión. El cual fue registrado en </w:t>
      </w:r>
      <w:r w:rsidRPr="00452B91">
        <w:rPr>
          <w:rFonts w:ascii="Palatino Linotype" w:eastAsia="Palatino Linotype" w:hAnsi="Palatino Linotype" w:cs="Palatino Linotype"/>
          <w:b/>
        </w:rPr>
        <w:t>EL SAIMEX</w:t>
      </w:r>
      <w:r w:rsidRPr="00452B91">
        <w:rPr>
          <w:rFonts w:ascii="Palatino Linotype" w:eastAsia="Palatino Linotype" w:hAnsi="Palatino Linotype" w:cs="Palatino Linotype"/>
        </w:rPr>
        <w:t xml:space="preserve"> y se le asignó el número de expediente </w:t>
      </w:r>
      <w:r w:rsidRPr="00452B91">
        <w:rPr>
          <w:rFonts w:ascii="Palatino Linotype" w:eastAsia="Palatino Linotype" w:hAnsi="Palatino Linotype" w:cs="Palatino Linotype"/>
          <w:b/>
        </w:rPr>
        <w:t xml:space="preserve">04167/INFOEM/IP/RR/2022, </w:t>
      </w:r>
      <w:r w:rsidRPr="00452B91">
        <w:rPr>
          <w:rFonts w:ascii="Palatino Linotype" w:eastAsia="Palatino Linotype" w:hAnsi="Palatino Linotype" w:cs="Palatino Linotype"/>
        </w:rPr>
        <w:t xml:space="preserve">donde los motivos de agravio del </w:t>
      </w:r>
      <w:r w:rsidRPr="00452B91">
        <w:rPr>
          <w:rFonts w:ascii="Palatino Linotype" w:eastAsia="Palatino Linotype" w:hAnsi="Palatino Linotype" w:cs="Palatino Linotype"/>
          <w:b/>
        </w:rPr>
        <w:t xml:space="preserve">RECURRENTE </w:t>
      </w:r>
      <w:r w:rsidRPr="00452B91">
        <w:rPr>
          <w:rFonts w:ascii="Palatino Linotype" w:eastAsia="Palatino Linotype" w:hAnsi="Palatino Linotype" w:cs="Palatino Linotype"/>
        </w:rPr>
        <w:t>fueron los siguientes:</w:t>
      </w:r>
    </w:p>
    <w:p w14:paraId="33C55739" w14:textId="77777777" w:rsidR="00BD584A" w:rsidRPr="00452B91" w:rsidRDefault="00BD584A" w:rsidP="00452B91">
      <w:pPr>
        <w:spacing w:line="360" w:lineRule="auto"/>
        <w:ind w:left="-57" w:right="-57"/>
        <w:jc w:val="both"/>
        <w:rPr>
          <w:rFonts w:ascii="Palatino Linotype" w:eastAsia="Palatino Linotype" w:hAnsi="Palatino Linotype" w:cs="Palatino Linotype"/>
        </w:rPr>
      </w:pPr>
    </w:p>
    <w:p w14:paraId="34AFEA1E" w14:textId="77777777" w:rsidR="00BD584A" w:rsidRPr="00452B91" w:rsidRDefault="005A341C" w:rsidP="00452B91">
      <w:pPr>
        <w:spacing w:line="360" w:lineRule="auto"/>
        <w:ind w:left="-57" w:right="-57"/>
        <w:jc w:val="both"/>
        <w:rPr>
          <w:rFonts w:ascii="Palatino Linotype" w:eastAsia="Palatino Linotype" w:hAnsi="Palatino Linotype" w:cs="Palatino Linotype"/>
          <w:b/>
          <w:u w:val="single"/>
        </w:rPr>
      </w:pPr>
      <w:r w:rsidRPr="00452B91">
        <w:rPr>
          <w:rFonts w:ascii="Palatino Linotype" w:eastAsia="Palatino Linotype" w:hAnsi="Palatino Linotype" w:cs="Palatino Linotype"/>
          <w:b/>
          <w:u w:val="single"/>
        </w:rPr>
        <w:t>Acto Impugnado:</w:t>
      </w:r>
      <w:r w:rsidRPr="00452B91">
        <w:rPr>
          <w:b/>
          <w:u w:val="single"/>
        </w:rPr>
        <w:t xml:space="preserve"> </w:t>
      </w:r>
    </w:p>
    <w:p w14:paraId="5BB55484" w14:textId="68161326" w:rsidR="00BD584A" w:rsidRPr="00452B91" w:rsidRDefault="005A341C" w:rsidP="00452B91">
      <w:pPr>
        <w:tabs>
          <w:tab w:val="left" w:pos="709"/>
        </w:tabs>
        <w:spacing w:before="66"/>
        <w:ind w:left="850" w:right="899"/>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“no existe ningún documento anexo a la respuesta del área de transparencia”</w:t>
      </w:r>
      <w:r w:rsidR="00841B1E" w:rsidRPr="00452B91">
        <w:rPr>
          <w:rFonts w:ascii="Palatino Linotype" w:eastAsia="Palatino Linotype" w:hAnsi="Palatino Linotype" w:cs="Palatino Linotype"/>
          <w:i/>
          <w:sz w:val="22"/>
          <w:szCs w:val="22"/>
        </w:rPr>
        <w:t xml:space="preserve"> </w:t>
      </w:r>
      <w:r w:rsidRPr="00452B91">
        <w:rPr>
          <w:rFonts w:ascii="Palatino Linotype" w:eastAsia="Palatino Linotype" w:hAnsi="Palatino Linotype" w:cs="Palatino Linotype"/>
          <w:i/>
          <w:sz w:val="22"/>
          <w:szCs w:val="22"/>
        </w:rPr>
        <w:t>(</w:t>
      </w:r>
      <w:r w:rsidR="005A44DF" w:rsidRPr="00452B91">
        <w:rPr>
          <w:rFonts w:ascii="Palatino Linotype" w:eastAsia="Palatino Linotype" w:hAnsi="Palatino Linotype" w:cs="Palatino Linotype"/>
          <w:i/>
          <w:sz w:val="22"/>
          <w:szCs w:val="22"/>
        </w:rPr>
        <w:t>Sic</w:t>
      </w:r>
      <w:r w:rsidRPr="00452B91">
        <w:rPr>
          <w:rFonts w:ascii="Palatino Linotype" w:eastAsia="Palatino Linotype" w:hAnsi="Palatino Linotype" w:cs="Palatino Linotype"/>
          <w:i/>
          <w:sz w:val="22"/>
          <w:szCs w:val="22"/>
        </w:rPr>
        <w:t>)</w:t>
      </w:r>
    </w:p>
    <w:p w14:paraId="56784111" w14:textId="77777777" w:rsidR="00BD584A" w:rsidRPr="00452B91" w:rsidRDefault="00BD584A" w:rsidP="00452B91">
      <w:pPr>
        <w:tabs>
          <w:tab w:val="left" w:pos="709"/>
        </w:tabs>
        <w:spacing w:before="66"/>
        <w:ind w:left="850" w:right="899"/>
        <w:rPr>
          <w:rFonts w:ascii="Palatino Linotype" w:eastAsia="Palatino Linotype" w:hAnsi="Palatino Linotype" w:cs="Palatino Linotype"/>
          <w:i/>
          <w:sz w:val="20"/>
          <w:szCs w:val="20"/>
        </w:rPr>
      </w:pPr>
    </w:p>
    <w:p w14:paraId="5E64FF57" w14:textId="77777777" w:rsidR="00BD584A" w:rsidRPr="00452B91" w:rsidRDefault="005A341C" w:rsidP="00452B91">
      <w:pPr>
        <w:tabs>
          <w:tab w:val="left" w:pos="709"/>
        </w:tabs>
        <w:spacing w:before="66"/>
        <w:rPr>
          <w:rFonts w:ascii="Palatino Linotype" w:eastAsia="Palatino Linotype" w:hAnsi="Palatino Linotype" w:cs="Palatino Linotype"/>
          <w:b/>
          <w:u w:val="single"/>
        </w:rPr>
      </w:pPr>
      <w:r w:rsidRPr="00452B91">
        <w:rPr>
          <w:rFonts w:ascii="Palatino Linotype" w:eastAsia="Palatino Linotype" w:hAnsi="Palatino Linotype" w:cs="Palatino Linotype"/>
          <w:b/>
          <w:u w:val="single"/>
        </w:rPr>
        <w:t>Razones o motivos de la inconformidad:</w:t>
      </w:r>
    </w:p>
    <w:p w14:paraId="63A4A876" w14:textId="77777777" w:rsidR="00BD584A" w:rsidRPr="00452B91" w:rsidRDefault="00BD584A" w:rsidP="00452B91">
      <w:pPr>
        <w:tabs>
          <w:tab w:val="left" w:pos="709"/>
        </w:tabs>
        <w:spacing w:before="66"/>
        <w:rPr>
          <w:rFonts w:ascii="Palatino Linotype" w:eastAsia="Palatino Linotype" w:hAnsi="Palatino Linotype" w:cs="Palatino Linotype"/>
        </w:rPr>
      </w:pPr>
    </w:p>
    <w:p w14:paraId="3EDF9A5F" w14:textId="77777777" w:rsidR="00BD584A" w:rsidRPr="00452B91" w:rsidRDefault="005A341C" w:rsidP="00452B91">
      <w:pPr>
        <w:ind w:left="850" w:right="899"/>
        <w:jc w:val="both"/>
        <w:rPr>
          <w:rFonts w:ascii="Palatino Linotype" w:eastAsia="Palatino Linotype" w:hAnsi="Palatino Linotype" w:cs="Palatino Linotype"/>
          <w:b/>
        </w:rPr>
      </w:pPr>
      <w:r w:rsidRPr="00452B91">
        <w:rPr>
          <w:rFonts w:ascii="Palatino Linotype" w:eastAsia="Palatino Linotype" w:hAnsi="Palatino Linotype" w:cs="Palatino Linotype"/>
          <w:i/>
          <w:sz w:val="22"/>
          <w:szCs w:val="22"/>
        </w:rPr>
        <w:t>“no existe respuesta.” (</w:t>
      </w:r>
      <w:r w:rsidR="005A44DF" w:rsidRPr="00452B91">
        <w:rPr>
          <w:rFonts w:ascii="Palatino Linotype" w:eastAsia="Palatino Linotype" w:hAnsi="Palatino Linotype" w:cs="Palatino Linotype"/>
          <w:i/>
          <w:sz w:val="22"/>
          <w:szCs w:val="22"/>
        </w:rPr>
        <w:t>Sic</w:t>
      </w:r>
      <w:r w:rsidRPr="00452B91">
        <w:rPr>
          <w:rFonts w:ascii="Palatino Linotype" w:eastAsia="Palatino Linotype" w:hAnsi="Palatino Linotype" w:cs="Palatino Linotype"/>
          <w:i/>
          <w:sz w:val="22"/>
          <w:szCs w:val="22"/>
        </w:rPr>
        <w:t>)</w:t>
      </w:r>
    </w:p>
    <w:p w14:paraId="233210BF" w14:textId="77777777" w:rsidR="00BD584A" w:rsidRPr="00452B91" w:rsidRDefault="00BD584A" w:rsidP="00452B91">
      <w:pPr>
        <w:spacing w:line="360" w:lineRule="auto"/>
        <w:jc w:val="both"/>
        <w:rPr>
          <w:rFonts w:ascii="Palatino Linotype" w:eastAsia="Palatino Linotype" w:hAnsi="Palatino Linotype" w:cs="Palatino Linotype"/>
        </w:rPr>
      </w:pPr>
    </w:p>
    <w:p w14:paraId="52B927E2" w14:textId="77777777" w:rsidR="00BD584A" w:rsidRPr="00452B91" w:rsidRDefault="005A341C" w:rsidP="00452B91">
      <w:pPr>
        <w:spacing w:line="360" w:lineRule="auto"/>
        <w:jc w:val="both"/>
        <w:rPr>
          <w:rFonts w:ascii="Palatino Linotype" w:eastAsia="Palatino Linotype" w:hAnsi="Palatino Linotype" w:cs="Palatino Linotype"/>
          <w:b/>
          <w:sz w:val="28"/>
          <w:szCs w:val="28"/>
        </w:rPr>
      </w:pPr>
      <w:r w:rsidRPr="00452B91">
        <w:rPr>
          <w:rFonts w:ascii="Palatino Linotype" w:eastAsia="Palatino Linotype" w:hAnsi="Palatino Linotype" w:cs="Palatino Linotype"/>
          <w:b/>
          <w:sz w:val="28"/>
          <w:szCs w:val="28"/>
        </w:rPr>
        <w:t xml:space="preserve">V. Del turno del Recurso de Revisión. </w:t>
      </w:r>
    </w:p>
    <w:p w14:paraId="243BE14B" w14:textId="77777777"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El </w:t>
      </w:r>
      <w:r w:rsidRPr="00452B91">
        <w:rPr>
          <w:rFonts w:ascii="Palatino Linotype" w:eastAsia="Palatino Linotype" w:hAnsi="Palatino Linotype" w:cs="Palatino Linotype"/>
          <w:b/>
        </w:rPr>
        <w:t>veintidós de marzo de dos mil veintidós</w:t>
      </w:r>
      <w:r w:rsidRPr="00452B91">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w:t>
      </w:r>
      <w:r w:rsidRPr="00452B91">
        <w:rPr>
          <w:rFonts w:ascii="Palatino Linotype" w:eastAsia="Palatino Linotype" w:hAnsi="Palatino Linotype" w:cs="Palatino Linotype"/>
        </w:rPr>
        <w:lastRenderedPageBreak/>
        <w:t xml:space="preserve">Pública del Estado de México y Municipios, se turnó a la </w:t>
      </w:r>
      <w:r w:rsidRPr="00452B91">
        <w:rPr>
          <w:rFonts w:ascii="Palatino Linotype" w:eastAsia="Palatino Linotype" w:hAnsi="Palatino Linotype" w:cs="Palatino Linotype"/>
          <w:b/>
        </w:rPr>
        <w:t>Comisionada Sharon Cristina Morales Martínez</w:t>
      </w:r>
      <w:r w:rsidRPr="00452B91">
        <w:rPr>
          <w:rFonts w:ascii="Palatino Linotype" w:eastAsia="Palatino Linotype" w:hAnsi="Palatino Linotype" w:cs="Palatino Linotype"/>
        </w:rPr>
        <w:t>; a efecto de decretar su admisión o desechamiento.</w:t>
      </w:r>
    </w:p>
    <w:p w14:paraId="283ECC12" w14:textId="77777777" w:rsidR="00BD584A" w:rsidRPr="00452B91" w:rsidRDefault="00BD584A" w:rsidP="00452B91">
      <w:pPr>
        <w:spacing w:line="360" w:lineRule="auto"/>
        <w:jc w:val="both"/>
        <w:rPr>
          <w:rFonts w:ascii="Palatino Linotype" w:eastAsia="Palatino Linotype" w:hAnsi="Palatino Linotype" w:cs="Palatino Linotype"/>
        </w:rPr>
      </w:pPr>
    </w:p>
    <w:p w14:paraId="0C278F81" w14:textId="77777777" w:rsidR="00BD584A" w:rsidRPr="00452B91" w:rsidRDefault="005A341C" w:rsidP="00452B91">
      <w:pPr>
        <w:tabs>
          <w:tab w:val="center" w:pos="4252"/>
          <w:tab w:val="right" w:pos="8504"/>
        </w:tabs>
        <w:spacing w:line="360" w:lineRule="auto"/>
        <w:jc w:val="both"/>
        <w:rPr>
          <w:rFonts w:ascii="Palatino Linotype" w:eastAsia="Palatino Linotype" w:hAnsi="Palatino Linotype" w:cs="Palatino Linotype"/>
          <w:b/>
        </w:rPr>
      </w:pPr>
      <w:r w:rsidRPr="00452B91">
        <w:rPr>
          <w:rFonts w:ascii="Palatino Linotype" w:eastAsia="Palatino Linotype" w:hAnsi="Palatino Linotype" w:cs="Palatino Linotype"/>
          <w:b/>
        </w:rPr>
        <w:t>a) Admisión del Recurso de Revisión</w:t>
      </w:r>
    </w:p>
    <w:p w14:paraId="64B90DD8" w14:textId="77777777" w:rsidR="00BD584A" w:rsidRPr="00452B91" w:rsidRDefault="005A341C" w:rsidP="00452B91">
      <w:pPr>
        <w:tabs>
          <w:tab w:val="center" w:pos="4252"/>
          <w:tab w:val="right" w:pos="8504"/>
        </w:tabs>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De las constancias que obran en el expediente electrónico del</w:t>
      </w:r>
      <w:r w:rsidRPr="00452B91">
        <w:rPr>
          <w:rFonts w:ascii="Palatino Linotype" w:eastAsia="Palatino Linotype" w:hAnsi="Palatino Linotype" w:cs="Palatino Linotype"/>
          <w:b/>
        </w:rPr>
        <w:t xml:space="preserve"> SAIMEX</w:t>
      </w:r>
      <w:r w:rsidRPr="00452B91">
        <w:rPr>
          <w:rFonts w:ascii="Palatino Linotype" w:eastAsia="Palatino Linotype" w:hAnsi="Palatino Linotype" w:cs="Palatino Linotype"/>
        </w:rPr>
        <w:t xml:space="preserve">, se advierte que en fecha </w:t>
      </w:r>
      <w:r w:rsidRPr="00452B91">
        <w:rPr>
          <w:rFonts w:ascii="Palatino Linotype" w:eastAsia="Palatino Linotype" w:hAnsi="Palatino Linotype" w:cs="Palatino Linotype"/>
          <w:b/>
        </w:rPr>
        <w:t>veintitrés de marzo de dos mil veintidós</w:t>
      </w:r>
      <w:r w:rsidRPr="00452B91">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452B91">
        <w:rPr>
          <w:rFonts w:ascii="Palatino Linotype" w:eastAsia="Palatino Linotype" w:hAnsi="Palatino Linotype" w:cs="Palatino Linotype"/>
          <w:b/>
        </w:rPr>
        <w:t xml:space="preserve">EL RECURRENTE </w:t>
      </w:r>
      <w:r w:rsidRPr="00452B91">
        <w:rPr>
          <w:rFonts w:ascii="Palatino Linotype" w:eastAsia="Palatino Linotype" w:hAnsi="Palatino Linotype" w:cs="Palatino Linotype"/>
        </w:rPr>
        <w:t xml:space="preserve">manifestara lo que a su derecho conviniera, a efecto de presentar pruebas y alegatos; así como, para que </w:t>
      </w:r>
      <w:r w:rsidRPr="00452B91">
        <w:rPr>
          <w:rFonts w:ascii="Palatino Linotype" w:eastAsia="Palatino Linotype" w:hAnsi="Palatino Linotype" w:cs="Palatino Linotype"/>
          <w:b/>
        </w:rPr>
        <w:t xml:space="preserve">EL SUJETO OBLIGADO </w:t>
      </w:r>
      <w:r w:rsidRPr="00452B91">
        <w:rPr>
          <w:rFonts w:ascii="Palatino Linotype" w:eastAsia="Palatino Linotype" w:hAnsi="Palatino Linotype" w:cs="Palatino Linotype"/>
        </w:rPr>
        <w:t>rindiera el correspondiente</w:t>
      </w:r>
      <w:r w:rsidRPr="00452B91">
        <w:rPr>
          <w:rFonts w:ascii="Palatino Linotype" w:eastAsia="Palatino Linotype" w:hAnsi="Palatino Linotype" w:cs="Palatino Linotype"/>
          <w:b/>
        </w:rPr>
        <w:t xml:space="preserve"> </w:t>
      </w:r>
      <w:r w:rsidRPr="00452B91">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2A550A56" w14:textId="77777777" w:rsidR="00BD584A" w:rsidRPr="00452B91" w:rsidRDefault="00BD584A" w:rsidP="00452B91">
      <w:pPr>
        <w:tabs>
          <w:tab w:val="center" w:pos="4252"/>
          <w:tab w:val="right" w:pos="8504"/>
        </w:tabs>
        <w:spacing w:line="360" w:lineRule="auto"/>
        <w:jc w:val="both"/>
        <w:rPr>
          <w:rFonts w:ascii="Palatino Linotype" w:eastAsia="Palatino Linotype" w:hAnsi="Palatino Linotype" w:cs="Palatino Linotype"/>
        </w:rPr>
      </w:pPr>
    </w:p>
    <w:p w14:paraId="1B7A4A2E" w14:textId="77777777" w:rsidR="00BD584A" w:rsidRPr="00452B91" w:rsidRDefault="005A341C" w:rsidP="00452B91">
      <w:pPr>
        <w:spacing w:line="360" w:lineRule="auto"/>
        <w:jc w:val="both"/>
        <w:rPr>
          <w:rFonts w:ascii="Palatino Linotype" w:eastAsia="Palatino Linotype" w:hAnsi="Palatino Linotype" w:cs="Palatino Linotype"/>
          <w:b/>
        </w:rPr>
      </w:pPr>
      <w:r w:rsidRPr="00452B91">
        <w:rPr>
          <w:rFonts w:ascii="Palatino Linotype" w:eastAsia="Palatino Linotype" w:hAnsi="Palatino Linotype" w:cs="Palatino Linotype"/>
          <w:b/>
        </w:rPr>
        <w:t>b) Informe Justificado</w:t>
      </w:r>
    </w:p>
    <w:p w14:paraId="3D7C7E62" w14:textId="77777777" w:rsidR="00BD584A" w:rsidRPr="00452B91" w:rsidRDefault="005A341C" w:rsidP="00452B91">
      <w:pPr>
        <w:widowControl w:val="0"/>
        <w:tabs>
          <w:tab w:val="left" w:pos="0"/>
        </w:tabs>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Conforme a las constancias que obran en el expediente del </w:t>
      </w:r>
      <w:r w:rsidRPr="00452B91">
        <w:rPr>
          <w:rFonts w:ascii="Palatino Linotype" w:eastAsia="Palatino Linotype" w:hAnsi="Palatino Linotype" w:cs="Palatino Linotype"/>
          <w:b/>
        </w:rPr>
        <w:t>SAIMEX,</w:t>
      </w:r>
      <w:r w:rsidRPr="00452B91">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452B91">
        <w:rPr>
          <w:rFonts w:ascii="Palatino Linotype" w:eastAsia="Palatino Linotype" w:hAnsi="Palatino Linotype" w:cs="Palatino Linotype"/>
          <w:b/>
        </w:rPr>
        <w:t>EL</w:t>
      </w:r>
      <w:r w:rsidRPr="00452B91">
        <w:rPr>
          <w:rFonts w:ascii="Palatino Linotype" w:eastAsia="Palatino Linotype" w:hAnsi="Palatino Linotype" w:cs="Palatino Linotype"/>
        </w:rPr>
        <w:t xml:space="preserve"> </w:t>
      </w:r>
      <w:r w:rsidRPr="00452B91">
        <w:rPr>
          <w:rFonts w:ascii="Palatino Linotype" w:eastAsia="Palatino Linotype" w:hAnsi="Palatino Linotype" w:cs="Palatino Linotype"/>
          <w:b/>
        </w:rPr>
        <w:t>RECURRENTE</w:t>
      </w:r>
      <w:r w:rsidRPr="00452B91">
        <w:rPr>
          <w:rFonts w:ascii="Palatino Linotype" w:eastAsia="Palatino Linotype" w:hAnsi="Palatino Linotype" w:cs="Palatino Linotype"/>
        </w:rPr>
        <w:t xml:space="preserve"> no presentó manifestaciones que a su derecho convinieran. </w:t>
      </w:r>
    </w:p>
    <w:p w14:paraId="6C094DDD" w14:textId="77777777" w:rsidR="00BD584A" w:rsidRPr="00452B91" w:rsidRDefault="00BD584A" w:rsidP="00452B91">
      <w:pPr>
        <w:widowControl w:val="0"/>
        <w:tabs>
          <w:tab w:val="left" w:pos="0"/>
        </w:tabs>
        <w:spacing w:line="360" w:lineRule="auto"/>
        <w:jc w:val="both"/>
        <w:rPr>
          <w:rFonts w:ascii="Palatino Linotype" w:eastAsia="Palatino Linotype" w:hAnsi="Palatino Linotype" w:cs="Palatino Linotype"/>
        </w:rPr>
      </w:pPr>
    </w:p>
    <w:p w14:paraId="3BFD1670" w14:textId="68BF7D7C" w:rsidR="00BD584A" w:rsidRPr="00452B91" w:rsidRDefault="005A341C" w:rsidP="00452B91">
      <w:pPr>
        <w:widowControl w:val="0"/>
        <w:tabs>
          <w:tab w:val="left" w:pos="0"/>
        </w:tabs>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Por su parte, </w:t>
      </w:r>
      <w:r w:rsidRPr="00452B91">
        <w:rPr>
          <w:rFonts w:ascii="Palatino Linotype" w:eastAsia="Palatino Linotype" w:hAnsi="Palatino Linotype" w:cs="Palatino Linotype"/>
          <w:b/>
        </w:rPr>
        <w:t>EL SUJETO OBLIGADO</w:t>
      </w:r>
      <w:r w:rsidRPr="00452B91">
        <w:rPr>
          <w:rFonts w:ascii="Palatino Linotype" w:eastAsia="Palatino Linotype" w:hAnsi="Palatino Linotype" w:cs="Palatino Linotype"/>
        </w:rPr>
        <w:t xml:space="preserve"> remitió el documento denominado </w:t>
      </w:r>
      <w:r w:rsidRPr="00452B91">
        <w:rPr>
          <w:rFonts w:ascii="Palatino Linotype" w:eastAsia="Palatino Linotype" w:hAnsi="Palatino Linotype" w:cs="Palatino Linotype"/>
          <w:i/>
        </w:rPr>
        <w:t>04167-</w:t>
      </w:r>
      <w:r w:rsidRPr="00452B91">
        <w:rPr>
          <w:rFonts w:ascii="Palatino Linotype" w:eastAsia="Palatino Linotype" w:hAnsi="Palatino Linotype" w:cs="Palatino Linotype"/>
          <w:i/>
        </w:rPr>
        <w:lastRenderedPageBreak/>
        <w:t xml:space="preserve">INFOEM-IP-RR-2022- SP.pdf, </w:t>
      </w:r>
      <w:r w:rsidRPr="00452B91">
        <w:rPr>
          <w:rFonts w:ascii="Palatino Linotype" w:eastAsia="Palatino Linotype" w:hAnsi="Palatino Linotype" w:cs="Palatino Linotype"/>
        </w:rPr>
        <w:t xml:space="preserve">mediante el cual de forma medular confirma la respuesta primigenia, además señalar que el servidor público habilitado no cuenta con la información solicitada, pues si bien está dentro de sus atribuciones la celebración de contratos y/o convenios, no está dentro de sus obligaciones el celebrar contratos y/o convenios con el proveedor que menciona el recurrente. </w:t>
      </w:r>
    </w:p>
    <w:p w14:paraId="7752A9F7" w14:textId="77777777" w:rsidR="00BD584A" w:rsidRPr="00452B91" w:rsidRDefault="00BD584A" w:rsidP="00452B91">
      <w:pPr>
        <w:widowControl w:val="0"/>
        <w:tabs>
          <w:tab w:val="left" w:pos="0"/>
        </w:tabs>
        <w:spacing w:line="360" w:lineRule="auto"/>
        <w:jc w:val="both"/>
        <w:rPr>
          <w:rFonts w:ascii="Palatino Linotype" w:eastAsia="Palatino Linotype" w:hAnsi="Palatino Linotype" w:cs="Palatino Linotype"/>
        </w:rPr>
      </w:pPr>
    </w:p>
    <w:p w14:paraId="394F5C6C" w14:textId="77777777" w:rsidR="00BD584A" w:rsidRPr="00452B91" w:rsidRDefault="005A341C" w:rsidP="00452B91">
      <w:pPr>
        <w:widowControl w:val="0"/>
        <w:tabs>
          <w:tab w:val="left" w:pos="0"/>
        </w:tabs>
        <w:spacing w:line="360" w:lineRule="auto"/>
        <w:jc w:val="both"/>
        <w:rPr>
          <w:rFonts w:ascii="Palatino Linotype" w:eastAsia="Palatino Linotype" w:hAnsi="Palatino Linotype" w:cs="Palatino Linotype"/>
          <w:b/>
        </w:rPr>
      </w:pPr>
      <w:r w:rsidRPr="00452B91">
        <w:rPr>
          <w:rFonts w:ascii="Palatino Linotype" w:eastAsia="Palatino Linotype" w:hAnsi="Palatino Linotype" w:cs="Palatino Linotype"/>
          <w:b/>
        </w:rPr>
        <w:t xml:space="preserve">c) De la ampliación </w:t>
      </w:r>
    </w:p>
    <w:p w14:paraId="34996018" w14:textId="77777777"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En fecha </w:t>
      </w:r>
      <w:r w:rsidRPr="00452B91">
        <w:rPr>
          <w:rFonts w:ascii="Palatino Linotype" w:eastAsia="Palatino Linotype" w:hAnsi="Palatino Linotype" w:cs="Palatino Linotype"/>
          <w:b/>
          <w:bCs/>
        </w:rPr>
        <w:t>trece de mayo de dos mil veintidós</w:t>
      </w:r>
      <w:r w:rsidRPr="00452B91">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B084FC8" w14:textId="77777777" w:rsidR="00BD584A" w:rsidRPr="00452B91" w:rsidRDefault="00BD584A" w:rsidP="00452B91">
      <w:pPr>
        <w:spacing w:line="360" w:lineRule="auto"/>
        <w:jc w:val="both"/>
        <w:rPr>
          <w:rFonts w:ascii="Palatino Linotype" w:eastAsia="Palatino Linotype" w:hAnsi="Palatino Linotype" w:cs="Palatino Linotype"/>
        </w:rPr>
      </w:pPr>
    </w:p>
    <w:p w14:paraId="08E9AE69" w14:textId="77777777" w:rsidR="00BD584A" w:rsidRPr="00452B91" w:rsidRDefault="005A341C" w:rsidP="00452B91">
      <w:pPr>
        <w:spacing w:line="360" w:lineRule="auto"/>
        <w:jc w:val="both"/>
        <w:rPr>
          <w:rFonts w:ascii="Palatino Linotype" w:eastAsia="Palatino Linotype" w:hAnsi="Palatino Linotype" w:cs="Palatino Linotype"/>
          <w:b/>
        </w:rPr>
      </w:pPr>
      <w:r w:rsidRPr="00452B91">
        <w:rPr>
          <w:rFonts w:ascii="Palatino Linotype" w:eastAsia="Palatino Linotype" w:hAnsi="Palatino Linotype" w:cs="Palatino Linotype"/>
          <w:b/>
        </w:rPr>
        <w:t>d) Cierre de Instrucción</w:t>
      </w:r>
    </w:p>
    <w:p w14:paraId="07D4A446" w14:textId="7FFD20DC"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Por lo que, una vez analizado el estado procesal que guarda el expediente, en fecha </w:t>
      </w:r>
      <w:r w:rsidRPr="00452B91">
        <w:rPr>
          <w:rFonts w:ascii="Palatino Linotype" w:eastAsia="Palatino Linotype" w:hAnsi="Palatino Linotype" w:cs="Palatino Linotype"/>
          <w:b/>
        </w:rPr>
        <w:t>treinta y uno de mayo de dos mil veintidós</w:t>
      </w:r>
      <w:r w:rsidRPr="00452B91">
        <w:rPr>
          <w:rFonts w:ascii="Palatino Linotype" w:eastAsia="Palatino Linotype" w:hAnsi="Palatino Linotype" w:cs="Palatino Linotype"/>
        </w:rPr>
        <w:t xml:space="preserve">, la </w:t>
      </w:r>
      <w:r w:rsidRPr="00452B91">
        <w:rPr>
          <w:rFonts w:ascii="Palatino Linotype" w:eastAsia="Palatino Linotype" w:hAnsi="Palatino Linotype" w:cs="Palatino Linotype"/>
          <w:b/>
        </w:rPr>
        <w:t xml:space="preserve">Comisionada Sharon Cristina Morales Martínez </w:t>
      </w:r>
      <w:r w:rsidRPr="00452B91">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841B1E" w:rsidRPr="00452B91">
        <w:rPr>
          <w:rFonts w:ascii="Palatino Linotype" w:eastAsia="Palatino Linotype" w:hAnsi="Palatino Linotype" w:cs="Palatino Linotype"/>
        </w:rPr>
        <w:t>.</w:t>
      </w:r>
    </w:p>
    <w:p w14:paraId="03AED8C4" w14:textId="77777777" w:rsidR="00BD584A" w:rsidRPr="00452B91" w:rsidRDefault="005A341C" w:rsidP="00452B91">
      <w:pPr>
        <w:jc w:val="center"/>
        <w:rPr>
          <w:rFonts w:ascii="Palatino Linotype" w:eastAsia="Palatino Linotype" w:hAnsi="Palatino Linotype" w:cs="Palatino Linotype"/>
          <w:b/>
          <w:sz w:val="28"/>
          <w:szCs w:val="28"/>
        </w:rPr>
      </w:pPr>
      <w:r w:rsidRPr="00452B91">
        <w:rPr>
          <w:rFonts w:ascii="Palatino Linotype" w:eastAsia="Palatino Linotype" w:hAnsi="Palatino Linotype" w:cs="Palatino Linotype"/>
          <w:b/>
          <w:sz w:val="28"/>
          <w:szCs w:val="28"/>
        </w:rPr>
        <w:t>CONSIDERANDO</w:t>
      </w:r>
    </w:p>
    <w:p w14:paraId="65BE87AE" w14:textId="77777777" w:rsidR="00BD584A" w:rsidRPr="00452B91" w:rsidRDefault="005A341C" w:rsidP="00452B91">
      <w:pPr>
        <w:widowControl w:val="0"/>
        <w:tabs>
          <w:tab w:val="left" w:pos="1701"/>
        </w:tabs>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b/>
          <w:sz w:val="28"/>
          <w:szCs w:val="28"/>
        </w:rPr>
        <w:t>PRIMERO.</w:t>
      </w:r>
      <w:r w:rsidRPr="00452B91">
        <w:rPr>
          <w:rFonts w:ascii="Palatino Linotype" w:eastAsia="Palatino Linotype" w:hAnsi="Palatino Linotype" w:cs="Palatino Linotype"/>
          <w:b/>
        </w:rPr>
        <w:t xml:space="preserve"> Competencia</w:t>
      </w:r>
      <w:r w:rsidRPr="00452B91">
        <w:rPr>
          <w:rFonts w:ascii="Palatino Linotype" w:eastAsia="Palatino Linotype" w:hAnsi="Palatino Linotype" w:cs="Palatino Linotype"/>
        </w:rPr>
        <w:t>.</w:t>
      </w:r>
      <w:r w:rsidRPr="00452B91">
        <w:rPr>
          <w:rFonts w:ascii="Palatino Linotype" w:eastAsia="Palatino Linotype" w:hAnsi="Palatino Linotype" w:cs="Palatino Linotype"/>
          <w:b/>
        </w:rPr>
        <w:t xml:space="preserve"> </w:t>
      </w:r>
    </w:p>
    <w:p w14:paraId="59680C0E" w14:textId="77777777" w:rsidR="00BD584A" w:rsidRPr="00452B91" w:rsidRDefault="005A341C" w:rsidP="00452B91">
      <w:pPr>
        <w:widowControl w:val="0"/>
        <w:tabs>
          <w:tab w:val="left" w:pos="1701"/>
        </w:tabs>
        <w:spacing w:line="360" w:lineRule="auto"/>
        <w:jc w:val="both"/>
        <w:rPr>
          <w:rFonts w:ascii="Palatino Linotype" w:eastAsia="Palatino Linotype" w:hAnsi="Palatino Linotype" w:cs="Palatino Linotype"/>
        </w:rPr>
      </w:pPr>
      <w:bookmarkStart w:id="3" w:name="_heading=h.3znysh7" w:colFirst="0" w:colLast="0"/>
      <w:bookmarkEnd w:id="3"/>
      <w:r w:rsidRPr="00452B91">
        <w:rPr>
          <w:rFonts w:ascii="Palatino Linotype" w:eastAsia="Palatino Linotype" w:hAnsi="Palatino Linotype" w:cs="Palatino Linotype"/>
        </w:rPr>
        <w:t xml:space="preserve">Este Instituto de Transparencia, Acceso a la Información Pública y Protección de Datos </w:t>
      </w:r>
      <w:r w:rsidRPr="00452B91">
        <w:rPr>
          <w:rFonts w:ascii="Palatino Linotype" w:eastAsia="Palatino Linotype" w:hAnsi="Palatino Linotype" w:cs="Palatino Linotype"/>
        </w:rPr>
        <w:lastRenderedPageBreak/>
        <w:t>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14:paraId="07A359DE" w14:textId="77777777" w:rsidR="00BD584A" w:rsidRPr="00452B91" w:rsidRDefault="00BD584A" w:rsidP="00452B91">
      <w:pPr>
        <w:widowControl w:val="0"/>
        <w:tabs>
          <w:tab w:val="left" w:pos="1701"/>
          <w:tab w:val="left" w:pos="2977"/>
        </w:tabs>
        <w:spacing w:line="360" w:lineRule="auto"/>
        <w:jc w:val="both"/>
        <w:rPr>
          <w:rFonts w:ascii="Palatino Linotype" w:eastAsia="Palatino Linotype" w:hAnsi="Palatino Linotype" w:cs="Palatino Linotype"/>
        </w:rPr>
      </w:pPr>
    </w:p>
    <w:p w14:paraId="20BB58E4" w14:textId="77777777" w:rsidR="00BD584A" w:rsidRPr="00452B91" w:rsidRDefault="005A341C" w:rsidP="00452B91">
      <w:pPr>
        <w:spacing w:line="360" w:lineRule="auto"/>
        <w:jc w:val="both"/>
        <w:rPr>
          <w:rFonts w:ascii="Palatino Linotype" w:eastAsia="Palatino Linotype" w:hAnsi="Palatino Linotype" w:cs="Palatino Linotype"/>
          <w:b/>
        </w:rPr>
      </w:pPr>
      <w:r w:rsidRPr="00452B91">
        <w:rPr>
          <w:rFonts w:ascii="Palatino Linotype" w:eastAsia="Palatino Linotype" w:hAnsi="Palatino Linotype" w:cs="Palatino Linotype"/>
          <w:b/>
          <w:sz w:val="28"/>
          <w:szCs w:val="28"/>
        </w:rPr>
        <w:t>SEGUNDO</w:t>
      </w:r>
      <w:r w:rsidRPr="00452B91">
        <w:rPr>
          <w:rFonts w:ascii="Palatino Linotype" w:eastAsia="Palatino Linotype" w:hAnsi="Palatino Linotype" w:cs="Palatino Linotype"/>
          <w:b/>
        </w:rPr>
        <w:t xml:space="preserve">. Interés. </w:t>
      </w:r>
    </w:p>
    <w:p w14:paraId="4E4DE1FE" w14:textId="77777777" w:rsidR="00BD584A" w:rsidRPr="00452B91" w:rsidRDefault="005A341C" w:rsidP="00452B91">
      <w:pPr>
        <w:spacing w:line="360" w:lineRule="auto"/>
        <w:jc w:val="both"/>
        <w:rPr>
          <w:rFonts w:ascii="Palatino Linotype" w:eastAsia="Palatino Linotype" w:hAnsi="Palatino Linotype" w:cs="Palatino Linotype"/>
          <w:b/>
          <w:color w:val="000000"/>
        </w:rPr>
      </w:pPr>
      <w:r w:rsidRPr="00452B91">
        <w:rPr>
          <w:rFonts w:ascii="Palatino Linotype" w:eastAsia="Palatino Linotype" w:hAnsi="Palatino Linotype" w:cs="Palatino Linotype"/>
        </w:rPr>
        <w:t>El</w:t>
      </w:r>
      <w:r w:rsidRPr="00452B91">
        <w:rPr>
          <w:rFonts w:ascii="Palatino Linotype" w:eastAsia="Palatino Linotype" w:hAnsi="Palatino Linotype" w:cs="Palatino Linotype"/>
          <w:color w:val="000000"/>
        </w:rPr>
        <w:t xml:space="preserve"> Recurso de Revisión materia del presente estudio fue interpuesto por parte legítima, en atención a que se presentó por </w:t>
      </w:r>
      <w:r w:rsidRPr="00452B91">
        <w:rPr>
          <w:rFonts w:ascii="Palatino Linotype" w:eastAsia="Palatino Linotype" w:hAnsi="Palatino Linotype" w:cs="Palatino Linotype"/>
          <w:b/>
        </w:rPr>
        <w:t>EL</w:t>
      </w:r>
      <w:r w:rsidRPr="00452B91">
        <w:rPr>
          <w:rFonts w:ascii="Palatino Linotype" w:eastAsia="Palatino Linotype" w:hAnsi="Palatino Linotype" w:cs="Palatino Linotype"/>
          <w:b/>
          <w:color w:val="000000"/>
        </w:rPr>
        <w:t xml:space="preserve"> RECURRENTE,</w:t>
      </w:r>
      <w:r w:rsidRPr="00452B91">
        <w:rPr>
          <w:rFonts w:ascii="Palatino Linotype" w:eastAsia="Palatino Linotype" w:hAnsi="Palatino Linotype" w:cs="Palatino Linotype"/>
          <w:color w:val="000000"/>
        </w:rPr>
        <w:t xml:space="preserve"> quien es la misma persona que formuló la solicitud de acceso a la información pública al </w:t>
      </w:r>
      <w:r w:rsidRPr="00452B91">
        <w:rPr>
          <w:rFonts w:ascii="Palatino Linotype" w:eastAsia="Palatino Linotype" w:hAnsi="Palatino Linotype" w:cs="Palatino Linotype"/>
          <w:b/>
          <w:color w:val="000000"/>
        </w:rPr>
        <w:t xml:space="preserve">SUJETO OBLIGADO, </w:t>
      </w:r>
      <w:r w:rsidRPr="00452B91">
        <w:rPr>
          <w:rFonts w:ascii="Palatino Linotype" w:eastAsia="Palatino Linotype" w:hAnsi="Palatino Linotype" w:cs="Palatino Linotype"/>
          <w:color w:val="000000"/>
        </w:rPr>
        <w:t xml:space="preserve">pues para ello, es necesario que el particular ingrese al </w:t>
      </w:r>
      <w:r w:rsidRPr="00452B91">
        <w:rPr>
          <w:rFonts w:ascii="Palatino Linotype" w:eastAsia="Palatino Linotype" w:hAnsi="Palatino Linotype" w:cs="Palatino Linotype"/>
          <w:b/>
          <w:color w:val="000000"/>
        </w:rPr>
        <w:t xml:space="preserve">SAIMEX </w:t>
      </w:r>
      <w:r w:rsidRPr="00452B91">
        <w:rPr>
          <w:rFonts w:ascii="Palatino Linotype" w:eastAsia="Palatino Linotype" w:hAnsi="Palatino Linotype" w:cs="Palatino Linotype"/>
          <w:color w:val="000000"/>
        </w:rPr>
        <w:t>mediante la utilización de su clave de usuario y contraseña.</w:t>
      </w:r>
    </w:p>
    <w:p w14:paraId="1CE3ABD6" w14:textId="77777777" w:rsidR="00BD584A" w:rsidRPr="00452B91" w:rsidRDefault="00BD584A" w:rsidP="00452B91">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6543ED0F" w14:textId="77777777" w:rsidR="00BD584A" w:rsidRPr="00452B91" w:rsidRDefault="005A341C" w:rsidP="00452B91">
      <w:pPr>
        <w:tabs>
          <w:tab w:val="center" w:pos="4252"/>
          <w:tab w:val="right" w:pos="8504"/>
        </w:tabs>
        <w:spacing w:line="360" w:lineRule="auto"/>
        <w:ind w:left="-57"/>
        <w:jc w:val="both"/>
        <w:rPr>
          <w:rFonts w:ascii="Palatino Linotype" w:eastAsia="Palatino Linotype" w:hAnsi="Palatino Linotype" w:cs="Palatino Linotype"/>
          <w:color w:val="000000"/>
        </w:rPr>
      </w:pPr>
      <w:r w:rsidRPr="00452B91">
        <w:rPr>
          <w:rFonts w:ascii="Palatino Linotype" w:eastAsia="Palatino Linotype" w:hAnsi="Palatino Linotype" w:cs="Palatino Linotype"/>
          <w:b/>
          <w:sz w:val="28"/>
          <w:szCs w:val="28"/>
        </w:rPr>
        <w:t>TERCERO.</w:t>
      </w:r>
      <w:r w:rsidRPr="00452B91">
        <w:rPr>
          <w:rFonts w:ascii="Palatino Linotype" w:eastAsia="Palatino Linotype" w:hAnsi="Palatino Linotype" w:cs="Palatino Linotype"/>
        </w:rPr>
        <w:t xml:space="preserve"> </w:t>
      </w:r>
      <w:r w:rsidRPr="00452B91">
        <w:rPr>
          <w:rFonts w:ascii="Palatino Linotype" w:eastAsia="Palatino Linotype" w:hAnsi="Palatino Linotype" w:cs="Palatino Linotype"/>
          <w:b/>
          <w:color w:val="000000"/>
        </w:rPr>
        <w:t>Oportunidad</w:t>
      </w:r>
      <w:r w:rsidRPr="00452B91">
        <w:rPr>
          <w:rFonts w:ascii="Palatino Linotype" w:eastAsia="Palatino Linotype" w:hAnsi="Palatino Linotype" w:cs="Palatino Linotype"/>
          <w:color w:val="000000"/>
        </w:rPr>
        <w:t xml:space="preserve">. </w:t>
      </w:r>
    </w:p>
    <w:p w14:paraId="79EA3AC0" w14:textId="77777777" w:rsidR="00BD584A" w:rsidRPr="00452B91" w:rsidRDefault="005A341C" w:rsidP="00452B91">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452B91">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Pr="00452B91">
        <w:rPr>
          <w:rFonts w:ascii="Palatino Linotype" w:eastAsia="Palatino Linotype" w:hAnsi="Palatino Linotype" w:cs="Palatino Linotype"/>
          <w:b/>
          <w:color w:val="000000"/>
        </w:rPr>
        <w:t xml:space="preserve">EL RECURRENTE </w:t>
      </w:r>
      <w:r w:rsidRPr="00452B91">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29DCE3F1" w14:textId="77777777" w:rsidR="00BD584A" w:rsidRPr="00452B91" w:rsidRDefault="00BD584A" w:rsidP="00452B91">
      <w:pPr>
        <w:ind w:left="720" w:right="709"/>
        <w:jc w:val="both"/>
        <w:rPr>
          <w:rFonts w:ascii="Palatino Linotype" w:eastAsia="Palatino Linotype" w:hAnsi="Palatino Linotype" w:cs="Palatino Linotype"/>
          <w:i/>
          <w:sz w:val="22"/>
          <w:szCs w:val="22"/>
        </w:rPr>
      </w:pPr>
    </w:p>
    <w:p w14:paraId="1A2168B3" w14:textId="77777777" w:rsidR="00BD584A" w:rsidRPr="00452B91" w:rsidRDefault="005A341C" w:rsidP="00452B91">
      <w:pPr>
        <w:ind w:left="851"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w:t>
      </w:r>
      <w:r w:rsidRPr="00452B91">
        <w:rPr>
          <w:rFonts w:ascii="Palatino Linotype" w:eastAsia="Palatino Linotype" w:hAnsi="Palatino Linotype" w:cs="Palatino Linotype"/>
          <w:b/>
          <w:i/>
          <w:sz w:val="22"/>
          <w:szCs w:val="22"/>
        </w:rPr>
        <w:t>Artículo 178.</w:t>
      </w:r>
      <w:r w:rsidRPr="00452B91">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EBA4DD5" w14:textId="77777777" w:rsidR="00BD584A" w:rsidRPr="00452B91" w:rsidRDefault="00BD584A" w:rsidP="00452B91">
      <w:pPr>
        <w:ind w:left="851" w:right="899"/>
        <w:jc w:val="both"/>
        <w:rPr>
          <w:rFonts w:ascii="Palatino Linotype" w:eastAsia="Palatino Linotype" w:hAnsi="Palatino Linotype" w:cs="Palatino Linotype"/>
          <w:i/>
          <w:sz w:val="22"/>
          <w:szCs w:val="22"/>
        </w:rPr>
      </w:pPr>
    </w:p>
    <w:p w14:paraId="1C489DB4" w14:textId="77777777" w:rsidR="00BD584A" w:rsidRPr="00452B91" w:rsidRDefault="005A341C" w:rsidP="00452B91">
      <w:pPr>
        <w:ind w:left="851"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8D6B425" w14:textId="77777777" w:rsidR="00BD584A" w:rsidRPr="00452B91" w:rsidRDefault="00BD584A" w:rsidP="00452B91">
      <w:pPr>
        <w:ind w:left="851" w:right="899"/>
        <w:jc w:val="both"/>
        <w:rPr>
          <w:rFonts w:ascii="Palatino Linotype" w:eastAsia="Palatino Linotype" w:hAnsi="Palatino Linotype" w:cs="Palatino Linotype"/>
          <w:i/>
          <w:sz w:val="22"/>
          <w:szCs w:val="22"/>
        </w:rPr>
      </w:pPr>
    </w:p>
    <w:p w14:paraId="4FC9BA4B" w14:textId="77777777" w:rsidR="00BD584A" w:rsidRPr="00452B91" w:rsidRDefault="005A341C" w:rsidP="00452B91">
      <w:pPr>
        <w:ind w:left="851"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08FCBAB2" w14:textId="77777777" w:rsidR="00BD584A" w:rsidRPr="00452B91" w:rsidRDefault="00BD584A" w:rsidP="00452B91">
      <w:pPr>
        <w:ind w:left="720" w:right="709"/>
        <w:jc w:val="both"/>
        <w:rPr>
          <w:rFonts w:ascii="Palatino Linotype" w:eastAsia="Palatino Linotype" w:hAnsi="Palatino Linotype" w:cs="Palatino Linotype"/>
          <w:i/>
          <w:sz w:val="22"/>
          <w:szCs w:val="22"/>
        </w:rPr>
      </w:pPr>
    </w:p>
    <w:p w14:paraId="62930445" w14:textId="77777777" w:rsidR="00BD584A" w:rsidRPr="00452B91" w:rsidRDefault="005A341C" w:rsidP="00452B91">
      <w:pPr>
        <w:spacing w:line="360" w:lineRule="auto"/>
        <w:jc w:val="both"/>
        <w:rPr>
          <w:rFonts w:ascii="Palatino Linotype" w:eastAsia="Palatino Linotype" w:hAnsi="Palatino Linotype" w:cs="Palatino Linotype"/>
        </w:rPr>
      </w:pPr>
      <w:bookmarkStart w:id="4" w:name="_heading=h.2et92p0" w:colFirst="0" w:colLast="0"/>
      <w:bookmarkEnd w:id="4"/>
      <w:r w:rsidRPr="00452B91">
        <w:rPr>
          <w:rFonts w:ascii="Palatino Linotype" w:eastAsia="Palatino Linotype" w:hAnsi="Palatino Linotype" w:cs="Palatino Linotype"/>
        </w:rPr>
        <w:t xml:space="preserve">En esa tesitura, atendiendo a que </w:t>
      </w:r>
      <w:r w:rsidRPr="00452B91">
        <w:rPr>
          <w:rFonts w:ascii="Palatino Linotype" w:eastAsia="Palatino Linotype" w:hAnsi="Palatino Linotype" w:cs="Palatino Linotype"/>
          <w:b/>
        </w:rPr>
        <w:t>EL SUJETO OBLIGADO</w:t>
      </w:r>
      <w:r w:rsidRPr="00452B91">
        <w:rPr>
          <w:rFonts w:ascii="Palatino Linotype" w:eastAsia="Palatino Linotype" w:hAnsi="Palatino Linotype" w:cs="Palatino Linotype"/>
        </w:rPr>
        <w:t xml:space="preserve"> notificó la respuesta a la solicitud de acceso a la información pública el día</w:t>
      </w:r>
      <w:r w:rsidRPr="00452B91">
        <w:rPr>
          <w:rFonts w:ascii="Palatino Linotype" w:eastAsia="Palatino Linotype" w:hAnsi="Palatino Linotype" w:cs="Palatino Linotype"/>
          <w:b/>
        </w:rPr>
        <w:t xml:space="preserve">  nueve de marzo de dos mil veintidós</w:t>
      </w:r>
      <w:r w:rsidRPr="00452B91">
        <w:rPr>
          <w:rFonts w:ascii="Palatino Linotype" w:eastAsia="Palatino Linotype" w:hAnsi="Palatino Linotype" w:cs="Palatino Linotype"/>
        </w:rPr>
        <w:t>; así, el plazo de quince días hábiles que el artículo 178 de la Ley de la materia otorga al</w:t>
      </w:r>
      <w:r w:rsidRPr="00452B91">
        <w:rPr>
          <w:rFonts w:ascii="Palatino Linotype" w:eastAsia="Palatino Linotype" w:hAnsi="Palatino Linotype" w:cs="Palatino Linotype"/>
          <w:b/>
        </w:rPr>
        <w:t xml:space="preserve"> RECURRENTE</w:t>
      </w:r>
      <w:r w:rsidRPr="00452B91">
        <w:rPr>
          <w:rFonts w:ascii="Palatino Linotype" w:eastAsia="Palatino Linotype" w:hAnsi="Palatino Linotype" w:cs="Palatino Linotype"/>
        </w:rPr>
        <w:t xml:space="preserve"> para presentar el respectivo Recurso de Revisión, transcurrió del</w:t>
      </w:r>
      <w:r w:rsidRPr="00452B91">
        <w:rPr>
          <w:rFonts w:ascii="Palatino Linotype" w:eastAsia="Palatino Linotype" w:hAnsi="Palatino Linotype" w:cs="Palatino Linotype"/>
          <w:b/>
        </w:rPr>
        <w:t xml:space="preserve"> diez al treinta y uno de marzo de dos mil veintidós, </w:t>
      </w:r>
      <w:r w:rsidRPr="00452B91">
        <w:rPr>
          <w:rFonts w:ascii="Palatino Linotype" w:eastAsia="Palatino Linotype" w:hAnsi="Palatino Linotype" w:cs="Palatino Linotype"/>
        </w:rPr>
        <w:t xml:space="preserve">sin contemplar en el cómputo los días doce, trece, diecinueve, veinte, veintiséis y veintisiete de marzo de dos mil veintidós por corresponder a sábados y domingos, considerados como días inhábiles, en términos del artículo 3, fracción X de la Ley de Transparencia y Acceso a la Información Pública del Estado de México y Municipios. Así como, el día veintiuno de marzo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w:t>
      </w:r>
      <w:r w:rsidRPr="00452B91">
        <w:rPr>
          <w:rFonts w:ascii="Palatino Linotype" w:eastAsia="Palatino Linotype" w:hAnsi="Palatino Linotype" w:cs="Palatino Linotype"/>
        </w:rPr>
        <w:lastRenderedPageBreak/>
        <w:t>mil veintitrés, publicado en el Periódico Oficial “Gaceta del Gobierno”, el veintidós de diciembre de dos mil veintidós</w:t>
      </w:r>
      <w:r w:rsidRPr="00452B91">
        <w:rPr>
          <w:rFonts w:ascii="Palatino Linotype" w:eastAsia="Palatino Linotype" w:hAnsi="Palatino Linotype" w:cs="Palatino Linotype"/>
          <w:vertAlign w:val="superscript"/>
        </w:rPr>
        <w:footnoteReference w:id="2"/>
      </w:r>
      <w:r w:rsidRPr="00452B91">
        <w:rPr>
          <w:rFonts w:ascii="Palatino Linotype" w:eastAsia="Palatino Linotype" w:hAnsi="Palatino Linotype" w:cs="Palatino Linotype"/>
        </w:rPr>
        <w:t>.</w:t>
      </w:r>
    </w:p>
    <w:p w14:paraId="3D17C174" w14:textId="77777777" w:rsidR="00BD584A" w:rsidRPr="00452B91" w:rsidRDefault="00BD584A" w:rsidP="00452B91">
      <w:pPr>
        <w:spacing w:line="360" w:lineRule="auto"/>
        <w:jc w:val="both"/>
        <w:rPr>
          <w:rFonts w:ascii="Palatino Linotype" w:eastAsia="Palatino Linotype" w:hAnsi="Palatino Linotype" w:cs="Palatino Linotype"/>
        </w:rPr>
      </w:pPr>
      <w:bookmarkStart w:id="5" w:name="_heading=h.orkc3o7h9xbv" w:colFirst="0" w:colLast="0"/>
      <w:bookmarkEnd w:id="5"/>
    </w:p>
    <w:p w14:paraId="536558AE" w14:textId="5E52E179" w:rsidR="00BD584A" w:rsidRPr="00452B91" w:rsidRDefault="005A341C" w:rsidP="00452B91">
      <w:pPr>
        <w:spacing w:line="360" w:lineRule="auto"/>
        <w:ind w:left="-5" w:hanging="10"/>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En ese tenor, se advierte que </w:t>
      </w:r>
      <w:r w:rsidRPr="00452B91">
        <w:rPr>
          <w:rFonts w:ascii="Palatino Linotype" w:eastAsia="Palatino Linotype" w:hAnsi="Palatino Linotype" w:cs="Palatino Linotype"/>
          <w:b/>
        </w:rPr>
        <w:t>EL RECURRENTE</w:t>
      </w:r>
      <w:r w:rsidRPr="00452B91">
        <w:rPr>
          <w:rFonts w:ascii="Palatino Linotype" w:eastAsia="Palatino Linotype" w:hAnsi="Palatino Linotype" w:cs="Palatino Linotype"/>
        </w:rPr>
        <w:t xml:space="preserve"> presentó el medio de impugnación, el día veintiuno de marzo de la anualidad, este se tuvo por presentado en la fecha hábil siguiente siendo este el veintidós de marzo, por lo </w:t>
      </w:r>
      <w:r w:rsidR="00841B1E" w:rsidRPr="00452B91">
        <w:rPr>
          <w:rFonts w:ascii="Palatino Linotype" w:eastAsia="Palatino Linotype" w:hAnsi="Palatino Linotype" w:cs="Palatino Linotype"/>
        </w:rPr>
        <w:t>cual, se</w:t>
      </w:r>
      <w:r w:rsidRPr="00452B91">
        <w:rPr>
          <w:rFonts w:ascii="Palatino Linotype" w:eastAsia="Palatino Linotype" w:hAnsi="Palatino Linotype" w:cs="Palatino Linotype"/>
        </w:rPr>
        <w:t xml:space="preserve"> encuentra dentro del plazo establecido por el artículo 178, de la Ley de Transparencia y Acceso a la Información Pública del Estado de México y Municipios. </w:t>
      </w:r>
    </w:p>
    <w:p w14:paraId="7207E75F" w14:textId="77777777" w:rsidR="00BD584A" w:rsidRPr="00452B91" w:rsidRDefault="00BD584A" w:rsidP="00452B91">
      <w:pPr>
        <w:spacing w:line="360" w:lineRule="auto"/>
        <w:ind w:left="-5" w:hanging="10"/>
        <w:jc w:val="both"/>
        <w:rPr>
          <w:rFonts w:ascii="Palatino Linotype" w:eastAsia="Palatino Linotype" w:hAnsi="Palatino Linotype" w:cs="Palatino Linotype"/>
          <w:b/>
        </w:rPr>
      </w:pPr>
    </w:p>
    <w:p w14:paraId="34441163" w14:textId="77777777" w:rsidR="00BD584A" w:rsidRPr="00452B91" w:rsidRDefault="005A341C" w:rsidP="00452B91">
      <w:pPr>
        <w:spacing w:line="360" w:lineRule="auto"/>
        <w:ind w:right="49"/>
        <w:jc w:val="both"/>
        <w:rPr>
          <w:rFonts w:ascii="Palatino Linotype" w:eastAsia="Palatino Linotype" w:hAnsi="Palatino Linotype" w:cs="Palatino Linotype"/>
          <w:b/>
        </w:rPr>
      </w:pPr>
      <w:r w:rsidRPr="00452B91">
        <w:rPr>
          <w:rFonts w:ascii="Palatino Linotype" w:eastAsia="Palatino Linotype" w:hAnsi="Palatino Linotype" w:cs="Palatino Linotype"/>
          <w:b/>
          <w:sz w:val="28"/>
          <w:szCs w:val="28"/>
        </w:rPr>
        <w:t>CUARTO</w:t>
      </w:r>
      <w:r w:rsidRPr="00452B91">
        <w:rPr>
          <w:rFonts w:ascii="Palatino Linotype" w:eastAsia="Palatino Linotype" w:hAnsi="Palatino Linotype" w:cs="Palatino Linotype"/>
          <w:b/>
        </w:rPr>
        <w:t xml:space="preserve">. Procedibilidad. </w:t>
      </w:r>
    </w:p>
    <w:p w14:paraId="325BCFC4" w14:textId="77777777" w:rsidR="00BD584A" w:rsidRPr="00452B91" w:rsidRDefault="005A341C" w:rsidP="00452B91">
      <w:pPr>
        <w:spacing w:line="360" w:lineRule="auto"/>
        <w:ind w:right="49"/>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Del análisis efectuado se advierte que resulta procedente la interposición del Recurso de Revisión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w:t>
      </w:r>
      <w:r w:rsidRPr="00452B91">
        <w:rPr>
          <w:rFonts w:ascii="Palatino Linotype" w:eastAsia="Palatino Linotype" w:hAnsi="Palatino Linotype" w:cs="Palatino Linotype"/>
          <w:b/>
        </w:rPr>
        <w:t>EL SAIMEX</w:t>
      </w:r>
    </w:p>
    <w:p w14:paraId="073E7304" w14:textId="77777777" w:rsidR="00BD584A" w:rsidRPr="00452B91" w:rsidRDefault="00BD584A" w:rsidP="00452B91">
      <w:pPr>
        <w:spacing w:line="360" w:lineRule="auto"/>
        <w:ind w:right="49"/>
        <w:jc w:val="both"/>
        <w:rPr>
          <w:rFonts w:ascii="Palatino Linotype" w:eastAsia="Palatino Linotype" w:hAnsi="Palatino Linotype" w:cs="Palatino Linotype"/>
        </w:rPr>
      </w:pPr>
    </w:p>
    <w:p w14:paraId="01CF07A5" w14:textId="77777777" w:rsidR="00BD584A" w:rsidRPr="00452B91" w:rsidRDefault="005A341C" w:rsidP="00452B91">
      <w:pPr>
        <w:spacing w:line="360" w:lineRule="auto"/>
        <w:jc w:val="both"/>
        <w:rPr>
          <w:rFonts w:ascii="Palatino Linotype" w:eastAsia="Palatino Linotype" w:hAnsi="Palatino Linotype" w:cs="Palatino Linotype"/>
          <w:b/>
        </w:rPr>
      </w:pPr>
      <w:r w:rsidRPr="00452B91">
        <w:rPr>
          <w:rFonts w:ascii="Palatino Linotype" w:eastAsia="Palatino Linotype" w:hAnsi="Palatino Linotype" w:cs="Palatino Linotype"/>
          <w:b/>
          <w:sz w:val="28"/>
          <w:szCs w:val="28"/>
        </w:rPr>
        <w:t>QUINTO</w:t>
      </w:r>
      <w:r w:rsidRPr="00452B91">
        <w:rPr>
          <w:rFonts w:ascii="Palatino Linotype" w:eastAsia="Palatino Linotype" w:hAnsi="Palatino Linotype" w:cs="Palatino Linotype"/>
          <w:b/>
        </w:rPr>
        <w:t xml:space="preserve">. Estudio y resolución del asunto. </w:t>
      </w:r>
    </w:p>
    <w:p w14:paraId="7E64F857" w14:textId="77777777" w:rsidR="00BD584A" w:rsidRPr="00452B91" w:rsidRDefault="005A341C" w:rsidP="00452B91">
      <w:pPr>
        <w:tabs>
          <w:tab w:val="left" w:pos="709"/>
        </w:tabs>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En primera instancia, de las constancias que obran en el expediente electrónico del SAIMEX se aprecia que en el caso que nos ocupa se actualiza la hipótesis de procedibilidad prevista en la fracción V, del artículo 179 de la Ley de Transparencia y </w:t>
      </w:r>
      <w:r w:rsidRPr="00452B91">
        <w:rPr>
          <w:rFonts w:ascii="Palatino Linotype" w:eastAsia="Palatino Linotype" w:hAnsi="Palatino Linotype" w:cs="Palatino Linotype"/>
        </w:rPr>
        <w:lastRenderedPageBreak/>
        <w:t>Acceso a la Información Pública del Estado de México y Municipios, el cual a la letra dice:</w:t>
      </w:r>
    </w:p>
    <w:p w14:paraId="029812AE" w14:textId="77777777" w:rsidR="00BD584A" w:rsidRPr="00452B91" w:rsidRDefault="005A341C" w:rsidP="00452B91">
      <w:pPr>
        <w:ind w:left="851" w:right="901"/>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w:t>
      </w:r>
      <w:r w:rsidRPr="00452B91">
        <w:rPr>
          <w:rFonts w:ascii="Palatino Linotype" w:eastAsia="Palatino Linotype" w:hAnsi="Palatino Linotype" w:cs="Palatino Linotype"/>
          <w:b/>
          <w:i/>
          <w:sz w:val="22"/>
          <w:szCs w:val="22"/>
        </w:rPr>
        <w:t>Artículo 179.</w:t>
      </w:r>
      <w:r w:rsidRPr="00452B91">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F114500" w14:textId="77777777" w:rsidR="00BD584A" w:rsidRPr="00452B91" w:rsidRDefault="005A341C" w:rsidP="00452B91">
      <w:pPr>
        <w:ind w:left="851" w:right="901"/>
        <w:jc w:val="both"/>
        <w:rPr>
          <w:rFonts w:ascii="Palatino Linotype" w:eastAsia="Palatino Linotype" w:hAnsi="Palatino Linotype" w:cs="Palatino Linotype"/>
          <w:b/>
          <w:i/>
          <w:sz w:val="22"/>
          <w:szCs w:val="22"/>
        </w:rPr>
      </w:pPr>
      <w:r w:rsidRPr="00452B91">
        <w:rPr>
          <w:rFonts w:ascii="Palatino Linotype" w:eastAsia="Palatino Linotype" w:hAnsi="Palatino Linotype" w:cs="Palatino Linotype"/>
          <w:b/>
          <w:i/>
          <w:sz w:val="22"/>
          <w:szCs w:val="22"/>
        </w:rPr>
        <w:t>(…)</w:t>
      </w:r>
    </w:p>
    <w:p w14:paraId="7490D5C9" w14:textId="2EAD06F6" w:rsidR="00BD584A" w:rsidRPr="00452B91" w:rsidRDefault="005A341C" w:rsidP="00452B91">
      <w:pPr>
        <w:ind w:left="851" w:right="901"/>
        <w:jc w:val="both"/>
        <w:rPr>
          <w:rFonts w:ascii="Palatino Linotype" w:eastAsia="Palatino Linotype" w:hAnsi="Palatino Linotype" w:cs="Palatino Linotype"/>
          <w:b/>
          <w:i/>
          <w:sz w:val="22"/>
          <w:szCs w:val="22"/>
        </w:rPr>
      </w:pPr>
      <w:r w:rsidRPr="00452B91">
        <w:rPr>
          <w:rFonts w:ascii="Palatino Linotype" w:eastAsia="Palatino Linotype" w:hAnsi="Palatino Linotype" w:cs="Palatino Linotype"/>
          <w:b/>
          <w:i/>
          <w:sz w:val="22"/>
          <w:szCs w:val="22"/>
        </w:rPr>
        <w:t xml:space="preserve">V. La entrega de información </w:t>
      </w:r>
      <w:r w:rsidR="00841B1E" w:rsidRPr="00452B91">
        <w:rPr>
          <w:rFonts w:ascii="Palatino Linotype" w:eastAsia="Palatino Linotype" w:hAnsi="Palatino Linotype" w:cs="Palatino Linotype"/>
          <w:b/>
          <w:i/>
          <w:sz w:val="22"/>
          <w:szCs w:val="22"/>
        </w:rPr>
        <w:t>incompleta;</w:t>
      </w:r>
    </w:p>
    <w:p w14:paraId="7366671E" w14:textId="77777777" w:rsidR="00BD584A" w:rsidRPr="00452B91" w:rsidRDefault="005A341C" w:rsidP="00452B91">
      <w:pPr>
        <w:ind w:left="851" w:right="901"/>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w:t>
      </w:r>
      <w:r w:rsidRPr="00452B91">
        <w:rPr>
          <w:rFonts w:ascii="Palatino Linotype" w:eastAsia="Palatino Linotype" w:hAnsi="Palatino Linotype" w:cs="Palatino Linotype"/>
          <w:i/>
          <w:sz w:val="22"/>
          <w:szCs w:val="22"/>
        </w:rPr>
        <w:t>”</w:t>
      </w:r>
    </w:p>
    <w:p w14:paraId="3A8EE7B4" w14:textId="77777777" w:rsidR="00BD584A" w:rsidRPr="00452B91" w:rsidRDefault="005A341C" w:rsidP="00452B91">
      <w:pPr>
        <w:ind w:left="851" w:right="901"/>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(Énfasis añadido)</w:t>
      </w:r>
    </w:p>
    <w:p w14:paraId="175BBD55" w14:textId="77777777" w:rsidR="00BD584A" w:rsidRPr="00452B91" w:rsidRDefault="00BD584A" w:rsidP="00452B91">
      <w:pPr>
        <w:ind w:left="851" w:right="901"/>
        <w:jc w:val="both"/>
        <w:rPr>
          <w:rFonts w:ascii="Palatino Linotype" w:eastAsia="Palatino Linotype" w:hAnsi="Palatino Linotype" w:cs="Palatino Linotype"/>
          <w:i/>
          <w:sz w:val="22"/>
          <w:szCs w:val="22"/>
        </w:rPr>
      </w:pPr>
    </w:p>
    <w:p w14:paraId="357B30A9" w14:textId="77777777" w:rsidR="00BD584A" w:rsidRPr="00452B91" w:rsidRDefault="00BD584A" w:rsidP="00452B91">
      <w:pPr>
        <w:spacing w:line="360" w:lineRule="auto"/>
        <w:ind w:right="49"/>
        <w:jc w:val="both"/>
        <w:rPr>
          <w:rFonts w:ascii="Palatino Linotype" w:eastAsia="Palatino Linotype" w:hAnsi="Palatino Linotype" w:cs="Palatino Linotype"/>
        </w:rPr>
      </w:pPr>
    </w:p>
    <w:p w14:paraId="52068182" w14:textId="38D2A83B" w:rsidR="00BD584A" w:rsidRPr="00452B91" w:rsidRDefault="005A341C" w:rsidP="00452B91">
      <w:pPr>
        <w:spacing w:line="360" w:lineRule="auto"/>
        <w:ind w:right="49"/>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Una vez establecido lo anterior, es necesario realizar un estudio del total de las constancias que integran el expediente electrónico del </w:t>
      </w:r>
      <w:r w:rsidR="00841B1E" w:rsidRPr="00452B91">
        <w:rPr>
          <w:rFonts w:ascii="Palatino Linotype" w:eastAsia="Palatino Linotype" w:hAnsi="Palatino Linotype" w:cs="Palatino Linotype"/>
        </w:rPr>
        <w:t>SAIMEX a</w:t>
      </w:r>
      <w:r w:rsidRPr="00452B91">
        <w:rPr>
          <w:rFonts w:ascii="Palatino Linotype" w:eastAsia="Palatino Linotype" w:hAnsi="Palatino Linotype" w:cs="Palatino Linotype"/>
        </w:rPr>
        <w:t xml:space="preserve"> fin de determinar si fue atendido el derecho de acceso a la Información del particular </w:t>
      </w:r>
    </w:p>
    <w:p w14:paraId="5EA34851" w14:textId="77777777" w:rsidR="00BD584A" w:rsidRPr="00452B91" w:rsidRDefault="00BD584A" w:rsidP="00452B91">
      <w:pPr>
        <w:spacing w:line="360" w:lineRule="auto"/>
        <w:ind w:right="49"/>
        <w:jc w:val="both"/>
        <w:rPr>
          <w:rFonts w:ascii="Palatino Linotype" w:eastAsia="Palatino Linotype" w:hAnsi="Palatino Linotype" w:cs="Palatino Linotype"/>
        </w:rPr>
      </w:pPr>
    </w:p>
    <w:p w14:paraId="391A4170" w14:textId="77777777" w:rsidR="00BD584A" w:rsidRPr="00452B91" w:rsidRDefault="005A341C" w:rsidP="00452B91">
      <w:pPr>
        <w:spacing w:line="360" w:lineRule="auto"/>
        <w:ind w:right="49"/>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En tal sentido, para un mejor estudio y comprensión del asunto que se resuelve, es preciso recordar que </w:t>
      </w:r>
      <w:r w:rsidRPr="00452B91">
        <w:rPr>
          <w:rFonts w:ascii="Palatino Linotype" w:eastAsia="Palatino Linotype" w:hAnsi="Palatino Linotype" w:cs="Palatino Linotype"/>
          <w:b/>
        </w:rPr>
        <w:t>EL RECURRENTE</w:t>
      </w:r>
      <w:r w:rsidRPr="00452B91">
        <w:rPr>
          <w:rFonts w:ascii="Palatino Linotype" w:eastAsia="Palatino Linotype" w:hAnsi="Palatino Linotype" w:cs="Palatino Linotype"/>
        </w:rPr>
        <w:t xml:space="preserve"> solicitó al </w:t>
      </w:r>
      <w:r w:rsidRPr="00452B91">
        <w:rPr>
          <w:rFonts w:ascii="Palatino Linotype" w:eastAsia="Palatino Linotype" w:hAnsi="Palatino Linotype" w:cs="Palatino Linotype"/>
          <w:b/>
        </w:rPr>
        <w:t>SUJETO OBLIGADO</w:t>
      </w:r>
      <w:r w:rsidRPr="00452B91">
        <w:rPr>
          <w:rFonts w:ascii="Palatino Linotype" w:eastAsia="Palatino Linotype" w:hAnsi="Palatino Linotype" w:cs="Palatino Linotype"/>
        </w:rPr>
        <w:t xml:space="preserve"> lo siguiente: </w:t>
      </w:r>
    </w:p>
    <w:p w14:paraId="3F4D42C0" w14:textId="77777777" w:rsidR="00BD584A" w:rsidRPr="00452B91" w:rsidRDefault="005A341C" w:rsidP="00452B91">
      <w:pPr>
        <w:ind w:left="850"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“Solicito se me exhiba. via documental el convenio de colaboración o cualquier otro instrumento juridico para la celebración de la carrera atlética denominada "Maratón rock´n Roll mexico running series estado de mexico" entre el gobierno estatal a través de la secretaria de cultura y turismo, el gobierno municipal de metepec y/o el instituto municipal de cultura fisica y deporte de metepec y la empresa "As deporte", asimismo, los costos por el evento, el destino de los recursos y el mecanismo para asignar las cuotas de recuperación, si fueron aprobadas por el cabildo del municipio así como por la propia tesorería estatal o alguna otra instancia del gobierno del estado de mexico.” (sic)</w:t>
      </w:r>
    </w:p>
    <w:p w14:paraId="12068A28" w14:textId="77777777" w:rsidR="00BD584A" w:rsidRPr="00452B91" w:rsidRDefault="00BD584A" w:rsidP="00452B91">
      <w:pPr>
        <w:spacing w:line="360" w:lineRule="auto"/>
        <w:ind w:right="49"/>
        <w:jc w:val="both"/>
        <w:rPr>
          <w:rFonts w:ascii="Palatino Linotype" w:eastAsia="Palatino Linotype" w:hAnsi="Palatino Linotype" w:cs="Palatino Linotype"/>
        </w:rPr>
      </w:pPr>
    </w:p>
    <w:p w14:paraId="1FEEE22C" w14:textId="048CB3A8" w:rsidR="00BD584A" w:rsidRPr="00452B91" w:rsidRDefault="005A341C" w:rsidP="00452B91">
      <w:pPr>
        <w:spacing w:line="360" w:lineRule="auto"/>
        <w:ind w:right="49"/>
        <w:jc w:val="both"/>
        <w:rPr>
          <w:rFonts w:ascii="Palatino Linotype" w:eastAsia="Palatino Linotype" w:hAnsi="Palatino Linotype" w:cs="Palatino Linotype"/>
        </w:rPr>
      </w:pPr>
      <w:r w:rsidRPr="00452B91">
        <w:rPr>
          <w:rFonts w:ascii="Palatino Linotype" w:eastAsia="Palatino Linotype" w:hAnsi="Palatino Linotype" w:cs="Palatino Linotype"/>
        </w:rPr>
        <w:t>Por su parte,</w:t>
      </w:r>
      <w:r w:rsidRPr="00452B91">
        <w:rPr>
          <w:rFonts w:ascii="Palatino Linotype" w:eastAsia="Palatino Linotype" w:hAnsi="Palatino Linotype" w:cs="Palatino Linotype"/>
          <w:b/>
        </w:rPr>
        <w:t xml:space="preserve"> EL SUJETO OBLIGADO</w:t>
      </w:r>
      <w:r w:rsidRPr="00452B91">
        <w:rPr>
          <w:rFonts w:ascii="Palatino Linotype" w:eastAsia="Palatino Linotype" w:hAnsi="Palatino Linotype" w:cs="Palatino Linotype"/>
        </w:rPr>
        <w:t xml:space="preserve"> dio respuesta mediante el archivo denominado </w:t>
      </w:r>
      <w:r w:rsidRPr="00452B91">
        <w:rPr>
          <w:rFonts w:ascii="Palatino Linotype" w:eastAsia="Palatino Linotype" w:hAnsi="Palatino Linotype" w:cs="Palatino Linotype"/>
          <w:i/>
        </w:rPr>
        <w:t xml:space="preserve">01825.PDF </w:t>
      </w:r>
      <w:r w:rsidRPr="00452B91">
        <w:rPr>
          <w:rFonts w:ascii="Palatino Linotype" w:eastAsia="Palatino Linotype" w:hAnsi="Palatino Linotype" w:cs="Palatino Linotype"/>
        </w:rPr>
        <w:t xml:space="preserve">del cual se aprecian la respuesta emitida por el Director de Administración </w:t>
      </w:r>
      <w:r w:rsidRPr="00452B91">
        <w:rPr>
          <w:rFonts w:ascii="Palatino Linotype" w:eastAsia="Palatino Linotype" w:hAnsi="Palatino Linotype" w:cs="Palatino Linotype"/>
        </w:rPr>
        <w:lastRenderedPageBreak/>
        <w:t xml:space="preserve">del </w:t>
      </w:r>
      <w:r w:rsidRPr="00452B91">
        <w:rPr>
          <w:rFonts w:ascii="Palatino Linotype" w:eastAsia="Palatino Linotype" w:hAnsi="Palatino Linotype" w:cs="Palatino Linotype"/>
          <w:b/>
        </w:rPr>
        <w:t xml:space="preserve">SUJETO OBLIGADO </w:t>
      </w:r>
      <w:r w:rsidRPr="00452B91">
        <w:rPr>
          <w:rFonts w:ascii="Palatino Linotype" w:eastAsia="Palatino Linotype" w:hAnsi="Palatino Linotype" w:cs="Palatino Linotype"/>
        </w:rPr>
        <w:t xml:space="preserve">indicando que el requerimiento de información realizado por el particular no corresponde a funciones o atribuciones de la Dirección, por lo que no obra dicha información en sus archivos. </w:t>
      </w:r>
    </w:p>
    <w:p w14:paraId="2A6769F5" w14:textId="77777777" w:rsidR="00BD584A" w:rsidRPr="00452B91" w:rsidRDefault="00BD584A" w:rsidP="00452B91">
      <w:pPr>
        <w:tabs>
          <w:tab w:val="left" w:pos="709"/>
        </w:tabs>
        <w:spacing w:line="360" w:lineRule="auto"/>
        <w:jc w:val="both"/>
        <w:rPr>
          <w:rFonts w:ascii="Palatino Linotype" w:eastAsia="Palatino Linotype" w:hAnsi="Palatino Linotype" w:cs="Palatino Linotype"/>
        </w:rPr>
      </w:pPr>
    </w:p>
    <w:p w14:paraId="5C58A9C7" w14:textId="77777777" w:rsidR="00BD584A" w:rsidRPr="00452B91" w:rsidRDefault="005A341C" w:rsidP="00452B91">
      <w:pPr>
        <w:tabs>
          <w:tab w:val="left" w:pos="709"/>
        </w:tabs>
        <w:spacing w:line="360" w:lineRule="auto"/>
        <w:jc w:val="both"/>
        <w:rPr>
          <w:rFonts w:ascii="Palatino Linotype" w:eastAsia="Palatino Linotype" w:hAnsi="Palatino Linotype" w:cs="Palatino Linotype"/>
          <w:b/>
        </w:rPr>
      </w:pPr>
      <w:r w:rsidRPr="00452B91">
        <w:rPr>
          <w:rFonts w:ascii="Palatino Linotype" w:eastAsia="Palatino Linotype" w:hAnsi="Palatino Linotype" w:cs="Palatino Linotype"/>
        </w:rPr>
        <w:t xml:space="preserve">Inconforme con la respuesta el ahora </w:t>
      </w:r>
      <w:r w:rsidRPr="00452B91">
        <w:rPr>
          <w:rFonts w:ascii="Palatino Linotype" w:eastAsia="Palatino Linotype" w:hAnsi="Palatino Linotype" w:cs="Palatino Linotype"/>
          <w:b/>
        </w:rPr>
        <w:t>RECURRENTE</w:t>
      </w:r>
      <w:r w:rsidRPr="00452B91">
        <w:rPr>
          <w:rFonts w:ascii="Palatino Linotype" w:eastAsia="Palatino Linotype" w:hAnsi="Palatino Linotype" w:cs="Palatino Linotype"/>
        </w:rPr>
        <w:t xml:space="preserve"> interpuso el presente medio de impugnación señalando como acto impugnado que no se adjuntó archivo alguno a la respuesta señalada por el Titular de la Unidad de Transparencia del </w:t>
      </w:r>
      <w:r w:rsidRPr="00452B91">
        <w:rPr>
          <w:rFonts w:ascii="Palatino Linotype" w:eastAsia="Palatino Linotype" w:hAnsi="Palatino Linotype" w:cs="Palatino Linotype"/>
          <w:b/>
        </w:rPr>
        <w:t xml:space="preserve">SUJETO OBLIGADO. </w:t>
      </w:r>
    </w:p>
    <w:p w14:paraId="507625F6" w14:textId="77777777" w:rsidR="00BD584A" w:rsidRPr="00452B91" w:rsidRDefault="00BD584A" w:rsidP="00452B91">
      <w:pPr>
        <w:tabs>
          <w:tab w:val="left" w:pos="709"/>
        </w:tabs>
        <w:spacing w:line="360" w:lineRule="auto"/>
        <w:jc w:val="both"/>
        <w:rPr>
          <w:rFonts w:ascii="Palatino Linotype" w:eastAsia="Palatino Linotype" w:hAnsi="Palatino Linotype" w:cs="Palatino Linotype"/>
        </w:rPr>
      </w:pPr>
    </w:p>
    <w:p w14:paraId="5F9B3312" w14:textId="77777777"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Atendiendo a lo anterior, el derecho de acceso a la Información Pública se encuentra sustentado en los artículos 4 y 12 de la Ley de Transparencia y Acceso a la Información Pública del Estado de México y Municipios, pues toda la información generada, obtenida, adquirida, transmitida, administrada o en posesión de los Sujetos Obligados, será accesible de manera permanente a cualquier persona, privilegiando el principio de máxima publicidad de la información.</w:t>
      </w:r>
    </w:p>
    <w:p w14:paraId="6003182C" w14:textId="77777777" w:rsidR="00BD584A" w:rsidRPr="00452B91" w:rsidRDefault="00BD584A" w:rsidP="00452B91">
      <w:pPr>
        <w:spacing w:line="360" w:lineRule="auto"/>
        <w:ind w:right="49"/>
        <w:jc w:val="both"/>
        <w:rPr>
          <w:rFonts w:ascii="Palatino Linotype" w:eastAsia="Palatino Linotype" w:hAnsi="Palatino Linotype" w:cs="Palatino Linotype"/>
        </w:rPr>
      </w:pPr>
    </w:p>
    <w:p w14:paraId="71C339A1" w14:textId="77777777" w:rsidR="00BD584A" w:rsidRPr="00452B91" w:rsidRDefault="005A341C" w:rsidP="00452B91">
      <w:pPr>
        <w:spacing w:line="360" w:lineRule="auto"/>
        <w:ind w:right="49"/>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Así, los Sujetos Obligados proporcionarán la información que generen, recopilen, administren, manejen, procesen, archiven o conserven y facilitarán la que se les requiera y obre en sus archivos, en el estado en el que se encuentre, sin la obligación de generarla, resumirla, efectuar cálculos o practicar investigaciones; tal y como, se señala a continuación: </w:t>
      </w:r>
    </w:p>
    <w:p w14:paraId="6986DA09" w14:textId="77777777" w:rsidR="00BD584A" w:rsidRPr="00452B91" w:rsidRDefault="00BD584A" w:rsidP="00452B91">
      <w:pPr>
        <w:spacing w:line="360" w:lineRule="auto"/>
        <w:ind w:right="49"/>
        <w:jc w:val="both"/>
        <w:rPr>
          <w:rFonts w:ascii="Palatino Linotype" w:eastAsia="Palatino Linotype" w:hAnsi="Palatino Linotype" w:cs="Palatino Linotype"/>
        </w:rPr>
      </w:pPr>
    </w:p>
    <w:p w14:paraId="7567718B" w14:textId="77777777" w:rsidR="00BD584A" w:rsidRPr="00452B91" w:rsidRDefault="005A341C" w:rsidP="00452B91">
      <w:pPr>
        <w:tabs>
          <w:tab w:val="left" w:pos="851"/>
        </w:tabs>
        <w:ind w:left="851" w:right="901"/>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lastRenderedPageBreak/>
        <w:t>“</w:t>
      </w:r>
      <w:r w:rsidRPr="00452B91">
        <w:rPr>
          <w:rFonts w:ascii="Palatino Linotype" w:eastAsia="Palatino Linotype" w:hAnsi="Palatino Linotype" w:cs="Palatino Linotype"/>
          <w:b/>
          <w:i/>
          <w:sz w:val="22"/>
          <w:szCs w:val="22"/>
        </w:rPr>
        <w:t>Artículo 12.</w:t>
      </w:r>
      <w:r w:rsidRPr="00452B91">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C7BDF61" w14:textId="77777777" w:rsidR="00BD584A" w:rsidRPr="00452B91" w:rsidRDefault="005A341C" w:rsidP="00452B91">
      <w:pPr>
        <w:tabs>
          <w:tab w:val="left" w:pos="851"/>
        </w:tabs>
        <w:ind w:left="851" w:right="901"/>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 xml:space="preserve"> </w:t>
      </w:r>
    </w:p>
    <w:p w14:paraId="573545B5" w14:textId="77777777" w:rsidR="00BD584A" w:rsidRPr="00452B91" w:rsidRDefault="005A341C" w:rsidP="00452B91">
      <w:pPr>
        <w:tabs>
          <w:tab w:val="left" w:pos="851"/>
        </w:tabs>
        <w:ind w:left="851" w:right="901"/>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1C016CF" w14:textId="77777777" w:rsidR="00BD584A" w:rsidRPr="00452B91" w:rsidRDefault="00BD584A" w:rsidP="00452B91">
      <w:pPr>
        <w:spacing w:line="360" w:lineRule="auto"/>
        <w:ind w:right="49"/>
        <w:jc w:val="both"/>
        <w:rPr>
          <w:rFonts w:ascii="Palatino Linotype" w:eastAsia="Palatino Linotype" w:hAnsi="Palatino Linotype" w:cs="Palatino Linotype"/>
        </w:rPr>
      </w:pPr>
    </w:p>
    <w:p w14:paraId="3137C5D0" w14:textId="77777777" w:rsidR="00BD584A" w:rsidRPr="00452B91" w:rsidRDefault="005A341C" w:rsidP="00452B91">
      <w:pPr>
        <w:spacing w:line="360" w:lineRule="auto"/>
        <w:ind w:right="49"/>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43AC8265" w14:textId="77777777" w:rsidR="00BD584A" w:rsidRPr="00452B91" w:rsidRDefault="00BD584A" w:rsidP="00452B91">
      <w:pPr>
        <w:tabs>
          <w:tab w:val="left" w:pos="851"/>
        </w:tabs>
        <w:ind w:left="851" w:right="901"/>
        <w:jc w:val="both"/>
        <w:rPr>
          <w:rFonts w:ascii="Palatino Linotype" w:eastAsia="Palatino Linotype" w:hAnsi="Palatino Linotype" w:cs="Palatino Linotype"/>
          <w:i/>
          <w:sz w:val="22"/>
          <w:szCs w:val="22"/>
        </w:rPr>
      </w:pPr>
    </w:p>
    <w:p w14:paraId="4C13419F" w14:textId="77777777" w:rsidR="00BD584A" w:rsidRPr="00452B91" w:rsidRDefault="005A341C" w:rsidP="00452B91">
      <w:pPr>
        <w:tabs>
          <w:tab w:val="left" w:pos="851"/>
        </w:tabs>
        <w:ind w:left="851" w:right="901"/>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w:t>
      </w:r>
      <w:r w:rsidRPr="00452B91">
        <w:rPr>
          <w:rFonts w:ascii="Palatino Linotype" w:eastAsia="Palatino Linotype" w:hAnsi="Palatino Linotype" w:cs="Palatino Linotype"/>
          <w:b/>
          <w:i/>
          <w:sz w:val="22"/>
          <w:szCs w:val="22"/>
        </w:rPr>
        <w:t>Artículo 3.</w:t>
      </w:r>
      <w:r w:rsidRPr="00452B91">
        <w:rPr>
          <w:rFonts w:ascii="Palatino Linotype" w:eastAsia="Palatino Linotype" w:hAnsi="Palatino Linotype" w:cs="Palatino Linotype"/>
          <w:i/>
          <w:sz w:val="22"/>
          <w:szCs w:val="22"/>
        </w:rPr>
        <w:t xml:space="preserve"> Para los efectos de la presente Ley se entenderá por:</w:t>
      </w:r>
    </w:p>
    <w:p w14:paraId="19C93DF1" w14:textId="77777777" w:rsidR="00BD584A" w:rsidRPr="00452B91" w:rsidRDefault="005A341C" w:rsidP="00452B91">
      <w:pPr>
        <w:tabs>
          <w:tab w:val="left" w:pos="851"/>
        </w:tabs>
        <w:ind w:left="851" w:right="901"/>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w:t>
      </w:r>
    </w:p>
    <w:p w14:paraId="5859FD79" w14:textId="77777777" w:rsidR="00BD584A" w:rsidRPr="00452B91" w:rsidRDefault="005A341C" w:rsidP="00452B91">
      <w:pPr>
        <w:tabs>
          <w:tab w:val="left" w:pos="851"/>
        </w:tabs>
        <w:ind w:left="851" w:right="901"/>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XI. Documento</w:t>
      </w:r>
      <w:r w:rsidRPr="00452B91">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F5DEA45" w14:textId="77777777" w:rsidR="00BD584A" w:rsidRPr="00452B91" w:rsidRDefault="005A341C" w:rsidP="00452B91">
      <w:pPr>
        <w:tabs>
          <w:tab w:val="left" w:pos="851"/>
        </w:tabs>
        <w:ind w:left="851" w:right="901"/>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w:t>
      </w:r>
    </w:p>
    <w:p w14:paraId="20F10E58" w14:textId="77777777" w:rsidR="00BD584A" w:rsidRPr="00452B91" w:rsidRDefault="00BD584A" w:rsidP="00452B91">
      <w:pPr>
        <w:tabs>
          <w:tab w:val="left" w:pos="851"/>
        </w:tabs>
        <w:spacing w:line="360" w:lineRule="auto"/>
        <w:ind w:left="851" w:right="901"/>
        <w:jc w:val="both"/>
        <w:rPr>
          <w:rFonts w:ascii="Palatino Linotype" w:eastAsia="Palatino Linotype" w:hAnsi="Palatino Linotype" w:cs="Palatino Linotype"/>
          <w:i/>
          <w:sz w:val="22"/>
          <w:szCs w:val="22"/>
        </w:rPr>
      </w:pPr>
    </w:p>
    <w:p w14:paraId="5ABFFF10" w14:textId="77777777" w:rsidR="00BD584A" w:rsidRPr="00452B91" w:rsidRDefault="005A341C" w:rsidP="00452B91">
      <w:pPr>
        <w:spacing w:line="360" w:lineRule="auto"/>
        <w:ind w:right="49"/>
        <w:jc w:val="both"/>
        <w:rPr>
          <w:rFonts w:ascii="Palatino Linotype" w:eastAsia="Palatino Linotype" w:hAnsi="Palatino Linotype" w:cs="Palatino Linotype"/>
        </w:rPr>
      </w:pPr>
      <w:r w:rsidRPr="00452B91">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12A8F264" w14:textId="77777777" w:rsidR="00BD584A" w:rsidRPr="00452B91" w:rsidRDefault="005A341C" w:rsidP="00452B91">
      <w:pPr>
        <w:tabs>
          <w:tab w:val="left" w:pos="851"/>
        </w:tabs>
        <w:ind w:left="851" w:right="901"/>
        <w:jc w:val="both"/>
        <w:rPr>
          <w:rFonts w:ascii="Palatino Linotype" w:eastAsia="Palatino Linotype" w:hAnsi="Palatino Linotype" w:cs="Palatino Linotype"/>
          <w:b/>
          <w:i/>
          <w:sz w:val="22"/>
          <w:szCs w:val="22"/>
        </w:rPr>
      </w:pPr>
      <w:r w:rsidRPr="00452B91">
        <w:rPr>
          <w:rFonts w:ascii="Palatino Linotype" w:eastAsia="Palatino Linotype" w:hAnsi="Palatino Linotype" w:cs="Palatino Linotype"/>
          <w:b/>
        </w:rPr>
        <w:t>“</w:t>
      </w:r>
      <w:r w:rsidRPr="00452B91">
        <w:rPr>
          <w:rFonts w:ascii="Palatino Linotype" w:eastAsia="Palatino Linotype" w:hAnsi="Palatino Linotype" w:cs="Palatino Linotype"/>
          <w:b/>
          <w:i/>
          <w:sz w:val="22"/>
          <w:szCs w:val="22"/>
        </w:rPr>
        <w:t>CRITERIO 0002-11</w:t>
      </w:r>
    </w:p>
    <w:p w14:paraId="7667972E" w14:textId="77777777" w:rsidR="00BD584A" w:rsidRPr="00452B91" w:rsidRDefault="005A341C" w:rsidP="00452B91">
      <w:pPr>
        <w:tabs>
          <w:tab w:val="left" w:pos="851"/>
        </w:tabs>
        <w:ind w:left="851" w:right="901"/>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452B91">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F1FAA08" w14:textId="77777777" w:rsidR="00BD584A" w:rsidRPr="00452B91" w:rsidRDefault="005A341C" w:rsidP="00452B91">
      <w:pPr>
        <w:tabs>
          <w:tab w:val="left" w:pos="851"/>
        </w:tabs>
        <w:ind w:left="851" w:right="901"/>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CCAEB84" w14:textId="77777777" w:rsidR="00BD584A" w:rsidRPr="00452B91" w:rsidRDefault="005A341C" w:rsidP="00452B91">
      <w:pPr>
        <w:tabs>
          <w:tab w:val="left" w:pos="851"/>
        </w:tabs>
        <w:ind w:left="851" w:right="901"/>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FBA157A" w14:textId="77777777" w:rsidR="00BD584A" w:rsidRPr="00452B91" w:rsidRDefault="005A341C" w:rsidP="00452B91">
      <w:pPr>
        <w:tabs>
          <w:tab w:val="left" w:pos="851"/>
        </w:tabs>
        <w:ind w:left="851" w:right="901"/>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70D699CC" w14:textId="77777777" w:rsidR="00BD584A" w:rsidRPr="00452B91" w:rsidRDefault="005A341C" w:rsidP="00452B91">
      <w:pPr>
        <w:tabs>
          <w:tab w:val="left" w:pos="851"/>
        </w:tabs>
        <w:ind w:left="851" w:right="901"/>
        <w:jc w:val="both"/>
        <w:rPr>
          <w:rFonts w:ascii="Palatino Linotype" w:eastAsia="Palatino Linotype" w:hAnsi="Palatino Linotype" w:cs="Palatino Linotype"/>
        </w:rPr>
      </w:pPr>
      <w:r w:rsidRPr="00452B91">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73D714F4" w14:textId="77777777" w:rsidR="00BD584A" w:rsidRPr="00452B91" w:rsidRDefault="00BD584A" w:rsidP="00452B91">
      <w:pPr>
        <w:spacing w:line="360" w:lineRule="auto"/>
        <w:jc w:val="both"/>
        <w:rPr>
          <w:rFonts w:ascii="Palatino Linotype" w:eastAsia="Palatino Linotype" w:hAnsi="Palatino Linotype" w:cs="Palatino Linotype"/>
          <w:b/>
        </w:rPr>
      </w:pPr>
    </w:p>
    <w:p w14:paraId="1D4BB992" w14:textId="77777777"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Así pues, de las constancias que obran en el expediente electrónico del SAIMEX se advierte que en fecha nueve de marzo de dos mil veintidós </w:t>
      </w:r>
      <w:r w:rsidRPr="00452B91">
        <w:rPr>
          <w:rFonts w:ascii="Palatino Linotype" w:eastAsia="Palatino Linotype" w:hAnsi="Palatino Linotype" w:cs="Palatino Linotype"/>
          <w:b/>
        </w:rPr>
        <w:t xml:space="preserve">EL SUJETO OBLIGADO </w:t>
      </w:r>
      <w:r w:rsidRPr="00452B91">
        <w:rPr>
          <w:rFonts w:ascii="Palatino Linotype" w:eastAsia="Palatino Linotype" w:hAnsi="Palatino Linotype" w:cs="Palatino Linotype"/>
        </w:rPr>
        <w:t xml:space="preserve">dio respuesta a la solicitud de información pública por medio del Titular de la Unidad de Transparencia quien señala adjuntar el archivo remitido por el servidor público </w:t>
      </w:r>
      <w:r w:rsidRPr="00452B91">
        <w:rPr>
          <w:rFonts w:ascii="Palatino Linotype" w:eastAsia="Palatino Linotype" w:hAnsi="Palatino Linotype" w:cs="Palatino Linotype"/>
        </w:rPr>
        <w:lastRenderedPageBreak/>
        <w:t xml:space="preserve">habilitado como se puede apreciar de la captura de pantalla que se muestra a continuación: </w:t>
      </w:r>
    </w:p>
    <w:p w14:paraId="7D1AE349" w14:textId="77777777" w:rsidR="00BD584A" w:rsidRPr="00452B91" w:rsidRDefault="005A341C" w:rsidP="00452B91">
      <w:pPr>
        <w:spacing w:line="360" w:lineRule="auto"/>
        <w:jc w:val="center"/>
        <w:rPr>
          <w:rFonts w:ascii="Palatino Linotype" w:eastAsia="Palatino Linotype" w:hAnsi="Palatino Linotype" w:cs="Palatino Linotype"/>
          <w:b/>
        </w:rPr>
      </w:pPr>
      <w:r w:rsidRPr="00452B91">
        <w:rPr>
          <w:rFonts w:ascii="Palatino Linotype" w:eastAsia="Palatino Linotype" w:hAnsi="Palatino Linotype" w:cs="Palatino Linotype"/>
          <w:noProof/>
        </w:rPr>
        <w:drawing>
          <wp:inline distT="114300" distB="114300" distL="114300" distR="114300" wp14:anchorId="76B074B0" wp14:editId="6A797322">
            <wp:extent cx="5056823" cy="4923748"/>
            <wp:effectExtent l="0" t="0" r="0" b="0"/>
            <wp:docPr id="25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5056823" cy="4923748"/>
                    </a:xfrm>
                    <a:prstGeom prst="rect">
                      <a:avLst/>
                    </a:prstGeom>
                    <a:ln/>
                  </pic:spPr>
                </pic:pic>
              </a:graphicData>
            </a:graphic>
          </wp:inline>
        </w:drawing>
      </w:r>
    </w:p>
    <w:p w14:paraId="0B8E7224" w14:textId="77777777" w:rsidR="00BD584A" w:rsidRPr="00452B91" w:rsidRDefault="00BD584A" w:rsidP="00452B91">
      <w:pPr>
        <w:spacing w:line="360" w:lineRule="auto"/>
        <w:jc w:val="both"/>
        <w:rPr>
          <w:rFonts w:ascii="Palatino Linotype" w:eastAsia="Palatino Linotype" w:hAnsi="Palatino Linotype" w:cs="Palatino Linotype"/>
        </w:rPr>
      </w:pPr>
    </w:p>
    <w:p w14:paraId="72BD840D" w14:textId="77777777"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De la imagen anterior</w:t>
      </w:r>
      <w:r w:rsidR="00B00CE7" w:rsidRPr="00452B91">
        <w:rPr>
          <w:rFonts w:ascii="Palatino Linotype" w:eastAsia="Palatino Linotype" w:hAnsi="Palatino Linotype" w:cs="Palatino Linotype"/>
        </w:rPr>
        <w:t>,</w:t>
      </w:r>
      <w:r w:rsidRPr="00452B91">
        <w:rPr>
          <w:rFonts w:ascii="Palatino Linotype" w:eastAsia="Palatino Linotype" w:hAnsi="Palatino Linotype" w:cs="Palatino Linotype"/>
        </w:rPr>
        <w:t xml:space="preserve"> es posible observar que dentro del acuse de respuesta a la solicitud  se encuentra</w:t>
      </w:r>
      <w:r w:rsidR="00B00CE7" w:rsidRPr="00452B91">
        <w:rPr>
          <w:rFonts w:ascii="Palatino Linotype" w:eastAsia="Palatino Linotype" w:hAnsi="Palatino Linotype" w:cs="Palatino Linotype"/>
        </w:rPr>
        <w:t xml:space="preserve"> el archivo adjunto denominado </w:t>
      </w:r>
      <w:r w:rsidRPr="00452B91">
        <w:rPr>
          <w:rFonts w:ascii="Palatino Linotype" w:eastAsia="Palatino Linotype" w:hAnsi="Palatino Linotype" w:cs="Palatino Linotype"/>
          <w:i/>
        </w:rPr>
        <w:t xml:space="preserve">01825.PDF, </w:t>
      </w:r>
      <w:r w:rsidRPr="00452B91">
        <w:rPr>
          <w:rFonts w:ascii="Palatino Linotype" w:eastAsia="Palatino Linotype" w:hAnsi="Palatino Linotype" w:cs="Palatino Linotype"/>
        </w:rPr>
        <w:t xml:space="preserve">el cual permite su descarga y al abrirlo se puede visualizar la respuesta emitida por el Director de </w:t>
      </w:r>
      <w:r w:rsidRPr="00452B91">
        <w:rPr>
          <w:rFonts w:ascii="Palatino Linotype" w:eastAsia="Palatino Linotype" w:hAnsi="Palatino Linotype" w:cs="Palatino Linotype"/>
        </w:rPr>
        <w:lastRenderedPageBreak/>
        <w:t xml:space="preserve">Administración del Ayuntamiento de Metepec. Se inserta captura de pantalla de dicho documento para mayor certeza: </w:t>
      </w:r>
    </w:p>
    <w:p w14:paraId="6B7FD0AB" w14:textId="77777777" w:rsidR="00BD584A" w:rsidRPr="00452B91" w:rsidRDefault="005A341C" w:rsidP="00452B91">
      <w:pPr>
        <w:spacing w:line="360" w:lineRule="auto"/>
        <w:jc w:val="center"/>
        <w:rPr>
          <w:rFonts w:ascii="Palatino Linotype" w:eastAsia="Palatino Linotype" w:hAnsi="Palatino Linotype" w:cs="Palatino Linotype"/>
        </w:rPr>
      </w:pPr>
      <w:r w:rsidRPr="00452B91">
        <w:rPr>
          <w:rFonts w:ascii="Palatino Linotype" w:eastAsia="Palatino Linotype" w:hAnsi="Palatino Linotype" w:cs="Palatino Linotype"/>
          <w:noProof/>
        </w:rPr>
        <w:drawing>
          <wp:inline distT="114300" distB="114300" distL="114300" distR="114300" wp14:anchorId="5042BF2F" wp14:editId="2BAD5421">
            <wp:extent cx="4705350" cy="5038725"/>
            <wp:effectExtent l="0" t="0" r="0" b="9525"/>
            <wp:docPr id="2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705350" cy="5038725"/>
                    </a:xfrm>
                    <a:prstGeom prst="rect">
                      <a:avLst/>
                    </a:prstGeom>
                    <a:ln/>
                  </pic:spPr>
                </pic:pic>
              </a:graphicData>
            </a:graphic>
          </wp:inline>
        </w:drawing>
      </w:r>
    </w:p>
    <w:p w14:paraId="21752A55" w14:textId="77777777" w:rsidR="00BD584A" w:rsidRPr="00452B91" w:rsidRDefault="00BD584A" w:rsidP="00452B91">
      <w:pPr>
        <w:spacing w:line="360" w:lineRule="auto"/>
        <w:ind w:right="-28"/>
        <w:jc w:val="both"/>
        <w:rPr>
          <w:rFonts w:ascii="Palatino Linotype" w:eastAsia="Palatino Linotype" w:hAnsi="Palatino Linotype" w:cs="Palatino Linotype"/>
        </w:rPr>
      </w:pPr>
    </w:p>
    <w:p w14:paraId="26E5BC3F" w14:textId="77777777" w:rsidR="00BD584A" w:rsidRPr="00452B91" w:rsidRDefault="005A341C" w:rsidP="00452B91">
      <w:pPr>
        <w:spacing w:line="360" w:lineRule="auto"/>
        <w:ind w:right="-28"/>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Luego entonces, como se puede apreciar de la imagen antes inserta, </w:t>
      </w:r>
      <w:r w:rsidRPr="00452B91">
        <w:rPr>
          <w:rFonts w:ascii="Palatino Linotype" w:eastAsia="Palatino Linotype" w:hAnsi="Palatino Linotype" w:cs="Palatino Linotype"/>
          <w:b/>
        </w:rPr>
        <w:t>EL SUJETO OBLIGADO</w:t>
      </w:r>
      <w:r w:rsidRPr="00452B91">
        <w:rPr>
          <w:rFonts w:ascii="Palatino Linotype" w:eastAsia="Palatino Linotype" w:hAnsi="Palatino Linotype" w:cs="Palatino Linotype"/>
        </w:rPr>
        <w:t xml:space="preserve"> hizo entrega del archivo adjunto sobre el cual versa la inconformidad del particular. </w:t>
      </w:r>
    </w:p>
    <w:p w14:paraId="56738DA9" w14:textId="77777777" w:rsidR="00BD584A" w:rsidRPr="00452B91" w:rsidRDefault="00BD584A" w:rsidP="00452B91">
      <w:pPr>
        <w:spacing w:line="360" w:lineRule="auto"/>
        <w:ind w:right="-28"/>
        <w:jc w:val="both"/>
        <w:rPr>
          <w:rFonts w:ascii="Palatino Linotype" w:eastAsia="Palatino Linotype" w:hAnsi="Palatino Linotype" w:cs="Palatino Linotype"/>
        </w:rPr>
      </w:pPr>
    </w:p>
    <w:p w14:paraId="2A0E5EE4" w14:textId="77777777" w:rsidR="00BD584A" w:rsidRPr="00452B91" w:rsidRDefault="005A341C" w:rsidP="00452B91">
      <w:pPr>
        <w:spacing w:line="360" w:lineRule="auto"/>
        <w:ind w:right="-28"/>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Una vez precisado lo anterior, si bien el acto impugnado señalado por </w:t>
      </w:r>
      <w:r w:rsidRPr="00452B91">
        <w:rPr>
          <w:rFonts w:ascii="Palatino Linotype" w:eastAsia="Palatino Linotype" w:hAnsi="Palatino Linotype" w:cs="Palatino Linotype"/>
          <w:b/>
        </w:rPr>
        <w:t>EL RECURRENTE</w:t>
      </w:r>
      <w:r w:rsidRPr="00452B91">
        <w:rPr>
          <w:rFonts w:ascii="Palatino Linotype" w:eastAsia="Palatino Linotype" w:hAnsi="Palatino Linotype" w:cs="Palatino Linotype"/>
        </w:rPr>
        <w:t xml:space="preserve"> es la falta del archivo antes referido, al no poder visualizar el mismo, no pudo impugnar u consentir la información que en este se encuentra, por lo cual,  se estima necesario aplicar la suplencia de la queja en atención a lo establecido por la Ley de Transparencia y Acceso a la Información Pública del Estado de México y Municipios en sus artículos 13 y 181 párrafo cuarto que señalan lo que a continuación se transcribe: </w:t>
      </w:r>
    </w:p>
    <w:p w14:paraId="045B2A26" w14:textId="77777777" w:rsidR="00BD584A" w:rsidRPr="00452B91" w:rsidRDefault="00BD584A" w:rsidP="00452B91">
      <w:pPr>
        <w:spacing w:line="360" w:lineRule="auto"/>
        <w:jc w:val="both"/>
        <w:rPr>
          <w:rFonts w:ascii="Palatino Linotype" w:eastAsia="Palatino Linotype" w:hAnsi="Palatino Linotype" w:cs="Palatino Linotype"/>
        </w:rPr>
      </w:pPr>
    </w:p>
    <w:p w14:paraId="386C94B3" w14:textId="77777777" w:rsidR="00BD584A" w:rsidRPr="00452B91" w:rsidRDefault="005A341C" w:rsidP="00452B91">
      <w:pPr>
        <w:ind w:left="851" w:right="616"/>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“Artículo 13</w:t>
      </w:r>
      <w:r w:rsidRPr="00452B91">
        <w:rPr>
          <w:rFonts w:ascii="Palatino Linotype" w:eastAsia="Palatino Linotype" w:hAnsi="Palatino Linotype" w:cs="Palatino Linotype"/>
          <w:i/>
          <w:sz w:val="22"/>
          <w:szCs w:val="22"/>
        </w:rPr>
        <w:t>. El Instituto, en el ámbito de sus atribuciones, deberá suplir cualquier deficiencia para garantizar el ejercicio del derecho de acceso a la información</w:t>
      </w:r>
    </w:p>
    <w:p w14:paraId="389166E7" w14:textId="77777777" w:rsidR="00BD584A" w:rsidRPr="00452B91" w:rsidRDefault="00BD584A" w:rsidP="00452B91">
      <w:pPr>
        <w:ind w:left="851" w:right="616"/>
        <w:jc w:val="both"/>
        <w:rPr>
          <w:rFonts w:ascii="Palatino Linotype" w:eastAsia="Palatino Linotype" w:hAnsi="Palatino Linotype" w:cs="Palatino Linotype"/>
          <w:i/>
          <w:sz w:val="22"/>
          <w:szCs w:val="22"/>
        </w:rPr>
      </w:pPr>
    </w:p>
    <w:p w14:paraId="3D257785" w14:textId="77777777" w:rsidR="00BD584A" w:rsidRPr="00452B91" w:rsidRDefault="005A341C" w:rsidP="00452B91">
      <w:pPr>
        <w:ind w:left="851" w:right="616"/>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Artículo 181.</w:t>
      </w:r>
      <w:r w:rsidRPr="00452B91">
        <w:rPr>
          <w:rFonts w:ascii="Palatino Linotype" w:eastAsia="Palatino Linotype" w:hAnsi="Palatino Linotype" w:cs="Palatino Linotype"/>
          <w:i/>
          <w:sz w:val="22"/>
          <w:szCs w:val="22"/>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w:t>
      </w:r>
    </w:p>
    <w:p w14:paraId="61670DB8" w14:textId="77777777" w:rsidR="00BD584A" w:rsidRPr="00452B91" w:rsidRDefault="005A341C" w:rsidP="00452B91">
      <w:pPr>
        <w:ind w:left="851" w:right="616"/>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w:t>
      </w:r>
    </w:p>
    <w:p w14:paraId="498634F8" w14:textId="77777777" w:rsidR="00BD584A" w:rsidRPr="00452B91" w:rsidRDefault="005A341C" w:rsidP="00452B91">
      <w:pPr>
        <w:ind w:left="851" w:right="616"/>
        <w:jc w:val="both"/>
        <w:rPr>
          <w:rFonts w:ascii="Palatino Linotype" w:eastAsia="Palatino Linotype" w:hAnsi="Palatino Linotype" w:cs="Palatino Linotype"/>
          <w:b/>
          <w:i/>
          <w:sz w:val="22"/>
          <w:szCs w:val="22"/>
        </w:rPr>
      </w:pPr>
      <w:r w:rsidRPr="00452B91">
        <w:rPr>
          <w:rFonts w:ascii="Palatino Linotype" w:eastAsia="Palatino Linotype" w:hAnsi="Palatino Linotype" w:cs="Palatino Linotype"/>
          <w:b/>
          <w:i/>
          <w:sz w:val="22"/>
          <w:szCs w:val="22"/>
        </w:rPr>
        <w:t>Durante el procedimiento deberá aplicarse la suplencia de la queja a favor del recurrente, sin cambiar los hechos expuestos, asegurándose de que las partes puedan presentar, de manera oral o escrita, los argumentos que funden y motiven sus pretensiones.”(Sic)</w:t>
      </w:r>
    </w:p>
    <w:p w14:paraId="3CAAE1DD" w14:textId="77777777" w:rsidR="00BD584A" w:rsidRPr="00452B91" w:rsidRDefault="005A341C" w:rsidP="00452B91">
      <w:pPr>
        <w:ind w:left="851" w:right="616"/>
        <w:jc w:val="both"/>
        <w:rPr>
          <w:rFonts w:ascii="Palatino Linotype" w:eastAsia="Palatino Linotype" w:hAnsi="Palatino Linotype" w:cs="Palatino Linotype"/>
          <w:b/>
          <w:i/>
          <w:sz w:val="22"/>
          <w:szCs w:val="22"/>
        </w:rPr>
      </w:pPr>
      <w:r w:rsidRPr="00452B91">
        <w:rPr>
          <w:rFonts w:ascii="Palatino Linotype" w:eastAsia="Palatino Linotype" w:hAnsi="Palatino Linotype" w:cs="Palatino Linotype"/>
          <w:b/>
          <w:i/>
          <w:sz w:val="22"/>
          <w:szCs w:val="22"/>
        </w:rPr>
        <w:t>(Énfasis añadido)</w:t>
      </w:r>
    </w:p>
    <w:p w14:paraId="02A7B7FA" w14:textId="77777777" w:rsidR="00BD584A" w:rsidRPr="00452B91" w:rsidRDefault="005A341C" w:rsidP="00452B91">
      <w:pPr>
        <w:tabs>
          <w:tab w:val="left" w:pos="2422"/>
        </w:tabs>
        <w:spacing w:before="280" w:after="280" w:line="360" w:lineRule="auto"/>
        <w:ind w:right="49"/>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De los preceptos anteriores se desprende la obligación de este instituto como Órgano Garante de suplir las deficiencias que pudieran mermar el debido ejercicio del derecho de acceso a la información. </w:t>
      </w:r>
    </w:p>
    <w:p w14:paraId="77499961" w14:textId="77777777" w:rsidR="00BD584A" w:rsidRPr="00452B91" w:rsidRDefault="005A341C" w:rsidP="00452B91">
      <w:pPr>
        <w:spacing w:line="360" w:lineRule="auto"/>
        <w:ind w:right="49"/>
        <w:jc w:val="both"/>
        <w:rPr>
          <w:rFonts w:ascii="Palatino Linotype" w:eastAsia="Palatino Linotype" w:hAnsi="Palatino Linotype" w:cs="Palatino Linotype"/>
        </w:rPr>
      </w:pPr>
      <w:r w:rsidRPr="00452B91">
        <w:rPr>
          <w:rFonts w:ascii="Palatino Linotype" w:eastAsia="Palatino Linotype" w:hAnsi="Palatino Linotype" w:cs="Palatino Linotype"/>
        </w:rPr>
        <w:lastRenderedPageBreak/>
        <w:t xml:space="preserve">En primera instancia se advierte que la información solicitada por el particular corresponde a la firma de un convenio con respecto de una carrera, los costos del evento, el destino del recurso y la asignación de cuotas de recuperación. </w:t>
      </w:r>
    </w:p>
    <w:p w14:paraId="5D8E1AD8" w14:textId="77777777" w:rsidR="00BD584A" w:rsidRPr="00452B91" w:rsidRDefault="00BD584A" w:rsidP="00452B91">
      <w:pPr>
        <w:spacing w:line="360" w:lineRule="auto"/>
        <w:ind w:right="49"/>
        <w:jc w:val="both"/>
        <w:rPr>
          <w:rFonts w:ascii="Palatino Linotype" w:eastAsia="Palatino Linotype" w:hAnsi="Palatino Linotype" w:cs="Palatino Linotype"/>
        </w:rPr>
      </w:pPr>
    </w:p>
    <w:p w14:paraId="2FA8C3EF" w14:textId="77777777" w:rsidR="00BD584A" w:rsidRPr="00452B91" w:rsidRDefault="005A341C" w:rsidP="00452B91">
      <w:pPr>
        <w:spacing w:line="360" w:lineRule="auto"/>
        <w:ind w:right="49"/>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Así pues, la Ley Orgánica Municipal del Estado de México señala que dentro de la Administración Pública Centralizada contará con diversos organismos de entre los cuales se encuentra la Dirección de Administración como se puede apreciar del artículo 35 fracción </w:t>
      </w:r>
      <w:r w:rsidR="00B00CE7" w:rsidRPr="00452B91">
        <w:rPr>
          <w:rFonts w:ascii="Palatino Linotype" w:eastAsia="Palatino Linotype" w:hAnsi="Palatino Linotype" w:cs="Palatino Linotype"/>
        </w:rPr>
        <w:t>VI:</w:t>
      </w:r>
    </w:p>
    <w:p w14:paraId="78717E23" w14:textId="77777777" w:rsidR="00BD584A" w:rsidRPr="00452B91" w:rsidRDefault="005A341C" w:rsidP="00452B91">
      <w:pPr>
        <w:spacing w:before="200" w:after="200"/>
        <w:ind w:left="709" w:right="70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ARTÍCULO 35</w:t>
      </w:r>
      <w:r w:rsidRPr="00452B91">
        <w:rPr>
          <w:rFonts w:ascii="Palatino Linotype" w:eastAsia="Palatino Linotype" w:hAnsi="Palatino Linotype" w:cs="Palatino Linotype"/>
          <w:i/>
          <w:sz w:val="22"/>
          <w:szCs w:val="22"/>
        </w:rPr>
        <w:t>.-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w:t>
      </w:r>
    </w:p>
    <w:p w14:paraId="35010E82" w14:textId="77777777" w:rsidR="00BD584A" w:rsidRPr="00452B91" w:rsidRDefault="005A341C" w:rsidP="00452B91">
      <w:pPr>
        <w:spacing w:before="200" w:after="200"/>
        <w:ind w:left="709" w:right="70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I. Presidencia Municipal;</w:t>
      </w:r>
    </w:p>
    <w:p w14:paraId="04966C91" w14:textId="77777777" w:rsidR="00BD584A" w:rsidRPr="00452B91" w:rsidRDefault="005A341C" w:rsidP="00452B91">
      <w:pPr>
        <w:spacing w:before="200" w:after="200"/>
        <w:ind w:left="709" w:right="70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II. Secretaría del Ayuntamiento;</w:t>
      </w:r>
    </w:p>
    <w:p w14:paraId="19CFBA44" w14:textId="77777777" w:rsidR="00BD584A" w:rsidRPr="00452B91" w:rsidRDefault="005A341C" w:rsidP="00452B91">
      <w:pPr>
        <w:spacing w:before="200" w:after="200"/>
        <w:ind w:left="709" w:right="70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III. Tesorería Municipal;</w:t>
      </w:r>
    </w:p>
    <w:p w14:paraId="51297009" w14:textId="77777777" w:rsidR="00BD584A" w:rsidRPr="00452B91" w:rsidRDefault="005A341C" w:rsidP="00452B91">
      <w:pPr>
        <w:spacing w:before="200" w:after="200"/>
        <w:ind w:left="709" w:right="70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IV. Contraloría Interna Municipal;</w:t>
      </w:r>
    </w:p>
    <w:p w14:paraId="3DBBDEFD" w14:textId="77777777" w:rsidR="00BD584A" w:rsidRPr="00452B91" w:rsidRDefault="005A341C" w:rsidP="00452B91">
      <w:pPr>
        <w:spacing w:before="200" w:after="200"/>
        <w:ind w:left="709" w:right="70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V. Consejería Jurídica;</w:t>
      </w:r>
    </w:p>
    <w:p w14:paraId="6B6661F4" w14:textId="77777777" w:rsidR="00BD584A" w:rsidRPr="00452B91" w:rsidRDefault="005A341C" w:rsidP="00452B91">
      <w:pPr>
        <w:spacing w:before="200" w:after="200"/>
        <w:ind w:left="709" w:right="709"/>
        <w:jc w:val="both"/>
        <w:rPr>
          <w:rFonts w:ascii="Palatino Linotype" w:eastAsia="Palatino Linotype" w:hAnsi="Palatino Linotype" w:cs="Palatino Linotype"/>
          <w:b/>
          <w:i/>
          <w:sz w:val="22"/>
          <w:szCs w:val="22"/>
        </w:rPr>
      </w:pPr>
      <w:r w:rsidRPr="00452B91">
        <w:rPr>
          <w:rFonts w:ascii="Palatino Linotype" w:eastAsia="Palatino Linotype" w:hAnsi="Palatino Linotype" w:cs="Palatino Linotype"/>
          <w:b/>
          <w:i/>
          <w:sz w:val="22"/>
          <w:szCs w:val="22"/>
        </w:rPr>
        <w:t>VI. Direcciones de:</w:t>
      </w:r>
    </w:p>
    <w:p w14:paraId="51C8C9DF" w14:textId="77777777" w:rsidR="00BD584A" w:rsidRPr="00452B91" w:rsidRDefault="005A341C" w:rsidP="00452B91">
      <w:pPr>
        <w:spacing w:before="200" w:after="200"/>
        <w:ind w:left="709" w:right="70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a) Administración;</w:t>
      </w:r>
    </w:p>
    <w:p w14:paraId="1EF55026" w14:textId="77777777" w:rsidR="00BD584A" w:rsidRPr="00452B91" w:rsidRDefault="005A341C" w:rsidP="00452B91">
      <w:pPr>
        <w:spacing w:before="200" w:after="200"/>
        <w:ind w:left="709" w:right="70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w:t>
      </w:r>
    </w:p>
    <w:p w14:paraId="44107701" w14:textId="77777777" w:rsidR="00BD584A" w:rsidRPr="00452B91" w:rsidRDefault="005A341C" w:rsidP="00452B91">
      <w:pPr>
        <w:spacing w:before="200" w:after="200"/>
        <w:ind w:left="709" w:right="70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(Énfasis añadido)</w:t>
      </w:r>
    </w:p>
    <w:p w14:paraId="46B239DA" w14:textId="77777777" w:rsidR="00BD584A" w:rsidRPr="00452B91" w:rsidRDefault="005A341C" w:rsidP="00452B91">
      <w:pPr>
        <w:spacing w:before="280" w:after="280"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De lo anterior se puede establecer que para el despacho de los asuntos municipales se podrá auxiliar de diversos entes administrativos que le faciliten el cumplimiento de sus </w:t>
      </w:r>
      <w:r w:rsidRPr="00452B91">
        <w:rPr>
          <w:rFonts w:ascii="Palatino Linotype" w:eastAsia="Palatino Linotype" w:hAnsi="Palatino Linotype" w:cs="Palatino Linotype"/>
        </w:rPr>
        <w:lastRenderedPageBreak/>
        <w:t>objetivos, ahora bien es imperativo delimitar las facultades y atribuciones que le confiere la ley a dicha Dirección y al respecto es necesario invocar lo previsto por los artículos 3.79 y 3.80  fracciones IV, XII XVII del Código de Reglamentación Municipal de Metepec, Estado de México, en su Capítulo V que a la letra dice:</w:t>
      </w:r>
    </w:p>
    <w:p w14:paraId="3E624DE4" w14:textId="77777777" w:rsidR="00BD584A" w:rsidRPr="00452B91" w:rsidRDefault="005A341C" w:rsidP="00452B91">
      <w:pPr>
        <w:spacing w:before="200" w:after="200"/>
        <w:ind w:left="709" w:right="70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Artículo 3.79</w:t>
      </w:r>
      <w:r w:rsidRPr="00452B91">
        <w:rPr>
          <w:rFonts w:ascii="Palatino Linotype" w:eastAsia="Palatino Linotype" w:hAnsi="Palatino Linotype" w:cs="Palatino Linotype"/>
          <w:i/>
          <w:sz w:val="22"/>
          <w:szCs w:val="22"/>
        </w:rPr>
        <w:t xml:space="preserve">.- </w:t>
      </w:r>
      <w:r w:rsidRPr="00452B91">
        <w:rPr>
          <w:rFonts w:ascii="Palatino Linotype" w:eastAsia="Palatino Linotype" w:hAnsi="Palatino Linotype" w:cs="Palatino Linotype"/>
          <w:b/>
          <w:i/>
          <w:sz w:val="22"/>
          <w:szCs w:val="22"/>
          <w:u w:val="single"/>
        </w:rPr>
        <w:t>La Dirección de Administración</w:t>
      </w:r>
      <w:r w:rsidRPr="00452B91">
        <w:rPr>
          <w:rFonts w:ascii="Palatino Linotype" w:eastAsia="Palatino Linotype" w:hAnsi="Palatino Linotype" w:cs="Palatino Linotype"/>
          <w:i/>
          <w:sz w:val="22"/>
          <w:szCs w:val="22"/>
        </w:rPr>
        <w:t xml:space="preserve"> es la encargada de dar soporte material, técnico, humano, administrativo, organizacional e informático, que permita a las y los servidores públicos de la Administración Pública Municipal, atender las demandas ciudadanas y cumplir con sus atribuciones, así como para optimizar las funciones de la misma.</w:t>
      </w:r>
    </w:p>
    <w:p w14:paraId="5C52FAAB" w14:textId="77777777" w:rsidR="00BD584A" w:rsidRPr="00452B91" w:rsidRDefault="005A341C" w:rsidP="00452B91">
      <w:pPr>
        <w:spacing w:before="200" w:after="200"/>
        <w:ind w:left="709" w:right="70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Artículo 3.80</w:t>
      </w:r>
      <w:r w:rsidRPr="00452B91">
        <w:rPr>
          <w:rFonts w:ascii="Palatino Linotype" w:eastAsia="Palatino Linotype" w:hAnsi="Palatino Linotype" w:cs="Palatino Linotype"/>
          <w:i/>
          <w:sz w:val="22"/>
          <w:szCs w:val="22"/>
        </w:rPr>
        <w:t>.- La Dirección de Administración tiene a su cargo las siguientes atribuciones:</w:t>
      </w:r>
    </w:p>
    <w:p w14:paraId="76675FF7" w14:textId="77777777" w:rsidR="00BD584A" w:rsidRPr="00452B91" w:rsidRDefault="005A341C" w:rsidP="00452B91">
      <w:pPr>
        <w:spacing w:before="200" w:after="200"/>
        <w:ind w:left="709" w:right="70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w:t>
      </w:r>
    </w:p>
    <w:p w14:paraId="76D96B82" w14:textId="77777777" w:rsidR="00BD584A" w:rsidRPr="00452B91" w:rsidRDefault="005A341C" w:rsidP="00452B91">
      <w:pPr>
        <w:spacing w:before="200" w:after="200"/>
        <w:ind w:left="709" w:right="709"/>
        <w:jc w:val="both"/>
        <w:rPr>
          <w:rFonts w:ascii="Palatino Linotype" w:eastAsia="Palatino Linotype" w:hAnsi="Palatino Linotype" w:cs="Palatino Linotype"/>
          <w:b/>
          <w:i/>
          <w:sz w:val="22"/>
          <w:szCs w:val="22"/>
          <w:u w:val="single"/>
        </w:rPr>
      </w:pPr>
      <w:r w:rsidRPr="00452B91">
        <w:rPr>
          <w:rFonts w:ascii="Palatino Linotype" w:eastAsia="Palatino Linotype" w:hAnsi="Palatino Linotype" w:cs="Palatino Linotype"/>
          <w:b/>
          <w:i/>
          <w:sz w:val="22"/>
          <w:szCs w:val="22"/>
          <w:u w:val="single"/>
        </w:rPr>
        <w:t>IV. Llevar a cabo las adquisiciones de bienes, arrendamiento de bienes muebles y la contratación de servicios que requieran las distintas áreas, ajustándose en su caso a las decisiones del Comité de Adquisiciones y Servicios y Comité de Arrendamientos, Adquisiciones de Inmuebles y Enajenaciones, vigilando su cumplimiento, en estricto apego a las disposiciones legales de la materia;</w:t>
      </w:r>
    </w:p>
    <w:p w14:paraId="0DFE3FE8" w14:textId="77777777" w:rsidR="00BD584A" w:rsidRPr="00452B91" w:rsidRDefault="005A341C" w:rsidP="00452B91">
      <w:pPr>
        <w:spacing w:before="200" w:after="200"/>
        <w:ind w:left="709" w:right="709"/>
        <w:jc w:val="both"/>
        <w:rPr>
          <w:rFonts w:ascii="Palatino Linotype" w:eastAsia="Palatino Linotype" w:hAnsi="Palatino Linotype" w:cs="Palatino Linotype"/>
          <w:b/>
          <w:i/>
          <w:sz w:val="22"/>
          <w:szCs w:val="22"/>
          <w:u w:val="single"/>
        </w:rPr>
      </w:pPr>
      <w:r w:rsidRPr="00452B91">
        <w:rPr>
          <w:rFonts w:ascii="Palatino Linotype" w:eastAsia="Palatino Linotype" w:hAnsi="Palatino Linotype" w:cs="Palatino Linotype"/>
          <w:b/>
          <w:i/>
          <w:sz w:val="22"/>
          <w:szCs w:val="22"/>
          <w:u w:val="single"/>
        </w:rPr>
        <w:t>(…)</w:t>
      </w:r>
    </w:p>
    <w:p w14:paraId="6DE66D7D" w14:textId="77777777" w:rsidR="00BD584A" w:rsidRPr="00452B91" w:rsidRDefault="005A341C" w:rsidP="00452B91">
      <w:pPr>
        <w:spacing w:before="200" w:after="200"/>
        <w:ind w:left="709" w:right="709"/>
        <w:jc w:val="both"/>
        <w:rPr>
          <w:rFonts w:ascii="Palatino Linotype" w:eastAsia="Palatino Linotype" w:hAnsi="Palatino Linotype" w:cs="Palatino Linotype"/>
          <w:b/>
          <w:i/>
          <w:sz w:val="22"/>
          <w:szCs w:val="22"/>
          <w:u w:val="single"/>
        </w:rPr>
      </w:pPr>
      <w:r w:rsidRPr="00452B91">
        <w:rPr>
          <w:rFonts w:ascii="Palatino Linotype" w:eastAsia="Palatino Linotype" w:hAnsi="Palatino Linotype" w:cs="Palatino Linotype"/>
          <w:b/>
          <w:i/>
          <w:sz w:val="22"/>
          <w:szCs w:val="22"/>
          <w:u w:val="single"/>
        </w:rPr>
        <w:t>XIII. Suscribir contratos de adquisiciones de bienes muebles y servicios, conforme a los acuerdos tomados en el Comité de Adquisiciones y Servicios;</w:t>
      </w:r>
    </w:p>
    <w:p w14:paraId="3C0335D1" w14:textId="77777777" w:rsidR="00BD584A" w:rsidRPr="00452B91" w:rsidRDefault="005A341C" w:rsidP="00452B91">
      <w:pPr>
        <w:spacing w:before="200" w:after="200"/>
        <w:ind w:left="709" w:right="709"/>
        <w:jc w:val="both"/>
        <w:rPr>
          <w:rFonts w:ascii="Palatino Linotype" w:eastAsia="Palatino Linotype" w:hAnsi="Palatino Linotype" w:cs="Palatino Linotype"/>
          <w:b/>
          <w:i/>
          <w:sz w:val="22"/>
          <w:szCs w:val="22"/>
        </w:rPr>
      </w:pPr>
      <w:r w:rsidRPr="00452B91">
        <w:rPr>
          <w:rFonts w:ascii="Palatino Linotype" w:eastAsia="Palatino Linotype" w:hAnsi="Palatino Linotype" w:cs="Palatino Linotype"/>
          <w:b/>
          <w:i/>
          <w:sz w:val="22"/>
          <w:szCs w:val="22"/>
        </w:rPr>
        <w:t>XVII. Presidir el Comité de Adquisiciones y Servicios, así como el Comité de Arrendamientos, Adquisiciones de Inmuebles y Enajenaciones;</w:t>
      </w:r>
    </w:p>
    <w:p w14:paraId="623471DC" w14:textId="77777777" w:rsidR="00BD584A" w:rsidRPr="00452B91" w:rsidRDefault="005A341C" w:rsidP="00452B91">
      <w:pPr>
        <w:spacing w:before="200" w:after="200"/>
        <w:ind w:left="709" w:right="70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w:t>
      </w:r>
    </w:p>
    <w:p w14:paraId="1100E416" w14:textId="77777777" w:rsidR="00BD584A" w:rsidRPr="00452B91" w:rsidRDefault="005A341C" w:rsidP="00452B91">
      <w:pPr>
        <w:spacing w:before="200" w:after="200"/>
        <w:ind w:left="709" w:right="70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(Énfasis añadido)</w:t>
      </w:r>
    </w:p>
    <w:p w14:paraId="6A3AC754" w14:textId="77777777" w:rsidR="00BD584A" w:rsidRPr="00452B91" w:rsidRDefault="00BD584A" w:rsidP="00452B91">
      <w:pPr>
        <w:spacing w:line="360" w:lineRule="auto"/>
        <w:ind w:right="49"/>
        <w:jc w:val="both"/>
        <w:rPr>
          <w:rFonts w:ascii="Palatino Linotype" w:eastAsia="Palatino Linotype" w:hAnsi="Palatino Linotype" w:cs="Palatino Linotype"/>
        </w:rPr>
      </w:pPr>
    </w:p>
    <w:p w14:paraId="6BFDC937" w14:textId="695148D3" w:rsidR="00BD584A" w:rsidRPr="00452B91" w:rsidRDefault="005A341C" w:rsidP="00452B91">
      <w:pPr>
        <w:spacing w:line="360" w:lineRule="auto"/>
        <w:ind w:right="49"/>
        <w:jc w:val="both"/>
        <w:rPr>
          <w:rFonts w:ascii="Palatino Linotype" w:eastAsia="Palatino Linotype" w:hAnsi="Palatino Linotype" w:cs="Palatino Linotype"/>
        </w:rPr>
      </w:pPr>
      <w:r w:rsidRPr="00452B91">
        <w:rPr>
          <w:rFonts w:ascii="Palatino Linotype" w:eastAsia="Palatino Linotype" w:hAnsi="Palatino Linotype" w:cs="Palatino Linotype"/>
        </w:rPr>
        <w:lastRenderedPageBreak/>
        <w:t xml:space="preserve">En tal sentido si bien el servidor público que dio respuesta es competente para conocer de la información solicitada, en lo a que al convenio se refiere, lo cierto también es </w:t>
      </w:r>
      <w:r w:rsidR="00841B1E" w:rsidRPr="00452B91">
        <w:rPr>
          <w:rFonts w:ascii="Palatino Linotype" w:eastAsia="Palatino Linotype" w:hAnsi="Palatino Linotype" w:cs="Palatino Linotype"/>
        </w:rPr>
        <w:t>que,</w:t>
      </w:r>
      <w:r w:rsidRPr="00452B91">
        <w:rPr>
          <w:rFonts w:ascii="Palatino Linotype" w:eastAsia="Palatino Linotype" w:hAnsi="Palatino Linotype" w:cs="Palatino Linotype"/>
        </w:rPr>
        <w:t xml:space="preserve"> dentro de lo requerido por el particular, también se encuentran documentos que acrediten el destino de los recursos y el mecanismo para asignar las cuotas de recuperación, así como si estos fueron </w:t>
      </w:r>
      <w:r w:rsidR="00841B1E" w:rsidRPr="00452B91">
        <w:rPr>
          <w:rFonts w:ascii="Palatino Linotype" w:eastAsia="Palatino Linotype" w:hAnsi="Palatino Linotype" w:cs="Palatino Linotype"/>
        </w:rPr>
        <w:t>aprobados</w:t>
      </w:r>
      <w:r w:rsidRPr="00452B91">
        <w:rPr>
          <w:rFonts w:ascii="Palatino Linotype" w:eastAsia="Palatino Linotype" w:hAnsi="Palatino Linotype" w:cs="Palatino Linotype"/>
        </w:rPr>
        <w:t xml:space="preserve"> por el cabildo del municipio. </w:t>
      </w:r>
    </w:p>
    <w:p w14:paraId="021D2BCF" w14:textId="77777777" w:rsidR="00BD584A" w:rsidRPr="00452B91" w:rsidRDefault="00BD584A" w:rsidP="00452B91">
      <w:pPr>
        <w:spacing w:line="360" w:lineRule="auto"/>
        <w:jc w:val="both"/>
        <w:rPr>
          <w:rFonts w:ascii="Palatino Linotype" w:eastAsia="Palatino Linotype" w:hAnsi="Palatino Linotype" w:cs="Palatino Linotype"/>
        </w:rPr>
      </w:pPr>
    </w:p>
    <w:p w14:paraId="34265C2C" w14:textId="77777777" w:rsidR="00BD584A" w:rsidRPr="00452B91" w:rsidRDefault="005A341C" w:rsidP="00452B91">
      <w:pPr>
        <w:spacing w:after="280"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Así bien, en relación a lo anterior, y como ya quedó asentado previamente, de las constancias que obran en el expediente electrónico del SAIMEX se desprende que la Titular de la Unidad de Transparencia, turnó la solicitud de información a la Dirección de Administración; no obstante, debido a la naturaleza de la información solicitada y en atención a las razones que se expondrán a continuación, existe otra área que debió ser turnada.  </w:t>
      </w:r>
    </w:p>
    <w:p w14:paraId="3EAAD1C3" w14:textId="77777777" w:rsidR="00BD584A" w:rsidRPr="00452B91" w:rsidRDefault="005A341C" w:rsidP="00452B91">
      <w:pPr>
        <w:spacing w:before="280" w:after="280"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Atento a lo anterior, conviene señalar la importancia de determinar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50, 51, 53 y 59 fracciones I, II y III, de la Ley de la materia, mismos que se transcriben a continuación:</w:t>
      </w:r>
    </w:p>
    <w:p w14:paraId="3A3E0526" w14:textId="77777777" w:rsidR="00BD584A" w:rsidRPr="00452B91" w:rsidRDefault="005A341C" w:rsidP="00452B91">
      <w:pPr>
        <w:ind w:left="567" w:right="616"/>
        <w:jc w:val="both"/>
      </w:pPr>
      <w:r w:rsidRPr="00452B91">
        <w:rPr>
          <w:rFonts w:ascii="Palatino Linotype" w:eastAsia="Palatino Linotype" w:hAnsi="Palatino Linotype" w:cs="Palatino Linotype"/>
          <w:i/>
          <w:sz w:val="22"/>
          <w:szCs w:val="22"/>
        </w:rPr>
        <w:t>“</w:t>
      </w:r>
      <w:r w:rsidRPr="00452B91">
        <w:rPr>
          <w:rFonts w:ascii="Palatino Linotype" w:eastAsia="Palatino Linotype" w:hAnsi="Palatino Linotype" w:cs="Palatino Linotype"/>
          <w:b/>
          <w:i/>
          <w:sz w:val="22"/>
          <w:szCs w:val="22"/>
        </w:rPr>
        <w:t>Artículo 3</w:t>
      </w:r>
      <w:r w:rsidRPr="00452B91">
        <w:rPr>
          <w:rFonts w:ascii="Palatino Linotype" w:eastAsia="Palatino Linotype" w:hAnsi="Palatino Linotype" w:cs="Palatino Linotype"/>
          <w:i/>
          <w:sz w:val="22"/>
          <w:szCs w:val="22"/>
        </w:rPr>
        <w:t xml:space="preserve">. </w:t>
      </w:r>
      <w:r w:rsidRPr="00452B91">
        <w:rPr>
          <w:rFonts w:ascii="Palatino Linotype" w:eastAsia="Palatino Linotype" w:hAnsi="Palatino Linotype" w:cs="Palatino Linotype"/>
          <w:b/>
          <w:i/>
          <w:sz w:val="22"/>
          <w:szCs w:val="22"/>
          <w:u w:val="single"/>
        </w:rPr>
        <w:t>Para los efectos de la presente Ley se entenderá por</w:t>
      </w:r>
      <w:r w:rsidRPr="00452B91">
        <w:rPr>
          <w:rFonts w:ascii="Palatino Linotype" w:eastAsia="Palatino Linotype" w:hAnsi="Palatino Linotype" w:cs="Palatino Linotype"/>
          <w:i/>
          <w:sz w:val="22"/>
          <w:szCs w:val="22"/>
        </w:rPr>
        <w:t>: </w:t>
      </w:r>
    </w:p>
    <w:p w14:paraId="78585E70" w14:textId="77777777" w:rsidR="00BD584A" w:rsidRPr="00452B91" w:rsidRDefault="005A341C" w:rsidP="00452B91">
      <w:pPr>
        <w:ind w:left="567" w:right="616"/>
        <w:jc w:val="both"/>
      </w:pPr>
      <w:r w:rsidRPr="00452B91">
        <w:rPr>
          <w:rFonts w:ascii="Palatino Linotype" w:eastAsia="Palatino Linotype" w:hAnsi="Palatino Linotype" w:cs="Palatino Linotype"/>
          <w:b/>
          <w:i/>
          <w:sz w:val="22"/>
          <w:szCs w:val="22"/>
        </w:rPr>
        <w:t>XXXIX</w:t>
      </w:r>
      <w:r w:rsidRPr="00452B91">
        <w:rPr>
          <w:rFonts w:ascii="Palatino Linotype" w:eastAsia="Palatino Linotype" w:hAnsi="Palatino Linotype" w:cs="Palatino Linotype"/>
          <w:i/>
          <w:sz w:val="22"/>
          <w:szCs w:val="22"/>
        </w:rPr>
        <w:t xml:space="preserve">. </w:t>
      </w:r>
      <w:r w:rsidRPr="00452B91">
        <w:rPr>
          <w:rFonts w:ascii="Palatino Linotype" w:eastAsia="Palatino Linotype" w:hAnsi="Palatino Linotype" w:cs="Palatino Linotype"/>
          <w:b/>
          <w:i/>
          <w:sz w:val="22"/>
          <w:szCs w:val="22"/>
          <w:u w:val="single"/>
        </w:rPr>
        <w:t>Servidor público habilitado</w:t>
      </w:r>
      <w:r w:rsidRPr="00452B91">
        <w:rPr>
          <w:rFonts w:ascii="Palatino Linotype" w:eastAsia="Palatino Linotype" w:hAnsi="Palatino Linotype" w:cs="Palatino Linotype"/>
          <w:i/>
          <w:sz w:val="22"/>
          <w:szCs w:val="22"/>
        </w:rPr>
        <w:t xml:space="preserve">: Persona encargada dentro de las diversas unidades administrativas o áreas del sujeto obligado, de apoyar, gestionar y entregar la </w:t>
      </w:r>
      <w:r w:rsidRPr="00452B91">
        <w:rPr>
          <w:rFonts w:ascii="Palatino Linotype" w:eastAsia="Palatino Linotype" w:hAnsi="Palatino Linotype" w:cs="Palatino Linotype"/>
          <w:i/>
          <w:sz w:val="22"/>
          <w:szCs w:val="22"/>
        </w:rPr>
        <w:lastRenderedPageBreak/>
        <w:t>información o datos personales que se ubiquen en la misma, a sus respectivas unidades de transparencia; respecto de las solicitudes presentadas y aportar en primera instancia el fundamento y motivación de la clasificación de la información;</w:t>
      </w:r>
    </w:p>
    <w:p w14:paraId="712BF482" w14:textId="77777777" w:rsidR="00BD584A" w:rsidRPr="00452B91" w:rsidRDefault="005A341C" w:rsidP="00452B91">
      <w:pPr>
        <w:ind w:left="567" w:right="616"/>
        <w:jc w:val="both"/>
      </w:pPr>
      <w:r w:rsidRPr="00452B91">
        <w:rPr>
          <w:rFonts w:ascii="Palatino Linotype" w:eastAsia="Palatino Linotype" w:hAnsi="Palatino Linotype" w:cs="Palatino Linotype"/>
          <w:i/>
          <w:sz w:val="22"/>
          <w:szCs w:val="22"/>
        </w:rPr>
        <w:t>…</w:t>
      </w:r>
    </w:p>
    <w:p w14:paraId="3E5008F3" w14:textId="77777777" w:rsidR="00BD584A" w:rsidRPr="00452B91" w:rsidRDefault="005A341C" w:rsidP="00452B91">
      <w:pPr>
        <w:ind w:left="567" w:right="618"/>
        <w:jc w:val="both"/>
      </w:pPr>
      <w:r w:rsidRPr="00452B91">
        <w:rPr>
          <w:rFonts w:ascii="Palatino Linotype" w:eastAsia="Palatino Linotype" w:hAnsi="Palatino Linotype" w:cs="Palatino Linotype"/>
          <w:b/>
          <w:i/>
          <w:sz w:val="22"/>
          <w:szCs w:val="22"/>
        </w:rPr>
        <w:t>Artículo 50.</w:t>
      </w:r>
      <w:r w:rsidRPr="00452B91">
        <w:rPr>
          <w:rFonts w:ascii="Palatino Linotype" w:eastAsia="Palatino Linotype" w:hAnsi="Palatino Linotype" w:cs="Palatino Linotype"/>
          <w:i/>
          <w:sz w:val="22"/>
          <w:szCs w:val="22"/>
        </w:rPr>
        <w:t xml:space="preserve"> Los sujetos obligados contarán con un área responsable para la atención de las solicitudes de información, a la que se le denominará Unidad de Transparencia.</w:t>
      </w:r>
    </w:p>
    <w:p w14:paraId="1F743782" w14:textId="77777777" w:rsidR="00BD584A" w:rsidRPr="00452B91" w:rsidRDefault="005A341C" w:rsidP="00452B91">
      <w:pPr>
        <w:ind w:left="567" w:right="618"/>
        <w:jc w:val="both"/>
      </w:pPr>
      <w:r w:rsidRPr="00452B91">
        <w:rPr>
          <w:rFonts w:ascii="Palatino Linotype" w:eastAsia="Palatino Linotype" w:hAnsi="Palatino Linotype" w:cs="Palatino Linotype"/>
          <w:b/>
          <w:i/>
          <w:sz w:val="22"/>
          <w:szCs w:val="22"/>
        </w:rPr>
        <w:t>Artículo 51</w:t>
      </w:r>
      <w:r w:rsidRPr="00452B91">
        <w:rPr>
          <w:rFonts w:ascii="Palatino Linotype" w:eastAsia="Palatino Linotype" w:hAnsi="Palatino Linotype" w:cs="Palatino Linotype"/>
          <w:i/>
          <w:sz w:val="22"/>
          <w:szCs w:val="22"/>
        </w:rPr>
        <w:t>.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488238EA" w14:textId="77777777" w:rsidR="00BD584A" w:rsidRPr="00452B91" w:rsidRDefault="005A341C" w:rsidP="00452B91">
      <w:pPr>
        <w:ind w:left="567" w:right="618"/>
        <w:jc w:val="both"/>
      </w:pPr>
      <w:r w:rsidRPr="00452B91">
        <w:rPr>
          <w:rFonts w:ascii="Palatino Linotype" w:eastAsia="Palatino Linotype" w:hAnsi="Palatino Linotype" w:cs="Palatino Linotype"/>
          <w:b/>
          <w:i/>
          <w:sz w:val="22"/>
          <w:szCs w:val="22"/>
        </w:rPr>
        <w:t>Artículo 53</w:t>
      </w:r>
      <w:r w:rsidRPr="00452B91">
        <w:rPr>
          <w:rFonts w:ascii="Palatino Linotype" w:eastAsia="Palatino Linotype" w:hAnsi="Palatino Linotype" w:cs="Palatino Linotype"/>
          <w:i/>
          <w:sz w:val="22"/>
          <w:szCs w:val="22"/>
        </w:rPr>
        <w:t>. Las Unidades de Transparencia tendrán las siguientes funciones:</w:t>
      </w:r>
    </w:p>
    <w:p w14:paraId="46CE35CF" w14:textId="77777777" w:rsidR="00BD584A" w:rsidRPr="00452B91" w:rsidRDefault="005A341C" w:rsidP="00452B91">
      <w:pPr>
        <w:ind w:left="567" w:right="618"/>
        <w:jc w:val="both"/>
      </w:pPr>
      <w:r w:rsidRPr="00452B91">
        <w:rPr>
          <w:rFonts w:ascii="Palatino Linotype" w:eastAsia="Palatino Linotype" w:hAnsi="Palatino Linotype" w:cs="Palatino Linotype"/>
          <w:i/>
          <w:sz w:val="22"/>
          <w:szCs w:val="22"/>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6FF32701" w14:textId="77777777" w:rsidR="00BD584A" w:rsidRPr="00452B91" w:rsidRDefault="005A341C" w:rsidP="00452B91">
      <w:pPr>
        <w:ind w:left="567" w:right="618"/>
        <w:jc w:val="both"/>
      </w:pPr>
      <w:r w:rsidRPr="00452B91">
        <w:rPr>
          <w:rFonts w:ascii="Palatino Linotype" w:eastAsia="Palatino Linotype" w:hAnsi="Palatino Linotype" w:cs="Palatino Linotype"/>
          <w:b/>
          <w:i/>
          <w:sz w:val="22"/>
          <w:szCs w:val="22"/>
        </w:rPr>
        <w:t xml:space="preserve">II. Recibir, </w:t>
      </w:r>
      <w:r w:rsidRPr="00452B91">
        <w:rPr>
          <w:rFonts w:ascii="Palatino Linotype" w:eastAsia="Palatino Linotype" w:hAnsi="Palatino Linotype" w:cs="Palatino Linotype"/>
          <w:b/>
          <w:i/>
          <w:sz w:val="22"/>
          <w:szCs w:val="22"/>
          <w:u w:val="single"/>
        </w:rPr>
        <w:t>tramitar</w:t>
      </w:r>
      <w:r w:rsidRPr="00452B91">
        <w:rPr>
          <w:rFonts w:ascii="Palatino Linotype" w:eastAsia="Palatino Linotype" w:hAnsi="Palatino Linotype" w:cs="Palatino Linotype"/>
          <w:b/>
          <w:i/>
          <w:sz w:val="22"/>
          <w:szCs w:val="22"/>
        </w:rPr>
        <w:t xml:space="preserve"> y dar respuesta a las solicitudes de acceso a la información;</w:t>
      </w:r>
    </w:p>
    <w:p w14:paraId="5E2C4547" w14:textId="77777777" w:rsidR="00BD584A" w:rsidRPr="00452B91" w:rsidRDefault="005A341C" w:rsidP="00452B91">
      <w:pPr>
        <w:ind w:left="567" w:right="618"/>
        <w:jc w:val="both"/>
      </w:pPr>
      <w:r w:rsidRPr="00452B91">
        <w:rPr>
          <w:rFonts w:ascii="Palatino Linotype" w:eastAsia="Palatino Linotype" w:hAnsi="Palatino Linotype" w:cs="Palatino Linotype"/>
          <w:i/>
          <w:sz w:val="22"/>
          <w:szCs w:val="22"/>
        </w:rPr>
        <w:t>III. Auxiliar a los particulares en la elaboración de solicitudes de acceso a la información y, en su caso, orientarlos sobre los sujetos obligados competentes conforme a la normatividad aplicable;</w:t>
      </w:r>
    </w:p>
    <w:p w14:paraId="636A8EA1" w14:textId="77777777" w:rsidR="00BD584A" w:rsidRPr="00452B91" w:rsidRDefault="005A341C" w:rsidP="00452B91">
      <w:pPr>
        <w:ind w:left="567" w:right="618"/>
        <w:jc w:val="both"/>
      </w:pPr>
      <w:r w:rsidRPr="00452B91">
        <w:rPr>
          <w:rFonts w:ascii="Palatino Linotype" w:eastAsia="Palatino Linotype" w:hAnsi="Palatino Linotype" w:cs="Palatino Linotype"/>
          <w:i/>
          <w:sz w:val="22"/>
          <w:szCs w:val="22"/>
        </w:rPr>
        <w:t>IV. Realizar, con efectividad, los trámites internos necesarios para la atención de las solicitudes de acceso a la información;</w:t>
      </w:r>
    </w:p>
    <w:p w14:paraId="09EEAE87" w14:textId="77777777" w:rsidR="00BD584A" w:rsidRPr="00452B91" w:rsidRDefault="005A341C" w:rsidP="00452B91">
      <w:pPr>
        <w:ind w:left="567" w:right="618"/>
        <w:jc w:val="both"/>
      </w:pPr>
      <w:r w:rsidRPr="00452B91">
        <w:rPr>
          <w:rFonts w:ascii="Palatino Linotype" w:eastAsia="Palatino Linotype" w:hAnsi="Palatino Linotype" w:cs="Palatino Linotype"/>
          <w:i/>
          <w:sz w:val="22"/>
          <w:szCs w:val="22"/>
        </w:rPr>
        <w:t>V. Entregar, en su caso, a los particulares la información solicitada;</w:t>
      </w:r>
    </w:p>
    <w:p w14:paraId="24AA2412" w14:textId="77777777" w:rsidR="00BD584A" w:rsidRPr="00452B91" w:rsidRDefault="005A341C" w:rsidP="00452B91">
      <w:pPr>
        <w:ind w:left="567" w:right="618"/>
        <w:jc w:val="both"/>
      </w:pPr>
      <w:r w:rsidRPr="00452B91">
        <w:rPr>
          <w:rFonts w:ascii="Palatino Linotype" w:eastAsia="Palatino Linotype" w:hAnsi="Palatino Linotype" w:cs="Palatino Linotype"/>
          <w:i/>
          <w:sz w:val="22"/>
          <w:szCs w:val="22"/>
        </w:rPr>
        <w:t>VI. Efectuar las notificaciones a los solicitantes;</w:t>
      </w:r>
    </w:p>
    <w:p w14:paraId="2E3694C4" w14:textId="77777777" w:rsidR="00BD584A" w:rsidRPr="00452B91" w:rsidRDefault="005A341C" w:rsidP="00452B91">
      <w:pPr>
        <w:ind w:left="567" w:right="618"/>
        <w:jc w:val="both"/>
      </w:pPr>
      <w:r w:rsidRPr="00452B91">
        <w:rPr>
          <w:rFonts w:ascii="Palatino Linotype" w:eastAsia="Palatino Linotype" w:hAnsi="Palatino Linotype" w:cs="Palatino Linotype"/>
          <w:i/>
          <w:sz w:val="22"/>
          <w:szCs w:val="22"/>
        </w:rPr>
        <w:t>VII. Proponer al Comité de Transparencia, los procedimientos internos que aseguren la mayor eficiencia en la gestión de las solicitudes de acceso a la información, conforme a la normatividad aplicable;</w:t>
      </w:r>
    </w:p>
    <w:p w14:paraId="7EF5EEF4" w14:textId="77777777" w:rsidR="00BD584A" w:rsidRPr="00452B91" w:rsidRDefault="005A341C" w:rsidP="00452B91">
      <w:pPr>
        <w:ind w:left="567" w:right="618"/>
        <w:jc w:val="both"/>
      </w:pPr>
      <w:r w:rsidRPr="00452B91">
        <w:rPr>
          <w:rFonts w:ascii="Palatino Linotype" w:eastAsia="Palatino Linotype" w:hAnsi="Palatino Linotype" w:cs="Palatino Linotype"/>
          <w:i/>
          <w:sz w:val="22"/>
          <w:szCs w:val="22"/>
        </w:rPr>
        <w:t>VIII. Proponer a quien preside el Comité de Transparencia, personal habilitado que sea necesario para recibir y dar trámite a las solicitudes de acceso a la información;</w:t>
      </w:r>
    </w:p>
    <w:p w14:paraId="3BDCF8FB" w14:textId="77777777" w:rsidR="00BD584A" w:rsidRPr="00452B91" w:rsidRDefault="005A341C" w:rsidP="00452B91">
      <w:pPr>
        <w:ind w:left="567" w:right="618"/>
        <w:jc w:val="both"/>
      </w:pPr>
      <w:r w:rsidRPr="00452B91">
        <w:rPr>
          <w:rFonts w:ascii="Palatino Linotype" w:eastAsia="Palatino Linotype" w:hAnsi="Palatino Linotype" w:cs="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27489638" w14:textId="77777777" w:rsidR="00BD584A" w:rsidRPr="00452B91" w:rsidRDefault="005A341C" w:rsidP="00452B91">
      <w:pPr>
        <w:ind w:left="567" w:right="618"/>
        <w:jc w:val="both"/>
      </w:pPr>
      <w:r w:rsidRPr="00452B91">
        <w:rPr>
          <w:rFonts w:ascii="Palatino Linotype" w:eastAsia="Palatino Linotype" w:hAnsi="Palatino Linotype" w:cs="Palatino Linotype"/>
          <w:i/>
          <w:sz w:val="22"/>
          <w:szCs w:val="22"/>
        </w:rPr>
        <w:t>X. Presentar ante el Comité, el proyecto de clasificación de información;</w:t>
      </w:r>
    </w:p>
    <w:p w14:paraId="26B79E70" w14:textId="77777777" w:rsidR="00BD584A" w:rsidRPr="00452B91" w:rsidRDefault="005A341C" w:rsidP="00452B91">
      <w:pPr>
        <w:ind w:left="567" w:right="618"/>
        <w:jc w:val="both"/>
      </w:pPr>
      <w:r w:rsidRPr="00452B91">
        <w:rPr>
          <w:rFonts w:ascii="Palatino Linotype" w:eastAsia="Palatino Linotype" w:hAnsi="Palatino Linotype" w:cs="Palatino Linotype"/>
          <w:i/>
          <w:sz w:val="22"/>
          <w:szCs w:val="22"/>
        </w:rPr>
        <w:t>XI. Promover e implementar políticas de transparencia proactiva procurando su accesibilidad;</w:t>
      </w:r>
    </w:p>
    <w:p w14:paraId="6D45FC16" w14:textId="77777777" w:rsidR="00BD584A" w:rsidRPr="00452B91" w:rsidRDefault="005A341C" w:rsidP="00452B91">
      <w:pPr>
        <w:ind w:left="567" w:right="618"/>
        <w:jc w:val="both"/>
      </w:pPr>
      <w:r w:rsidRPr="00452B91">
        <w:rPr>
          <w:rFonts w:ascii="Palatino Linotype" w:eastAsia="Palatino Linotype" w:hAnsi="Palatino Linotype" w:cs="Palatino Linotype"/>
          <w:i/>
          <w:sz w:val="22"/>
          <w:szCs w:val="22"/>
        </w:rPr>
        <w:lastRenderedPageBreak/>
        <w:t>XII. Fomentar la transparencia y accesibilidad al interior del sujeto obligado;</w:t>
      </w:r>
    </w:p>
    <w:p w14:paraId="30E4CA2F" w14:textId="77777777" w:rsidR="00BD584A" w:rsidRPr="00452B91" w:rsidRDefault="005A341C" w:rsidP="00452B91">
      <w:pPr>
        <w:ind w:left="567" w:right="618"/>
        <w:jc w:val="both"/>
      </w:pPr>
      <w:r w:rsidRPr="00452B91">
        <w:rPr>
          <w:rFonts w:ascii="Palatino Linotype" w:eastAsia="Palatino Linotype" w:hAnsi="Palatino Linotype" w:cs="Palatino Linotype"/>
          <w:i/>
          <w:sz w:val="22"/>
          <w:szCs w:val="22"/>
        </w:rPr>
        <w:t>XIII. Hacer del conocimiento de la instancia competente la probable responsabilidad por el incumplimiento de las obligaciones previstas en la presente Ley; y</w:t>
      </w:r>
    </w:p>
    <w:p w14:paraId="542D4005" w14:textId="77777777" w:rsidR="00BD584A" w:rsidRPr="00452B91" w:rsidRDefault="005A341C" w:rsidP="00452B91">
      <w:pPr>
        <w:ind w:left="567" w:right="618"/>
        <w:jc w:val="both"/>
      </w:pPr>
      <w:r w:rsidRPr="00452B91">
        <w:rPr>
          <w:rFonts w:ascii="Palatino Linotype" w:eastAsia="Palatino Linotype" w:hAnsi="Palatino Linotype" w:cs="Palatino Linotype"/>
          <w:i/>
          <w:sz w:val="22"/>
          <w:szCs w:val="22"/>
        </w:rPr>
        <w:t>XIV. Las demás que resulten necesarias para facilitar el acceso a la información y aquellas que se desprenden de la presente Ley y demás disposiciones jurídicas aplicables.</w:t>
      </w:r>
    </w:p>
    <w:p w14:paraId="66FDDC93" w14:textId="77777777" w:rsidR="00BD584A" w:rsidRPr="00452B91" w:rsidRDefault="005A341C" w:rsidP="00452B91">
      <w:pPr>
        <w:ind w:left="567" w:right="618"/>
        <w:jc w:val="both"/>
      </w:pPr>
      <w:r w:rsidRPr="00452B91">
        <w:rPr>
          <w:rFonts w:ascii="Palatino Linotype" w:eastAsia="Palatino Linotype" w:hAnsi="Palatino Linotype" w:cs="Palatino Linotype"/>
          <w:i/>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3403EEA9" w14:textId="77777777" w:rsidR="00BD584A" w:rsidRPr="00452B91" w:rsidRDefault="005A341C" w:rsidP="00452B91">
      <w:pPr>
        <w:ind w:left="567" w:right="618"/>
        <w:jc w:val="both"/>
      </w:pPr>
      <w:r w:rsidRPr="00452B91">
        <w:rPr>
          <w:rFonts w:ascii="Palatino Linotype" w:eastAsia="Palatino Linotype" w:hAnsi="Palatino Linotype" w:cs="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15E79B85" w14:textId="77777777" w:rsidR="00BD584A" w:rsidRPr="00452B91" w:rsidRDefault="005A341C" w:rsidP="00452B91">
      <w:pPr>
        <w:ind w:left="567" w:right="616"/>
        <w:jc w:val="both"/>
      </w:pPr>
      <w:r w:rsidRPr="00452B91">
        <w:rPr>
          <w:rFonts w:ascii="Palatino Linotype" w:eastAsia="Palatino Linotype" w:hAnsi="Palatino Linotype" w:cs="Palatino Linotype"/>
          <w:b/>
          <w:i/>
          <w:sz w:val="22"/>
          <w:szCs w:val="22"/>
        </w:rPr>
        <w:t>Artículo 59</w:t>
      </w:r>
      <w:r w:rsidRPr="00452B91">
        <w:rPr>
          <w:rFonts w:ascii="Palatino Linotype" w:eastAsia="Palatino Linotype" w:hAnsi="Palatino Linotype" w:cs="Palatino Linotype"/>
          <w:i/>
          <w:sz w:val="22"/>
          <w:szCs w:val="22"/>
        </w:rPr>
        <w:t xml:space="preserve">. </w:t>
      </w:r>
      <w:r w:rsidRPr="00452B91">
        <w:rPr>
          <w:rFonts w:ascii="Palatino Linotype" w:eastAsia="Palatino Linotype" w:hAnsi="Palatino Linotype" w:cs="Palatino Linotype"/>
          <w:b/>
          <w:i/>
          <w:sz w:val="22"/>
          <w:szCs w:val="22"/>
          <w:u w:val="single"/>
        </w:rPr>
        <w:t>Los servidores públicos habilitados tendrán las funciones siguientes</w:t>
      </w:r>
      <w:r w:rsidRPr="00452B91">
        <w:rPr>
          <w:rFonts w:ascii="Palatino Linotype" w:eastAsia="Palatino Linotype" w:hAnsi="Palatino Linotype" w:cs="Palatino Linotype"/>
          <w:i/>
          <w:sz w:val="22"/>
          <w:szCs w:val="22"/>
        </w:rPr>
        <w:t>: </w:t>
      </w:r>
    </w:p>
    <w:p w14:paraId="7145F3C9" w14:textId="77777777" w:rsidR="00BD584A" w:rsidRPr="00452B91" w:rsidRDefault="005A341C" w:rsidP="00452B91">
      <w:pPr>
        <w:ind w:left="567" w:right="616"/>
        <w:jc w:val="both"/>
      </w:pPr>
      <w:r w:rsidRPr="00452B91">
        <w:rPr>
          <w:rFonts w:ascii="Palatino Linotype" w:eastAsia="Palatino Linotype" w:hAnsi="Palatino Linotype" w:cs="Palatino Linotype"/>
          <w:b/>
          <w:i/>
          <w:sz w:val="22"/>
          <w:szCs w:val="22"/>
        </w:rPr>
        <w:t xml:space="preserve">I. </w:t>
      </w:r>
      <w:r w:rsidRPr="00452B91">
        <w:rPr>
          <w:rFonts w:ascii="Palatino Linotype" w:eastAsia="Palatino Linotype" w:hAnsi="Palatino Linotype" w:cs="Palatino Linotype"/>
          <w:b/>
          <w:i/>
          <w:sz w:val="22"/>
          <w:szCs w:val="22"/>
          <w:u w:val="single"/>
        </w:rPr>
        <w:t>Localizar la información que le solicite la Unidad de Transparencia</w:t>
      </w:r>
      <w:r w:rsidRPr="00452B91">
        <w:rPr>
          <w:rFonts w:ascii="Palatino Linotype" w:eastAsia="Palatino Linotype" w:hAnsi="Palatino Linotype" w:cs="Palatino Linotype"/>
          <w:i/>
          <w:sz w:val="22"/>
          <w:szCs w:val="22"/>
        </w:rPr>
        <w:t>; </w:t>
      </w:r>
    </w:p>
    <w:p w14:paraId="23A6683F" w14:textId="77777777" w:rsidR="00BD584A" w:rsidRPr="00452B91" w:rsidRDefault="005A341C" w:rsidP="00452B91">
      <w:pPr>
        <w:ind w:left="567" w:right="616"/>
        <w:jc w:val="both"/>
      </w:pPr>
      <w:r w:rsidRPr="00452B91">
        <w:rPr>
          <w:rFonts w:ascii="Palatino Linotype" w:eastAsia="Palatino Linotype" w:hAnsi="Palatino Linotype" w:cs="Palatino Linotype"/>
          <w:b/>
          <w:i/>
          <w:sz w:val="22"/>
          <w:szCs w:val="22"/>
        </w:rPr>
        <w:t xml:space="preserve">II. </w:t>
      </w:r>
      <w:r w:rsidRPr="00452B91">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452B91">
        <w:rPr>
          <w:rFonts w:ascii="Palatino Linotype" w:eastAsia="Palatino Linotype" w:hAnsi="Palatino Linotype" w:cs="Palatino Linotype"/>
          <w:b/>
          <w:i/>
          <w:sz w:val="22"/>
          <w:szCs w:val="22"/>
        </w:rPr>
        <w:t>; </w:t>
      </w:r>
    </w:p>
    <w:p w14:paraId="41FA070A" w14:textId="77777777" w:rsidR="00BD584A" w:rsidRPr="00452B91" w:rsidRDefault="005A341C" w:rsidP="00452B91">
      <w:pPr>
        <w:ind w:left="567" w:right="616"/>
        <w:jc w:val="both"/>
      </w:pPr>
      <w:r w:rsidRPr="00452B91">
        <w:rPr>
          <w:rFonts w:ascii="Palatino Linotype" w:eastAsia="Palatino Linotype" w:hAnsi="Palatino Linotype" w:cs="Palatino Linotype"/>
          <w:b/>
          <w:i/>
          <w:sz w:val="22"/>
          <w:szCs w:val="22"/>
        </w:rPr>
        <w:t xml:space="preserve">III. </w:t>
      </w:r>
      <w:r w:rsidRPr="00452B91">
        <w:rPr>
          <w:rFonts w:ascii="Palatino Linotype" w:eastAsia="Palatino Linotype" w:hAnsi="Palatino Linotype" w:cs="Palatino Linotype"/>
          <w:b/>
          <w:i/>
          <w:sz w:val="22"/>
          <w:szCs w:val="22"/>
          <w:u w:val="single"/>
        </w:rPr>
        <w:t>Apoyar a la Unidad de Transparencia en lo que esta le solicite para el cumplimiento de sus funciones</w:t>
      </w:r>
      <w:r w:rsidRPr="00452B91">
        <w:rPr>
          <w:rFonts w:ascii="Palatino Linotype" w:eastAsia="Palatino Linotype" w:hAnsi="Palatino Linotype" w:cs="Palatino Linotype"/>
          <w:b/>
          <w:i/>
          <w:sz w:val="22"/>
          <w:szCs w:val="22"/>
        </w:rPr>
        <w:t>; </w:t>
      </w:r>
    </w:p>
    <w:p w14:paraId="2FECCF6B" w14:textId="77777777" w:rsidR="00BD584A" w:rsidRPr="00452B91" w:rsidRDefault="005A341C" w:rsidP="00452B91">
      <w:pPr>
        <w:ind w:left="567" w:right="616"/>
        <w:jc w:val="both"/>
      </w:pPr>
      <w:r w:rsidRPr="00452B91">
        <w:rPr>
          <w:rFonts w:ascii="Palatino Linotype" w:eastAsia="Palatino Linotype" w:hAnsi="Palatino Linotype" w:cs="Palatino Linotype"/>
          <w:b/>
          <w:i/>
          <w:sz w:val="22"/>
          <w:szCs w:val="22"/>
        </w:rPr>
        <w:t>…</w:t>
      </w:r>
      <w:r w:rsidRPr="00452B91">
        <w:rPr>
          <w:rFonts w:ascii="Palatino Linotype" w:eastAsia="Palatino Linotype" w:hAnsi="Palatino Linotype" w:cs="Palatino Linotype"/>
          <w:i/>
          <w:sz w:val="22"/>
          <w:szCs w:val="22"/>
        </w:rPr>
        <w:t>”</w:t>
      </w:r>
    </w:p>
    <w:p w14:paraId="2ADE0BF9" w14:textId="77777777" w:rsidR="00BD584A" w:rsidRPr="00452B91" w:rsidRDefault="005A341C" w:rsidP="00452B91">
      <w:pPr>
        <w:ind w:left="567" w:right="616"/>
        <w:jc w:val="both"/>
      </w:pPr>
      <w:r w:rsidRPr="00452B91">
        <w:rPr>
          <w:rFonts w:ascii="Palatino Linotype" w:eastAsia="Palatino Linotype" w:hAnsi="Palatino Linotype" w:cs="Palatino Linotype"/>
          <w:sz w:val="22"/>
          <w:szCs w:val="22"/>
        </w:rPr>
        <w:t>(Énfasis añadido)</w:t>
      </w:r>
    </w:p>
    <w:p w14:paraId="237E099A" w14:textId="77777777" w:rsidR="00BD584A" w:rsidRPr="00452B91" w:rsidRDefault="005A341C" w:rsidP="00452B91">
      <w:pPr>
        <w:spacing w:before="240" w:after="240" w:line="360" w:lineRule="auto"/>
        <w:jc w:val="both"/>
      </w:pPr>
      <w:r w:rsidRPr="00452B91">
        <w:rPr>
          <w:rFonts w:ascii="Palatino Linotype" w:eastAsia="Palatino Linotype" w:hAnsi="Palatino Linotype" w:cs="Palatino Linotype"/>
        </w:rPr>
        <w:t>Del artículo en comento, se desprende que las Unidades de Transparencia, se erigen como el área responsable en cada Sujeto Obligado, asimismo, tiene a su cargo la atención de las solicitudes de información que se realicen al amparo de la Ley. El responsable de dicha área funge como enlace entre el Sujeto Obligado y los solicitantes, y tiene bajo su responsabilidad el tramitar internamente la solicitud de información.</w:t>
      </w:r>
    </w:p>
    <w:p w14:paraId="354330FD" w14:textId="77777777" w:rsidR="00BD584A" w:rsidRPr="00452B91" w:rsidRDefault="005A341C" w:rsidP="00452B91">
      <w:pPr>
        <w:spacing w:before="240" w:after="240" w:line="360" w:lineRule="auto"/>
        <w:jc w:val="both"/>
      </w:pPr>
      <w:r w:rsidRPr="00452B91">
        <w:rPr>
          <w:rFonts w:ascii="Palatino Linotype" w:eastAsia="Palatino Linotype" w:hAnsi="Palatino Linotype" w:cs="Palatino Linotype"/>
        </w:rPr>
        <w:t xml:space="preserve">De tal manera que, si bien, el Titular de la Unidad de Transparencia no tiene bajo su resguardo el archivo que pudiese contener la documentación solicitada, sino que la </w:t>
      </w:r>
      <w:r w:rsidRPr="00452B91">
        <w:rPr>
          <w:rFonts w:ascii="Palatino Linotype" w:eastAsia="Palatino Linotype" w:hAnsi="Palatino Linotype" w:cs="Palatino Linotype"/>
        </w:rPr>
        <w:lastRenderedPageBreak/>
        <w:t xml:space="preserve">información pueda obrar en las distintas áreas que conforman la estructura del </w:t>
      </w:r>
      <w:r w:rsidRPr="00452B91">
        <w:rPr>
          <w:rFonts w:ascii="Palatino Linotype" w:eastAsia="Palatino Linotype" w:hAnsi="Palatino Linotype" w:cs="Palatino Linotype"/>
          <w:b/>
        </w:rPr>
        <w:t>SUJETO OBLIGADO</w:t>
      </w:r>
      <w:r w:rsidRPr="00452B91">
        <w:rPr>
          <w:rFonts w:ascii="Palatino Linotype" w:eastAsia="Palatino Linotype" w:hAnsi="Palatino Linotype" w:cs="Palatino Linotype"/>
        </w:rPr>
        <w:t>. En esa tesitura, lo procedente es turnar la solicitud a los servidores públicos habilitados que tengan bajo su resguardo la misma, quienes tendrán la función de buscar, localizar y en su caso entregar la información solicitada.</w:t>
      </w:r>
    </w:p>
    <w:p w14:paraId="6DBB1DCB" w14:textId="77777777" w:rsidR="00BD584A" w:rsidRPr="00452B91" w:rsidRDefault="005A341C" w:rsidP="00452B91">
      <w:pPr>
        <w:spacing w:before="240" w:after="240" w:line="360" w:lineRule="auto"/>
        <w:jc w:val="both"/>
      </w:pPr>
      <w:r w:rsidRPr="00452B91">
        <w:rPr>
          <w:rFonts w:ascii="Palatino Linotype" w:eastAsia="Palatino Linotype" w:hAnsi="Palatino Linotype" w:cs="Palatino Linotype"/>
        </w:rPr>
        <w:t>Es por ello, que corresponde al Titular de la Unidad de Transparencia garantizar que las solicitudes se turnen a todas las áreas competentes que puedan contar con la información, con el objeto de realizar una búsqueda exhaustiva y razonable de la información solicitada.</w:t>
      </w:r>
    </w:p>
    <w:p w14:paraId="3E72E451" w14:textId="77777777" w:rsidR="00BD584A" w:rsidRPr="00452B91" w:rsidRDefault="005A341C" w:rsidP="00452B91">
      <w:pPr>
        <w:spacing w:before="280" w:after="280"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Así, respecto de la información solicitada por </w:t>
      </w:r>
      <w:r w:rsidRPr="00452B91">
        <w:rPr>
          <w:rFonts w:ascii="Palatino Linotype" w:eastAsia="Palatino Linotype" w:hAnsi="Palatino Linotype" w:cs="Palatino Linotype"/>
          <w:b/>
        </w:rPr>
        <w:t>EL RECURRENTE</w:t>
      </w:r>
      <w:r w:rsidRPr="00452B91">
        <w:rPr>
          <w:rFonts w:ascii="Palatino Linotype" w:eastAsia="Palatino Linotype" w:hAnsi="Palatino Linotype" w:cs="Palatino Linotype"/>
        </w:rPr>
        <w:t xml:space="preserve">, se advierte que el Titular de la Unidad de Transparencia del </w:t>
      </w:r>
      <w:r w:rsidRPr="00452B91">
        <w:rPr>
          <w:rFonts w:ascii="Palatino Linotype" w:eastAsia="Palatino Linotype" w:hAnsi="Palatino Linotype" w:cs="Palatino Linotype"/>
          <w:b/>
        </w:rPr>
        <w:t>SUJETO OBLIGADO</w:t>
      </w:r>
      <w:r w:rsidRPr="00452B91">
        <w:rPr>
          <w:rFonts w:ascii="Palatino Linotype" w:eastAsia="Palatino Linotype" w:hAnsi="Palatino Linotype" w:cs="Palatino Linotype"/>
        </w:rPr>
        <w:t xml:space="preserve">, en términos del artículo 162 de la Ley de Transparencia y Acceso a la Información Pública del Estado de México y Municipios, debió requerir la información a las áreas idóneas y a pesar de haber hecho el turno a un área que efectivamente es competente de generar la información, se advierte que existen otras que podrían conocer de la misma; toda vez que, la Ley Orgánica Municipal en su artículo 93  establece lo siguiente: </w:t>
      </w:r>
    </w:p>
    <w:p w14:paraId="58ADBCBC" w14:textId="77777777" w:rsidR="00BD584A" w:rsidRPr="00452B91" w:rsidRDefault="005A341C" w:rsidP="00452B91">
      <w:pPr>
        <w:spacing w:before="280" w:after="280"/>
        <w:jc w:val="center"/>
        <w:rPr>
          <w:rFonts w:ascii="Palatino Linotype" w:eastAsia="Palatino Linotype" w:hAnsi="Palatino Linotype" w:cs="Palatino Linotype"/>
          <w:b/>
          <w:i/>
          <w:sz w:val="22"/>
          <w:szCs w:val="22"/>
          <w:u w:val="single"/>
        </w:rPr>
      </w:pPr>
      <w:r w:rsidRPr="00452B91">
        <w:rPr>
          <w:rFonts w:ascii="Palatino Linotype" w:eastAsia="Palatino Linotype" w:hAnsi="Palatino Linotype" w:cs="Palatino Linotype"/>
          <w:i/>
          <w:sz w:val="22"/>
          <w:szCs w:val="22"/>
        </w:rPr>
        <w:t>“</w:t>
      </w:r>
      <w:r w:rsidRPr="00452B91">
        <w:rPr>
          <w:rFonts w:ascii="Palatino Linotype" w:eastAsia="Palatino Linotype" w:hAnsi="Palatino Linotype" w:cs="Palatino Linotype"/>
          <w:b/>
          <w:i/>
          <w:sz w:val="22"/>
          <w:szCs w:val="22"/>
          <w:u w:val="single"/>
        </w:rPr>
        <w:t xml:space="preserve">CAPÍTULO SEGUNDO </w:t>
      </w:r>
    </w:p>
    <w:p w14:paraId="1C2E52D0" w14:textId="77777777" w:rsidR="00BD584A" w:rsidRPr="00452B91" w:rsidRDefault="005A341C" w:rsidP="00452B91">
      <w:pPr>
        <w:spacing w:before="280" w:after="280"/>
        <w:jc w:val="center"/>
        <w:rPr>
          <w:rFonts w:ascii="Palatino Linotype" w:eastAsia="Palatino Linotype" w:hAnsi="Palatino Linotype" w:cs="Palatino Linotype"/>
          <w:b/>
          <w:i/>
          <w:sz w:val="22"/>
          <w:szCs w:val="22"/>
          <w:u w:val="single"/>
        </w:rPr>
      </w:pPr>
      <w:r w:rsidRPr="00452B91">
        <w:rPr>
          <w:rFonts w:ascii="Palatino Linotype" w:eastAsia="Palatino Linotype" w:hAnsi="Palatino Linotype" w:cs="Palatino Linotype"/>
          <w:b/>
          <w:i/>
          <w:sz w:val="22"/>
          <w:szCs w:val="22"/>
          <w:u w:val="single"/>
        </w:rPr>
        <w:t xml:space="preserve">DE LA TESORERÍA MUNICIPAL </w:t>
      </w:r>
    </w:p>
    <w:p w14:paraId="382BB939" w14:textId="77777777" w:rsidR="00BD584A" w:rsidRPr="00452B91" w:rsidRDefault="005A341C" w:rsidP="00452B91">
      <w:pPr>
        <w:spacing w:before="280" w:after="280"/>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Artículo 93.</w:t>
      </w:r>
      <w:r w:rsidRPr="00452B91">
        <w:rPr>
          <w:rFonts w:ascii="Palatino Linotype" w:eastAsia="Palatino Linotype" w:hAnsi="Palatino Linotype" w:cs="Palatino Linotype"/>
          <w:i/>
          <w:sz w:val="22"/>
          <w:szCs w:val="22"/>
        </w:rPr>
        <w:t>- La tesorería municipal es el órgano encargado de la recaudación de los ingresos municipales y responsable de realizar las erogaciones que haga el ayuntamiento”</w:t>
      </w:r>
    </w:p>
    <w:p w14:paraId="006D9A60" w14:textId="77777777" w:rsidR="00BD584A" w:rsidRPr="00452B91" w:rsidRDefault="005A341C" w:rsidP="00452B91">
      <w:pPr>
        <w:spacing w:before="280" w:after="280"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lastRenderedPageBreak/>
        <w:t xml:space="preserve">El mismo ordenamiento también enlista en su artículo 95 las atribuciones y facultades de la Tesorería Municipal, de las cuales se advierten las relacionadas al registro y contabilidad de ingresos y egresos del municipio: </w:t>
      </w:r>
    </w:p>
    <w:p w14:paraId="07C8001D" w14:textId="77777777" w:rsidR="00BD584A" w:rsidRPr="00452B91" w:rsidRDefault="005A341C" w:rsidP="00452B91">
      <w:pPr>
        <w:spacing w:before="280" w:after="280"/>
        <w:ind w:left="850"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w:t>
      </w:r>
      <w:r w:rsidRPr="00452B91">
        <w:rPr>
          <w:rFonts w:ascii="Palatino Linotype" w:eastAsia="Palatino Linotype" w:hAnsi="Palatino Linotype" w:cs="Palatino Linotype"/>
          <w:b/>
          <w:i/>
          <w:sz w:val="22"/>
          <w:szCs w:val="22"/>
        </w:rPr>
        <w:t>Artículo 95.-</w:t>
      </w:r>
      <w:r w:rsidRPr="00452B91">
        <w:rPr>
          <w:rFonts w:ascii="Palatino Linotype" w:eastAsia="Palatino Linotype" w:hAnsi="Palatino Linotype" w:cs="Palatino Linotype"/>
          <w:i/>
          <w:sz w:val="22"/>
          <w:szCs w:val="22"/>
        </w:rPr>
        <w:t xml:space="preserve"> Son atribuciones del tesorero municipal:</w:t>
      </w:r>
    </w:p>
    <w:p w14:paraId="1EB90499" w14:textId="77777777" w:rsidR="00BD584A" w:rsidRPr="00452B91" w:rsidRDefault="005A341C" w:rsidP="00452B91">
      <w:pPr>
        <w:spacing w:before="280" w:after="280"/>
        <w:ind w:left="850"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I. Administrar la hacienda pública municipal, de conformidad con las disposiciones legales aplicables;</w:t>
      </w:r>
    </w:p>
    <w:p w14:paraId="3AF21911" w14:textId="77777777" w:rsidR="00BD584A" w:rsidRPr="00452B91" w:rsidRDefault="005A341C" w:rsidP="00452B91">
      <w:pPr>
        <w:spacing w:before="280" w:after="280"/>
        <w:ind w:left="850"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IV. Llevar los registros contables, financieros y administrativos de los ingresos, egresos e inventarios;</w:t>
      </w:r>
    </w:p>
    <w:p w14:paraId="74B87B33" w14:textId="77777777" w:rsidR="00BD584A" w:rsidRPr="00452B91" w:rsidRDefault="005A341C" w:rsidP="00452B91">
      <w:pPr>
        <w:spacing w:before="280" w:after="280"/>
        <w:ind w:left="850"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V. Proporcionar oportunamente al Ayuntamiento todos los datos o informes que sean necesarios para la formulación del presupuesto de egresos municipales, vigilando que se ajuste a las disposiciones de esta Ley y de otros ordenamientos aplicables;</w:t>
      </w:r>
    </w:p>
    <w:p w14:paraId="645B49C3" w14:textId="77777777" w:rsidR="00BD584A" w:rsidRPr="00452B91" w:rsidRDefault="005A341C" w:rsidP="00452B91">
      <w:pPr>
        <w:spacing w:before="280" w:after="280"/>
        <w:ind w:left="850" w:right="899"/>
        <w:jc w:val="both"/>
        <w:rPr>
          <w:rFonts w:ascii="Palatino Linotype" w:eastAsia="Palatino Linotype" w:hAnsi="Palatino Linotype" w:cs="Palatino Linotype"/>
        </w:rPr>
      </w:pPr>
      <w:r w:rsidRPr="00452B91">
        <w:rPr>
          <w:rFonts w:ascii="Palatino Linotype" w:eastAsia="Palatino Linotype" w:hAnsi="Palatino Linotype" w:cs="Palatino Linotype"/>
          <w:i/>
          <w:sz w:val="22"/>
          <w:szCs w:val="22"/>
        </w:rPr>
        <w:t>XX. Los ingresos que reciba por cualquier otro concepto; así como el importe de las sanciones por infracciones, impuestos por las autoridades competentes, por la inobservancia de las diversas disposiciones y ordenamientos legales, constituyendo los créditos fiscales correspondientes.”</w:t>
      </w:r>
    </w:p>
    <w:p w14:paraId="1D29AFF5" w14:textId="77777777" w:rsidR="00BD584A" w:rsidRPr="00452B91" w:rsidRDefault="005A341C" w:rsidP="00452B91">
      <w:pPr>
        <w:spacing w:before="280" w:after="280"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Así de los preceptos en cita se puede observar que es competencia de la Tesorería Municipal, todo lo relativo a administrar los ingresos y egresos del Ayuntamiento, así como el registro de los mismos, situación que cobra relevancia, toda vez que se aprecia de la totalidad de las constancias que obran en el Sistema de Acceso a la Información Mexiquense (SAIMEX) que, el interés del </w:t>
      </w:r>
      <w:r w:rsidRPr="00452B91">
        <w:rPr>
          <w:rFonts w:ascii="Palatino Linotype" w:eastAsia="Palatino Linotype" w:hAnsi="Palatino Linotype" w:cs="Palatino Linotype"/>
          <w:b/>
        </w:rPr>
        <w:t>RECURRENTE</w:t>
      </w:r>
      <w:r w:rsidRPr="00452B91">
        <w:rPr>
          <w:rFonts w:ascii="Palatino Linotype" w:eastAsia="Palatino Linotype" w:hAnsi="Palatino Linotype" w:cs="Palatino Linotype"/>
        </w:rPr>
        <w:t xml:space="preserve"> es conocer la información relacionada con los ingresos y egresos de recursos públicos con relación a la carrera “Maratón rock´n Roll”. </w:t>
      </w:r>
    </w:p>
    <w:p w14:paraId="635015FB" w14:textId="77777777" w:rsidR="00BD584A" w:rsidRPr="00452B91" w:rsidRDefault="005A341C" w:rsidP="00452B91">
      <w:pPr>
        <w:spacing w:before="280" w:after="280" w:line="360" w:lineRule="auto"/>
        <w:ind w:right="51"/>
        <w:jc w:val="both"/>
      </w:pPr>
      <w:r w:rsidRPr="00452B91">
        <w:rPr>
          <w:rFonts w:ascii="Palatino Linotype" w:eastAsia="Palatino Linotype" w:hAnsi="Palatino Linotype" w:cs="Palatino Linotype"/>
        </w:rPr>
        <w:lastRenderedPageBreak/>
        <w:t xml:space="preserve">Atento a lo anterior, este Órgano Garante considera que no se tiene por colmado el requerimiento del particular; en razón de que, existen otras unidades o áreas administrativas que pudieran generar, poseer, administrar la información solicitada, conforme a sus atribuciones establecidas en los preceptos legales antes señalados; por ello, la respuesta emitida carece de certeza jurídica acerca de que </w:t>
      </w:r>
      <w:r w:rsidRPr="00452B91">
        <w:rPr>
          <w:rFonts w:ascii="Palatino Linotype" w:eastAsia="Palatino Linotype" w:hAnsi="Palatino Linotype" w:cs="Palatino Linotype"/>
          <w:b/>
        </w:rPr>
        <w:t xml:space="preserve">EL SUJETO OBLIGADO </w:t>
      </w:r>
      <w:r w:rsidRPr="00452B91">
        <w:rPr>
          <w:rFonts w:ascii="Palatino Linotype" w:eastAsia="Palatino Linotype" w:hAnsi="Palatino Linotype" w:cs="Palatino Linotype"/>
        </w:rPr>
        <w:t>no cuente con la información requerida,  lo anterior con fundamento en el artículo 9 fracción I de la Ley de la materia que dispone:</w:t>
      </w:r>
    </w:p>
    <w:p w14:paraId="12681F12" w14:textId="77777777" w:rsidR="00BD584A" w:rsidRPr="00452B91" w:rsidRDefault="005A341C" w:rsidP="00452B91">
      <w:pPr>
        <w:ind w:left="709" w:right="1038"/>
        <w:jc w:val="both"/>
      </w:pPr>
      <w:r w:rsidRPr="00452B91">
        <w:rPr>
          <w:rFonts w:ascii="Palatino Linotype" w:eastAsia="Palatino Linotype" w:hAnsi="Palatino Linotype" w:cs="Palatino Linotype"/>
          <w:b/>
          <w:i/>
          <w:sz w:val="22"/>
          <w:szCs w:val="22"/>
        </w:rPr>
        <w:t xml:space="preserve">“Artículo 9. </w:t>
      </w:r>
      <w:r w:rsidRPr="00452B91">
        <w:rPr>
          <w:rFonts w:ascii="Palatino Linotype" w:eastAsia="Palatino Linotype" w:hAnsi="Palatino Linotype" w:cs="Palatino Linotype"/>
          <w:i/>
          <w:sz w:val="22"/>
          <w:szCs w:val="22"/>
        </w:rPr>
        <w:t>El Instituto deberá regir su funcionamiento de acuerdo a los siguientes principios:</w:t>
      </w:r>
    </w:p>
    <w:p w14:paraId="3F7CA3B2" w14:textId="77777777" w:rsidR="00BD584A" w:rsidRPr="00452B91" w:rsidRDefault="00BD584A" w:rsidP="00452B91"/>
    <w:p w14:paraId="2BA0B94F" w14:textId="77777777" w:rsidR="00BD584A" w:rsidRPr="00452B91" w:rsidRDefault="005A341C" w:rsidP="00452B91">
      <w:pPr>
        <w:ind w:left="709" w:right="1038"/>
        <w:jc w:val="both"/>
      </w:pPr>
      <w:r w:rsidRPr="00452B91">
        <w:rPr>
          <w:rFonts w:ascii="Palatino Linotype" w:eastAsia="Palatino Linotype" w:hAnsi="Palatino Linotype" w:cs="Palatino Linotype"/>
          <w:b/>
          <w:i/>
          <w:sz w:val="22"/>
          <w:szCs w:val="22"/>
        </w:rPr>
        <w:t>I. Certeza:</w:t>
      </w:r>
      <w:r w:rsidRPr="00452B91">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452B91">
        <w:rPr>
          <w:rFonts w:ascii="Palatino Linotype" w:eastAsia="Palatino Linotype" w:hAnsi="Palatino Linotype" w:cs="Palatino Linotype"/>
          <w:b/>
          <w:i/>
          <w:sz w:val="22"/>
          <w:szCs w:val="22"/>
        </w:rPr>
        <w:t>”</w:t>
      </w:r>
    </w:p>
    <w:p w14:paraId="4FF1D6C7" w14:textId="77777777" w:rsidR="00BD584A" w:rsidRPr="00452B91" w:rsidRDefault="005A341C" w:rsidP="00452B91">
      <w:pPr>
        <w:spacing w:before="240" w:after="240"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De la interpretación del artículo antes señalado, se advierte que este Órgano Garante debe  salvaguardar el derecho de acceso a la información pública y, toda vez que, existe fuente obligacional que constriñe al</w:t>
      </w:r>
      <w:r w:rsidRPr="00452B91">
        <w:rPr>
          <w:rFonts w:ascii="Palatino Linotype" w:eastAsia="Palatino Linotype" w:hAnsi="Palatino Linotype" w:cs="Palatino Linotype"/>
          <w:b/>
        </w:rPr>
        <w:t xml:space="preserve"> SUJETO OBLIGADO </w:t>
      </w:r>
      <w:r w:rsidRPr="00452B91">
        <w:rPr>
          <w:rFonts w:ascii="Palatino Linotype" w:eastAsia="Palatino Linotype" w:hAnsi="Palatino Linotype" w:cs="Palatino Linotype"/>
        </w:rPr>
        <w:t xml:space="preserve">para poder generar, administrar o poseer la  información en el ejercicio de sus funciones y la cual fue requerida por  </w:t>
      </w:r>
      <w:r w:rsidRPr="00452B91">
        <w:rPr>
          <w:rFonts w:ascii="Palatino Linotype" w:eastAsia="Palatino Linotype" w:hAnsi="Palatino Linotype" w:cs="Palatino Linotype"/>
          <w:b/>
        </w:rPr>
        <w:t>EL RECURRENTE</w:t>
      </w:r>
      <w:r w:rsidRPr="00452B91">
        <w:rPr>
          <w:rFonts w:ascii="Palatino Linotype" w:eastAsia="Palatino Linotype" w:hAnsi="Palatino Linotype" w:cs="Palatino Linotype"/>
        </w:rPr>
        <w:t xml:space="preserve"> en su solicitud, esta Ponencia Resolutora, determina </w:t>
      </w:r>
      <w:r w:rsidRPr="00452B91">
        <w:rPr>
          <w:rFonts w:ascii="Palatino Linotype" w:eastAsia="Palatino Linotype" w:hAnsi="Palatino Linotype" w:cs="Palatino Linotype"/>
          <w:b/>
        </w:rPr>
        <w:t xml:space="preserve">MODIFICAR </w:t>
      </w:r>
      <w:r w:rsidRPr="00452B91">
        <w:rPr>
          <w:rFonts w:ascii="Palatino Linotype" w:eastAsia="Palatino Linotype" w:hAnsi="Palatino Linotype" w:cs="Palatino Linotype"/>
        </w:rPr>
        <w:t xml:space="preserve">la respuesta del </w:t>
      </w:r>
      <w:r w:rsidRPr="00452B91">
        <w:rPr>
          <w:rFonts w:ascii="Palatino Linotype" w:eastAsia="Palatino Linotype" w:hAnsi="Palatino Linotype" w:cs="Palatino Linotype"/>
          <w:b/>
        </w:rPr>
        <w:t>SUJETO OBLIGADO</w:t>
      </w:r>
      <w:r w:rsidRPr="00452B91">
        <w:rPr>
          <w:rFonts w:ascii="Palatino Linotype" w:eastAsia="Palatino Linotype" w:hAnsi="Palatino Linotype" w:cs="Palatino Linotype"/>
        </w:rPr>
        <w:t xml:space="preserve"> y </w:t>
      </w:r>
      <w:r w:rsidRPr="00452B91">
        <w:rPr>
          <w:rFonts w:ascii="Palatino Linotype" w:eastAsia="Palatino Linotype" w:hAnsi="Palatino Linotype" w:cs="Palatino Linotype"/>
          <w:b/>
        </w:rPr>
        <w:t>ordenarle</w:t>
      </w:r>
      <w:r w:rsidRPr="00452B91">
        <w:rPr>
          <w:rFonts w:ascii="Palatino Linotype" w:eastAsia="Palatino Linotype" w:hAnsi="Palatino Linotype" w:cs="Palatino Linotype"/>
        </w:rPr>
        <w:t xml:space="preserve"> realizar una </w:t>
      </w:r>
      <w:r w:rsidRPr="00452B91">
        <w:rPr>
          <w:rFonts w:ascii="Palatino Linotype" w:eastAsia="Palatino Linotype" w:hAnsi="Palatino Linotype" w:cs="Palatino Linotype"/>
          <w:b/>
          <w:u w:val="single"/>
        </w:rPr>
        <w:t>búsqueda exhaustiva</w:t>
      </w:r>
      <w:r w:rsidRPr="00452B91">
        <w:rPr>
          <w:rFonts w:ascii="Palatino Linotype" w:eastAsia="Palatino Linotype" w:hAnsi="Palatino Linotype" w:cs="Palatino Linotype"/>
        </w:rPr>
        <w:t xml:space="preserve"> y razonable de la información solicitada de conformidad con el artículo 162 de la Ley de Transparencia y Acceso a la Información Pública del Estado de México y Municipios, a través de los </w:t>
      </w:r>
      <w:r w:rsidRPr="00452B91">
        <w:rPr>
          <w:rFonts w:ascii="Palatino Linotype" w:eastAsia="Palatino Linotype" w:hAnsi="Palatino Linotype" w:cs="Palatino Linotype"/>
          <w:b/>
        </w:rPr>
        <w:t xml:space="preserve">Servidores Públicos Habilitados Competentes </w:t>
      </w:r>
      <w:r w:rsidRPr="00452B91">
        <w:rPr>
          <w:rFonts w:ascii="Palatino Linotype" w:eastAsia="Palatino Linotype" w:hAnsi="Palatino Linotype" w:cs="Palatino Linotype"/>
        </w:rPr>
        <w:t xml:space="preserve">y haga entrega de la misma al </w:t>
      </w:r>
      <w:r w:rsidRPr="00452B91">
        <w:rPr>
          <w:rFonts w:ascii="Palatino Linotype" w:eastAsia="Palatino Linotype" w:hAnsi="Palatino Linotype" w:cs="Palatino Linotype"/>
          <w:b/>
        </w:rPr>
        <w:t>RECURRENTE</w:t>
      </w:r>
      <w:r w:rsidRPr="00452B91">
        <w:rPr>
          <w:rFonts w:ascii="Palatino Linotype" w:eastAsia="Palatino Linotype" w:hAnsi="Palatino Linotype" w:cs="Palatino Linotype"/>
        </w:rPr>
        <w:t xml:space="preserve"> en </w:t>
      </w:r>
      <w:r w:rsidRPr="00452B91">
        <w:rPr>
          <w:rFonts w:ascii="Palatino Linotype" w:eastAsia="Palatino Linotype" w:hAnsi="Palatino Linotype" w:cs="Palatino Linotype"/>
          <w:b/>
        </w:rPr>
        <w:t>versión pública</w:t>
      </w:r>
      <w:r w:rsidRPr="00452B91">
        <w:rPr>
          <w:rFonts w:ascii="Palatino Linotype" w:eastAsia="Palatino Linotype" w:hAnsi="Palatino Linotype" w:cs="Palatino Linotype"/>
        </w:rPr>
        <w:t xml:space="preserve"> de ser procedente. </w:t>
      </w:r>
    </w:p>
    <w:p w14:paraId="0BC96A49" w14:textId="77777777"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lastRenderedPageBreak/>
        <w:t xml:space="preserve">Es importante mencionar que para el caso de que los documentos de los cuales se ordena su entrega, contengan datos personales susceptibles de ser testados, deberán ser entregados en </w:t>
      </w:r>
      <w:r w:rsidRPr="00452B91">
        <w:rPr>
          <w:rFonts w:ascii="Palatino Linotype" w:eastAsia="Palatino Linotype" w:hAnsi="Palatino Linotype" w:cs="Palatino Linotype"/>
          <w:b/>
        </w:rPr>
        <w:t>versión pública</w:t>
      </w:r>
      <w:r w:rsidRPr="00452B91">
        <w:rPr>
          <w:rFonts w:ascii="Palatino Linotype" w:eastAsia="Palatino Linotype" w:hAnsi="Palatino Linotype" w:cs="Palatino Linotype"/>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8FF2BC4" w14:textId="77777777" w:rsidR="00BD584A" w:rsidRPr="00452B91" w:rsidRDefault="00BD584A" w:rsidP="00452B91">
      <w:pPr>
        <w:spacing w:line="360" w:lineRule="auto"/>
        <w:jc w:val="both"/>
        <w:rPr>
          <w:rFonts w:ascii="Palatino Linotype" w:eastAsia="Palatino Linotype" w:hAnsi="Palatino Linotype" w:cs="Palatino Linotype"/>
        </w:rPr>
      </w:pPr>
    </w:p>
    <w:p w14:paraId="003ECF5B" w14:textId="77777777"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14:paraId="04A57EAC" w14:textId="77777777" w:rsidR="00BD584A" w:rsidRPr="00452B91" w:rsidRDefault="00BD584A" w:rsidP="00452B91">
      <w:pPr>
        <w:ind w:right="899"/>
        <w:jc w:val="both"/>
        <w:rPr>
          <w:rFonts w:ascii="Palatino Linotype" w:eastAsia="Palatino Linotype" w:hAnsi="Palatino Linotype" w:cs="Palatino Linotype"/>
        </w:rPr>
      </w:pPr>
    </w:p>
    <w:p w14:paraId="5BF95132" w14:textId="77777777" w:rsidR="00BD584A" w:rsidRPr="00452B91" w:rsidRDefault="005A341C" w:rsidP="00452B91">
      <w:pPr>
        <w:ind w:left="851" w:right="901"/>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 xml:space="preserve">“Artículo 3. </w:t>
      </w:r>
      <w:r w:rsidRPr="00452B91">
        <w:rPr>
          <w:rFonts w:ascii="Palatino Linotype" w:eastAsia="Palatino Linotype" w:hAnsi="Palatino Linotype" w:cs="Palatino Linotype"/>
          <w:i/>
          <w:sz w:val="22"/>
          <w:szCs w:val="22"/>
        </w:rPr>
        <w:t xml:space="preserve">Para los efectos de la presente Ley se entenderá por: </w:t>
      </w:r>
    </w:p>
    <w:p w14:paraId="06ACC2AC" w14:textId="77777777" w:rsidR="00BD584A" w:rsidRPr="00452B91" w:rsidRDefault="005A341C" w:rsidP="00452B91">
      <w:pPr>
        <w:ind w:left="851"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IX.</w:t>
      </w:r>
      <w:r w:rsidRPr="00452B91">
        <w:rPr>
          <w:rFonts w:ascii="Palatino Linotype" w:eastAsia="Palatino Linotype" w:hAnsi="Palatino Linotype" w:cs="Palatino Linotype"/>
          <w:i/>
          <w:sz w:val="22"/>
          <w:szCs w:val="22"/>
        </w:rPr>
        <w:t xml:space="preserve"> </w:t>
      </w:r>
      <w:r w:rsidRPr="00452B91">
        <w:rPr>
          <w:rFonts w:ascii="Palatino Linotype" w:eastAsia="Palatino Linotype" w:hAnsi="Palatino Linotype" w:cs="Palatino Linotype"/>
          <w:b/>
          <w:i/>
          <w:sz w:val="22"/>
          <w:szCs w:val="22"/>
        </w:rPr>
        <w:t xml:space="preserve">Datos personales: </w:t>
      </w:r>
      <w:r w:rsidRPr="00452B91">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2CB4E31A" w14:textId="77777777" w:rsidR="00BD584A" w:rsidRPr="00452B91" w:rsidRDefault="005A341C" w:rsidP="00452B91">
      <w:pPr>
        <w:ind w:left="851"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XX.</w:t>
      </w:r>
      <w:r w:rsidRPr="00452B91">
        <w:rPr>
          <w:rFonts w:ascii="Palatino Linotype" w:eastAsia="Palatino Linotype" w:hAnsi="Palatino Linotype" w:cs="Palatino Linotype"/>
          <w:i/>
          <w:sz w:val="22"/>
          <w:szCs w:val="22"/>
        </w:rPr>
        <w:t xml:space="preserve"> </w:t>
      </w:r>
      <w:r w:rsidRPr="00452B91">
        <w:rPr>
          <w:rFonts w:ascii="Palatino Linotype" w:eastAsia="Palatino Linotype" w:hAnsi="Palatino Linotype" w:cs="Palatino Linotype"/>
          <w:b/>
          <w:i/>
          <w:sz w:val="22"/>
          <w:szCs w:val="22"/>
        </w:rPr>
        <w:t>Información clasificada:</w:t>
      </w:r>
      <w:r w:rsidRPr="00452B91">
        <w:rPr>
          <w:rFonts w:ascii="Palatino Linotype" w:eastAsia="Palatino Linotype" w:hAnsi="Palatino Linotype" w:cs="Palatino Linotype"/>
          <w:i/>
          <w:sz w:val="22"/>
          <w:szCs w:val="22"/>
        </w:rPr>
        <w:t xml:space="preserve"> Aquella considerada por la presente Ley como reservada o confidencial; </w:t>
      </w:r>
    </w:p>
    <w:p w14:paraId="32793323" w14:textId="77777777" w:rsidR="00BD584A" w:rsidRPr="00452B91" w:rsidRDefault="005A341C" w:rsidP="00452B91">
      <w:pPr>
        <w:ind w:left="851"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XXI.</w:t>
      </w:r>
      <w:r w:rsidRPr="00452B91">
        <w:rPr>
          <w:rFonts w:ascii="Palatino Linotype" w:eastAsia="Palatino Linotype" w:hAnsi="Palatino Linotype" w:cs="Palatino Linotype"/>
          <w:i/>
          <w:sz w:val="22"/>
          <w:szCs w:val="22"/>
        </w:rPr>
        <w:t xml:space="preserve"> </w:t>
      </w:r>
      <w:r w:rsidRPr="00452B91">
        <w:rPr>
          <w:rFonts w:ascii="Palatino Linotype" w:eastAsia="Palatino Linotype" w:hAnsi="Palatino Linotype" w:cs="Palatino Linotype"/>
          <w:b/>
          <w:i/>
          <w:sz w:val="22"/>
          <w:szCs w:val="22"/>
        </w:rPr>
        <w:t>Información confidencial</w:t>
      </w:r>
      <w:r w:rsidRPr="00452B91">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EABA59F" w14:textId="77777777" w:rsidR="00BD584A" w:rsidRPr="00452B91" w:rsidRDefault="005A341C" w:rsidP="00452B91">
      <w:pPr>
        <w:ind w:left="851"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lastRenderedPageBreak/>
        <w:t>XLV. Versión pública:</w:t>
      </w:r>
      <w:r w:rsidRPr="00452B91">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49FDB1C8" w14:textId="77777777" w:rsidR="00BD584A" w:rsidRPr="00452B91" w:rsidRDefault="005A341C" w:rsidP="00452B91">
      <w:pPr>
        <w:ind w:left="851"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Artículo 51.</w:t>
      </w:r>
      <w:r w:rsidRPr="00452B91">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52B91">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452B91">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249A2A96" w14:textId="77777777" w:rsidR="00BD584A" w:rsidRPr="00452B91" w:rsidRDefault="005A341C" w:rsidP="00452B91">
      <w:pPr>
        <w:ind w:left="851"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Artículo 52.</w:t>
      </w:r>
      <w:r w:rsidRPr="00452B91">
        <w:rPr>
          <w:rFonts w:ascii="Palatino Linotype" w:eastAsia="Palatino Linotype" w:hAnsi="Palatino Linotype" w:cs="Palatino Linotype"/>
          <w:i/>
          <w:sz w:val="22"/>
          <w:szCs w:val="22"/>
        </w:rPr>
        <w:t xml:space="preserve"> Las solicitudes de acceso a la información y las respuestas que se les dé, incluyendo, en su caso, </w:t>
      </w:r>
      <w:r w:rsidRPr="00452B91">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52B91">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496089AB" w14:textId="77777777" w:rsidR="00BD584A" w:rsidRPr="00452B91" w:rsidRDefault="005A341C" w:rsidP="00452B91">
      <w:pPr>
        <w:ind w:right="899" w:firstLine="708"/>
        <w:jc w:val="both"/>
        <w:rPr>
          <w:rFonts w:ascii="Palatino Linotype" w:eastAsia="Palatino Linotype" w:hAnsi="Palatino Linotype" w:cs="Palatino Linotype"/>
          <w:sz w:val="22"/>
          <w:szCs w:val="22"/>
        </w:rPr>
      </w:pPr>
      <w:r w:rsidRPr="00452B91">
        <w:rPr>
          <w:rFonts w:ascii="Palatino Linotype" w:eastAsia="Palatino Linotype" w:hAnsi="Palatino Linotype" w:cs="Palatino Linotype"/>
          <w:sz w:val="22"/>
          <w:szCs w:val="22"/>
        </w:rPr>
        <w:t>(Énfasis añadido)</w:t>
      </w:r>
    </w:p>
    <w:p w14:paraId="178E4269" w14:textId="77777777" w:rsidR="00BD584A" w:rsidRPr="00452B91" w:rsidRDefault="00BD584A" w:rsidP="00452B91">
      <w:pPr>
        <w:ind w:right="899" w:firstLine="708"/>
        <w:jc w:val="both"/>
        <w:rPr>
          <w:rFonts w:ascii="Palatino Linotype" w:eastAsia="Palatino Linotype" w:hAnsi="Palatino Linotype" w:cs="Palatino Linotype"/>
        </w:rPr>
      </w:pPr>
    </w:p>
    <w:p w14:paraId="47966F17" w14:textId="77777777"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130A0FD" w14:textId="77777777" w:rsidR="00BD584A" w:rsidRPr="00452B91" w:rsidRDefault="00BD584A" w:rsidP="00452B91">
      <w:pPr>
        <w:jc w:val="both"/>
        <w:rPr>
          <w:rFonts w:ascii="Palatino Linotype" w:eastAsia="Palatino Linotype" w:hAnsi="Palatino Linotype" w:cs="Palatino Linotype"/>
        </w:rPr>
      </w:pPr>
    </w:p>
    <w:p w14:paraId="719D0FBB"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“Artículo 22.</w:t>
      </w:r>
      <w:r w:rsidRPr="00452B91">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317162A9"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Artículo 38.</w:t>
      </w:r>
      <w:r w:rsidRPr="00452B91">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w:t>
      </w:r>
      <w:r w:rsidRPr="00452B91">
        <w:rPr>
          <w:rFonts w:ascii="Palatino Linotype" w:eastAsia="Palatino Linotype" w:hAnsi="Palatino Linotype" w:cs="Palatino Linotype"/>
          <w:i/>
          <w:sz w:val="22"/>
          <w:szCs w:val="22"/>
        </w:rPr>
        <w:lastRenderedPageBreak/>
        <w:t>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52B91">
        <w:rPr>
          <w:rFonts w:ascii="Palatino Linotype" w:eastAsia="Palatino Linotype" w:hAnsi="Palatino Linotype" w:cs="Palatino Linotype"/>
          <w:b/>
          <w:i/>
          <w:sz w:val="22"/>
          <w:szCs w:val="22"/>
        </w:rPr>
        <w:t>”</w:t>
      </w:r>
      <w:r w:rsidRPr="00452B91">
        <w:rPr>
          <w:rFonts w:ascii="Palatino Linotype" w:eastAsia="Palatino Linotype" w:hAnsi="Palatino Linotype" w:cs="Palatino Linotype"/>
          <w:i/>
          <w:sz w:val="22"/>
          <w:szCs w:val="22"/>
        </w:rPr>
        <w:t xml:space="preserve"> (Sic)</w:t>
      </w:r>
    </w:p>
    <w:p w14:paraId="65E2AC42" w14:textId="77777777" w:rsidR="00BD584A" w:rsidRPr="00452B91" w:rsidRDefault="00BD584A" w:rsidP="00452B91">
      <w:pPr>
        <w:ind w:left="851" w:right="850"/>
        <w:jc w:val="both"/>
        <w:rPr>
          <w:rFonts w:ascii="Palatino Linotype" w:eastAsia="Palatino Linotype" w:hAnsi="Palatino Linotype" w:cs="Palatino Linotype"/>
          <w:i/>
          <w:sz w:val="22"/>
          <w:szCs w:val="22"/>
        </w:rPr>
      </w:pPr>
    </w:p>
    <w:p w14:paraId="43F74907" w14:textId="77777777"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0B95E59" w14:textId="77777777" w:rsidR="00BD584A" w:rsidRPr="00452B91" w:rsidRDefault="00BD584A" w:rsidP="00452B91">
      <w:pPr>
        <w:spacing w:line="360" w:lineRule="auto"/>
        <w:jc w:val="both"/>
        <w:rPr>
          <w:rFonts w:ascii="Palatino Linotype" w:eastAsia="Palatino Linotype" w:hAnsi="Palatino Linotype" w:cs="Palatino Linotype"/>
        </w:rPr>
      </w:pPr>
    </w:p>
    <w:p w14:paraId="626536C6" w14:textId="77777777"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52B91">
        <w:rPr>
          <w:rFonts w:ascii="Palatino Linotype" w:eastAsia="Palatino Linotype" w:hAnsi="Palatino Linotype" w:cs="Palatino Linotype"/>
          <w:b/>
        </w:rPr>
        <w:t>EL SUJETO OBLIGADO.</w:t>
      </w:r>
    </w:p>
    <w:p w14:paraId="5FF33DD8" w14:textId="77777777" w:rsidR="00BD584A" w:rsidRPr="00452B91" w:rsidRDefault="00BD584A" w:rsidP="00452B91">
      <w:pPr>
        <w:spacing w:line="360" w:lineRule="auto"/>
        <w:jc w:val="both"/>
        <w:rPr>
          <w:rFonts w:ascii="Palatino Linotype" w:eastAsia="Palatino Linotype" w:hAnsi="Palatino Linotype" w:cs="Palatino Linotype"/>
        </w:rPr>
      </w:pPr>
    </w:p>
    <w:p w14:paraId="11986CB3" w14:textId="77777777"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F8ED1B7" w14:textId="77777777" w:rsidR="00BD584A" w:rsidRPr="00452B91" w:rsidRDefault="00BD584A" w:rsidP="00452B91">
      <w:pPr>
        <w:spacing w:line="360" w:lineRule="auto"/>
        <w:jc w:val="both"/>
        <w:rPr>
          <w:rFonts w:ascii="Palatino Linotype" w:eastAsia="Palatino Linotype" w:hAnsi="Palatino Linotype" w:cs="Palatino Linotype"/>
        </w:rPr>
      </w:pPr>
    </w:p>
    <w:p w14:paraId="45102648" w14:textId="77777777"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179978F7" w14:textId="77777777" w:rsidR="00BD584A" w:rsidRPr="00452B91" w:rsidRDefault="00BD584A" w:rsidP="00452B91">
      <w:pPr>
        <w:jc w:val="both"/>
        <w:rPr>
          <w:rFonts w:ascii="Palatino Linotype" w:eastAsia="Palatino Linotype" w:hAnsi="Palatino Linotype" w:cs="Palatino Linotype"/>
        </w:rPr>
      </w:pPr>
    </w:p>
    <w:p w14:paraId="75C26947"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 xml:space="preserve">“Artículo 49. </w:t>
      </w:r>
      <w:r w:rsidRPr="00452B91">
        <w:rPr>
          <w:rFonts w:ascii="Palatino Linotype" w:eastAsia="Palatino Linotype" w:hAnsi="Palatino Linotype" w:cs="Palatino Linotype"/>
          <w:i/>
          <w:sz w:val="22"/>
          <w:szCs w:val="22"/>
        </w:rPr>
        <w:t>Los Comités de Transparencia tendrán las siguientes atribuciones:</w:t>
      </w:r>
    </w:p>
    <w:p w14:paraId="3E4DC8EC"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VIII.</w:t>
      </w:r>
      <w:r w:rsidRPr="00452B91">
        <w:rPr>
          <w:rFonts w:ascii="Palatino Linotype" w:eastAsia="Palatino Linotype" w:hAnsi="Palatino Linotype" w:cs="Palatino Linotype"/>
          <w:i/>
          <w:sz w:val="22"/>
          <w:szCs w:val="22"/>
        </w:rPr>
        <w:t xml:space="preserve"> Aprobar, modificar o revocar la clasificación de la información;</w:t>
      </w:r>
    </w:p>
    <w:p w14:paraId="4921D096"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Artículo 132.</w:t>
      </w:r>
      <w:r w:rsidRPr="00452B91">
        <w:rPr>
          <w:rFonts w:ascii="Palatino Linotype" w:eastAsia="Palatino Linotype" w:hAnsi="Palatino Linotype" w:cs="Palatino Linotype"/>
          <w:i/>
          <w:sz w:val="22"/>
          <w:szCs w:val="22"/>
        </w:rPr>
        <w:t xml:space="preserve"> La clasificación de la información se llevará a cabo en el momento en que:</w:t>
      </w:r>
    </w:p>
    <w:p w14:paraId="314BF5F1"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I.</w:t>
      </w:r>
      <w:r w:rsidRPr="00452B91">
        <w:rPr>
          <w:rFonts w:ascii="Palatino Linotype" w:eastAsia="Palatino Linotype" w:hAnsi="Palatino Linotype" w:cs="Palatino Linotype"/>
          <w:i/>
          <w:sz w:val="22"/>
          <w:szCs w:val="22"/>
        </w:rPr>
        <w:t xml:space="preserve"> Se reciba una solicitud de acceso a la información;</w:t>
      </w:r>
    </w:p>
    <w:p w14:paraId="4A26E429"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II.</w:t>
      </w:r>
      <w:r w:rsidRPr="00452B91">
        <w:rPr>
          <w:rFonts w:ascii="Palatino Linotype" w:eastAsia="Palatino Linotype" w:hAnsi="Palatino Linotype" w:cs="Palatino Linotype"/>
          <w:i/>
          <w:sz w:val="22"/>
          <w:szCs w:val="22"/>
        </w:rPr>
        <w:t xml:space="preserve"> Se determine mediante resolución de autoridad competente; o</w:t>
      </w:r>
    </w:p>
    <w:p w14:paraId="510BC8EB" w14:textId="77777777" w:rsidR="00BD584A" w:rsidRPr="00452B91" w:rsidRDefault="005A341C" w:rsidP="00452B91">
      <w:pPr>
        <w:ind w:left="851" w:right="902"/>
        <w:jc w:val="both"/>
        <w:rPr>
          <w:rFonts w:ascii="Palatino Linotype" w:eastAsia="Palatino Linotype" w:hAnsi="Palatino Linotype" w:cs="Palatino Linotype"/>
          <w:b/>
          <w:i/>
          <w:sz w:val="22"/>
          <w:szCs w:val="22"/>
        </w:rPr>
      </w:pPr>
      <w:r w:rsidRPr="00452B91">
        <w:rPr>
          <w:rFonts w:ascii="Palatino Linotype" w:eastAsia="Palatino Linotype" w:hAnsi="Palatino Linotype" w:cs="Palatino Linotype"/>
          <w:i/>
          <w:sz w:val="22"/>
          <w:szCs w:val="22"/>
        </w:rPr>
        <w:t>III. Se generen versiones públicas para dar cumplimiento a las obligaciones de transparencia previstas en esta Ley.</w:t>
      </w:r>
      <w:r w:rsidRPr="00452B91">
        <w:rPr>
          <w:rFonts w:ascii="Palatino Linotype" w:eastAsia="Palatino Linotype" w:hAnsi="Palatino Linotype" w:cs="Palatino Linotype"/>
          <w:b/>
          <w:i/>
          <w:sz w:val="22"/>
          <w:szCs w:val="22"/>
        </w:rPr>
        <w:t>”</w:t>
      </w:r>
    </w:p>
    <w:p w14:paraId="4C27B8E9"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“Segundo.-</w:t>
      </w:r>
      <w:r w:rsidRPr="00452B91">
        <w:rPr>
          <w:rFonts w:ascii="Palatino Linotype" w:eastAsia="Palatino Linotype" w:hAnsi="Palatino Linotype" w:cs="Palatino Linotype"/>
          <w:i/>
          <w:sz w:val="22"/>
          <w:szCs w:val="22"/>
        </w:rPr>
        <w:t xml:space="preserve"> Para efectos de los presentes Lineamientos Generales, se entenderá por:</w:t>
      </w:r>
    </w:p>
    <w:p w14:paraId="2AED9ECF"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XVIII.</w:t>
      </w:r>
      <w:r w:rsidRPr="00452B91">
        <w:rPr>
          <w:rFonts w:ascii="Palatino Linotype" w:eastAsia="Palatino Linotype" w:hAnsi="Palatino Linotype" w:cs="Palatino Linotype"/>
          <w:i/>
          <w:sz w:val="22"/>
          <w:szCs w:val="22"/>
        </w:rPr>
        <w:t xml:space="preserve">  </w:t>
      </w:r>
      <w:r w:rsidRPr="00452B91">
        <w:rPr>
          <w:rFonts w:ascii="Palatino Linotype" w:eastAsia="Palatino Linotype" w:hAnsi="Palatino Linotype" w:cs="Palatino Linotype"/>
          <w:b/>
          <w:i/>
          <w:sz w:val="22"/>
          <w:szCs w:val="22"/>
        </w:rPr>
        <w:t>Versión pública:</w:t>
      </w:r>
      <w:r w:rsidRPr="00452B91">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8F22EB5"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Cuarto.</w:t>
      </w:r>
      <w:r w:rsidRPr="00452B91">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DF6C8D7"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7F83E04E"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lastRenderedPageBreak/>
        <w:t>Quinto.</w:t>
      </w:r>
      <w:r w:rsidRPr="00452B91">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01410873"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Sexto.</w:t>
      </w:r>
      <w:r w:rsidRPr="00452B91">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6EDDDD9"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E649EE7"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Séptimo.</w:t>
      </w:r>
      <w:r w:rsidRPr="00452B91">
        <w:rPr>
          <w:rFonts w:ascii="Palatino Linotype" w:eastAsia="Palatino Linotype" w:hAnsi="Palatino Linotype" w:cs="Palatino Linotype"/>
          <w:i/>
          <w:sz w:val="22"/>
          <w:szCs w:val="22"/>
        </w:rPr>
        <w:t xml:space="preserve"> La clasificación de la información se llevará a cabo en el momento en que:</w:t>
      </w:r>
    </w:p>
    <w:p w14:paraId="5530FDC0"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I.</w:t>
      </w:r>
      <w:r w:rsidRPr="00452B91">
        <w:rPr>
          <w:rFonts w:ascii="Palatino Linotype" w:eastAsia="Palatino Linotype" w:hAnsi="Palatino Linotype" w:cs="Palatino Linotype"/>
          <w:i/>
          <w:sz w:val="22"/>
          <w:szCs w:val="22"/>
        </w:rPr>
        <w:t xml:space="preserve">        Se reciba una solicitud de acceso a la información;</w:t>
      </w:r>
    </w:p>
    <w:p w14:paraId="538395ED"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II.</w:t>
      </w:r>
      <w:r w:rsidRPr="00452B91">
        <w:rPr>
          <w:rFonts w:ascii="Palatino Linotype" w:eastAsia="Palatino Linotype" w:hAnsi="Palatino Linotype" w:cs="Palatino Linotype"/>
          <w:i/>
          <w:sz w:val="22"/>
          <w:szCs w:val="22"/>
        </w:rPr>
        <w:t xml:space="preserve">       Se determine mediante resolución de autoridad competente, o</w:t>
      </w:r>
    </w:p>
    <w:p w14:paraId="7A1B8381"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III.</w:t>
      </w:r>
      <w:r w:rsidRPr="00452B91">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0C90E6F9"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2DF9A2B8"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Octavo.</w:t>
      </w:r>
      <w:r w:rsidRPr="00452B91">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CE43287"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39733C09"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14D2FAB1"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7CE80E78"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6D801E4E"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lastRenderedPageBreak/>
        <w:t>Noveno.</w:t>
      </w:r>
      <w:r w:rsidRPr="00452B91">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7179B55"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b/>
          <w:i/>
          <w:sz w:val="22"/>
          <w:szCs w:val="22"/>
        </w:rPr>
        <w:t>Décimo.</w:t>
      </w:r>
      <w:r w:rsidRPr="00452B91">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0FAEF59B" w14:textId="77777777" w:rsidR="00BD584A" w:rsidRPr="00452B91" w:rsidRDefault="005A341C" w:rsidP="00452B91">
      <w:pPr>
        <w:ind w:left="851" w:right="902"/>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4610FA19" w14:textId="77777777" w:rsidR="00BD584A" w:rsidRPr="00452B91" w:rsidRDefault="005A341C" w:rsidP="00452B91">
      <w:pPr>
        <w:ind w:left="851" w:right="899"/>
        <w:jc w:val="both"/>
        <w:rPr>
          <w:rFonts w:ascii="Palatino Linotype" w:eastAsia="Palatino Linotype" w:hAnsi="Palatino Linotype" w:cs="Palatino Linotype"/>
          <w:b/>
          <w:i/>
          <w:sz w:val="22"/>
          <w:szCs w:val="22"/>
        </w:rPr>
      </w:pPr>
      <w:r w:rsidRPr="00452B91">
        <w:rPr>
          <w:rFonts w:ascii="Palatino Linotype" w:eastAsia="Palatino Linotype" w:hAnsi="Palatino Linotype" w:cs="Palatino Linotype"/>
          <w:b/>
          <w:i/>
          <w:sz w:val="22"/>
          <w:szCs w:val="22"/>
        </w:rPr>
        <w:t>Décimo primero.</w:t>
      </w:r>
      <w:r w:rsidRPr="00452B91">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52B91">
        <w:rPr>
          <w:rFonts w:ascii="Palatino Linotype" w:eastAsia="Palatino Linotype" w:hAnsi="Palatino Linotype" w:cs="Palatino Linotype"/>
          <w:b/>
          <w:i/>
          <w:sz w:val="22"/>
          <w:szCs w:val="22"/>
        </w:rPr>
        <w:t>”</w:t>
      </w:r>
      <w:r w:rsidRPr="00452B91">
        <w:rPr>
          <w:rFonts w:ascii="Palatino Linotype" w:eastAsia="Palatino Linotype" w:hAnsi="Palatino Linotype" w:cs="Palatino Linotype"/>
          <w:i/>
          <w:sz w:val="22"/>
          <w:szCs w:val="22"/>
        </w:rPr>
        <w:t>(Sic)</w:t>
      </w:r>
    </w:p>
    <w:p w14:paraId="1457732B" w14:textId="77777777" w:rsidR="00BD584A" w:rsidRPr="00452B91" w:rsidRDefault="00BD584A" w:rsidP="00452B91">
      <w:pPr>
        <w:ind w:left="851" w:right="899"/>
        <w:jc w:val="both"/>
        <w:rPr>
          <w:rFonts w:ascii="Palatino Linotype" w:eastAsia="Palatino Linotype" w:hAnsi="Palatino Linotype" w:cs="Palatino Linotype"/>
          <w:b/>
          <w:i/>
        </w:rPr>
      </w:pPr>
    </w:p>
    <w:p w14:paraId="79E9E32D" w14:textId="77777777"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CBD3C25" w14:textId="021050EB" w:rsidR="00BD584A" w:rsidRPr="00452B91" w:rsidRDefault="005A341C" w:rsidP="00452B91">
      <w:pPr>
        <w:spacing w:before="240" w:after="240" w:line="360" w:lineRule="auto"/>
        <w:ind w:right="51"/>
        <w:jc w:val="both"/>
        <w:rPr>
          <w:rFonts w:ascii="Palatino Linotype" w:eastAsia="Palatino Linotype" w:hAnsi="Palatino Linotype" w:cs="Palatino Linotype"/>
        </w:rPr>
      </w:pPr>
      <w:r w:rsidRPr="00452B91">
        <w:rPr>
          <w:rFonts w:ascii="Palatino Linotype" w:eastAsia="Palatino Linotype" w:hAnsi="Palatino Linotype" w:cs="Palatino Linotype"/>
        </w:rPr>
        <w:t>Finalmente</w:t>
      </w:r>
      <w:r w:rsidR="00841B1E" w:rsidRPr="00452B91">
        <w:rPr>
          <w:rFonts w:ascii="Palatino Linotype" w:eastAsia="Palatino Linotype" w:hAnsi="Palatino Linotype" w:cs="Palatino Linotype"/>
        </w:rPr>
        <w:t>,</w:t>
      </w:r>
      <w:r w:rsidRPr="00452B91">
        <w:rPr>
          <w:rFonts w:ascii="Palatino Linotype" w:eastAsia="Palatino Linotype" w:hAnsi="Palatino Linotype" w:cs="Palatino Linotype"/>
        </w:rPr>
        <w:t xml:space="preserve"> no escapa de la óptica de este Instituto que dentro de la solicitud hay requerimientos que corresponden a las autoridades del Gobierno del Estado de México la cual no es procedente ordenar su entrega toda vez que como fue señalado por </w:t>
      </w:r>
      <w:r w:rsidRPr="00452B91">
        <w:rPr>
          <w:rFonts w:ascii="Palatino Linotype" w:eastAsia="Palatino Linotype" w:hAnsi="Palatino Linotype" w:cs="Palatino Linotype"/>
          <w:b/>
        </w:rPr>
        <w:t>EL SUJETO OBLIGADO</w:t>
      </w:r>
      <w:r w:rsidRPr="00452B91">
        <w:rPr>
          <w:rFonts w:ascii="Palatino Linotype" w:eastAsia="Palatino Linotype" w:hAnsi="Palatino Linotype" w:cs="Palatino Linotype"/>
        </w:rPr>
        <w:t xml:space="preserve"> en su Informe Justificado no corresponde a información que genere de acuerdo con sus facultades. </w:t>
      </w:r>
    </w:p>
    <w:p w14:paraId="22B92897" w14:textId="77777777" w:rsidR="00BD584A" w:rsidRPr="00452B91" w:rsidRDefault="005A341C" w:rsidP="00452B91">
      <w:pPr>
        <w:spacing w:before="280" w:after="280"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lastRenderedPageBreak/>
        <w:t>Expuesto todo lo anterior</w:t>
      </w:r>
      <w:r w:rsidRPr="00452B91">
        <w:rPr>
          <w:rFonts w:ascii="Palatino Linotype" w:eastAsia="Palatino Linotype" w:hAnsi="Palatino Linotype" w:cs="Palatino Linotype"/>
          <w:b/>
        </w:rPr>
        <w:t xml:space="preserve">, </w:t>
      </w:r>
      <w:r w:rsidRPr="00452B91">
        <w:rPr>
          <w:rFonts w:ascii="Palatino Linotype" w:eastAsia="Palatino Linotype" w:hAnsi="Palatino Linotype" w:cs="Palatino Linotype"/>
        </w:rPr>
        <w:t xml:space="preserve">en términos de lo dispuesto en el artículo 186, fracción III de la Ley de Transparencia y Acceso a la Información Pública del Estado de México y Municipios, el Pleno de este Instituto, estima que las razones o motivos de inconformidad hechos valer por </w:t>
      </w:r>
      <w:r w:rsidRPr="00452B91">
        <w:rPr>
          <w:rFonts w:ascii="Palatino Linotype" w:eastAsia="Palatino Linotype" w:hAnsi="Palatino Linotype" w:cs="Palatino Linotype"/>
          <w:b/>
        </w:rPr>
        <w:t>EL RECURRENTE</w:t>
      </w:r>
      <w:r w:rsidRPr="00452B91">
        <w:rPr>
          <w:rFonts w:ascii="Palatino Linotype" w:eastAsia="Palatino Linotype" w:hAnsi="Palatino Linotype" w:cs="Palatino Linotype"/>
        </w:rPr>
        <w:t xml:space="preserve"> resultan </w:t>
      </w:r>
      <w:r w:rsidRPr="00452B91">
        <w:rPr>
          <w:rFonts w:ascii="Palatino Linotype" w:eastAsia="Palatino Linotype" w:hAnsi="Palatino Linotype" w:cs="Palatino Linotype"/>
          <w:b/>
        </w:rPr>
        <w:t xml:space="preserve">parcialmente fundados </w:t>
      </w:r>
      <w:r w:rsidRPr="00452B91">
        <w:rPr>
          <w:rFonts w:ascii="Palatino Linotype" w:eastAsia="Palatino Linotype" w:hAnsi="Palatino Linotype" w:cs="Palatino Linotype"/>
        </w:rPr>
        <w:t xml:space="preserve">y suficientes para </w:t>
      </w:r>
      <w:r w:rsidRPr="00452B91">
        <w:rPr>
          <w:rFonts w:ascii="Palatino Linotype" w:eastAsia="Palatino Linotype" w:hAnsi="Palatino Linotype" w:cs="Palatino Linotype"/>
          <w:b/>
        </w:rPr>
        <w:t xml:space="preserve">MODIFICAR </w:t>
      </w:r>
      <w:r w:rsidRPr="00452B91">
        <w:rPr>
          <w:rFonts w:ascii="Palatino Linotype" w:eastAsia="Palatino Linotype" w:hAnsi="Palatino Linotype" w:cs="Palatino Linotype"/>
        </w:rPr>
        <w:t xml:space="preserve"> la respuesta del </w:t>
      </w:r>
      <w:r w:rsidRPr="00452B91">
        <w:rPr>
          <w:rFonts w:ascii="Palatino Linotype" w:eastAsia="Palatino Linotype" w:hAnsi="Palatino Linotype" w:cs="Palatino Linotype"/>
          <w:b/>
        </w:rPr>
        <w:t>SUJETO OBLIGADO</w:t>
      </w:r>
      <w:r w:rsidRPr="00452B91">
        <w:rPr>
          <w:rFonts w:ascii="Palatino Linotype" w:eastAsia="Palatino Linotype" w:hAnsi="Palatino Linotype" w:cs="Palatino Linotype"/>
        </w:rPr>
        <w:t xml:space="preserve"> y ordenarle lleve a cabo una búsqueda razonable y exhaustiva y entregue el soporte documental donde conste en versión pública el convenio de colaboración o cualquier otro instrumento jurídico para la celebración de la carrer</w:t>
      </w:r>
      <w:r w:rsidR="00B00CE7" w:rsidRPr="00452B91">
        <w:rPr>
          <w:rFonts w:ascii="Palatino Linotype" w:eastAsia="Palatino Linotype" w:hAnsi="Palatino Linotype" w:cs="Palatino Linotype"/>
        </w:rPr>
        <w:t>a atlética denominada "Maratón R</w:t>
      </w:r>
      <w:r w:rsidRPr="00452B91">
        <w:rPr>
          <w:rFonts w:ascii="Palatino Linotype" w:eastAsia="Palatino Linotype" w:hAnsi="Palatino Linotype" w:cs="Palatino Linotype"/>
        </w:rPr>
        <w:t xml:space="preserve">ock´n Roll </w:t>
      </w:r>
      <w:r w:rsidR="00B00CE7" w:rsidRPr="00452B91">
        <w:rPr>
          <w:rFonts w:ascii="Palatino Linotype" w:eastAsia="Palatino Linotype" w:hAnsi="Palatino Linotype" w:cs="Palatino Linotype"/>
        </w:rPr>
        <w:t>México R</w:t>
      </w:r>
      <w:r w:rsidRPr="00452B91">
        <w:rPr>
          <w:rFonts w:ascii="Palatino Linotype" w:eastAsia="Palatino Linotype" w:hAnsi="Palatino Linotype" w:cs="Palatino Linotype"/>
        </w:rPr>
        <w:t xml:space="preserve">unning series estado de </w:t>
      </w:r>
      <w:r w:rsidR="00B00CE7" w:rsidRPr="00452B91">
        <w:rPr>
          <w:rFonts w:ascii="Palatino Linotype" w:eastAsia="Palatino Linotype" w:hAnsi="Palatino Linotype" w:cs="Palatino Linotype"/>
        </w:rPr>
        <w:t>México</w:t>
      </w:r>
      <w:r w:rsidRPr="00452B91">
        <w:rPr>
          <w:rFonts w:ascii="Palatino Linotype" w:eastAsia="Palatino Linotype" w:hAnsi="Palatino Linotype" w:cs="Palatino Linotype"/>
        </w:rPr>
        <w:t xml:space="preserve">" entre el gobierno municipal de </w:t>
      </w:r>
      <w:r w:rsidR="00B00CE7" w:rsidRPr="00452B91">
        <w:rPr>
          <w:rFonts w:ascii="Palatino Linotype" w:eastAsia="Palatino Linotype" w:hAnsi="Palatino Linotype" w:cs="Palatino Linotype"/>
        </w:rPr>
        <w:t>Metepec</w:t>
      </w:r>
      <w:r w:rsidRPr="00452B91">
        <w:rPr>
          <w:rFonts w:ascii="Palatino Linotype" w:eastAsia="Palatino Linotype" w:hAnsi="Palatino Linotype" w:cs="Palatino Linotype"/>
        </w:rPr>
        <w:t xml:space="preserve"> y/o el </w:t>
      </w:r>
      <w:r w:rsidR="00B00CE7" w:rsidRPr="00452B91">
        <w:rPr>
          <w:rFonts w:ascii="Palatino Linotype" w:eastAsia="Palatino Linotype" w:hAnsi="Palatino Linotype" w:cs="Palatino Linotype"/>
        </w:rPr>
        <w:t xml:space="preserve">Instituto Municipal </w:t>
      </w:r>
      <w:r w:rsidRPr="00452B91">
        <w:rPr>
          <w:rFonts w:ascii="Palatino Linotype" w:eastAsia="Palatino Linotype" w:hAnsi="Palatino Linotype" w:cs="Palatino Linotype"/>
        </w:rPr>
        <w:t xml:space="preserve">de </w:t>
      </w:r>
      <w:r w:rsidR="00B00CE7" w:rsidRPr="00452B91">
        <w:rPr>
          <w:rFonts w:ascii="Palatino Linotype" w:eastAsia="Palatino Linotype" w:hAnsi="Palatino Linotype" w:cs="Palatino Linotype"/>
        </w:rPr>
        <w:t xml:space="preserve">Cultura </w:t>
      </w:r>
      <w:r w:rsidRPr="00452B91">
        <w:rPr>
          <w:rFonts w:ascii="Palatino Linotype" w:eastAsia="Palatino Linotype" w:hAnsi="Palatino Linotype" w:cs="Palatino Linotype"/>
        </w:rPr>
        <w:t xml:space="preserve">física y </w:t>
      </w:r>
      <w:r w:rsidR="00B00CE7" w:rsidRPr="00452B91">
        <w:rPr>
          <w:rFonts w:ascii="Palatino Linotype" w:eastAsia="Palatino Linotype" w:hAnsi="Palatino Linotype" w:cs="Palatino Linotype"/>
        </w:rPr>
        <w:t xml:space="preserve">Deporte </w:t>
      </w:r>
      <w:r w:rsidRPr="00452B91">
        <w:rPr>
          <w:rFonts w:ascii="Palatino Linotype" w:eastAsia="Palatino Linotype" w:hAnsi="Palatino Linotype" w:cs="Palatino Linotype"/>
        </w:rPr>
        <w:t xml:space="preserve">de </w:t>
      </w:r>
      <w:r w:rsidR="00B00CE7" w:rsidRPr="00452B91">
        <w:rPr>
          <w:rFonts w:ascii="Palatino Linotype" w:eastAsia="Palatino Linotype" w:hAnsi="Palatino Linotype" w:cs="Palatino Linotype"/>
        </w:rPr>
        <w:t>Metepec</w:t>
      </w:r>
      <w:r w:rsidRPr="00452B91">
        <w:rPr>
          <w:rFonts w:ascii="Palatino Linotype" w:eastAsia="Palatino Linotype" w:hAnsi="Palatino Linotype" w:cs="Palatino Linotype"/>
        </w:rPr>
        <w:t xml:space="preserve"> y la empresa "As deporte", asimismo, los costos por el evento, el destino de los recursos y el mecanismo para asignar las cuotas de recuperación. </w:t>
      </w:r>
    </w:p>
    <w:p w14:paraId="3456F7D5" w14:textId="4C0427FB" w:rsidR="00BD584A" w:rsidRPr="00452B91" w:rsidRDefault="005A341C" w:rsidP="00452B91">
      <w:pPr>
        <w:spacing w:before="280" w:after="280"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rPr>
        <w:t xml:space="preserve">Es importante precisar </w:t>
      </w:r>
      <w:r w:rsidR="00841B1E" w:rsidRPr="00452B91">
        <w:rPr>
          <w:rFonts w:ascii="Palatino Linotype" w:eastAsia="Palatino Linotype" w:hAnsi="Palatino Linotype" w:cs="Palatino Linotype"/>
        </w:rPr>
        <w:t>que,</w:t>
      </w:r>
      <w:r w:rsidRPr="00452B91">
        <w:rPr>
          <w:rFonts w:ascii="Palatino Linotype" w:eastAsia="Palatino Linotype" w:hAnsi="Palatino Linotype" w:cs="Palatino Linotype"/>
        </w:rPr>
        <w:t xml:space="preserve"> una vez llevado a cabo el procedimiento de búsqueda, contar con la información que se ordena, </w:t>
      </w:r>
      <w:r w:rsidRPr="00452B91">
        <w:rPr>
          <w:rFonts w:ascii="Palatino Linotype" w:eastAsia="Palatino Linotype" w:hAnsi="Palatino Linotype" w:cs="Palatino Linotype"/>
          <w:b/>
        </w:rPr>
        <w:t>EL SUJETO OBLIGADO</w:t>
      </w:r>
      <w:r w:rsidRPr="00452B91">
        <w:rPr>
          <w:rFonts w:ascii="Palatino Linotype" w:eastAsia="Palatino Linotype" w:hAnsi="Palatino Linotype" w:cs="Palatino Linotype"/>
        </w:rPr>
        <w:t xml:space="preserve"> deberá hacérselo saber al </w:t>
      </w:r>
      <w:r w:rsidRPr="00452B91">
        <w:rPr>
          <w:rFonts w:ascii="Palatino Linotype" w:eastAsia="Palatino Linotype" w:hAnsi="Palatino Linotype" w:cs="Palatino Linotype"/>
          <w:b/>
        </w:rPr>
        <w:t>RECURRENTE</w:t>
      </w:r>
      <w:r w:rsidRPr="00452B91">
        <w:rPr>
          <w:rFonts w:ascii="Palatino Linotype" w:eastAsia="Palatino Linotype" w:hAnsi="Palatino Linotype" w:cs="Palatino Linotype"/>
        </w:rPr>
        <w:t xml:space="preserve"> de forma fundada y motivada. </w:t>
      </w:r>
    </w:p>
    <w:p w14:paraId="076E6B18" w14:textId="77777777" w:rsidR="00BD584A" w:rsidRPr="00452B91" w:rsidRDefault="005A341C" w:rsidP="00452B91">
      <w:pPr>
        <w:widowControl w:val="0"/>
        <w:spacing w:line="360" w:lineRule="auto"/>
        <w:jc w:val="both"/>
        <w:rPr>
          <w:rFonts w:ascii="Palatino Linotype" w:eastAsia="Palatino Linotype" w:hAnsi="Palatino Linotype" w:cs="Palatino Linotype"/>
        </w:rPr>
      </w:pPr>
      <w:bookmarkStart w:id="6" w:name="_heading=h.26in1rg" w:colFirst="0" w:colLast="0"/>
      <w:bookmarkEnd w:id="6"/>
      <w:r w:rsidRPr="00452B91">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Información Pública del Estado de México y Municipios, este Pleno:</w:t>
      </w:r>
    </w:p>
    <w:p w14:paraId="320F1A7D" w14:textId="77777777" w:rsidR="00BD584A" w:rsidRPr="00452B91" w:rsidRDefault="00BD584A" w:rsidP="00452B91">
      <w:pPr>
        <w:widowControl w:val="0"/>
        <w:spacing w:line="360" w:lineRule="auto"/>
        <w:jc w:val="both"/>
        <w:rPr>
          <w:rFonts w:ascii="Palatino Linotype" w:eastAsia="Palatino Linotype" w:hAnsi="Palatino Linotype" w:cs="Palatino Linotype"/>
        </w:rPr>
      </w:pPr>
    </w:p>
    <w:p w14:paraId="0877EBAE" w14:textId="77777777" w:rsidR="00BD584A" w:rsidRPr="00452B91" w:rsidRDefault="005A341C" w:rsidP="00452B91">
      <w:pPr>
        <w:spacing w:line="360" w:lineRule="auto"/>
        <w:jc w:val="center"/>
        <w:rPr>
          <w:rFonts w:ascii="Palatino Linotype" w:eastAsia="Palatino Linotype" w:hAnsi="Palatino Linotype" w:cs="Palatino Linotype"/>
          <w:b/>
          <w:sz w:val="28"/>
          <w:szCs w:val="28"/>
        </w:rPr>
      </w:pPr>
      <w:r w:rsidRPr="00452B91">
        <w:rPr>
          <w:rFonts w:ascii="Palatino Linotype" w:eastAsia="Palatino Linotype" w:hAnsi="Palatino Linotype" w:cs="Palatino Linotype"/>
          <w:b/>
          <w:sz w:val="28"/>
          <w:szCs w:val="28"/>
        </w:rPr>
        <w:lastRenderedPageBreak/>
        <w:t>RESUELVE</w:t>
      </w:r>
    </w:p>
    <w:p w14:paraId="7B992383" w14:textId="77777777" w:rsidR="00BD584A" w:rsidRPr="00452B91" w:rsidRDefault="005A341C" w:rsidP="00452B91">
      <w:pPr>
        <w:spacing w:before="240"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b/>
          <w:sz w:val="28"/>
          <w:szCs w:val="28"/>
        </w:rPr>
        <w:t>PRIMERO</w:t>
      </w:r>
      <w:r w:rsidRPr="00452B91">
        <w:rPr>
          <w:rFonts w:ascii="Palatino Linotype" w:eastAsia="Palatino Linotype" w:hAnsi="Palatino Linotype" w:cs="Palatino Linotype"/>
          <w:b/>
        </w:rPr>
        <w:t xml:space="preserve">. </w:t>
      </w:r>
      <w:r w:rsidRPr="00452B91">
        <w:rPr>
          <w:rFonts w:ascii="Palatino Linotype" w:eastAsia="Palatino Linotype" w:hAnsi="Palatino Linotype" w:cs="Palatino Linotype"/>
        </w:rPr>
        <w:t xml:space="preserve">Resultan </w:t>
      </w:r>
      <w:r w:rsidRPr="00452B91">
        <w:rPr>
          <w:rFonts w:ascii="Palatino Linotype" w:eastAsia="Palatino Linotype" w:hAnsi="Palatino Linotype" w:cs="Palatino Linotype"/>
          <w:b/>
        </w:rPr>
        <w:t>parcialmente fundadas</w:t>
      </w:r>
      <w:r w:rsidRPr="00452B91">
        <w:rPr>
          <w:rFonts w:ascii="Palatino Linotype" w:eastAsia="Palatino Linotype" w:hAnsi="Palatino Linotype" w:cs="Palatino Linotype"/>
        </w:rPr>
        <w:t xml:space="preserve"> las</w:t>
      </w:r>
      <w:r w:rsidRPr="00452B91">
        <w:rPr>
          <w:rFonts w:ascii="Palatino Linotype" w:eastAsia="Palatino Linotype" w:hAnsi="Palatino Linotype" w:cs="Palatino Linotype"/>
          <w:b/>
        </w:rPr>
        <w:t xml:space="preserve"> </w:t>
      </w:r>
      <w:r w:rsidRPr="00452B91">
        <w:rPr>
          <w:rFonts w:ascii="Palatino Linotype" w:eastAsia="Palatino Linotype" w:hAnsi="Palatino Linotype" w:cs="Palatino Linotype"/>
        </w:rPr>
        <w:t xml:space="preserve">razones o motivos de inconformidad hechos valer en el Recurso de Revisión </w:t>
      </w:r>
      <w:r w:rsidRPr="00452B91">
        <w:rPr>
          <w:rFonts w:ascii="Palatino Linotype" w:eastAsia="Palatino Linotype" w:hAnsi="Palatino Linotype" w:cs="Palatino Linotype"/>
          <w:b/>
        </w:rPr>
        <w:t xml:space="preserve">04167/INFOEM/IP/RR/2021, </w:t>
      </w:r>
      <w:r w:rsidRPr="00452B91">
        <w:rPr>
          <w:rFonts w:ascii="Palatino Linotype" w:eastAsia="Palatino Linotype" w:hAnsi="Palatino Linotype" w:cs="Palatino Linotype"/>
        </w:rPr>
        <w:t xml:space="preserve">en términos del Considerando </w:t>
      </w:r>
      <w:r w:rsidRPr="00452B91">
        <w:rPr>
          <w:rFonts w:ascii="Palatino Linotype" w:eastAsia="Palatino Linotype" w:hAnsi="Palatino Linotype" w:cs="Palatino Linotype"/>
          <w:b/>
        </w:rPr>
        <w:t>QUINTO</w:t>
      </w:r>
      <w:r w:rsidRPr="00452B91">
        <w:rPr>
          <w:rFonts w:ascii="Palatino Linotype" w:eastAsia="Palatino Linotype" w:hAnsi="Palatino Linotype" w:cs="Palatino Linotype"/>
          <w:sz w:val="28"/>
          <w:szCs w:val="28"/>
        </w:rPr>
        <w:t xml:space="preserve"> </w:t>
      </w:r>
      <w:r w:rsidRPr="00452B91">
        <w:rPr>
          <w:rFonts w:ascii="Palatino Linotype" w:eastAsia="Palatino Linotype" w:hAnsi="Palatino Linotype" w:cs="Palatino Linotype"/>
        </w:rPr>
        <w:t>de la presente resolución.</w:t>
      </w:r>
    </w:p>
    <w:p w14:paraId="3CF4465C" w14:textId="77777777" w:rsidR="00BD584A" w:rsidRPr="00452B91" w:rsidRDefault="00BD584A" w:rsidP="00452B91">
      <w:pPr>
        <w:spacing w:before="240" w:line="360" w:lineRule="auto"/>
        <w:jc w:val="both"/>
        <w:rPr>
          <w:rFonts w:ascii="Palatino Linotype" w:eastAsia="Palatino Linotype" w:hAnsi="Palatino Linotype" w:cs="Palatino Linotype"/>
          <w:sz w:val="6"/>
          <w:szCs w:val="6"/>
        </w:rPr>
      </w:pPr>
    </w:p>
    <w:p w14:paraId="023C1550" w14:textId="1B1FA644" w:rsidR="00BD584A" w:rsidRPr="00452B91" w:rsidRDefault="005A341C" w:rsidP="00452B91">
      <w:pPr>
        <w:spacing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b/>
          <w:sz w:val="28"/>
          <w:szCs w:val="28"/>
        </w:rPr>
        <w:t>SEGUNDO</w:t>
      </w:r>
      <w:r w:rsidRPr="00452B91">
        <w:rPr>
          <w:rFonts w:ascii="Palatino Linotype" w:eastAsia="Palatino Linotype" w:hAnsi="Palatino Linotype" w:cs="Palatino Linotype"/>
        </w:rPr>
        <w:t xml:space="preserve">. Se </w:t>
      </w:r>
      <w:r w:rsidRPr="00452B91">
        <w:rPr>
          <w:rFonts w:ascii="Palatino Linotype" w:eastAsia="Palatino Linotype" w:hAnsi="Palatino Linotype" w:cs="Palatino Linotype"/>
          <w:b/>
        </w:rPr>
        <w:t xml:space="preserve">MODIFICA </w:t>
      </w:r>
      <w:r w:rsidRPr="00452B91">
        <w:rPr>
          <w:rFonts w:ascii="Palatino Linotype" w:eastAsia="Palatino Linotype" w:hAnsi="Palatino Linotype" w:cs="Palatino Linotype"/>
        </w:rPr>
        <w:t xml:space="preserve">la respuesta otorgada por </w:t>
      </w:r>
      <w:r w:rsidRPr="00452B91">
        <w:rPr>
          <w:rFonts w:ascii="Palatino Linotype" w:eastAsia="Palatino Linotype" w:hAnsi="Palatino Linotype" w:cs="Palatino Linotype"/>
          <w:b/>
        </w:rPr>
        <w:t>EL SUJETO OBLIGADO</w:t>
      </w:r>
      <w:r w:rsidRPr="00452B91">
        <w:rPr>
          <w:rFonts w:ascii="Palatino Linotype" w:eastAsia="Palatino Linotype" w:hAnsi="Palatino Linotype" w:cs="Palatino Linotype"/>
        </w:rPr>
        <w:t xml:space="preserve"> a la solicitud de información que dio origen al recurso de revisión </w:t>
      </w:r>
      <w:r w:rsidRPr="00452B91">
        <w:rPr>
          <w:rFonts w:ascii="Palatino Linotype" w:eastAsia="Palatino Linotype" w:hAnsi="Palatino Linotype" w:cs="Palatino Linotype"/>
          <w:b/>
        </w:rPr>
        <w:t>04167/INFOEM/IP/RR/2021</w:t>
      </w:r>
      <w:r w:rsidRPr="00452B91">
        <w:rPr>
          <w:rFonts w:ascii="Palatino Linotype" w:eastAsia="Palatino Linotype" w:hAnsi="Palatino Linotype" w:cs="Palatino Linotype"/>
          <w:b/>
          <w:sz w:val="22"/>
          <w:szCs w:val="22"/>
        </w:rPr>
        <w:t xml:space="preserve"> </w:t>
      </w:r>
      <w:r w:rsidRPr="00452B91">
        <w:rPr>
          <w:rFonts w:ascii="Palatino Linotype" w:eastAsia="Palatino Linotype" w:hAnsi="Palatino Linotype" w:cs="Palatino Linotype"/>
        </w:rPr>
        <w:t xml:space="preserve">y se le ordena en términos del Considerando </w:t>
      </w:r>
      <w:r w:rsidRPr="00452B91">
        <w:rPr>
          <w:rFonts w:ascii="Palatino Linotype" w:eastAsia="Palatino Linotype" w:hAnsi="Palatino Linotype" w:cs="Palatino Linotype"/>
          <w:b/>
        </w:rPr>
        <w:t>QUINTO</w:t>
      </w:r>
      <w:r w:rsidRPr="00452B91">
        <w:rPr>
          <w:rFonts w:ascii="Palatino Linotype" w:eastAsia="Palatino Linotype" w:hAnsi="Palatino Linotype" w:cs="Palatino Linotype"/>
        </w:rPr>
        <w:t xml:space="preserve"> de la presente resolución, lleve a cabo una búsqueda razonable y exhaustiva y entregue al </w:t>
      </w:r>
      <w:r w:rsidRPr="00452B91">
        <w:rPr>
          <w:rFonts w:ascii="Palatino Linotype" w:eastAsia="Palatino Linotype" w:hAnsi="Palatino Linotype" w:cs="Palatino Linotype"/>
          <w:b/>
        </w:rPr>
        <w:t>RECURRENTE</w:t>
      </w:r>
      <w:r w:rsidRPr="00452B91">
        <w:rPr>
          <w:rFonts w:ascii="Palatino Linotype" w:eastAsia="Palatino Linotype" w:hAnsi="Palatino Linotype" w:cs="Palatino Linotype"/>
        </w:rPr>
        <w:t xml:space="preserve"> vía Sistema de Acceso a la Información Mexiquense (</w:t>
      </w:r>
      <w:r w:rsidRPr="00452B91">
        <w:rPr>
          <w:rFonts w:ascii="Palatino Linotype" w:eastAsia="Palatino Linotype" w:hAnsi="Palatino Linotype" w:cs="Palatino Linotype"/>
          <w:b/>
        </w:rPr>
        <w:t>SAIMEX)</w:t>
      </w:r>
      <w:r w:rsidRPr="00452B91">
        <w:rPr>
          <w:rFonts w:ascii="Palatino Linotype" w:eastAsia="Palatino Linotype" w:hAnsi="Palatino Linotype" w:cs="Palatino Linotype"/>
        </w:rPr>
        <w:t xml:space="preserve">, de ser procedente en </w:t>
      </w:r>
      <w:r w:rsidRPr="00452B91">
        <w:rPr>
          <w:rFonts w:ascii="Palatino Linotype" w:eastAsia="Palatino Linotype" w:hAnsi="Palatino Linotype" w:cs="Palatino Linotype"/>
          <w:b/>
        </w:rPr>
        <w:t>versión pública</w:t>
      </w:r>
      <w:r w:rsidRPr="00452B91">
        <w:rPr>
          <w:rFonts w:ascii="Palatino Linotype" w:eastAsia="Palatino Linotype" w:hAnsi="Palatino Linotype" w:cs="Palatino Linotype"/>
        </w:rPr>
        <w:t xml:space="preserve"> el o los documentos donde conste lo siguiente: </w:t>
      </w:r>
    </w:p>
    <w:p w14:paraId="560A4207" w14:textId="77777777" w:rsidR="00BD584A" w:rsidRPr="00452B91" w:rsidRDefault="00BD584A" w:rsidP="00452B91">
      <w:pPr>
        <w:ind w:right="899"/>
        <w:jc w:val="both"/>
        <w:rPr>
          <w:rFonts w:ascii="Palatino Linotype" w:eastAsia="Palatino Linotype" w:hAnsi="Palatino Linotype" w:cs="Palatino Linotype"/>
          <w:i/>
          <w:sz w:val="22"/>
          <w:szCs w:val="22"/>
        </w:rPr>
      </w:pPr>
    </w:p>
    <w:p w14:paraId="6293E793" w14:textId="48666438" w:rsidR="00BD584A" w:rsidRPr="00452B91" w:rsidRDefault="005A341C" w:rsidP="00452B91">
      <w:pPr>
        <w:ind w:left="851"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 xml:space="preserve">El convenio de colaboración o cualquier otro instrumento jurídico para la celebración de la carrera atlética denominada "Maratón </w:t>
      </w:r>
      <w:r w:rsidR="00152B76" w:rsidRPr="00452B91">
        <w:rPr>
          <w:rFonts w:ascii="Palatino Linotype" w:eastAsia="Palatino Linotype" w:hAnsi="Palatino Linotype" w:cs="Palatino Linotype"/>
          <w:i/>
          <w:sz w:val="22"/>
          <w:szCs w:val="22"/>
        </w:rPr>
        <w:t>Rock</w:t>
      </w:r>
      <w:r w:rsidRPr="00452B91">
        <w:rPr>
          <w:rFonts w:ascii="Palatino Linotype" w:eastAsia="Palatino Linotype" w:hAnsi="Palatino Linotype" w:cs="Palatino Linotype"/>
          <w:i/>
          <w:sz w:val="22"/>
          <w:szCs w:val="22"/>
        </w:rPr>
        <w:t xml:space="preserve">´n Roll </w:t>
      </w:r>
      <w:r w:rsidR="00152B76" w:rsidRPr="00452B91">
        <w:rPr>
          <w:rFonts w:ascii="Palatino Linotype" w:eastAsia="Palatino Linotype" w:hAnsi="Palatino Linotype" w:cs="Palatino Linotype"/>
          <w:i/>
          <w:sz w:val="22"/>
          <w:szCs w:val="22"/>
        </w:rPr>
        <w:t xml:space="preserve">México Running </w:t>
      </w:r>
      <w:r w:rsidRPr="00452B91">
        <w:rPr>
          <w:rFonts w:ascii="Palatino Linotype" w:eastAsia="Palatino Linotype" w:hAnsi="Palatino Linotype" w:cs="Palatino Linotype"/>
          <w:i/>
          <w:sz w:val="22"/>
          <w:szCs w:val="22"/>
        </w:rPr>
        <w:t xml:space="preserve">series </w:t>
      </w:r>
      <w:r w:rsidR="00152B76" w:rsidRPr="00452B91">
        <w:rPr>
          <w:rFonts w:ascii="Palatino Linotype" w:eastAsia="Palatino Linotype" w:hAnsi="Palatino Linotype" w:cs="Palatino Linotype"/>
          <w:i/>
          <w:sz w:val="22"/>
          <w:szCs w:val="22"/>
        </w:rPr>
        <w:t xml:space="preserve">Estado </w:t>
      </w:r>
      <w:r w:rsidRPr="00452B91">
        <w:rPr>
          <w:rFonts w:ascii="Palatino Linotype" w:eastAsia="Palatino Linotype" w:hAnsi="Palatino Linotype" w:cs="Palatino Linotype"/>
          <w:i/>
          <w:sz w:val="22"/>
          <w:szCs w:val="22"/>
        </w:rPr>
        <w:t xml:space="preserve">de </w:t>
      </w:r>
      <w:r w:rsidR="00152B76" w:rsidRPr="00452B91">
        <w:rPr>
          <w:rFonts w:ascii="Palatino Linotype" w:eastAsia="Palatino Linotype" w:hAnsi="Palatino Linotype" w:cs="Palatino Linotype"/>
          <w:i/>
          <w:sz w:val="22"/>
          <w:szCs w:val="22"/>
        </w:rPr>
        <w:t>México</w:t>
      </w:r>
      <w:r w:rsidRPr="00452B91">
        <w:rPr>
          <w:rFonts w:ascii="Palatino Linotype" w:eastAsia="Palatino Linotype" w:hAnsi="Palatino Linotype" w:cs="Palatino Linotype"/>
          <w:i/>
          <w:sz w:val="22"/>
          <w:szCs w:val="22"/>
        </w:rPr>
        <w:t xml:space="preserve">" entre </w:t>
      </w:r>
      <w:r w:rsidRPr="00452B91">
        <w:rPr>
          <w:rFonts w:ascii="Palatino Linotype" w:eastAsia="Palatino Linotype" w:hAnsi="Palatino Linotype" w:cs="Palatino Linotype"/>
          <w:b/>
          <w:i/>
          <w:sz w:val="22"/>
          <w:szCs w:val="22"/>
        </w:rPr>
        <w:t>EL SUJETO OBLIGADO</w:t>
      </w:r>
      <w:r w:rsidRPr="00452B91">
        <w:rPr>
          <w:rFonts w:ascii="Palatino Linotype" w:eastAsia="Palatino Linotype" w:hAnsi="Palatino Linotype" w:cs="Palatino Linotype"/>
          <w:i/>
          <w:sz w:val="22"/>
          <w:szCs w:val="22"/>
        </w:rPr>
        <w:t xml:space="preserve"> y la empresa referida, asimismo, los costos por el evento, el destino de los recursos y el mecanismo para asignar las cuotas de </w:t>
      </w:r>
      <w:r w:rsidR="00841B1E" w:rsidRPr="00452B91">
        <w:rPr>
          <w:rFonts w:ascii="Palatino Linotype" w:eastAsia="Palatino Linotype" w:hAnsi="Palatino Linotype" w:cs="Palatino Linotype"/>
          <w:i/>
          <w:sz w:val="22"/>
          <w:szCs w:val="22"/>
        </w:rPr>
        <w:t>recuperación.</w:t>
      </w:r>
      <w:r w:rsidRPr="00452B91">
        <w:rPr>
          <w:rFonts w:ascii="Palatino Linotype" w:eastAsia="Palatino Linotype" w:hAnsi="Palatino Linotype" w:cs="Palatino Linotype"/>
          <w:i/>
          <w:sz w:val="22"/>
          <w:szCs w:val="22"/>
        </w:rPr>
        <w:t xml:space="preserve"> </w:t>
      </w:r>
    </w:p>
    <w:p w14:paraId="5F27EBDC" w14:textId="77777777" w:rsidR="00BD584A" w:rsidRPr="00452B91" w:rsidRDefault="00BD584A" w:rsidP="00452B91">
      <w:pPr>
        <w:ind w:left="851" w:right="899"/>
        <w:jc w:val="both"/>
        <w:rPr>
          <w:rFonts w:ascii="Palatino Linotype" w:eastAsia="Palatino Linotype" w:hAnsi="Palatino Linotype" w:cs="Palatino Linotype"/>
          <w:i/>
          <w:sz w:val="22"/>
          <w:szCs w:val="22"/>
        </w:rPr>
      </w:pPr>
    </w:p>
    <w:p w14:paraId="1990419F" w14:textId="77777777" w:rsidR="00BD584A" w:rsidRPr="00452B91" w:rsidRDefault="005A341C" w:rsidP="00452B91">
      <w:pPr>
        <w:ind w:left="851" w:right="899"/>
        <w:jc w:val="both"/>
        <w:rPr>
          <w:rFonts w:ascii="Palatino Linotype" w:eastAsia="Palatino Linotype" w:hAnsi="Palatino Linotype" w:cs="Palatino Linotype"/>
          <w:i/>
          <w:sz w:val="22"/>
          <w:szCs w:val="22"/>
        </w:rPr>
      </w:pPr>
      <w:r w:rsidRPr="00452B91">
        <w:rPr>
          <w:rFonts w:ascii="Palatino Linotype" w:eastAsia="Palatino Linotype" w:hAnsi="Palatino Linotype" w:cs="Palatino Linotype"/>
          <w:i/>
          <w:sz w:val="22"/>
          <w:szCs w:val="22"/>
        </w:rPr>
        <w:t xml:space="preserve">Debiendo notificar al </w:t>
      </w:r>
      <w:r w:rsidRPr="00452B91">
        <w:rPr>
          <w:rFonts w:ascii="Palatino Linotype" w:eastAsia="Palatino Linotype" w:hAnsi="Palatino Linotype" w:cs="Palatino Linotype"/>
          <w:b/>
          <w:i/>
          <w:sz w:val="22"/>
          <w:szCs w:val="22"/>
        </w:rPr>
        <w:t>RECURRENTE</w:t>
      </w:r>
      <w:r w:rsidRPr="00452B91">
        <w:rPr>
          <w:rFonts w:ascii="Palatino Linotype" w:eastAsia="Palatino Linotype" w:hAnsi="Palatino Linotype" w:cs="Palatino Linotype"/>
          <w:i/>
          <w:sz w:val="22"/>
          <w:szCs w:val="22"/>
        </w:rPr>
        <w:t xml:space="preserve"> el Acuerdo de Clasificación de la información que emita el Comité de Transparencia con motivo de la versión pública de ser procedente.</w:t>
      </w:r>
    </w:p>
    <w:p w14:paraId="4E323D6A" w14:textId="77777777" w:rsidR="00BD584A" w:rsidRPr="00452B91" w:rsidRDefault="00BD584A" w:rsidP="00452B91">
      <w:pPr>
        <w:ind w:left="851" w:right="899"/>
        <w:jc w:val="both"/>
        <w:rPr>
          <w:rFonts w:ascii="Palatino Linotype" w:eastAsia="Palatino Linotype" w:hAnsi="Palatino Linotype" w:cs="Palatino Linotype"/>
          <w:i/>
        </w:rPr>
      </w:pPr>
    </w:p>
    <w:p w14:paraId="786ADE60" w14:textId="2CE2A6F6" w:rsidR="00BD584A" w:rsidRPr="00452B91" w:rsidRDefault="005A341C" w:rsidP="00452B91">
      <w:pPr>
        <w:ind w:left="851" w:right="899"/>
        <w:jc w:val="both"/>
        <w:rPr>
          <w:rFonts w:ascii="Palatino Linotype" w:eastAsia="Palatino Linotype" w:hAnsi="Palatino Linotype" w:cs="Palatino Linotype"/>
          <w:i/>
          <w:sz w:val="12"/>
          <w:szCs w:val="12"/>
        </w:rPr>
      </w:pPr>
      <w:r w:rsidRPr="00452B91">
        <w:rPr>
          <w:rFonts w:ascii="Palatino Linotype" w:eastAsia="Palatino Linotype" w:hAnsi="Palatino Linotype" w:cs="Palatino Linotype"/>
          <w:i/>
          <w:sz w:val="22"/>
          <w:szCs w:val="22"/>
        </w:rPr>
        <w:t xml:space="preserve">Para el caso de no contar con la información que se ordena, por no haber sido generada, </w:t>
      </w:r>
      <w:r w:rsidRPr="00452B91">
        <w:rPr>
          <w:rFonts w:ascii="Palatino Linotype" w:eastAsia="Palatino Linotype" w:hAnsi="Palatino Linotype" w:cs="Palatino Linotype"/>
          <w:b/>
          <w:i/>
          <w:sz w:val="22"/>
          <w:szCs w:val="22"/>
        </w:rPr>
        <w:t>EL SUJETO OBLIGADO</w:t>
      </w:r>
      <w:r w:rsidRPr="00452B91">
        <w:rPr>
          <w:rFonts w:ascii="Palatino Linotype" w:eastAsia="Palatino Linotype" w:hAnsi="Palatino Linotype" w:cs="Palatino Linotype"/>
          <w:i/>
          <w:sz w:val="22"/>
          <w:szCs w:val="22"/>
        </w:rPr>
        <w:t xml:space="preserve"> deberá hacérselo saber al </w:t>
      </w:r>
      <w:r w:rsidRPr="00452B91">
        <w:rPr>
          <w:rFonts w:ascii="Palatino Linotype" w:eastAsia="Palatino Linotype" w:hAnsi="Palatino Linotype" w:cs="Palatino Linotype"/>
          <w:b/>
          <w:i/>
          <w:sz w:val="22"/>
          <w:szCs w:val="22"/>
        </w:rPr>
        <w:t>RECURRENTE</w:t>
      </w:r>
      <w:r w:rsidRPr="00452B91">
        <w:rPr>
          <w:rFonts w:ascii="Palatino Linotype" w:eastAsia="Palatino Linotype" w:hAnsi="Palatino Linotype" w:cs="Palatino Linotype"/>
          <w:i/>
          <w:sz w:val="22"/>
          <w:szCs w:val="22"/>
        </w:rPr>
        <w:t xml:space="preserve"> de forma fundada y motivada. </w:t>
      </w:r>
    </w:p>
    <w:p w14:paraId="36E20508" w14:textId="77777777" w:rsidR="00BD584A" w:rsidRPr="00452B91" w:rsidRDefault="005A341C" w:rsidP="00452B91">
      <w:pPr>
        <w:spacing w:before="280" w:after="280"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b/>
          <w:sz w:val="28"/>
          <w:szCs w:val="28"/>
        </w:rPr>
        <w:lastRenderedPageBreak/>
        <w:t>TERCERO</w:t>
      </w:r>
      <w:r w:rsidRPr="00452B91">
        <w:rPr>
          <w:rFonts w:ascii="Palatino Linotype" w:eastAsia="Palatino Linotype" w:hAnsi="Palatino Linotype" w:cs="Palatino Linotype"/>
        </w:rPr>
        <w:t xml:space="preserve">. </w:t>
      </w:r>
      <w:r w:rsidRPr="00452B91">
        <w:rPr>
          <w:rFonts w:ascii="Palatino Linotype" w:eastAsia="Palatino Linotype" w:hAnsi="Palatino Linotype" w:cs="Palatino Linotype"/>
          <w:b/>
        </w:rPr>
        <w:t>Notifíquese</w:t>
      </w:r>
      <w:r w:rsidRPr="00452B91">
        <w:rPr>
          <w:rFonts w:ascii="Palatino Linotype" w:eastAsia="Palatino Linotype" w:hAnsi="Palatino Linotype" w:cs="Palatino Linotype"/>
        </w:rPr>
        <w:t xml:space="preserve"> al Titular de la Unidad de Transparencia del </w:t>
      </w:r>
      <w:r w:rsidRPr="00452B91">
        <w:rPr>
          <w:rFonts w:ascii="Palatino Linotype" w:eastAsia="Palatino Linotype" w:hAnsi="Palatino Linotype" w:cs="Palatino Linotype"/>
          <w:b/>
        </w:rPr>
        <w:t xml:space="preserve">SUJETO OBLIGADO </w:t>
      </w:r>
      <w:r w:rsidRPr="00452B91">
        <w:rPr>
          <w:rFonts w:ascii="Palatino Linotype" w:eastAsia="Palatino Linotype" w:hAnsi="Palatino Linotype" w:cs="Palatino Linotype"/>
        </w:rPr>
        <w:t>vía Sistema de Acceso a la Información Mexiquense,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7E7DD00" w14:textId="77777777" w:rsidR="00BD584A" w:rsidRPr="00452B91" w:rsidRDefault="005A341C" w:rsidP="00452B91">
      <w:pPr>
        <w:widowControl w:val="0"/>
        <w:tabs>
          <w:tab w:val="left" w:pos="1701"/>
        </w:tabs>
        <w:spacing w:before="240" w:after="280"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b/>
          <w:sz w:val="28"/>
          <w:szCs w:val="28"/>
        </w:rPr>
        <w:t>CUARTO</w:t>
      </w:r>
      <w:r w:rsidRPr="00452B91">
        <w:rPr>
          <w:rFonts w:ascii="Palatino Linotype" w:eastAsia="Palatino Linotype" w:hAnsi="Palatino Linotype" w:cs="Palatino Linotype"/>
        </w:rPr>
        <w:t xml:space="preserve">. </w:t>
      </w:r>
      <w:r w:rsidRPr="00452B91">
        <w:rPr>
          <w:rFonts w:ascii="Palatino Linotype" w:eastAsia="Palatino Linotype" w:hAnsi="Palatino Linotype" w:cs="Palatino Linotype"/>
          <w:b/>
        </w:rPr>
        <w:t>Notifíquese</w:t>
      </w:r>
      <w:r w:rsidRPr="00452B91">
        <w:rPr>
          <w:rFonts w:ascii="Palatino Linotype" w:eastAsia="Palatino Linotype" w:hAnsi="Palatino Linotype" w:cs="Palatino Linotype"/>
        </w:rPr>
        <w:t xml:space="preserve"> al </w:t>
      </w:r>
      <w:r w:rsidRPr="00452B91">
        <w:rPr>
          <w:rFonts w:ascii="Palatino Linotype" w:eastAsia="Palatino Linotype" w:hAnsi="Palatino Linotype" w:cs="Palatino Linotype"/>
          <w:b/>
        </w:rPr>
        <w:t>RECURRENTE</w:t>
      </w:r>
      <w:r w:rsidRPr="00452B91">
        <w:rPr>
          <w:rFonts w:ascii="Palatino Linotype" w:eastAsia="Palatino Linotype" w:hAnsi="Palatino Linotype" w:cs="Palatino Linotype"/>
        </w:rPr>
        <w:t xml:space="preserve"> vía Sistema de Acceso a la Información Mexiquense (</w:t>
      </w:r>
      <w:r w:rsidRPr="00452B91">
        <w:rPr>
          <w:rFonts w:ascii="Palatino Linotype" w:eastAsia="Palatino Linotype" w:hAnsi="Palatino Linotype" w:cs="Palatino Linotype"/>
          <w:b/>
        </w:rPr>
        <w:t>SAIMEX</w:t>
      </w:r>
      <w:r w:rsidRPr="00452B91">
        <w:rPr>
          <w:rFonts w:ascii="Palatino Linotype" w:eastAsia="Palatino Linotype" w:hAnsi="Palatino Linotype" w:cs="Palatino Linotype"/>
        </w:rPr>
        <w:t>), la presente resolución.</w:t>
      </w:r>
    </w:p>
    <w:p w14:paraId="3515FB5A" w14:textId="77777777" w:rsidR="00BD584A" w:rsidRPr="00452B91" w:rsidRDefault="005A341C" w:rsidP="00452B91">
      <w:pPr>
        <w:widowControl w:val="0"/>
        <w:tabs>
          <w:tab w:val="left" w:pos="1701"/>
        </w:tabs>
        <w:spacing w:before="240" w:after="280" w:line="360" w:lineRule="auto"/>
        <w:jc w:val="both"/>
        <w:rPr>
          <w:rFonts w:ascii="Palatino Linotype" w:eastAsia="Palatino Linotype" w:hAnsi="Palatino Linotype" w:cs="Palatino Linotype"/>
        </w:rPr>
      </w:pPr>
      <w:r w:rsidRPr="00452B91">
        <w:rPr>
          <w:rFonts w:ascii="Palatino Linotype" w:eastAsia="Palatino Linotype" w:hAnsi="Palatino Linotype" w:cs="Palatino Linotype"/>
          <w:b/>
          <w:sz w:val="28"/>
          <w:szCs w:val="28"/>
        </w:rPr>
        <w:t>QUINTO</w:t>
      </w:r>
      <w:r w:rsidRPr="00452B91">
        <w:rPr>
          <w:rFonts w:ascii="Palatino Linotype" w:eastAsia="Palatino Linotype" w:hAnsi="Palatino Linotype" w:cs="Palatino Linotype"/>
        </w:rPr>
        <w:t xml:space="preserve">. </w:t>
      </w:r>
      <w:r w:rsidRPr="00452B91">
        <w:rPr>
          <w:rFonts w:ascii="Palatino Linotype" w:eastAsia="Palatino Linotype" w:hAnsi="Palatino Linotype" w:cs="Palatino Linotype"/>
          <w:b/>
        </w:rPr>
        <w:t>Hágase</w:t>
      </w:r>
      <w:r w:rsidRPr="00452B91">
        <w:rPr>
          <w:rFonts w:ascii="Palatino Linotype" w:eastAsia="Palatino Linotype" w:hAnsi="Palatino Linotype" w:cs="Palatino Linotype"/>
        </w:rPr>
        <w:t xml:space="preserve"> </w:t>
      </w:r>
      <w:r w:rsidRPr="00452B91">
        <w:rPr>
          <w:rFonts w:ascii="Palatino Linotype" w:eastAsia="Palatino Linotype" w:hAnsi="Palatino Linotype" w:cs="Palatino Linotype"/>
          <w:b/>
        </w:rPr>
        <w:t>del conocimiento</w:t>
      </w:r>
      <w:r w:rsidRPr="00452B91">
        <w:rPr>
          <w:rFonts w:ascii="Palatino Linotype" w:eastAsia="Palatino Linotype" w:hAnsi="Palatino Linotype" w:cs="Palatino Linotype"/>
        </w:rPr>
        <w:t xml:space="preserve"> del </w:t>
      </w:r>
      <w:r w:rsidRPr="00452B91">
        <w:rPr>
          <w:rFonts w:ascii="Palatino Linotype" w:eastAsia="Palatino Linotype" w:hAnsi="Palatino Linotype" w:cs="Palatino Linotype"/>
          <w:b/>
        </w:rPr>
        <w:t>RECURRENTE</w:t>
      </w:r>
      <w:r w:rsidRPr="00452B91">
        <w:rPr>
          <w:rFonts w:ascii="Palatino Linotype" w:eastAsia="Palatino Linotype" w:hAnsi="Palatino Linotype" w:cs="Palatino Linotype"/>
        </w:rPr>
        <w:t xml:space="preserve"> que, de conformidad con lo establecido en el artículo 196 de la </w:t>
      </w:r>
      <w:r w:rsidR="005A44DF" w:rsidRPr="00452B91">
        <w:rPr>
          <w:rFonts w:ascii="Palatino Linotype" w:eastAsia="Palatino Linotype" w:hAnsi="Palatino Linotype" w:cs="Palatino Linotype"/>
        </w:rPr>
        <w:t>Información Pública del Estado de México y Municipios.</w:t>
      </w:r>
    </w:p>
    <w:p w14:paraId="0A63A64E" w14:textId="45A0733A" w:rsidR="00BD584A" w:rsidRDefault="00233DD4" w:rsidP="00452B91">
      <w:pPr>
        <w:spacing w:line="360" w:lineRule="auto"/>
        <w:jc w:val="both"/>
        <w:rPr>
          <w:rFonts w:ascii="Palatino Linotype" w:eastAsia="Palatino Linotype" w:hAnsi="Palatino Linotype" w:cs="Palatino Linotype"/>
          <w:sz w:val="14"/>
          <w:szCs w:val="14"/>
        </w:rPr>
      </w:pPr>
      <w:r w:rsidRPr="00452B91">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SESIÓN ORDINARIA CELEBRADA EL UNO DE JUNIO DE DOS MIL VEINTIDÓS, </w:t>
      </w:r>
      <w:r w:rsidRPr="00452B91">
        <w:rPr>
          <w:rFonts w:ascii="Palatino Linotype" w:eastAsia="Palatino Linotype" w:hAnsi="Palatino Linotype" w:cs="Palatino Linotype"/>
        </w:rPr>
        <w:lastRenderedPageBreak/>
        <w:t xml:space="preserve">ANTE EL SECRETARIO TÉCNICO DEL PLENO, ALEXIS TAPIA RAMÍREZ. </w:t>
      </w:r>
      <w:r w:rsidR="005A341C" w:rsidRPr="00452B91">
        <w:rPr>
          <w:rFonts w:ascii="Palatino Linotype" w:eastAsia="Palatino Linotype" w:hAnsi="Palatino Linotype" w:cs="Palatino Linotype"/>
          <w:sz w:val="14"/>
          <w:szCs w:val="14"/>
        </w:rPr>
        <w:t>SCMM/BLA/DEMF/PMRE</w:t>
      </w:r>
    </w:p>
    <w:p w14:paraId="2BEFC6F1" w14:textId="77777777" w:rsidR="00BD584A" w:rsidRDefault="005A341C" w:rsidP="00452B91">
      <w:pPr>
        <w:rPr>
          <w:rFonts w:ascii="Palatino Linotype" w:eastAsia="Palatino Linotype" w:hAnsi="Palatino Linotype" w:cs="Palatino Linotype"/>
        </w:rPr>
      </w:pPr>
      <w:r>
        <w:br w:type="page"/>
      </w:r>
    </w:p>
    <w:p w14:paraId="28AFE5C4" w14:textId="77777777" w:rsidR="00BD584A" w:rsidRDefault="00BD584A" w:rsidP="00452B91">
      <w:pPr>
        <w:spacing w:line="360" w:lineRule="auto"/>
        <w:jc w:val="both"/>
        <w:rPr>
          <w:rFonts w:ascii="Palatino Linotype" w:eastAsia="Palatino Linotype" w:hAnsi="Palatino Linotype" w:cs="Palatino Linotype"/>
        </w:rPr>
      </w:pPr>
    </w:p>
    <w:p w14:paraId="7F0E5E5A" w14:textId="77777777" w:rsidR="00BD584A" w:rsidRDefault="00BD584A" w:rsidP="00452B91">
      <w:pPr>
        <w:spacing w:line="360" w:lineRule="auto"/>
        <w:jc w:val="both"/>
        <w:rPr>
          <w:rFonts w:ascii="Palatino Linotype" w:eastAsia="Palatino Linotype" w:hAnsi="Palatino Linotype" w:cs="Palatino Linotype"/>
        </w:rPr>
      </w:pPr>
    </w:p>
    <w:p w14:paraId="65468DD7" w14:textId="77777777" w:rsidR="00BD584A" w:rsidRDefault="00BD584A" w:rsidP="00452B91">
      <w:pPr>
        <w:spacing w:line="360" w:lineRule="auto"/>
        <w:jc w:val="both"/>
        <w:rPr>
          <w:rFonts w:ascii="Palatino Linotype" w:eastAsia="Palatino Linotype" w:hAnsi="Palatino Linotype" w:cs="Palatino Linotype"/>
        </w:rPr>
      </w:pPr>
    </w:p>
    <w:p w14:paraId="5EBC67B7" w14:textId="77777777" w:rsidR="00BD584A" w:rsidRDefault="00BD584A" w:rsidP="00452B91">
      <w:pPr>
        <w:spacing w:line="360" w:lineRule="auto"/>
        <w:jc w:val="both"/>
        <w:rPr>
          <w:rFonts w:ascii="Palatino Linotype" w:eastAsia="Palatino Linotype" w:hAnsi="Palatino Linotype" w:cs="Palatino Linotype"/>
        </w:rPr>
      </w:pPr>
    </w:p>
    <w:p w14:paraId="7CE3C5EC" w14:textId="77777777" w:rsidR="00BD584A" w:rsidRDefault="00BD584A" w:rsidP="00452B91">
      <w:pPr>
        <w:spacing w:line="360" w:lineRule="auto"/>
        <w:jc w:val="both"/>
        <w:rPr>
          <w:rFonts w:ascii="Palatino Linotype" w:eastAsia="Palatino Linotype" w:hAnsi="Palatino Linotype" w:cs="Palatino Linotype"/>
        </w:rPr>
      </w:pPr>
    </w:p>
    <w:p w14:paraId="492CE4E5" w14:textId="77777777" w:rsidR="00BD584A" w:rsidRDefault="00BD584A" w:rsidP="00452B91">
      <w:pPr>
        <w:spacing w:line="360" w:lineRule="auto"/>
        <w:jc w:val="both"/>
        <w:rPr>
          <w:rFonts w:ascii="Palatino Linotype" w:eastAsia="Palatino Linotype" w:hAnsi="Palatino Linotype" w:cs="Palatino Linotype"/>
        </w:rPr>
      </w:pPr>
    </w:p>
    <w:p w14:paraId="5A561043" w14:textId="77777777" w:rsidR="00BD584A" w:rsidRDefault="00BD584A" w:rsidP="00452B91">
      <w:pPr>
        <w:spacing w:line="360" w:lineRule="auto"/>
        <w:jc w:val="both"/>
        <w:rPr>
          <w:rFonts w:ascii="Palatino Linotype" w:eastAsia="Palatino Linotype" w:hAnsi="Palatino Linotype" w:cs="Palatino Linotype"/>
        </w:rPr>
      </w:pPr>
    </w:p>
    <w:p w14:paraId="32BAC9D6" w14:textId="77777777" w:rsidR="00BD584A" w:rsidRDefault="00BD584A" w:rsidP="00452B91">
      <w:pPr>
        <w:spacing w:line="360" w:lineRule="auto"/>
        <w:jc w:val="both"/>
        <w:rPr>
          <w:rFonts w:ascii="Palatino Linotype" w:eastAsia="Palatino Linotype" w:hAnsi="Palatino Linotype" w:cs="Palatino Linotype"/>
        </w:rPr>
      </w:pPr>
    </w:p>
    <w:p w14:paraId="42DDD502" w14:textId="77777777" w:rsidR="00BD584A" w:rsidRDefault="00BD584A" w:rsidP="00452B91">
      <w:pPr>
        <w:spacing w:line="360" w:lineRule="auto"/>
        <w:jc w:val="both"/>
        <w:rPr>
          <w:rFonts w:ascii="Palatino Linotype" w:eastAsia="Palatino Linotype" w:hAnsi="Palatino Linotype" w:cs="Palatino Linotype"/>
        </w:rPr>
      </w:pPr>
    </w:p>
    <w:p w14:paraId="53418564" w14:textId="77777777" w:rsidR="00BD584A" w:rsidRDefault="00BD584A" w:rsidP="00452B91">
      <w:pPr>
        <w:spacing w:line="360" w:lineRule="auto"/>
        <w:jc w:val="both"/>
        <w:rPr>
          <w:rFonts w:ascii="Palatino Linotype" w:eastAsia="Palatino Linotype" w:hAnsi="Palatino Linotype" w:cs="Palatino Linotype"/>
        </w:rPr>
      </w:pPr>
    </w:p>
    <w:p w14:paraId="13A73B1A" w14:textId="77777777" w:rsidR="00BD584A" w:rsidRDefault="00BD584A" w:rsidP="00452B91">
      <w:pPr>
        <w:spacing w:line="360" w:lineRule="auto"/>
        <w:jc w:val="both"/>
        <w:rPr>
          <w:rFonts w:ascii="Palatino Linotype" w:eastAsia="Palatino Linotype" w:hAnsi="Palatino Linotype" w:cs="Palatino Linotype"/>
        </w:rPr>
      </w:pPr>
    </w:p>
    <w:p w14:paraId="11930BE5" w14:textId="77777777" w:rsidR="00BD584A" w:rsidRDefault="00BD584A" w:rsidP="00452B91">
      <w:pPr>
        <w:spacing w:line="360" w:lineRule="auto"/>
        <w:jc w:val="both"/>
        <w:rPr>
          <w:rFonts w:ascii="Palatino Linotype" w:eastAsia="Palatino Linotype" w:hAnsi="Palatino Linotype" w:cs="Palatino Linotype"/>
        </w:rPr>
      </w:pPr>
    </w:p>
    <w:p w14:paraId="513C138D" w14:textId="77777777" w:rsidR="00BD584A" w:rsidRDefault="00BD584A" w:rsidP="00452B91">
      <w:pPr>
        <w:spacing w:line="360" w:lineRule="auto"/>
        <w:jc w:val="both"/>
        <w:rPr>
          <w:rFonts w:ascii="Palatino Linotype" w:eastAsia="Palatino Linotype" w:hAnsi="Palatino Linotype" w:cs="Palatino Linotype"/>
        </w:rPr>
      </w:pPr>
    </w:p>
    <w:p w14:paraId="08C6ED61" w14:textId="77777777" w:rsidR="00BD584A" w:rsidRDefault="00BD584A" w:rsidP="00452B91">
      <w:pPr>
        <w:spacing w:line="360" w:lineRule="auto"/>
        <w:jc w:val="both"/>
        <w:rPr>
          <w:rFonts w:ascii="Palatino Linotype" w:eastAsia="Palatino Linotype" w:hAnsi="Palatino Linotype" w:cs="Palatino Linotype"/>
        </w:rPr>
      </w:pPr>
    </w:p>
    <w:p w14:paraId="528D5DF5" w14:textId="77777777" w:rsidR="00BD584A" w:rsidRDefault="00BD584A" w:rsidP="00452B91">
      <w:pPr>
        <w:spacing w:line="360" w:lineRule="auto"/>
        <w:jc w:val="both"/>
        <w:rPr>
          <w:rFonts w:ascii="Palatino Linotype" w:eastAsia="Palatino Linotype" w:hAnsi="Palatino Linotype" w:cs="Palatino Linotype"/>
        </w:rPr>
      </w:pPr>
    </w:p>
    <w:p w14:paraId="145A50EE" w14:textId="77777777" w:rsidR="00BD584A" w:rsidRDefault="00BD584A" w:rsidP="00452B91">
      <w:pPr>
        <w:spacing w:line="360" w:lineRule="auto"/>
        <w:jc w:val="both"/>
        <w:rPr>
          <w:rFonts w:ascii="Palatino Linotype" w:eastAsia="Palatino Linotype" w:hAnsi="Palatino Linotype" w:cs="Palatino Linotype"/>
        </w:rPr>
      </w:pPr>
    </w:p>
    <w:p w14:paraId="67DF7487" w14:textId="77777777" w:rsidR="00BD584A" w:rsidRDefault="00BD584A" w:rsidP="00452B91">
      <w:pPr>
        <w:spacing w:line="360" w:lineRule="auto"/>
        <w:jc w:val="both"/>
        <w:rPr>
          <w:rFonts w:ascii="Palatino Linotype" w:eastAsia="Palatino Linotype" w:hAnsi="Palatino Linotype" w:cs="Palatino Linotype"/>
        </w:rPr>
      </w:pPr>
    </w:p>
    <w:p w14:paraId="0286567C" w14:textId="77777777" w:rsidR="00BD584A" w:rsidRDefault="00BD584A" w:rsidP="00452B91">
      <w:pPr>
        <w:spacing w:line="360" w:lineRule="auto"/>
        <w:jc w:val="both"/>
        <w:rPr>
          <w:rFonts w:ascii="Palatino Linotype" w:eastAsia="Palatino Linotype" w:hAnsi="Palatino Linotype" w:cs="Palatino Linotype"/>
        </w:rPr>
      </w:pPr>
    </w:p>
    <w:sectPr w:rsidR="00BD584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5C92E" w14:textId="77777777" w:rsidR="00AE0186" w:rsidRDefault="00AE0186">
      <w:r>
        <w:separator/>
      </w:r>
    </w:p>
  </w:endnote>
  <w:endnote w:type="continuationSeparator" w:id="0">
    <w:p w14:paraId="0BC30F47" w14:textId="77777777" w:rsidR="00AE0186" w:rsidRDefault="00AE0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Liberation Serif">
    <w:altName w:val="Times New Roman"/>
    <w:panose1 w:val="020B0604020202020204"/>
    <w:charset w:val="01"/>
    <w:family w:val="roman"/>
    <w:pitch w:val="variable"/>
  </w:font>
  <w:font w:name="DejaVu Sans">
    <w:altName w:val="Times New Roman"/>
    <w:panose1 w:val="020B0604020202020204"/>
    <w:charset w:val="00"/>
    <w:family w:val="roman"/>
    <w:notTrueType/>
    <w:pitch w:val="default"/>
  </w:font>
  <w:font w:name="Lohit Hindi">
    <w:altName w:val="Times New Roman"/>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4D"/>
    <w:family w:val="auto"/>
    <w:pitch w:val="variable"/>
    <w:sig w:usb0="A00002FF" w:usb1="7800205A" w:usb2="14600000" w:usb3="00000000" w:csb0="00000193"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47D6F" w14:textId="77777777" w:rsidR="00BD584A" w:rsidRDefault="005A341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56816">
      <w:rPr>
        <w:rFonts w:ascii="Palatino Linotype" w:eastAsia="Palatino Linotype" w:hAnsi="Palatino Linotype" w:cs="Palatino Linotype"/>
        <w:noProof/>
        <w:color w:val="000000"/>
        <w:sz w:val="22"/>
        <w:szCs w:val="22"/>
      </w:rPr>
      <w:t>2</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56816">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AB4F7" w14:textId="77777777" w:rsidR="00BD584A" w:rsidRDefault="005A341C">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256816">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256816">
      <w:rPr>
        <w:rFonts w:ascii="Palatino Linotype" w:eastAsia="Palatino Linotype" w:hAnsi="Palatino Linotype" w:cs="Palatino Linotype"/>
        <w:noProof/>
        <w:color w:val="000000"/>
        <w:sz w:val="22"/>
        <w:szCs w:val="22"/>
      </w:rPr>
      <w:t>34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127CF4" w14:textId="77777777" w:rsidR="00AE0186" w:rsidRDefault="00AE0186">
      <w:r>
        <w:separator/>
      </w:r>
    </w:p>
  </w:footnote>
  <w:footnote w:type="continuationSeparator" w:id="0">
    <w:p w14:paraId="0C3D5CFB" w14:textId="77777777" w:rsidR="00AE0186" w:rsidRDefault="00AE0186">
      <w:r>
        <w:continuationSeparator/>
      </w:r>
    </w:p>
  </w:footnote>
  <w:footnote w:id="1">
    <w:p w14:paraId="66DB83F4" w14:textId="77777777" w:rsidR="00BD584A" w:rsidRDefault="005A341C">
      <w:pPr>
        <w:rPr>
          <w:rFonts w:ascii="Palatino Linotype" w:eastAsia="Palatino Linotype" w:hAnsi="Palatino Linotype" w:cs="Palatino Linotype"/>
          <w:sz w:val="18"/>
          <w:szCs w:val="18"/>
        </w:rPr>
      </w:pPr>
      <w:r>
        <w:rPr>
          <w:vertAlign w:val="superscript"/>
        </w:rPr>
        <w:footnoteRef/>
      </w:r>
      <w:r>
        <w:rPr>
          <w:sz w:val="20"/>
          <w:szCs w:val="20"/>
        </w:rPr>
        <w:t xml:space="preserve"> </w:t>
      </w:r>
      <w:r>
        <w:rPr>
          <w:rFonts w:ascii="Palatino Linotype" w:eastAsia="Palatino Linotype" w:hAnsi="Palatino Linotype" w:cs="Palatino Linotype"/>
          <w:sz w:val="18"/>
          <w:szCs w:val="18"/>
        </w:rPr>
        <w:t xml:space="preserve">la interposición del recurso fue en fecha veintiuno de marzo, el cual al corresponder a una fecha inhábil en términos de lo dispuesto por 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veintidós, razón por la cual se tuvo por interpuesto al día hábil siguiente. </w:t>
      </w:r>
    </w:p>
  </w:footnote>
  <w:footnote w:id="2">
    <w:p w14:paraId="0E6208D3" w14:textId="77777777" w:rsidR="00BD584A" w:rsidRDefault="005A341C">
      <w:pPr>
        <w:rPr>
          <w:rFonts w:ascii="Palatino Linotype" w:eastAsia="Palatino Linotype" w:hAnsi="Palatino Linotype" w:cs="Palatino Linotype"/>
          <w:i/>
          <w:sz w:val="18"/>
          <w:szCs w:val="18"/>
        </w:rPr>
      </w:pPr>
      <w:r>
        <w:rPr>
          <w:vertAlign w:val="superscript"/>
        </w:rPr>
        <w:footnoteRef/>
      </w:r>
      <w:r>
        <w:rPr>
          <w:rFonts w:ascii="Cambria" w:eastAsia="Cambria" w:hAnsi="Cambria" w:cs="Cambria"/>
          <w:sz w:val="20"/>
          <w:szCs w:val="20"/>
        </w:rPr>
        <w:t xml:space="preserve"> </w:t>
      </w:r>
      <w:r>
        <w:rPr>
          <w:rFonts w:ascii="Palatino Linotype" w:eastAsia="Palatino Linotype" w:hAnsi="Palatino Linotype" w:cs="Palatino Linotype"/>
          <w:i/>
          <w:sz w:val="18"/>
          <w:szCs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B403A" w14:textId="77777777" w:rsidR="00BD584A" w:rsidRDefault="00AE0186">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508B0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RESOLUCIÓN" style="position:absolute;margin-left:0;margin-top:0;width:540pt;height:10in;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8E10D" w14:textId="77777777" w:rsidR="00BD584A" w:rsidRDefault="00AE0186">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072ED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RESOLUCIÓN" style="position:absolute;margin-left:0;margin-top:0;width:540pt;height:10in;z-index:-251659776;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tbl>
    <w:tblPr>
      <w:tblStyle w:val="affff6"/>
      <w:tblW w:w="9534" w:type="dxa"/>
      <w:tblInd w:w="-142" w:type="dxa"/>
      <w:tblLayout w:type="fixed"/>
      <w:tblLook w:val="0400" w:firstRow="0" w:lastRow="0" w:firstColumn="0" w:lastColumn="0" w:noHBand="0" w:noVBand="1"/>
    </w:tblPr>
    <w:tblGrid>
      <w:gridCol w:w="3261"/>
      <w:gridCol w:w="2551"/>
      <w:gridCol w:w="3722"/>
    </w:tblGrid>
    <w:tr w:rsidR="00BD584A" w14:paraId="6AB90F10" w14:textId="77777777">
      <w:tc>
        <w:tcPr>
          <w:tcW w:w="3261" w:type="dxa"/>
          <w:vMerge w:val="restart"/>
        </w:tcPr>
        <w:p w14:paraId="493E733C" w14:textId="77777777" w:rsidR="00BD584A" w:rsidRDefault="005A341C">
          <w:pP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540548C8" wp14:editId="69C5FCE4">
                <wp:extent cx="1692162" cy="852673"/>
                <wp:effectExtent l="0" t="0" r="0" b="0"/>
                <wp:docPr id="25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7BD79185" w14:textId="77777777" w:rsidR="00BD584A" w:rsidRDefault="005A341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722" w:type="dxa"/>
          <w:shd w:val="clear" w:color="auto" w:fill="auto"/>
          <w:vAlign w:val="center"/>
        </w:tcPr>
        <w:p w14:paraId="17F69B86" w14:textId="77777777" w:rsidR="00BD584A" w:rsidRDefault="005A341C">
          <w:pPr>
            <w:jc w:val="both"/>
            <w:rPr>
              <w:rFonts w:ascii="Palatino Linotype" w:eastAsia="Palatino Linotype" w:hAnsi="Palatino Linotype" w:cs="Palatino Linotype"/>
              <w:b/>
            </w:rPr>
          </w:pPr>
          <w:r>
            <w:rPr>
              <w:rFonts w:ascii="Palatino Linotype" w:eastAsia="Palatino Linotype" w:hAnsi="Palatino Linotype" w:cs="Palatino Linotype"/>
              <w:b/>
            </w:rPr>
            <w:t>04167/INFOEM/IP/RR/2022</w:t>
          </w:r>
        </w:p>
      </w:tc>
    </w:tr>
    <w:tr w:rsidR="00BD584A" w14:paraId="26E67281" w14:textId="77777777">
      <w:tc>
        <w:tcPr>
          <w:tcW w:w="3261" w:type="dxa"/>
          <w:vMerge/>
        </w:tcPr>
        <w:p w14:paraId="5883B92B" w14:textId="77777777" w:rsidR="00BD584A" w:rsidRDefault="00BD584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50639716" w14:textId="77777777" w:rsidR="00BD584A" w:rsidRDefault="005A341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722" w:type="dxa"/>
          <w:shd w:val="clear" w:color="auto" w:fill="auto"/>
          <w:vAlign w:val="center"/>
        </w:tcPr>
        <w:p w14:paraId="17A8197C" w14:textId="77777777" w:rsidR="00BD584A" w:rsidRDefault="005A341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Metepec </w:t>
          </w:r>
        </w:p>
      </w:tc>
    </w:tr>
    <w:tr w:rsidR="00BD584A" w14:paraId="55B6025C" w14:textId="77777777">
      <w:trPr>
        <w:trHeight w:val="790"/>
      </w:trPr>
      <w:tc>
        <w:tcPr>
          <w:tcW w:w="3261" w:type="dxa"/>
          <w:vMerge/>
        </w:tcPr>
        <w:p w14:paraId="71C38B23" w14:textId="77777777" w:rsidR="00BD584A" w:rsidRDefault="00BD584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2551" w:type="dxa"/>
          <w:shd w:val="clear" w:color="auto" w:fill="auto"/>
        </w:tcPr>
        <w:p w14:paraId="75BDBA78" w14:textId="77777777" w:rsidR="00BD584A" w:rsidRDefault="005A341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722" w:type="dxa"/>
          <w:shd w:val="clear" w:color="auto" w:fill="auto"/>
        </w:tcPr>
        <w:p w14:paraId="0AA77812" w14:textId="77777777" w:rsidR="00BD584A" w:rsidRDefault="005A341C">
          <w:pPr>
            <w:jc w:val="both"/>
            <w:rPr>
              <w:rFonts w:ascii="Palatino Linotype" w:eastAsia="Palatino Linotype" w:hAnsi="Palatino Linotype" w:cs="Palatino Linotype"/>
              <w:b/>
            </w:rPr>
          </w:pPr>
          <w:r>
            <w:rPr>
              <w:rFonts w:ascii="Palatino Linotype" w:eastAsia="Palatino Linotype" w:hAnsi="Palatino Linotype" w:cs="Palatino Linotype"/>
              <w:b/>
            </w:rPr>
            <w:t>Sharon Cristina Morales Martínez</w:t>
          </w:r>
        </w:p>
      </w:tc>
    </w:tr>
  </w:tbl>
  <w:p w14:paraId="428569A0" w14:textId="77777777" w:rsidR="00BD584A" w:rsidRDefault="00BD584A">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6375B" w14:textId="77777777" w:rsidR="00BD584A" w:rsidRDefault="00AE0186">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6B83B3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RESOLUCIÓN" style="position:absolute;margin-left:0;margin-top:0;width:540pt;height:10in;z-index:-251658752;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tbl>
    <w:tblPr>
      <w:tblStyle w:val="affff5"/>
      <w:tblW w:w="9900" w:type="dxa"/>
      <w:tblInd w:w="-833" w:type="dxa"/>
      <w:tblLayout w:type="fixed"/>
      <w:tblLook w:val="0400" w:firstRow="0" w:lastRow="0" w:firstColumn="0" w:lastColumn="0" w:noHBand="0" w:noVBand="1"/>
    </w:tblPr>
    <w:tblGrid>
      <w:gridCol w:w="3805"/>
      <w:gridCol w:w="3000"/>
      <w:gridCol w:w="3095"/>
    </w:tblGrid>
    <w:tr w:rsidR="00BD584A" w14:paraId="7FFC8188" w14:textId="77777777">
      <w:tc>
        <w:tcPr>
          <w:tcW w:w="3805" w:type="dxa"/>
          <w:vMerge w:val="restart"/>
          <w:shd w:val="clear" w:color="auto" w:fill="auto"/>
        </w:tcPr>
        <w:p w14:paraId="73C67F8A" w14:textId="77777777" w:rsidR="00BD584A" w:rsidRDefault="005A341C">
          <w:pPr>
            <w:jc w:val="center"/>
            <w:rPr>
              <w:rFonts w:ascii="Palatino Linotype" w:eastAsia="Palatino Linotype" w:hAnsi="Palatino Linotype" w:cs="Palatino Linotype"/>
              <w:b/>
            </w:rPr>
          </w:pPr>
          <w:r>
            <w:rPr>
              <w:rFonts w:ascii="Palatino Linotype" w:eastAsia="Palatino Linotype" w:hAnsi="Palatino Linotype" w:cs="Palatino Linotype"/>
              <w:noProof/>
              <w:sz w:val="28"/>
              <w:szCs w:val="28"/>
            </w:rPr>
            <w:drawing>
              <wp:inline distT="0" distB="0" distL="0" distR="0" wp14:anchorId="367C064E" wp14:editId="4F0AA7FD">
                <wp:extent cx="1692162" cy="852673"/>
                <wp:effectExtent l="0" t="0" r="0" b="0"/>
                <wp:docPr id="25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3000" w:type="dxa"/>
          <w:shd w:val="clear" w:color="auto" w:fill="auto"/>
        </w:tcPr>
        <w:p w14:paraId="2117B71D" w14:textId="77777777" w:rsidR="00BD584A" w:rsidRDefault="005A341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095" w:type="dxa"/>
          <w:shd w:val="clear" w:color="auto" w:fill="auto"/>
          <w:vAlign w:val="center"/>
        </w:tcPr>
        <w:p w14:paraId="25D88F41" w14:textId="77777777" w:rsidR="00BD584A" w:rsidRDefault="005A341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04167/INFOEM/IP/RR/2022 </w:t>
          </w:r>
        </w:p>
      </w:tc>
    </w:tr>
    <w:tr w:rsidR="00BD584A" w14:paraId="7B385061" w14:textId="77777777">
      <w:tc>
        <w:tcPr>
          <w:tcW w:w="3805" w:type="dxa"/>
          <w:vMerge/>
          <w:shd w:val="clear" w:color="auto" w:fill="auto"/>
        </w:tcPr>
        <w:p w14:paraId="15024535" w14:textId="77777777" w:rsidR="00BD584A" w:rsidRDefault="00BD584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325AD0B" w14:textId="77777777" w:rsidR="00BD584A" w:rsidRDefault="005A341C">
          <w:pPr>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095" w:type="dxa"/>
          <w:shd w:val="clear" w:color="auto" w:fill="auto"/>
          <w:vAlign w:val="center"/>
        </w:tcPr>
        <w:p w14:paraId="276C279C" w14:textId="5432DCE6" w:rsidR="00BD584A" w:rsidRDefault="00DF4D4F">
          <w:pPr>
            <w:jc w:val="both"/>
            <w:rPr>
              <w:rFonts w:ascii="Palatino Linotype" w:eastAsia="Palatino Linotype" w:hAnsi="Palatino Linotype" w:cs="Palatino Linotype"/>
              <w:b/>
            </w:rPr>
          </w:pPr>
          <w:bookmarkStart w:id="7" w:name="_GoBack"/>
          <w:r>
            <w:rPr>
              <w:rFonts w:ascii="Palatino Linotype" w:eastAsia="Palatino Linotype" w:hAnsi="Palatino Linotype" w:cs="Palatino Linotype"/>
              <w:b/>
            </w:rPr>
            <w:t>XXXXXXXXX XXXXX XXXX</w:t>
          </w:r>
          <w:bookmarkEnd w:id="7"/>
        </w:p>
      </w:tc>
    </w:tr>
    <w:tr w:rsidR="00BD584A" w14:paraId="56E9A597" w14:textId="77777777">
      <w:trPr>
        <w:trHeight w:val="228"/>
      </w:trPr>
      <w:tc>
        <w:tcPr>
          <w:tcW w:w="3805" w:type="dxa"/>
          <w:vMerge/>
          <w:shd w:val="clear" w:color="auto" w:fill="auto"/>
        </w:tcPr>
        <w:p w14:paraId="3A7088BB" w14:textId="77777777" w:rsidR="00BD584A" w:rsidRDefault="00BD584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0A3A5291" w14:textId="77777777" w:rsidR="00BD584A" w:rsidRDefault="005A341C">
          <w:pPr>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3095" w:type="dxa"/>
          <w:shd w:val="clear" w:color="auto" w:fill="auto"/>
          <w:vAlign w:val="center"/>
        </w:tcPr>
        <w:p w14:paraId="7A7E35FA" w14:textId="77777777" w:rsidR="00BD584A" w:rsidRDefault="005A341C">
          <w:pPr>
            <w:jc w:val="both"/>
            <w:rPr>
              <w:rFonts w:ascii="Palatino Linotype" w:eastAsia="Palatino Linotype" w:hAnsi="Palatino Linotype" w:cs="Palatino Linotype"/>
              <w:b/>
            </w:rPr>
          </w:pPr>
          <w:r>
            <w:rPr>
              <w:rFonts w:ascii="Palatino Linotype" w:eastAsia="Palatino Linotype" w:hAnsi="Palatino Linotype" w:cs="Palatino Linotype"/>
              <w:b/>
            </w:rPr>
            <w:t>Ayuntamiento de Metepec</w:t>
          </w:r>
        </w:p>
      </w:tc>
    </w:tr>
    <w:tr w:rsidR="00BD584A" w14:paraId="56AB5106" w14:textId="77777777">
      <w:tc>
        <w:tcPr>
          <w:tcW w:w="3805" w:type="dxa"/>
          <w:vMerge/>
          <w:shd w:val="clear" w:color="auto" w:fill="auto"/>
        </w:tcPr>
        <w:p w14:paraId="5C826FBD" w14:textId="77777777" w:rsidR="00BD584A" w:rsidRDefault="00BD584A">
          <w:pPr>
            <w:widowControl w:val="0"/>
            <w:pBdr>
              <w:top w:val="nil"/>
              <w:left w:val="nil"/>
              <w:bottom w:val="nil"/>
              <w:right w:val="nil"/>
              <w:between w:val="nil"/>
            </w:pBdr>
            <w:spacing w:line="276" w:lineRule="auto"/>
            <w:rPr>
              <w:rFonts w:ascii="Palatino Linotype" w:eastAsia="Palatino Linotype" w:hAnsi="Palatino Linotype" w:cs="Palatino Linotype"/>
              <w:b/>
            </w:rPr>
          </w:pPr>
        </w:p>
      </w:tc>
      <w:tc>
        <w:tcPr>
          <w:tcW w:w="3000" w:type="dxa"/>
          <w:shd w:val="clear" w:color="auto" w:fill="auto"/>
        </w:tcPr>
        <w:p w14:paraId="1305965B" w14:textId="77777777" w:rsidR="00BD584A" w:rsidRDefault="005A341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095" w:type="dxa"/>
          <w:shd w:val="clear" w:color="auto" w:fill="auto"/>
        </w:tcPr>
        <w:p w14:paraId="5865DBBA" w14:textId="77777777" w:rsidR="00BD584A" w:rsidRDefault="005A341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Sharon Cristina Morales Martínez </w:t>
          </w:r>
        </w:p>
      </w:tc>
    </w:tr>
  </w:tbl>
  <w:p w14:paraId="055046F3" w14:textId="77777777" w:rsidR="00BD584A" w:rsidRDefault="00BD584A">
    <w:pPr>
      <w:rPr>
        <w:rFonts w:ascii="Palatino Linotype" w:eastAsia="Palatino Linotype" w:hAnsi="Palatino Linotype" w:cs="Palatino Linotype"/>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84A"/>
    <w:rsid w:val="00152B76"/>
    <w:rsid w:val="00233DD4"/>
    <w:rsid w:val="00256816"/>
    <w:rsid w:val="002A3740"/>
    <w:rsid w:val="003326E4"/>
    <w:rsid w:val="00452B91"/>
    <w:rsid w:val="005A341C"/>
    <w:rsid w:val="005A44DF"/>
    <w:rsid w:val="00841B1E"/>
    <w:rsid w:val="00AD3CD3"/>
    <w:rsid w:val="00AE0186"/>
    <w:rsid w:val="00B00CE7"/>
    <w:rsid w:val="00BD584A"/>
    <w:rsid w:val="00DC119B"/>
    <w:rsid w:val="00DF4D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D70EDF"/>
  <w15:docId w15:val="{F335349E-92E1-44A5-8EF3-BB056B1B9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895"/>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semiHidden/>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semiHidden/>
    <w:unhideWhenUsed/>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semiHidden/>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semiHidden/>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semiHidden/>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TableNormalf4">
    <w:name w:val="Table Normal"/>
    <w:tblPr>
      <w:tblCellMar>
        <w:top w:w="0" w:type="dxa"/>
        <w:left w:w="0" w:type="dxa"/>
        <w:bottom w:w="0" w:type="dxa"/>
        <w:right w:w="0" w:type="dxa"/>
      </w:tblCellMar>
    </w:tblPr>
  </w:style>
  <w:style w:type="table" w:customStyle="1" w:styleId="TableNormalf5">
    <w:name w:val="Table Normal"/>
    <w:tblPr>
      <w:tblCellMar>
        <w:top w:w="0" w:type="dxa"/>
        <w:left w:w="0" w:type="dxa"/>
        <w:bottom w:w="0" w:type="dxa"/>
        <w:right w:w="0" w:type="dxa"/>
      </w:tblCellMar>
    </w:tblPr>
  </w:style>
  <w:style w:type="table" w:customStyle="1" w:styleId="TableNormalf6">
    <w:name w:val="Table Normal"/>
    <w:tblPr>
      <w:tblCellMar>
        <w:top w:w="0" w:type="dxa"/>
        <w:left w:w="0" w:type="dxa"/>
        <w:bottom w:w="0" w:type="dxa"/>
        <w:right w:w="0" w:type="dxa"/>
      </w:tblCellMar>
    </w:tblPr>
  </w:style>
  <w:style w:type="table" w:customStyle="1" w:styleId="TableNormalf7">
    <w:name w:val="Table Normal"/>
    <w:tblPr>
      <w:tblCellMar>
        <w:top w:w="0" w:type="dxa"/>
        <w:left w:w="0" w:type="dxa"/>
        <w:bottom w:w="0" w:type="dxa"/>
        <w:right w:w="0" w:type="dxa"/>
      </w:tblCellMar>
    </w:tblPr>
  </w:style>
  <w:style w:type="table" w:customStyle="1" w:styleId="TableNormalf8">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style>
  <w:style w:type="table" w:customStyle="1" w:styleId="Tablaconcuadrcula3">
    <w:name w:val="Tabla con cuadrícula3"/>
    <w:basedOn w:val="Tablanormal"/>
    <w:next w:val="Tablaconcuadrcula"/>
    <w:uiPriority w:val="39"/>
    <w:rsid w:val="006E27F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96E3C"/>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f8"/>
    <w:tblPr>
      <w:tblStyleRowBandSize w:val="1"/>
      <w:tblStyleColBandSize w:val="1"/>
      <w:tblCellMar>
        <w:top w:w="100" w:type="dxa"/>
        <w:left w:w="100" w:type="dxa"/>
        <w:bottom w:w="100" w:type="dxa"/>
        <w:right w:w="100" w:type="dxa"/>
      </w:tblCellMar>
    </w:tblPr>
  </w:style>
  <w:style w:type="table" w:customStyle="1" w:styleId="a0">
    <w:basedOn w:val="TableNormalf8"/>
    <w:tblPr>
      <w:tblStyleRowBandSize w:val="1"/>
      <w:tblStyleColBandSize w:val="1"/>
      <w:tblCellMar>
        <w:left w:w="115" w:type="dxa"/>
        <w:right w:w="115" w:type="dxa"/>
      </w:tblCellMar>
    </w:tblPr>
  </w:style>
  <w:style w:type="table" w:customStyle="1" w:styleId="a1">
    <w:basedOn w:val="TableNormalf8"/>
    <w:tblPr>
      <w:tblStyleRowBandSize w:val="1"/>
      <w:tblStyleColBandSize w:val="1"/>
      <w:tblCellMar>
        <w:left w:w="115" w:type="dxa"/>
        <w:right w:w="115" w:type="dxa"/>
      </w:tblCellMar>
    </w:tblPr>
  </w:style>
  <w:style w:type="table" w:customStyle="1" w:styleId="a2">
    <w:basedOn w:val="TableNormalf8"/>
    <w:tblPr>
      <w:tblStyleRowBandSize w:val="1"/>
      <w:tblStyleColBandSize w:val="1"/>
      <w:tblCellMar>
        <w:left w:w="115" w:type="dxa"/>
        <w:right w:w="115" w:type="dxa"/>
      </w:tblCellMar>
    </w:tblPr>
  </w:style>
  <w:style w:type="table" w:customStyle="1" w:styleId="a3">
    <w:basedOn w:val="TableNormalf8"/>
    <w:tblPr>
      <w:tblStyleRowBandSize w:val="1"/>
      <w:tblStyleColBandSize w:val="1"/>
      <w:tblCellMar>
        <w:left w:w="115" w:type="dxa"/>
        <w:right w:w="115" w:type="dxa"/>
      </w:tblCellMar>
    </w:tblPr>
  </w:style>
  <w:style w:type="table" w:customStyle="1" w:styleId="a4">
    <w:basedOn w:val="TableNormalf8"/>
    <w:tblPr>
      <w:tblStyleRowBandSize w:val="1"/>
      <w:tblStyleColBandSize w:val="1"/>
      <w:tblCellMar>
        <w:left w:w="115" w:type="dxa"/>
        <w:right w:w="115" w:type="dxa"/>
      </w:tblCellMar>
    </w:tblPr>
  </w:style>
  <w:style w:type="table" w:customStyle="1" w:styleId="a5">
    <w:basedOn w:val="TableNormalf8"/>
    <w:rPr>
      <w:rFonts w:ascii="Arial" w:eastAsia="Arial" w:hAnsi="Arial" w:cs="Arial"/>
      <w:sz w:val="22"/>
      <w:szCs w:val="22"/>
    </w:rPr>
    <w:tblPr>
      <w:tblStyleRowBandSize w:val="1"/>
      <w:tblStyleColBandSize w:val="1"/>
      <w:tblCellMar>
        <w:left w:w="115" w:type="dxa"/>
        <w:right w:w="115" w:type="dxa"/>
      </w:tblCellMar>
    </w:tblPr>
  </w:style>
  <w:style w:type="table" w:customStyle="1" w:styleId="a6">
    <w:basedOn w:val="TableNormalf8"/>
    <w:tblPr>
      <w:tblStyleRowBandSize w:val="1"/>
      <w:tblStyleColBandSize w:val="1"/>
      <w:tblCellMar>
        <w:left w:w="115" w:type="dxa"/>
        <w:right w:w="115" w:type="dxa"/>
      </w:tblCellMar>
    </w:tblPr>
  </w:style>
  <w:style w:type="table" w:customStyle="1" w:styleId="a7">
    <w:basedOn w:val="TableNormalf8"/>
    <w:tblPr>
      <w:tblStyleRowBandSize w:val="1"/>
      <w:tblStyleColBandSize w:val="1"/>
      <w:tblCellMar>
        <w:left w:w="115" w:type="dxa"/>
        <w:right w:w="115" w:type="dxa"/>
      </w:tblCellMar>
    </w:tblPr>
  </w:style>
  <w:style w:type="table" w:customStyle="1" w:styleId="a8">
    <w:basedOn w:val="TableNormalf8"/>
    <w:rPr>
      <w:rFonts w:ascii="Arial" w:eastAsia="Arial" w:hAnsi="Arial" w:cs="Arial"/>
      <w:sz w:val="22"/>
      <w:szCs w:val="22"/>
    </w:rPr>
    <w:tblPr>
      <w:tblStyleRowBandSize w:val="1"/>
      <w:tblStyleColBandSize w:val="1"/>
      <w:tblCellMar>
        <w:left w:w="115" w:type="dxa"/>
        <w:right w:w="115" w:type="dxa"/>
      </w:tblCellMar>
    </w:tblPr>
  </w:style>
  <w:style w:type="table" w:customStyle="1" w:styleId="a9">
    <w:basedOn w:val="TableNormalf8"/>
    <w:rPr>
      <w:rFonts w:ascii="Arial" w:eastAsia="Arial" w:hAnsi="Arial" w:cs="Arial"/>
      <w:sz w:val="22"/>
      <w:szCs w:val="22"/>
    </w:rPr>
    <w:tblPr>
      <w:tblStyleRowBandSize w:val="1"/>
      <w:tblStyleColBandSize w:val="1"/>
      <w:tblCellMar>
        <w:left w:w="115" w:type="dxa"/>
        <w:right w:w="115" w:type="dxa"/>
      </w:tblCellMar>
    </w:tblPr>
  </w:style>
  <w:style w:type="table" w:customStyle="1" w:styleId="aa">
    <w:basedOn w:val="TableNormalf5"/>
    <w:rPr>
      <w:rFonts w:ascii="Arial" w:eastAsia="Arial" w:hAnsi="Arial" w:cs="Arial"/>
      <w:sz w:val="22"/>
      <w:szCs w:val="22"/>
    </w:rPr>
    <w:tblPr>
      <w:tblStyleRowBandSize w:val="1"/>
      <w:tblStyleColBandSize w:val="1"/>
      <w:tblCellMar>
        <w:left w:w="115" w:type="dxa"/>
        <w:right w:w="115" w:type="dxa"/>
      </w:tblCellMar>
    </w:tblPr>
  </w:style>
  <w:style w:type="table" w:customStyle="1" w:styleId="ab">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d">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e">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0">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1">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2">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3">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4">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5">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6">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7">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8">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9">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a">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b">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d">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e">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0">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1">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2">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3">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4">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5">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6">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7">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8">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9">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a">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b">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c">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d">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e">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
    <w:basedOn w:val="TableNormalf5"/>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0">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1">
    <w:basedOn w:val="TableNormal8"/>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2">
    <w:basedOn w:val="TableNormal7"/>
    <w:tblPr>
      <w:tblStyleRowBandSize w:val="1"/>
      <w:tblStyleColBandSize w:val="1"/>
      <w:tblCellMar>
        <w:left w:w="115" w:type="dxa"/>
        <w:right w:w="115" w:type="dxa"/>
      </w:tblCellMar>
    </w:tblPr>
  </w:style>
  <w:style w:type="table" w:customStyle="1" w:styleId="afff3">
    <w:basedOn w:val="TableNormal7"/>
    <w:tblPr>
      <w:tblStyleRowBandSize w:val="1"/>
      <w:tblStyleColBandSize w:val="1"/>
      <w:tblCellMar>
        <w:top w:w="100" w:type="dxa"/>
        <w:left w:w="100" w:type="dxa"/>
        <w:bottom w:w="100" w:type="dxa"/>
        <w:right w:w="100" w:type="dxa"/>
      </w:tblCellMar>
    </w:tblPr>
  </w:style>
  <w:style w:type="table" w:customStyle="1" w:styleId="afff4">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5">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6">
    <w:basedOn w:val="TableNormal7"/>
    <w:tblPr>
      <w:tblStyleRowBandSize w:val="1"/>
      <w:tblStyleColBandSize w:val="1"/>
      <w:tblCellMar>
        <w:top w:w="100" w:type="dxa"/>
        <w:left w:w="100" w:type="dxa"/>
        <w:bottom w:w="100" w:type="dxa"/>
        <w:right w:w="100" w:type="dxa"/>
      </w:tblCellMar>
    </w:tblPr>
  </w:style>
  <w:style w:type="table" w:customStyle="1" w:styleId="afff7">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8">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9">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a">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b">
    <w:basedOn w:val="TableNormal7"/>
    <w:rPr>
      <w:rFonts w:ascii="Arial" w:eastAsia="Arial" w:hAnsi="Arial" w:cs="Arial"/>
      <w:sz w:val="22"/>
      <w:szCs w:val="22"/>
    </w:rPr>
    <w:tblPr>
      <w:tblStyleRowBandSize w:val="1"/>
      <w:tblStyleColBandSize w:val="1"/>
      <w:tblCellMar>
        <w:left w:w="115" w:type="dxa"/>
        <w:right w:w="115" w:type="dxa"/>
      </w:tblCellMar>
    </w:tblPr>
  </w:style>
  <w:style w:type="table" w:customStyle="1" w:styleId="afffc">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d">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e">
    <w:basedOn w:val="TableNormal7"/>
    <w:rPr>
      <w:rFonts w:ascii="Arial" w:eastAsia="Arial" w:hAnsi="Arial" w:cs="Arial"/>
      <w:sz w:val="22"/>
      <w:szCs w:val="22"/>
    </w:rPr>
    <w:tblPr>
      <w:tblStyleRowBandSize w:val="1"/>
      <w:tblStyleColBandSize w:val="1"/>
      <w:tblCellMar>
        <w:left w:w="108" w:type="dxa"/>
        <w:right w:w="108" w:type="dxa"/>
      </w:tblCellMar>
    </w:tblPr>
  </w:style>
  <w:style w:type="table" w:customStyle="1" w:styleId="affff">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0">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1">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2">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3">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4">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5">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 w:type="table" w:customStyle="1" w:styleId="affff6">
    <w:basedOn w:val="TableNormal7"/>
    <w:rPr>
      <w:rFonts w:ascii="Arial" w:eastAsia="Arial" w:hAnsi="Arial" w:cs="Arial"/>
      <w:sz w:val="22"/>
      <w:szCs w:val="22"/>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W8aMrxrkK2l5h+colLZwbf1Veg==">AMUW2mWfVfzvsh02pN41ZYpFs9TkghD452fhxiwTxKF/FbFqI/N1GJsyVwAmCWqz2OX0kdIkTlbuyyJW3y3TVTRoR6kLYIIW4UeOsZ+ti0OsOleD0tAI3HHaPPwUSmJd8whf5u97U+vs1/A38IWT7lhowPP9S2NzLziY1Q0CcYvXc0ZiHTKLbDH3Vn3L3c8bzR/zJaXK7FNkCYwgP1LVCRpyIv7jF4qt7ABxHCQwaPMZSObOIujk0WQ=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34</Pages>
  <Words>7790</Words>
  <Characters>42846</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Microsoft Office User</cp:lastModifiedBy>
  <cp:revision>9</cp:revision>
  <cp:lastPrinted>2022-06-03T04:10:00Z</cp:lastPrinted>
  <dcterms:created xsi:type="dcterms:W3CDTF">2022-05-27T03:43:00Z</dcterms:created>
  <dcterms:modified xsi:type="dcterms:W3CDTF">2022-06-27T02:35:00Z</dcterms:modified>
</cp:coreProperties>
</file>