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449BF" w:rsidRDefault="00616C37">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Resolución del Pleno del Instituto de Transparencia, Acceso a la Información Pública y Protección de Datos Personales del Estado de México y Municipios, con domicilio en Metepec, Esta</w:t>
      </w:r>
      <w:r w:rsidR="00890155">
        <w:rPr>
          <w:rFonts w:ascii="Palatino Linotype" w:eastAsia="Palatino Linotype" w:hAnsi="Palatino Linotype" w:cs="Palatino Linotype"/>
        </w:rPr>
        <w:t>d</w:t>
      </w:r>
      <w:r w:rsidR="009C7C34">
        <w:rPr>
          <w:rFonts w:ascii="Palatino Linotype" w:eastAsia="Palatino Linotype" w:hAnsi="Palatino Linotype" w:cs="Palatino Linotype"/>
        </w:rPr>
        <w:t>o de México, de fecha treinta y uno</w:t>
      </w:r>
      <w:r w:rsidR="00890155">
        <w:rPr>
          <w:rFonts w:ascii="Palatino Linotype" w:eastAsia="Palatino Linotype" w:hAnsi="Palatino Linotype" w:cs="Palatino Linotype"/>
        </w:rPr>
        <w:t xml:space="preserve"> de agosto</w:t>
      </w:r>
      <w:r>
        <w:rPr>
          <w:rFonts w:ascii="Palatino Linotype" w:eastAsia="Palatino Linotype" w:hAnsi="Palatino Linotype" w:cs="Palatino Linotype"/>
        </w:rPr>
        <w:t xml:space="preserve"> de dos mil veintidós. </w:t>
      </w:r>
    </w:p>
    <w:p w:rsidR="001449BF" w:rsidRDefault="00616C37">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Vistos</w:t>
      </w:r>
      <w:r>
        <w:rPr>
          <w:rFonts w:ascii="Palatino Linotype" w:eastAsia="Palatino Linotype" w:hAnsi="Palatino Linotype" w:cs="Palatino Linotype"/>
        </w:rPr>
        <w:t xml:space="preserve"> los expedientes relativos a los recursos de revisión </w:t>
      </w:r>
      <w:r w:rsidR="009C7C34">
        <w:rPr>
          <w:rFonts w:ascii="Palatino Linotype" w:eastAsia="Palatino Linotype" w:hAnsi="Palatino Linotype" w:cs="Palatino Linotype"/>
          <w:b/>
        </w:rPr>
        <w:t>05599</w:t>
      </w:r>
      <w:r w:rsidR="00417ECD">
        <w:rPr>
          <w:rFonts w:ascii="Palatino Linotype" w:eastAsia="Palatino Linotype" w:hAnsi="Palatino Linotype" w:cs="Palatino Linotype"/>
          <w:b/>
        </w:rPr>
        <w:t>/INFOEM/IP/RR/2022</w:t>
      </w:r>
      <w:r w:rsidR="00B07BD2">
        <w:rPr>
          <w:rFonts w:ascii="Palatino Linotype" w:eastAsia="Palatino Linotype" w:hAnsi="Palatino Linotype" w:cs="Palatino Linotype"/>
        </w:rPr>
        <w:t xml:space="preserve"> y </w:t>
      </w:r>
      <w:r w:rsidR="009C7C34">
        <w:rPr>
          <w:rFonts w:ascii="Palatino Linotype" w:eastAsia="Palatino Linotype" w:hAnsi="Palatino Linotype" w:cs="Palatino Linotype"/>
          <w:b/>
        </w:rPr>
        <w:t>05600</w:t>
      </w:r>
      <w:r w:rsidR="00417ECD">
        <w:rPr>
          <w:rFonts w:ascii="Palatino Linotype" w:eastAsia="Palatino Linotype" w:hAnsi="Palatino Linotype" w:cs="Palatino Linotype"/>
          <w:b/>
        </w:rPr>
        <w:t>/INFOEM/IP/RR/2022</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interpuestos por </w:t>
      </w:r>
      <w:r w:rsidR="003F6323">
        <w:rPr>
          <w:rFonts w:ascii="Palatino Linotype" w:eastAsia="Palatino Linotype" w:hAnsi="Palatino Linotype" w:cs="Palatino Linotype"/>
          <w:b/>
        </w:rPr>
        <w:t>XXXXX XXXXX XXXXX XXXXX</w:t>
      </w:r>
      <w:r w:rsidR="000A398F">
        <w:rPr>
          <w:rFonts w:ascii="Palatino Linotype" w:eastAsia="Palatino Linotype" w:hAnsi="Palatino Linotype" w:cs="Palatino Linotype"/>
        </w:rPr>
        <w:t>, a quien se le denominada la</w:t>
      </w:r>
      <w:r>
        <w:rPr>
          <w:rFonts w:ascii="Palatino Linotype" w:eastAsia="Palatino Linotype" w:hAnsi="Palatino Linotype" w:cs="Palatino Linotype"/>
        </w:rPr>
        <w:t xml:space="preserve"> </w:t>
      </w:r>
      <w:r>
        <w:rPr>
          <w:rFonts w:ascii="Palatino Linotype" w:eastAsia="Palatino Linotype" w:hAnsi="Palatino Linotype" w:cs="Palatino Linotype"/>
          <w:b/>
        </w:rPr>
        <w:t>RECURRENTE</w:t>
      </w:r>
      <w:r w:rsidR="00753FE4">
        <w:rPr>
          <w:rFonts w:ascii="Palatino Linotype" w:eastAsia="Palatino Linotype" w:hAnsi="Palatino Linotype" w:cs="Palatino Linotype"/>
        </w:rPr>
        <w:t xml:space="preserve"> en contra de la falta de respuesta </w:t>
      </w:r>
      <w:r>
        <w:rPr>
          <w:rFonts w:ascii="Palatino Linotype" w:eastAsia="Palatino Linotype" w:hAnsi="Palatino Linotype" w:cs="Palatino Linotype"/>
        </w:rPr>
        <w:t xml:space="preserve">del </w:t>
      </w:r>
      <w:r w:rsidR="000A398F">
        <w:rPr>
          <w:rFonts w:ascii="Palatino Linotype" w:eastAsia="Palatino Linotype" w:hAnsi="Palatino Linotype" w:cs="Palatino Linotype"/>
          <w:b/>
        </w:rPr>
        <w:t>Ayuntamiento de Temascalcingo</w:t>
      </w:r>
      <w:r>
        <w:rPr>
          <w:rFonts w:ascii="Palatino Linotype" w:eastAsia="Palatino Linotype" w:hAnsi="Palatino Linotype" w:cs="Palatino Linotype"/>
          <w:b/>
        </w:rPr>
        <w:t>,</w:t>
      </w:r>
      <w:r>
        <w:rPr>
          <w:rFonts w:ascii="Palatino Linotype" w:eastAsia="Palatino Linotype" w:hAnsi="Palatino Linotype" w:cs="Palatino Linotype"/>
        </w:rPr>
        <w:t xml:space="preserve"> en lo sucesivo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se procede a dictar la presente resolución, con base en los siguientes:</w:t>
      </w:r>
    </w:p>
    <w:p w:rsidR="001449BF" w:rsidRDefault="00616C37">
      <w:pPr>
        <w:numPr>
          <w:ilvl w:val="0"/>
          <w:numId w:val="3"/>
        </w:numPr>
        <w:pBdr>
          <w:top w:val="nil"/>
          <w:left w:val="nil"/>
          <w:bottom w:val="nil"/>
          <w:right w:val="nil"/>
          <w:between w:val="nil"/>
        </w:pBdr>
        <w:spacing w:before="240" w:after="240" w:line="360" w:lineRule="auto"/>
        <w:ind w:left="1077"/>
        <w:jc w:val="center"/>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A N T E C E D E N T E S:</w:t>
      </w:r>
    </w:p>
    <w:p w:rsidR="001449BF" w:rsidRDefault="00616C37">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1. </w:t>
      </w:r>
      <w:r w:rsidRPr="00E9517F">
        <w:rPr>
          <w:rFonts w:ascii="Palatino Linotype" w:eastAsia="Palatino Linotype" w:hAnsi="Palatino Linotype" w:cs="Palatino Linotype"/>
          <w:b/>
        </w:rPr>
        <w:t>Solicitudes de acceso a la información.</w:t>
      </w:r>
      <w:r>
        <w:rPr>
          <w:rFonts w:ascii="Palatino Linotype" w:eastAsia="Palatino Linotype" w:hAnsi="Palatino Linotype" w:cs="Palatino Linotype"/>
          <w:b/>
        </w:rPr>
        <w:t xml:space="preserve"> </w:t>
      </w:r>
      <w:r w:rsidR="000A398F">
        <w:rPr>
          <w:rFonts w:ascii="Palatino Linotype" w:eastAsia="Palatino Linotype" w:hAnsi="Palatino Linotype" w:cs="Palatino Linotype"/>
        </w:rPr>
        <w:t>Con fecha siete</w:t>
      </w:r>
      <w:r w:rsidR="00E9517F">
        <w:rPr>
          <w:rFonts w:ascii="Palatino Linotype" w:eastAsia="Palatino Linotype" w:hAnsi="Palatino Linotype" w:cs="Palatino Linotype"/>
        </w:rPr>
        <w:t xml:space="preserve"> de marzo</w:t>
      </w:r>
      <w:r>
        <w:rPr>
          <w:rFonts w:ascii="Palatino Linotype" w:eastAsia="Palatino Linotype" w:hAnsi="Palatino Linotype" w:cs="Palatino Linotype"/>
        </w:rPr>
        <w:t xml:space="preserve"> del dos mil veintidós, la parte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formuló solicitudes de acceso a información pública al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a través del Sistema de Acceso a la Información Mexiquense, en adelante </w:t>
      </w:r>
      <w:r>
        <w:rPr>
          <w:rFonts w:ascii="Palatino Linotype" w:eastAsia="Palatino Linotype" w:hAnsi="Palatino Linotype" w:cs="Palatino Linotype"/>
          <w:b/>
        </w:rPr>
        <w:t>SAIMEX,</w:t>
      </w:r>
      <w:r>
        <w:rPr>
          <w:rFonts w:ascii="Palatino Linotype" w:eastAsia="Palatino Linotype" w:hAnsi="Palatino Linotype" w:cs="Palatino Linotype"/>
        </w:rPr>
        <w:t xml:space="preserve"> requiriéndole lo siguiente:</w:t>
      </w:r>
    </w:p>
    <w:p w:rsidR="001449BF" w:rsidRDefault="00616C37">
      <w:pPr>
        <w:spacing w:before="240" w:after="240"/>
        <w:ind w:right="900"/>
        <w:jc w:val="both"/>
        <w:rPr>
          <w:rFonts w:ascii="Palatino Linotype" w:eastAsia="Palatino Linotype" w:hAnsi="Palatino Linotype" w:cs="Palatino Linotype"/>
          <w:b/>
        </w:rPr>
      </w:pPr>
      <w:r>
        <w:rPr>
          <w:rFonts w:ascii="Palatino Linotype" w:eastAsia="Palatino Linotype" w:hAnsi="Palatino Linotype" w:cs="Palatino Linotype"/>
          <w:b/>
        </w:rPr>
        <w:t xml:space="preserve">Solicitud </w:t>
      </w:r>
      <w:r w:rsidR="000A398F" w:rsidRPr="000A398F">
        <w:rPr>
          <w:rFonts w:ascii="Palatino Linotype" w:eastAsia="Palatino Linotype" w:hAnsi="Palatino Linotype" w:cs="Palatino Linotype"/>
          <w:b/>
        </w:rPr>
        <w:t>00047/TMASCALC/IP/2022</w:t>
      </w:r>
      <w:r>
        <w:rPr>
          <w:rFonts w:ascii="Palatino Linotype" w:eastAsia="Palatino Linotype" w:hAnsi="Palatino Linotype" w:cs="Palatino Linotype"/>
          <w:b/>
        </w:rPr>
        <w:t>:</w:t>
      </w:r>
    </w:p>
    <w:p w:rsidR="001449BF" w:rsidRDefault="00616C37">
      <w:pPr>
        <w:spacing w:before="240" w:after="240"/>
        <w:ind w:left="850"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r w:rsidR="000A398F" w:rsidRPr="000A398F">
        <w:rPr>
          <w:rFonts w:ascii="Palatino Linotype" w:eastAsia="Palatino Linotype" w:hAnsi="Palatino Linotype" w:cs="Palatino Linotype"/>
          <w:i/>
          <w:color w:val="000000"/>
          <w:sz w:val="22"/>
          <w:szCs w:val="22"/>
        </w:rPr>
        <w:t>Ficha curricular, nivel de escolaridad, copia de ultimo certificado de estudios, copia de recibo de nomina de las quincenas de enero a fecbrero de 2022. Del director del instituto del deporte de Temascalcingo, también si ha sido deportiasta destacadp, si ha participado o ologro un premio en olimpiadas, selectivos nacionales, panamericanos a fin de dsaber su trayectoria deportiva, tambien quiero saber si cumple con los requisitos que dice la ley organica del estado y la ley del instituto para ser director del deporte, afvor de anexar los documentos que justifiquen que si cumple los requisitos, si ha recibido capacitacion de como debe portarse con la gente como servidor publico,</w:t>
      </w:r>
      <w:r>
        <w:rPr>
          <w:rFonts w:ascii="Palatino Linotype" w:eastAsia="Palatino Linotype" w:hAnsi="Palatino Linotype" w:cs="Palatino Linotype"/>
          <w:i/>
          <w:color w:val="000000"/>
          <w:sz w:val="22"/>
          <w:szCs w:val="22"/>
        </w:rPr>
        <w:t>” (Sic)</w:t>
      </w:r>
    </w:p>
    <w:p w:rsidR="000A398F" w:rsidRDefault="00616C37" w:rsidP="000A398F">
      <w:pPr>
        <w:spacing w:before="240" w:after="240"/>
        <w:ind w:right="900"/>
        <w:jc w:val="both"/>
        <w:rPr>
          <w:rFonts w:ascii="Palatino Linotype" w:eastAsia="Palatino Linotype" w:hAnsi="Palatino Linotype" w:cs="Palatino Linotype"/>
          <w:b/>
        </w:rPr>
      </w:pPr>
      <w:r>
        <w:rPr>
          <w:rFonts w:ascii="Palatino Linotype" w:eastAsia="Palatino Linotype" w:hAnsi="Palatino Linotype" w:cs="Palatino Linotype"/>
          <w:b/>
        </w:rPr>
        <w:lastRenderedPageBreak/>
        <w:t xml:space="preserve">Solicitud </w:t>
      </w:r>
      <w:r w:rsidR="000A398F">
        <w:rPr>
          <w:rFonts w:ascii="Palatino Linotype" w:eastAsia="Palatino Linotype" w:hAnsi="Palatino Linotype" w:cs="Palatino Linotype"/>
          <w:b/>
        </w:rPr>
        <w:t>00048</w:t>
      </w:r>
      <w:r w:rsidR="000A398F" w:rsidRPr="000A398F">
        <w:rPr>
          <w:rFonts w:ascii="Palatino Linotype" w:eastAsia="Palatino Linotype" w:hAnsi="Palatino Linotype" w:cs="Palatino Linotype"/>
          <w:b/>
        </w:rPr>
        <w:t>/TMASCALC/IP/2022</w:t>
      </w:r>
      <w:r w:rsidR="000A398F">
        <w:rPr>
          <w:rFonts w:ascii="Palatino Linotype" w:eastAsia="Palatino Linotype" w:hAnsi="Palatino Linotype" w:cs="Palatino Linotype"/>
          <w:b/>
        </w:rPr>
        <w:t>:</w:t>
      </w:r>
    </w:p>
    <w:p w:rsidR="001449BF" w:rsidRPr="00387B64" w:rsidRDefault="00616C37" w:rsidP="000A398F">
      <w:pPr>
        <w:spacing w:before="240" w:after="240"/>
        <w:ind w:left="850"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r w:rsidR="000A398F" w:rsidRPr="000A398F">
        <w:rPr>
          <w:rFonts w:ascii="Palatino Linotype" w:eastAsia="Palatino Linotype" w:hAnsi="Palatino Linotype" w:cs="Palatino Linotype"/>
          <w:i/>
          <w:color w:val="000000"/>
          <w:sz w:val="22"/>
          <w:szCs w:val="22"/>
        </w:rPr>
        <w:t>ficha curricular, titulo o certificado de estudios, perfil de puesto, declaración de interés de de la directora de administracion.y personal o su equivalente copia de los recibos de nomina de las quincenas de enero y febrero de 2022 correspondientes a la directora de administracion, asi como copia de los recibos de pago de las quincenas de diciembre de 2021 y de enero a febrero de uriel roldan zaldivar y de matilde rosario moreno correa, asi como si gerardo gilberto roldan zaldivar esta en la nomina del ayuntamiento , odapas, instituto del deporte o dif municipal</w:t>
      </w:r>
      <w:r>
        <w:rPr>
          <w:rFonts w:ascii="Palatino Linotype" w:eastAsia="Palatino Linotype" w:hAnsi="Palatino Linotype" w:cs="Palatino Linotype"/>
          <w:i/>
          <w:color w:val="000000"/>
          <w:sz w:val="22"/>
          <w:szCs w:val="22"/>
        </w:rPr>
        <w:t>” (Sic)</w:t>
      </w:r>
    </w:p>
    <w:p w:rsidR="001449BF" w:rsidRDefault="00616C37">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Modalidad elegida para la entrega de la información en ambas solicitudes: </w:t>
      </w:r>
      <w:r>
        <w:rPr>
          <w:rFonts w:ascii="Palatino Linotype" w:eastAsia="Palatino Linotype" w:hAnsi="Palatino Linotype" w:cs="Palatino Linotype"/>
        </w:rPr>
        <w:t xml:space="preserve">a través del </w:t>
      </w:r>
      <w:r>
        <w:rPr>
          <w:rFonts w:ascii="Palatino Linotype" w:eastAsia="Palatino Linotype" w:hAnsi="Palatino Linotype" w:cs="Palatino Linotype"/>
          <w:b/>
        </w:rPr>
        <w:t>SAIMEX</w:t>
      </w:r>
      <w:r>
        <w:rPr>
          <w:rFonts w:ascii="Palatino Linotype" w:eastAsia="Palatino Linotype" w:hAnsi="Palatino Linotype" w:cs="Palatino Linotype"/>
        </w:rPr>
        <w:t>.</w:t>
      </w:r>
    </w:p>
    <w:p w:rsidR="00550A43" w:rsidRDefault="00616C37" w:rsidP="00550A43">
      <w:pPr>
        <w:spacing w:before="240" w:after="240" w:line="360" w:lineRule="auto"/>
        <w:jc w:val="both"/>
        <w:rPr>
          <w:rFonts w:ascii="Palatino Linotype" w:hAnsi="Palatino Linotype" w:cs="Arial"/>
          <w:lang w:val="es-ES_tradnl"/>
        </w:rPr>
      </w:pPr>
      <w:r>
        <w:rPr>
          <w:rFonts w:ascii="Palatino Linotype" w:eastAsia="Palatino Linotype" w:hAnsi="Palatino Linotype" w:cs="Palatino Linotype"/>
          <w:b/>
        </w:rPr>
        <w:t xml:space="preserve">2. Respuestas. </w:t>
      </w:r>
      <w:r w:rsidR="00550A43" w:rsidRPr="00C3458F">
        <w:rPr>
          <w:rFonts w:ascii="Palatino Linotype" w:hAnsi="Palatino Linotype" w:cs="Arial"/>
          <w:lang w:val="es-ES_tradnl"/>
        </w:rPr>
        <w:t>De</w:t>
      </w:r>
      <w:r w:rsidR="00550A43">
        <w:rPr>
          <w:rFonts w:ascii="Palatino Linotype" w:hAnsi="Palatino Linotype" w:cs="Arial"/>
          <w:lang w:val="es-ES_tradnl"/>
        </w:rPr>
        <w:t xml:space="preserve"> los</w:t>
      </w:r>
      <w:r w:rsidR="00550A43" w:rsidRPr="00C3458F">
        <w:rPr>
          <w:rFonts w:ascii="Palatino Linotype" w:hAnsi="Palatino Linotype" w:cs="Arial"/>
          <w:lang w:val="es-ES_tradnl"/>
        </w:rPr>
        <w:t xml:space="preserve"> expediente</w:t>
      </w:r>
      <w:r w:rsidR="00550A43">
        <w:rPr>
          <w:rFonts w:ascii="Palatino Linotype" w:hAnsi="Palatino Linotype" w:cs="Arial"/>
          <w:lang w:val="es-ES_tradnl"/>
        </w:rPr>
        <w:t>s</w:t>
      </w:r>
      <w:r w:rsidR="00550A43" w:rsidRPr="00C3458F">
        <w:rPr>
          <w:rFonts w:ascii="Palatino Linotype" w:hAnsi="Palatino Linotype" w:cs="Arial"/>
          <w:lang w:val="es-ES_tradnl"/>
        </w:rPr>
        <w:t xml:space="preserve"> electrónico</w:t>
      </w:r>
      <w:r w:rsidR="00550A43">
        <w:rPr>
          <w:rFonts w:ascii="Palatino Linotype" w:hAnsi="Palatino Linotype" w:cs="Arial"/>
          <w:lang w:val="es-ES_tradnl"/>
        </w:rPr>
        <w:t>s</w:t>
      </w:r>
      <w:r w:rsidR="00550A43" w:rsidRPr="00C3458F">
        <w:rPr>
          <w:rFonts w:ascii="Palatino Linotype" w:hAnsi="Palatino Linotype" w:cs="Arial"/>
          <w:lang w:val="es-ES_tradnl"/>
        </w:rPr>
        <w:t xml:space="preserve"> se advierte que el </w:t>
      </w:r>
      <w:r w:rsidR="00550A43" w:rsidRPr="00C3458F">
        <w:rPr>
          <w:rFonts w:ascii="Palatino Linotype" w:hAnsi="Palatino Linotype" w:cs="Arial"/>
          <w:b/>
          <w:lang w:val="es-ES_tradnl"/>
        </w:rPr>
        <w:t>SUJETO OBLIGADO</w:t>
      </w:r>
      <w:r w:rsidR="00550A43">
        <w:rPr>
          <w:rFonts w:ascii="Palatino Linotype" w:hAnsi="Palatino Linotype" w:cs="Arial"/>
          <w:lang w:val="es-ES_tradnl"/>
        </w:rPr>
        <w:t xml:space="preserve"> fue omiso en emitir respuestas</w:t>
      </w:r>
      <w:r w:rsidR="00550A43" w:rsidRPr="00C3458F">
        <w:rPr>
          <w:rFonts w:ascii="Palatino Linotype" w:hAnsi="Palatino Linotype" w:cs="Arial"/>
          <w:lang w:val="es-ES_tradnl"/>
        </w:rPr>
        <w:t xml:space="preserve"> </w:t>
      </w:r>
      <w:r w:rsidR="00550A43">
        <w:rPr>
          <w:rFonts w:ascii="Palatino Linotype" w:hAnsi="Palatino Linotype" w:cs="Arial"/>
          <w:lang w:val="es-ES_tradnl"/>
        </w:rPr>
        <w:t>a las solicitudes</w:t>
      </w:r>
      <w:r w:rsidR="00550A43" w:rsidRPr="00C3458F">
        <w:rPr>
          <w:rFonts w:ascii="Palatino Linotype" w:hAnsi="Palatino Linotype" w:cs="Arial"/>
          <w:lang w:val="es-ES_tradnl"/>
        </w:rPr>
        <w:t xml:space="preserve"> de </w:t>
      </w:r>
      <w:r w:rsidR="00550A43">
        <w:rPr>
          <w:rFonts w:ascii="Palatino Linotype" w:hAnsi="Palatino Linotype" w:cs="Arial"/>
          <w:lang w:val="es-ES_tradnl"/>
        </w:rPr>
        <w:t xml:space="preserve">acceso a la </w:t>
      </w:r>
      <w:r w:rsidR="00550A43" w:rsidRPr="00C3458F">
        <w:rPr>
          <w:rFonts w:ascii="Palatino Linotype" w:hAnsi="Palatino Linotype" w:cs="Arial"/>
          <w:lang w:val="es-ES_tradnl"/>
        </w:rPr>
        <w:t>información pública</w:t>
      </w:r>
      <w:r w:rsidR="00550A43">
        <w:rPr>
          <w:rFonts w:ascii="Palatino Linotype" w:hAnsi="Palatino Linotype" w:cs="Arial"/>
          <w:lang w:val="es-ES_tradnl"/>
        </w:rPr>
        <w:t>,</w:t>
      </w:r>
      <w:r w:rsidR="00550A43" w:rsidRPr="00C3458F">
        <w:rPr>
          <w:rFonts w:ascii="Palatino Linotype" w:hAnsi="Palatino Linotype" w:cs="Arial"/>
          <w:lang w:val="es-ES_tradnl"/>
        </w:rPr>
        <w:t xml:space="preserve"> dentro del plazo de quince días otorgado por el artículo 163 de la Ley de Transparencia y Acceso a la Inf</w:t>
      </w:r>
      <w:r w:rsidR="00550A43">
        <w:rPr>
          <w:rFonts w:ascii="Palatino Linotype" w:hAnsi="Palatino Linotype" w:cs="Arial"/>
          <w:lang w:val="es-ES_tradnl"/>
        </w:rPr>
        <w:t>ormación Pública de la entidad.</w:t>
      </w:r>
    </w:p>
    <w:p w:rsidR="001449BF" w:rsidRDefault="004C30DE" w:rsidP="00550A43">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3</w:t>
      </w:r>
      <w:r w:rsidR="00616C37">
        <w:rPr>
          <w:rFonts w:ascii="Palatino Linotype" w:eastAsia="Palatino Linotype" w:hAnsi="Palatino Linotype" w:cs="Palatino Linotype"/>
          <w:b/>
        </w:rPr>
        <w:t xml:space="preserve">. Interposición de los recursos de revisión. </w:t>
      </w:r>
      <w:r w:rsidR="00616C37">
        <w:rPr>
          <w:rFonts w:ascii="Palatino Linotype" w:eastAsia="Palatino Linotype" w:hAnsi="Palatino Linotype" w:cs="Palatino Linotype"/>
        </w:rPr>
        <w:t xml:space="preserve">Inconforme el solicitante con la respuesta del </w:t>
      </w:r>
      <w:r w:rsidR="00616C37">
        <w:rPr>
          <w:rFonts w:ascii="Palatino Linotype" w:eastAsia="Palatino Linotype" w:hAnsi="Palatino Linotype" w:cs="Palatino Linotype"/>
          <w:b/>
        </w:rPr>
        <w:t>SUJETO OBLIGADO</w:t>
      </w:r>
      <w:r w:rsidR="00616C37">
        <w:rPr>
          <w:rFonts w:ascii="Palatino Linotype" w:eastAsia="Palatino Linotype" w:hAnsi="Palatino Linotype" w:cs="Palatino Linotype"/>
        </w:rPr>
        <w:t xml:space="preserve"> interpuso los recursos de revisión a través del SAIME</w:t>
      </w:r>
      <w:r>
        <w:rPr>
          <w:rFonts w:ascii="Palatino Linotype" w:eastAsia="Palatino Linotype" w:hAnsi="Palatino Linotype" w:cs="Palatino Linotype"/>
        </w:rPr>
        <w:t>X e</w:t>
      </w:r>
      <w:r w:rsidR="000A398F">
        <w:rPr>
          <w:rFonts w:ascii="Palatino Linotype" w:eastAsia="Palatino Linotype" w:hAnsi="Palatino Linotype" w:cs="Palatino Linotype"/>
        </w:rPr>
        <w:t>n fecha seis de abril</w:t>
      </w:r>
      <w:r w:rsidR="00616C37">
        <w:rPr>
          <w:rFonts w:ascii="Palatino Linotype" w:eastAsia="Palatino Linotype" w:hAnsi="Palatino Linotype" w:cs="Palatino Linotype"/>
        </w:rPr>
        <w:t xml:space="preserve"> de dos mil veintidós, a través de </w:t>
      </w:r>
      <w:r>
        <w:rPr>
          <w:rFonts w:ascii="Palatino Linotype" w:eastAsia="Palatino Linotype" w:hAnsi="Palatino Linotype" w:cs="Palatino Linotype"/>
        </w:rPr>
        <w:t>los cuales expresó lo siguiente</w:t>
      </w:r>
      <w:r w:rsidR="00607E41">
        <w:rPr>
          <w:rFonts w:ascii="Palatino Linotype" w:eastAsia="Palatino Linotype" w:hAnsi="Palatino Linotype" w:cs="Palatino Linotype"/>
        </w:rPr>
        <w:t>, en ambos recursos</w:t>
      </w:r>
      <w:r w:rsidR="00616C37">
        <w:rPr>
          <w:rFonts w:ascii="Palatino Linotype" w:eastAsia="Palatino Linotype" w:hAnsi="Palatino Linotype" w:cs="Palatino Linotype"/>
        </w:rPr>
        <w:t>:</w:t>
      </w:r>
    </w:p>
    <w:p w:rsidR="001449BF" w:rsidRDefault="00616C37">
      <w:pPr>
        <w:spacing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a) Acto impugnado.</w:t>
      </w:r>
    </w:p>
    <w:p w:rsidR="001449BF" w:rsidRDefault="00616C37">
      <w:pPr>
        <w:ind w:left="851"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r w:rsidR="00607E41" w:rsidRPr="00607E41">
        <w:rPr>
          <w:rFonts w:ascii="Palatino Linotype" w:eastAsia="Palatino Linotype" w:hAnsi="Palatino Linotype" w:cs="Palatino Linotype"/>
          <w:i/>
          <w:color w:val="000000"/>
          <w:sz w:val="22"/>
          <w:szCs w:val="22"/>
        </w:rPr>
        <w:t>Falta de repuesta de solicitud</w:t>
      </w:r>
      <w:r>
        <w:rPr>
          <w:rFonts w:ascii="Palatino Linotype" w:eastAsia="Palatino Linotype" w:hAnsi="Palatino Linotype" w:cs="Palatino Linotype"/>
          <w:i/>
          <w:color w:val="000000"/>
          <w:sz w:val="22"/>
          <w:szCs w:val="22"/>
        </w:rPr>
        <w:t>” (Sic)</w:t>
      </w:r>
    </w:p>
    <w:p w:rsidR="001449BF" w:rsidRDefault="001449BF">
      <w:pPr>
        <w:ind w:left="851" w:right="902"/>
        <w:jc w:val="both"/>
        <w:rPr>
          <w:rFonts w:ascii="Palatino Linotype" w:eastAsia="Palatino Linotype" w:hAnsi="Palatino Linotype" w:cs="Palatino Linotype"/>
          <w:i/>
          <w:color w:val="000000"/>
          <w:sz w:val="22"/>
          <w:szCs w:val="22"/>
        </w:rPr>
      </w:pPr>
    </w:p>
    <w:p w:rsidR="001449BF" w:rsidRDefault="00616C37">
      <w:pPr>
        <w:spacing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b) Motivos de inconformidad.</w:t>
      </w:r>
    </w:p>
    <w:p w:rsidR="001449BF" w:rsidRDefault="00616C37">
      <w:pPr>
        <w:ind w:left="851"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r w:rsidR="00607E41" w:rsidRPr="00607E41">
        <w:rPr>
          <w:rFonts w:ascii="Palatino Linotype" w:eastAsia="Palatino Linotype" w:hAnsi="Palatino Linotype" w:cs="Palatino Linotype"/>
          <w:i/>
          <w:color w:val="000000"/>
          <w:sz w:val="22"/>
          <w:szCs w:val="22"/>
        </w:rPr>
        <w:t>Falta de respuesta</w:t>
      </w:r>
      <w:r>
        <w:rPr>
          <w:rFonts w:ascii="Palatino Linotype" w:eastAsia="Palatino Linotype" w:hAnsi="Palatino Linotype" w:cs="Palatino Linotype"/>
          <w:i/>
          <w:color w:val="000000"/>
          <w:sz w:val="22"/>
          <w:szCs w:val="22"/>
        </w:rPr>
        <w:t>” (Sic)</w:t>
      </w:r>
    </w:p>
    <w:p w:rsidR="001449BF" w:rsidRDefault="001449BF">
      <w:pPr>
        <w:spacing w:line="360" w:lineRule="auto"/>
        <w:jc w:val="both"/>
        <w:rPr>
          <w:rFonts w:ascii="Palatino Linotype" w:eastAsia="Palatino Linotype" w:hAnsi="Palatino Linotype" w:cs="Palatino Linotype"/>
          <w:b/>
        </w:rPr>
      </w:pPr>
    </w:p>
    <w:p w:rsidR="001449BF" w:rsidRDefault="004C30DE">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lastRenderedPageBreak/>
        <w:t>4</w:t>
      </w:r>
      <w:r w:rsidR="00616C37">
        <w:rPr>
          <w:rFonts w:ascii="Palatino Linotype" w:eastAsia="Palatino Linotype" w:hAnsi="Palatino Linotype" w:cs="Palatino Linotype"/>
          <w:b/>
        </w:rPr>
        <w:t xml:space="preserve">. Turno. </w:t>
      </w:r>
      <w:r w:rsidR="00616C37">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el recurso de revisión número </w:t>
      </w:r>
      <w:r w:rsidR="00607E41">
        <w:rPr>
          <w:rFonts w:ascii="Palatino Linotype" w:eastAsia="Palatino Linotype" w:hAnsi="Palatino Linotype" w:cs="Palatino Linotype"/>
          <w:b/>
        </w:rPr>
        <w:t>05599</w:t>
      </w:r>
      <w:r w:rsidR="00616C37">
        <w:rPr>
          <w:rFonts w:ascii="Palatino Linotype" w:eastAsia="Palatino Linotype" w:hAnsi="Palatino Linotype" w:cs="Palatino Linotype"/>
          <w:b/>
        </w:rPr>
        <w:t xml:space="preserve">/INFOEM/IP/RR/2022, </w:t>
      </w:r>
      <w:r w:rsidR="00616C37">
        <w:rPr>
          <w:rFonts w:ascii="Palatino Linotype" w:eastAsia="Palatino Linotype" w:hAnsi="Palatino Linotype" w:cs="Palatino Linotype"/>
        </w:rPr>
        <w:t xml:space="preserve">se turnó por el sistema electrónico del Instituto de Transparencia, Acceso a la Información Pública y Protección de Datos Personales del Estado de México y Municipios, a la Comisionada </w:t>
      </w:r>
      <w:r w:rsidR="00616C37">
        <w:rPr>
          <w:rFonts w:ascii="Palatino Linotype" w:eastAsia="Palatino Linotype" w:hAnsi="Palatino Linotype" w:cs="Palatino Linotype"/>
          <w:b/>
        </w:rPr>
        <w:t>Guadalupe Ramírez Peña</w:t>
      </w:r>
      <w:r w:rsidR="00616C37">
        <w:rPr>
          <w:rFonts w:ascii="Palatino Linotype" w:eastAsia="Palatino Linotype" w:hAnsi="Palatino Linotype" w:cs="Palatino Linotype"/>
        </w:rPr>
        <w:t xml:space="preserve"> y el recurso de revisión número </w:t>
      </w:r>
      <w:r w:rsidR="00607E41">
        <w:rPr>
          <w:rFonts w:ascii="Palatino Linotype" w:eastAsia="Palatino Linotype" w:hAnsi="Palatino Linotype" w:cs="Palatino Linotype"/>
          <w:b/>
        </w:rPr>
        <w:t>05600</w:t>
      </w:r>
      <w:r w:rsidR="00616C37">
        <w:rPr>
          <w:rFonts w:ascii="Palatino Linotype" w:eastAsia="Palatino Linotype" w:hAnsi="Palatino Linotype" w:cs="Palatino Linotype"/>
          <w:b/>
        </w:rPr>
        <w:t xml:space="preserve">/INFOEM/IP/RR/2021, </w:t>
      </w:r>
      <w:r w:rsidR="00616C37">
        <w:rPr>
          <w:rFonts w:ascii="Palatino Linotype" w:eastAsia="Palatino Linotype" w:hAnsi="Palatino Linotype" w:cs="Palatino Linotype"/>
        </w:rPr>
        <w:t xml:space="preserve">se turnó por el sistema electrónico del Instituto de Transparencia, Acceso a la Información Pública y Protección de Datos Personales del Estado de México y Municipios, al  Comisionado </w:t>
      </w:r>
      <w:r w:rsidR="00B558FB">
        <w:rPr>
          <w:rFonts w:ascii="Palatino Linotype" w:eastAsia="Palatino Linotype" w:hAnsi="Palatino Linotype" w:cs="Palatino Linotype"/>
        </w:rPr>
        <w:t xml:space="preserve">Presidente </w:t>
      </w:r>
      <w:r w:rsidR="00616C37">
        <w:rPr>
          <w:rFonts w:ascii="Palatino Linotype" w:eastAsia="Palatino Linotype" w:hAnsi="Palatino Linotype" w:cs="Palatino Linotype"/>
          <w:b/>
        </w:rPr>
        <w:t>José Martínez Vilchis</w:t>
      </w:r>
      <w:r w:rsidR="00616C37">
        <w:rPr>
          <w:rFonts w:ascii="Palatino Linotype" w:eastAsia="Palatino Linotype" w:hAnsi="Palatino Linotype" w:cs="Palatino Linotype"/>
        </w:rPr>
        <w:t>, para su análisis, estudio, elaboración del proyecto y presentación ante el Pleno de este Instituto.</w:t>
      </w:r>
    </w:p>
    <w:p w:rsidR="00C67D96" w:rsidRDefault="004C30DE" w:rsidP="00C67D9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5</w:t>
      </w:r>
      <w:r w:rsidR="00616C37">
        <w:rPr>
          <w:rFonts w:ascii="Palatino Linotype" w:eastAsia="Palatino Linotype" w:hAnsi="Palatino Linotype" w:cs="Palatino Linotype"/>
          <w:b/>
        </w:rPr>
        <w:t xml:space="preserve">. </w:t>
      </w:r>
      <w:r w:rsidR="00C67D96">
        <w:rPr>
          <w:rFonts w:ascii="Palatino Linotype" w:eastAsia="Palatino Linotype" w:hAnsi="Palatino Linotype" w:cs="Palatino Linotype"/>
          <w:b/>
        </w:rPr>
        <w:t xml:space="preserve">Admisión de los recursos de revisión: </w:t>
      </w:r>
      <w:r w:rsidR="00607E41">
        <w:rPr>
          <w:rFonts w:ascii="Palatino Linotype" w:eastAsia="Palatino Linotype" w:hAnsi="Palatino Linotype" w:cs="Palatino Linotype"/>
        </w:rPr>
        <w:t xml:space="preserve">En fecha dieciocho de abril </w:t>
      </w:r>
      <w:r w:rsidR="00C67D96">
        <w:rPr>
          <w:rFonts w:ascii="Palatino Linotype" w:eastAsia="Palatino Linotype" w:hAnsi="Palatino Linotype" w:cs="Palatino Linotype"/>
        </w:rPr>
        <w:t xml:space="preserve">del dos mil veintidós, </w:t>
      </w:r>
      <w:r w:rsidR="006B5DE4">
        <w:rPr>
          <w:rFonts w:ascii="Palatino Linotype" w:eastAsia="Palatino Linotype" w:hAnsi="Palatino Linotype" w:cs="Palatino Linotype"/>
        </w:rPr>
        <w:t>se admitieron</w:t>
      </w:r>
      <w:r w:rsidR="00C67D96">
        <w:rPr>
          <w:rFonts w:ascii="Palatino Linotype" w:eastAsia="Palatino Linotype" w:hAnsi="Palatino Linotype" w:cs="Palatino Linotype"/>
        </w:rPr>
        <w:t xml:space="preserve"> a trámite los recursos de revisión que ahora se resuelven, dando un plazo máximo de siete días hábiles para que las partes manifestaran lo que a su derecho resultara conveniente, ofrecieran pruebas, formularan alegatos y el Sujeto Obligado presentara su informe justificado. </w:t>
      </w:r>
    </w:p>
    <w:p w:rsidR="001449BF" w:rsidRDefault="00C67D96">
      <w:pPr>
        <w:spacing w:before="40" w:after="28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 xml:space="preserve">6. </w:t>
      </w:r>
      <w:r w:rsidR="00616C37">
        <w:rPr>
          <w:rFonts w:ascii="Palatino Linotype" w:eastAsia="Palatino Linotype" w:hAnsi="Palatino Linotype" w:cs="Palatino Linotype"/>
          <w:b/>
        </w:rPr>
        <w:t xml:space="preserve">Acumulación, </w:t>
      </w:r>
      <w:r w:rsidR="00616C37">
        <w:rPr>
          <w:rFonts w:ascii="Palatino Linotype" w:eastAsia="Palatino Linotype" w:hAnsi="Palatino Linotype" w:cs="Palatino Linotype"/>
        </w:rPr>
        <w:t xml:space="preserve">en la </w:t>
      </w:r>
      <w:r w:rsidR="00616C37" w:rsidRPr="00FD7709">
        <w:rPr>
          <w:rFonts w:ascii="Palatino Linotype" w:eastAsia="Palatino Linotype" w:hAnsi="Palatino Linotype" w:cs="Palatino Linotype"/>
        </w:rPr>
        <w:t xml:space="preserve">Décima </w:t>
      </w:r>
      <w:r w:rsidR="00607E41">
        <w:rPr>
          <w:rFonts w:ascii="Palatino Linotype" w:eastAsia="Palatino Linotype" w:hAnsi="Palatino Linotype" w:cs="Palatino Linotype"/>
        </w:rPr>
        <w:t>Quinta</w:t>
      </w:r>
      <w:r>
        <w:rPr>
          <w:rFonts w:ascii="Palatino Linotype" w:eastAsia="Palatino Linotype" w:hAnsi="Palatino Linotype" w:cs="Palatino Linotype"/>
        </w:rPr>
        <w:t xml:space="preserve"> </w:t>
      </w:r>
      <w:r w:rsidR="00616C37" w:rsidRPr="00FD7709">
        <w:rPr>
          <w:rFonts w:ascii="Palatino Linotype" w:eastAsia="Palatino Linotype" w:hAnsi="Palatino Linotype" w:cs="Palatino Linotype"/>
        </w:rPr>
        <w:t xml:space="preserve">Sesión Ordinaria del Pleno </w:t>
      </w:r>
      <w:r w:rsidR="00616C37">
        <w:rPr>
          <w:rFonts w:ascii="Palatino Linotype" w:eastAsia="Palatino Linotype" w:hAnsi="Palatino Linotype" w:cs="Palatino Linotype"/>
        </w:rPr>
        <w:t>de este Instituto de Transparencia, Acceso a la Información Pública y Protección de Datos Personales del Estado de México y Municipi</w:t>
      </w:r>
      <w:r w:rsidR="00607E41">
        <w:rPr>
          <w:rFonts w:ascii="Palatino Linotype" w:eastAsia="Palatino Linotype" w:hAnsi="Palatino Linotype" w:cs="Palatino Linotype"/>
        </w:rPr>
        <w:t>os, celebrada en fecha veintisiete</w:t>
      </w:r>
      <w:r>
        <w:rPr>
          <w:rFonts w:ascii="Palatino Linotype" w:eastAsia="Palatino Linotype" w:hAnsi="Palatino Linotype" w:cs="Palatino Linotype"/>
        </w:rPr>
        <w:t xml:space="preserve"> de abril</w:t>
      </w:r>
      <w:r w:rsidR="00616C37">
        <w:rPr>
          <w:rFonts w:ascii="Palatino Linotype" w:eastAsia="Palatino Linotype" w:hAnsi="Palatino Linotype" w:cs="Palatino Linotype"/>
        </w:rPr>
        <w:t xml:space="preserve"> del dos mil veintidós, al advertir la conexidad de causa y con la finalidad de evitar que se dicten resoluciones contradictorias, se acordó la acumulación de los recursos señalados en este fallo; determinando que fuera Ponente, la Comisionada </w:t>
      </w:r>
      <w:r w:rsidR="00616C37">
        <w:rPr>
          <w:rFonts w:ascii="Palatino Linotype" w:eastAsia="Palatino Linotype" w:hAnsi="Palatino Linotype" w:cs="Palatino Linotype"/>
          <w:b/>
        </w:rPr>
        <w:t xml:space="preserve">Guadalupe Ramírez Peña; </w:t>
      </w:r>
      <w:r w:rsidR="00616C37">
        <w:rPr>
          <w:rFonts w:ascii="Palatino Linotype" w:eastAsia="Palatino Linotype" w:hAnsi="Palatino Linotype" w:cs="Palatino Linotype"/>
        </w:rPr>
        <w:t xml:space="preserve">lo anterior de conformidad con el artículo 195 de la Ley de Transparencia y </w:t>
      </w:r>
      <w:r w:rsidR="00616C37">
        <w:rPr>
          <w:rFonts w:ascii="Palatino Linotype" w:eastAsia="Palatino Linotype" w:hAnsi="Palatino Linotype" w:cs="Palatino Linotype"/>
        </w:rPr>
        <w:lastRenderedPageBreak/>
        <w:t>Acceso a la Información Pública del Estado de México y Municipios, y artículo 18 del Código de Procedimientos Administrativos del Estado de México de manera supletoria; los cuales a la letra establecen:</w:t>
      </w:r>
    </w:p>
    <w:p w:rsidR="001449BF" w:rsidRDefault="00616C37">
      <w:pPr>
        <w:spacing w:before="280"/>
        <w:ind w:left="1134" w:right="1325"/>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“Artículo 195.- En la tramitación del recurso de revisión se aplicarán supletoriamente las disposiciones contenidas en el Código de Procedimientos Administrativos del Estado de México.” (Sic)</w:t>
      </w:r>
    </w:p>
    <w:p w:rsidR="001449BF" w:rsidRDefault="001449BF">
      <w:pPr>
        <w:ind w:right="1325"/>
        <w:jc w:val="both"/>
        <w:rPr>
          <w:rFonts w:ascii="Palatino Linotype" w:eastAsia="Palatino Linotype" w:hAnsi="Palatino Linotype" w:cs="Palatino Linotype"/>
          <w:i/>
          <w:sz w:val="22"/>
          <w:szCs w:val="22"/>
        </w:rPr>
      </w:pPr>
    </w:p>
    <w:p w:rsidR="001449BF" w:rsidRDefault="00616C37">
      <w:pPr>
        <w:ind w:left="1134" w:right="132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“Artículo 18.- La autoridad administrativa o el Tribunal acordarán la acumulación de los expedientes del procedimiento y proceso administrativo que ante ellos se sigan, de oficio o a petición de parte, cuando las partes o los actos administrativos sean iguales, se trate de actos conexos o resulte conveniente el trámite unificado de los asuntos, para evitar la emisión de resoluciones contradictorias. La misma regla se aplicará, en lo conducente, para la separación de los expedientes. (Sic)</w:t>
      </w:r>
    </w:p>
    <w:p w:rsidR="001449BF" w:rsidRDefault="001449BF">
      <w:pPr>
        <w:spacing w:after="240" w:line="360" w:lineRule="auto"/>
        <w:jc w:val="both"/>
        <w:rPr>
          <w:rFonts w:ascii="Palatino Linotype" w:eastAsia="Palatino Linotype" w:hAnsi="Palatino Linotype" w:cs="Palatino Linotype"/>
          <w:b/>
        </w:rPr>
      </w:pPr>
    </w:p>
    <w:p w:rsidR="00FC65E3" w:rsidRDefault="00616C37" w:rsidP="00FC65E3">
      <w:pPr>
        <w:pStyle w:val="Prrafodelista"/>
        <w:widowControl w:val="0"/>
        <w:tabs>
          <w:tab w:val="left" w:pos="709"/>
        </w:tabs>
        <w:autoSpaceDE w:val="0"/>
        <w:autoSpaceDN w:val="0"/>
        <w:adjustRightInd w:val="0"/>
        <w:spacing w:before="120" w:after="240" w:line="360" w:lineRule="auto"/>
        <w:ind w:left="0"/>
        <w:jc w:val="both"/>
        <w:rPr>
          <w:rFonts w:ascii="Palatino Linotype" w:eastAsia="Palatino Linotype" w:hAnsi="Palatino Linotype" w:cs="Palatino Linotype"/>
          <w:sz w:val="24"/>
          <w:szCs w:val="24"/>
        </w:rPr>
      </w:pPr>
      <w:r>
        <w:rPr>
          <w:rFonts w:ascii="Palatino Linotype" w:eastAsia="Palatino Linotype" w:hAnsi="Palatino Linotype" w:cs="Palatino Linotype"/>
          <w:b/>
          <w:color w:val="000000"/>
        </w:rPr>
        <w:t>7. Manifestaciones</w:t>
      </w:r>
      <w:r>
        <w:rPr>
          <w:rFonts w:ascii="Palatino Linotype" w:eastAsia="Palatino Linotype" w:hAnsi="Palatino Linotype" w:cs="Palatino Linotype"/>
          <w:color w:val="000000"/>
        </w:rPr>
        <w:t xml:space="preserve">: </w:t>
      </w:r>
      <w:r w:rsidR="00FC65E3" w:rsidRPr="006C3D9D">
        <w:rPr>
          <w:rFonts w:ascii="Palatino Linotype" w:hAnsi="Palatino Linotype" w:cs="Arial"/>
          <w:sz w:val="24"/>
          <w:szCs w:val="24"/>
          <w:lang w:eastAsia="es-ES"/>
        </w:rPr>
        <w:t xml:space="preserve">De las constancias que integran el expediente en que se actúa se </w:t>
      </w:r>
      <w:r w:rsidR="00FC65E3" w:rsidRPr="00765461">
        <w:rPr>
          <w:rFonts w:ascii="Palatino Linotype" w:hAnsi="Palatino Linotype" w:cs="Arial"/>
          <w:sz w:val="24"/>
          <w:szCs w:val="24"/>
          <w:lang w:eastAsia="es-ES"/>
        </w:rPr>
        <w:t xml:space="preserve">advierte que </w:t>
      </w:r>
      <w:r w:rsidR="00FC65E3" w:rsidRPr="006C3D9D">
        <w:rPr>
          <w:rFonts w:ascii="Palatino Linotype" w:hAnsi="Palatino Linotype" w:cs="Arial"/>
          <w:sz w:val="24"/>
          <w:szCs w:val="24"/>
          <w:lang w:eastAsia="es-ES"/>
        </w:rPr>
        <w:t xml:space="preserve">el </w:t>
      </w:r>
      <w:r w:rsidR="00FC65E3" w:rsidRPr="006C3D9D">
        <w:rPr>
          <w:rFonts w:ascii="Palatino Linotype" w:hAnsi="Palatino Linotype" w:cs="Arial"/>
          <w:b/>
          <w:sz w:val="24"/>
          <w:szCs w:val="24"/>
          <w:lang w:eastAsia="es-ES"/>
        </w:rPr>
        <w:t>SUJETO OBLIGADO</w:t>
      </w:r>
      <w:r w:rsidR="00FC65E3" w:rsidRPr="006C3D9D">
        <w:rPr>
          <w:rFonts w:ascii="Palatino Linotype" w:hAnsi="Palatino Linotype" w:cs="Arial"/>
          <w:sz w:val="24"/>
          <w:szCs w:val="24"/>
          <w:lang w:eastAsia="es-ES"/>
        </w:rPr>
        <w:t>, e</w:t>
      </w:r>
      <w:r w:rsidR="00FC65E3" w:rsidRPr="006C3D9D">
        <w:rPr>
          <w:rFonts w:ascii="Palatino Linotype" w:eastAsia="Palatino Linotype" w:hAnsi="Palatino Linotype" w:cs="Palatino Linotype"/>
          <w:sz w:val="24"/>
          <w:szCs w:val="24"/>
        </w:rPr>
        <w:t xml:space="preserve">n fecha </w:t>
      </w:r>
      <w:r w:rsidR="00FC65E3" w:rsidRPr="006C3D9D">
        <w:rPr>
          <w:rFonts w:ascii="Palatino Linotype" w:eastAsia="Palatino Linotype" w:hAnsi="Palatino Linotype" w:cs="Palatino Linotype"/>
          <w:b/>
          <w:sz w:val="24"/>
          <w:szCs w:val="24"/>
        </w:rPr>
        <w:t xml:space="preserve">veintiuno de abril de dos mil veintidós, </w:t>
      </w:r>
      <w:r w:rsidR="00FC65E3" w:rsidRPr="006C3D9D">
        <w:rPr>
          <w:rFonts w:ascii="Palatino Linotype" w:eastAsia="Palatino Linotype" w:hAnsi="Palatino Linotype" w:cs="Palatino Linotype"/>
          <w:sz w:val="24"/>
          <w:szCs w:val="24"/>
        </w:rPr>
        <w:t xml:space="preserve">remitió, a través del SAIMEX, </w:t>
      </w:r>
      <w:r w:rsidR="00FC65E3">
        <w:rPr>
          <w:rFonts w:ascii="Palatino Linotype" w:eastAsia="Palatino Linotype" w:hAnsi="Palatino Linotype" w:cs="Palatino Linotype"/>
          <w:sz w:val="24"/>
          <w:szCs w:val="24"/>
        </w:rPr>
        <w:t xml:space="preserve">en el recurso de revisión </w:t>
      </w:r>
      <w:hyperlink r:id="rId9" w:history="1">
        <w:r w:rsidR="00FC65E3" w:rsidRPr="00FC65E3">
          <w:rPr>
            <w:rFonts w:ascii="Palatino Linotype" w:eastAsia="Palatino Linotype" w:hAnsi="Palatino Linotype" w:cs="Palatino Linotype"/>
            <w:sz w:val="24"/>
            <w:szCs w:val="24"/>
          </w:rPr>
          <w:t>05599/INFOEM/IP/RR/2022</w:t>
        </w:r>
      </w:hyperlink>
      <w:r w:rsidR="00FC65E3">
        <w:rPr>
          <w:rFonts w:ascii="Palatino Linotype" w:eastAsia="Palatino Linotype" w:hAnsi="Palatino Linotype" w:cs="Palatino Linotype"/>
          <w:sz w:val="24"/>
          <w:szCs w:val="24"/>
        </w:rPr>
        <w:t xml:space="preserve"> el archivo electrónico denominado:</w:t>
      </w:r>
    </w:p>
    <w:p w:rsidR="00FC65E3" w:rsidRDefault="003F6323" w:rsidP="00FC65E3">
      <w:pPr>
        <w:pStyle w:val="Prrafodelista"/>
        <w:widowControl w:val="0"/>
        <w:tabs>
          <w:tab w:val="left" w:pos="709"/>
        </w:tabs>
        <w:autoSpaceDE w:val="0"/>
        <w:autoSpaceDN w:val="0"/>
        <w:adjustRightInd w:val="0"/>
        <w:spacing w:before="120" w:after="240" w:line="360" w:lineRule="auto"/>
        <w:ind w:left="0"/>
        <w:jc w:val="both"/>
        <w:rPr>
          <w:rFonts w:ascii="Palatino Linotype" w:eastAsia="Palatino Linotype" w:hAnsi="Palatino Linotype" w:cs="Palatino Linotype"/>
          <w:sz w:val="24"/>
          <w:szCs w:val="24"/>
        </w:rPr>
      </w:pPr>
      <w:hyperlink r:id="rId10" w:history="1">
        <w:r w:rsidR="00FC65E3">
          <w:rPr>
            <w:rFonts w:ascii="Palatino Linotype" w:eastAsia="Palatino Linotype" w:hAnsi="Palatino Linotype" w:cs="Palatino Linotype"/>
            <w:sz w:val="24"/>
            <w:szCs w:val="24"/>
          </w:rPr>
          <w:t>“</w:t>
        </w:r>
        <w:r w:rsidR="00FC65E3" w:rsidRPr="00FC65E3">
          <w:rPr>
            <w:rFonts w:ascii="Palatino Linotype" w:eastAsia="Palatino Linotype" w:hAnsi="Palatino Linotype" w:cs="Palatino Linotype"/>
            <w:sz w:val="24"/>
            <w:szCs w:val="24"/>
          </w:rPr>
          <w:t>solicitud48.pdf</w:t>
        </w:r>
      </w:hyperlink>
      <w:r w:rsidR="00FC65E3">
        <w:rPr>
          <w:rFonts w:ascii="Palatino Linotype" w:eastAsia="Palatino Linotype" w:hAnsi="Palatino Linotype" w:cs="Palatino Linotype"/>
          <w:sz w:val="24"/>
          <w:szCs w:val="24"/>
        </w:rPr>
        <w:t xml:space="preserve">”, el cual contiene el turno de la solicitud por parte del encargado del despacho de la unidad de transparencia del </w:t>
      </w:r>
      <w:r w:rsidR="00FC65E3" w:rsidRPr="00FC65E3">
        <w:rPr>
          <w:rFonts w:ascii="Palatino Linotype" w:eastAsia="Palatino Linotype" w:hAnsi="Palatino Linotype" w:cs="Palatino Linotype"/>
          <w:b/>
          <w:sz w:val="24"/>
          <w:szCs w:val="24"/>
        </w:rPr>
        <w:t>SUJETO OBLIGADO</w:t>
      </w:r>
      <w:r w:rsidR="00FC65E3">
        <w:rPr>
          <w:rFonts w:ascii="Palatino Linotype" w:eastAsia="Palatino Linotype" w:hAnsi="Palatino Linotype" w:cs="Palatino Linotype"/>
          <w:sz w:val="24"/>
          <w:szCs w:val="24"/>
        </w:rPr>
        <w:t xml:space="preserve">, a la Dirección de Administración, Directora del Sistema Municipal para la Integración de la Familia, Director de INCUFIDE y Director del ODAPAS </w:t>
      </w:r>
      <w:r w:rsidR="00FC65E3" w:rsidRPr="00FC65E3">
        <w:rPr>
          <w:rFonts w:ascii="Palatino Linotype" w:eastAsia="Palatino Linotype" w:hAnsi="Palatino Linotype" w:cs="Palatino Linotype"/>
          <w:sz w:val="24"/>
          <w:szCs w:val="24"/>
        </w:rPr>
        <w:t>Temascalcingo</w:t>
      </w:r>
      <w:r w:rsidR="00FC65E3">
        <w:rPr>
          <w:rFonts w:ascii="Palatino Linotype" w:eastAsia="Palatino Linotype" w:hAnsi="Palatino Linotype" w:cs="Palatino Linotype"/>
          <w:sz w:val="24"/>
          <w:szCs w:val="24"/>
        </w:rPr>
        <w:t>.</w:t>
      </w:r>
    </w:p>
    <w:p w:rsidR="00FC65E3" w:rsidRDefault="00FC65E3" w:rsidP="00FC65E3">
      <w:pPr>
        <w:pStyle w:val="Prrafodelista"/>
        <w:widowControl w:val="0"/>
        <w:tabs>
          <w:tab w:val="left" w:pos="709"/>
        </w:tabs>
        <w:autoSpaceDE w:val="0"/>
        <w:autoSpaceDN w:val="0"/>
        <w:adjustRightInd w:val="0"/>
        <w:spacing w:before="120" w:after="240" w:line="360" w:lineRule="auto"/>
        <w:ind w:left="0"/>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Asimismo, contiene las respuestas de la Dirección de Administración del Ayuntamiento de Temascalcingo en donde informó que no se cuentan con las </w:t>
      </w:r>
      <w:r>
        <w:rPr>
          <w:rFonts w:ascii="Palatino Linotype" w:eastAsia="Palatino Linotype" w:hAnsi="Palatino Linotype" w:cs="Palatino Linotype"/>
          <w:sz w:val="24"/>
          <w:szCs w:val="24"/>
        </w:rPr>
        <w:lastRenderedPageBreak/>
        <w:t xml:space="preserve">atribuciones, facultades, competencias necesarias para poder generar </w:t>
      </w:r>
      <w:r w:rsidR="00237105">
        <w:rPr>
          <w:rFonts w:ascii="Palatino Linotype" w:eastAsia="Palatino Linotype" w:hAnsi="Palatino Linotype" w:cs="Palatino Linotype"/>
          <w:sz w:val="24"/>
          <w:szCs w:val="24"/>
        </w:rPr>
        <w:t xml:space="preserve">y proporcionar la información requerida en la solicitud de información. </w:t>
      </w:r>
    </w:p>
    <w:p w:rsidR="00FC65E3" w:rsidRDefault="00237105" w:rsidP="00FC65E3">
      <w:pPr>
        <w:pStyle w:val="Prrafodelista"/>
        <w:widowControl w:val="0"/>
        <w:tabs>
          <w:tab w:val="left" w:pos="709"/>
        </w:tabs>
        <w:autoSpaceDE w:val="0"/>
        <w:autoSpaceDN w:val="0"/>
        <w:adjustRightInd w:val="0"/>
        <w:spacing w:before="120" w:after="240" w:line="360" w:lineRule="auto"/>
        <w:ind w:left="0"/>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Por su parte, el Director de ODAPAS de Temascalcingo señaló que respecto de </w:t>
      </w:r>
      <w:r w:rsidRPr="00237105">
        <w:rPr>
          <w:rFonts w:ascii="Palatino Linotype" w:eastAsia="Palatino Linotype" w:hAnsi="Palatino Linotype" w:cs="Palatino Linotype"/>
          <w:sz w:val="24"/>
          <w:szCs w:val="24"/>
        </w:rPr>
        <w:t>los recibos de pago de las quincenas de diciembre de 2021 y de enero a febrero de Uriel</w:t>
      </w:r>
      <w:r>
        <w:rPr>
          <w:rFonts w:ascii="Palatino Linotype" w:eastAsia="Palatino Linotype" w:hAnsi="Palatino Linotype" w:cs="Palatino Linotype"/>
          <w:sz w:val="24"/>
          <w:szCs w:val="24"/>
        </w:rPr>
        <w:t xml:space="preserve"> R</w:t>
      </w:r>
      <w:r w:rsidRPr="00237105">
        <w:rPr>
          <w:rFonts w:ascii="Palatino Linotype" w:eastAsia="Palatino Linotype" w:hAnsi="Palatino Linotype" w:cs="Palatino Linotype"/>
          <w:sz w:val="24"/>
          <w:szCs w:val="24"/>
        </w:rPr>
        <w:t>oldan Zaldívar y de Matilde</w:t>
      </w:r>
      <w:r>
        <w:rPr>
          <w:rFonts w:ascii="Palatino Linotype" w:eastAsia="Palatino Linotype" w:hAnsi="Palatino Linotype" w:cs="Palatino Linotype"/>
          <w:sz w:val="24"/>
          <w:szCs w:val="24"/>
        </w:rPr>
        <w:t xml:space="preserve"> Rosario Moreno C</w:t>
      </w:r>
      <w:r w:rsidRPr="00237105">
        <w:rPr>
          <w:rFonts w:ascii="Palatino Linotype" w:eastAsia="Palatino Linotype" w:hAnsi="Palatino Linotype" w:cs="Palatino Linotype"/>
          <w:sz w:val="24"/>
          <w:szCs w:val="24"/>
        </w:rPr>
        <w:t>orrea, así como si Gerardo</w:t>
      </w:r>
      <w:r>
        <w:rPr>
          <w:rFonts w:ascii="Palatino Linotype" w:eastAsia="Palatino Linotype" w:hAnsi="Palatino Linotype" w:cs="Palatino Linotype"/>
          <w:sz w:val="24"/>
          <w:szCs w:val="24"/>
        </w:rPr>
        <w:t xml:space="preserve"> Gilberto Roldan Zaldivar, en los registros de la nómina de ODAPAS Temascalcingo del ejercicio 2021 y de lo que va del 2022, no existen datos de las personas mencionadas anteriormente.</w:t>
      </w:r>
    </w:p>
    <w:p w:rsidR="00FC65E3" w:rsidRDefault="00237105" w:rsidP="00FC65E3">
      <w:pPr>
        <w:pStyle w:val="Prrafodelista"/>
        <w:widowControl w:val="0"/>
        <w:tabs>
          <w:tab w:val="left" w:pos="709"/>
        </w:tabs>
        <w:autoSpaceDE w:val="0"/>
        <w:autoSpaceDN w:val="0"/>
        <w:adjustRightInd w:val="0"/>
        <w:spacing w:before="120" w:after="240" w:line="360" w:lineRule="auto"/>
        <w:ind w:left="0"/>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En el recurso de revisión </w:t>
      </w:r>
      <w:hyperlink r:id="rId11" w:history="1">
        <w:r w:rsidR="00753FE4">
          <w:rPr>
            <w:rFonts w:ascii="Palatino Linotype" w:eastAsia="Palatino Linotype" w:hAnsi="Palatino Linotype" w:cs="Palatino Linotype"/>
            <w:b/>
            <w:sz w:val="24"/>
            <w:szCs w:val="24"/>
          </w:rPr>
          <w:t>05600</w:t>
        </w:r>
        <w:r w:rsidRPr="00753FE4">
          <w:rPr>
            <w:rFonts w:ascii="Palatino Linotype" w:eastAsia="Palatino Linotype" w:hAnsi="Palatino Linotype" w:cs="Palatino Linotype"/>
            <w:b/>
            <w:sz w:val="24"/>
            <w:szCs w:val="24"/>
          </w:rPr>
          <w:t>/INFOEM/IP/RR/2022</w:t>
        </w:r>
      </w:hyperlink>
      <w:r>
        <w:rPr>
          <w:rFonts w:ascii="Palatino Linotype" w:eastAsia="Palatino Linotype" w:hAnsi="Palatino Linotype" w:cs="Palatino Linotype"/>
          <w:sz w:val="24"/>
          <w:szCs w:val="24"/>
        </w:rPr>
        <w:t>, remitió el archivo electrónico denominado:</w:t>
      </w:r>
    </w:p>
    <w:p w:rsidR="00237105" w:rsidRDefault="00237105" w:rsidP="00FC65E3">
      <w:pPr>
        <w:pStyle w:val="Prrafodelista"/>
        <w:widowControl w:val="0"/>
        <w:tabs>
          <w:tab w:val="left" w:pos="709"/>
        </w:tabs>
        <w:autoSpaceDE w:val="0"/>
        <w:autoSpaceDN w:val="0"/>
        <w:adjustRightInd w:val="0"/>
        <w:spacing w:before="120" w:after="240" w:line="360" w:lineRule="auto"/>
        <w:ind w:left="0"/>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w:t>
      </w:r>
      <w:hyperlink r:id="rId12" w:history="1">
        <w:r w:rsidRPr="00237105">
          <w:rPr>
            <w:rFonts w:ascii="Palatino Linotype" w:eastAsia="Palatino Linotype" w:hAnsi="Palatino Linotype" w:cs="Palatino Linotype"/>
            <w:sz w:val="24"/>
            <w:szCs w:val="24"/>
          </w:rPr>
          <w:t>solicitud47.pdf</w:t>
        </w:r>
      </w:hyperlink>
      <w:r>
        <w:rPr>
          <w:rFonts w:ascii="Palatino Linotype" w:eastAsia="Palatino Linotype" w:hAnsi="Palatino Linotype" w:cs="Palatino Linotype"/>
          <w:sz w:val="24"/>
          <w:szCs w:val="24"/>
        </w:rPr>
        <w:t xml:space="preserve">”, el cual contiene únicamente el turno de la solicitud de información </w:t>
      </w:r>
      <w:r w:rsidRPr="00237105">
        <w:rPr>
          <w:rFonts w:ascii="Palatino Linotype" w:eastAsia="Palatino Linotype" w:hAnsi="Palatino Linotype" w:cs="Palatino Linotype"/>
          <w:sz w:val="24"/>
          <w:szCs w:val="24"/>
        </w:rPr>
        <w:t xml:space="preserve">00047/TMASCALC/IP/2022, al </w:t>
      </w:r>
      <w:r>
        <w:rPr>
          <w:rFonts w:ascii="Palatino Linotype" w:eastAsia="Palatino Linotype" w:hAnsi="Palatino Linotype" w:cs="Palatino Linotype"/>
          <w:sz w:val="24"/>
          <w:szCs w:val="24"/>
        </w:rPr>
        <w:t xml:space="preserve">Director del INCUFIDE de Temascalcingo, sin que se advierta la respuesta de este último. </w:t>
      </w:r>
    </w:p>
    <w:p w:rsidR="00FC65E3" w:rsidRDefault="00FC65E3" w:rsidP="00FC65E3">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Documentos que, una vez analizados, se hicieron del conocimiento de la parte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a efecto de que manifestara lo que a su derecho estimara conveniente, sin </w:t>
      </w:r>
      <w:r w:rsidRPr="00765461">
        <w:rPr>
          <w:rFonts w:ascii="Palatino Linotype" w:eastAsia="Palatino Linotype" w:hAnsi="Palatino Linotype" w:cs="Palatino Linotype"/>
        </w:rPr>
        <w:t xml:space="preserve">embargo, fue omisa en </w:t>
      </w:r>
      <w:r>
        <w:rPr>
          <w:rFonts w:ascii="Palatino Linotype" w:eastAsia="Palatino Linotype" w:hAnsi="Palatino Linotype" w:cs="Palatino Linotype"/>
        </w:rPr>
        <w:t>ejercer dicha prerrogativa en el plazo establecido para tal efecto.</w:t>
      </w:r>
    </w:p>
    <w:p w:rsidR="00C67D96" w:rsidRDefault="00616C37" w:rsidP="00FC65E3">
      <w:pPr>
        <w:widowControl w:val="0"/>
        <w:pBdr>
          <w:top w:val="nil"/>
          <w:left w:val="nil"/>
          <w:bottom w:val="nil"/>
          <w:right w:val="nil"/>
          <w:between w:val="nil"/>
        </w:pBdr>
        <w:tabs>
          <w:tab w:val="left" w:pos="709"/>
        </w:tabs>
        <w:spacing w:before="12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8.-</w:t>
      </w:r>
      <w:r>
        <w:rPr>
          <w:rFonts w:ascii="Palatino Linotype" w:eastAsia="Palatino Linotype" w:hAnsi="Palatino Linotype" w:cs="Palatino Linotype"/>
        </w:rPr>
        <w:t xml:space="preserve"> </w:t>
      </w:r>
      <w:r w:rsidR="00451D9E">
        <w:rPr>
          <w:rFonts w:ascii="Palatino Linotype" w:eastAsia="Palatino Linotype" w:hAnsi="Palatino Linotype" w:cs="Palatino Linotype"/>
          <w:b/>
        </w:rPr>
        <w:t>Ampliaciones</w:t>
      </w:r>
      <w:r w:rsidR="00C67D96">
        <w:rPr>
          <w:rFonts w:ascii="Palatino Linotype" w:eastAsia="Palatino Linotype" w:hAnsi="Palatino Linotype" w:cs="Palatino Linotype"/>
          <w:b/>
        </w:rPr>
        <w:t xml:space="preserve"> del plazo.</w:t>
      </w:r>
      <w:r w:rsidR="00451D9E">
        <w:rPr>
          <w:rFonts w:ascii="Palatino Linotype" w:eastAsia="Palatino Linotype" w:hAnsi="Palatino Linotype" w:cs="Palatino Linotype"/>
        </w:rPr>
        <w:t xml:space="preserve"> En fecha tres</w:t>
      </w:r>
      <w:r w:rsidR="00C67D96" w:rsidRPr="00FD7709">
        <w:rPr>
          <w:rFonts w:ascii="Palatino Linotype" w:eastAsia="Palatino Linotype" w:hAnsi="Palatino Linotype" w:cs="Palatino Linotype"/>
        </w:rPr>
        <w:t xml:space="preserve"> de</w:t>
      </w:r>
      <w:r w:rsidR="00451D9E">
        <w:rPr>
          <w:rFonts w:ascii="Palatino Linotype" w:eastAsia="Palatino Linotype" w:hAnsi="Palatino Linotype" w:cs="Palatino Linotype"/>
        </w:rPr>
        <w:t xml:space="preserve"> agosto</w:t>
      </w:r>
      <w:r w:rsidR="00C67D96">
        <w:rPr>
          <w:rFonts w:ascii="Palatino Linotype" w:eastAsia="Palatino Linotype" w:hAnsi="Palatino Linotype" w:cs="Palatino Linotype"/>
        </w:rPr>
        <w:t xml:space="preserve"> del año dos mil veintidós, con fundamento en el artículo 181, párrafo tercero de la Ley de Transparencia y Acceso a la Información Pública del Estado de México y Municipios, se acordó la </w:t>
      </w:r>
      <w:r w:rsidR="0065037A">
        <w:rPr>
          <w:rFonts w:ascii="Palatino Linotype" w:eastAsia="Palatino Linotype" w:hAnsi="Palatino Linotype" w:cs="Palatino Linotype"/>
        </w:rPr>
        <w:t>ampliación</w:t>
      </w:r>
      <w:r w:rsidR="00C67D96">
        <w:rPr>
          <w:rFonts w:ascii="Palatino Linotype" w:eastAsia="Palatino Linotype" w:hAnsi="Palatino Linotype" w:cs="Palatino Linotype"/>
        </w:rPr>
        <w:t xml:space="preserve"> del plazo para su resolución.</w:t>
      </w:r>
    </w:p>
    <w:p w:rsidR="00C67D96" w:rsidRDefault="00C67D96" w:rsidP="00C67D96">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Este organismo garante no pasa por alto justificar, que el plazo para emitir la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rsidR="00C67D96" w:rsidRDefault="00C67D96" w:rsidP="00C67D96">
      <w:pPr>
        <w:spacing w:line="360" w:lineRule="auto"/>
        <w:jc w:val="both"/>
        <w:rPr>
          <w:rFonts w:ascii="Palatino Linotype" w:eastAsia="Palatino Linotype" w:hAnsi="Palatino Linotype" w:cs="Palatino Linotype"/>
        </w:rPr>
      </w:pPr>
    </w:p>
    <w:p w:rsidR="00C67D96" w:rsidRDefault="00C67D96" w:rsidP="00C67D96">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rsidR="00C67D96" w:rsidRDefault="00C67D96" w:rsidP="00C67D96">
      <w:pPr>
        <w:spacing w:line="360" w:lineRule="auto"/>
        <w:jc w:val="both"/>
        <w:rPr>
          <w:rFonts w:ascii="Palatino Linotype" w:eastAsia="Palatino Linotype" w:hAnsi="Palatino Linotype" w:cs="Palatino Linotype"/>
        </w:rPr>
      </w:pPr>
    </w:p>
    <w:p w:rsidR="00C67D96" w:rsidRDefault="00C67D96" w:rsidP="00C67D96">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00C67D96" w:rsidRDefault="00C67D96" w:rsidP="00C67D96">
      <w:pPr>
        <w:spacing w:line="360" w:lineRule="auto"/>
        <w:jc w:val="both"/>
        <w:rPr>
          <w:rFonts w:ascii="Palatino Linotype" w:eastAsia="Palatino Linotype" w:hAnsi="Palatino Linotype" w:cs="Palatino Linotype"/>
        </w:rPr>
      </w:pPr>
    </w:p>
    <w:p w:rsidR="00C67D96" w:rsidRDefault="00C67D96" w:rsidP="00C67D96">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órganos </w:t>
      </w:r>
      <w:r>
        <w:rPr>
          <w:rFonts w:ascii="Palatino Linotype" w:eastAsia="Palatino Linotype" w:hAnsi="Palatino Linotype" w:cs="Palatino Linotype"/>
        </w:rPr>
        <w:lastRenderedPageBreak/>
        <w:t xml:space="preserve">jurisdiccionales o cuasi jurisdiccionales, tanto por la complejidad de los hechos, como por el número de casos que conocen. </w:t>
      </w:r>
    </w:p>
    <w:p w:rsidR="00C67D96" w:rsidRDefault="00C67D96" w:rsidP="00C67D96">
      <w:pPr>
        <w:spacing w:line="360" w:lineRule="auto"/>
        <w:jc w:val="both"/>
        <w:rPr>
          <w:rFonts w:ascii="Palatino Linotype" w:eastAsia="Palatino Linotype" w:hAnsi="Palatino Linotype" w:cs="Palatino Linotype"/>
        </w:rPr>
      </w:pPr>
    </w:p>
    <w:p w:rsidR="00C67D96" w:rsidRDefault="00C67D96" w:rsidP="00C67D96">
      <w:pPr>
        <w:spacing w:line="360" w:lineRule="auto"/>
        <w:jc w:val="both"/>
        <w:rPr>
          <w:rFonts w:ascii="Palatino Linotype" w:eastAsia="Palatino Linotype" w:hAnsi="Palatino Linotype" w:cs="Palatino Linotype"/>
          <w:strike/>
          <w:color w:val="FF0000"/>
        </w:rPr>
      </w:pPr>
      <w:r>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rsidR="00C67D96" w:rsidRDefault="00C67D96" w:rsidP="00C67D96">
      <w:pPr>
        <w:spacing w:line="360" w:lineRule="auto"/>
        <w:jc w:val="both"/>
        <w:rPr>
          <w:rFonts w:ascii="Palatino Linotype" w:eastAsia="Palatino Linotype" w:hAnsi="Palatino Linotype" w:cs="Palatino Linotype"/>
        </w:rPr>
      </w:pPr>
    </w:p>
    <w:p w:rsidR="00C67D96" w:rsidRDefault="00C67D96" w:rsidP="00C67D96">
      <w:pPr>
        <w:numPr>
          <w:ilvl w:val="0"/>
          <w:numId w:val="4"/>
        </w:num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Complejidad del Asunto: La complejidad de la prueba, la pluralidad de sujetos procesales, el tiempo transcurrido, las características y contexto del recurso. </w:t>
      </w:r>
    </w:p>
    <w:p w:rsidR="00C67D96" w:rsidRDefault="00C67D96" w:rsidP="00C67D96">
      <w:pPr>
        <w:spacing w:line="360" w:lineRule="auto"/>
        <w:ind w:left="927"/>
        <w:jc w:val="both"/>
        <w:rPr>
          <w:rFonts w:ascii="Palatino Linotype" w:eastAsia="Palatino Linotype" w:hAnsi="Palatino Linotype" w:cs="Palatino Linotype"/>
        </w:rPr>
      </w:pPr>
    </w:p>
    <w:p w:rsidR="00C67D96" w:rsidRDefault="00C67D96" w:rsidP="00C67D96">
      <w:pPr>
        <w:numPr>
          <w:ilvl w:val="0"/>
          <w:numId w:val="4"/>
        </w:num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Actividad Procesal del interesado. Acciones u omisiones del interesado.</w:t>
      </w:r>
    </w:p>
    <w:p w:rsidR="00C67D96" w:rsidRDefault="00C67D96" w:rsidP="00C67D96">
      <w:pPr>
        <w:spacing w:line="360" w:lineRule="auto"/>
        <w:jc w:val="both"/>
        <w:rPr>
          <w:rFonts w:ascii="Palatino Linotype" w:eastAsia="Palatino Linotype" w:hAnsi="Palatino Linotype" w:cs="Palatino Linotype"/>
        </w:rPr>
      </w:pPr>
    </w:p>
    <w:p w:rsidR="00C67D96" w:rsidRDefault="00C67D96" w:rsidP="00C67D96">
      <w:pPr>
        <w:numPr>
          <w:ilvl w:val="0"/>
          <w:numId w:val="4"/>
        </w:num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Conducta de la Autoridad: Las Acciones u omisiones realizadas en el procedimiento. Así como si la autoridad actuó con la debida diligencia.</w:t>
      </w:r>
    </w:p>
    <w:p w:rsidR="00C67D96" w:rsidRDefault="00C67D96" w:rsidP="00C67D96">
      <w:pPr>
        <w:spacing w:line="360" w:lineRule="auto"/>
        <w:ind w:left="708"/>
        <w:rPr>
          <w:rFonts w:ascii="Palatino Linotype" w:eastAsia="Palatino Linotype" w:hAnsi="Palatino Linotype" w:cs="Palatino Linotype"/>
        </w:rPr>
      </w:pPr>
    </w:p>
    <w:p w:rsidR="00C67D96" w:rsidRDefault="00C67D96" w:rsidP="00C67D96">
      <w:pPr>
        <w:spacing w:line="360" w:lineRule="auto"/>
        <w:ind w:left="567"/>
        <w:jc w:val="both"/>
        <w:rPr>
          <w:rFonts w:ascii="Palatino Linotype" w:eastAsia="Palatino Linotype" w:hAnsi="Palatino Linotype" w:cs="Palatino Linotype"/>
        </w:rPr>
      </w:pPr>
      <w:r>
        <w:rPr>
          <w:rFonts w:ascii="Palatino Linotype" w:eastAsia="Palatino Linotype" w:hAnsi="Palatino Linotype" w:cs="Palatino Linotype"/>
        </w:rPr>
        <w:t>d) La afectación generada en la situación jurídica de la persona involucrada en el proceso: Violación a sus derechos humanos.</w:t>
      </w:r>
    </w:p>
    <w:p w:rsidR="00C67D96" w:rsidRDefault="00C67D96" w:rsidP="00C67D96">
      <w:pPr>
        <w:spacing w:line="360" w:lineRule="auto"/>
        <w:jc w:val="both"/>
        <w:rPr>
          <w:rFonts w:ascii="Palatino Linotype" w:eastAsia="Palatino Linotype" w:hAnsi="Palatino Linotype" w:cs="Palatino Linotype"/>
        </w:rPr>
      </w:pPr>
    </w:p>
    <w:p w:rsidR="00C67D96" w:rsidRDefault="00C67D96" w:rsidP="00C67D96">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 modo que, cuando se trate de un asunto excepcional, por alguna o todas las características mencionadas; o bien, cuando el ingreso de asuntos al órgano jurisdiccional o cuasi jurisdiccional respectivo supere notoriamente al que podría </w:t>
      </w:r>
      <w:r>
        <w:rPr>
          <w:rFonts w:ascii="Palatino Linotype" w:eastAsia="Palatino Linotype" w:hAnsi="Palatino Linotype" w:cs="Palatino Linotype"/>
        </w:rPr>
        <w:lastRenderedPageBreak/>
        <w:t>considerarse normal, debe concluirse que es una excluyente de responsabilidad en relación con la actuación del funcionario, como ha acontecido en el caso que nos ocupa.</w:t>
      </w:r>
    </w:p>
    <w:p w:rsidR="00C67D96" w:rsidRDefault="00C67D96" w:rsidP="00C67D96">
      <w:pPr>
        <w:spacing w:line="360" w:lineRule="auto"/>
        <w:jc w:val="both"/>
        <w:rPr>
          <w:rFonts w:ascii="Palatino Linotype" w:eastAsia="Palatino Linotype" w:hAnsi="Palatino Linotype" w:cs="Palatino Linotype"/>
        </w:rPr>
      </w:pPr>
    </w:p>
    <w:p w:rsidR="00C67D96" w:rsidRDefault="00C67D96" w:rsidP="00C67D96">
      <w:pPr>
        <w:spacing w:line="360" w:lineRule="auto"/>
        <w:jc w:val="both"/>
        <w:rPr>
          <w:rFonts w:ascii="Palatino Linotype" w:eastAsia="Palatino Linotype" w:hAnsi="Palatino Linotype" w:cs="Palatino Linotype"/>
          <w:b/>
        </w:rPr>
      </w:pPr>
      <w:r>
        <w:rPr>
          <w:rFonts w:ascii="Palatino Linotype" w:eastAsia="Palatino Linotype" w:hAnsi="Palatino Linotype" w:cs="Palatino Linotype"/>
        </w:rPr>
        <w:t xml:space="preserve">Argumento que encuentra sustento en la jurisprudencia P./J. 32/92 emitida por el Pleno de la Suprema Corte de Justicia de la Nación de rubro </w:t>
      </w:r>
      <w:r>
        <w:rPr>
          <w:rFonts w:ascii="Palatino Linotype" w:eastAsia="Palatino Linotype" w:hAnsi="Palatino Linotype" w:cs="Palatino Linotype"/>
          <w:i/>
        </w:rPr>
        <w:t>“TÉRMINOS PROCESALES. PARA DETERMINAR SI UN FUNCIONARIO JUDICIAL ACTUÓ INDEBIDAMENTE POR NO RESPETARLOS SE DEBE ATENDER AL PRESUPUESTO QUE CONSIDERÓ EL LEGISLADOR AL FIJARLOS Y LAS CARACTERÍSTICAS DEL CASO.”</w:t>
      </w:r>
      <w:r>
        <w:rPr>
          <w:rFonts w:ascii="Palatino Linotype" w:eastAsia="Palatino Linotype" w:hAnsi="Palatino Linotype" w:cs="Palatino Linotype"/>
        </w:rPr>
        <w:t>, visible en la Gaceta del Seminario Judicial de la Federación con el registro digital 205635.</w:t>
      </w:r>
    </w:p>
    <w:p w:rsidR="00C67D96" w:rsidRDefault="00C67D96" w:rsidP="00C67D96">
      <w:pPr>
        <w:spacing w:line="360" w:lineRule="auto"/>
        <w:jc w:val="both"/>
        <w:rPr>
          <w:rFonts w:ascii="Palatino Linotype" w:eastAsia="Palatino Linotype" w:hAnsi="Palatino Linotype" w:cs="Palatino Linotype"/>
        </w:rPr>
      </w:pPr>
    </w:p>
    <w:p w:rsidR="00C67D96" w:rsidRDefault="00C67D96" w:rsidP="00C67D96">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rsidR="00C67D96" w:rsidRDefault="00C67D96" w:rsidP="00C67D96">
      <w:pPr>
        <w:spacing w:line="360" w:lineRule="auto"/>
        <w:jc w:val="both"/>
        <w:rPr>
          <w:rFonts w:ascii="Palatino Linotype" w:eastAsia="Palatino Linotype" w:hAnsi="Palatino Linotype" w:cs="Palatino Linotype"/>
        </w:rPr>
      </w:pPr>
    </w:p>
    <w:p w:rsidR="00C67D96" w:rsidRDefault="00C67D96" w:rsidP="00C67D96">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Al respecto, también son de considerar los criterios sostenidos por el Cuarto Tribunal Colegiado en Materia Administrativa del Primer Circuito, cuyos rubros y datos de identificación son los siguientes:</w:t>
      </w:r>
    </w:p>
    <w:p w:rsidR="00C67D96" w:rsidRDefault="00C67D96" w:rsidP="00C67D96">
      <w:pPr>
        <w:spacing w:line="360" w:lineRule="auto"/>
        <w:jc w:val="both"/>
        <w:rPr>
          <w:rFonts w:ascii="Palatino Linotype" w:eastAsia="Palatino Linotype" w:hAnsi="Palatino Linotype" w:cs="Palatino Linotype"/>
        </w:rPr>
      </w:pPr>
    </w:p>
    <w:p w:rsidR="00C67D96" w:rsidRDefault="00C67D96" w:rsidP="00C67D96">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 </w:t>
      </w:r>
      <w:r>
        <w:rPr>
          <w:rFonts w:ascii="Palatino Linotype" w:eastAsia="Palatino Linotype" w:hAnsi="Palatino Linotype" w:cs="Palatino Linotype"/>
          <w:i/>
        </w:rPr>
        <w:t>“PLAZO RAZONABLE PARA RESOLVER. DIMENSIÓN Y EFECTOS DE ESTE CONCEPTO CUANDO SE ADUCE EXCESIVA CARGA DE TRABAJO.”</w:t>
      </w:r>
      <w:r>
        <w:rPr>
          <w:rFonts w:ascii="Palatino Linotype" w:eastAsia="Palatino Linotype" w:hAnsi="Palatino Linotype" w:cs="Palatino Linotype"/>
        </w:rPr>
        <w:t xml:space="preserve"> consultable en el Seminario Judicial de la Federación y su gaceta, con el registro digital 2002351.</w:t>
      </w:r>
    </w:p>
    <w:p w:rsidR="00C67D96" w:rsidRDefault="00C67D96" w:rsidP="00C67D96">
      <w:pPr>
        <w:spacing w:line="360" w:lineRule="auto"/>
        <w:jc w:val="both"/>
        <w:rPr>
          <w:rFonts w:ascii="Palatino Linotype" w:eastAsia="Palatino Linotype" w:hAnsi="Palatino Linotype" w:cs="Palatino Linotype"/>
          <w:b/>
        </w:rPr>
      </w:pPr>
    </w:p>
    <w:p w:rsidR="00C67D96" w:rsidRDefault="00C67D96" w:rsidP="00C67D96">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i/>
        </w:rPr>
        <w:t>“PLAZO RAZONABLE PARA RESOLVER. CONCEPTO Y ELEMENTOS QUE LO INTEGRAN A LA LUZ DEL DERECHO INTERNACIONAL DE LOS DERECHOS HUMANOS.”</w:t>
      </w:r>
      <w:r>
        <w:rPr>
          <w:rFonts w:ascii="Palatino Linotype" w:eastAsia="Palatino Linotype" w:hAnsi="Palatino Linotype" w:cs="Palatino Linotype"/>
        </w:rPr>
        <w:t>, visible en el Seminario Judicial de la Federación y su gaceta, con el registro digital 2002350.</w:t>
      </w:r>
    </w:p>
    <w:p w:rsidR="00C67D96" w:rsidRDefault="00C67D96" w:rsidP="00C67D96">
      <w:pPr>
        <w:spacing w:line="360" w:lineRule="auto"/>
        <w:jc w:val="both"/>
        <w:rPr>
          <w:rFonts w:ascii="Palatino Linotype" w:eastAsia="Palatino Linotype" w:hAnsi="Palatino Linotype" w:cs="Palatino Linotype"/>
        </w:rPr>
      </w:pPr>
    </w:p>
    <w:p w:rsidR="00C67D96" w:rsidRDefault="00C67D96" w:rsidP="00C67D96">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Por ello, este organismo garante comprometido con la tutela de los derechos humanos confiados, señala que este exceso de plazo legal para resolver el presente asunto, resulta de carácter excepcional.</w:t>
      </w:r>
    </w:p>
    <w:p w:rsidR="00451D9E" w:rsidRDefault="00451D9E" w:rsidP="00A37B77">
      <w:pPr>
        <w:tabs>
          <w:tab w:val="left" w:pos="426"/>
        </w:tabs>
        <w:spacing w:line="360" w:lineRule="auto"/>
        <w:contextualSpacing/>
        <w:jc w:val="both"/>
        <w:rPr>
          <w:rFonts w:ascii="Palatino Linotype" w:eastAsia="Palatino Linotype" w:hAnsi="Palatino Linotype" w:cs="Palatino Linotype"/>
          <w:b/>
        </w:rPr>
      </w:pPr>
    </w:p>
    <w:p w:rsidR="001449BF" w:rsidRDefault="00451D9E" w:rsidP="00A37B77">
      <w:pPr>
        <w:tabs>
          <w:tab w:val="left" w:pos="426"/>
        </w:tabs>
        <w:spacing w:line="360" w:lineRule="auto"/>
        <w:contextualSpacing/>
        <w:jc w:val="both"/>
        <w:rPr>
          <w:rFonts w:ascii="Palatino Linotype" w:eastAsia="Palatino Linotype" w:hAnsi="Palatino Linotype" w:cs="Palatino Linotype"/>
        </w:rPr>
      </w:pPr>
      <w:r>
        <w:rPr>
          <w:rFonts w:ascii="Palatino Linotype" w:eastAsia="Palatino Linotype" w:hAnsi="Palatino Linotype" w:cs="Palatino Linotype"/>
          <w:b/>
        </w:rPr>
        <w:t>9</w:t>
      </w:r>
      <w:r w:rsidR="002E2F87">
        <w:rPr>
          <w:rFonts w:ascii="Palatino Linotype" w:eastAsia="Palatino Linotype" w:hAnsi="Palatino Linotype" w:cs="Palatino Linotype"/>
          <w:b/>
        </w:rPr>
        <w:t xml:space="preserve">. </w:t>
      </w:r>
      <w:r w:rsidR="00616C37">
        <w:rPr>
          <w:rFonts w:ascii="Palatino Linotype" w:eastAsia="Palatino Linotype" w:hAnsi="Palatino Linotype" w:cs="Palatino Linotype"/>
          <w:b/>
        </w:rPr>
        <w:t xml:space="preserve">Cierre de instrucción. </w:t>
      </w:r>
      <w:r w:rsidR="00753FE4">
        <w:rPr>
          <w:rFonts w:ascii="Palatino Linotype" w:eastAsia="Palatino Linotype" w:hAnsi="Palatino Linotype" w:cs="Palatino Linotype"/>
        </w:rPr>
        <w:t>En fecha veinticuatro</w:t>
      </w:r>
      <w:r w:rsidR="002E2F87">
        <w:rPr>
          <w:rFonts w:ascii="Palatino Linotype" w:eastAsia="Palatino Linotype" w:hAnsi="Palatino Linotype" w:cs="Palatino Linotype"/>
        </w:rPr>
        <w:t xml:space="preserve"> de agosto</w:t>
      </w:r>
      <w:r w:rsidR="00616C37">
        <w:rPr>
          <w:rFonts w:ascii="Palatino Linotype" w:eastAsia="Palatino Linotype" w:hAnsi="Palatino Linotype" w:cs="Palatino Linotype"/>
        </w:rPr>
        <w:t xml:space="preserve"> del año en curso, la Comisionada ponente determinó los cierres de instrucción en términos de la fracción VI del artículo 185 de la Ley de Transparencia y Acceso a la Información Pública del Estado de México y Municipios.</w:t>
      </w:r>
    </w:p>
    <w:p w:rsidR="009539C4" w:rsidRDefault="009539C4" w:rsidP="009539C4">
      <w:pPr>
        <w:spacing w:before="240" w:after="240" w:line="360" w:lineRule="auto"/>
        <w:jc w:val="both"/>
        <w:rPr>
          <w:rFonts w:ascii="Palatino Linotype" w:eastAsia="Palatino Linotype" w:hAnsi="Palatino Linotype" w:cs="Palatino Linotype"/>
          <w:lang w:eastAsia="es-MX"/>
        </w:rPr>
      </w:pPr>
      <w:r>
        <w:rPr>
          <w:rFonts w:ascii="Palatino Linotype" w:eastAsia="Palatino Linotype" w:hAnsi="Palatino Linotype" w:cs="Palatino Linotype"/>
        </w:rPr>
        <w:lastRenderedPageBreak/>
        <w:t xml:space="preserve">En razón de que fueron debidamente sustanciados los expedientes electrónicos y no existe diligencia pendiente de desahogo, se emite la Resolución que conforme a Derecho proceda, de acuerdo con los siguientes: </w:t>
      </w:r>
    </w:p>
    <w:p w:rsidR="001449BF" w:rsidRDefault="00616C37" w:rsidP="009539C4">
      <w:pPr>
        <w:numPr>
          <w:ilvl w:val="0"/>
          <w:numId w:val="3"/>
        </w:numPr>
        <w:pBdr>
          <w:top w:val="nil"/>
          <w:left w:val="nil"/>
          <w:bottom w:val="nil"/>
          <w:right w:val="nil"/>
          <w:between w:val="nil"/>
        </w:pBdr>
        <w:spacing w:before="240" w:after="240" w:line="360" w:lineRule="auto"/>
        <w:ind w:left="1077"/>
        <w:jc w:val="center"/>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C O N S I D E R A N D O:</w:t>
      </w:r>
    </w:p>
    <w:p w:rsidR="00550A43" w:rsidRPr="006B1696" w:rsidRDefault="00550A43" w:rsidP="00550A43">
      <w:pPr>
        <w:spacing w:before="240" w:after="240" w:line="360" w:lineRule="auto"/>
        <w:jc w:val="both"/>
        <w:rPr>
          <w:rFonts w:ascii="Palatino Linotype" w:hAnsi="Palatino Linotype"/>
          <w:color w:val="222222"/>
          <w:shd w:val="clear" w:color="auto" w:fill="FFFFFF"/>
        </w:rPr>
      </w:pPr>
      <w:r w:rsidRPr="00FA5154">
        <w:rPr>
          <w:rFonts w:ascii="Palatino Linotype" w:hAnsi="Palatino Linotype" w:cs="Arial"/>
          <w:b/>
        </w:rPr>
        <w:t>Primero. Competencia.</w:t>
      </w:r>
      <w:r w:rsidRPr="00300932">
        <w:rPr>
          <w:rFonts w:ascii="Palatino Linotype" w:hAnsi="Palatino Linotype" w:cs="Arial"/>
          <w:b/>
        </w:rPr>
        <w:t xml:space="preserve"> </w:t>
      </w:r>
      <w:r w:rsidRPr="00A362EC">
        <w:rPr>
          <w:rFonts w:ascii="Palatino Linotype" w:hAnsi="Palatino Linotype"/>
          <w:color w:val="222222"/>
          <w:shd w:val="clear" w:color="auto" w:fill="FFFFFF"/>
        </w:rPr>
        <w:t xml:space="preserve">El Instituto de Transparencia, Acceso a la Información Pública y Protección de Datos Personales del Estado de México y Municipios, es competente para conocer y resolver </w:t>
      </w:r>
      <w:r w:rsidR="0065037A">
        <w:rPr>
          <w:rFonts w:ascii="Palatino Linotype" w:hAnsi="Palatino Linotype"/>
          <w:color w:val="222222"/>
          <w:shd w:val="clear" w:color="auto" w:fill="FFFFFF"/>
        </w:rPr>
        <w:t>los presentes</w:t>
      </w:r>
      <w:r w:rsidRPr="00A362EC">
        <w:rPr>
          <w:rFonts w:ascii="Palatino Linotype" w:hAnsi="Palatino Linotype"/>
          <w:color w:val="222222"/>
          <w:shd w:val="clear" w:color="auto" w:fill="FFFFFF"/>
        </w:rPr>
        <w:t xml:space="preserve"> recurso</w:t>
      </w:r>
      <w:r w:rsidR="0065037A">
        <w:rPr>
          <w:rFonts w:ascii="Palatino Linotype" w:hAnsi="Palatino Linotype"/>
          <w:color w:val="222222"/>
          <w:shd w:val="clear" w:color="auto" w:fill="FFFFFF"/>
        </w:rPr>
        <w:t>s</w:t>
      </w:r>
      <w:r w:rsidRPr="00A362EC">
        <w:rPr>
          <w:rFonts w:ascii="Palatino Linotype" w:hAnsi="Palatino Linotype"/>
          <w:color w:val="222222"/>
          <w:shd w:val="clear" w:color="auto" w:fill="FFFFFF"/>
        </w:rPr>
        <w:t xml:space="preserve"> de revisión interpuesto</w:t>
      </w:r>
      <w:r w:rsidR="0065037A">
        <w:rPr>
          <w:rFonts w:ascii="Palatino Linotype" w:hAnsi="Palatino Linotype"/>
          <w:color w:val="222222"/>
          <w:shd w:val="clear" w:color="auto" w:fill="FFFFFF"/>
        </w:rPr>
        <w:t>s</w:t>
      </w:r>
      <w:r w:rsidRPr="00A362EC">
        <w:rPr>
          <w:rFonts w:ascii="Palatino Linotype" w:hAnsi="Palatino Linotype"/>
          <w:color w:val="222222"/>
          <w:shd w:val="clear" w:color="auto" w:fill="FFFFFF"/>
        </w:rPr>
        <w:t xml:space="preserve"> por la parte recurrente, conforme a lo dispuesto en los artículos 6, apartado A de la Constitución Política de los Estado</w:t>
      </w:r>
      <w:r>
        <w:rPr>
          <w:rFonts w:ascii="Palatino Linotype" w:hAnsi="Palatino Linotype"/>
          <w:color w:val="222222"/>
          <w:shd w:val="clear" w:color="auto" w:fill="FFFFFF"/>
        </w:rPr>
        <w:t>s Unidos Mexicanos; 5, párrafos</w:t>
      </w:r>
      <w:r w:rsidRPr="0000739C">
        <w:rPr>
          <w:rFonts w:ascii="Palatino Linotype" w:hAnsi="Palatino Linotype"/>
          <w:color w:val="222222"/>
          <w:shd w:val="clear" w:color="auto" w:fill="FFFFFF"/>
        </w:rPr>
        <w:t xml:space="preserve"> </w:t>
      </w:r>
      <w:r>
        <w:rPr>
          <w:rFonts w:ascii="Palatino Linotype" w:hAnsi="Palatino Linotype"/>
          <w:color w:val="222222"/>
          <w:shd w:val="clear" w:color="auto" w:fill="FFFFFF"/>
        </w:rPr>
        <w:t>trigésimo, trigésimos primero y trigésimo segundo</w:t>
      </w:r>
      <w:r w:rsidRPr="00A362EC">
        <w:rPr>
          <w:rFonts w:ascii="Palatino Linotype" w:hAnsi="Palatino Linotype"/>
          <w:color w:val="222222"/>
          <w:shd w:val="clear" w:color="auto" w:fill="FFFFFF"/>
        </w:rPr>
        <w:t>, fracciones  IV y V; de la Constitución Política del Estado Libre y Soberano de México; 1, 2, fracción II; 13,  29, 36, fracciones I y II; 176, 178, 179, 181 párrafo tercero y 185 de la Ley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rsidR="00550A43" w:rsidRPr="008A328B" w:rsidRDefault="00550A43" w:rsidP="00550A43">
      <w:pPr>
        <w:spacing w:before="240" w:after="240" w:line="360" w:lineRule="auto"/>
        <w:jc w:val="both"/>
        <w:rPr>
          <w:rFonts w:ascii="Palatino Linotype" w:eastAsia="Calibri" w:hAnsi="Palatino Linotype" w:cs="Arial"/>
          <w:lang w:val="es-MX" w:eastAsia="en-US"/>
        </w:rPr>
      </w:pPr>
      <w:r w:rsidRPr="00FA5154">
        <w:rPr>
          <w:rFonts w:ascii="Palatino Linotype" w:hAnsi="Palatino Linotype" w:cs="Arial"/>
          <w:b/>
        </w:rPr>
        <w:t>Segundo. Oportunidad y Procedibilidad del Recurso de Revisión</w:t>
      </w:r>
      <w:r w:rsidRPr="00415B05">
        <w:rPr>
          <w:rFonts w:ascii="Palatino Linotype" w:hAnsi="Palatino Linotype" w:cs="Arial"/>
          <w:b/>
          <w:sz w:val="28"/>
          <w:szCs w:val="28"/>
        </w:rPr>
        <w:t>.</w:t>
      </w:r>
      <w:r w:rsidRPr="00415B05">
        <w:rPr>
          <w:rFonts w:ascii="Palatino Linotype" w:hAnsi="Palatino Linotype" w:cs="Arial"/>
          <w:b/>
        </w:rPr>
        <w:t xml:space="preserve"> </w:t>
      </w:r>
      <w:r w:rsidRPr="008A328B">
        <w:rPr>
          <w:rFonts w:ascii="Palatino Linotype" w:hAnsi="Palatino Linotype" w:cs="Arial"/>
        </w:rPr>
        <w:t>Por</w:t>
      </w:r>
      <w:r>
        <w:rPr>
          <w:rFonts w:ascii="Palatino Linotype" w:hAnsi="Palatino Linotype" w:cs="Arial"/>
        </w:rPr>
        <w:t xml:space="preserve"> cuanto hace a la oportunidad de los </w:t>
      </w:r>
      <w:r w:rsidRPr="008A328B">
        <w:rPr>
          <w:rFonts w:ascii="Palatino Linotype" w:hAnsi="Palatino Linotype" w:cs="Arial"/>
        </w:rPr>
        <w:t>recurso</w:t>
      </w:r>
      <w:r>
        <w:rPr>
          <w:rFonts w:ascii="Palatino Linotype" w:hAnsi="Palatino Linotype" w:cs="Arial"/>
        </w:rPr>
        <w:t>s</w:t>
      </w:r>
      <w:r w:rsidRPr="008A328B">
        <w:rPr>
          <w:rFonts w:ascii="Palatino Linotype" w:hAnsi="Palatino Linotype" w:cs="Arial"/>
        </w:rPr>
        <w:t xml:space="preserve"> de revisión</w:t>
      </w:r>
      <w:r w:rsidRPr="008A328B">
        <w:rPr>
          <w:rFonts w:ascii="Palatino Linotype" w:hAnsi="Palatino Linotype" w:cs="Arial"/>
          <w:b/>
        </w:rPr>
        <w:t xml:space="preserve"> </w:t>
      </w:r>
      <w:r w:rsidRPr="008A328B">
        <w:rPr>
          <w:rFonts w:ascii="Palatino Linotype" w:eastAsia="Calibri" w:hAnsi="Palatino Linotype" w:cs="Arial"/>
          <w:lang w:val="es-MX" w:eastAsia="en-US"/>
        </w:rPr>
        <w:t xml:space="preserve">es necesario considerar lo previsto en los artículos 163, párrafo primero; 166, penúltimo párrafo y 178, párrafo segundo; de la Ley de Transparencia y Acceso a la Información Pública del Estado de México y Municipios, de cuya interpretación se obtiene que el plazo que les asiste a los Sujetos Obligados para entregar la respuesta a una solicitud de información pública, es de quince días hábiles posteriores a la presentación de ésta; sin embargo, en aquellos </w:t>
      </w:r>
      <w:r w:rsidRPr="008A328B">
        <w:rPr>
          <w:rFonts w:ascii="Palatino Linotype" w:eastAsia="Calibri" w:hAnsi="Palatino Linotype" w:cs="Arial"/>
          <w:lang w:val="es-MX" w:eastAsia="en-US"/>
        </w:rPr>
        <w:lastRenderedPageBreak/>
        <w:t xml:space="preserve">casos en que transcurre el referido plazo de quince días hábiles sin que los Sujetos Obligados entreguen la respuesta </w:t>
      </w:r>
      <w:r w:rsidR="0065037A">
        <w:rPr>
          <w:rFonts w:ascii="Palatino Linotype" w:eastAsia="Calibri" w:hAnsi="Palatino Linotype" w:cs="Arial"/>
          <w:lang w:val="es-MX" w:eastAsia="en-US"/>
        </w:rPr>
        <w:t>a la solicitud de información, e</w:t>
      </w:r>
      <w:r w:rsidRPr="008A328B">
        <w:rPr>
          <w:rFonts w:ascii="Palatino Linotype" w:eastAsia="Calibri" w:hAnsi="Palatino Linotype" w:cs="Arial"/>
          <w:lang w:val="es-MX" w:eastAsia="en-US"/>
        </w:rPr>
        <w:t xml:space="preserve">sta se considera negada; por lo que al solicitante le asiste el derecho para presentar el recurso de </w:t>
      </w:r>
      <w:r>
        <w:rPr>
          <w:rFonts w:ascii="Palatino Linotype" w:eastAsia="Calibri" w:hAnsi="Palatino Linotype" w:cs="Arial"/>
          <w:lang w:val="es-MX" w:eastAsia="en-US"/>
        </w:rPr>
        <w:t>revisión en cualquier momento.</w:t>
      </w:r>
    </w:p>
    <w:p w:rsidR="00550A43" w:rsidRPr="008A328B" w:rsidRDefault="00550A43" w:rsidP="00550A43">
      <w:pPr>
        <w:spacing w:before="240" w:after="240" w:line="360" w:lineRule="auto"/>
        <w:jc w:val="both"/>
        <w:rPr>
          <w:rFonts w:ascii="Palatino Linotype" w:eastAsia="Calibri" w:hAnsi="Palatino Linotype" w:cs="Arial"/>
          <w:lang w:val="es-MX" w:eastAsia="en-US"/>
        </w:rPr>
      </w:pPr>
      <w:r w:rsidRPr="008A328B">
        <w:rPr>
          <w:rFonts w:ascii="Palatino Linotype" w:eastAsia="Calibri" w:hAnsi="Palatino Linotype" w:cs="Arial"/>
          <w:lang w:val="es-MX" w:eastAsia="en-US"/>
        </w:rPr>
        <w:t xml:space="preserve">Derivado de lo anterior, se constituye la figura jurídica de la </w:t>
      </w:r>
      <w:r w:rsidRPr="008A328B">
        <w:rPr>
          <w:rFonts w:ascii="Palatino Linotype" w:eastAsia="Calibri" w:hAnsi="Palatino Linotype" w:cs="Arial"/>
          <w:b/>
          <w:lang w:val="es-MX" w:eastAsia="en-US"/>
        </w:rPr>
        <w:t>NEGATIVA FICTA</w:t>
      </w:r>
      <w:r w:rsidRPr="008A328B">
        <w:rPr>
          <w:rFonts w:ascii="Palatino Linotype" w:eastAsia="Calibri" w:hAnsi="Palatino Linotype" w:cs="Arial"/>
          <w:lang w:val="es-MX" w:eastAsia="en-US"/>
        </w:rPr>
        <w:t>, cuya esencia consiste en atribuir un efecto negativo al silencio de la autoridad administrativa frente a las instancias y solicitudes que hagan los particulares.</w:t>
      </w:r>
    </w:p>
    <w:p w:rsidR="00550A43" w:rsidRPr="008A328B" w:rsidRDefault="00550A43" w:rsidP="00550A43">
      <w:pPr>
        <w:spacing w:before="240" w:after="240" w:line="360" w:lineRule="auto"/>
        <w:jc w:val="both"/>
        <w:rPr>
          <w:rFonts w:ascii="Palatino Linotype" w:eastAsia="Calibri" w:hAnsi="Palatino Linotype" w:cs="Arial"/>
          <w:lang w:val="es-MX" w:eastAsia="en-US"/>
        </w:rPr>
      </w:pPr>
      <w:r w:rsidRPr="008A328B">
        <w:rPr>
          <w:rFonts w:ascii="Palatino Linotype" w:eastAsia="Calibri" w:hAnsi="Palatino Linotype" w:cs="Arial"/>
          <w:lang w:val="es-MX" w:eastAsia="en-US"/>
        </w:rPr>
        <w:t xml:space="preserve">De tal manera, en </w:t>
      </w:r>
      <w:r w:rsidR="0065037A">
        <w:rPr>
          <w:rFonts w:ascii="Palatino Linotype" w:eastAsia="Calibri" w:hAnsi="Palatino Linotype" w:cs="Arial"/>
          <w:lang w:val="es-MX" w:eastAsia="en-US"/>
        </w:rPr>
        <w:t xml:space="preserve">los presentes recursos de revisión </w:t>
      </w:r>
      <w:r w:rsidRPr="008A328B">
        <w:rPr>
          <w:rFonts w:ascii="Palatino Linotype" w:eastAsia="Calibri" w:hAnsi="Palatino Linotype" w:cs="Arial"/>
          <w:lang w:val="es-MX" w:eastAsia="en-US"/>
        </w:rPr>
        <w:t xml:space="preserve">se actualizó la negativa ficta por parte del </w:t>
      </w:r>
      <w:r w:rsidRPr="008A328B">
        <w:rPr>
          <w:rFonts w:ascii="Palatino Linotype" w:eastAsia="Calibri" w:hAnsi="Palatino Linotype" w:cs="Arial"/>
          <w:b/>
          <w:lang w:val="es-MX" w:eastAsia="en-US"/>
        </w:rPr>
        <w:t>SUJETO OBLIGADO</w:t>
      </w:r>
      <w:r w:rsidRPr="008A328B">
        <w:rPr>
          <w:rFonts w:ascii="Palatino Linotype" w:eastAsia="Calibri" w:hAnsi="Palatino Linotype" w:cs="Arial"/>
          <w:lang w:val="es-MX" w:eastAsia="en-US"/>
        </w:rPr>
        <w:t xml:space="preserve"> al no haber respondido a</w:t>
      </w:r>
      <w:r w:rsidR="0065037A">
        <w:rPr>
          <w:rFonts w:ascii="Palatino Linotype" w:eastAsia="Calibri" w:hAnsi="Palatino Linotype" w:cs="Arial"/>
          <w:lang w:val="es-MX" w:eastAsia="en-US"/>
        </w:rPr>
        <w:t xml:space="preserve"> la </w:t>
      </w:r>
      <w:r w:rsidRPr="00612C03">
        <w:rPr>
          <w:rFonts w:ascii="Palatino Linotype" w:eastAsia="Calibri" w:hAnsi="Palatino Linotype" w:cs="Arial"/>
          <w:b/>
          <w:lang w:val="es-MX" w:eastAsia="en-US"/>
        </w:rPr>
        <w:t>RECURRENTE</w:t>
      </w:r>
      <w:r>
        <w:rPr>
          <w:rFonts w:ascii="Palatino Linotype" w:eastAsia="Calibri" w:hAnsi="Palatino Linotype" w:cs="Arial"/>
          <w:lang w:val="es-MX" w:eastAsia="en-US"/>
        </w:rPr>
        <w:t xml:space="preserve"> </w:t>
      </w:r>
      <w:r w:rsidRPr="008A328B">
        <w:rPr>
          <w:rFonts w:ascii="Palatino Linotype" w:eastAsia="Calibri" w:hAnsi="Palatino Linotype" w:cs="Arial"/>
          <w:lang w:val="es-MX" w:eastAsia="en-US"/>
        </w:rPr>
        <w:t>en tiempo y forma en el plazo legal previsto para ello, en este sentido la falta de respuesta implica necesariamente que de modo fáctico se ha negado la información por razones desconocidas, pero que el hecho simple de no responder apareja una forma por omisión de negar el acceso a la información.</w:t>
      </w:r>
    </w:p>
    <w:p w:rsidR="00550A43" w:rsidRDefault="00550A43" w:rsidP="00550A43">
      <w:pPr>
        <w:spacing w:before="240" w:after="240" w:line="360" w:lineRule="auto"/>
        <w:jc w:val="both"/>
        <w:rPr>
          <w:rFonts w:ascii="Palatino Linotype" w:eastAsia="Calibri" w:hAnsi="Palatino Linotype" w:cs="Arial"/>
          <w:lang w:val="es-MX" w:eastAsia="en-US"/>
        </w:rPr>
      </w:pPr>
      <w:r w:rsidRPr="008A328B">
        <w:rPr>
          <w:rFonts w:ascii="Palatino Linotype" w:eastAsia="Calibri" w:hAnsi="Palatino Linotype" w:cs="Arial"/>
          <w:lang w:val="es-MX" w:eastAsia="en-US"/>
        </w:rPr>
        <w:t>Si a ello se le suma lo previsto en el párrafo segundo del artículo 178, párrafo segundo</w:t>
      </w:r>
      <w:r>
        <w:rPr>
          <w:rStyle w:val="Refdenotaalpie"/>
          <w:rFonts w:ascii="Palatino Linotype" w:eastAsia="Calibri" w:hAnsi="Palatino Linotype" w:cs="Arial"/>
          <w:lang w:val="es-MX" w:eastAsia="en-US"/>
        </w:rPr>
        <w:footnoteReference w:id="1"/>
      </w:r>
      <w:r w:rsidRPr="008A328B">
        <w:rPr>
          <w:rFonts w:ascii="Palatino Linotype" w:eastAsia="Calibri" w:hAnsi="Palatino Linotype" w:cs="Arial"/>
          <w:lang w:val="es-MX" w:eastAsia="en-US"/>
        </w:rPr>
        <w:t xml:space="preserve"> de la Ley de Transparencia y Acceso a la Información Pública vigente en la entidad.</w:t>
      </w:r>
    </w:p>
    <w:p w:rsidR="00550A43" w:rsidRPr="008A328B" w:rsidRDefault="00550A43" w:rsidP="00550A43">
      <w:pPr>
        <w:spacing w:before="240" w:after="360" w:line="360" w:lineRule="auto"/>
        <w:jc w:val="both"/>
        <w:rPr>
          <w:rFonts w:eastAsia="Calibri"/>
          <w:i/>
          <w:szCs w:val="22"/>
          <w:lang w:val="es-MX"/>
        </w:rPr>
      </w:pPr>
      <w:r w:rsidRPr="008A328B">
        <w:rPr>
          <w:rFonts w:ascii="Palatino Linotype" w:eastAsia="Calibri" w:hAnsi="Palatino Linotype" w:cs="Arial"/>
          <w:szCs w:val="22"/>
        </w:rPr>
        <w:t xml:space="preserve">Lo anterior encuentra sustento en el CRITERIO número 0001-15, aprobado por unanimidad del Pleno del Instituto de Transparencia, Acceso a la Información Pública </w:t>
      </w:r>
      <w:r w:rsidRPr="008A328B">
        <w:rPr>
          <w:rFonts w:ascii="Palatino Linotype" w:eastAsia="Calibri" w:hAnsi="Palatino Linotype" w:cs="Arial"/>
          <w:szCs w:val="22"/>
        </w:rPr>
        <w:lastRenderedPageBreak/>
        <w:t>y Protección de Datos Personales del Estado de México y Municipios, publicado en el Periódico Oficial del Estado de México “Gaceta del Gobierno”, el veintitrés de abril de dos mil quince, que establece:</w:t>
      </w:r>
    </w:p>
    <w:p w:rsidR="00550A43" w:rsidRPr="008A328B" w:rsidRDefault="00550A43" w:rsidP="00550A43">
      <w:pPr>
        <w:spacing w:before="240" w:after="360"/>
        <w:ind w:left="851" w:right="851"/>
        <w:jc w:val="both"/>
        <w:rPr>
          <w:rFonts w:ascii="Palatino Linotype" w:eastAsia="Calibri" w:hAnsi="Palatino Linotype"/>
          <w:b/>
          <w:i/>
          <w:sz w:val="22"/>
          <w:szCs w:val="22"/>
          <w:lang w:val="es-MX"/>
        </w:rPr>
      </w:pPr>
      <w:r w:rsidRPr="008A328B">
        <w:rPr>
          <w:rFonts w:ascii="Palatino Linotype" w:eastAsia="Calibri" w:hAnsi="Palatino Linotype"/>
          <w:i/>
          <w:sz w:val="22"/>
          <w:szCs w:val="22"/>
          <w:lang w:val="es-MX"/>
        </w:rPr>
        <w:t>“</w:t>
      </w:r>
      <w:r w:rsidRPr="008A328B">
        <w:rPr>
          <w:rFonts w:ascii="Palatino Linotype" w:eastAsia="Calibri" w:hAnsi="Palatino Linotype"/>
          <w:b/>
          <w:i/>
          <w:sz w:val="22"/>
          <w:szCs w:val="22"/>
          <w:lang w:val="es-MX"/>
        </w:rPr>
        <w:t xml:space="preserve">CRITERIO 0001-15 </w:t>
      </w:r>
    </w:p>
    <w:p w:rsidR="00550A43" w:rsidRPr="008A328B" w:rsidRDefault="00550A43" w:rsidP="00550A43">
      <w:pPr>
        <w:spacing w:before="240" w:after="360"/>
        <w:ind w:left="851" w:right="851"/>
        <w:jc w:val="both"/>
        <w:rPr>
          <w:rFonts w:ascii="Palatino Linotype" w:eastAsia="Calibri" w:hAnsi="Palatino Linotype"/>
          <w:i/>
          <w:sz w:val="22"/>
          <w:szCs w:val="22"/>
          <w:lang w:val="es-ES_tradnl"/>
        </w:rPr>
      </w:pPr>
      <w:r w:rsidRPr="008A328B">
        <w:rPr>
          <w:rFonts w:ascii="Palatino Linotype" w:eastAsia="Calibri" w:hAnsi="Palatino Linotype"/>
          <w:b/>
          <w:i/>
          <w:sz w:val="22"/>
          <w:szCs w:val="22"/>
          <w:lang w:val="es-MX"/>
        </w:rPr>
        <w:t>NEGATIVA FICTA. PLAZO PARA INTERPONER EL RECURSO DE REVISIÓN TRATÁNDOSE DE</w:t>
      </w:r>
      <w:r w:rsidRPr="008A328B">
        <w:rPr>
          <w:rFonts w:ascii="Palatino Linotype" w:eastAsia="Calibri" w:hAnsi="Palatino Linotype"/>
          <w:i/>
          <w:sz w:val="22"/>
          <w:szCs w:val="22"/>
          <w:lang w:val="es-MX"/>
        </w:rPr>
        <w:t>. El artículo 48, párrafo tercero de la Ley de Transparencia y Acceso a la Información Pública del Estado de México y Municipios establece que, cuando no se entregue la respuesta a la solicitud dentro del plazo de 15 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legal de una respuesta en sentido negativo; 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w:t>
      </w:r>
      <w:r>
        <w:rPr>
          <w:rFonts w:ascii="Palatino Linotype" w:eastAsia="Calibri" w:hAnsi="Palatino Linotype"/>
          <w:i/>
          <w:sz w:val="22"/>
          <w:szCs w:val="22"/>
          <w:lang w:val="es-MX"/>
        </w:rPr>
        <w:t>(Sic)</w:t>
      </w:r>
    </w:p>
    <w:p w:rsidR="00550A43" w:rsidRDefault="00550A43" w:rsidP="00550A43">
      <w:pPr>
        <w:pStyle w:val="paragraph"/>
        <w:spacing w:before="0" w:beforeAutospacing="0" w:after="240" w:afterAutospacing="0" w:line="360" w:lineRule="auto"/>
        <w:ind w:right="-147"/>
        <w:contextualSpacing/>
        <w:jc w:val="both"/>
        <w:textAlignment w:val="baseline"/>
        <w:rPr>
          <w:rStyle w:val="normaltextrun"/>
          <w:rFonts w:ascii="Palatino Linotype" w:hAnsi="Palatino Linotype" w:cs="Segoe UI"/>
        </w:rPr>
      </w:pPr>
      <w:r>
        <w:rPr>
          <w:rFonts w:ascii="Palatino Linotype" w:hAnsi="Palatino Linotype" w:cs="Arial"/>
        </w:rPr>
        <w:t xml:space="preserve">Además, </w:t>
      </w:r>
      <w:r w:rsidRPr="00FD07CE">
        <w:rPr>
          <w:rFonts w:ascii="Palatino Linotype" w:hAnsi="Palatino Linotype" w:cs="Arial"/>
        </w:rPr>
        <w:t xml:space="preserve">por </w:t>
      </w:r>
      <w:r w:rsidRPr="00080788">
        <w:rPr>
          <w:rFonts w:ascii="Palatino Linotype" w:hAnsi="Palatino Linotype" w:cs="Arial"/>
        </w:rPr>
        <w:t>cuanto hace a la procedibilidad de</w:t>
      </w:r>
      <w:r>
        <w:rPr>
          <w:rFonts w:ascii="Palatino Linotype" w:hAnsi="Palatino Linotype" w:cs="Arial"/>
        </w:rPr>
        <w:t xml:space="preserve"> los </w:t>
      </w:r>
      <w:r w:rsidRPr="00080788">
        <w:rPr>
          <w:rFonts w:ascii="Palatino Linotype" w:hAnsi="Palatino Linotype" w:cs="Arial"/>
        </w:rPr>
        <w:t>recurso</w:t>
      </w:r>
      <w:r>
        <w:rPr>
          <w:rFonts w:ascii="Palatino Linotype" w:hAnsi="Palatino Linotype" w:cs="Arial"/>
        </w:rPr>
        <w:t>s</w:t>
      </w:r>
      <w:r w:rsidRPr="00080788">
        <w:rPr>
          <w:rFonts w:ascii="Palatino Linotype" w:hAnsi="Palatino Linotype" w:cs="Arial"/>
        </w:rPr>
        <w:t xml:space="preserve"> de revisión una vez realizado el análisis del formato de interposición</w:t>
      </w:r>
      <w:r>
        <w:rPr>
          <w:rStyle w:val="normaltextrun"/>
          <w:rFonts w:ascii="Palatino Linotype" w:hAnsi="Palatino Linotype" w:cs="Segoe UI"/>
        </w:rPr>
        <w:t xml:space="preserve"> de los</w:t>
      </w:r>
      <w:r w:rsidRPr="00080788">
        <w:rPr>
          <w:rStyle w:val="normaltextrun"/>
          <w:rFonts w:ascii="Palatino Linotype" w:hAnsi="Palatino Linotype" w:cs="Segoe UI"/>
        </w:rPr>
        <w:t xml:space="preserve"> recurso</w:t>
      </w:r>
      <w:r>
        <w:rPr>
          <w:rStyle w:val="normaltextrun"/>
          <w:rFonts w:ascii="Palatino Linotype" w:hAnsi="Palatino Linotype" w:cs="Segoe UI"/>
        </w:rPr>
        <w:t>s</w:t>
      </w:r>
      <w:r w:rsidRPr="00080788">
        <w:rPr>
          <w:rStyle w:val="normaltextrun"/>
          <w:rFonts w:ascii="Palatino Linotype" w:hAnsi="Palatino Linotype" w:cs="Segoe UI"/>
        </w:rPr>
        <w:t>, se acreditan plenamente de todos y cada uno de los elementos formales exigidos por el artículo 180 de la</w:t>
      </w:r>
      <w:r w:rsidRPr="00080788">
        <w:rPr>
          <w:rStyle w:val="apple-converted-space"/>
          <w:rFonts w:ascii="Palatino Linotype" w:hAnsi="Palatino Linotype" w:cs="Segoe UI"/>
        </w:rPr>
        <w:t xml:space="preserve"> </w:t>
      </w:r>
      <w:r w:rsidRPr="00080788">
        <w:rPr>
          <w:rStyle w:val="normaltextrun"/>
          <w:rFonts w:ascii="Palatino Linotype" w:hAnsi="Palatino Linotype" w:cs="Segoe UI"/>
        </w:rPr>
        <w:t>Ley de Transparencia y Acceso a la Información Pública del Estado de México y Municipios, en atención a que fue</w:t>
      </w:r>
      <w:r>
        <w:rPr>
          <w:rStyle w:val="normaltextrun"/>
          <w:rFonts w:ascii="Palatino Linotype" w:hAnsi="Palatino Linotype" w:cs="Segoe UI"/>
        </w:rPr>
        <w:t>ron</w:t>
      </w:r>
      <w:r w:rsidRPr="00080788">
        <w:rPr>
          <w:rStyle w:val="normaltextrun"/>
          <w:rFonts w:ascii="Palatino Linotype" w:hAnsi="Palatino Linotype" w:cs="Segoe UI"/>
        </w:rPr>
        <w:t xml:space="preserve"> presentado</w:t>
      </w:r>
      <w:r>
        <w:rPr>
          <w:rStyle w:val="normaltextrun"/>
          <w:rFonts w:ascii="Palatino Linotype" w:hAnsi="Palatino Linotype" w:cs="Segoe UI"/>
        </w:rPr>
        <w:t>s</w:t>
      </w:r>
      <w:r w:rsidRPr="00080788">
        <w:rPr>
          <w:rStyle w:val="normaltextrun"/>
          <w:rFonts w:ascii="Palatino Linotype" w:hAnsi="Palatino Linotype" w:cs="Segoe UI"/>
        </w:rPr>
        <w:t xml:space="preserve"> mediante el formato visible en</w:t>
      </w:r>
      <w:r w:rsidRPr="00080788">
        <w:rPr>
          <w:rStyle w:val="apple-converted-space"/>
          <w:rFonts w:ascii="Palatino Linotype" w:hAnsi="Palatino Linotype" w:cs="Segoe UI"/>
        </w:rPr>
        <w:t xml:space="preserve"> </w:t>
      </w:r>
      <w:r w:rsidRPr="00080788">
        <w:rPr>
          <w:rStyle w:val="normaltextrun"/>
          <w:rFonts w:ascii="Palatino Linotype" w:hAnsi="Palatino Linotype" w:cs="Segoe UI"/>
          <w:b/>
          <w:bCs/>
        </w:rPr>
        <w:t>EL</w:t>
      </w:r>
      <w:r w:rsidRPr="00080788">
        <w:rPr>
          <w:rStyle w:val="apple-converted-space"/>
          <w:rFonts w:ascii="Palatino Linotype" w:hAnsi="Palatino Linotype" w:cs="Segoe UI"/>
        </w:rPr>
        <w:t xml:space="preserve"> </w:t>
      </w:r>
      <w:r w:rsidRPr="00080788">
        <w:rPr>
          <w:rStyle w:val="normaltextrun"/>
          <w:rFonts w:ascii="Palatino Linotype" w:hAnsi="Palatino Linotype" w:cs="Segoe UI"/>
          <w:b/>
          <w:bCs/>
        </w:rPr>
        <w:t>SAIMEX</w:t>
      </w:r>
      <w:r w:rsidRPr="00080788">
        <w:rPr>
          <w:rStyle w:val="normaltextrun"/>
          <w:rFonts w:ascii="Palatino Linotype" w:hAnsi="Palatino Linotype" w:cs="Segoe UI"/>
        </w:rPr>
        <w:t>.</w:t>
      </w:r>
    </w:p>
    <w:p w:rsidR="00550A43" w:rsidRDefault="00550A43" w:rsidP="00550A43">
      <w:pPr>
        <w:spacing w:before="240" w:after="240" w:line="360" w:lineRule="auto"/>
        <w:jc w:val="both"/>
        <w:rPr>
          <w:rFonts w:ascii="Segoe UI" w:hAnsi="Segoe UI" w:cs="Segoe UI"/>
          <w:lang w:val="es-MX" w:eastAsia="es-MX"/>
        </w:rPr>
      </w:pPr>
      <w:r>
        <w:rPr>
          <w:rStyle w:val="normaltextrun"/>
          <w:rFonts w:ascii="Palatino Linotype" w:hAnsi="Palatino Linotype" w:cs="Segoe UI"/>
        </w:rPr>
        <w:lastRenderedPageBreak/>
        <w:t xml:space="preserve">Ahora bien, </w:t>
      </w:r>
      <w:r>
        <w:rPr>
          <w:rFonts w:ascii="Palatino Linotype" w:hAnsi="Palatino Linotype" w:cs="Segoe UI"/>
          <w:lang w:val="es-MX" w:eastAsia="es-MX"/>
        </w:rPr>
        <w:t xml:space="preserve">resulta procedente la interposición de los recursos de revisión, según lo aducido por el </w:t>
      </w:r>
      <w:r>
        <w:rPr>
          <w:rFonts w:ascii="Palatino Linotype" w:hAnsi="Palatino Linotype" w:cs="Segoe UI"/>
          <w:b/>
          <w:lang w:val="es-MX" w:eastAsia="es-MX"/>
        </w:rPr>
        <w:t>RECURRENTE</w:t>
      </w:r>
      <w:r>
        <w:rPr>
          <w:rFonts w:ascii="Palatino Linotype" w:hAnsi="Palatino Linotype" w:cs="Segoe UI"/>
          <w:lang w:val="es-MX" w:eastAsia="es-MX"/>
        </w:rPr>
        <w:t>, en términos del artículo</w:t>
      </w:r>
      <w:r>
        <w:rPr>
          <w:rFonts w:ascii="Palatino Linotype" w:eastAsia="Cambria" w:hAnsi="Palatino Linotype" w:cs="Segoe UI"/>
          <w:lang w:val="es-MX" w:eastAsia="es-MX"/>
        </w:rPr>
        <w:t xml:space="preserve"> 179</w:t>
      </w:r>
      <w:r>
        <w:rPr>
          <w:rFonts w:ascii="Palatino Linotype" w:hAnsi="Palatino Linotype" w:cs="Segoe UI"/>
          <w:lang w:val="es-MX" w:eastAsia="es-MX"/>
        </w:rPr>
        <w:t>, fracción VII del ordenamiento legal de la materia, que a la letra dice:</w:t>
      </w:r>
    </w:p>
    <w:p w:rsidR="00550A43" w:rsidRPr="008A328B" w:rsidRDefault="00550A43" w:rsidP="00550A43">
      <w:pPr>
        <w:spacing w:before="240" w:after="240"/>
        <w:ind w:left="993" w:right="1041"/>
        <w:jc w:val="both"/>
        <w:textAlignment w:val="baseline"/>
        <w:rPr>
          <w:rFonts w:ascii="Palatino Linotype" w:eastAsia="MS Gothic" w:hAnsi="Palatino Linotype" w:cs="Segoe UI"/>
          <w:sz w:val="22"/>
          <w:szCs w:val="22"/>
          <w:lang w:val="es-MX" w:eastAsia="es-MX"/>
        </w:rPr>
      </w:pPr>
      <w:r w:rsidRPr="008A328B">
        <w:rPr>
          <w:rFonts w:ascii="Palatino Linotype" w:hAnsi="Palatino Linotype" w:cs="Segoe UI"/>
          <w:bCs/>
          <w:i/>
          <w:iCs/>
          <w:sz w:val="22"/>
          <w:szCs w:val="22"/>
          <w:lang w:val="es-MX" w:eastAsia="es-MX"/>
        </w:rPr>
        <w:t>“</w:t>
      </w:r>
      <w:r w:rsidRPr="008A328B">
        <w:rPr>
          <w:rFonts w:ascii="Palatino Linotype" w:hAnsi="Palatino Linotype" w:cs="Segoe UI"/>
          <w:b/>
          <w:bCs/>
          <w:sz w:val="22"/>
          <w:szCs w:val="22"/>
          <w:lang w:val="es-MX" w:eastAsia="es-MX"/>
        </w:rPr>
        <w:t>Artículo 179.</w:t>
      </w:r>
      <w:r w:rsidRPr="008A328B">
        <w:rPr>
          <w:rFonts w:ascii="Palatino Linotype" w:eastAsia="Cambria" w:hAnsi="Palatino Linotype" w:cs="Segoe UI"/>
          <w:i/>
          <w:iCs/>
          <w:sz w:val="22"/>
          <w:szCs w:val="22"/>
          <w:lang w:val="es-MX" w:eastAsia="es-MX"/>
        </w:rPr>
        <w:t xml:space="preserve">El recurso de revisión es un medio de protección que la Ley otorga a los particulares, para hacer valer su derecho de acceso a la información pública, y procederá en contra de las siguientes causas: </w:t>
      </w:r>
      <w:r w:rsidRPr="008A328B">
        <w:rPr>
          <w:rFonts w:ascii="Palatino Linotype" w:eastAsia="MS Gothic" w:hAnsi="Palatino Linotype" w:cs="Segoe UI"/>
          <w:sz w:val="22"/>
          <w:szCs w:val="22"/>
          <w:lang w:val="es-MX" w:eastAsia="es-MX"/>
        </w:rPr>
        <w:t> </w:t>
      </w:r>
    </w:p>
    <w:p w:rsidR="00550A43" w:rsidRDefault="00550A43" w:rsidP="00550A43">
      <w:pPr>
        <w:numPr>
          <w:ilvl w:val="0"/>
          <w:numId w:val="14"/>
        </w:numPr>
        <w:spacing w:before="240" w:after="240"/>
        <w:ind w:right="1041" w:hanging="87"/>
        <w:jc w:val="both"/>
        <w:textAlignment w:val="baseline"/>
        <w:rPr>
          <w:rFonts w:ascii="Palatino Linotype" w:eastAsia="MS Gothic" w:hAnsi="Palatino Linotype" w:cs="Segoe UI"/>
          <w:i/>
          <w:sz w:val="22"/>
          <w:szCs w:val="22"/>
          <w:lang w:val="es-MX" w:eastAsia="es-MX"/>
        </w:rPr>
      </w:pPr>
      <w:r w:rsidRPr="008A328B">
        <w:rPr>
          <w:rFonts w:ascii="Palatino Linotype" w:eastAsia="MS Gothic" w:hAnsi="Palatino Linotype" w:cs="Segoe UI"/>
          <w:i/>
          <w:sz w:val="22"/>
          <w:szCs w:val="22"/>
          <w:lang w:val="es-MX" w:eastAsia="es-MX"/>
        </w:rPr>
        <w:t>La falta de respuesta a una solic</w:t>
      </w:r>
      <w:r>
        <w:rPr>
          <w:rFonts w:ascii="Palatino Linotype" w:eastAsia="MS Gothic" w:hAnsi="Palatino Linotype" w:cs="Segoe UI"/>
          <w:i/>
          <w:sz w:val="22"/>
          <w:szCs w:val="22"/>
          <w:lang w:val="es-MX" w:eastAsia="es-MX"/>
        </w:rPr>
        <w:t>itud de acceso a la información…(Sic)</w:t>
      </w:r>
    </w:p>
    <w:p w:rsidR="00550A43" w:rsidRDefault="00550A43" w:rsidP="00550A43">
      <w:pPr>
        <w:spacing w:before="280" w:after="280" w:line="360" w:lineRule="auto"/>
        <w:jc w:val="both"/>
        <w:rPr>
          <w:rFonts w:ascii="Palatino Linotype" w:eastAsia="Palatino Linotype" w:hAnsi="Palatino Linotype" w:cs="Palatino Linotype"/>
        </w:rPr>
      </w:pPr>
      <w:r w:rsidRPr="00080788">
        <w:rPr>
          <w:rFonts w:ascii="Palatino Linotype" w:hAnsi="Palatino Linotype" w:cs="Arial"/>
          <w:b/>
        </w:rPr>
        <w:t>Tercero. Materia de Revisión</w:t>
      </w:r>
      <w:r w:rsidRPr="00080788">
        <w:rPr>
          <w:rFonts w:ascii="Palatino Linotype" w:hAnsi="Palatino Linotype" w:cs="Arial"/>
        </w:rPr>
        <w:t xml:space="preserve">: </w:t>
      </w:r>
      <w:r>
        <w:rPr>
          <w:rFonts w:ascii="Palatino Linotype" w:eastAsia="Palatino Linotype" w:hAnsi="Palatino Linotype" w:cs="Palatino Linotype"/>
        </w:rPr>
        <w:t xml:space="preserve">De las constancias que integran los expedientes electrónicos se advierte que el tema sobre el que este Instituto se pronunciará será: </w:t>
      </w:r>
      <w:r>
        <w:rPr>
          <w:rFonts w:ascii="Palatino Linotype" w:eastAsia="Palatino Linotype" w:hAnsi="Palatino Linotype" w:cs="Palatino Linotype"/>
          <w:b/>
        </w:rPr>
        <w:t xml:space="preserve">verificar si la información remitida en el apartado de manifestaciones del SAIMEX por el SUJETO OBLIGADO es adecuada y suficiente para satisfacer el derecho de acceso a la información pública </w:t>
      </w:r>
      <w:r>
        <w:rPr>
          <w:rFonts w:ascii="Palatino Linotype" w:eastAsia="Palatino Linotype" w:hAnsi="Palatino Linotype" w:cs="Palatino Linotype"/>
        </w:rPr>
        <w:t xml:space="preserve">de la </w:t>
      </w:r>
      <w:r>
        <w:rPr>
          <w:rFonts w:ascii="Palatino Linotype" w:eastAsia="Palatino Linotype" w:hAnsi="Palatino Linotype" w:cs="Palatino Linotype"/>
          <w:b/>
        </w:rPr>
        <w:t>RECURRENTE</w:t>
      </w:r>
      <w:r>
        <w:rPr>
          <w:rFonts w:ascii="Palatino Linotype" w:eastAsia="Palatino Linotype" w:hAnsi="Palatino Linotype" w:cs="Palatino Linotype"/>
        </w:rPr>
        <w:t>, o en su defecto, en caso de ser procedente, ordenar la entrega de información.</w:t>
      </w:r>
    </w:p>
    <w:p w:rsidR="00550A43" w:rsidRDefault="00035093" w:rsidP="00550A43">
      <w:pPr>
        <w:spacing w:before="240" w:after="240" w:line="360" w:lineRule="auto"/>
        <w:jc w:val="both"/>
        <w:rPr>
          <w:rFonts w:ascii="Palatino Linotype" w:hAnsi="Palatino Linotype" w:cs="Arial"/>
        </w:rPr>
      </w:pPr>
      <w:r>
        <w:rPr>
          <w:rFonts w:ascii="Palatino Linotype" w:eastAsia="Palatino Linotype" w:hAnsi="Palatino Linotype" w:cs="Palatino Linotype"/>
          <w:b/>
        </w:rPr>
        <w:t xml:space="preserve">Cuarto. Estudio de fondo del asunto. </w:t>
      </w:r>
      <w:r w:rsidR="00550A43">
        <w:rPr>
          <w:rFonts w:ascii="Palatino Linotype" w:hAnsi="Palatino Linotype" w:cs="Arial"/>
        </w:rPr>
        <w:t>C</w:t>
      </w:r>
      <w:r w:rsidR="00550A43" w:rsidRPr="008F095F">
        <w:rPr>
          <w:rFonts w:ascii="Palatino Linotype" w:hAnsi="Palatino Linotype" w:cs="Arial"/>
        </w:rPr>
        <w:t xml:space="preserve">omo se puede observar en los antecedentes de la presente resolución, el </w:t>
      </w:r>
      <w:r w:rsidR="00550A43" w:rsidRPr="008F095F">
        <w:rPr>
          <w:rFonts w:ascii="Palatino Linotype" w:hAnsi="Palatino Linotype" w:cs="Arial"/>
          <w:b/>
        </w:rPr>
        <w:t>SUJETO OBLIGADO</w:t>
      </w:r>
      <w:r w:rsidR="00550A43" w:rsidRPr="008F095F">
        <w:rPr>
          <w:rFonts w:ascii="Palatino Linotype" w:hAnsi="Palatino Linotype" w:cs="Arial"/>
        </w:rPr>
        <w:t xml:space="preserve"> fue omiso en emitir respuesta</w:t>
      </w:r>
      <w:r w:rsidR="0009676C">
        <w:rPr>
          <w:rFonts w:ascii="Palatino Linotype" w:hAnsi="Palatino Linotype" w:cs="Arial"/>
        </w:rPr>
        <w:t>s</w:t>
      </w:r>
      <w:r w:rsidR="00550A43" w:rsidRPr="008F095F">
        <w:rPr>
          <w:rFonts w:ascii="Palatino Linotype" w:hAnsi="Palatino Linotype" w:cs="Arial"/>
        </w:rPr>
        <w:t xml:space="preserve"> a la</w:t>
      </w:r>
      <w:r w:rsidR="0009676C">
        <w:rPr>
          <w:rFonts w:ascii="Palatino Linotype" w:hAnsi="Palatino Linotype" w:cs="Arial"/>
        </w:rPr>
        <w:t>s</w:t>
      </w:r>
      <w:r w:rsidR="00550A43" w:rsidRPr="008F095F">
        <w:rPr>
          <w:rFonts w:ascii="Palatino Linotype" w:hAnsi="Palatino Linotype" w:cs="Arial"/>
        </w:rPr>
        <w:t xml:space="preserve"> solicitud</w:t>
      </w:r>
      <w:r w:rsidR="0009676C">
        <w:rPr>
          <w:rFonts w:ascii="Palatino Linotype" w:hAnsi="Palatino Linotype" w:cs="Arial"/>
        </w:rPr>
        <w:t>es</w:t>
      </w:r>
      <w:r w:rsidR="00550A43" w:rsidRPr="008F095F">
        <w:rPr>
          <w:rFonts w:ascii="Palatino Linotype" w:hAnsi="Palatino Linotype" w:cs="Arial"/>
        </w:rPr>
        <w:t xml:space="preserve"> de información</w:t>
      </w:r>
      <w:r w:rsidR="00550A43">
        <w:rPr>
          <w:rFonts w:ascii="Palatino Linotype" w:hAnsi="Palatino Linotype" w:cs="Arial"/>
        </w:rPr>
        <w:t>;</w:t>
      </w:r>
      <w:r w:rsidR="00550A43" w:rsidRPr="008F095F">
        <w:rPr>
          <w:rFonts w:ascii="Palatino Linotype" w:hAnsi="Palatino Linotype" w:cs="Arial"/>
        </w:rPr>
        <w:t xml:space="preserve"> </w:t>
      </w:r>
      <w:r w:rsidR="00550A43">
        <w:rPr>
          <w:rFonts w:ascii="Palatino Linotype" w:hAnsi="Palatino Linotype" w:cs="Arial"/>
        </w:rPr>
        <w:t>sin embargo, con posterioridad median</w:t>
      </w:r>
      <w:r w:rsidR="0009676C">
        <w:rPr>
          <w:rFonts w:ascii="Palatino Linotype" w:hAnsi="Palatino Linotype" w:cs="Arial"/>
        </w:rPr>
        <w:t>te informe justificado remite varios</w:t>
      </w:r>
      <w:r w:rsidR="00550A43">
        <w:rPr>
          <w:rFonts w:ascii="Palatino Linotype" w:hAnsi="Palatino Linotype" w:cs="Arial"/>
        </w:rPr>
        <w:t xml:space="preserve"> documento</w:t>
      </w:r>
      <w:r w:rsidR="0009676C">
        <w:rPr>
          <w:rFonts w:ascii="Palatino Linotype" w:hAnsi="Palatino Linotype" w:cs="Arial"/>
        </w:rPr>
        <w:t>s</w:t>
      </w:r>
      <w:r w:rsidR="00550A43">
        <w:rPr>
          <w:rFonts w:ascii="Palatino Linotype" w:hAnsi="Palatino Linotype" w:cs="Arial"/>
        </w:rPr>
        <w:t xml:space="preserve"> a través del cual dio respuesta a la solicitud de acceso a la información número </w:t>
      </w:r>
      <w:r w:rsidR="0009676C" w:rsidRPr="0009676C">
        <w:rPr>
          <w:rFonts w:ascii="Palatino Linotype" w:hAnsi="Palatino Linotype" w:cs="Arial"/>
        </w:rPr>
        <w:t>00048/TMASCALC/IP/2022 y 00047/TMASCALC/IP/2022</w:t>
      </w:r>
      <w:r w:rsidR="00550A43" w:rsidRPr="00B6450E">
        <w:rPr>
          <w:rFonts w:ascii="Palatino Linotype" w:hAnsi="Palatino Linotype" w:cs="Arial"/>
        </w:rPr>
        <w:t>.</w:t>
      </w:r>
      <w:r w:rsidR="00550A43">
        <w:rPr>
          <w:rFonts w:ascii="Palatino Linotype" w:hAnsi="Palatino Linotype" w:cs="Arial"/>
        </w:rPr>
        <w:t xml:space="preserve"> </w:t>
      </w:r>
    </w:p>
    <w:p w:rsidR="00550A43" w:rsidRPr="00FD4CA1" w:rsidRDefault="00550A43" w:rsidP="00550A43">
      <w:pPr>
        <w:spacing w:before="240" w:after="240" w:line="360" w:lineRule="auto"/>
        <w:contextualSpacing/>
        <w:jc w:val="both"/>
        <w:rPr>
          <w:rFonts w:ascii="Palatino Linotype" w:hAnsi="Palatino Linotype" w:cs="Arial"/>
        </w:rPr>
      </w:pPr>
      <w:r w:rsidRPr="00FD4CA1">
        <w:rPr>
          <w:rFonts w:ascii="Palatino Linotype" w:hAnsi="Palatino Linotype" w:cs="Arial"/>
        </w:rPr>
        <w:t xml:space="preserve">En este sentido, existe un cambio o modificación en la acción del </w:t>
      </w:r>
      <w:r w:rsidRPr="0024504A">
        <w:rPr>
          <w:rFonts w:ascii="Palatino Linotype" w:hAnsi="Palatino Linotype" w:cs="Arial"/>
          <w:b/>
        </w:rPr>
        <w:t>SUJETO OBLIGADO</w:t>
      </w:r>
      <w:r w:rsidRPr="00FD4CA1">
        <w:rPr>
          <w:rFonts w:ascii="Palatino Linotype" w:hAnsi="Palatino Linotype" w:cs="Arial"/>
        </w:rPr>
        <w:t>, en dond</w:t>
      </w:r>
      <w:r>
        <w:rPr>
          <w:rFonts w:ascii="Palatino Linotype" w:hAnsi="Palatino Linotype" w:cs="Arial"/>
        </w:rPr>
        <w:t>e de una</w:t>
      </w:r>
      <w:r w:rsidRPr="00FD4CA1">
        <w:rPr>
          <w:rFonts w:ascii="Palatino Linotype" w:hAnsi="Palatino Linotype" w:cs="Arial"/>
        </w:rPr>
        <w:t xml:space="preserve"> negativa de información, se traslada a una situación </w:t>
      </w:r>
      <w:r w:rsidRPr="00FD4CA1">
        <w:rPr>
          <w:rFonts w:ascii="Palatino Linotype" w:hAnsi="Palatino Linotype" w:cs="Arial"/>
        </w:rPr>
        <w:lastRenderedPageBreak/>
        <w:t xml:space="preserve">por medio de la cual se </w:t>
      </w:r>
      <w:r w:rsidR="0065037A">
        <w:rPr>
          <w:rFonts w:ascii="Palatino Linotype" w:hAnsi="Palatino Linotype" w:cs="Arial"/>
        </w:rPr>
        <w:t>pretende poner a disposición de la</w:t>
      </w:r>
      <w:r w:rsidRPr="00FD4CA1">
        <w:rPr>
          <w:rFonts w:ascii="Palatino Linotype" w:hAnsi="Palatino Linotype" w:cs="Arial"/>
        </w:rPr>
        <w:t xml:space="preserve"> </w:t>
      </w:r>
      <w:r w:rsidRPr="005E50BE">
        <w:rPr>
          <w:rFonts w:ascii="Palatino Linotype" w:hAnsi="Palatino Linotype" w:cs="Arial"/>
          <w:b/>
        </w:rPr>
        <w:t>RECURRENTE</w:t>
      </w:r>
      <w:r w:rsidRPr="00FD4CA1">
        <w:rPr>
          <w:rFonts w:ascii="Palatino Linotype" w:hAnsi="Palatino Linotype" w:cs="Arial"/>
        </w:rPr>
        <w:t xml:space="preserve"> la información requerida.</w:t>
      </w:r>
    </w:p>
    <w:p w:rsidR="00550A43" w:rsidRPr="00FD4CA1" w:rsidRDefault="00550A43" w:rsidP="00550A43">
      <w:pPr>
        <w:spacing w:before="240" w:after="240" w:line="360" w:lineRule="auto"/>
        <w:contextualSpacing/>
        <w:jc w:val="both"/>
        <w:rPr>
          <w:rFonts w:ascii="Palatino Linotype" w:hAnsi="Palatino Linotype" w:cs="Arial"/>
        </w:rPr>
      </w:pPr>
    </w:p>
    <w:p w:rsidR="00550A43" w:rsidRDefault="00550A43" w:rsidP="00550A43">
      <w:pPr>
        <w:spacing w:before="240" w:after="240" w:line="360" w:lineRule="auto"/>
        <w:contextualSpacing/>
        <w:jc w:val="both"/>
        <w:rPr>
          <w:rFonts w:ascii="Palatino Linotype" w:hAnsi="Palatino Linotype" w:cs="Arial"/>
        </w:rPr>
      </w:pPr>
      <w:r w:rsidRPr="00FD4CA1">
        <w:rPr>
          <w:rFonts w:ascii="Palatino Linotype" w:hAnsi="Palatino Linotype" w:cs="Arial"/>
        </w:rPr>
        <w:t>En razón de ello, con el fin de no dejar e</w:t>
      </w:r>
      <w:r w:rsidR="0065037A">
        <w:rPr>
          <w:rFonts w:ascii="Palatino Linotype" w:hAnsi="Palatino Linotype" w:cs="Arial"/>
        </w:rPr>
        <w:t>n estado de indefensión a la</w:t>
      </w:r>
      <w:r w:rsidRPr="00FD4CA1">
        <w:rPr>
          <w:rFonts w:ascii="Palatino Linotype" w:hAnsi="Palatino Linotype" w:cs="Arial"/>
        </w:rPr>
        <w:t xml:space="preserve"> </w:t>
      </w:r>
      <w:r w:rsidRPr="0024504A">
        <w:rPr>
          <w:rFonts w:ascii="Palatino Linotype" w:hAnsi="Palatino Linotype" w:cs="Arial"/>
          <w:b/>
        </w:rPr>
        <w:t>RECURRENT</w:t>
      </w:r>
      <w:r w:rsidRPr="00FD4CA1">
        <w:rPr>
          <w:rFonts w:ascii="Palatino Linotype" w:hAnsi="Palatino Linotype" w:cs="Arial"/>
        </w:rPr>
        <w:t>E, resulta oportuno analizar y determinar si la información proporcionada vía manifestaciones, satisface el alcance y contenido del derecho de acceso a la información en términos del artículo 4 d</w:t>
      </w:r>
      <w:r>
        <w:rPr>
          <w:rFonts w:ascii="Palatino Linotype" w:hAnsi="Palatino Linotype" w:cs="Arial"/>
        </w:rPr>
        <w:t xml:space="preserve">e la Ley en la Materia, esto es, que cualquier persona tiene el derecho al acceso de la información pública, información que consiste en aquella </w:t>
      </w:r>
      <w:r w:rsidRPr="000534DD">
        <w:rPr>
          <w:rFonts w:ascii="Palatino Linotype" w:hAnsi="Palatino Linotype" w:cs="Arial"/>
        </w:rPr>
        <w:t>que sea generada, obtenida, adquirida, transformada, administrada o en posesión de los Sujetos Obligados,</w:t>
      </w:r>
      <w:r>
        <w:rPr>
          <w:rFonts w:ascii="Palatino Linotype" w:hAnsi="Palatino Linotype" w:cs="Arial"/>
        </w:rPr>
        <w:t xml:space="preserve"> como así también lo señala la </w:t>
      </w:r>
      <w:r w:rsidRPr="000534DD">
        <w:rPr>
          <w:rFonts w:ascii="Palatino Linotype" w:hAnsi="Palatino Linotype" w:cs="Arial"/>
        </w:rPr>
        <w:t>Ley</w:t>
      </w:r>
      <w:r>
        <w:rPr>
          <w:rFonts w:ascii="Palatino Linotype" w:hAnsi="Palatino Linotype" w:cs="Arial"/>
        </w:rPr>
        <w:t xml:space="preserve"> </w:t>
      </w:r>
      <w:r w:rsidRPr="00B6113B">
        <w:rPr>
          <w:rFonts w:ascii="Palatino Linotype" w:hAnsi="Palatino Linotype" w:cs="Arial"/>
        </w:rPr>
        <w:t>de Transparencia y Acceso a la Información Pública del Estado de México y Municipios</w:t>
      </w:r>
      <w:r>
        <w:rPr>
          <w:rFonts w:ascii="Palatino Linotype" w:hAnsi="Palatino Linotype" w:cs="Arial"/>
        </w:rPr>
        <w:t xml:space="preserve"> en su artículo 4, que toda la información </w:t>
      </w:r>
      <w:r w:rsidRPr="004B2697">
        <w:rPr>
          <w:rFonts w:ascii="Palatino Linotype" w:hAnsi="Palatino Linotype" w:cs="Arial"/>
        </w:rPr>
        <w:t>generada, obtenida, adquirida, transformada, administrada o en posesión de los sujetos obligados</w:t>
      </w:r>
      <w:r>
        <w:rPr>
          <w:rFonts w:ascii="Palatino Linotype" w:hAnsi="Palatino Linotype" w:cs="Arial"/>
        </w:rPr>
        <w:t>,</w:t>
      </w:r>
      <w:r w:rsidRPr="004B2697">
        <w:rPr>
          <w:rFonts w:ascii="Palatino Linotype" w:hAnsi="Palatino Linotype" w:cs="Arial"/>
        </w:rPr>
        <w:t xml:space="preserve"> es pública y accesible</w:t>
      </w:r>
      <w:r>
        <w:rPr>
          <w:rFonts w:ascii="Palatino Linotype" w:hAnsi="Palatino Linotype" w:cs="Arial"/>
        </w:rPr>
        <w:t>,</w:t>
      </w:r>
      <w:r w:rsidRPr="004B2697">
        <w:rPr>
          <w:rFonts w:ascii="Palatino Linotype" w:hAnsi="Palatino Linotype" w:cs="Arial"/>
        </w:rPr>
        <w:t xml:space="preserve"> de manera permanente a cualquier persona</w:t>
      </w:r>
      <w:r w:rsidRPr="000534DD">
        <w:rPr>
          <w:rFonts w:ascii="Palatino Linotype" w:hAnsi="Palatino Linotype" w:cs="Arial"/>
        </w:rPr>
        <w:t xml:space="preserve">, privilegiando el principio de máxima publicidad, como </w:t>
      </w:r>
      <w:r>
        <w:rPr>
          <w:rFonts w:ascii="Palatino Linotype" w:hAnsi="Palatino Linotype" w:cs="Arial"/>
        </w:rPr>
        <w:t>así lo establece dicha determinación, que a continuación se trascribe para un mejor entendimiento:</w:t>
      </w:r>
    </w:p>
    <w:p w:rsidR="00550A43" w:rsidRDefault="00550A43" w:rsidP="00550A43">
      <w:pPr>
        <w:spacing w:before="240" w:after="240" w:line="360" w:lineRule="auto"/>
        <w:contextualSpacing/>
        <w:jc w:val="both"/>
        <w:rPr>
          <w:rFonts w:ascii="Palatino Linotype" w:hAnsi="Palatino Linotype" w:cs="Arial"/>
        </w:rPr>
      </w:pPr>
    </w:p>
    <w:p w:rsidR="00550A43" w:rsidRDefault="00550A43" w:rsidP="00550A43">
      <w:pPr>
        <w:spacing w:before="240" w:after="240"/>
        <w:ind w:left="709" w:right="760"/>
        <w:contextualSpacing/>
        <w:jc w:val="both"/>
        <w:rPr>
          <w:rFonts w:ascii="Palatino Linotype" w:hAnsi="Palatino Linotype" w:cs="Arial"/>
          <w:i/>
          <w:sz w:val="22"/>
          <w:szCs w:val="22"/>
        </w:rPr>
      </w:pPr>
      <w:r>
        <w:rPr>
          <w:rFonts w:ascii="Palatino Linotype" w:hAnsi="Palatino Linotype" w:cs="Arial"/>
          <w:i/>
          <w:sz w:val="22"/>
          <w:szCs w:val="22"/>
        </w:rPr>
        <w:t>“</w:t>
      </w:r>
      <w:r>
        <w:rPr>
          <w:rFonts w:ascii="Palatino Linotype" w:hAnsi="Palatino Linotype" w:cs="Arial"/>
          <w:b/>
          <w:i/>
          <w:sz w:val="22"/>
          <w:szCs w:val="22"/>
        </w:rPr>
        <w:t xml:space="preserve">Artículo </w:t>
      </w:r>
      <w:r w:rsidRPr="00935E29">
        <w:rPr>
          <w:rFonts w:ascii="Palatino Linotype" w:hAnsi="Palatino Linotype" w:cs="Arial"/>
          <w:b/>
          <w:i/>
          <w:sz w:val="22"/>
          <w:szCs w:val="22"/>
        </w:rPr>
        <w:t>4</w:t>
      </w:r>
      <w:r w:rsidRPr="004B2697">
        <w:rPr>
          <w:rFonts w:ascii="Palatino Linotype" w:hAnsi="Palatino Linotype" w:cs="Arial"/>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rsidR="00550A43" w:rsidRPr="00903A6F" w:rsidRDefault="00550A43" w:rsidP="00550A43">
      <w:pPr>
        <w:spacing w:before="240" w:after="240"/>
        <w:ind w:left="709" w:right="760"/>
        <w:contextualSpacing/>
        <w:jc w:val="both"/>
        <w:rPr>
          <w:rFonts w:ascii="Palatino Linotype" w:hAnsi="Palatino Linotype" w:cs="Arial"/>
          <w:b/>
          <w:i/>
          <w:sz w:val="22"/>
          <w:szCs w:val="22"/>
        </w:rPr>
      </w:pPr>
      <w:r w:rsidRPr="00903A6F">
        <w:rPr>
          <w:rFonts w:ascii="Palatino Linotype" w:hAnsi="Palatino Linotype" w:cs="Arial"/>
          <w:b/>
          <w:i/>
          <w:sz w:val="22"/>
          <w:szCs w:val="22"/>
        </w:rPr>
        <w:t xml:space="preserve">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w:t>
      </w:r>
      <w:r w:rsidRPr="00903A6F">
        <w:rPr>
          <w:rFonts w:ascii="Palatino Linotype" w:hAnsi="Palatino Linotype" w:cs="Arial"/>
          <w:b/>
          <w:i/>
          <w:sz w:val="22"/>
          <w:szCs w:val="22"/>
        </w:rPr>
        <w:lastRenderedPageBreak/>
        <w:t>Información Pública del Estado de México y Municipios 29 como reservada temporalmente por razones de interés público, en los términos de las causas legítimas y estrictamente necesarias previstas por esta Ley.</w:t>
      </w:r>
    </w:p>
    <w:p w:rsidR="00550A43" w:rsidRDefault="00550A43" w:rsidP="00550A43">
      <w:pPr>
        <w:spacing w:before="240" w:after="240"/>
        <w:ind w:left="709" w:right="760"/>
        <w:contextualSpacing/>
        <w:jc w:val="both"/>
        <w:rPr>
          <w:rFonts w:ascii="Palatino Linotype" w:hAnsi="Palatino Linotype" w:cs="Arial"/>
          <w:i/>
          <w:sz w:val="22"/>
          <w:szCs w:val="22"/>
        </w:rPr>
      </w:pPr>
      <w:r w:rsidRPr="004B2697">
        <w:rPr>
          <w:rFonts w:ascii="Palatino Linotype" w:hAnsi="Palatino Linotype" w:cs="Arial"/>
          <w:i/>
          <w:sz w:val="22"/>
          <w:szCs w:val="22"/>
        </w:rPr>
        <w:t>Los sujetos obligados deben poner en práctica, políticas y programas de acceso a la información que se apeguen a criterios de publicidad, veracidad, oportunidad, precisión y suficiencia en beneficio de los solicitantes.</w:t>
      </w:r>
      <w:r>
        <w:rPr>
          <w:rFonts w:ascii="Palatino Linotype" w:hAnsi="Palatino Linotype" w:cs="Arial"/>
          <w:i/>
          <w:sz w:val="22"/>
          <w:szCs w:val="22"/>
        </w:rPr>
        <w:t>” (Sic)</w:t>
      </w:r>
    </w:p>
    <w:p w:rsidR="00550A43" w:rsidRDefault="00550A43" w:rsidP="00550A43">
      <w:pPr>
        <w:spacing w:before="240" w:after="240" w:line="360" w:lineRule="auto"/>
        <w:contextualSpacing/>
        <w:jc w:val="both"/>
        <w:rPr>
          <w:rFonts w:ascii="Palatino Linotype" w:hAnsi="Palatino Linotype" w:cs="Arial"/>
        </w:rPr>
      </w:pPr>
    </w:p>
    <w:p w:rsidR="00550A43" w:rsidRDefault="00550A43" w:rsidP="00550A43">
      <w:pPr>
        <w:spacing w:before="240" w:after="240" w:line="360" w:lineRule="auto"/>
        <w:contextualSpacing/>
        <w:jc w:val="both"/>
        <w:rPr>
          <w:rFonts w:ascii="Palatino Linotype" w:hAnsi="Palatino Linotype" w:cs="Arial"/>
        </w:rPr>
      </w:pPr>
      <w:r>
        <w:rPr>
          <w:rFonts w:ascii="Palatino Linotype" w:hAnsi="Palatino Linotype" w:cs="Arial"/>
        </w:rPr>
        <w:t xml:space="preserve">De lo precedente, se desprende que los Sujetos Obligados tiene la obligación o deber de atender las solicitudes de acceso a la información pública que se les hagan de su conocimiento y proporcionar la información pública que obren en su poder como así lo establece el </w:t>
      </w:r>
      <w:r w:rsidRPr="00935E29">
        <w:rPr>
          <w:rFonts w:ascii="Palatino Linotype" w:hAnsi="Palatino Linotype" w:cs="Arial"/>
          <w:b/>
        </w:rPr>
        <w:t>artículo 12</w:t>
      </w:r>
      <w:r>
        <w:rPr>
          <w:rFonts w:ascii="Palatino Linotype" w:hAnsi="Palatino Linotype" w:cs="Arial"/>
        </w:rPr>
        <w:t xml:space="preserve"> de la Ley </w:t>
      </w:r>
      <w:r w:rsidRPr="00B6113B">
        <w:rPr>
          <w:rFonts w:ascii="Palatino Linotype" w:hAnsi="Palatino Linotype" w:cs="Arial"/>
        </w:rPr>
        <w:t>de Transparencia y Acceso a la Información Pública del Estado de México y Municipios</w:t>
      </w:r>
      <w:r>
        <w:rPr>
          <w:rFonts w:ascii="Palatino Linotype" w:hAnsi="Palatino Linotype" w:cs="Arial"/>
        </w:rPr>
        <w:t>, el cual a la letra dice:</w:t>
      </w:r>
    </w:p>
    <w:p w:rsidR="00550A43" w:rsidRDefault="00550A43" w:rsidP="00550A43">
      <w:pPr>
        <w:spacing w:before="240" w:after="240" w:line="360" w:lineRule="auto"/>
        <w:contextualSpacing/>
        <w:jc w:val="both"/>
        <w:rPr>
          <w:rFonts w:ascii="Palatino Linotype" w:hAnsi="Palatino Linotype" w:cs="Arial"/>
        </w:rPr>
      </w:pPr>
    </w:p>
    <w:p w:rsidR="00550A43" w:rsidRDefault="00550A43" w:rsidP="00550A43">
      <w:pPr>
        <w:spacing w:before="240" w:after="240"/>
        <w:ind w:left="567" w:right="758"/>
        <w:contextualSpacing/>
        <w:jc w:val="both"/>
        <w:rPr>
          <w:rFonts w:ascii="Palatino Linotype" w:hAnsi="Palatino Linotype" w:cs="Arial"/>
          <w:i/>
          <w:sz w:val="22"/>
          <w:szCs w:val="22"/>
        </w:rPr>
      </w:pPr>
      <w:r w:rsidRPr="00786FA3">
        <w:rPr>
          <w:rFonts w:ascii="Palatino Linotype" w:hAnsi="Palatino Linotype" w:cs="Arial"/>
          <w:i/>
          <w:sz w:val="22"/>
          <w:szCs w:val="22"/>
        </w:rPr>
        <w:t>“</w:t>
      </w:r>
      <w:r w:rsidRPr="00903A6F">
        <w:rPr>
          <w:rFonts w:ascii="Palatino Linotype" w:hAnsi="Palatino Linotype" w:cs="Arial"/>
          <w:b/>
          <w:i/>
          <w:sz w:val="22"/>
          <w:szCs w:val="22"/>
        </w:rPr>
        <w:t>Artículo 12</w:t>
      </w:r>
      <w:r>
        <w:rPr>
          <w:rFonts w:ascii="Palatino Linotype" w:hAnsi="Palatino Linotype" w:cs="Arial"/>
          <w:i/>
          <w:sz w:val="22"/>
          <w:szCs w:val="22"/>
        </w:rPr>
        <w:t xml:space="preserve">. </w:t>
      </w:r>
      <w:r w:rsidRPr="00B11B43">
        <w:rPr>
          <w:rFonts w:ascii="Palatino Linotype" w:hAnsi="Palatino Linotype" w:cs="Arial"/>
          <w:i/>
          <w:sz w:val="22"/>
          <w:szCs w:val="22"/>
        </w:rPr>
        <w:t xml:space="preserve">Quienes generen, recopilen, administren, manejen, procesen, archiven o conserven información pública serán responsables de la misma en los términos de las disposiciones jurídicas aplicables. </w:t>
      </w:r>
    </w:p>
    <w:p w:rsidR="00550A43" w:rsidRDefault="00550A43" w:rsidP="00550A43">
      <w:pPr>
        <w:spacing w:before="240" w:after="240"/>
        <w:ind w:left="567" w:right="758"/>
        <w:contextualSpacing/>
        <w:jc w:val="both"/>
        <w:rPr>
          <w:rFonts w:ascii="Palatino Linotype" w:hAnsi="Palatino Linotype" w:cs="Arial"/>
          <w:i/>
          <w:sz w:val="22"/>
          <w:szCs w:val="22"/>
        </w:rPr>
      </w:pPr>
    </w:p>
    <w:p w:rsidR="00550A43" w:rsidRPr="00B11B43" w:rsidRDefault="00550A43" w:rsidP="00550A43">
      <w:pPr>
        <w:spacing w:before="240" w:after="240"/>
        <w:ind w:left="567" w:right="758"/>
        <w:contextualSpacing/>
        <w:jc w:val="both"/>
        <w:rPr>
          <w:rFonts w:ascii="Palatino Linotype" w:hAnsi="Palatino Linotype" w:cs="Arial"/>
          <w:i/>
          <w:sz w:val="22"/>
          <w:szCs w:val="22"/>
        </w:rPr>
      </w:pPr>
      <w:r w:rsidRPr="00B11B43">
        <w:rPr>
          <w:rFonts w:ascii="Palatino Linotype" w:hAnsi="Palatino Linotype" w:cs="Arial"/>
          <w:i/>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Pr>
          <w:rFonts w:ascii="Palatino Linotype" w:hAnsi="Palatino Linotype" w:cs="Arial"/>
          <w:i/>
          <w:sz w:val="22"/>
          <w:szCs w:val="22"/>
        </w:rPr>
        <w:t>” (Sic)</w:t>
      </w:r>
    </w:p>
    <w:p w:rsidR="00550A43" w:rsidRDefault="00550A43" w:rsidP="00550A43">
      <w:pPr>
        <w:spacing w:line="360" w:lineRule="auto"/>
        <w:jc w:val="both"/>
        <w:rPr>
          <w:rFonts w:ascii="Palatino Linotype" w:hAnsi="Palatino Linotype" w:cs="Arial"/>
        </w:rPr>
      </w:pPr>
    </w:p>
    <w:p w:rsidR="00550A43" w:rsidRPr="00A8729B" w:rsidRDefault="00550A43" w:rsidP="00550A43">
      <w:pPr>
        <w:spacing w:line="360" w:lineRule="auto"/>
        <w:jc w:val="both"/>
        <w:rPr>
          <w:rFonts w:ascii="Palatino Linotype" w:hAnsi="Palatino Linotype" w:cs="Arial"/>
          <w:color w:val="000000"/>
        </w:rPr>
      </w:pPr>
      <w:r>
        <w:rPr>
          <w:rFonts w:ascii="Palatino Linotype" w:hAnsi="Palatino Linotype" w:cs="Arial"/>
          <w:color w:val="000000"/>
        </w:rPr>
        <w:t>Es decir, que</w:t>
      </w:r>
      <w:r w:rsidRPr="009E12B6">
        <w:rPr>
          <w:rFonts w:ascii="Palatino Linotype" w:hAnsi="Palatino Linotype" w:cs="Arial"/>
          <w:color w:val="000000"/>
        </w:rPr>
        <w:t xml:space="preserve"> el derecho de acceso a la información pública se satisface en aquellos casos en que</w:t>
      </w:r>
      <w:r>
        <w:rPr>
          <w:rFonts w:ascii="Palatino Linotype" w:hAnsi="Palatino Linotype" w:cs="Arial"/>
          <w:color w:val="000000"/>
        </w:rPr>
        <w:t xml:space="preserve"> se entregue documento</w:t>
      </w:r>
      <w:r w:rsidRPr="009E12B6">
        <w:rPr>
          <w:rFonts w:ascii="Palatino Linotype" w:hAnsi="Palatino Linotype" w:cs="Arial"/>
          <w:color w:val="000000"/>
        </w:rPr>
        <w:t xml:space="preserve"> en q</w:t>
      </w:r>
      <w:r>
        <w:rPr>
          <w:rFonts w:ascii="Palatino Linotype" w:hAnsi="Palatino Linotype" w:cs="Arial"/>
          <w:color w:val="000000"/>
        </w:rPr>
        <w:t>ue conste la información requerida</w:t>
      </w:r>
      <w:r w:rsidRPr="009E12B6">
        <w:rPr>
          <w:rFonts w:ascii="Palatino Linotype" w:hAnsi="Palatino Linotype" w:cs="Arial"/>
          <w:color w:val="000000"/>
        </w:rPr>
        <w:t>, toda vez que, los Sujetos Obligados</w:t>
      </w:r>
      <w:r w:rsidRPr="009E12B6">
        <w:rPr>
          <w:rFonts w:ascii="Palatino Linotype" w:hAnsi="Palatino Linotype" w:cs="Arial"/>
          <w:b/>
          <w:color w:val="000000"/>
        </w:rPr>
        <w:t xml:space="preserve"> </w:t>
      </w:r>
      <w:r w:rsidRPr="009E12B6">
        <w:rPr>
          <w:rFonts w:ascii="Palatino Linotype" w:hAnsi="Palatino Linotype" w:cs="Arial"/>
          <w:color w:val="000000"/>
        </w:rPr>
        <w:t xml:space="preserve">no tienen el deber de generar, poseer o administrar la información pública con el grado de detalle solicitado; esto es, que no tienen el deber de generar un documento </w:t>
      </w:r>
      <w:r w:rsidRPr="009E12B6">
        <w:rPr>
          <w:rFonts w:ascii="Palatino Linotype" w:hAnsi="Palatino Linotype" w:cs="Arial"/>
          <w:i/>
          <w:color w:val="000000"/>
        </w:rPr>
        <w:t>ad hoc</w:t>
      </w:r>
      <w:r w:rsidRPr="009E12B6">
        <w:rPr>
          <w:rFonts w:ascii="Palatino Linotype" w:hAnsi="Palatino Linotype" w:cs="Arial"/>
          <w:color w:val="000000"/>
        </w:rPr>
        <w:t>, para satisfacer el derecho de acceso a</w:t>
      </w:r>
      <w:r>
        <w:rPr>
          <w:rFonts w:ascii="Palatino Linotype" w:hAnsi="Palatino Linotype" w:cs="Arial"/>
          <w:color w:val="000000"/>
        </w:rPr>
        <w:t xml:space="preserve"> la información pública, </w:t>
      </w:r>
      <w:r>
        <w:rPr>
          <w:rFonts w:ascii="Palatino Linotype" w:hAnsi="Palatino Linotype" w:cs="Arial"/>
        </w:rPr>
        <w:t>como</w:t>
      </w:r>
      <w:r w:rsidRPr="00DB74D3">
        <w:rPr>
          <w:rFonts w:ascii="Palatino Linotype" w:hAnsi="Palatino Linotype" w:cs="Arial"/>
        </w:rPr>
        <w:t xml:space="preserve"> </w:t>
      </w:r>
      <w:r>
        <w:rPr>
          <w:rFonts w:ascii="Palatino Linotype" w:hAnsi="Palatino Linotype" w:cs="Arial"/>
        </w:rPr>
        <w:t xml:space="preserve">así lo establece </w:t>
      </w:r>
      <w:r w:rsidRPr="00DB74D3">
        <w:rPr>
          <w:rFonts w:ascii="Palatino Linotype" w:hAnsi="Palatino Linotype" w:cs="Arial"/>
        </w:rPr>
        <w:t xml:space="preserve">los criterios 09/10 y 03/17 emitidos por el Instituto </w:t>
      </w:r>
      <w:r w:rsidRPr="00DB74D3">
        <w:rPr>
          <w:rFonts w:ascii="Palatino Linotype" w:hAnsi="Palatino Linotype" w:cs="Arial"/>
        </w:rPr>
        <w:lastRenderedPageBreak/>
        <w:t>Nacional de Transparencia, Acceso a la Información Pública y Protección de Datos</w:t>
      </w:r>
      <w:r>
        <w:rPr>
          <w:rFonts w:ascii="Palatino Linotype" w:hAnsi="Palatino Linotype" w:cs="Arial"/>
        </w:rPr>
        <w:t xml:space="preserve"> Personales, los cuales señalan lo siguiente</w:t>
      </w:r>
      <w:r w:rsidRPr="00DB74D3">
        <w:rPr>
          <w:rFonts w:ascii="Palatino Linotype" w:hAnsi="Palatino Linotype" w:cs="Arial"/>
        </w:rPr>
        <w:t>:</w:t>
      </w:r>
    </w:p>
    <w:p w:rsidR="00550A43" w:rsidRPr="003720E2" w:rsidRDefault="00550A43" w:rsidP="00550A43">
      <w:pPr>
        <w:spacing w:before="120" w:after="240"/>
        <w:ind w:left="1134" w:right="902"/>
        <w:jc w:val="both"/>
        <w:rPr>
          <w:rFonts w:ascii="Palatino Linotype" w:hAnsi="Palatino Linotype"/>
          <w:b/>
          <w:i/>
          <w:sz w:val="22"/>
          <w:szCs w:val="22"/>
        </w:rPr>
      </w:pPr>
      <w:r w:rsidRPr="003720E2">
        <w:rPr>
          <w:rFonts w:ascii="Palatino Linotype" w:hAnsi="Palatino Linotype"/>
          <w:b/>
          <w:i/>
          <w:sz w:val="22"/>
          <w:szCs w:val="22"/>
        </w:rPr>
        <w:t>09/10</w:t>
      </w:r>
    </w:p>
    <w:p w:rsidR="00550A43" w:rsidRPr="003720E2" w:rsidRDefault="00550A43" w:rsidP="00550A43">
      <w:pPr>
        <w:spacing w:before="120" w:after="240"/>
        <w:ind w:left="1134" w:right="902"/>
        <w:jc w:val="both"/>
        <w:rPr>
          <w:rFonts w:ascii="Palatino Linotype" w:hAnsi="Palatino Linotype"/>
          <w:b/>
          <w:i/>
          <w:sz w:val="22"/>
          <w:szCs w:val="22"/>
        </w:rPr>
      </w:pPr>
      <w:r w:rsidRPr="003720E2">
        <w:rPr>
          <w:rFonts w:ascii="Palatino Linotype" w:hAnsi="Palatino Linotype"/>
          <w:b/>
          <w:i/>
          <w:sz w:val="22"/>
          <w:szCs w:val="22"/>
        </w:rPr>
        <w:t>"LAS DEPENDENCIAS Y ENTIDADES NO ESTÁN OBLIGADAS A GENERAR DOCUMENTOS AD HOC PARA RESPONDER UNA SOLICITUD DE ACC ESO A LA INFORMACIÓN.</w:t>
      </w:r>
    </w:p>
    <w:p w:rsidR="00550A43" w:rsidRPr="003720E2" w:rsidRDefault="00550A43" w:rsidP="00550A43">
      <w:pPr>
        <w:spacing w:before="120" w:after="240"/>
        <w:ind w:left="1134" w:right="902"/>
        <w:jc w:val="both"/>
        <w:rPr>
          <w:rFonts w:ascii="Palatino Linotype" w:hAnsi="Palatino Linotype"/>
          <w:i/>
          <w:sz w:val="22"/>
          <w:szCs w:val="22"/>
        </w:rPr>
      </w:pPr>
      <w:r w:rsidRPr="003720E2">
        <w:rPr>
          <w:rFonts w:ascii="Palatino Linotype" w:hAnsi="Palatino Linotype"/>
          <w:i/>
          <w:sz w:val="22"/>
          <w:szCs w:val="22"/>
        </w:rPr>
        <w:t>Tomando en consideración lo establecido por el artículo 42 de la Ley Federal de Transparencia y Acceso a la Información Pública Gubernamental, que establece que las dependencias y entidades sólo estarán obligadas a entregar documentos que se encuentren en sus archivos, las dependencias y entidades no están obligadas a elaborar documentos ad hoc para atender las solicitudes de información, sino que deben garantizar el acceso a la información con la que cuentan en el formato que la misma así lo permita o se encuentre, en aras de dar satisfacción a la solicitud presentada.”</w:t>
      </w:r>
    </w:p>
    <w:p w:rsidR="00550A43" w:rsidRPr="003720E2" w:rsidRDefault="00550A43" w:rsidP="00550A43">
      <w:pPr>
        <w:spacing w:before="120" w:after="240"/>
        <w:ind w:left="1134" w:right="902"/>
        <w:jc w:val="both"/>
        <w:rPr>
          <w:rFonts w:ascii="Palatino Linotype" w:hAnsi="Palatino Linotype"/>
          <w:b/>
          <w:i/>
          <w:sz w:val="22"/>
          <w:szCs w:val="22"/>
        </w:rPr>
      </w:pPr>
      <w:r w:rsidRPr="003720E2">
        <w:rPr>
          <w:rFonts w:ascii="Palatino Linotype" w:hAnsi="Palatino Linotype"/>
          <w:b/>
          <w:i/>
          <w:sz w:val="22"/>
          <w:szCs w:val="22"/>
        </w:rPr>
        <w:t>03/17</w:t>
      </w:r>
    </w:p>
    <w:p w:rsidR="00550A43" w:rsidRPr="003720E2" w:rsidRDefault="00550A43" w:rsidP="00550A43">
      <w:pPr>
        <w:spacing w:before="120" w:after="240"/>
        <w:ind w:left="1134" w:right="902"/>
        <w:jc w:val="both"/>
        <w:rPr>
          <w:rFonts w:ascii="Palatino Linotype" w:hAnsi="Palatino Linotype"/>
          <w:b/>
          <w:i/>
          <w:sz w:val="22"/>
          <w:szCs w:val="22"/>
        </w:rPr>
      </w:pPr>
      <w:r w:rsidRPr="003720E2">
        <w:rPr>
          <w:rFonts w:ascii="Palatino Linotype" w:hAnsi="Palatino Linotype"/>
          <w:b/>
          <w:i/>
          <w:sz w:val="22"/>
          <w:szCs w:val="22"/>
        </w:rPr>
        <w:t>“NO EXISTE OBLIGACIÓN DE ELABORAR DOCUM ENTOS AD HOC PARA ATENDER LAS SOLICITUDES DE ACCESO A LA INFORM ACIÓN.</w:t>
      </w:r>
    </w:p>
    <w:p w:rsidR="00550A43" w:rsidRPr="003720E2" w:rsidRDefault="00550A43" w:rsidP="00550A43">
      <w:pPr>
        <w:spacing w:before="120" w:after="240"/>
        <w:ind w:left="1134" w:right="902"/>
        <w:jc w:val="both"/>
        <w:rPr>
          <w:rFonts w:ascii="Palatino Linotype" w:hAnsi="Palatino Linotype"/>
          <w:i/>
          <w:sz w:val="22"/>
          <w:szCs w:val="22"/>
        </w:rPr>
      </w:pPr>
      <w:r w:rsidRPr="003720E2">
        <w:rPr>
          <w:rFonts w:ascii="Palatino Linotype" w:hAnsi="Palatino Linotype"/>
          <w:i/>
          <w:sz w:val="22"/>
          <w:szCs w:val="22"/>
        </w:rPr>
        <w:t>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información."(Sic)</w:t>
      </w:r>
    </w:p>
    <w:p w:rsidR="00550A43" w:rsidRDefault="00550A43" w:rsidP="00550A43">
      <w:pPr>
        <w:spacing w:line="360" w:lineRule="auto"/>
        <w:jc w:val="both"/>
        <w:rPr>
          <w:rFonts w:ascii="Palatino Linotype" w:hAnsi="Palatino Linotype" w:cs="Arial"/>
          <w:color w:val="000000" w:themeColor="text1"/>
        </w:rPr>
      </w:pPr>
      <w:r w:rsidRPr="004975CB">
        <w:rPr>
          <w:rFonts w:ascii="Palatino Linotype" w:hAnsi="Palatino Linotype" w:cs="Arial"/>
        </w:rPr>
        <w:t>Por otra parte, y aunado a lo antepuesto</w:t>
      </w:r>
      <w:r>
        <w:rPr>
          <w:rFonts w:ascii="Palatino Linotype" w:hAnsi="Palatino Linotype" w:cs="Arial"/>
        </w:rPr>
        <w:t>,</w:t>
      </w:r>
      <w:r w:rsidRPr="004975CB">
        <w:rPr>
          <w:rFonts w:ascii="Palatino Linotype" w:hAnsi="Palatino Linotype" w:cs="Arial"/>
        </w:rPr>
        <w:t xml:space="preserve"> el </w:t>
      </w:r>
      <w:r>
        <w:rPr>
          <w:rFonts w:ascii="Palatino Linotype" w:hAnsi="Palatino Linotype" w:cs="Arial"/>
        </w:rPr>
        <w:t xml:space="preserve">último párrafo del </w:t>
      </w:r>
      <w:r w:rsidRPr="004975CB">
        <w:rPr>
          <w:rFonts w:ascii="Palatino Linotype" w:hAnsi="Palatino Linotype" w:cs="Arial"/>
        </w:rPr>
        <w:t xml:space="preserve">artículo 24 de la Ley de la materia, dispone que los Sujetos Obligados </w:t>
      </w:r>
      <w:r w:rsidRPr="009E12B6">
        <w:rPr>
          <w:rFonts w:ascii="Palatino Linotype" w:hAnsi="Palatino Linotype" w:cs="Arial"/>
          <w:color w:val="000000" w:themeColor="text1"/>
        </w:rPr>
        <w:t xml:space="preserve">sólo proporcionarán la información </w:t>
      </w:r>
      <w:r w:rsidRPr="009E12B6">
        <w:rPr>
          <w:rFonts w:ascii="Palatino Linotype" w:hAnsi="Palatino Linotype" w:cs="Arial"/>
          <w:color w:val="000000" w:themeColor="text1"/>
        </w:rPr>
        <w:lastRenderedPageBreak/>
        <w:t xml:space="preserve">pública que </w:t>
      </w:r>
      <w:r w:rsidRPr="009E12B6">
        <w:rPr>
          <w:rFonts w:ascii="Palatino Linotype" w:hAnsi="Palatino Linotype" w:cs="Arial"/>
        </w:rPr>
        <w:t>generen</w:t>
      </w:r>
      <w:r w:rsidRPr="009E12B6">
        <w:rPr>
          <w:rFonts w:ascii="Palatino Linotype" w:hAnsi="Palatino Linotype" w:cs="Arial"/>
          <w:color w:val="000000" w:themeColor="text1"/>
        </w:rPr>
        <w:t>, administren o posean en el ejercicio de sus atribuciones; por consiguiente, la información pública se encuentra a disposición de cualquier persona, lo que implica que es deber de los Su</w:t>
      </w:r>
      <w:r>
        <w:rPr>
          <w:rFonts w:ascii="Palatino Linotype" w:hAnsi="Palatino Linotype" w:cs="Arial"/>
          <w:color w:val="000000" w:themeColor="text1"/>
        </w:rPr>
        <w:t>jetos Obligados, garantizar el Derecho de Acceso a la Información P</w:t>
      </w:r>
      <w:r w:rsidRPr="009E12B6">
        <w:rPr>
          <w:rFonts w:ascii="Palatino Linotype" w:hAnsi="Palatino Linotype" w:cs="Arial"/>
          <w:color w:val="000000" w:themeColor="text1"/>
        </w:rPr>
        <w:t>ública.</w:t>
      </w:r>
    </w:p>
    <w:p w:rsidR="0009676C" w:rsidRDefault="0009676C" w:rsidP="00550A43">
      <w:pPr>
        <w:spacing w:line="360" w:lineRule="auto"/>
        <w:jc w:val="both"/>
        <w:rPr>
          <w:rFonts w:ascii="Palatino Linotype" w:hAnsi="Palatino Linotype" w:cs="Arial"/>
          <w:color w:val="000000" w:themeColor="text1"/>
        </w:rPr>
      </w:pPr>
    </w:p>
    <w:p w:rsidR="00550A43" w:rsidRDefault="00550A43" w:rsidP="00550A43">
      <w:pPr>
        <w:spacing w:before="240" w:after="240" w:line="360" w:lineRule="auto"/>
        <w:ind w:right="49"/>
        <w:contextualSpacing/>
        <w:jc w:val="both"/>
        <w:rPr>
          <w:rFonts w:ascii="Palatino Linotype" w:hAnsi="Palatino Linotype" w:cs="Arial"/>
        </w:rPr>
      </w:pPr>
      <w:r w:rsidRPr="00FC1F16">
        <w:rPr>
          <w:rFonts w:ascii="Palatino Linotype" w:hAnsi="Palatino Linotype" w:cs="Arial"/>
        </w:rPr>
        <w:t xml:space="preserve">Siempre </w:t>
      </w:r>
      <w:r>
        <w:rPr>
          <w:rFonts w:ascii="Palatino Linotype" w:hAnsi="Palatino Linotype" w:cs="Arial"/>
        </w:rPr>
        <w:t xml:space="preserve">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w:t>
      </w:r>
      <w:r w:rsidRPr="00B6113B">
        <w:rPr>
          <w:rFonts w:ascii="Palatino Linotype" w:hAnsi="Palatino Linotype" w:cs="Arial"/>
        </w:rPr>
        <w:t>de Transparencia y Acceso a la Información Pública del Estado de México y Municipios</w:t>
      </w:r>
      <w:r>
        <w:rPr>
          <w:rFonts w:ascii="Palatino Linotype" w:hAnsi="Palatino Linotype" w:cs="Arial"/>
        </w:rPr>
        <w:t>.</w:t>
      </w:r>
    </w:p>
    <w:p w:rsidR="00550A43" w:rsidRPr="009E12B6" w:rsidRDefault="00550A43" w:rsidP="00550A43">
      <w:pPr>
        <w:jc w:val="both"/>
        <w:rPr>
          <w:rFonts w:ascii="Palatino Linotype" w:hAnsi="Palatino Linotype" w:cs="Arial"/>
          <w:color w:val="000000" w:themeColor="text1"/>
        </w:rPr>
      </w:pPr>
    </w:p>
    <w:p w:rsidR="00550A43" w:rsidRPr="004975CB" w:rsidRDefault="00550A43" w:rsidP="00550A43">
      <w:pPr>
        <w:spacing w:line="360" w:lineRule="auto"/>
        <w:jc w:val="both"/>
        <w:rPr>
          <w:rFonts w:ascii="Palatino Linotype" w:hAnsi="Palatino Linotype" w:cs="Arial"/>
        </w:rPr>
      </w:pPr>
      <w:r w:rsidRPr="004975CB">
        <w:rPr>
          <w:rFonts w:ascii="Palatino Linotype" w:hAnsi="Palatino Linotype" w:cs="Arial"/>
        </w:rPr>
        <w:t>En conclusión</w:t>
      </w:r>
      <w:r>
        <w:rPr>
          <w:rFonts w:ascii="Palatino Linotype" w:hAnsi="Palatino Linotype" w:cs="Arial"/>
        </w:rPr>
        <w:t>,</w:t>
      </w:r>
      <w:r w:rsidRPr="004975CB">
        <w:rPr>
          <w:rFonts w:ascii="Palatino Linotype" w:hAnsi="Palatino Linotype" w:cs="Arial"/>
        </w:rPr>
        <w:t xml:space="preserve">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rsidR="00550A43" w:rsidRPr="004975CB" w:rsidRDefault="00550A43" w:rsidP="00550A43">
      <w:pPr>
        <w:ind w:left="1134" w:right="899"/>
        <w:jc w:val="both"/>
        <w:rPr>
          <w:rFonts w:ascii="Palatino Linotype" w:hAnsi="Palatino Linotype" w:cs="Arial"/>
          <w:i/>
          <w:sz w:val="22"/>
          <w:szCs w:val="22"/>
        </w:rPr>
      </w:pPr>
    </w:p>
    <w:p w:rsidR="00550A43" w:rsidRPr="004975CB" w:rsidRDefault="00550A43" w:rsidP="00550A43">
      <w:pPr>
        <w:ind w:left="1134" w:right="899"/>
        <w:jc w:val="both"/>
        <w:rPr>
          <w:rFonts w:ascii="Palatino Linotype" w:hAnsi="Palatino Linotype" w:cs="Arial"/>
          <w:i/>
          <w:sz w:val="22"/>
          <w:szCs w:val="22"/>
        </w:rPr>
      </w:pPr>
      <w:r w:rsidRPr="004975CB">
        <w:rPr>
          <w:rFonts w:ascii="Palatino Linotype" w:hAnsi="Palatino Linotype" w:cs="Arial"/>
          <w:i/>
          <w:sz w:val="22"/>
          <w:szCs w:val="22"/>
        </w:rPr>
        <w:t>“</w:t>
      </w:r>
      <w:r w:rsidRPr="004975CB">
        <w:rPr>
          <w:rFonts w:ascii="Palatino Linotype" w:hAnsi="Palatino Linotype" w:cs="Arial"/>
          <w:b/>
          <w:i/>
          <w:sz w:val="22"/>
          <w:szCs w:val="22"/>
        </w:rPr>
        <w:t xml:space="preserve">Artículo 3. </w:t>
      </w:r>
      <w:r w:rsidRPr="004975CB">
        <w:rPr>
          <w:rFonts w:ascii="Palatino Linotype" w:hAnsi="Palatino Linotype" w:cs="Arial"/>
          <w:i/>
          <w:sz w:val="22"/>
          <w:szCs w:val="22"/>
        </w:rPr>
        <w:t>Para los efectos de la presente Ley se entenderá por:</w:t>
      </w:r>
    </w:p>
    <w:p w:rsidR="00550A43" w:rsidRPr="004975CB" w:rsidRDefault="00550A43" w:rsidP="00550A43">
      <w:pPr>
        <w:ind w:left="1134" w:right="899"/>
        <w:jc w:val="both"/>
        <w:rPr>
          <w:rFonts w:ascii="Palatino Linotype" w:hAnsi="Palatino Linotype" w:cs="Arial"/>
          <w:i/>
          <w:sz w:val="22"/>
          <w:szCs w:val="22"/>
        </w:rPr>
      </w:pPr>
      <w:r w:rsidRPr="004975CB">
        <w:rPr>
          <w:rFonts w:ascii="Palatino Linotype" w:hAnsi="Palatino Linotype" w:cs="Arial"/>
          <w:i/>
          <w:sz w:val="22"/>
          <w:szCs w:val="22"/>
        </w:rPr>
        <w:t>…</w:t>
      </w:r>
    </w:p>
    <w:p w:rsidR="00550A43" w:rsidRDefault="00550A43" w:rsidP="00550A43">
      <w:pPr>
        <w:ind w:left="1134" w:right="899"/>
        <w:jc w:val="both"/>
        <w:rPr>
          <w:rFonts w:ascii="Palatino Linotype" w:hAnsi="Palatino Linotype" w:cs="Arial"/>
          <w:i/>
          <w:color w:val="000000"/>
          <w:sz w:val="22"/>
          <w:szCs w:val="22"/>
        </w:rPr>
      </w:pPr>
      <w:r w:rsidRPr="009E12B6">
        <w:rPr>
          <w:rFonts w:ascii="Palatino Linotype" w:hAnsi="Palatino Linotype" w:cs="Arial"/>
          <w:b/>
          <w:i/>
          <w:color w:val="000000"/>
          <w:sz w:val="22"/>
          <w:szCs w:val="22"/>
        </w:rPr>
        <w:lastRenderedPageBreak/>
        <w:t>XI. Documento:</w:t>
      </w:r>
      <w:r w:rsidRPr="009E12B6">
        <w:rPr>
          <w:rFonts w:ascii="Palatino Linotype" w:hAnsi="Palatino Linotype" w:cs="Arial"/>
          <w:i/>
          <w:color w:val="000000"/>
          <w:sz w:val="22"/>
          <w:szCs w:val="22"/>
        </w:rPr>
        <w:t xml:space="preserve"> Los expedientes, reportes, estudios, </w:t>
      </w:r>
      <w:r w:rsidRPr="0005622E">
        <w:rPr>
          <w:rFonts w:ascii="Palatino Linotype" w:hAnsi="Palatino Linotype" w:cs="Arial"/>
          <w:b/>
          <w:i/>
          <w:color w:val="000000"/>
          <w:sz w:val="22"/>
          <w:szCs w:val="22"/>
        </w:rPr>
        <w:t>actas,</w:t>
      </w:r>
      <w:r w:rsidRPr="009E12B6">
        <w:rPr>
          <w:rFonts w:ascii="Palatino Linotype" w:hAnsi="Palatino Linotype" w:cs="Arial"/>
          <w:i/>
          <w:color w:val="000000"/>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w:t>
      </w:r>
      <w:r>
        <w:rPr>
          <w:rFonts w:ascii="Palatino Linotype" w:hAnsi="Palatino Linotype" w:cs="Arial"/>
          <w:i/>
          <w:color w:val="000000"/>
          <w:sz w:val="22"/>
          <w:szCs w:val="22"/>
        </w:rPr>
        <w:t>nico, informático u holográfico</w:t>
      </w:r>
      <w:r w:rsidRPr="009E12B6">
        <w:rPr>
          <w:rFonts w:ascii="Palatino Linotype" w:hAnsi="Palatino Linotype" w:cs="Arial"/>
          <w:b/>
          <w:i/>
          <w:color w:val="000000"/>
          <w:sz w:val="22"/>
          <w:szCs w:val="22"/>
        </w:rPr>
        <w:t>…</w:t>
      </w:r>
      <w:r w:rsidRPr="009E12B6">
        <w:rPr>
          <w:rFonts w:ascii="Palatino Linotype" w:hAnsi="Palatino Linotype" w:cs="Arial"/>
          <w:i/>
          <w:color w:val="000000"/>
          <w:sz w:val="22"/>
          <w:szCs w:val="22"/>
        </w:rPr>
        <w:t>”</w:t>
      </w:r>
      <w:r>
        <w:rPr>
          <w:rFonts w:ascii="Palatino Linotype" w:hAnsi="Palatino Linotype" w:cs="Arial"/>
          <w:i/>
          <w:color w:val="000000"/>
          <w:sz w:val="22"/>
          <w:szCs w:val="22"/>
        </w:rPr>
        <w:t>(Sic)</w:t>
      </w:r>
    </w:p>
    <w:p w:rsidR="00550A43" w:rsidRPr="009E12B6" w:rsidRDefault="00550A43" w:rsidP="00550A43">
      <w:pPr>
        <w:ind w:left="851" w:right="899"/>
        <w:jc w:val="both"/>
        <w:rPr>
          <w:rFonts w:ascii="Palatino Linotype" w:hAnsi="Palatino Linotype" w:cs="Arial"/>
          <w:i/>
          <w:color w:val="000000"/>
          <w:sz w:val="22"/>
          <w:szCs w:val="22"/>
        </w:rPr>
      </w:pPr>
    </w:p>
    <w:p w:rsidR="00550A43" w:rsidRPr="009E12B6" w:rsidRDefault="00550A43" w:rsidP="00550A43">
      <w:pPr>
        <w:autoSpaceDE w:val="0"/>
        <w:autoSpaceDN w:val="0"/>
        <w:adjustRightInd w:val="0"/>
        <w:spacing w:line="360" w:lineRule="auto"/>
        <w:jc w:val="both"/>
        <w:rPr>
          <w:rFonts w:ascii="Palatino Linotype" w:hAnsi="Palatino Linotype" w:cs="Arial"/>
        </w:rPr>
      </w:pPr>
      <w:r w:rsidRPr="009E12B6">
        <w:rPr>
          <w:rFonts w:ascii="Palatino Linotype" w:hAnsi="Palatino Linotype" w:cs="Arial"/>
        </w:rPr>
        <w:t xml:space="preserve">Siendo aplicable, el Criterio </w:t>
      </w:r>
      <w:r w:rsidRPr="009E12B6">
        <w:rPr>
          <w:rFonts w:ascii="Palatino Linotype" w:hAnsi="Palatino Linotype" w:cs="Arial"/>
          <w:bCs/>
          <w:lang w:eastAsia="es-MX"/>
        </w:rPr>
        <w:t xml:space="preserve">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w:t>
      </w:r>
      <w:r w:rsidRPr="009E12B6">
        <w:rPr>
          <w:rFonts w:ascii="Palatino Linotype" w:hAnsi="Palatino Linotype" w:cs="Arial"/>
        </w:rPr>
        <w:t>cuyo rubro y texto refieren lo siguiente:</w:t>
      </w:r>
    </w:p>
    <w:p w:rsidR="00550A43" w:rsidRPr="009E12B6" w:rsidRDefault="00550A43" w:rsidP="00550A43">
      <w:pPr>
        <w:ind w:left="851" w:right="899"/>
        <w:jc w:val="both"/>
        <w:rPr>
          <w:rFonts w:ascii="Palatino Linotype" w:hAnsi="Palatino Linotype" w:cs="Arial"/>
        </w:rPr>
      </w:pPr>
    </w:p>
    <w:p w:rsidR="00550A43" w:rsidRPr="004B675A" w:rsidRDefault="00550A43" w:rsidP="00550A43">
      <w:pPr>
        <w:ind w:left="1134" w:right="899"/>
        <w:jc w:val="both"/>
        <w:rPr>
          <w:rFonts w:ascii="Palatino Linotype" w:hAnsi="Palatino Linotype" w:cs="Arial"/>
          <w:b/>
          <w:i/>
          <w:sz w:val="22"/>
          <w:szCs w:val="22"/>
          <w:lang w:eastAsia="es-MX"/>
        </w:rPr>
      </w:pPr>
      <w:r w:rsidRPr="009E12B6">
        <w:rPr>
          <w:rFonts w:ascii="Palatino Linotype" w:hAnsi="Palatino Linotype" w:cs="Arial"/>
          <w:b/>
          <w:sz w:val="22"/>
          <w:szCs w:val="22"/>
          <w:lang w:eastAsia="es-MX"/>
        </w:rPr>
        <w:t>“</w:t>
      </w:r>
      <w:r w:rsidRPr="004B675A">
        <w:rPr>
          <w:rFonts w:ascii="Palatino Linotype" w:hAnsi="Palatino Linotype" w:cs="Arial"/>
          <w:b/>
          <w:i/>
          <w:sz w:val="22"/>
          <w:szCs w:val="22"/>
          <w:lang w:eastAsia="es-MX"/>
        </w:rPr>
        <w:t>CRITERIO 0002-11</w:t>
      </w:r>
    </w:p>
    <w:p w:rsidR="00550A43" w:rsidRPr="009E12B6" w:rsidRDefault="00550A43" w:rsidP="00550A43">
      <w:pPr>
        <w:ind w:left="1134" w:right="899"/>
        <w:jc w:val="both"/>
        <w:rPr>
          <w:rFonts w:ascii="Palatino Linotype" w:hAnsi="Palatino Linotype" w:cs="Arial"/>
          <w:i/>
          <w:sz w:val="22"/>
          <w:szCs w:val="22"/>
          <w:lang w:eastAsia="es-MX"/>
        </w:rPr>
      </w:pPr>
      <w:r w:rsidRPr="004B675A">
        <w:rPr>
          <w:rFonts w:ascii="Palatino Linotype" w:hAnsi="Palatino Linotype" w:cs="Arial"/>
          <w:b/>
          <w:i/>
          <w:sz w:val="22"/>
          <w:szCs w:val="22"/>
          <w:lang w:eastAsia="es-MX"/>
        </w:rPr>
        <w:t xml:space="preserve">INFORMACIÓN PÚBLICA, CONCEPTO DE, EN MATERIA DE TRANSPARENCIA. INTERPRETACIÓN SISTEMÁTICA DE LOS ARTÍCULOS 2°, FRACCIÓN </w:t>
      </w:r>
      <w:r w:rsidRPr="004B675A">
        <w:rPr>
          <w:rFonts w:ascii="Palatino Linotype" w:hAnsi="Palatino Linotype" w:cs="Arial"/>
          <w:b/>
          <w:bCs/>
          <w:i/>
          <w:sz w:val="22"/>
          <w:szCs w:val="22"/>
          <w:lang w:eastAsia="es-MX"/>
        </w:rPr>
        <w:t xml:space="preserve">V, XV, Y XVI, </w:t>
      </w:r>
      <w:r w:rsidRPr="004B675A">
        <w:rPr>
          <w:rFonts w:ascii="Palatino Linotype" w:hAnsi="Palatino Linotype" w:cs="Arial"/>
          <w:b/>
          <w:i/>
          <w:sz w:val="22"/>
          <w:szCs w:val="22"/>
          <w:lang w:eastAsia="es-MX"/>
        </w:rPr>
        <w:t>3°, 4°, 11 Y 41.</w:t>
      </w:r>
      <w:r w:rsidRPr="004B675A">
        <w:rPr>
          <w:rFonts w:ascii="Palatino Linotype" w:hAnsi="Palatino Linotype" w:cs="Arial"/>
          <w:i/>
          <w:sz w:val="22"/>
          <w:szCs w:val="22"/>
          <w:lang w:eastAsia="es-MX"/>
        </w:rPr>
        <w:t xml:space="preserve"> De conformidad con los artículos antes referidos, el derecho de acceso a la información pública</w:t>
      </w:r>
      <w:r w:rsidRPr="009E12B6">
        <w:rPr>
          <w:rFonts w:ascii="Palatino Linotype" w:hAnsi="Palatino Linotype" w:cs="Arial"/>
          <w:i/>
          <w:sz w:val="22"/>
          <w:szCs w:val="22"/>
          <w:lang w:eastAsia="es-MX"/>
        </w:rPr>
        <w:t>,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550A43" w:rsidRPr="009E12B6" w:rsidRDefault="00550A43" w:rsidP="00550A43">
      <w:pPr>
        <w:ind w:left="1134" w:right="899"/>
        <w:jc w:val="both"/>
        <w:rPr>
          <w:rFonts w:ascii="Palatino Linotype" w:hAnsi="Palatino Linotype" w:cs="Arial"/>
          <w:i/>
          <w:sz w:val="22"/>
          <w:szCs w:val="22"/>
          <w:lang w:eastAsia="es-MX"/>
        </w:rPr>
      </w:pPr>
      <w:r w:rsidRPr="009E12B6">
        <w:rPr>
          <w:rFonts w:ascii="Palatino Linotype" w:hAnsi="Palatino Linotype" w:cs="Arial"/>
          <w:i/>
          <w:sz w:val="22"/>
          <w:szCs w:val="22"/>
          <w:lang w:eastAsia="es-MX"/>
        </w:rPr>
        <w:t>En consecuencia el acceso a la información se refiere a que se cumplan cualquiera de los siguientes tres supuestos:</w:t>
      </w:r>
    </w:p>
    <w:p w:rsidR="00550A43" w:rsidRPr="009E12B6" w:rsidRDefault="00550A43" w:rsidP="00550A43">
      <w:pPr>
        <w:ind w:left="1134" w:right="899"/>
        <w:jc w:val="both"/>
        <w:rPr>
          <w:rFonts w:ascii="Palatino Linotype" w:hAnsi="Palatino Linotype" w:cs="Arial"/>
          <w:b/>
          <w:i/>
          <w:sz w:val="22"/>
          <w:szCs w:val="22"/>
          <w:lang w:eastAsia="es-MX"/>
        </w:rPr>
      </w:pPr>
      <w:r w:rsidRPr="009E12B6">
        <w:rPr>
          <w:rFonts w:ascii="Palatino Linotype" w:hAnsi="Palatino Linotype" w:cs="Arial"/>
          <w:b/>
          <w:i/>
          <w:sz w:val="22"/>
          <w:szCs w:val="22"/>
          <w:lang w:eastAsia="es-MX"/>
        </w:rPr>
        <w:t>1) Que se trate de información registrada en cualquier soporte documental, que en ejercicio de las atribuciones conferidas, sea generada por los Sujetos Obligados;</w:t>
      </w:r>
    </w:p>
    <w:p w:rsidR="00550A43" w:rsidRPr="009E12B6" w:rsidRDefault="00550A43" w:rsidP="00550A43">
      <w:pPr>
        <w:ind w:left="1134" w:right="899"/>
        <w:jc w:val="both"/>
        <w:rPr>
          <w:rFonts w:ascii="Palatino Linotype" w:hAnsi="Palatino Linotype" w:cs="Arial"/>
          <w:i/>
          <w:sz w:val="22"/>
          <w:szCs w:val="22"/>
          <w:lang w:eastAsia="es-MX"/>
        </w:rPr>
      </w:pPr>
      <w:r w:rsidRPr="009E12B6">
        <w:rPr>
          <w:rFonts w:ascii="Palatino Linotype" w:hAnsi="Palatino Linotype" w:cs="Arial"/>
          <w:i/>
          <w:sz w:val="22"/>
          <w:szCs w:val="22"/>
          <w:lang w:eastAsia="es-MX"/>
        </w:rPr>
        <w:t>2) Que se trate de información registrada en cualquier soporte documental, que en ejercicio de las atribuciones conferidas, sea administrada por los Sujetos Obligados, y</w:t>
      </w:r>
    </w:p>
    <w:p w:rsidR="00550A43" w:rsidRPr="009E12B6" w:rsidRDefault="00550A43" w:rsidP="00550A43">
      <w:pPr>
        <w:ind w:left="1134" w:right="899"/>
        <w:jc w:val="both"/>
        <w:rPr>
          <w:rFonts w:ascii="Palatino Linotype" w:hAnsi="Palatino Linotype" w:cs="Arial"/>
          <w:i/>
          <w:sz w:val="22"/>
          <w:szCs w:val="22"/>
          <w:lang w:eastAsia="es-MX"/>
        </w:rPr>
      </w:pPr>
      <w:r w:rsidRPr="009E12B6">
        <w:rPr>
          <w:rFonts w:ascii="Palatino Linotype" w:hAnsi="Palatino Linotype" w:cs="Arial"/>
          <w:i/>
          <w:sz w:val="22"/>
          <w:szCs w:val="22"/>
          <w:lang w:eastAsia="es-MX"/>
        </w:rPr>
        <w:lastRenderedPageBreak/>
        <w:t>3) Que se trate de información registrada en cualquier soporte documental, que en ejercicio de las atribuciones conferidas, se encuentre en pose</w:t>
      </w:r>
      <w:r>
        <w:rPr>
          <w:rFonts w:ascii="Palatino Linotype" w:hAnsi="Palatino Linotype" w:cs="Arial"/>
          <w:i/>
          <w:sz w:val="22"/>
          <w:szCs w:val="22"/>
          <w:lang w:eastAsia="es-MX"/>
        </w:rPr>
        <w:t>sión de los Sujetos Obligados.”(Sic)</w:t>
      </w:r>
    </w:p>
    <w:p w:rsidR="00550A43" w:rsidRPr="00C51126" w:rsidRDefault="00550A43" w:rsidP="00550A43">
      <w:pPr>
        <w:ind w:left="1134" w:right="1041"/>
        <w:jc w:val="both"/>
        <w:rPr>
          <w:rFonts w:ascii="Palatino Linotype" w:hAnsi="Palatino Linotype"/>
          <w:sz w:val="22"/>
          <w:szCs w:val="22"/>
        </w:rPr>
      </w:pPr>
    </w:p>
    <w:p w:rsidR="00550A43" w:rsidRDefault="00550A43" w:rsidP="00550A43">
      <w:pPr>
        <w:spacing w:before="100" w:beforeAutospacing="1" w:after="100" w:afterAutospacing="1" w:line="360" w:lineRule="auto"/>
        <w:jc w:val="both"/>
        <w:rPr>
          <w:rFonts w:ascii="Palatino Linotype" w:hAnsi="Palatino Linotype" w:cs="Arial"/>
          <w:lang w:val="es-MX" w:eastAsia="es-MX"/>
        </w:rPr>
      </w:pPr>
      <w:r w:rsidRPr="00C51126">
        <w:rPr>
          <w:rFonts w:ascii="Palatino Linotype" w:hAnsi="Palatino Linotype" w:cs="Arial"/>
          <w:lang w:val="es-MX" w:eastAsia="es-MX"/>
        </w:rPr>
        <w:t>De ahí que</w:t>
      </w:r>
      <w:r w:rsidRPr="000D0897">
        <w:rPr>
          <w:rFonts w:ascii="Palatino Linotype" w:hAnsi="Palatino Linotype" w:cs="Arial"/>
          <w:lang w:val="es-MX" w:eastAsia="es-MX"/>
        </w:rPr>
        <w:t xml:space="preserve"> el </w:t>
      </w:r>
      <w:r w:rsidRPr="002F03D3">
        <w:rPr>
          <w:rFonts w:ascii="Palatino Linotype" w:hAnsi="Palatino Linotype" w:cs="Arial"/>
          <w:b/>
          <w:lang w:val="es-MX" w:eastAsia="es-MX"/>
        </w:rPr>
        <w:t>SUJETO OBLIGADO</w:t>
      </w:r>
      <w:r w:rsidRPr="002F03D3">
        <w:rPr>
          <w:rFonts w:ascii="Palatino Linotype" w:hAnsi="Palatino Linotype" w:cs="Arial"/>
          <w:lang w:val="es-MX" w:eastAsia="es-MX"/>
        </w:rPr>
        <w:t xml:space="preserve"> </w:t>
      </w:r>
      <w:r w:rsidRPr="000D0897">
        <w:rPr>
          <w:rFonts w:ascii="Palatino Linotype" w:hAnsi="Palatino Linotype" w:cs="Arial"/>
          <w:lang w:val="es-MX" w:eastAsia="es-MX"/>
        </w:rPr>
        <w:t>cuenta con el deber de satisfacer las solicitudes de acceso a la inf</w:t>
      </w:r>
      <w:r w:rsidRPr="002F03D3">
        <w:rPr>
          <w:rFonts w:ascii="Palatino Linotype" w:hAnsi="Palatino Linotype" w:cs="Arial"/>
          <w:lang w:val="es-MX" w:eastAsia="es-MX"/>
        </w:rPr>
        <w:t xml:space="preserve">ormación que le sean formuladas y </w:t>
      </w:r>
      <w:r w:rsidRPr="000D0897">
        <w:rPr>
          <w:rFonts w:ascii="Palatino Linotype" w:hAnsi="Palatino Linotype" w:cs="Arial"/>
          <w:lang w:val="es-MX" w:eastAsia="es-MX"/>
        </w:rPr>
        <w:t xml:space="preserve">entregar la información pública que obre en sus archivos; más aún si la misma se trata de información pública de oficio la cual se relaciona con aquella que se genere de acuerdo con sus facultades, atribuciones señaladas por la Ley en </w:t>
      </w:r>
      <w:r w:rsidRPr="002F03D3">
        <w:rPr>
          <w:rFonts w:ascii="Palatino Linotype" w:hAnsi="Palatino Linotype" w:cs="Arial"/>
          <w:lang w:val="es-MX" w:eastAsia="es-MX"/>
        </w:rPr>
        <w:t xml:space="preserve">la </w:t>
      </w:r>
      <w:r w:rsidRPr="000D0897">
        <w:rPr>
          <w:rFonts w:ascii="Palatino Linotype" w:hAnsi="Palatino Linotype" w:cs="Arial"/>
          <w:lang w:val="es-MX" w:eastAsia="es-MX"/>
        </w:rPr>
        <w:t>materia</w:t>
      </w:r>
      <w:r w:rsidRPr="002F03D3">
        <w:rPr>
          <w:rFonts w:ascii="Palatino Linotype" w:hAnsi="Palatino Linotype" w:cs="Arial"/>
          <w:vertAlign w:val="superscript"/>
          <w:lang w:val="es-MX" w:eastAsia="es-MX"/>
        </w:rPr>
        <w:footnoteReference w:id="2"/>
      </w:r>
      <w:r w:rsidRPr="000D0897">
        <w:rPr>
          <w:rFonts w:ascii="Palatino Linotype" w:hAnsi="Palatino Linotype" w:cs="Arial"/>
          <w:lang w:val="es-MX" w:eastAsia="es-MX"/>
        </w:rPr>
        <w:t>, así como de interés público, es decir, aquella que resulta relevante o beneficiosa para la sociedad y no si</w:t>
      </w:r>
      <w:r>
        <w:rPr>
          <w:rFonts w:ascii="Palatino Linotype" w:hAnsi="Palatino Linotype" w:cs="Arial"/>
          <w:lang w:val="es-MX" w:eastAsia="es-MX"/>
        </w:rPr>
        <w:t xml:space="preserve">mplemente de interés individual, </w:t>
      </w:r>
      <w:r w:rsidRPr="000D0897">
        <w:rPr>
          <w:rFonts w:ascii="Palatino Linotype" w:hAnsi="Palatino Linotype" w:cs="Arial"/>
          <w:lang w:val="es-MX" w:eastAsia="es-MX"/>
        </w:rPr>
        <w:t>y cuya divulgación resulta útil para que el público</w:t>
      </w:r>
      <w:r>
        <w:rPr>
          <w:rFonts w:ascii="Palatino Linotype" w:hAnsi="Palatino Linotype" w:cs="Arial"/>
          <w:lang w:val="es-MX" w:eastAsia="es-MX"/>
        </w:rPr>
        <w:t xml:space="preserve"> </w:t>
      </w:r>
      <w:r w:rsidRPr="000D0897">
        <w:rPr>
          <w:rFonts w:ascii="Palatino Linotype" w:hAnsi="Palatino Linotype" w:cs="Arial"/>
          <w:lang w:val="es-MX" w:eastAsia="es-MX"/>
        </w:rPr>
        <w:t>comprenda las actividades que llevan a cabo los Sujetos Obligados</w:t>
      </w:r>
      <w:r w:rsidRPr="00AD359A">
        <w:rPr>
          <w:rFonts w:ascii="Palatino Linotype" w:hAnsi="Palatino Linotype" w:cs="Arial"/>
          <w:vertAlign w:val="superscript"/>
          <w:lang w:val="es-MX" w:eastAsia="es-MX"/>
        </w:rPr>
        <w:footnoteReference w:id="3"/>
      </w:r>
      <w:r>
        <w:rPr>
          <w:rFonts w:ascii="Palatino Linotype" w:hAnsi="Palatino Linotype" w:cs="Arial"/>
          <w:lang w:val="es-MX" w:eastAsia="es-MX"/>
        </w:rPr>
        <w:t>.</w:t>
      </w:r>
    </w:p>
    <w:p w:rsidR="00550A43" w:rsidRDefault="00550A43" w:rsidP="00550A43">
      <w:pPr>
        <w:pStyle w:val="paragraph"/>
        <w:spacing w:before="0" w:beforeAutospacing="0" w:after="240" w:afterAutospacing="0" w:line="360" w:lineRule="auto"/>
        <w:ind w:right="-150"/>
        <w:jc w:val="both"/>
        <w:textAlignment w:val="baseline"/>
        <w:rPr>
          <w:rFonts w:ascii="Palatino Linotype" w:hAnsi="Palatino Linotype"/>
        </w:rPr>
      </w:pPr>
      <w:r>
        <w:rPr>
          <w:rFonts w:ascii="Palatino Linotype" w:hAnsi="Palatino Linotype"/>
        </w:rPr>
        <w:t>Ahora bien, d</w:t>
      </w:r>
      <w:r w:rsidRPr="004857FC">
        <w:rPr>
          <w:rFonts w:ascii="Palatino Linotype" w:hAnsi="Palatino Linotype"/>
        </w:rPr>
        <w:t>erivado del análisis de</w:t>
      </w:r>
      <w:r w:rsidR="0009676C">
        <w:rPr>
          <w:rFonts w:ascii="Palatino Linotype" w:hAnsi="Palatino Linotype"/>
        </w:rPr>
        <w:t xml:space="preserve"> los </w:t>
      </w:r>
      <w:r w:rsidRPr="004857FC">
        <w:rPr>
          <w:rFonts w:ascii="Palatino Linotype" w:hAnsi="Palatino Linotype"/>
        </w:rPr>
        <w:t>recurso</w:t>
      </w:r>
      <w:r w:rsidR="0009676C">
        <w:rPr>
          <w:rFonts w:ascii="Palatino Linotype" w:hAnsi="Palatino Linotype"/>
        </w:rPr>
        <w:t>s</w:t>
      </w:r>
      <w:r w:rsidRPr="004857FC">
        <w:rPr>
          <w:rFonts w:ascii="Palatino Linotype" w:hAnsi="Palatino Linotype"/>
        </w:rPr>
        <w:t xml:space="preserve"> de revisión materia del presente estudio, es pertinente recordar que </w:t>
      </w:r>
      <w:r w:rsidR="0009676C">
        <w:rPr>
          <w:rFonts w:ascii="Palatino Linotype" w:hAnsi="Palatino Linotype"/>
        </w:rPr>
        <w:t>la</w:t>
      </w:r>
      <w:r w:rsidRPr="004857FC">
        <w:rPr>
          <w:rFonts w:ascii="Palatino Linotype" w:hAnsi="Palatino Linotype"/>
        </w:rPr>
        <w:t xml:space="preserve"> </w:t>
      </w:r>
      <w:r w:rsidRPr="004857FC">
        <w:rPr>
          <w:rFonts w:ascii="Palatino Linotype" w:hAnsi="Palatino Linotype"/>
          <w:b/>
        </w:rPr>
        <w:t>RECURRENTE</w:t>
      </w:r>
      <w:r w:rsidRPr="004857FC">
        <w:rPr>
          <w:rFonts w:ascii="Palatino Linotype" w:hAnsi="Palatino Linotype"/>
        </w:rPr>
        <w:t xml:space="preserve"> solicitó al Ayuntamiento</w:t>
      </w:r>
      <w:r w:rsidRPr="002579FA">
        <w:rPr>
          <w:rFonts w:ascii="Palatino Linotype" w:hAnsi="Palatino Linotype"/>
        </w:rPr>
        <w:t xml:space="preserve"> de </w:t>
      </w:r>
      <w:r w:rsidR="00B07BD2">
        <w:rPr>
          <w:rFonts w:ascii="Palatino Linotype" w:hAnsi="Palatino Linotype"/>
        </w:rPr>
        <w:t>Temascalcingo</w:t>
      </w:r>
      <w:r w:rsidRPr="002579FA">
        <w:rPr>
          <w:rFonts w:ascii="Palatino Linotype" w:hAnsi="Palatino Linotype"/>
        </w:rPr>
        <w:t>, lo siguiente:</w:t>
      </w:r>
    </w:p>
    <w:p w:rsidR="0009676C" w:rsidRDefault="00B07BD2" w:rsidP="00550A43">
      <w:pPr>
        <w:pStyle w:val="paragraph"/>
        <w:spacing w:before="0" w:beforeAutospacing="0" w:after="240" w:afterAutospacing="0" w:line="360" w:lineRule="auto"/>
        <w:ind w:right="-150"/>
        <w:jc w:val="both"/>
        <w:textAlignment w:val="baseline"/>
        <w:rPr>
          <w:rFonts w:ascii="Palatino Linotype" w:hAnsi="Palatino Linotype"/>
        </w:rPr>
      </w:pPr>
      <w:r>
        <w:rPr>
          <w:rFonts w:ascii="Palatino Linotype" w:hAnsi="Palatino Linotype"/>
        </w:rPr>
        <w:t xml:space="preserve">De la Directora de Administración </w:t>
      </w:r>
      <w:r w:rsidR="0009676C">
        <w:rPr>
          <w:rFonts w:ascii="Palatino Linotype" w:hAnsi="Palatino Linotype"/>
        </w:rPr>
        <w:t>y personal o su equivalente:</w:t>
      </w:r>
    </w:p>
    <w:p w:rsidR="0009676C" w:rsidRDefault="0009676C" w:rsidP="0009676C">
      <w:pPr>
        <w:pStyle w:val="paragraph"/>
        <w:numPr>
          <w:ilvl w:val="0"/>
          <w:numId w:val="16"/>
        </w:numPr>
        <w:spacing w:before="0" w:beforeAutospacing="0" w:after="240" w:afterAutospacing="0" w:line="360" w:lineRule="auto"/>
        <w:ind w:right="-150"/>
        <w:jc w:val="both"/>
        <w:textAlignment w:val="baseline"/>
        <w:rPr>
          <w:rFonts w:ascii="Palatino Linotype" w:hAnsi="Palatino Linotype"/>
        </w:rPr>
      </w:pPr>
      <w:r>
        <w:rPr>
          <w:rFonts w:ascii="Palatino Linotype" w:hAnsi="Palatino Linotype"/>
        </w:rPr>
        <w:t>Ficha curricular.</w:t>
      </w:r>
    </w:p>
    <w:p w:rsidR="0009676C" w:rsidRDefault="0009676C" w:rsidP="0009676C">
      <w:pPr>
        <w:pStyle w:val="paragraph"/>
        <w:numPr>
          <w:ilvl w:val="0"/>
          <w:numId w:val="16"/>
        </w:numPr>
        <w:spacing w:before="0" w:beforeAutospacing="0" w:after="240" w:afterAutospacing="0" w:line="360" w:lineRule="auto"/>
        <w:ind w:right="-150"/>
        <w:jc w:val="both"/>
        <w:textAlignment w:val="baseline"/>
        <w:rPr>
          <w:rFonts w:ascii="Palatino Linotype" w:hAnsi="Palatino Linotype"/>
        </w:rPr>
      </w:pPr>
      <w:r>
        <w:rPr>
          <w:rFonts w:ascii="Palatino Linotype" w:hAnsi="Palatino Linotype"/>
        </w:rPr>
        <w:lastRenderedPageBreak/>
        <w:t>Titulo o certificado de estudios.</w:t>
      </w:r>
    </w:p>
    <w:p w:rsidR="0009676C" w:rsidRDefault="0009676C" w:rsidP="0009676C">
      <w:pPr>
        <w:pStyle w:val="paragraph"/>
        <w:numPr>
          <w:ilvl w:val="0"/>
          <w:numId w:val="16"/>
        </w:numPr>
        <w:spacing w:before="0" w:beforeAutospacing="0" w:after="240" w:afterAutospacing="0" w:line="360" w:lineRule="auto"/>
        <w:ind w:right="-150"/>
        <w:jc w:val="both"/>
        <w:textAlignment w:val="baseline"/>
        <w:rPr>
          <w:rFonts w:ascii="Palatino Linotype" w:hAnsi="Palatino Linotype"/>
        </w:rPr>
      </w:pPr>
      <w:r>
        <w:rPr>
          <w:rFonts w:ascii="Palatino Linotype" w:hAnsi="Palatino Linotype"/>
        </w:rPr>
        <w:t>Perfil de puesto.</w:t>
      </w:r>
    </w:p>
    <w:p w:rsidR="006265A2" w:rsidRDefault="006265A2" w:rsidP="0009676C">
      <w:pPr>
        <w:pStyle w:val="paragraph"/>
        <w:numPr>
          <w:ilvl w:val="0"/>
          <w:numId w:val="16"/>
        </w:numPr>
        <w:spacing w:before="0" w:beforeAutospacing="0" w:after="240" w:afterAutospacing="0" w:line="360" w:lineRule="auto"/>
        <w:ind w:right="-150"/>
        <w:jc w:val="both"/>
        <w:textAlignment w:val="baseline"/>
        <w:rPr>
          <w:rFonts w:ascii="Palatino Linotype" w:hAnsi="Palatino Linotype"/>
        </w:rPr>
      </w:pPr>
      <w:r>
        <w:rPr>
          <w:rFonts w:ascii="Palatino Linotype" w:hAnsi="Palatino Linotype"/>
        </w:rPr>
        <w:t>Declaración de intereses.</w:t>
      </w:r>
    </w:p>
    <w:p w:rsidR="0009676C" w:rsidRDefault="0009676C" w:rsidP="0009676C">
      <w:pPr>
        <w:pStyle w:val="paragraph"/>
        <w:numPr>
          <w:ilvl w:val="0"/>
          <w:numId w:val="16"/>
        </w:numPr>
        <w:spacing w:before="0" w:beforeAutospacing="0" w:after="240" w:afterAutospacing="0" w:line="360" w:lineRule="auto"/>
        <w:ind w:right="-150"/>
        <w:jc w:val="both"/>
        <w:textAlignment w:val="baseline"/>
        <w:rPr>
          <w:rFonts w:ascii="Palatino Linotype" w:hAnsi="Palatino Linotype"/>
        </w:rPr>
      </w:pPr>
      <w:r>
        <w:rPr>
          <w:rFonts w:ascii="Palatino Linotype" w:hAnsi="Palatino Linotype"/>
        </w:rPr>
        <w:t>C</w:t>
      </w:r>
      <w:r w:rsidRPr="0009676C">
        <w:rPr>
          <w:rFonts w:ascii="Palatino Linotype" w:hAnsi="Palatino Linotype"/>
        </w:rPr>
        <w:t xml:space="preserve">opia de los recibos de nómina de las quincenas de enero y febrero de 2022 </w:t>
      </w:r>
    </w:p>
    <w:p w:rsidR="0009676C" w:rsidRDefault="0009676C" w:rsidP="0009676C">
      <w:pPr>
        <w:pStyle w:val="paragraph"/>
        <w:spacing w:before="0" w:beforeAutospacing="0" w:after="240" w:afterAutospacing="0" w:line="360" w:lineRule="auto"/>
        <w:ind w:right="-150"/>
        <w:jc w:val="both"/>
        <w:textAlignment w:val="baseline"/>
        <w:rPr>
          <w:rFonts w:ascii="Palatino Linotype" w:hAnsi="Palatino Linotype"/>
        </w:rPr>
      </w:pPr>
      <w:r>
        <w:rPr>
          <w:rFonts w:ascii="Palatino Linotype" w:hAnsi="Palatino Linotype"/>
        </w:rPr>
        <w:t xml:space="preserve">De </w:t>
      </w:r>
      <w:r w:rsidRPr="0009676C">
        <w:rPr>
          <w:rFonts w:ascii="Palatino Linotype" w:hAnsi="Palatino Linotype"/>
        </w:rPr>
        <w:t>Uriel</w:t>
      </w:r>
      <w:r>
        <w:rPr>
          <w:rFonts w:ascii="Palatino Linotype" w:hAnsi="Palatino Linotype"/>
        </w:rPr>
        <w:t xml:space="preserve"> Roldan Z</w:t>
      </w:r>
      <w:r w:rsidRPr="0009676C">
        <w:rPr>
          <w:rFonts w:ascii="Palatino Linotype" w:hAnsi="Palatino Linotype"/>
        </w:rPr>
        <w:t>aldívar</w:t>
      </w:r>
      <w:r>
        <w:rPr>
          <w:rFonts w:ascii="Palatino Linotype" w:hAnsi="Palatino Linotype"/>
        </w:rPr>
        <w:t xml:space="preserve">, </w:t>
      </w:r>
      <w:r w:rsidRPr="0009676C">
        <w:rPr>
          <w:rFonts w:ascii="Palatino Linotype" w:hAnsi="Palatino Linotype"/>
        </w:rPr>
        <w:t>Matilde</w:t>
      </w:r>
      <w:r w:rsidR="00AF3770">
        <w:rPr>
          <w:rFonts w:ascii="Palatino Linotype" w:hAnsi="Palatino Linotype"/>
        </w:rPr>
        <w:t xml:space="preserve"> Rosario Moreno C</w:t>
      </w:r>
      <w:r w:rsidRPr="0009676C">
        <w:rPr>
          <w:rFonts w:ascii="Palatino Linotype" w:hAnsi="Palatino Linotype"/>
        </w:rPr>
        <w:t>orrea</w:t>
      </w:r>
      <w:r w:rsidR="00AF3770">
        <w:rPr>
          <w:rFonts w:ascii="Palatino Linotype" w:hAnsi="Palatino Linotype"/>
        </w:rPr>
        <w:t xml:space="preserve"> y Gerardo Gilberto Roldan Z</w:t>
      </w:r>
      <w:r w:rsidR="00AF3770" w:rsidRPr="0009676C">
        <w:rPr>
          <w:rFonts w:ascii="Palatino Linotype" w:hAnsi="Palatino Linotype"/>
        </w:rPr>
        <w:t>aldívar</w:t>
      </w:r>
      <w:r w:rsidR="00AF3770">
        <w:rPr>
          <w:rFonts w:ascii="Palatino Linotype" w:hAnsi="Palatino Linotype"/>
        </w:rPr>
        <w:t>:</w:t>
      </w:r>
    </w:p>
    <w:p w:rsidR="0009676C" w:rsidRDefault="00AF3770" w:rsidP="00AF3770">
      <w:pPr>
        <w:pStyle w:val="paragraph"/>
        <w:numPr>
          <w:ilvl w:val="0"/>
          <w:numId w:val="18"/>
        </w:numPr>
        <w:spacing w:before="0" w:beforeAutospacing="0" w:after="240" w:afterAutospacing="0" w:line="360" w:lineRule="auto"/>
        <w:ind w:right="-150"/>
        <w:jc w:val="both"/>
        <w:textAlignment w:val="baseline"/>
        <w:rPr>
          <w:rFonts w:ascii="Palatino Linotype" w:hAnsi="Palatino Linotype"/>
        </w:rPr>
      </w:pPr>
      <w:r>
        <w:rPr>
          <w:rFonts w:ascii="Palatino Linotype" w:hAnsi="Palatino Linotype"/>
        </w:rPr>
        <w:t>C</w:t>
      </w:r>
      <w:r w:rsidR="0009676C" w:rsidRPr="0009676C">
        <w:rPr>
          <w:rFonts w:ascii="Palatino Linotype" w:hAnsi="Palatino Linotype"/>
        </w:rPr>
        <w:t xml:space="preserve">opia de los recibos de pago de las quincenas de diciembre de 2021 y de enero a febrero en la </w:t>
      </w:r>
      <w:r w:rsidRPr="0009676C">
        <w:rPr>
          <w:rFonts w:ascii="Palatino Linotype" w:hAnsi="Palatino Linotype"/>
        </w:rPr>
        <w:t>nómina</w:t>
      </w:r>
      <w:r w:rsidR="0009676C" w:rsidRPr="0009676C">
        <w:rPr>
          <w:rFonts w:ascii="Palatino Linotype" w:hAnsi="Palatino Linotype"/>
        </w:rPr>
        <w:t xml:space="preserve"> del </w:t>
      </w:r>
      <w:r w:rsidRPr="0009676C">
        <w:rPr>
          <w:rFonts w:ascii="Palatino Linotype" w:hAnsi="Palatino Linotype"/>
        </w:rPr>
        <w:t>ayuntamiento,</w:t>
      </w:r>
      <w:r w:rsidR="0009676C" w:rsidRPr="0009676C">
        <w:rPr>
          <w:rFonts w:ascii="Palatino Linotype" w:hAnsi="Palatino Linotype"/>
        </w:rPr>
        <w:t xml:space="preserve"> </w:t>
      </w:r>
      <w:r w:rsidRPr="0009676C">
        <w:rPr>
          <w:rFonts w:ascii="Palatino Linotype" w:hAnsi="Palatino Linotype"/>
        </w:rPr>
        <w:t>ODAPAS</w:t>
      </w:r>
      <w:r>
        <w:rPr>
          <w:rFonts w:ascii="Palatino Linotype" w:hAnsi="Palatino Linotype"/>
        </w:rPr>
        <w:t>, Instituto del D</w:t>
      </w:r>
      <w:r w:rsidR="0009676C" w:rsidRPr="0009676C">
        <w:rPr>
          <w:rFonts w:ascii="Palatino Linotype" w:hAnsi="Palatino Linotype"/>
        </w:rPr>
        <w:t xml:space="preserve">eporte o </w:t>
      </w:r>
      <w:r w:rsidRPr="0009676C">
        <w:rPr>
          <w:rFonts w:ascii="Palatino Linotype" w:hAnsi="Palatino Linotype"/>
        </w:rPr>
        <w:t xml:space="preserve">DIF </w:t>
      </w:r>
      <w:r w:rsidR="0009676C" w:rsidRPr="0009676C">
        <w:rPr>
          <w:rFonts w:ascii="Palatino Linotype" w:hAnsi="Palatino Linotype"/>
        </w:rPr>
        <w:t>municipal</w:t>
      </w:r>
      <w:r>
        <w:rPr>
          <w:rFonts w:ascii="Palatino Linotype" w:hAnsi="Palatino Linotype"/>
        </w:rPr>
        <w:t>.</w:t>
      </w:r>
    </w:p>
    <w:p w:rsidR="0009676C" w:rsidRDefault="00AF3770" w:rsidP="00AF3770">
      <w:pPr>
        <w:pStyle w:val="paragraph"/>
        <w:spacing w:before="0" w:beforeAutospacing="0" w:after="240" w:afterAutospacing="0" w:line="360" w:lineRule="auto"/>
        <w:ind w:right="-150"/>
        <w:jc w:val="both"/>
        <w:textAlignment w:val="baseline"/>
        <w:rPr>
          <w:rFonts w:ascii="Palatino Linotype" w:hAnsi="Palatino Linotype"/>
        </w:rPr>
      </w:pPr>
      <w:r>
        <w:rPr>
          <w:rFonts w:ascii="Palatino Linotype" w:hAnsi="Palatino Linotype"/>
        </w:rPr>
        <w:t>Del Director del Instituto del D</w:t>
      </w:r>
      <w:r w:rsidRPr="00AF3770">
        <w:rPr>
          <w:rFonts w:ascii="Palatino Linotype" w:hAnsi="Palatino Linotype"/>
        </w:rPr>
        <w:t>eporte de Temascalcingo</w:t>
      </w:r>
      <w:r>
        <w:rPr>
          <w:rFonts w:ascii="Palatino Linotype" w:hAnsi="Palatino Linotype"/>
        </w:rPr>
        <w:t>:</w:t>
      </w:r>
    </w:p>
    <w:p w:rsidR="00AF3770" w:rsidRDefault="00AF3770" w:rsidP="00AF3770">
      <w:pPr>
        <w:pStyle w:val="paragraph"/>
        <w:numPr>
          <w:ilvl w:val="0"/>
          <w:numId w:val="18"/>
        </w:numPr>
        <w:spacing w:before="0" w:beforeAutospacing="0" w:after="240" w:afterAutospacing="0" w:line="360" w:lineRule="auto"/>
        <w:ind w:right="-150"/>
        <w:jc w:val="both"/>
        <w:textAlignment w:val="baseline"/>
        <w:rPr>
          <w:rFonts w:ascii="Palatino Linotype" w:hAnsi="Palatino Linotype"/>
        </w:rPr>
      </w:pPr>
      <w:r>
        <w:rPr>
          <w:rFonts w:ascii="Palatino Linotype" w:hAnsi="Palatino Linotype"/>
        </w:rPr>
        <w:t>Ficha curricular.</w:t>
      </w:r>
    </w:p>
    <w:p w:rsidR="00AF3770" w:rsidRDefault="00AF3770" w:rsidP="00AF3770">
      <w:pPr>
        <w:pStyle w:val="paragraph"/>
        <w:numPr>
          <w:ilvl w:val="0"/>
          <w:numId w:val="18"/>
        </w:numPr>
        <w:spacing w:before="0" w:beforeAutospacing="0" w:after="240" w:afterAutospacing="0" w:line="360" w:lineRule="auto"/>
        <w:ind w:right="-150"/>
        <w:jc w:val="both"/>
        <w:textAlignment w:val="baseline"/>
        <w:rPr>
          <w:rFonts w:ascii="Palatino Linotype" w:hAnsi="Palatino Linotype"/>
        </w:rPr>
      </w:pPr>
      <w:r>
        <w:rPr>
          <w:rFonts w:ascii="Palatino Linotype" w:hAnsi="Palatino Linotype"/>
        </w:rPr>
        <w:t>Nivel de escolaridad.</w:t>
      </w:r>
    </w:p>
    <w:p w:rsidR="00AF3770" w:rsidRDefault="00AF3770" w:rsidP="00AF3770">
      <w:pPr>
        <w:pStyle w:val="paragraph"/>
        <w:numPr>
          <w:ilvl w:val="0"/>
          <w:numId w:val="18"/>
        </w:numPr>
        <w:spacing w:before="0" w:beforeAutospacing="0" w:after="240" w:afterAutospacing="0" w:line="360" w:lineRule="auto"/>
        <w:ind w:right="-150"/>
        <w:jc w:val="both"/>
        <w:textAlignment w:val="baseline"/>
        <w:rPr>
          <w:rFonts w:ascii="Palatino Linotype" w:hAnsi="Palatino Linotype"/>
        </w:rPr>
      </w:pPr>
      <w:r>
        <w:rPr>
          <w:rFonts w:ascii="Palatino Linotype" w:hAnsi="Palatino Linotype"/>
        </w:rPr>
        <w:t>C</w:t>
      </w:r>
      <w:r w:rsidRPr="00AF3770">
        <w:rPr>
          <w:rFonts w:ascii="Palatino Linotype" w:hAnsi="Palatino Linotype"/>
        </w:rPr>
        <w:t xml:space="preserve">opia de </w:t>
      </w:r>
      <w:r w:rsidR="0065037A">
        <w:rPr>
          <w:rFonts w:ascii="Palatino Linotype" w:hAnsi="Palatino Linotype"/>
        </w:rPr>
        <w:t>último</w:t>
      </w:r>
      <w:r>
        <w:rPr>
          <w:rFonts w:ascii="Palatino Linotype" w:hAnsi="Palatino Linotype"/>
        </w:rPr>
        <w:t xml:space="preserve"> certificado de estudios.</w:t>
      </w:r>
    </w:p>
    <w:p w:rsidR="00AF3770" w:rsidRDefault="00AF3770" w:rsidP="00AF3770">
      <w:pPr>
        <w:pStyle w:val="paragraph"/>
        <w:numPr>
          <w:ilvl w:val="0"/>
          <w:numId w:val="18"/>
        </w:numPr>
        <w:spacing w:before="0" w:beforeAutospacing="0" w:after="240" w:afterAutospacing="0" w:line="360" w:lineRule="auto"/>
        <w:ind w:right="-150"/>
        <w:jc w:val="both"/>
        <w:textAlignment w:val="baseline"/>
        <w:rPr>
          <w:rFonts w:ascii="Palatino Linotype" w:hAnsi="Palatino Linotype"/>
        </w:rPr>
      </w:pPr>
      <w:r>
        <w:rPr>
          <w:rFonts w:ascii="Palatino Linotype" w:hAnsi="Palatino Linotype"/>
        </w:rPr>
        <w:t>C</w:t>
      </w:r>
      <w:r w:rsidRPr="00AF3770">
        <w:rPr>
          <w:rFonts w:ascii="Palatino Linotype" w:hAnsi="Palatino Linotype"/>
        </w:rPr>
        <w:t xml:space="preserve">opia de recibo de nómina de las quincenas de enero a febrero de 2022. </w:t>
      </w:r>
    </w:p>
    <w:p w:rsidR="00AF3770" w:rsidRDefault="00AF3770" w:rsidP="00AF3770">
      <w:pPr>
        <w:pStyle w:val="paragraph"/>
        <w:numPr>
          <w:ilvl w:val="0"/>
          <w:numId w:val="18"/>
        </w:numPr>
        <w:spacing w:before="0" w:beforeAutospacing="0" w:after="240" w:afterAutospacing="0" w:line="360" w:lineRule="auto"/>
        <w:ind w:right="-150"/>
        <w:jc w:val="both"/>
        <w:textAlignment w:val="baseline"/>
        <w:rPr>
          <w:rFonts w:ascii="Palatino Linotype" w:hAnsi="Palatino Linotype"/>
        </w:rPr>
      </w:pPr>
      <w:r>
        <w:rPr>
          <w:rFonts w:ascii="Palatino Linotype" w:hAnsi="Palatino Linotype"/>
        </w:rPr>
        <w:t>S</w:t>
      </w:r>
      <w:r w:rsidRPr="00AF3770">
        <w:rPr>
          <w:rFonts w:ascii="Palatino Linotype" w:hAnsi="Palatino Linotype"/>
        </w:rPr>
        <w:t>i ha sido deportista</w:t>
      </w:r>
      <w:r>
        <w:rPr>
          <w:rFonts w:ascii="Palatino Linotype" w:hAnsi="Palatino Linotype"/>
        </w:rPr>
        <w:t xml:space="preserve"> destacado.</w:t>
      </w:r>
    </w:p>
    <w:p w:rsidR="00AF3770" w:rsidRDefault="00AF3770" w:rsidP="00AF3770">
      <w:pPr>
        <w:pStyle w:val="paragraph"/>
        <w:numPr>
          <w:ilvl w:val="0"/>
          <w:numId w:val="18"/>
        </w:numPr>
        <w:spacing w:before="0" w:beforeAutospacing="0" w:after="240" w:afterAutospacing="0" w:line="360" w:lineRule="auto"/>
        <w:ind w:right="-150"/>
        <w:jc w:val="both"/>
        <w:textAlignment w:val="baseline"/>
        <w:rPr>
          <w:rFonts w:ascii="Palatino Linotype" w:hAnsi="Palatino Linotype"/>
        </w:rPr>
      </w:pPr>
      <w:r>
        <w:rPr>
          <w:rFonts w:ascii="Palatino Linotype" w:hAnsi="Palatino Linotype"/>
        </w:rPr>
        <w:t>S</w:t>
      </w:r>
      <w:r w:rsidRPr="00AF3770">
        <w:rPr>
          <w:rFonts w:ascii="Palatino Linotype" w:hAnsi="Palatino Linotype"/>
        </w:rPr>
        <w:t>i h</w:t>
      </w:r>
      <w:r>
        <w:rPr>
          <w:rFonts w:ascii="Palatino Linotype" w:hAnsi="Palatino Linotype"/>
        </w:rPr>
        <w:t>a participado o logro un premio en olimpiadas,</w:t>
      </w:r>
      <w:r w:rsidRPr="00AF3770">
        <w:rPr>
          <w:rFonts w:ascii="Palatino Linotype" w:hAnsi="Palatino Linotype"/>
        </w:rPr>
        <w:t xml:space="preserve"> selectivos nacionales, panamericanos a fin de saber</w:t>
      </w:r>
      <w:r>
        <w:rPr>
          <w:rFonts w:ascii="Palatino Linotype" w:hAnsi="Palatino Linotype"/>
        </w:rPr>
        <w:t xml:space="preserve"> su trayectoria deportiva.</w:t>
      </w:r>
    </w:p>
    <w:p w:rsidR="00AF3770" w:rsidRDefault="0065037A" w:rsidP="00AF3770">
      <w:pPr>
        <w:pStyle w:val="paragraph"/>
        <w:numPr>
          <w:ilvl w:val="0"/>
          <w:numId w:val="18"/>
        </w:numPr>
        <w:spacing w:before="0" w:beforeAutospacing="0" w:after="240" w:afterAutospacing="0" w:line="360" w:lineRule="auto"/>
        <w:ind w:right="-150"/>
        <w:jc w:val="both"/>
        <w:textAlignment w:val="baseline"/>
        <w:rPr>
          <w:rFonts w:ascii="Palatino Linotype" w:hAnsi="Palatino Linotype"/>
        </w:rPr>
      </w:pPr>
      <w:r>
        <w:rPr>
          <w:rFonts w:ascii="Palatino Linotype" w:hAnsi="Palatino Linotype"/>
        </w:rPr>
        <w:lastRenderedPageBreak/>
        <w:t>S</w:t>
      </w:r>
      <w:r w:rsidR="00AF3770" w:rsidRPr="00AF3770">
        <w:rPr>
          <w:rFonts w:ascii="Palatino Linotype" w:hAnsi="Palatino Linotype"/>
        </w:rPr>
        <w:t xml:space="preserve">i cumple </w:t>
      </w:r>
      <w:r w:rsidR="00AF3770">
        <w:rPr>
          <w:rFonts w:ascii="Palatino Linotype" w:hAnsi="Palatino Linotype"/>
        </w:rPr>
        <w:t>con los requisitos que dice la L</w:t>
      </w:r>
      <w:r w:rsidR="00AF3770" w:rsidRPr="00AF3770">
        <w:rPr>
          <w:rFonts w:ascii="Palatino Linotype" w:hAnsi="Palatino Linotype"/>
        </w:rPr>
        <w:t xml:space="preserve">ey </w:t>
      </w:r>
      <w:r w:rsidR="00AF3770">
        <w:rPr>
          <w:rFonts w:ascii="Palatino Linotype" w:hAnsi="Palatino Linotype"/>
        </w:rPr>
        <w:t>O</w:t>
      </w:r>
      <w:r w:rsidR="00AF3770" w:rsidRPr="00AF3770">
        <w:rPr>
          <w:rFonts w:ascii="Palatino Linotype" w:hAnsi="Palatino Linotype"/>
        </w:rPr>
        <w:t>rgánica</w:t>
      </w:r>
      <w:r w:rsidR="00AF3770">
        <w:rPr>
          <w:rFonts w:ascii="Palatino Linotype" w:hAnsi="Palatino Linotype"/>
        </w:rPr>
        <w:t xml:space="preserve"> del Estado y la Ley del Instituto para ser D</w:t>
      </w:r>
      <w:r w:rsidR="00AF3770" w:rsidRPr="00AF3770">
        <w:rPr>
          <w:rFonts w:ascii="Palatino Linotype" w:hAnsi="Palatino Linotype"/>
        </w:rPr>
        <w:t>irector de</w:t>
      </w:r>
      <w:r w:rsidR="00AF3770">
        <w:rPr>
          <w:rFonts w:ascii="Palatino Linotype" w:hAnsi="Palatino Linotype"/>
        </w:rPr>
        <w:t>l D</w:t>
      </w:r>
      <w:r>
        <w:rPr>
          <w:rFonts w:ascii="Palatino Linotype" w:hAnsi="Palatino Linotype"/>
        </w:rPr>
        <w:t xml:space="preserve">eporte. </w:t>
      </w:r>
      <w:r w:rsidR="00817B52">
        <w:rPr>
          <w:rFonts w:ascii="Palatino Linotype" w:hAnsi="Palatino Linotype"/>
        </w:rPr>
        <w:t xml:space="preserve">(anexar documentos) </w:t>
      </w:r>
    </w:p>
    <w:p w:rsidR="0065037A" w:rsidRPr="00B07BD2" w:rsidRDefault="0065037A" w:rsidP="00AF3770">
      <w:pPr>
        <w:pStyle w:val="paragraph"/>
        <w:numPr>
          <w:ilvl w:val="0"/>
          <w:numId w:val="18"/>
        </w:numPr>
        <w:spacing w:before="0" w:beforeAutospacing="0" w:after="240" w:afterAutospacing="0" w:line="360" w:lineRule="auto"/>
        <w:ind w:right="-150"/>
        <w:jc w:val="both"/>
        <w:textAlignment w:val="baseline"/>
        <w:rPr>
          <w:rFonts w:ascii="Palatino Linotype" w:hAnsi="Palatino Linotype"/>
        </w:rPr>
      </w:pPr>
      <w:r w:rsidRPr="00B07BD2">
        <w:rPr>
          <w:rFonts w:ascii="Palatino Linotype" w:hAnsi="Palatino Linotype"/>
        </w:rPr>
        <w:t xml:space="preserve">Si ha recibido capacitación de </w:t>
      </w:r>
      <w:r w:rsidR="00817B52" w:rsidRPr="00B07BD2">
        <w:rPr>
          <w:rFonts w:ascii="Palatino Linotype" w:hAnsi="Palatino Linotype"/>
        </w:rPr>
        <w:t>cómo</w:t>
      </w:r>
      <w:r w:rsidRPr="00B07BD2">
        <w:rPr>
          <w:rFonts w:ascii="Palatino Linotype" w:hAnsi="Palatino Linotype"/>
        </w:rPr>
        <w:t xml:space="preserve"> debe portarse con la gente como servidor público. </w:t>
      </w:r>
    </w:p>
    <w:p w:rsidR="00AF3770" w:rsidRDefault="00AF3770" w:rsidP="00AF3770">
      <w:pPr>
        <w:pStyle w:val="paragraph"/>
        <w:spacing w:before="0" w:beforeAutospacing="0" w:after="240" w:afterAutospacing="0" w:line="360" w:lineRule="auto"/>
        <w:ind w:left="360" w:right="-150"/>
        <w:jc w:val="both"/>
        <w:textAlignment w:val="baseline"/>
        <w:rPr>
          <w:rFonts w:ascii="Palatino Linotype" w:hAnsi="Palatino Linotype"/>
        </w:rPr>
      </w:pPr>
      <w:r>
        <w:rPr>
          <w:rFonts w:ascii="Palatino Linotype" w:hAnsi="Palatino Linotype"/>
        </w:rPr>
        <w:t>A</w:t>
      </w:r>
      <w:r w:rsidRPr="00AF3770">
        <w:rPr>
          <w:rFonts w:ascii="Palatino Linotype" w:hAnsi="Palatino Linotype"/>
        </w:rPr>
        <w:t>nexar los documentos que justifiquen que, si cumple los requisitos, si ha recibido capacitación de cómo d</w:t>
      </w:r>
      <w:r>
        <w:rPr>
          <w:rFonts w:ascii="Palatino Linotype" w:hAnsi="Palatino Linotype"/>
        </w:rPr>
        <w:t>ebe portarse con la gente como S</w:t>
      </w:r>
      <w:r w:rsidRPr="00AF3770">
        <w:rPr>
          <w:rFonts w:ascii="Palatino Linotype" w:hAnsi="Palatino Linotype"/>
        </w:rPr>
        <w:t xml:space="preserve">ervidor </w:t>
      </w:r>
      <w:r>
        <w:rPr>
          <w:rFonts w:ascii="Palatino Linotype" w:hAnsi="Palatino Linotype"/>
        </w:rPr>
        <w:t>P</w:t>
      </w:r>
      <w:r w:rsidRPr="00AF3770">
        <w:rPr>
          <w:rFonts w:ascii="Palatino Linotype" w:hAnsi="Palatino Linotype"/>
        </w:rPr>
        <w:t>úblico</w:t>
      </w:r>
      <w:r>
        <w:rPr>
          <w:rFonts w:ascii="Palatino Linotype" w:hAnsi="Palatino Linotype"/>
        </w:rPr>
        <w:t>.</w:t>
      </w:r>
    </w:p>
    <w:p w:rsidR="00550A43" w:rsidRPr="004857FC" w:rsidRDefault="00550A43" w:rsidP="00AF3770">
      <w:pPr>
        <w:pStyle w:val="paragraph"/>
        <w:spacing w:before="0" w:beforeAutospacing="0" w:after="240" w:afterAutospacing="0" w:line="360" w:lineRule="auto"/>
        <w:jc w:val="both"/>
        <w:textAlignment w:val="baseline"/>
        <w:rPr>
          <w:rFonts w:ascii="Palatino Linotype" w:hAnsi="Palatino Linotype" w:cs="Segoe UI"/>
        </w:rPr>
      </w:pPr>
      <w:r>
        <w:rPr>
          <w:rFonts w:ascii="Palatino Linotype" w:hAnsi="Palatino Linotype"/>
        </w:rPr>
        <w:t xml:space="preserve">Por su parte, </w:t>
      </w:r>
      <w:r w:rsidRPr="00B85C31">
        <w:rPr>
          <w:rFonts w:ascii="Palatino Linotype" w:hAnsi="Palatino Linotype"/>
        </w:rPr>
        <w:t xml:space="preserve">el </w:t>
      </w:r>
      <w:r w:rsidRPr="00B85C31">
        <w:rPr>
          <w:rFonts w:ascii="Palatino Linotype" w:hAnsi="Palatino Linotype"/>
          <w:b/>
        </w:rPr>
        <w:t>SUJETO OBLIGADO</w:t>
      </w:r>
      <w:r w:rsidRPr="00B85C31">
        <w:rPr>
          <w:rFonts w:ascii="Palatino Linotype" w:hAnsi="Palatino Linotype"/>
        </w:rPr>
        <w:t xml:space="preserve"> omitió dar respuesta a</w:t>
      </w:r>
      <w:r>
        <w:rPr>
          <w:rFonts w:ascii="Palatino Linotype" w:hAnsi="Palatino Linotype"/>
        </w:rPr>
        <w:t xml:space="preserve">l </w:t>
      </w:r>
      <w:r w:rsidRPr="00B85C31">
        <w:rPr>
          <w:rFonts w:ascii="Palatino Linotype" w:hAnsi="Palatino Linotype"/>
        </w:rPr>
        <w:t>requerimiento</w:t>
      </w:r>
      <w:r>
        <w:rPr>
          <w:rFonts w:ascii="Palatino Linotype" w:hAnsi="Palatino Linotype"/>
        </w:rPr>
        <w:t xml:space="preserve"> del particular.</w:t>
      </w:r>
    </w:p>
    <w:p w:rsidR="00550A43" w:rsidRDefault="00550A43" w:rsidP="00550A43">
      <w:pPr>
        <w:spacing w:before="240" w:after="240" w:line="360" w:lineRule="auto"/>
        <w:jc w:val="both"/>
        <w:rPr>
          <w:rFonts w:ascii="Palatino Linotype" w:hAnsi="Palatino Linotype"/>
        </w:rPr>
      </w:pPr>
      <w:r w:rsidRPr="00B85C31">
        <w:rPr>
          <w:rFonts w:ascii="Palatino Linotype" w:hAnsi="Palatino Linotype"/>
        </w:rPr>
        <w:t>Inconforme por la falta de</w:t>
      </w:r>
      <w:r w:rsidR="00817B52">
        <w:rPr>
          <w:rFonts w:ascii="Palatino Linotype" w:hAnsi="Palatino Linotype"/>
        </w:rPr>
        <w:t xml:space="preserve"> respuesta, la</w:t>
      </w:r>
      <w:r w:rsidRPr="00B85C31">
        <w:rPr>
          <w:rFonts w:ascii="Palatino Linotype" w:hAnsi="Palatino Linotype"/>
        </w:rPr>
        <w:t xml:space="preserve"> </w:t>
      </w:r>
      <w:r w:rsidRPr="00B85C31">
        <w:rPr>
          <w:rFonts w:ascii="Palatino Linotype" w:hAnsi="Palatino Linotype"/>
          <w:b/>
        </w:rPr>
        <w:t>RECURRENTE</w:t>
      </w:r>
      <w:r w:rsidRPr="00B85C31">
        <w:rPr>
          <w:rFonts w:ascii="Palatino Linotype" w:hAnsi="Palatino Linotype"/>
        </w:rPr>
        <w:t xml:space="preserve"> interpuso </w:t>
      </w:r>
      <w:r w:rsidR="00817B52">
        <w:rPr>
          <w:rFonts w:ascii="Palatino Linotype" w:hAnsi="Palatino Linotype"/>
        </w:rPr>
        <w:t>los</w:t>
      </w:r>
      <w:r w:rsidRPr="00B85C31">
        <w:rPr>
          <w:rFonts w:ascii="Palatino Linotype" w:hAnsi="Palatino Linotype"/>
        </w:rPr>
        <w:t xml:space="preserve"> recurso</w:t>
      </w:r>
      <w:r w:rsidR="00817B52">
        <w:rPr>
          <w:rFonts w:ascii="Palatino Linotype" w:hAnsi="Palatino Linotype"/>
        </w:rPr>
        <w:t>s</w:t>
      </w:r>
      <w:r w:rsidRPr="00B85C31">
        <w:rPr>
          <w:rFonts w:ascii="Palatino Linotype" w:hAnsi="Palatino Linotype"/>
        </w:rPr>
        <w:t xml:space="preserve"> </w:t>
      </w:r>
      <w:r>
        <w:rPr>
          <w:rFonts w:ascii="Palatino Linotype" w:hAnsi="Palatino Linotype"/>
        </w:rPr>
        <w:t>d</w:t>
      </w:r>
      <w:r w:rsidRPr="00B85C31">
        <w:rPr>
          <w:rFonts w:ascii="Palatino Linotype" w:hAnsi="Palatino Linotype"/>
        </w:rPr>
        <w:t xml:space="preserve">e </w:t>
      </w:r>
      <w:r w:rsidR="00817B52">
        <w:rPr>
          <w:rFonts w:ascii="Palatino Linotype" w:hAnsi="Palatino Linotype"/>
        </w:rPr>
        <w:t>revisión en los</w:t>
      </w:r>
      <w:r>
        <w:rPr>
          <w:rFonts w:ascii="Palatino Linotype" w:hAnsi="Palatino Linotype"/>
        </w:rPr>
        <w:t xml:space="preserve"> que señaló medularmente la falta de respuesta. </w:t>
      </w:r>
    </w:p>
    <w:p w:rsidR="00AF3770" w:rsidRPr="00AF3770" w:rsidRDefault="00550A43" w:rsidP="00AF3770">
      <w:pPr>
        <w:spacing w:after="240" w:line="360" w:lineRule="auto"/>
        <w:contextualSpacing/>
        <w:jc w:val="both"/>
        <w:rPr>
          <w:rFonts w:ascii="Palatino Linotype" w:hAnsi="Palatino Linotype" w:cs="Arial"/>
        </w:rPr>
      </w:pPr>
      <w:r>
        <w:rPr>
          <w:rFonts w:ascii="Palatino Linotype" w:hAnsi="Palatino Linotype"/>
        </w:rPr>
        <w:t>Una vez notificado el recurso de revisión a</w:t>
      </w:r>
      <w:r w:rsidRPr="00B0231C">
        <w:rPr>
          <w:rFonts w:ascii="Palatino Linotype" w:hAnsi="Palatino Linotype"/>
        </w:rPr>
        <w:t xml:space="preserve">l </w:t>
      </w:r>
      <w:r w:rsidRPr="00B0231C">
        <w:rPr>
          <w:rFonts w:ascii="Palatino Linotype" w:hAnsi="Palatino Linotype"/>
          <w:b/>
        </w:rPr>
        <w:t>SUJETO OBLIGADO</w:t>
      </w:r>
      <w:r w:rsidR="00817B52">
        <w:rPr>
          <w:rFonts w:ascii="Palatino Linotype" w:hAnsi="Palatino Linotype"/>
        </w:rPr>
        <w:t>, e</w:t>
      </w:r>
      <w:r>
        <w:rPr>
          <w:rFonts w:ascii="Palatino Linotype" w:hAnsi="Palatino Linotype"/>
        </w:rPr>
        <w:t xml:space="preserve">ste a través del apartado de manifestaciones del Sistema del Acceso a la Información </w:t>
      </w:r>
      <w:r w:rsidR="00AF3770">
        <w:rPr>
          <w:rFonts w:ascii="Palatino Linotype" w:hAnsi="Palatino Linotype"/>
        </w:rPr>
        <w:t>Mexiquense, remitió</w:t>
      </w:r>
      <w:r>
        <w:rPr>
          <w:rFonts w:ascii="Palatino Linotype" w:hAnsi="Palatino Linotype" w:cs="Arial"/>
        </w:rPr>
        <w:t xml:space="preserve"> la respuesta del </w:t>
      </w:r>
      <w:r w:rsidRPr="00E33715">
        <w:rPr>
          <w:rFonts w:ascii="Palatino Linotype" w:hAnsi="Palatino Linotype" w:cs="Arial"/>
        </w:rPr>
        <w:t xml:space="preserve">Servidor Público Habilitado de la Dirección de Administración </w:t>
      </w:r>
      <w:r w:rsidR="00AF3770">
        <w:rPr>
          <w:rFonts w:ascii="Palatino Linotype" w:eastAsia="Palatino Linotype" w:hAnsi="Palatino Linotype" w:cs="Palatino Linotype"/>
        </w:rPr>
        <w:t xml:space="preserve">del Ayuntamiento de Temascalcingo, en donde informó que no se cuentan con las atribuciones, facultades, competencias necesarias para poder generar y proporcionar la información requerida en la solicitud de información. </w:t>
      </w:r>
    </w:p>
    <w:p w:rsidR="00AF3770" w:rsidRDefault="00AF3770" w:rsidP="00AF3770">
      <w:pPr>
        <w:pStyle w:val="Prrafodelista"/>
        <w:widowControl w:val="0"/>
        <w:tabs>
          <w:tab w:val="left" w:pos="709"/>
        </w:tabs>
        <w:autoSpaceDE w:val="0"/>
        <w:autoSpaceDN w:val="0"/>
        <w:adjustRightInd w:val="0"/>
        <w:spacing w:before="120" w:after="240" w:line="360" w:lineRule="auto"/>
        <w:ind w:left="0"/>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Por su parte, el Director de ODAPAS de Temascalcingo señaló que respecto de </w:t>
      </w:r>
      <w:r w:rsidRPr="00237105">
        <w:rPr>
          <w:rFonts w:ascii="Palatino Linotype" w:eastAsia="Palatino Linotype" w:hAnsi="Palatino Linotype" w:cs="Palatino Linotype"/>
          <w:sz w:val="24"/>
          <w:szCs w:val="24"/>
        </w:rPr>
        <w:t>los recibos de pago de las quincenas de diciembre de 2021 y de enero a febrero de Uriel</w:t>
      </w:r>
      <w:r>
        <w:rPr>
          <w:rFonts w:ascii="Palatino Linotype" w:eastAsia="Palatino Linotype" w:hAnsi="Palatino Linotype" w:cs="Palatino Linotype"/>
          <w:sz w:val="24"/>
          <w:szCs w:val="24"/>
        </w:rPr>
        <w:t xml:space="preserve"> R</w:t>
      </w:r>
      <w:r w:rsidRPr="00237105">
        <w:rPr>
          <w:rFonts w:ascii="Palatino Linotype" w:eastAsia="Palatino Linotype" w:hAnsi="Palatino Linotype" w:cs="Palatino Linotype"/>
          <w:sz w:val="24"/>
          <w:szCs w:val="24"/>
        </w:rPr>
        <w:t>oldan Zaldívar y de Matilde</w:t>
      </w:r>
      <w:r>
        <w:rPr>
          <w:rFonts w:ascii="Palatino Linotype" w:eastAsia="Palatino Linotype" w:hAnsi="Palatino Linotype" w:cs="Palatino Linotype"/>
          <w:sz w:val="24"/>
          <w:szCs w:val="24"/>
        </w:rPr>
        <w:t xml:space="preserve"> Rosario Moreno C</w:t>
      </w:r>
      <w:r w:rsidRPr="00237105">
        <w:rPr>
          <w:rFonts w:ascii="Palatino Linotype" w:eastAsia="Palatino Linotype" w:hAnsi="Palatino Linotype" w:cs="Palatino Linotype"/>
          <w:sz w:val="24"/>
          <w:szCs w:val="24"/>
        </w:rPr>
        <w:t>orrea, así como si Gerardo</w:t>
      </w:r>
      <w:r>
        <w:rPr>
          <w:rFonts w:ascii="Palatino Linotype" w:eastAsia="Palatino Linotype" w:hAnsi="Palatino Linotype" w:cs="Palatino Linotype"/>
          <w:sz w:val="24"/>
          <w:szCs w:val="24"/>
        </w:rPr>
        <w:t xml:space="preserve"> Gilberto Roldan Zaldívar, en los registros de la nómina de ODAPAS Temascalcingo del </w:t>
      </w:r>
      <w:r>
        <w:rPr>
          <w:rFonts w:ascii="Palatino Linotype" w:eastAsia="Palatino Linotype" w:hAnsi="Palatino Linotype" w:cs="Palatino Linotype"/>
          <w:sz w:val="24"/>
          <w:szCs w:val="24"/>
        </w:rPr>
        <w:lastRenderedPageBreak/>
        <w:t>ejercicio 2021 y de lo que va del 2022, no existen datos de las personas mencionadas anteriormente.</w:t>
      </w:r>
    </w:p>
    <w:p w:rsidR="00AF3770" w:rsidRDefault="003C264B" w:rsidP="00AF3770">
      <w:pPr>
        <w:pStyle w:val="Prrafodelista"/>
        <w:widowControl w:val="0"/>
        <w:tabs>
          <w:tab w:val="left" w:pos="709"/>
        </w:tabs>
        <w:autoSpaceDE w:val="0"/>
        <w:autoSpaceDN w:val="0"/>
        <w:adjustRightInd w:val="0"/>
        <w:spacing w:before="120" w:after="240" w:line="360" w:lineRule="auto"/>
        <w:ind w:left="0"/>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Respecto de la información solicitada del Director del INCUFIDE, sólo se concretó a entregar el turno de la solicitud </w:t>
      </w:r>
      <w:r w:rsidR="00AF3770">
        <w:rPr>
          <w:rFonts w:ascii="Palatino Linotype" w:eastAsia="Palatino Linotype" w:hAnsi="Palatino Linotype" w:cs="Palatino Linotype"/>
          <w:sz w:val="24"/>
          <w:szCs w:val="24"/>
        </w:rPr>
        <w:t xml:space="preserve">sin que se advierta la respuesta de </w:t>
      </w:r>
      <w:r>
        <w:rPr>
          <w:rFonts w:ascii="Palatino Linotype" w:eastAsia="Palatino Linotype" w:hAnsi="Palatino Linotype" w:cs="Palatino Linotype"/>
          <w:sz w:val="24"/>
          <w:szCs w:val="24"/>
        </w:rPr>
        <w:t>dicho Director.</w:t>
      </w:r>
      <w:r w:rsidR="00AF3770">
        <w:rPr>
          <w:rFonts w:ascii="Palatino Linotype" w:eastAsia="Palatino Linotype" w:hAnsi="Palatino Linotype" w:cs="Palatino Linotype"/>
          <w:sz w:val="24"/>
          <w:szCs w:val="24"/>
        </w:rPr>
        <w:t xml:space="preserve"> </w:t>
      </w:r>
    </w:p>
    <w:p w:rsidR="00550A43" w:rsidRDefault="00550A43" w:rsidP="00550A43">
      <w:pPr>
        <w:spacing w:before="240" w:after="240" w:line="360" w:lineRule="auto"/>
        <w:ind w:right="-93"/>
        <w:jc w:val="both"/>
        <w:rPr>
          <w:rFonts w:ascii="Palatino Linotype" w:eastAsia="Palatino Linotype" w:hAnsi="Palatino Linotype" w:cs="Palatino Linotype"/>
        </w:rPr>
      </w:pPr>
      <w:r>
        <w:rPr>
          <w:rFonts w:ascii="Palatino Linotype" w:eastAsia="Palatino Linotype" w:hAnsi="Palatino Linotype" w:cs="Palatino Linotype"/>
          <w:color w:val="000000"/>
        </w:rPr>
        <w:t>En virtud de lo anterior</w:t>
      </w:r>
      <w:r>
        <w:rPr>
          <w:rFonts w:ascii="Palatino Linotype" w:eastAsia="Palatino Linotype" w:hAnsi="Palatino Linotype" w:cs="Palatino Linotype"/>
        </w:rPr>
        <w:t xml:space="preserve">, se determina que la respuesta emitida por el </w:t>
      </w:r>
      <w:r>
        <w:rPr>
          <w:rFonts w:ascii="Palatino Linotype" w:eastAsia="Palatino Linotype" w:hAnsi="Palatino Linotype" w:cs="Palatino Linotype"/>
          <w:b/>
        </w:rPr>
        <w:t xml:space="preserve">SUJETO OBLIGADO </w:t>
      </w:r>
      <w:r w:rsidRPr="00262370">
        <w:rPr>
          <w:rFonts w:ascii="Palatino Linotype" w:eastAsia="Palatino Linotype" w:hAnsi="Palatino Linotype" w:cs="Palatino Linotype"/>
        </w:rPr>
        <w:t>a través de su informe justificado</w:t>
      </w:r>
      <w:r w:rsidR="003E4484">
        <w:rPr>
          <w:rFonts w:ascii="Palatino Linotype" w:eastAsia="Palatino Linotype" w:hAnsi="Palatino Linotype" w:cs="Palatino Linotype"/>
        </w:rPr>
        <w:t xml:space="preserve">, </w:t>
      </w:r>
      <w:r>
        <w:rPr>
          <w:rFonts w:ascii="Palatino Linotype" w:eastAsia="Palatino Linotype" w:hAnsi="Palatino Linotype" w:cs="Palatino Linotype"/>
        </w:rPr>
        <w:t xml:space="preserve">cumple </w:t>
      </w:r>
      <w:r w:rsidR="003E4484">
        <w:rPr>
          <w:rFonts w:ascii="Palatino Linotype" w:eastAsia="Palatino Linotype" w:hAnsi="Palatino Linotype" w:cs="Palatino Linotype"/>
        </w:rPr>
        <w:t xml:space="preserve">parcialmente </w:t>
      </w:r>
      <w:r>
        <w:rPr>
          <w:rFonts w:ascii="Palatino Linotype" w:eastAsia="Palatino Linotype" w:hAnsi="Palatino Linotype" w:cs="Palatino Linotype"/>
        </w:rPr>
        <w:t>con lo establecido por los artículos 4, 12, 24 primer párrafo y 161 Ley de Transparencia y Acceso a la Información Pública del Estado de México y Municipios.</w:t>
      </w:r>
    </w:p>
    <w:p w:rsidR="00550A43" w:rsidRDefault="00B03154" w:rsidP="00035093">
      <w:pPr>
        <w:spacing w:before="240" w:after="240" w:line="360" w:lineRule="auto"/>
        <w:contextualSpacing/>
        <w:jc w:val="both"/>
        <w:rPr>
          <w:rFonts w:ascii="Palatino Linotype" w:eastAsia="Palatino Linotype" w:hAnsi="Palatino Linotype" w:cs="Palatino Linotype"/>
        </w:rPr>
      </w:pPr>
      <w:r>
        <w:rPr>
          <w:rFonts w:ascii="Palatino Linotype" w:eastAsia="Palatino Linotype" w:hAnsi="Palatino Linotype" w:cs="Palatino Linotype"/>
        </w:rPr>
        <w:t>Antes de entrar al estudio de fondo es pertinente señalar como está conformado la Administración Pública del Ayuntamiento de Temascalcingo</w:t>
      </w:r>
      <w:r w:rsidR="002C61A3">
        <w:rPr>
          <w:rFonts w:ascii="Palatino Linotype" w:eastAsia="Palatino Linotype" w:hAnsi="Palatino Linotype" w:cs="Palatino Linotype"/>
        </w:rPr>
        <w:t xml:space="preserve"> 2022-2024</w:t>
      </w:r>
      <w:r>
        <w:rPr>
          <w:rFonts w:ascii="Palatino Linotype" w:eastAsia="Palatino Linotype" w:hAnsi="Palatino Linotype" w:cs="Palatino Linotype"/>
        </w:rPr>
        <w:t xml:space="preserve">, por ello, es necesario a traer el artículo </w:t>
      </w:r>
      <w:r w:rsidR="002C61A3">
        <w:rPr>
          <w:rFonts w:ascii="Palatino Linotype" w:eastAsia="Palatino Linotype" w:hAnsi="Palatino Linotype" w:cs="Palatino Linotype"/>
        </w:rPr>
        <w:t xml:space="preserve">63 del Bando Municipal del </w:t>
      </w:r>
      <w:r w:rsidR="002C61A3" w:rsidRPr="002C61A3">
        <w:rPr>
          <w:rFonts w:ascii="Palatino Linotype" w:eastAsia="Palatino Linotype" w:hAnsi="Palatino Linotype" w:cs="Palatino Linotype"/>
          <w:b/>
        </w:rPr>
        <w:t>SUJETO OBLIGADO</w:t>
      </w:r>
      <w:r w:rsidR="002C61A3">
        <w:rPr>
          <w:rFonts w:ascii="Palatino Linotype" w:eastAsia="Palatino Linotype" w:hAnsi="Palatino Linotype" w:cs="Palatino Linotype"/>
        </w:rPr>
        <w:t>, para el año 2022, que señala:</w:t>
      </w:r>
    </w:p>
    <w:p w:rsidR="002C61A3" w:rsidRDefault="002C61A3" w:rsidP="00035093">
      <w:pPr>
        <w:spacing w:before="240" w:after="240" w:line="360" w:lineRule="auto"/>
        <w:contextualSpacing/>
        <w:jc w:val="both"/>
        <w:rPr>
          <w:rFonts w:ascii="Palatino Linotype" w:eastAsia="Palatino Linotype" w:hAnsi="Palatino Linotype" w:cs="Palatino Linotype"/>
        </w:rPr>
      </w:pPr>
    </w:p>
    <w:p w:rsidR="002C61A3" w:rsidRDefault="002C61A3" w:rsidP="002C61A3">
      <w:pPr>
        <w:ind w:left="1134" w:right="899"/>
        <w:jc w:val="both"/>
        <w:rPr>
          <w:rFonts w:ascii="Palatino Linotype" w:hAnsi="Palatino Linotype" w:cs="Arial"/>
          <w:i/>
          <w:sz w:val="22"/>
          <w:szCs w:val="22"/>
          <w:lang w:eastAsia="es-MX"/>
        </w:rPr>
      </w:pPr>
      <w:r>
        <w:rPr>
          <w:rFonts w:ascii="Palatino Linotype" w:hAnsi="Palatino Linotype" w:cs="Arial"/>
          <w:i/>
          <w:sz w:val="22"/>
          <w:szCs w:val="22"/>
          <w:lang w:eastAsia="es-MX"/>
        </w:rPr>
        <w:t>“</w:t>
      </w:r>
      <w:r w:rsidRPr="002C61A3">
        <w:rPr>
          <w:rFonts w:ascii="Palatino Linotype" w:hAnsi="Palatino Linotype" w:cs="Arial"/>
          <w:i/>
          <w:sz w:val="22"/>
          <w:szCs w:val="22"/>
          <w:lang w:eastAsia="es-MX"/>
        </w:rPr>
        <w:t xml:space="preserve">Artículo 63. Las dependencias y entidades administrativas serán las siguientes: 1. Presidencia Municipal </w:t>
      </w:r>
    </w:p>
    <w:p w:rsidR="002C61A3" w:rsidRDefault="002C61A3" w:rsidP="002C61A3">
      <w:pPr>
        <w:ind w:left="1134" w:right="899"/>
        <w:jc w:val="both"/>
        <w:rPr>
          <w:rFonts w:ascii="Palatino Linotype" w:hAnsi="Palatino Linotype" w:cs="Arial"/>
          <w:i/>
          <w:sz w:val="22"/>
          <w:szCs w:val="22"/>
          <w:lang w:eastAsia="es-MX"/>
        </w:rPr>
      </w:pPr>
      <w:r w:rsidRPr="002C61A3">
        <w:rPr>
          <w:rFonts w:ascii="Palatino Linotype" w:hAnsi="Palatino Linotype" w:cs="Arial"/>
          <w:i/>
          <w:sz w:val="22"/>
          <w:szCs w:val="22"/>
          <w:lang w:eastAsia="es-MX"/>
        </w:rPr>
        <w:t xml:space="preserve">2. Secretaría Particular </w:t>
      </w:r>
    </w:p>
    <w:p w:rsidR="002C61A3" w:rsidRDefault="002C61A3" w:rsidP="002C61A3">
      <w:pPr>
        <w:ind w:left="1134" w:right="899"/>
        <w:jc w:val="both"/>
        <w:rPr>
          <w:rFonts w:ascii="Palatino Linotype" w:hAnsi="Palatino Linotype" w:cs="Arial"/>
          <w:i/>
          <w:sz w:val="22"/>
          <w:szCs w:val="22"/>
          <w:lang w:eastAsia="es-MX"/>
        </w:rPr>
      </w:pPr>
      <w:r w:rsidRPr="002C61A3">
        <w:rPr>
          <w:rFonts w:ascii="Palatino Linotype" w:hAnsi="Palatino Linotype" w:cs="Arial"/>
          <w:i/>
          <w:sz w:val="22"/>
          <w:szCs w:val="22"/>
          <w:lang w:eastAsia="es-MX"/>
        </w:rPr>
        <w:t xml:space="preserve">3. Secretaría Técnica </w:t>
      </w:r>
    </w:p>
    <w:p w:rsidR="002C61A3" w:rsidRDefault="002C61A3" w:rsidP="002C61A3">
      <w:pPr>
        <w:ind w:left="1134" w:right="899"/>
        <w:jc w:val="both"/>
        <w:rPr>
          <w:rFonts w:ascii="Palatino Linotype" w:hAnsi="Palatino Linotype" w:cs="Arial"/>
          <w:i/>
          <w:sz w:val="22"/>
          <w:szCs w:val="22"/>
          <w:lang w:eastAsia="es-MX"/>
        </w:rPr>
      </w:pPr>
      <w:r w:rsidRPr="002C61A3">
        <w:rPr>
          <w:rFonts w:ascii="Palatino Linotype" w:hAnsi="Palatino Linotype" w:cs="Arial"/>
          <w:i/>
          <w:sz w:val="22"/>
          <w:szCs w:val="22"/>
          <w:lang w:eastAsia="es-MX"/>
        </w:rPr>
        <w:t xml:space="preserve">4. Unidad de Transparencia y Acceso a la Información </w:t>
      </w:r>
    </w:p>
    <w:p w:rsidR="002C61A3" w:rsidRDefault="002C61A3" w:rsidP="002C61A3">
      <w:pPr>
        <w:ind w:left="1134" w:right="899"/>
        <w:jc w:val="both"/>
        <w:rPr>
          <w:rFonts w:ascii="Palatino Linotype" w:hAnsi="Palatino Linotype" w:cs="Arial"/>
          <w:i/>
          <w:sz w:val="22"/>
          <w:szCs w:val="22"/>
          <w:lang w:eastAsia="es-MX"/>
        </w:rPr>
      </w:pPr>
      <w:r w:rsidRPr="002C61A3">
        <w:rPr>
          <w:rFonts w:ascii="Palatino Linotype" w:hAnsi="Palatino Linotype" w:cs="Arial"/>
          <w:i/>
          <w:sz w:val="22"/>
          <w:szCs w:val="22"/>
          <w:lang w:eastAsia="es-MX"/>
        </w:rPr>
        <w:t xml:space="preserve">5. Unidad de Mejora Regulatoria </w:t>
      </w:r>
    </w:p>
    <w:p w:rsidR="002C61A3" w:rsidRDefault="002C61A3" w:rsidP="002C61A3">
      <w:pPr>
        <w:ind w:left="1134" w:right="899"/>
        <w:jc w:val="both"/>
        <w:rPr>
          <w:rFonts w:ascii="Palatino Linotype" w:hAnsi="Palatino Linotype" w:cs="Arial"/>
          <w:i/>
          <w:sz w:val="22"/>
          <w:szCs w:val="22"/>
          <w:lang w:eastAsia="es-MX"/>
        </w:rPr>
      </w:pPr>
      <w:r w:rsidRPr="002C61A3">
        <w:rPr>
          <w:rFonts w:ascii="Palatino Linotype" w:hAnsi="Palatino Linotype" w:cs="Arial"/>
          <w:i/>
          <w:sz w:val="22"/>
          <w:szCs w:val="22"/>
          <w:lang w:eastAsia="es-MX"/>
        </w:rPr>
        <w:t xml:space="preserve">6. Unidad de Información, Planeación, Programación y Evaluación (UIPPE) </w:t>
      </w:r>
    </w:p>
    <w:p w:rsidR="002C61A3" w:rsidRDefault="002C61A3" w:rsidP="002C61A3">
      <w:pPr>
        <w:ind w:left="1134" w:right="899"/>
        <w:jc w:val="both"/>
        <w:rPr>
          <w:rFonts w:ascii="Palatino Linotype" w:hAnsi="Palatino Linotype" w:cs="Arial"/>
          <w:i/>
          <w:sz w:val="22"/>
          <w:szCs w:val="22"/>
          <w:lang w:eastAsia="es-MX"/>
        </w:rPr>
      </w:pPr>
      <w:r w:rsidRPr="002C61A3">
        <w:rPr>
          <w:rFonts w:ascii="Palatino Linotype" w:hAnsi="Palatino Linotype" w:cs="Arial"/>
          <w:i/>
          <w:sz w:val="22"/>
          <w:szCs w:val="22"/>
          <w:lang w:eastAsia="es-MX"/>
        </w:rPr>
        <w:t xml:space="preserve">7. Consejería Jurídica </w:t>
      </w:r>
    </w:p>
    <w:p w:rsidR="002C61A3" w:rsidRDefault="002C61A3" w:rsidP="002C61A3">
      <w:pPr>
        <w:ind w:left="1134" w:right="899"/>
        <w:jc w:val="both"/>
        <w:rPr>
          <w:rFonts w:ascii="Palatino Linotype" w:hAnsi="Palatino Linotype" w:cs="Arial"/>
          <w:i/>
          <w:sz w:val="22"/>
          <w:szCs w:val="22"/>
          <w:lang w:eastAsia="es-MX"/>
        </w:rPr>
      </w:pPr>
      <w:r w:rsidRPr="002C61A3">
        <w:rPr>
          <w:rFonts w:ascii="Palatino Linotype" w:hAnsi="Palatino Linotype" w:cs="Arial"/>
          <w:i/>
          <w:sz w:val="22"/>
          <w:szCs w:val="22"/>
          <w:lang w:eastAsia="es-MX"/>
        </w:rPr>
        <w:t xml:space="preserve">8. Coordinación de Comunicación Social </w:t>
      </w:r>
    </w:p>
    <w:p w:rsidR="002C61A3" w:rsidRDefault="002C61A3" w:rsidP="002C61A3">
      <w:pPr>
        <w:ind w:left="1134" w:right="899"/>
        <w:jc w:val="both"/>
        <w:rPr>
          <w:rFonts w:ascii="Palatino Linotype" w:hAnsi="Palatino Linotype" w:cs="Arial"/>
          <w:i/>
          <w:sz w:val="22"/>
          <w:szCs w:val="22"/>
          <w:lang w:eastAsia="es-MX"/>
        </w:rPr>
      </w:pPr>
      <w:r w:rsidRPr="002C61A3">
        <w:rPr>
          <w:rFonts w:ascii="Palatino Linotype" w:hAnsi="Palatino Linotype" w:cs="Arial"/>
          <w:i/>
          <w:sz w:val="22"/>
          <w:szCs w:val="22"/>
          <w:lang w:eastAsia="es-MX"/>
        </w:rPr>
        <w:t xml:space="preserve">9. Coordinación de Gobierno Digital </w:t>
      </w:r>
    </w:p>
    <w:p w:rsidR="002C61A3" w:rsidRDefault="002C61A3" w:rsidP="002C61A3">
      <w:pPr>
        <w:ind w:left="1134" w:right="899"/>
        <w:jc w:val="both"/>
        <w:rPr>
          <w:rFonts w:ascii="Palatino Linotype" w:hAnsi="Palatino Linotype" w:cs="Arial"/>
          <w:i/>
          <w:sz w:val="22"/>
          <w:szCs w:val="22"/>
          <w:lang w:eastAsia="es-MX"/>
        </w:rPr>
      </w:pPr>
      <w:r w:rsidRPr="002C61A3">
        <w:rPr>
          <w:rFonts w:ascii="Palatino Linotype" w:hAnsi="Palatino Linotype" w:cs="Arial"/>
          <w:i/>
          <w:sz w:val="22"/>
          <w:szCs w:val="22"/>
          <w:lang w:eastAsia="es-MX"/>
        </w:rPr>
        <w:t xml:space="preserve">10. Dirección de Vinculación Ciudadana </w:t>
      </w:r>
    </w:p>
    <w:p w:rsidR="002C61A3" w:rsidRDefault="002C61A3" w:rsidP="002C61A3">
      <w:pPr>
        <w:ind w:left="1134" w:right="899"/>
        <w:jc w:val="both"/>
        <w:rPr>
          <w:rFonts w:ascii="Palatino Linotype" w:hAnsi="Palatino Linotype" w:cs="Arial"/>
          <w:i/>
          <w:sz w:val="22"/>
          <w:szCs w:val="22"/>
          <w:lang w:eastAsia="es-MX"/>
        </w:rPr>
      </w:pPr>
      <w:r w:rsidRPr="002C61A3">
        <w:rPr>
          <w:rFonts w:ascii="Palatino Linotype" w:hAnsi="Palatino Linotype" w:cs="Arial"/>
          <w:i/>
          <w:sz w:val="22"/>
          <w:szCs w:val="22"/>
          <w:lang w:eastAsia="es-MX"/>
        </w:rPr>
        <w:t xml:space="preserve">10.1. Coordinación de Inclusión </w:t>
      </w:r>
    </w:p>
    <w:p w:rsidR="00974E5F" w:rsidRDefault="002C61A3" w:rsidP="002C61A3">
      <w:pPr>
        <w:ind w:left="1134" w:right="899"/>
        <w:jc w:val="both"/>
        <w:rPr>
          <w:rFonts w:ascii="Palatino Linotype" w:hAnsi="Palatino Linotype" w:cs="Arial"/>
          <w:i/>
          <w:sz w:val="22"/>
          <w:szCs w:val="22"/>
          <w:lang w:eastAsia="es-MX"/>
        </w:rPr>
      </w:pPr>
      <w:r w:rsidRPr="002C61A3">
        <w:rPr>
          <w:rFonts w:ascii="Palatino Linotype" w:hAnsi="Palatino Linotype" w:cs="Arial"/>
          <w:i/>
          <w:sz w:val="22"/>
          <w:szCs w:val="22"/>
          <w:lang w:eastAsia="es-MX"/>
        </w:rPr>
        <w:t xml:space="preserve">11. Secretaría del Ayuntamiento </w:t>
      </w:r>
    </w:p>
    <w:p w:rsidR="00974E5F" w:rsidRDefault="002C61A3" w:rsidP="002C61A3">
      <w:pPr>
        <w:ind w:left="1134" w:right="899"/>
        <w:jc w:val="both"/>
        <w:rPr>
          <w:rFonts w:ascii="Palatino Linotype" w:hAnsi="Palatino Linotype" w:cs="Arial"/>
          <w:i/>
          <w:sz w:val="22"/>
          <w:szCs w:val="22"/>
          <w:lang w:eastAsia="es-MX"/>
        </w:rPr>
      </w:pPr>
      <w:r w:rsidRPr="002C61A3">
        <w:rPr>
          <w:rFonts w:ascii="Palatino Linotype" w:hAnsi="Palatino Linotype" w:cs="Arial"/>
          <w:i/>
          <w:sz w:val="22"/>
          <w:szCs w:val="22"/>
          <w:lang w:eastAsia="es-MX"/>
        </w:rPr>
        <w:t xml:space="preserve">11.1. Control Patrimonial </w:t>
      </w:r>
    </w:p>
    <w:p w:rsidR="00974E5F" w:rsidRDefault="002C61A3" w:rsidP="002C61A3">
      <w:pPr>
        <w:ind w:left="1134" w:right="899"/>
        <w:jc w:val="both"/>
        <w:rPr>
          <w:rFonts w:ascii="Palatino Linotype" w:hAnsi="Palatino Linotype" w:cs="Arial"/>
          <w:i/>
          <w:sz w:val="22"/>
          <w:szCs w:val="22"/>
          <w:lang w:eastAsia="es-MX"/>
        </w:rPr>
      </w:pPr>
      <w:r w:rsidRPr="002C61A3">
        <w:rPr>
          <w:rFonts w:ascii="Palatino Linotype" w:hAnsi="Palatino Linotype" w:cs="Arial"/>
          <w:i/>
          <w:sz w:val="22"/>
          <w:szCs w:val="22"/>
          <w:lang w:eastAsia="es-MX"/>
        </w:rPr>
        <w:lastRenderedPageBreak/>
        <w:t xml:space="preserve">11.2. Archivo Municipal e Histórico </w:t>
      </w:r>
    </w:p>
    <w:p w:rsidR="00974E5F" w:rsidRDefault="002C61A3" w:rsidP="002C61A3">
      <w:pPr>
        <w:ind w:left="1134" w:right="899"/>
        <w:jc w:val="both"/>
        <w:rPr>
          <w:rFonts w:ascii="Palatino Linotype" w:hAnsi="Palatino Linotype" w:cs="Arial"/>
          <w:i/>
          <w:sz w:val="22"/>
          <w:szCs w:val="22"/>
          <w:lang w:eastAsia="es-MX"/>
        </w:rPr>
      </w:pPr>
      <w:r w:rsidRPr="002C61A3">
        <w:rPr>
          <w:rFonts w:ascii="Palatino Linotype" w:hAnsi="Palatino Linotype" w:cs="Arial"/>
          <w:i/>
          <w:sz w:val="22"/>
          <w:szCs w:val="22"/>
          <w:lang w:eastAsia="es-MX"/>
        </w:rPr>
        <w:t xml:space="preserve">11.3. Oficialías de Registro Civil </w:t>
      </w:r>
    </w:p>
    <w:p w:rsidR="00974E5F" w:rsidRDefault="002C61A3" w:rsidP="002C61A3">
      <w:pPr>
        <w:ind w:left="1134" w:right="899"/>
        <w:jc w:val="both"/>
        <w:rPr>
          <w:rFonts w:ascii="Palatino Linotype" w:hAnsi="Palatino Linotype" w:cs="Arial"/>
          <w:i/>
          <w:sz w:val="22"/>
          <w:szCs w:val="22"/>
          <w:lang w:eastAsia="es-MX"/>
        </w:rPr>
      </w:pPr>
      <w:r w:rsidRPr="002C61A3">
        <w:rPr>
          <w:rFonts w:ascii="Palatino Linotype" w:hAnsi="Palatino Linotype" w:cs="Arial"/>
          <w:i/>
          <w:sz w:val="22"/>
          <w:szCs w:val="22"/>
          <w:lang w:eastAsia="es-MX"/>
        </w:rPr>
        <w:t xml:space="preserve">12. Contraloría Municipal </w:t>
      </w:r>
    </w:p>
    <w:p w:rsidR="00974E5F" w:rsidRDefault="002C61A3" w:rsidP="002C61A3">
      <w:pPr>
        <w:ind w:left="1134" w:right="899"/>
        <w:jc w:val="both"/>
        <w:rPr>
          <w:rFonts w:ascii="Palatino Linotype" w:hAnsi="Palatino Linotype" w:cs="Arial"/>
          <w:i/>
          <w:sz w:val="22"/>
          <w:szCs w:val="22"/>
          <w:lang w:eastAsia="es-MX"/>
        </w:rPr>
      </w:pPr>
      <w:r w:rsidRPr="002C61A3">
        <w:rPr>
          <w:rFonts w:ascii="Palatino Linotype" w:hAnsi="Palatino Linotype" w:cs="Arial"/>
          <w:i/>
          <w:sz w:val="22"/>
          <w:szCs w:val="22"/>
          <w:lang w:eastAsia="es-MX"/>
        </w:rPr>
        <w:t xml:space="preserve">12.1. Autoridad Investigadora </w:t>
      </w:r>
    </w:p>
    <w:p w:rsidR="00974E5F" w:rsidRDefault="002C61A3" w:rsidP="002C61A3">
      <w:pPr>
        <w:ind w:left="1134" w:right="899"/>
        <w:jc w:val="both"/>
        <w:rPr>
          <w:rFonts w:ascii="Palatino Linotype" w:hAnsi="Palatino Linotype" w:cs="Arial"/>
          <w:i/>
          <w:sz w:val="22"/>
          <w:szCs w:val="22"/>
          <w:lang w:eastAsia="es-MX"/>
        </w:rPr>
      </w:pPr>
      <w:r w:rsidRPr="002C61A3">
        <w:rPr>
          <w:rFonts w:ascii="Palatino Linotype" w:hAnsi="Palatino Linotype" w:cs="Arial"/>
          <w:i/>
          <w:sz w:val="22"/>
          <w:szCs w:val="22"/>
          <w:lang w:eastAsia="es-MX"/>
        </w:rPr>
        <w:t xml:space="preserve">12.2. Autoridad Substanciadora </w:t>
      </w:r>
    </w:p>
    <w:p w:rsidR="00974E5F" w:rsidRDefault="002C61A3" w:rsidP="002C61A3">
      <w:pPr>
        <w:ind w:left="1134" w:right="899"/>
        <w:jc w:val="both"/>
        <w:rPr>
          <w:rFonts w:ascii="Palatino Linotype" w:hAnsi="Palatino Linotype" w:cs="Arial"/>
          <w:i/>
          <w:sz w:val="22"/>
          <w:szCs w:val="22"/>
          <w:lang w:eastAsia="es-MX"/>
        </w:rPr>
      </w:pPr>
      <w:r w:rsidRPr="002C61A3">
        <w:rPr>
          <w:rFonts w:ascii="Palatino Linotype" w:hAnsi="Palatino Linotype" w:cs="Arial"/>
          <w:i/>
          <w:sz w:val="22"/>
          <w:szCs w:val="22"/>
          <w:lang w:eastAsia="es-MX"/>
        </w:rPr>
        <w:t xml:space="preserve">12.3. Autoridad Resolutora </w:t>
      </w:r>
    </w:p>
    <w:p w:rsidR="002C61A3" w:rsidRDefault="002C61A3" w:rsidP="002C61A3">
      <w:pPr>
        <w:ind w:left="1134" w:right="899"/>
        <w:jc w:val="both"/>
        <w:rPr>
          <w:rFonts w:ascii="Palatino Linotype" w:hAnsi="Palatino Linotype" w:cs="Arial"/>
          <w:i/>
          <w:sz w:val="22"/>
          <w:szCs w:val="22"/>
          <w:lang w:eastAsia="es-MX"/>
        </w:rPr>
      </w:pPr>
      <w:r w:rsidRPr="002C61A3">
        <w:rPr>
          <w:rFonts w:ascii="Palatino Linotype" w:hAnsi="Palatino Linotype" w:cs="Arial"/>
          <w:i/>
          <w:sz w:val="22"/>
          <w:szCs w:val="22"/>
          <w:lang w:eastAsia="es-MX"/>
        </w:rPr>
        <w:t>12.4. Área de Auditoría</w:t>
      </w:r>
    </w:p>
    <w:p w:rsidR="00974E5F" w:rsidRDefault="00974E5F" w:rsidP="00974E5F">
      <w:pPr>
        <w:ind w:left="1134" w:right="899"/>
        <w:jc w:val="both"/>
        <w:rPr>
          <w:rFonts w:ascii="Palatino Linotype" w:hAnsi="Palatino Linotype" w:cs="Arial"/>
          <w:i/>
          <w:sz w:val="22"/>
          <w:szCs w:val="22"/>
          <w:lang w:eastAsia="es-MX"/>
        </w:rPr>
      </w:pPr>
      <w:r w:rsidRPr="00974E5F">
        <w:rPr>
          <w:rFonts w:ascii="Palatino Linotype" w:hAnsi="Palatino Linotype" w:cs="Arial"/>
          <w:i/>
          <w:sz w:val="22"/>
          <w:szCs w:val="22"/>
          <w:lang w:eastAsia="es-MX"/>
        </w:rPr>
        <w:t xml:space="preserve">12.5. Contraloría Social y Atención Ciudadana </w:t>
      </w:r>
    </w:p>
    <w:p w:rsidR="00974E5F" w:rsidRDefault="00974E5F" w:rsidP="00974E5F">
      <w:pPr>
        <w:ind w:left="1134" w:right="899"/>
        <w:jc w:val="both"/>
        <w:rPr>
          <w:rFonts w:ascii="Palatino Linotype" w:hAnsi="Palatino Linotype" w:cs="Arial"/>
          <w:i/>
          <w:sz w:val="22"/>
          <w:szCs w:val="22"/>
          <w:lang w:eastAsia="es-MX"/>
        </w:rPr>
      </w:pPr>
      <w:r w:rsidRPr="00974E5F">
        <w:rPr>
          <w:rFonts w:ascii="Palatino Linotype" w:hAnsi="Palatino Linotype" w:cs="Arial"/>
          <w:i/>
          <w:sz w:val="22"/>
          <w:szCs w:val="22"/>
          <w:lang w:eastAsia="es-MX"/>
        </w:rPr>
        <w:t xml:space="preserve">13. Tesorería Municipal </w:t>
      </w:r>
    </w:p>
    <w:p w:rsidR="00974E5F" w:rsidRDefault="00974E5F" w:rsidP="00974E5F">
      <w:pPr>
        <w:ind w:left="1134" w:right="899"/>
        <w:jc w:val="both"/>
        <w:rPr>
          <w:rFonts w:ascii="Palatino Linotype" w:hAnsi="Palatino Linotype" w:cs="Arial"/>
          <w:i/>
          <w:sz w:val="22"/>
          <w:szCs w:val="22"/>
          <w:lang w:eastAsia="es-MX"/>
        </w:rPr>
      </w:pPr>
      <w:r w:rsidRPr="00974E5F">
        <w:rPr>
          <w:rFonts w:ascii="Palatino Linotype" w:hAnsi="Palatino Linotype" w:cs="Arial"/>
          <w:i/>
          <w:sz w:val="22"/>
          <w:szCs w:val="22"/>
          <w:lang w:eastAsia="es-MX"/>
        </w:rPr>
        <w:t xml:space="preserve">13.1. De la Hacienda Municipal </w:t>
      </w:r>
    </w:p>
    <w:p w:rsidR="00974E5F" w:rsidRDefault="00974E5F" w:rsidP="00974E5F">
      <w:pPr>
        <w:ind w:left="1134" w:right="899"/>
        <w:jc w:val="both"/>
        <w:rPr>
          <w:rFonts w:ascii="Palatino Linotype" w:hAnsi="Palatino Linotype" w:cs="Arial"/>
          <w:i/>
          <w:sz w:val="22"/>
          <w:szCs w:val="22"/>
          <w:lang w:eastAsia="es-MX"/>
        </w:rPr>
      </w:pPr>
      <w:r w:rsidRPr="00974E5F">
        <w:rPr>
          <w:rFonts w:ascii="Palatino Linotype" w:hAnsi="Palatino Linotype" w:cs="Arial"/>
          <w:i/>
          <w:sz w:val="22"/>
          <w:szCs w:val="22"/>
          <w:lang w:eastAsia="es-MX"/>
        </w:rPr>
        <w:t xml:space="preserve">13.2. Coordinación de Catastro </w:t>
      </w:r>
    </w:p>
    <w:p w:rsidR="00974E5F" w:rsidRPr="00974E5F" w:rsidRDefault="00974E5F" w:rsidP="00974E5F">
      <w:pPr>
        <w:ind w:left="1134" w:right="899"/>
        <w:jc w:val="both"/>
        <w:rPr>
          <w:rFonts w:ascii="Palatino Linotype" w:hAnsi="Palatino Linotype" w:cs="Arial"/>
          <w:b/>
          <w:i/>
          <w:sz w:val="22"/>
          <w:szCs w:val="22"/>
          <w:lang w:eastAsia="es-MX"/>
        </w:rPr>
      </w:pPr>
      <w:r w:rsidRPr="00974E5F">
        <w:rPr>
          <w:rFonts w:ascii="Palatino Linotype" w:hAnsi="Palatino Linotype" w:cs="Arial"/>
          <w:b/>
          <w:i/>
          <w:sz w:val="22"/>
          <w:szCs w:val="22"/>
          <w:lang w:eastAsia="es-MX"/>
        </w:rPr>
        <w:t xml:space="preserve">14. Dirección de Administración </w:t>
      </w:r>
    </w:p>
    <w:p w:rsidR="00974E5F" w:rsidRDefault="00974E5F" w:rsidP="00974E5F">
      <w:pPr>
        <w:ind w:left="1134" w:right="899"/>
        <w:jc w:val="both"/>
        <w:rPr>
          <w:rFonts w:ascii="Palatino Linotype" w:hAnsi="Palatino Linotype" w:cs="Arial"/>
          <w:i/>
          <w:sz w:val="22"/>
          <w:szCs w:val="22"/>
          <w:lang w:eastAsia="es-MX"/>
        </w:rPr>
      </w:pPr>
      <w:r w:rsidRPr="00974E5F">
        <w:rPr>
          <w:rFonts w:ascii="Palatino Linotype" w:hAnsi="Palatino Linotype" w:cs="Arial"/>
          <w:i/>
          <w:sz w:val="22"/>
          <w:szCs w:val="22"/>
          <w:lang w:eastAsia="es-MX"/>
        </w:rPr>
        <w:t xml:space="preserve">14.1. Coordinación de Adquisiciones y Recursos Materiales </w:t>
      </w:r>
    </w:p>
    <w:p w:rsidR="00974E5F" w:rsidRDefault="00974E5F" w:rsidP="00974E5F">
      <w:pPr>
        <w:ind w:left="1134" w:right="899"/>
        <w:jc w:val="both"/>
        <w:rPr>
          <w:rFonts w:ascii="Palatino Linotype" w:hAnsi="Palatino Linotype" w:cs="Arial"/>
          <w:i/>
          <w:sz w:val="22"/>
          <w:szCs w:val="22"/>
          <w:lang w:eastAsia="es-MX"/>
        </w:rPr>
      </w:pPr>
      <w:r w:rsidRPr="00974E5F">
        <w:rPr>
          <w:rFonts w:ascii="Palatino Linotype" w:hAnsi="Palatino Linotype" w:cs="Arial"/>
          <w:i/>
          <w:sz w:val="22"/>
          <w:szCs w:val="22"/>
          <w:lang w:eastAsia="es-MX"/>
        </w:rPr>
        <w:t xml:space="preserve">15. Dirección de Obras Públicas </w:t>
      </w:r>
    </w:p>
    <w:p w:rsidR="00974E5F" w:rsidRDefault="00974E5F" w:rsidP="00974E5F">
      <w:pPr>
        <w:ind w:left="1134" w:right="899"/>
        <w:jc w:val="both"/>
        <w:rPr>
          <w:rFonts w:ascii="Palatino Linotype" w:hAnsi="Palatino Linotype" w:cs="Arial"/>
          <w:i/>
          <w:sz w:val="22"/>
          <w:szCs w:val="22"/>
          <w:lang w:eastAsia="es-MX"/>
        </w:rPr>
      </w:pPr>
      <w:r w:rsidRPr="00974E5F">
        <w:rPr>
          <w:rFonts w:ascii="Palatino Linotype" w:hAnsi="Palatino Linotype" w:cs="Arial"/>
          <w:i/>
          <w:sz w:val="22"/>
          <w:szCs w:val="22"/>
          <w:lang w:eastAsia="es-MX"/>
        </w:rPr>
        <w:t xml:space="preserve">15.1. Coordinación de Planeación y Evaluación de Obra Pública </w:t>
      </w:r>
    </w:p>
    <w:p w:rsidR="00974E5F" w:rsidRDefault="00974E5F" w:rsidP="00974E5F">
      <w:pPr>
        <w:ind w:left="1134" w:right="899"/>
        <w:jc w:val="both"/>
        <w:rPr>
          <w:rFonts w:ascii="Palatino Linotype" w:hAnsi="Palatino Linotype" w:cs="Arial"/>
          <w:i/>
          <w:sz w:val="22"/>
          <w:szCs w:val="22"/>
          <w:lang w:eastAsia="es-MX"/>
        </w:rPr>
      </w:pPr>
      <w:r w:rsidRPr="00974E5F">
        <w:rPr>
          <w:rFonts w:ascii="Palatino Linotype" w:hAnsi="Palatino Linotype" w:cs="Arial"/>
          <w:i/>
          <w:sz w:val="22"/>
          <w:szCs w:val="22"/>
          <w:lang w:eastAsia="es-MX"/>
        </w:rPr>
        <w:t xml:space="preserve">15.2. Coordinación de Proyectos de Obra Pública </w:t>
      </w:r>
    </w:p>
    <w:p w:rsidR="00974E5F" w:rsidRDefault="00974E5F" w:rsidP="00974E5F">
      <w:pPr>
        <w:ind w:left="1134" w:right="899"/>
        <w:jc w:val="both"/>
        <w:rPr>
          <w:rFonts w:ascii="Palatino Linotype" w:hAnsi="Palatino Linotype" w:cs="Arial"/>
          <w:i/>
          <w:sz w:val="22"/>
          <w:szCs w:val="22"/>
          <w:lang w:eastAsia="es-MX"/>
        </w:rPr>
      </w:pPr>
      <w:r w:rsidRPr="00974E5F">
        <w:rPr>
          <w:rFonts w:ascii="Palatino Linotype" w:hAnsi="Palatino Linotype" w:cs="Arial"/>
          <w:i/>
          <w:sz w:val="22"/>
          <w:szCs w:val="22"/>
          <w:lang w:eastAsia="es-MX"/>
        </w:rPr>
        <w:t xml:space="preserve">15.3. Coordinación de Residencia y Supervisión </w:t>
      </w:r>
    </w:p>
    <w:p w:rsidR="00974E5F" w:rsidRDefault="00974E5F" w:rsidP="00974E5F">
      <w:pPr>
        <w:ind w:left="1134" w:right="899"/>
        <w:jc w:val="both"/>
        <w:rPr>
          <w:rFonts w:ascii="Palatino Linotype" w:hAnsi="Palatino Linotype" w:cs="Arial"/>
          <w:i/>
          <w:sz w:val="22"/>
          <w:szCs w:val="22"/>
          <w:lang w:eastAsia="es-MX"/>
        </w:rPr>
      </w:pPr>
      <w:r w:rsidRPr="00974E5F">
        <w:rPr>
          <w:rFonts w:ascii="Palatino Linotype" w:hAnsi="Palatino Linotype" w:cs="Arial"/>
          <w:i/>
          <w:sz w:val="22"/>
          <w:szCs w:val="22"/>
          <w:lang w:eastAsia="es-MX"/>
        </w:rPr>
        <w:t xml:space="preserve">15.4. Coordinación de Precios Unitarios </w:t>
      </w:r>
    </w:p>
    <w:p w:rsidR="00974E5F" w:rsidRDefault="00974E5F" w:rsidP="00974E5F">
      <w:pPr>
        <w:ind w:left="1134" w:right="899"/>
        <w:jc w:val="both"/>
        <w:rPr>
          <w:rFonts w:ascii="Palatino Linotype" w:hAnsi="Palatino Linotype" w:cs="Arial"/>
          <w:i/>
          <w:sz w:val="22"/>
          <w:szCs w:val="22"/>
          <w:lang w:eastAsia="es-MX"/>
        </w:rPr>
      </w:pPr>
      <w:r w:rsidRPr="00974E5F">
        <w:rPr>
          <w:rFonts w:ascii="Palatino Linotype" w:hAnsi="Palatino Linotype" w:cs="Arial"/>
          <w:i/>
          <w:sz w:val="22"/>
          <w:szCs w:val="22"/>
          <w:lang w:eastAsia="es-MX"/>
        </w:rPr>
        <w:t xml:space="preserve">15.5. Coordinación de Concursos y Contratos </w:t>
      </w:r>
    </w:p>
    <w:p w:rsidR="00974E5F" w:rsidRDefault="00974E5F" w:rsidP="00974E5F">
      <w:pPr>
        <w:ind w:left="1134" w:right="899"/>
        <w:jc w:val="both"/>
        <w:rPr>
          <w:rFonts w:ascii="Palatino Linotype" w:hAnsi="Palatino Linotype" w:cs="Arial"/>
          <w:i/>
          <w:sz w:val="22"/>
          <w:szCs w:val="22"/>
          <w:lang w:eastAsia="es-MX"/>
        </w:rPr>
      </w:pPr>
      <w:r w:rsidRPr="00974E5F">
        <w:rPr>
          <w:rFonts w:ascii="Palatino Linotype" w:hAnsi="Palatino Linotype" w:cs="Arial"/>
          <w:i/>
          <w:sz w:val="22"/>
          <w:szCs w:val="22"/>
          <w:lang w:eastAsia="es-MX"/>
        </w:rPr>
        <w:t xml:space="preserve">16. Dirección de Desarrollo Urbano </w:t>
      </w:r>
    </w:p>
    <w:p w:rsidR="00974E5F" w:rsidRDefault="00974E5F" w:rsidP="00974E5F">
      <w:pPr>
        <w:ind w:left="1134" w:right="899"/>
        <w:jc w:val="both"/>
        <w:rPr>
          <w:rFonts w:ascii="Palatino Linotype" w:hAnsi="Palatino Linotype" w:cs="Arial"/>
          <w:i/>
          <w:sz w:val="22"/>
          <w:szCs w:val="22"/>
          <w:lang w:eastAsia="es-MX"/>
        </w:rPr>
      </w:pPr>
      <w:r w:rsidRPr="00974E5F">
        <w:rPr>
          <w:rFonts w:ascii="Palatino Linotype" w:hAnsi="Palatino Linotype" w:cs="Arial"/>
          <w:i/>
          <w:sz w:val="22"/>
          <w:szCs w:val="22"/>
          <w:lang w:eastAsia="es-MX"/>
        </w:rPr>
        <w:t xml:space="preserve">16.1. Licencias </w:t>
      </w:r>
    </w:p>
    <w:p w:rsidR="00974E5F" w:rsidRDefault="00974E5F" w:rsidP="00974E5F">
      <w:pPr>
        <w:ind w:left="1134" w:right="899"/>
        <w:jc w:val="both"/>
        <w:rPr>
          <w:rFonts w:ascii="Palatino Linotype" w:hAnsi="Palatino Linotype" w:cs="Arial"/>
          <w:i/>
          <w:sz w:val="22"/>
          <w:szCs w:val="22"/>
          <w:lang w:eastAsia="es-MX"/>
        </w:rPr>
      </w:pPr>
      <w:r w:rsidRPr="00974E5F">
        <w:rPr>
          <w:rFonts w:ascii="Palatino Linotype" w:hAnsi="Palatino Linotype" w:cs="Arial"/>
          <w:i/>
          <w:sz w:val="22"/>
          <w:szCs w:val="22"/>
          <w:lang w:eastAsia="es-MX"/>
        </w:rPr>
        <w:t xml:space="preserve">16.2. Patrimonio Histórico y Urbanístico </w:t>
      </w:r>
    </w:p>
    <w:p w:rsidR="00974E5F" w:rsidRDefault="00974E5F" w:rsidP="00974E5F">
      <w:pPr>
        <w:ind w:left="1134" w:right="899"/>
        <w:jc w:val="both"/>
        <w:rPr>
          <w:rFonts w:ascii="Palatino Linotype" w:hAnsi="Palatino Linotype" w:cs="Arial"/>
          <w:i/>
          <w:sz w:val="22"/>
          <w:szCs w:val="22"/>
          <w:lang w:eastAsia="es-MX"/>
        </w:rPr>
      </w:pPr>
      <w:r w:rsidRPr="00974E5F">
        <w:rPr>
          <w:rFonts w:ascii="Palatino Linotype" w:hAnsi="Palatino Linotype" w:cs="Arial"/>
          <w:i/>
          <w:sz w:val="22"/>
          <w:szCs w:val="22"/>
          <w:lang w:eastAsia="es-MX"/>
        </w:rPr>
        <w:t xml:space="preserve">16.3. Planeación Urbana y Territorial </w:t>
      </w:r>
    </w:p>
    <w:p w:rsidR="00974E5F" w:rsidRDefault="00974E5F" w:rsidP="00974E5F">
      <w:pPr>
        <w:ind w:left="1134" w:right="899"/>
        <w:jc w:val="both"/>
        <w:rPr>
          <w:rFonts w:ascii="Palatino Linotype" w:hAnsi="Palatino Linotype" w:cs="Arial"/>
          <w:i/>
          <w:sz w:val="22"/>
          <w:szCs w:val="22"/>
          <w:lang w:eastAsia="es-MX"/>
        </w:rPr>
      </w:pPr>
      <w:r w:rsidRPr="00974E5F">
        <w:rPr>
          <w:rFonts w:ascii="Palatino Linotype" w:hAnsi="Palatino Linotype" w:cs="Arial"/>
          <w:i/>
          <w:sz w:val="22"/>
          <w:szCs w:val="22"/>
          <w:lang w:eastAsia="es-MX"/>
        </w:rPr>
        <w:t xml:space="preserve">17. Dirección de Gobernación </w:t>
      </w:r>
    </w:p>
    <w:p w:rsidR="00974E5F" w:rsidRDefault="00974E5F" w:rsidP="00974E5F">
      <w:pPr>
        <w:ind w:left="1134" w:right="899"/>
        <w:jc w:val="both"/>
        <w:rPr>
          <w:rFonts w:ascii="Palatino Linotype" w:hAnsi="Palatino Linotype" w:cs="Arial"/>
          <w:i/>
          <w:sz w:val="22"/>
          <w:szCs w:val="22"/>
          <w:lang w:eastAsia="es-MX"/>
        </w:rPr>
      </w:pPr>
      <w:r w:rsidRPr="00974E5F">
        <w:rPr>
          <w:rFonts w:ascii="Palatino Linotype" w:hAnsi="Palatino Linotype" w:cs="Arial"/>
          <w:i/>
          <w:sz w:val="22"/>
          <w:szCs w:val="22"/>
          <w:lang w:eastAsia="es-MX"/>
        </w:rPr>
        <w:t xml:space="preserve">17.1. Verificación e Inspección Comercial y de Mercados </w:t>
      </w:r>
    </w:p>
    <w:p w:rsidR="00974E5F" w:rsidRDefault="00974E5F" w:rsidP="00974E5F">
      <w:pPr>
        <w:ind w:left="1134" w:right="899"/>
        <w:jc w:val="both"/>
        <w:rPr>
          <w:rFonts w:ascii="Palatino Linotype" w:hAnsi="Palatino Linotype" w:cs="Arial"/>
          <w:i/>
          <w:sz w:val="22"/>
          <w:szCs w:val="22"/>
          <w:lang w:eastAsia="es-MX"/>
        </w:rPr>
      </w:pPr>
      <w:r w:rsidRPr="00974E5F">
        <w:rPr>
          <w:rFonts w:ascii="Palatino Linotype" w:hAnsi="Palatino Linotype" w:cs="Arial"/>
          <w:i/>
          <w:sz w:val="22"/>
          <w:szCs w:val="22"/>
          <w:lang w:eastAsia="es-MX"/>
        </w:rPr>
        <w:t xml:space="preserve">17.2. Reglamentación Municipal </w:t>
      </w:r>
    </w:p>
    <w:p w:rsidR="00974E5F" w:rsidRDefault="00974E5F" w:rsidP="00974E5F">
      <w:pPr>
        <w:ind w:left="1134" w:right="899"/>
        <w:jc w:val="both"/>
        <w:rPr>
          <w:rFonts w:ascii="Palatino Linotype" w:hAnsi="Palatino Linotype" w:cs="Arial"/>
          <w:i/>
          <w:sz w:val="22"/>
          <w:szCs w:val="22"/>
          <w:lang w:eastAsia="es-MX"/>
        </w:rPr>
      </w:pPr>
      <w:r w:rsidRPr="00974E5F">
        <w:rPr>
          <w:rFonts w:ascii="Palatino Linotype" w:hAnsi="Palatino Linotype" w:cs="Arial"/>
          <w:i/>
          <w:sz w:val="22"/>
          <w:szCs w:val="22"/>
          <w:lang w:eastAsia="es-MX"/>
        </w:rPr>
        <w:t xml:space="preserve">17.3. Vialidad y Transporte </w:t>
      </w:r>
    </w:p>
    <w:p w:rsidR="00974E5F" w:rsidRDefault="00974E5F" w:rsidP="00974E5F">
      <w:pPr>
        <w:ind w:left="1134" w:right="899"/>
        <w:jc w:val="both"/>
        <w:rPr>
          <w:rFonts w:ascii="Palatino Linotype" w:hAnsi="Palatino Linotype" w:cs="Arial"/>
          <w:i/>
          <w:sz w:val="22"/>
          <w:szCs w:val="22"/>
          <w:lang w:eastAsia="es-MX"/>
        </w:rPr>
      </w:pPr>
      <w:r w:rsidRPr="00974E5F">
        <w:rPr>
          <w:rFonts w:ascii="Palatino Linotype" w:hAnsi="Palatino Linotype" w:cs="Arial"/>
          <w:i/>
          <w:sz w:val="22"/>
          <w:szCs w:val="22"/>
          <w:lang w:eastAsia="es-MX"/>
        </w:rPr>
        <w:t xml:space="preserve">18. Dirección de Servicios Públicos </w:t>
      </w:r>
    </w:p>
    <w:p w:rsidR="00974E5F" w:rsidRDefault="00974E5F" w:rsidP="00974E5F">
      <w:pPr>
        <w:ind w:left="1134" w:right="899"/>
        <w:jc w:val="both"/>
        <w:rPr>
          <w:rFonts w:ascii="Palatino Linotype" w:hAnsi="Palatino Linotype" w:cs="Arial"/>
          <w:i/>
          <w:sz w:val="22"/>
          <w:szCs w:val="22"/>
          <w:lang w:eastAsia="es-MX"/>
        </w:rPr>
      </w:pPr>
      <w:r w:rsidRPr="00974E5F">
        <w:rPr>
          <w:rFonts w:ascii="Palatino Linotype" w:hAnsi="Palatino Linotype" w:cs="Arial"/>
          <w:i/>
          <w:sz w:val="22"/>
          <w:szCs w:val="22"/>
          <w:lang w:eastAsia="es-MX"/>
        </w:rPr>
        <w:t xml:space="preserve">18.1. Limpia, Recolección y Disposición de Residuos Sólidos </w:t>
      </w:r>
    </w:p>
    <w:p w:rsidR="00974E5F" w:rsidRDefault="00974E5F" w:rsidP="00974E5F">
      <w:pPr>
        <w:ind w:left="1134" w:right="899"/>
        <w:jc w:val="both"/>
        <w:rPr>
          <w:rFonts w:ascii="Palatino Linotype" w:hAnsi="Palatino Linotype" w:cs="Arial"/>
          <w:i/>
          <w:sz w:val="22"/>
          <w:szCs w:val="22"/>
          <w:lang w:eastAsia="es-MX"/>
        </w:rPr>
      </w:pPr>
      <w:r w:rsidRPr="00974E5F">
        <w:rPr>
          <w:rFonts w:ascii="Palatino Linotype" w:hAnsi="Palatino Linotype" w:cs="Arial"/>
          <w:i/>
          <w:sz w:val="22"/>
          <w:szCs w:val="22"/>
          <w:lang w:eastAsia="es-MX"/>
        </w:rPr>
        <w:t xml:space="preserve">18.2. Alumbrado Público </w:t>
      </w:r>
    </w:p>
    <w:p w:rsidR="00974E5F" w:rsidRDefault="00974E5F" w:rsidP="00974E5F">
      <w:pPr>
        <w:ind w:left="1134" w:right="899"/>
        <w:jc w:val="both"/>
        <w:rPr>
          <w:rFonts w:ascii="Palatino Linotype" w:hAnsi="Palatino Linotype" w:cs="Arial"/>
          <w:i/>
          <w:sz w:val="22"/>
          <w:szCs w:val="22"/>
          <w:lang w:eastAsia="es-MX"/>
        </w:rPr>
      </w:pPr>
      <w:r w:rsidRPr="00974E5F">
        <w:rPr>
          <w:rFonts w:ascii="Palatino Linotype" w:hAnsi="Palatino Linotype" w:cs="Arial"/>
          <w:i/>
          <w:sz w:val="22"/>
          <w:szCs w:val="22"/>
          <w:lang w:eastAsia="es-MX"/>
        </w:rPr>
        <w:t xml:space="preserve">18.3. Parques y Jardines </w:t>
      </w:r>
    </w:p>
    <w:p w:rsidR="00974E5F" w:rsidRDefault="00974E5F" w:rsidP="00974E5F">
      <w:pPr>
        <w:ind w:left="1134" w:right="899"/>
        <w:jc w:val="both"/>
        <w:rPr>
          <w:rFonts w:ascii="Palatino Linotype" w:hAnsi="Palatino Linotype" w:cs="Arial"/>
          <w:i/>
          <w:sz w:val="22"/>
          <w:szCs w:val="22"/>
          <w:lang w:eastAsia="es-MX"/>
        </w:rPr>
      </w:pPr>
      <w:r w:rsidRPr="00974E5F">
        <w:rPr>
          <w:rFonts w:ascii="Palatino Linotype" w:hAnsi="Palatino Linotype" w:cs="Arial"/>
          <w:i/>
          <w:sz w:val="22"/>
          <w:szCs w:val="22"/>
          <w:lang w:eastAsia="es-MX"/>
        </w:rPr>
        <w:t xml:space="preserve">18.4. Panteones </w:t>
      </w:r>
    </w:p>
    <w:p w:rsidR="00974E5F" w:rsidRDefault="00974E5F" w:rsidP="00974E5F">
      <w:pPr>
        <w:ind w:left="1134" w:right="899"/>
        <w:jc w:val="both"/>
        <w:rPr>
          <w:rFonts w:ascii="Palatino Linotype" w:hAnsi="Palatino Linotype" w:cs="Arial"/>
          <w:i/>
          <w:sz w:val="22"/>
          <w:szCs w:val="22"/>
          <w:lang w:eastAsia="es-MX"/>
        </w:rPr>
      </w:pPr>
      <w:r w:rsidRPr="00974E5F">
        <w:rPr>
          <w:rFonts w:ascii="Palatino Linotype" w:hAnsi="Palatino Linotype" w:cs="Arial"/>
          <w:i/>
          <w:sz w:val="22"/>
          <w:szCs w:val="22"/>
          <w:lang w:eastAsia="es-MX"/>
        </w:rPr>
        <w:t xml:space="preserve">18.5. Rastro municipal </w:t>
      </w:r>
    </w:p>
    <w:p w:rsidR="00974E5F" w:rsidRDefault="00974E5F" w:rsidP="00974E5F">
      <w:pPr>
        <w:ind w:left="1134" w:right="899"/>
        <w:jc w:val="both"/>
        <w:rPr>
          <w:rFonts w:ascii="Palatino Linotype" w:hAnsi="Palatino Linotype" w:cs="Arial"/>
          <w:i/>
          <w:sz w:val="22"/>
          <w:szCs w:val="22"/>
          <w:lang w:eastAsia="es-MX"/>
        </w:rPr>
      </w:pPr>
      <w:r w:rsidRPr="00974E5F">
        <w:rPr>
          <w:rFonts w:ascii="Palatino Linotype" w:hAnsi="Palatino Linotype" w:cs="Arial"/>
          <w:i/>
          <w:sz w:val="22"/>
          <w:szCs w:val="22"/>
          <w:lang w:eastAsia="es-MX"/>
        </w:rPr>
        <w:t xml:space="preserve">19. Dirección de Desarrollo Social </w:t>
      </w:r>
    </w:p>
    <w:p w:rsidR="00974E5F" w:rsidRDefault="00974E5F" w:rsidP="00974E5F">
      <w:pPr>
        <w:ind w:left="1134" w:right="899"/>
        <w:jc w:val="both"/>
        <w:rPr>
          <w:rFonts w:ascii="Palatino Linotype" w:hAnsi="Palatino Linotype" w:cs="Arial"/>
          <w:i/>
          <w:sz w:val="22"/>
          <w:szCs w:val="22"/>
          <w:lang w:eastAsia="es-MX"/>
        </w:rPr>
      </w:pPr>
      <w:r w:rsidRPr="00974E5F">
        <w:rPr>
          <w:rFonts w:ascii="Palatino Linotype" w:hAnsi="Palatino Linotype" w:cs="Arial"/>
          <w:i/>
          <w:sz w:val="22"/>
          <w:szCs w:val="22"/>
          <w:lang w:eastAsia="es-MX"/>
        </w:rPr>
        <w:t xml:space="preserve">19.1. Coordinación de Salud </w:t>
      </w:r>
    </w:p>
    <w:p w:rsidR="00974E5F" w:rsidRDefault="00974E5F" w:rsidP="00974E5F">
      <w:pPr>
        <w:ind w:left="1134" w:right="899"/>
        <w:jc w:val="both"/>
        <w:rPr>
          <w:rFonts w:ascii="Palatino Linotype" w:hAnsi="Palatino Linotype" w:cs="Arial"/>
          <w:i/>
          <w:sz w:val="22"/>
          <w:szCs w:val="22"/>
          <w:lang w:eastAsia="es-MX"/>
        </w:rPr>
      </w:pPr>
      <w:r w:rsidRPr="00974E5F">
        <w:rPr>
          <w:rFonts w:ascii="Palatino Linotype" w:hAnsi="Palatino Linotype" w:cs="Arial"/>
          <w:i/>
          <w:sz w:val="22"/>
          <w:szCs w:val="22"/>
          <w:lang w:eastAsia="es-MX"/>
        </w:rPr>
        <w:t xml:space="preserve">19.2. Coordinación de Educación </w:t>
      </w:r>
    </w:p>
    <w:p w:rsidR="00974E5F" w:rsidRDefault="00974E5F" w:rsidP="00974E5F">
      <w:pPr>
        <w:ind w:left="1134" w:right="899"/>
        <w:jc w:val="both"/>
        <w:rPr>
          <w:rFonts w:ascii="Palatino Linotype" w:hAnsi="Palatino Linotype" w:cs="Arial"/>
          <w:i/>
          <w:sz w:val="22"/>
          <w:szCs w:val="22"/>
          <w:lang w:eastAsia="es-MX"/>
        </w:rPr>
      </w:pPr>
      <w:r w:rsidRPr="00974E5F">
        <w:rPr>
          <w:rFonts w:ascii="Palatino Linotype" w:hAnsi="Palatino Linotype" w:cs="Arial"/>
          <w:i/>
          <w:sz w:val="22"/>
          <w:szCs w:val="22"/>
          <w:lang w:eastAsia="es-MX"/>
        </w:rPr>
        <w:t xml:space="preserve">19.3. Coordinación de la Juventud </w:t>
      </w:r>
    </w:p>
    <w:p w:rsidR="00974E5F" w:rsidRDefault="00974E5F" w:rsidP="00974E5F">
      <w:pPr>
        <w:ind w:left="1134" w:right="899"/>
        <w:jc w:val="both"/>
        <w:rPr>
          <w:rFonts w:ascii="Palatino Linotype" w:hAnsi="Palatino Linotype" w:cs="Arial"/>
          <w:i/>
          <w:sz w:val="22"/>
          <w:szCs w:val="22"/>
          <w:lang w:eastAsia="es-MX"/>
        </w:rPr>
      </w:pPr>
      <w:r w:rsidRPr="00974E5F">
        <w:rPr>
          <w:rFonts w:ascii="Palatino Linotype" w:hAnsi="Palatino Linotype" w:cs="Arial"/>
          <w:i/>
          <w:sz w:val="22"/>
          <w:szCs w:val="22"/>
          <w:lang w:eastAsia="es-MX"/>
        </w:rPr>
        <w:t xml:space="preserve">19.4. Coordinación de Asuntos Indígenas </w:t>
      </w:r>
    </w:p>
    <w:p w:rsidR="00974E5F" w:rsidRDefault="00974E5F" w:rsidP="00974E5F">
      <w:pPr>
        <w:ind w:left="1134" w:right="899"/>
        <w:jc w:val="both"/>
        <w:rPr>
          <w:rFonts w:ascii="Palatino Linotype" w:hAnsi="Palatino Linotype" w:cs="Arial"/>
          <w:i/>
          <w:sz w:val="22"/>
          <w:szCs w:val="22"/>
          <w:lang w:eastAsia="es-MX"/>
        </w:rPr>
      </w:pPr>
      <w:r w:rsidRPr="00974E5F">
        <w:rPr>
          <w:rFonts w:ascii="Palatino Linotype" w:hAnsi="Palatino Linotype" w:cs="Arial"/>
          <w:i/>
          <w:sz w:val="22"/>
          <w:szCs w:val="22"/>
          <w:lang w:eastAsia="es-MX"/>
        </w:rPr>
        <w:lastRenderedPageBreak/>
        <w:t xml:space="preserve">19.5. Coordinación de Atención a Migrantes </w:t>
      </w:r>
    </w:p>
    <w:p w:rsidR="00974E5F" w:rsidRDefault="00974E5F" w:rsidP="00974E5F">
      <w:pPr>
        <w:ind w:left="1134" w:right="899"/>
        <w:jc w:val="both"/>
        <w:rPr>
          <w:rFonts w:ascii="Palatino Linotype" w:hAnsi="Palatino Linotype" w:cs="Arial"/>
          <w:i/>
          <w:sz w:val="22"/>
          <w:szCs w:val="22"/>
          <w:lang w:eastAsia="es-MX"/>
        </w:rPr>
      </w:pPr>
      <w:r w:rsidRPr="00974E5F">
        <w:rPr>
          <w:rFonts w:ascii="Palatino Linotype" w:hAnsi="Palatino Linotype" w:cs="Arial"/>
          <w:i/>
          <w:sz w:val="22"/>
          <w:szCs w:val="22"/>
          <w:lang w:eastAsia="es-MX"/>
        </w:rPr>
        <w:t xml:space="preserve">20. Dirección de la Mujer </w:t>
      </w:r>
    </w:p>
    <w:p w:rsidR="00974E5F" w:rsidRDefault="00974E5F" w:rsidP="00974E5F">
      <w:pPr>
        <w:ind w:left="1134" w:right="899"/>
        <w:jc w:val="both"/>
        <w:rPr>
          <w:rFonts w:ascii="Palatino Linotype" w:hAnsi="Palatino Linotype" w:cs="Arial"/>
          <w:i/>
          <w:sz w:val="22"/>
          <w:szCs w:val="22"/>
          <w:lang w:eastAsia="es-MX"/>
        </w:rPr>
      </w:pPr>
      <w:r w:rsidRPr="00974E5F">
        <w:rPr>
          <w:rFonts w:ascii="Palatino Linotype" w:hAnsi="Palatino Linotype" w:cs="Arial"/>
          <w:i/>
          <w:sz w:val="22"/>
          <w:szCs w:val="22"/>
          <w:lang w:eastAsia="es-MX"/>
        </w:rPr>
        <w:t xml:space="preserve">21. Dirección de Desarrollo Económico </w:t>
      </w:r>
    </w:p>
    <w:p w:rsidR="00974E5F" w:rsidRDefault="00974E5F" w:rsidP="00974E5F">
      <w:pPr>
        <w:ind w:left="1134" w:right="899"/>
        <w:jc w:val="both"/>
        <w:rPr>
          <w:rFonts w:ascii="Palatino Linotype" w:hAnsi="Palatino Linotype" w:cs="Arial"/>
          <w:i/>
          <w:sz w:val="22"/>
          <w:szCs w:val="22"/>
          <w:lang w:eastAsia="es-MX"/>
        </w:rPr>
      </w:pPr>
      <w:r w:rsidRPr="00974E5F">
        <w:rPr>
          <w:rFonts w:ascii="Palatino Linotype" w:hAnsi="Palatino Linotype" w:cs="Arial"/>
          <w:i/>
          <w:sz w:val="22"/>
          <w:szCs w:val="22"/>
          <w:lang w:eastAsia="es-MX"/>
        </w:rPr>
        <w:t xml:space="preserve">21.1. Permisos y Licencias </w:t>
      </w:r>
    </w:p>
    <w:p w:rsidR="00974E5F" w:rsidRDefault="00974E5F" w:rsidP="00974E5F">
      <w:pPr>
        <w:ind w:left="1134" w:right="899"/>
        <w:jc w:val="both"/>
        <w:rPr>
          <w:rFonts w:ascii="Palatino Linotype" w:hAnsi="Palatino Linotype" w:cs="Arial"/>
          <w:i/>
          <w:sz w:val="22"/>
          <w:szCs w:val="22"/>
          <w:lang w:eastAsia="es-MX"/>
        </w:rPr>
      </w:pPr>
      <w:r w:rsidRPr="00974E5F">
        <w:rPr>
          <w:rFonts w:ascii="Palatino Linotype" w:hAnsi="Palatino Linotype" w:cs="Arial"/>
          <w:i/>
          <w:sz w:val="22"/>
          <w:szCs w:val="22"/>
          <w:lang w:eastAsia="es-MX"/>
        </w:rPr>
        <w:t xml:space="preserve">21.2. Coordinación de Fomento Económico </w:t>
      </w:r>
    </w:p>
    <w:p w:rsidR="00974E5F" w:rsidRDefault="00974E5F" w:rsidP="00974E5F">
      <w:pPr>
        <w:ind w:left="1134" w:right="899"/>
        <w:jc w:val="both"/>
        <w:rPr>
          <w:rFonts w:ascii="Palatino Linotype" w:hAnsi="Palatino Linotype" w:cs="Arial"/>
          <w:i/>
          <w:sz w:val="22"/>
          <w:szCs w:val="22"/>
          <w:lang w:eastAsia="es-MX"/>
        </w:rPr>
      </w:pPr>
      <w:r w:rsidRPr="00974E5F">
        <w:rPr>
          <w:rFonts w:ascii="Palatino Linotype" w:hAnsi="Palatino Linotype" w:cs="Arial"/>
          <w:i/>
          <w:sz w:val="22"/>
          <w:szCs w:val="22"/>
          <w:lang w:eastAsia="es-MX"/>
        </w:rPr>
        <w:t xml:space="preserve">21.3. Coordinador de Comercio </w:t>
      </w:r>
    </w:p>
    <w:p w:rsidR="00974E5F" w:rsidRDefault="00974E5F" w:rsidP="00974E5F">
      <w:pPr>
        <w:ind w:left="1134" w:right="899"/>
        <w:jc w:val="both"/>
        <w:rPr>
          <w:rFonts w:ascii="Palatino Linotype" w:hAnsi="Palatino Linotype" w:cs="Arial"/>
          <w:i/>
          <w:sz w:val="22"/>
          <w:szCs w:val="22"/>
          <w:lang w:eastAsia="es-MX"/>
        </w:rPr>
      </w:pPr>
      <w:r w:rsidRPr="00974E5F">
        <w:rPr>
          <w:rFonts w:ascii="Palatino Linotype" w:hAnsi="Palatino Linotype" w:cs="Arial"/>
          <w:i/>
          <w:sz w:val="22"/>
          <w:szCs w:val="22"/>
          <w:lang w:eastAsia="es-MX"/>
        </w:rPr>
        <w:t xml:space="preserve">22. Dirección de Cultura y Turismo </w:t>
      </w:r>
    </w:p>
    <w:p w:rsidR="00974E5F" w:rsidRDefault="00974E5F" w:rsidP="00974E5F">
      <w:pPr>
        <w:ind w:left="1134" w:right="899"/>
        <w:jc w:val="both"/>
        <w:rPr>
          <w:rFonts w:ascii="Palatino Linotype" w:hAnsi="Palatino Linotype" w:cs="Arial"/>
          <w:i/>
          <w:sz w:val="22"/>
          <w:szCs w:val="22"/>
          <w:lang w:eastAsia="es-MX"/>
        </w:rPr>
      </w:pPr>
      <w:r w:rsidRPr="00974E5F">
        <w:rPr>
          <w:rFonts w:ascii="Palatino Linotype" w:hAnsi="Palatino Linotype" w:cs="Arial"/>
          <w:i/>
          <w:sz w:val="22"/>
          <w:szCs w:val="22"/>
          <w:lang w:eastAsia="es-MX"/>
        </w:rPr>
        <w:t>22.1. Coordinación de Turístico</w:t>
      </w:r>
    </w:p>
    <w:p w:rsidR="00974E5F" w:rsidRDefault="00974E5F" w:rsidP="00974E5F">
      <w:pPr>
        <w:ind w:left="1134" w:right="899"/>
        <w:jc w:val="both"/>
        <w:rPr>
          <w:rFonts w:ascii="Palatino Linotype" w:hAnsi="Palatino Linotype" w:cs="Arial"/>
          <w:i/>
          <w:sz w:val="22"/>
          <w:szCs w:val="22"/>
          <w:lang w:eastAsia="es-MX"/>
        </w:rPr>
      </w:pPr>
      <w:r w:rsidRPr="00974E5F">
        <w:rPr>
          <w:rFonts w:ascii="Palatino Linotype" w:hAnsi="Palatino Linotype" w:cs="Arial"/>
          <w:i/>
          <w:sz w:val="22"/>
          <w:szCs w:val="22"/>
          <w:lang w:eastAsia="es-MX"/>
        </w:rPr>
        <w:t xml:space="preserve">22.2. Coordinador de Fomento Artesanal </w:t>
      </w:r>
    </w:p>
    <w:p w:rsidR="00974E5F" w:rsidRDefault="00974E5F" w:rsidP="00974E5F">
      <w:pPr>
        <w:ind w:left="1134" w:right="899"/>
        <w:jc w:val="both"/>
        <w:rPr>
          <w:rFonts w:ascii="Palatino Linotype" w:hAnsi="Palatino Linotype" w:cs="Arial"/>
          <w:i/>
          <w:sz w:val="22"/>
          <w:szCs w:val="22"/>
          <w:lang w:eastAsia="es-MX"/>
        </w:rPr>
      </w:pPr>
      <w:r w:rsidRPr="00974E5F">
        <w:rPr>
          <w:rFonts w:ascii="Palatino Linotype" w:hAnsi="Palatino Linotype" w:cs="Arial"/>
          <w:i/>
          <w:sz w:val="22"/>
          <w:szCs w:val="22"/>
          <w:lang w:eastAsia="es-MX"/>
        </w:rPr>
        <w:t xml:space="preserve">22.3. Coordinador de Cultura </w:t>
      </w:r>
    </w:p>
    <w:p w:rsidR="00974E5F" w:rsidRDefault="00974E5F" w:rsidP="00974E5F">
      <w:pPr>
        <w:ind w:left="1134" w:right="899"/>
        <w:jc w:val="both"/>
        <w:rPr>
          <w:rFonts w:ascii="Palatino Linotype" w:hAnsi="Palatino Linotype" w:cs="Arial"/>
          <w:i/>
          <w:sz w:val="22"/>
          <w:szCs w:val="22"/>
          <w:lang w:eastAsia="es-MX"/>
        </w:rPr>
      </w:pPr>
      <w:r w:rsidRPr="00974E5F">
        <w:rPr>
          <w:rFonts w:ascii="Palatino Linotype" w:hAnsi="Palatino Linotype" w:cs="Arial"/>
          <w:i/>
          <w:sz w:val="22"/>
          <w:szCs w:val="22"/>
          <w:lang w:eastAsia="es-MX"/>
        </w:rPr>
        <w:t xml:space="preserve">23. Dirección de Desarrollo Agropecuario </w:t>
      </w:r>
    </w:p>
    <w:p w:rsidR="00974E5F" w:rsidRDefault="00974E5F" w:rsidP="00974E5F">
      <w:pPr>
        <w:ind w:left="1134" w:right="899"/>
        <w:jc w:val="both"/>
        <w:rPr>
          <w:rFonts w:ascii="Palatino Linotype" w:hAnsi="Palatino Linotype" w:cs="Arial"/>
          <w:i/>
          <w:sz w:val="22"/>
          <w:szCs w:val="22"/>
          <w:lang w:eastAsia="es-MX"/>
        </w:rPr>
      </w:pPr>
      <w:r w:rsidRPr="00974E5F">
        <w:rPr>
          <w:rFonts w:ascii="Palatino Linotype" w:hAnsi="Palatino Linotype" w:cs="Arial"/>
          <w:i/>
          <w:sz w:val="22"/>
          <w:szCs w:val="22"/>
          <w:lang w:eastAsia="es-MX"/>
        </w:rPr>
        <w:t xml:space="preserve">23.1. Coordinador de Ecología </w:t>
      </w:r>
    </w:p>
    <w:p w:rsidR="00974E5F" w:rsidRDefault="00974E5F" w:rsidP="00974E5F">
      <w:pPr>
        <w:ind w:left="1134" w:right="899"/>
        <w:jc w:val="both"/>
        <w:rPr>
          <w:rFonts w:ascii="Palatino Linotype" w:hAnsi="Palatino Linotype" w:cs="Arial"/>
          <w:i/>
          <w:sz w:val="22"/>
          <w:szCs w:val="22"/>
          <w:lang w:eastAsia="es-MX"/>
        </w:rPr>
      </w:pPr>
      <w:r w:rsidRPr="00974E5F">
        <w:rPr>
          <w:rFonts w:ascii="Palatino Linotype" w:hAnsi="Palatino Linotype" w:cs="Arial"/>
          <w:i/>
          <w:sz w:val="22"/>
          <w:szCs w:val="22"/>
          <w:lang w:eastAsia="es-MX"/>
        </w:rPr>
        <w:t xml:space="preserve">24. Comisaría de Seguridad Pública, Protección Civil y Bomberos </w:t>
      </w:r>
    </w:p>
    <w:p w:rsidR="00974E5F" w:rsidRDefault="00974E5F" w:rsidP="00974E5F">
      <w:pPr>
        <w:ind w:left="1134" w:right="899"/>
        <w:jc w:val="both"/>
        <w:rPr>
          <w:rFonts w:ascii="Palatino Linotype" w:hAnsi="Palatino Linotype" w:cs="Arial"/>
          <w:i/>
          <w:sz w:val="22"/>
          <w:szCs w:val="22"/>
          <w:lang w:eastAsia="es-MX"/>
        </w:rPr>
      </w:pPr>
      <w:r w:rsidRPr="00974E5F">
        <w:rPr>
          <w:rFonts w:ascii="Palatino Linotype" w:hAnsi="Palatino Linotype" w:cs="Arial"/>
          <w:i/>
          <w:sz w:val="22"/>
          <w:szCs w:val="22"/>
          <w:lang w:eastAsia="es-MX"/>
        </w:rPr>
        <w:t xml:space="preserve">24.1. Coordinador de Protección Civil y Bomberos </w:t>
      </w:r>
    </w:p>
    <w:p w:rsidR="00974E5F" w:rsidRDefault="00974E5F" w:rsidP="00974E5F">
      <w:pPr>
        <w:ind w:left="1134" w:right="899"/>
        <w:jc w:val="both"/>
        <w:rPr>
          <w:rFonts w:ascii="Palatino Linotype" w:hAnsi="Palatino Linotype" w:cs="Arial"/>
          <w:i/>
          <w:sz w:val="22"/>
          <w:szCs w:val="22"/>
          <w:lang w:eastAsia="es-MX"/>
        </w:rPr>
      </w:pPr>
      <w:r w:rsidRPr="00974E5F">
        <w:rPr>
          <w:rFonts w:ascii="Palatino Linotype" w:hAnsi="Palatino Linotype" w:cs="Arial"/>
          <w:i/>
          <w:sz w:val="22"/>
          <w:szCs w:val="22"/>
          <w:lang w:eastAsia="es-MX"/>
        </w:rPr>
        <w:t xml:space="preserve">24.2. Secretaría Técnica del Consejo Municipal de Seguridad. </w:t>
      </w:r>
    </w:p>
    <w:p w:rsidR="00974E5F" w:rsidRDefault="00974E5F" w:rsidP="00974E5F">
      <w:pPr>
        <w:ind w:left="1134" w:right="899"/>
        <w:jc w:val="both"/>
        <w:rPr>
          <w:rFonts w:ascii="Palatino Linotype" w:hAnsi="Palatino Linotype" w:cs="Arial"/>
          <w:i/>
          <w:sz w:val="22"/>
          <w:szCs w:val="22"/>
          <w:lang w:eastAsia="es-MX"/>
        </w:rPr>
      </w:pPr>
      <w:r w:rsidRPr="00974E5F">
        <w:rPr>
          <w:rFonts w:ascii="Palatino Linotype" w:hAnsi="Palatino Linotype" w:cs="Arial"/>
          <w:i/>
          <w:sz w:val="22"/>
          <w:szCs w:val="22"/>
          <w:lang w:eastAsia="es-MX"/>
        </w:rPr>
        <w:t xml:space="preserve">25. Oficialía Mediadora-Conciliadora </w:t>
      </w:r>
    </w:p>
    <w:p w:rsidR="00974E5F" w:rsidRDefault="00974E5F" w:rsidP="00974E5F">
      <w:pPr>
        <w:ind w:left="1134" w:right="899"/>
        <w:jc w:val="both"/>
        <w:rPr>
          <w:rFonts w:ascii="Palatino Linotype" w:hAnsi="Palatino Linotype" w:cs="Arial"/>
          <w:i/>
          <w:sz w:val="22"/>
          <w:szCs w:val="22"/>
          <w:lang w:eastAsia="es-MX"/>
        </w:rPr>
      </w:pPr>
      <w:r w:rsidRPr="00974E5F">
        <w:rPr>
          <w:rFonts w:ascii="Palatino Linotype" w:hAnsi="Palatino Linotype" w:cs="Arial"/>
          <w:i/>
          <w:sz w:val="22"/>
          <w:szCs w:val="22"/>
          <w:lang w:eastAsia="es-MX"/>
        </w:rPr>
        <w:t xml:space="preserve">26. Oficialía Calificadora </w:t>
      </w:r>
    </w:p>
    <w:p w:rsidR="00974E5F" w:rsidRDefault="00974E5F" w:rsidP="00974E5F">
      <w:pPr>
        <w:ind w:left="1134" w:right="899"/>
        <w:jc w:val="both"/>
        <w:rPr>
          <w:rFonts w:ascii="Palatino Linotype" w:hAnsi="Palatino Linotype" w:cs="Arial"/>
          <w:i/>
          <w:sz w:val="22"/>
          <w:szCs w:val="22"/>
          <w:lang w:eastAsia="es-MX"/>
        </w:rPr>
      </w:pPr>
      <w:r w:rsidRPr="00974E5F">
        <w:rPr>
          <w:rFonts w:ascii="Palatino Linotype" w:hAnsi="Palatino Linotype" w:cs="Arial"/>
          <w:i/>
          <w:sz w:val="22"/>
          <w:szCs w:val="22"/>
          <w:lang w:eastAsia="es-MX"/>
        </w:rPr>
        <w:t xml:space="preserve">26.1. Médico Legista </w:t>
      </w:r>
    </w:p>
    <w:p w:rsidR="00974E5F" w:rsidRDefault="00974E5F" w:rsidP="00974E5F">
      <w:pPr>
        <w:ind w:left="1134" w:right="899"/>
        <w:jc w:val="both"/>
        <w:rPr>
          <w:rFonts w:ascii="Palatino Linotype" w:hAnsi="Palatino Linotype" w:cs="Arial"/>
          <w:i/>
          <w:sz w:val="22"/>
          <w:szCs w:val="22"/>
          <w:lang w:eastAsia="es-MX"/>
        </w:rPr>
      </w:pPr>
      <w:r w:rsidRPr="00974E5F">
        <w:rPr>
          <w:rFonts w:ascii="Palatino Linotype" w:hAnsi="Palatino Linotype" w:cs="Arial"/>
          <w:i/>
          <w:sz w:val="22"/>
          <w:szCs w:val="22"/>
          <w:lang w:eastAsia="es-MX"/>
        </w:rPr>
        <w:t xml:space="preserve">27. Organismos Desconcentrados </w:t>
      </w:r>
    </w:p>
    <w:p w:rsidR="00974E5F" w:rsidRDefault="00974E5F" w:rsidP="00974E5F">
      <w:pPr>
        <w:ind w:left="1134" w:right="899"/>
        <w:jc w:val="both"/>
        <w:rPr>
          <w:rFonts w:ascii="Palatino Linotype" w:hAnsi="Palatino Linotype" w:cs="Arial"/>
          <w:i/>
          <w:sz w:val="22"/>
          <w:szCs w:val="22"/>
          <w:lang w:eastAsia="es-MX"/>
        </w:rPr>
      </w:pPr>
      <w:r w:rsidRPr="00974E5F">
        <w:rPr>
          <w:rFonts w:ascii="Palatino Linotype" w:hAnsi="Palatino Linotype" w:cs="Arial"/>
          <w:i/>
          <w:sz w:val="22"/>
          <w:szCs w:val="22"/>
          <w:lang w:eastAsia="es-MX"/>
        </w:rPr>
        <w:t xml:space="preserve">27.1. Defensoría Municipal de los Derechos Humanos </w:t>
      </w:r>
    </w:p>
    <w:p w:rsidR="00974E5F" w:rsidRPr="00974E5F" w:rsidRDefault="00974E5F" w:rsidP="00974E5F">
      <w:pPr>
        <w:ind w:left="1134" w:right="899"/>
        <w:jc w:val="both"/>
        <w:rPr>
          <w:rFonts w:ascii="Palatino Linotype" w:hAnsi="Palatino Linotype" w:cs="Arial"/>
          <w:b/>
          <w:i/>
          <w:sz w:val="22"/>
          <w:szCs w:val="22"/>
          <w:lang w:eastAsia="es-MX"/>
        </w:rPr>
      </w:pPr>
      <w:r w:rsidRPr="00974E5F">
        <w:rPr>
          <w:rFonts w:ascii="Palatino Linotype" w:hAnsi="Palatino Linotype" w:cs="Arial"/>
          <w:b/>
          <w:i/>
          <w:sz w:val="22"/>
          <w:szCs w:val="22"/>
          <w:lang w:eastAsia="es-MX"/>
        </w:rPr>
        <w:t xml:space="preserve">28. Organismos descentralizados </w:t>
      </w:r>
    </w:p>
    <w:p w:rsidR="00974E5F" w:rsidRPr="00974E5F" w:rsidRDefault="00974E5F" w:rsidP="00974E5F">
      <w:pPr>
        <w:ind w:left="1134" w:right="899"/>
        <w:jc w:val="both"/>
        <w:rPr>
          <w:rFonts w:ascii="Palatino Linotype" w:hAnsi="Palatino Linotype" w:cs="Arial"/>
          <w:b/>
          <w:i/>
          <w:sz w:val="22"/>
          <w:szCs w:val="22"/>
          <w:lang w:eastAsia="es-MX"/>
        </w:rPr>
      </w:pPr>
      <w:r w:rsidRPr="00974E5F">
        <w:rPr>
          <w:rFonts w:ascii="Palatino Linotype" w:hAnsi="Palatino Linotype" w:cs="Arial"/>
          <w:b/>
          <w:i/>
          <w:sz w:val="22"/>
          <w:szCs w:val="22"/>
          <w:lang w:eastAsia="es-MX"/>
        </w:rPr>
        <w:t xml:space="preserve">28.1. Sistema Municipal para el Desarrollo Integral de la Familia </w:t>
      </w:r>
    </w:p>
    <w:p w:rsidR="00974E5F" w:rsidRPr="00974E5F" w:rsidRDefault="00974E5F" w:rsidP="00974E5F">
      <w:pPr>
        <w:ind w:left="1134" w:right="899"/>
        <w:jc w:val="both"/>
        <w:rPr>
          <w:rFonts w:ascii="Palatino Linotype" w:hAnsi="Palatino Linotype" w:cs="Arial"/>
          <w:b/>
          <w:i/>
          <w:sz w:val="22"/>
          <w:szCs w:val="22"/>
          <w:lang w:eastAsia="es-MX"/>
        </w:rPr>
      </w:pPr>
      <w:r w:rsidRPr="00974E5F">
        <w:rPr>
          <w:rFonts w:ascii="Palatino Linotype" w:hAnsi="Palatino Linotype" w:cs="Arial"/>
          <w:b/>
          <w:i/>
          <w:sz w:val="22"/>
          <w:szCs w:val="22"/>
          <w:lang w:eastAsia="es-MX"/>
        </w:rPr>
        <w:t xml:space="preserve">28.2. Organismo ODAPAS </w:t>
      </w:r>
    </w:p>
    <w:p w:rsidR="00974E5F" w:rsidRPr="00974E5F" w:rsidRDefault="00974E5F" w:rsidP="00974E5F">
      <w:pPr>
        <w:ind w:left="1134" w:right="899"/>
        <w:jc w:val="both"/>
        <w:rPr>
          <w:rFonts w:ascii="Palatino Linotype" w:hAnsi="Palatino Linotype" w:cs="Arial"/>
          <w:b/>
          <w:i/>
          <w:sz w:val="22"/>
          <w:szCs w:val="22"/>
          <w:lang w:eastAsia="es-MX"/>
        </w:rPr>
      </w:pPr>
      <w:r w:rsidRPr="00974E5F">
        <w:rPr>
          <w:rFonts w:ascii="Palatino Linotype" w:hAnsi="Palatino Linotype" w:cs="Arial"/>
          <w:b/>
          <w:i/>
          <w:sz w:val="22"/>
          <w:szCs w:val="22"/>
          <w:lang w:eastAsia="es-MX"/>
        </w:rPr>
        <w:t>28.3. Instituto Municipal de Cultura Física y Deporte.</w:t>
      </w:r>
      <w:r w:rsidR="0047093D">
        <w:rPr>
          <w:rFonts w:ascii="Palatino Linotype" w:hAnsi="Palatino Linotype" w:cs="Arial"/>
          <w:b/>
          <w:i/>
          <w:sz w:val="22"/>
          <w:szCs w:val="22"/>
          <w:lang w:eastAsia="es-MX"/>
        </w:rPr>
        <w:t>”(Sic)</w:t>
      </w:r>
    </w:p>
    <w:p w:rsidR="00550A43" w:rsidRPr="00974E5F" w:rsidRDefault="00550A43" w:rsidP="00974E5F">
      <w:pPr>
        <w:ind w:left="1134" w:right="899"/>
        <w:jc w:val="both"/>
        <w:rPr>
          <w:rFonts w:ascii="Palatino Linotype" w:hAnsi="Palatino Linotype" w:cs="Arial"/>
          <w:i/>
          <w:sz w:val="22"/>
          <w:szCs w:val="22"/>
          <w:lang w:eastAsia="es-MX"/>
        </w:rPr>
      </w:pPr>
    </w:p>
    <w:p w:rsidR="0047093D" w:rsidRDefault="00974E5F" w:rsidP="0047093D">
      <w:pPr>
        <w:spacing w:before="240" w:after="240" w:line="360" w:lineRule="auto"/>
        <w:contextualSpacing/>
        <w:jc w:val="both"/>
        <w:rPr>
          <w:rFonts w:ascii="Palatino Linotype" w:eastAsia="Palatino Linotype" w:hAnsi="Palatino Linotype" w:cs="Palatino Linotype"/>
        </w:rPr>
      </w:pPr>
      <w:r>
        <w:rPr>
          <w:rFonts w:ascii="Palatino Linotype" w:eastAsia="Palatino Linotype" w:hAnsi="Palatino Linotype" w:cs="Palatino Linotype"/>
        </w:rPr>
        <w:t>Dentro de los que se destacan</w:t>
      </w:r>
      <w:r w:rsidR="0047093D">
        <w:rPr>
          <w:rFonts w:ascii="Palatino Linotype" w:eastAsia="Palatino Linotype" w:hAnsi="Palatino Linotype" w:cs="Palatino Linotype"/>
        </w:rPr>
        <w:t xml:space="preserve">, que el Ayuntamiento de Temascalcingo sí cuenta con una </w:t>
      </w:r>
      <w:r>
        <w:rPr>
          <w:rFonts w:ascii="Palatino Linotype" w:eastAsia="Palatino Linotype" w:hAnsi="Palatino Linotype" w:cs="Palatino Linotype"/>
        </w:rPr>
        <w:t xml:space="preserve">Dirección de Administración, </w:t>
      </w:r>
      <w:r w:rsidR="0047093D" w:rsidRPr="0047093D">
        <w:rPr>
          <w:rFonts w:ascii="Palatino Linotype" w:eastAsia="Palatino Linotype" w:hAnsi="Palatino Linotype" w:cs="Palatino Linotype"/>
        </w:rPr>
        <w:t>Sistema Municipal para el De</w:t>
      </w:r>
      <w:r w:rsidR="0047093D">
        <w:rPr>
          <w:rFonts w:ascii="Palatino Linotype" w:eastAsia="Palatino Linotype" w:hAnsi="Palatino Linotype" w:cs="Palatino Linotype"/>
        </w:rPr>
        <w:t xml:space="preserve">sarrollo Integral de la Familia, </w:t>
      </w:r>
      <w:r w:rsidR="0047093D" w:rsidRPr="0047093D">
        <w:rPr>
          <w:rFonts w:ascii="Palatino Linotype" w:eastAsia="Palatino Linotype" w:hAnsi="Palatino Linotype" w:cs="Palatino Linotype"/>
        </w:rPr>
        <w:t xml:space="preserve">Organismo ODAPAS </w:t>
      </w:r>
      <w:r w:rsidR="003E4484">
        <w:rPr>
          <w:rFonts w:ascii="Palatino Linotype" w:eastAsia="Palatino Linotype" w:hAnsi="Palatino Linotype" w:cs="Palatino Linotype"/>
        </w:rPr>
        <w:t>e</w:t>
      </w:r>
      <w:r w:rsidR="0047093D">
        <w:rPr>
          <w:rFonts w:ascii="Palatino Linotype" w:eastAsia="Palatino Linotype" w:hAnsi="Palatino Linotype" w:cs="Palatino Linotype"/>
        </w:rPr>
        <w:t xml:space="preserve"> </w:t>
      </w:r>
      <w:r w:rsidR="0047093D" w:rsidRPr="0047093D">
        <w:rPr>
          <w:rFonts w:ascii="Palatino Linotype" w:eastAsia="Palatino Linotype" w:hAnsi="Palatino Linotype" w:cs="Palatino Linotype"/>
        </w:rPr>
        <w:t>Instituto Munici</w:t>
      </w:r>
      <w:r w:rsidR="0047093D">
        <w:rPr>
          <w:rFonts w:ascii="Palatino Linotype" w:eastAsia="Palatino Linotype" w:hAnsi="Palatino Linotype" w:cs="Palatino Linotype"/>
        </w:rPr>
        <w:t xml:space="preserve">pal de Cultura Física y Deporte, </w:t>
      </w:r>
      <w:r w:rsidR="003E4484">
        <w:rPr>
          <w:rFonts w:ascii="Palatino Linotype" w:eastAsia="Palatino Linotype" w:hAnsi="Palatino Linotype" w:cs="Palatino Linotype"/>
        </w:rPr>
        <w:t xml:space="preserve">estos tres últimos </w:t>
      </w:r>
      <w:r w:rsidR="0047093D">
        <w:rPr>
          <w:rFonts w:ascii="Palatino Linotype" w:eastAsia="Palatino Linotype" w:hAnsi="Palatino Linotype" w:cs="Palatino Linotype"/>
        </w:rPr>
        <w:t xml:space="preserve">como organismos descentralizados. </w:t>
      </w:r>
    </w:p>
    <w:p w:rsidR="00614A90" w:rsidRDefault="00614A90" w:rsidP="0047093D">
      <w:pPr>
        <w:spacing w:before="240" w:after="240" w:line="360" w:lineRule="auto"/>
        <w:contextualSpacing/>
        <w:jc w:val="both"/>
        <w:rPr>
          <w:rFonts w:ascii="Palatino Linotype" w:eastAsia="Palatino Linotype" w:hAnsi="Palatino Linotype" w:cs="Palatino Linotype"/>
        </w:rPr>
      </w:pPr>
    </w:p>
    <w:p w:rsidR="00614A90" w:rsidRPr="002C0354" w:rsidRDefault="00614A90" w:rsidP="00614A90">
      <w:pP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rPr>
        <w:t xml:space="preserve">Asimismo, es pertinente aclarar que, respecto de la solicitud </w:t>
      </w:r>
      <w:r w:rsidRPr="00614A90">
        <w:rPr>
          <w:rFonts w:ascii="Palatino Linotype" w:eastAsia="Palatino Linotype" w:hAnsi="Palatino Linotype" w:cs="Palatino Linotype"/>
        </w:rPr>
        <w:t>00048/TMASCALC/IP/2022</w:t>
      </w:r>
      <w:r>
        <w:rPr>
          <w:rFonts w:ascii="Palatino Linotype" w:eastAsia="Palatino Linotype" w:hAnsi="Palatino Linotype" w:cs="Palatino Linotype"/>
        </w:rPr>
        <w:t xml:space="preserve">, la Directora de Administración señaló que no cuentan con las atribuciones, facultades, competencias necesarias para poder generar y </w:t>
      </w:r>
      <w:r>
        <w:rPr>
          <w:rFonts w:ascii="Palatino Linotype" w:eastAsia="Palatino Linotype" w:hAnsi="Palatino Linotype" w:cs="Palatino Linotype"/>
        </w:rPr>
        <w:lastRenderedPageBreak/>
        <w:t>proporcionar la información requerida en la solicitud de información, lo cierto e</w:t>
      </w:r>
      <w:r w:rsidR="001049B3">
        <w:rPr>
          <w:rFonts w:ascii="Palatino Linotype" w:eastAsia="Palatino Linotype" w:hAnsi="Palatino Linotype" w:cs="Palatino Linotype"/>
        </w:rPr>
        <w:t xml:space="preserve">s que su manifestación careció </w:t>
      </w:r>
      <w:r w:rsidRPr="002C0354">
        <w:rPr>
          <w:rFonts w:ascii="Palatino Linotype" w:eastAsia="Palatino Linotype" w:hAnsi="Palatino Linotype" w:cs="Palatino Linotype"/>
        </w:rPr>
        <w:t xml:space="preserve"> </w:t>
      </w:r>
      <w:r>
        <w:rPr>
          <w:rFonts w:ascii="Palatino Linotype" w:eastAsia="Palatino Linotype" w:hAnsi="Palatino Linotype" w:cs="Palatino Linotype"/>
          <w:color w:val="000000"/>
        </w:rPr>
        <w:t>del principio</w:t>
      </w:r>
      <w:r w:rsidRPr="002C0354">
        <w:rPr>
          <w:rFonts w:ascii="Palatino Linotype" w:eastAsia="Palatino Linotype" w:hAnsi="Palatino Linotype" w:cs="Palatino Linotype"/>
          <w:color w:val="000000"/>
        </w:rPr>
        <w:t xml:space="preserve"> de congruencia y exhaustividad, como refuerzo de lo anterior</w:t>
      </w:r>
      <w:r w:rsidRPr="002C0354">
        <w:rPr>
          <w:rFonts w:ascii="Palatino Linotype" w:eastAsia="Palatino Linotype" w:hAnsi="Palatino Linotype" w:cs="Palatino Linotype"/>
          <w:color w:val="000000"/>
          <w:u w:val="single"/>
        </w:rPr>
        <w:t xml:space="preserve">, resulta crucial el Criterio 02/17, emitido por el Pleno del </w:t>
      </w:r>
      <w:r w:rsidRPr="002C0354">
        <w:rPr>
          <w:rFonts w:ascii="Palatino Linotype" w:eastAsia="Palatino Linotype" w:hAnsi="Palatino Linotype" w:cs="Palatino Linotype"/>
          <w:color w:val="000000"/>
        </w:rPr>
        <w:t>Instituto Nacional de Transparencia y Acceso a la Información y Protección de Datos Personales, de título y texto siguientes:</w:t>
      </w:r>
    </w:p>
    <w:p w:rsidR="00614A90" w:rsidRDefault="00614A90" w:rsidP="00614A90">
      <w:pPr>
        <w:spacing w:before="240" w:after="240"/>
        <w:ind w:left="567" w:right="900"/>
        <w:jc w:val="both"/>
        <w:rPr>
          <w:rFonts w:ascii="Palatino Linotype" w:eastAsia="Palatino Linotype" w:hAnsi="Palatino Linotype" w:cs="Palatino Linotype"/>
          <w:i/>
          <w:color w:val="000000"/>
        </w:rPr>
      </w:pPr>
      <w:r w:rsidRPr="002C0354">
        <w:rPr>
          <w:rFonts w:ascii="Palatino Linotype" w:eastAsia="Palatino Linotype" w:hAnsi="Palatino Linotype" w:cs="Palatino Linotype"/>
          <w:b/>
          <w:i/>
          <w:color w:val="000000"/>
        </w:rPr>
        <w:t xml:space="preserve">“Congruencia y exhaustividad. Sus alcances para garantizar el derecho de acceso a la información. </w:t>
      </w:r>
      <w:r w:rsidRPr="002C0354">
        <w:rPr>
          <w:rFonts w:ascii="Palatino Linotype" w:eastAsia="Palatino Linotype" w:hAnsi="Palatino Linotype" w:cs="Palatino Linotype"/>
          <w:i/>
          <w:color w:val="000000"/>
        </w:rPr>
        <w:t xml:space="preserve">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w:t>
      </w:r>
      <w:r w:rsidRPr="002C0354">
        <w:rPr>
          <w:rFonts w:ascii="Palatino Linotype" w:eastAsia="Palatino Linotype" w:hAnsi="Palatino Linotype" w:cs="Palatino Linotype"/>
          <w:b/>
          <w:i/>
          <w:color w:val="000000"/>
        </w:rPr>
        <w:t>la congruencia implica que exista concordancia entre el requerimiento formulado por el particular y la respuesta proporcionada por el sujeto obligado</w:t>
      </w:r>
      <w:r w:rsidRPr="002C0354">
        <w:rPr>
          <w:rFonts w:ascii="Palatino Linotype" w:eastAsia="Palatino Linotype" w:hAnsi="Palatino Linotype" w:cs="Palatino Linotype"/>
          <w:i/>
          <w:color w:val="000000"/>
        </w:rPr>
        <w:t xml:space="preserve">; mientras que </w:t>
      </w:r>
      <w:r w:rsidRPr="002C0354">
        <w:rPr>
          <w:rFonts w:ascii="Palatino Linotype" w:eastAsia="Palatino Linotype" w:hAnsi="Palatino Linotype" w:cs="Palatino Linotype"/>
          <w:b/>
          <w:i/>
          <w:color w:val="000000"/>
        </w:rPr>
        <w:t>la exhaustividad significa que dicha respuesta se refiera expresamente a cada uno de los puntos solicitados</w:t>
      </w:r>
      <w:r w:rsidRPr="002C0354">
        <w:rPr>
          <w:rFonts w:ascii="Palatino Linotype" w:eastAsia="Palatino Linotype" w:hAnsi="Palatino Linotype" w:cs="Palatino Linotype"/>
          <w:i/>
          <w:color w:val="000000"/>
        </w:rPr>
        <w:t>. Por lo anterior, los sujetos obligados cumplirán con los principios de congruencia y exhaustividad, cuando las respuestas que emitan guarden una relación lógica con lo solicitado y atiendan de manera puntual y expresa, cada uno de los contenidos de información.” (Sic)</w:t>
      </w:r>
    </w:p>
    <w:p w:rsidR="00614A90" w:rsidRDefault="00614A90" w:rsidP="00614A90">
      <w:pPr>
        <w:spacing w:before="240" w:after="240" w:line="360" w:lineRule="auto"/>
        <w:contextualSpacing/>
        <w:jc w:val="both"/>
        <w:rPr>
          <w:rFonts w:ascii="Palatino Linotype" w:eastAsia="Palatino Linotype" w:hAnsi="Palatino Linotype" w:cs="Palatino Linotype"/>
        </w:rPr>
      </w:pPr>
      <w:r>
        <w:rPr>
          <w:rFonts w:ascii="Palatino Linotype" w:eastAsia="Palatino Linotype" w:hAnsi="Palatino Linotype" w:cs="Palatino Linotype"/>
        </w:rPr>
        <w:t xml:space="preserve">En razón de que en términos de lo señalado por el artículo 90 del Bando Municipal de Temascalcingo, tiene la atribución de </w:t>
      </w:r>
      <w:r w:rsidR="00C9350B">
        <w:rPr>
          <w:rFonts w:ascii="Palatino Linotype" w:eastAsia="Palatino Linotype" w:hAnsi="Palatino Linotype" w:cs="Palatino Linotype"/>
        </w:rPr>
        <w:t xml:space="preserve">supervisar los recursos humanos del </w:t>
      </w:r>
      <w:r w:rsidR="00C9350B" w:rsidRPr="00C9350B">
        <w:rPr>
          <w:rFonts w:ascii="Palatino Linotype" w:eastAsia="Palatino Linotype" w:hAnsi="Palatino Linotype" w:cs="Palatino Linotype"/>
          <w:b/>
        </w:rPr>
        <w:t>SUJETO OBLIGADO</w:t>
      </w:r>
      <w:r w:rsidR="00C9350B">
        <w:rPr>
          <w:rFonts w:ascii="Palatino Linotype" w:eastAsia="Palatino Linotype" w:hAnsi="Palatino Linotype" w:cs="Palatino Linotype"/>
        </w:rPr>
        <w:t>, como así lo señala dicho ordenamiento legal:</w:t>
      </w:r>
    </w:p>
    <w:p w:rsidR="00C9350B" w:rsidRDefault="00C9350B" w:rsidP="00614A90">
      <w:pPr>
        <w:spacing w:before="240" w:after="240" w:line="360" w:lineRule="auto"/>
        <w:contextualSpacing/>
        <w:jc w:val="both"/>
        <w:rPr>
          <w:rFonts w:ascii="Palatino Linotype" w:eastAsia="Palatino Linotype" w:hAnsi="Palatino Linotype" w:cs="Palatino Linotype"/>
        </w:rPr>
      </w:pPr>
    </w:p>
    <w:p w:rsidR="00614A90" w:rsidRPr="001049B3" w:rsidRDefault="00C9350B" w:rsidP="00C9350B">
      <w:pPr>
        <w:spacing w:before="240" w:after="240"/>
        <w:ind w:left="567" w:right="900"/>
        <w:jc w:val="both"/>
        <w:rPr>
          <w:rFonts w:ascii="Palatino Linotype" w:eastAsia="Palatino Linotype" w:hAnsi="Palatino Linotype" w:cs="Palatino Linotype"/>
          <w:i/>
          <w:color w:val="000000"/>
          <w:sz w:val="22"/>
          <w:szCs w:val="22"/>
        </w:rPr>
      </w:pPr>
      <w:r w:rsidRPr="001049B3">
        <w:rPr>
          <w:rFonts w:ascii="Palatino Linotype" w:eastAsia="Palatino Linotype" w:hAnsi="Palatino Linotype" w:cs="Palatino Linotype"/>
          <w:i/>
          <w:color w:val="000000"/>
          <w:sz w:val="22"/>
          <w:szCs w:val="22"/>
        </w:rPr>
        <w:t>“</w:t>
      </w:r>
      <w:r w:rsidR="00614A90" w:rsidRPr="001049B3">
        <w:rPr>
          <w:rFonts w:ascii="Palatino Linotype" w:eastAsia="Palatino Linotype" w:hAnsi="Palatino Linotype" w:cs="Palatino Linotype"/>
          <w:b/>
          <w:i/>
          <w:color w:val="000000"/>
          <w:sz w:val="22"/>
          <w:szCs w:val="22"/>
        </w:rPr>
        <w:t>Artículo 90. La Dirección de Administración es la dependencia responsable de supervisar los recursos humanos</w:t>
      </w:r>
      <w:r w:rsidR="00614A90" w:rsidRPr="001049B3">
        <w:rPr>
          <w:rFonts w:ascii="Palatino Linotype" w:eastAsia="Palatino Linotype" w:hAnsi="Palatino Linotype" w:cs="Palatino Linotype"/>
          <w:i/>
          <w:color w:val="000000"/>
          <w:sz w:val="22"/>
          <w:szCs w:val="22"/>
        </w:rPr>
        <w:t>, materiales, técnicos y servicios generales que se proporcionan a las áreas y unidades administrativas de la Administración Pública Municipal, para optimizar la operación, adquisición, control y uso racional de los mismos, para el logro de dichos fines.</w:t>
      </w:r>
      <w:r w:rsidRPr="001049B3">
        <w:rPr>
          <w:rFonts w:ascii="Palatino Linotype" w:eastAsia="Palatino Linotype" w:hAnsi="Palatino Linotype" w:cs="Palatino Linotype"/>
          <w:i/>
          <w:color w:val="000000"/>
          <w:sz w:val="22"/>
          <w:szCs w:val="22"/>
        </w:rPr>
        <w:t>” (Sic)</w:t>
      </w:r>
    </w:p>
    <w:p w:rsidR="0047093D" w:rsidRDefault="0047093D" w:rsidP="0047093D">
      <w:pPr>
        <w:spacing w:before="240" w:after="240" w:line="360" w:lineRule="auto"/>
        <w:contextualSpacing/>
        <w:jc w:val="both"/>
        <w:rPr>
          <w:rFonts w:ascii="Palatino Linotype" w:eastAsia="Palatino Linotype" w:hAnsi="Palatino Linotype" w:cs="Palatino Linotype"/>
        </w:rPr>
      </w:pPr>
      <w:r>
        <w:rPr>
          <w:rFonts w:ascii="Palatino Linotype" w:eastAsia="Palatino Linotype" w:hAnsi="Palatino Linotype" w:cs="Palatino Linotype"/>
        </w:rPr>
        <w:lastRenderedPageBreak/>
        <w:t>Precisado lo anterior, se procede al análisis de cada uno de</w:t>
      </w:r>
      <w:r w:rsidR="001049B3">
        <w:rPr>
          <w:rFonts w:ascii="Palatino Linotype" w:eastAsia="Palatino Linotype" w:hAnsi="Palatino Linotype" w:cs="Palatino Linotype"/>
        </w:rPr>
        <w:t xml:space="preserve"> </w:t>
      </w:r>
      <w:r>
        <w:rPr>
          <w:rFonts w:ascii="Palatino Linotype" w:eastAsia="Palatino Linotype" w:hAnsi="Palatino Linotype" w:cs="Palatino Linotype"/>
        </w:rPr>
        <w:t>l</w:t>
      </w:r>
      <w:r w:rsidR="001049B3">
        <w:rPr>
          <w:rFonts w:ascii="Palatino Linotype" w:eastAsia="Palatino Linotype" w:hAnsi="Palatino Linotype" w:cs="Palatino Linotype"/>
        </w:rPr>
        <w:t>os</w:t>
      </w:r>
      <w:r>
        <w:rPr>
          <w:rFonts w:ascii="Palatino Linotype" w:eastAsia="Palatino Linotype" w:hAnsi="Palatino Linotype" w:cs="Palatino Linotype"/>
        </w:rPr>
        <w:t xml:space="preserve"> requerimiento</w:t>
      </w:r>
      <w:r w:rsidR="001049B3">
        <w:rPr>
          <w:rFonts w:ascii="Palatino Linotype" w:eastAsia="Palatino Linotype" w:hAnsi="Palatino Linotype" w:cs="Palatino Linotype"/>
        </w:rPr>
        <w:t>s</w:t>
      </w:r>
      <w:r>
        <w:rPr>
          <w:rFonts w:ascii="Palatino Linotype" w:eastAsia="Palatino Linotype" w:hAnsi="Palatino Linotype" w:cs="Palatino Linotype"/>
        </w:rPr>
        <w:t xml:space="preserve"> del particular descritos en sus solicitudes de acceso a la información pública. </w:t>
      </w:r>
    </w:p>
    <w:p w:rsidR="0047093D" w:rsidRDefault="0047093D" w:rsidP="0047093D">
      <w:pPr>
        <w:spacing w:before="240" w:after="240" w:line="360" w:lineRule="auto"/>
        <w:contextualSpacing/>
        <w:jc w:val="both"/>
        <w:rPr>
          <w:rFonts w:ascii="Palatino Linotype" w:eastAsia="Palatino Linotype" w:hAnsi="Palatino Linotype" w:cs="Palatino Linotype"/>
        </w:rPr>
      </w:pPr>
    </w:p>
    <w:p w:rsidR="005E6958" w:rsidRDefault="0047093D" w:rsidP="00E158C7">
      <w:pPr>
        <w:spacing w:before="240" w:after="240" w:line="360" w:lineRule="auto"/>
        <w:contextualSpacing/>
        <w:jc w:val="both"/>
        <w:rPr>
          <w:rFonts w:ascii="Palatino Linotype" w:eastAsia="Palatino Linotype" w:hAnsi="Palatino Linotype" w:cs="Palatino Linotype"/>
        </w:rPr>
      </w:pPr>
      <w:r w:rsidRPr="00E158C7">
        <w:rPr>
          <w:rFonts w:ascii="Palatino Linotype" w:eastAsia="Palatino Linotype" w:hAnsi="Palatino Linotype" w:cs="Palatino Linotype"/>
          <w:b/>
        </w:rPr>
        <w:t>Respecto de la ficha curricular de la Directora de Administración como del Director del Instituto Municipal de Cultura Física y Deporte</w:t>
      </w:r>
      <w:r w:rsidR="00C9350B">
        <w:rPr>
          <w:rFonts w:ascii="Palatino Linotype" w:eastAsia="Palatino Linotype" w:hAnsi="Palatino Linotype" w:cs="Palatino Linotype"/>
        </w:rPr>
        <w:t xml:space="preserve">, </w:t>
      </w:r>
      <w:r w:rsidR="005E6958">
        <w:rPr>
          <w:rFonts w:ascii="Palatino Linotype" w:eastAsia="Palatino Linotype" w:hAnsi="Palatino Linotype" w:cs="Palatino Linotype"/>
        </w:rPr>
        <w:t xml:space="preserve">conviene señalar que es el documento </w:t>
      </w:r>
      <w:r w:rsidR="00E158C7">
        <w:rPr>
          <w:rFonts w:ascii="Palatino Linotype" w:eastAsia="Palatino Linotype" w:hAnsi="Palatino Linotype" w:cs="Palatino Linotype"/>
        </w:rPr>
        <w:t xml:space="preserve">que </w:t>
      </w:r>
      <w:r w:rsidR="005E6958">
        <w:rPr>
          <w:rFonts w:ascii="Palatino Linotype" w:eastAsia="Palatino Linotype" w:hAnsi="Palatino Linotype" w:cs="Palatino Linotype"/>
        </w:rPr>
        <w:t xml:space="preserve">permite identificar el nivel de conocimiento de su titular, su </w:t>
      </w:r>
      <w:r w:rsidR="00E158C7">
        <w:rPr>
          <w:rFonts w:ascii="Palatino Linotype" w:eastAsia="Palatino Linotype" w:hAnsi="Palatino Linotype" w:cs="Palatino Linotype"/>
        </w:rPr>
        <w:t xml:space="preserve">perfil profesional y/o laboral, que </w:t>
      </w:r>
      <w:r w:rsidR="005E6958">
        <w:rPr>
          <w:rFonts w:ascii="Palatino Linotype" w:eastAsia="Palatino Linotype" w:hAnsi="Palatino Linotype" w:cs="Palatino Linotype"/>
        </w:rPr>
        <w:t xml:space="preserve">tiene como objetivo que las personas conozcan la trayectoria de quien lo presenta, situación que toma mayor relevancia al tratarse de aquel que ostenta un cargo en la administración; por lo que, existe un interés público para dar a conocer su contenido, pues transparenta que el personal que labora para </w:t>
      </w:r>
      <w:r w:rsidR="005E6958">
        <w:rPr>
          <w:rFonts w:ascii="Palatino Linotype" w:eastAsia="Palatino Linotype" w:hAnsi="Palatino Linotype" w:cs="Palatino Linotype"/>
          <w:b/>
        </w:rPr>
        <w:t>EL SUJETO OBLIGADO</w:t>
      </w:r>
      <w:r w:rsidR="005E6958">
        <w:rPr>
          <w:rFonts w:ascii="Palatino Linotype" w:eastAsia="Palatino Linotype" w:hAnsi="Palatino Linotype" w:cs="Palatino Linotype"/>
        </w:rPr>
        <w:t xml:space="preserve"> cuenta con las capacidades, conocimientos y experiencia necesaria para el cabal cumplimiento de sus funciones. </w:t>
      </w:r>
    </w:p>
    <w:p w:rsidR="00E158C7" w:rsidRDefault="00E158C7" w:rsidP="00E158C7">
      <w:pPr>
        <w:spacing w:before="240" w:after="240" w:line="360" w:lineRule="auto"/>
        <w:contextualSpacing/>
        <w:jc w:val="both"/>
        <w:rPr>
          <w:rFonts w:ascii="Palatino Linotype" w:eastAsia="Palatino Linotype" w:hAnsi="Palatino Linotype" w:cs="Palatino Linotype"/>
        </w:rPr>
      </w:pPr>
    </w:p>
    <w:p w:rsidR="005E6958" w:rsidRDefault="005E6958" w:rsidP="005E6958">
      <w:pPr>
        <w:spacing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En esa tesitura, debe apuntarse que esta información constituye una obligación de transparencia, pues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se encuentra constreñido a poner a disposición del público en su portal de Información Pública de Oficio Mexiquense (IPOMEX), la información curricular de sus servidores públicos, ello con la finalidad de enaltecer los principios de máxima publicidad, transparenc</w:t>
      </w:r>
      <w:r w:rsidR="00E158C7">
        <w:rPr>
          <w:rFonts w:ascii="Palatino Linotype" w:eastAsia="Palatino Linotype" w:hAnsi="Palatino Linotype" w:cs="Palatino Linotype"/>
          <w:color w:val="000000"/>
        </w:rPr>
        <w:t xml:space="preserve">ia y certeza, como lo estipula </w:t>
      </w:r>
      <w:r>
        <w:rPr>
          <w:rFonts w:ascii="Palatino Linotype" w:eastAsia="Palatino Linotype" w:hAnsi="Palatino Linotype" w:cs="Palatino Linotype"/>
          <w:color w:val="000000"/>
        </w:rPr>
        <w:t xml:space="preserve">el artículo 92, fracción XXI de la ley aplicable a la materia, que es del tenor literal siguiente: </w:t>
      </w:r>
    </w:p>
    <w:p w:rsidR="005E6958" w:rsidRDefault="005E6958" w:rsidP="005E6958">
      <w:pPr>
        <w:spacing w:before="240"/>
        <w:ind w:left="567"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“Artículo 92. Los sujetos obligados deberán poner a disposición del público de manera permanente y actualizada de forma sencilla, precisa y entendible, en los respectivos medios electrónicos, de acuerdo con sus facultades, atribuciones, funciones u objeto </w:t>
      </w:r>
      <w:r>
        <w:rPr>
          <w:rFonts w:ascii="Palatino Linotype" w:eastAsia="Palatino Linotype" w:hAnsi="Palatino Linotype" w:cs="Palatino Linotype"/>
          <w:i/>
          <w:color w:val="000000"/>
          <w:sz w:val="22"/>
          <w:szCs w:val="22"/>
        </w:rPr>
        <w:lastRenderedPageBreak/>
        <w:t>social, según corresponda, la información, por lo menos, de los temas, documentos y políticas que a continuación se señalan:</w:t>
      </w:r>
    </w:p>
    <w:p w:rsidR="005E6958" w:rsidRDefault="005E6958" w:rsidP="005E6958">
      <w:pPr>
        <w:ind w:left="567"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p>
    <w:p w:rsidR="005E6958" w:rsidRDefault="005E6958" w:rsidP="005E6958">
      <w:pPr>
        <w:ind w:left="567"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XXI. La información curricular, desde el nivel de jefe de departamento o equivalente, hasta el titular del sujeto obligado</w:t>
      </w:r>
      <w:r>
        <w:rPr>
          <w:rFonts w:ascii="Palatino Linotype" w:eastAsia="Palatino Linotype" w:hAnsi="Palatino Linotype" w:cs="Palatino Linotype"/>
          <w:i/>
          <w:color w:val="000000"/>
          <w:sz w:val="22"/>
          <w:szCs w:val="22"/>
        </w:rPr>
        <w:t>, así como, en su caso, las sanciones administrativas de que haya sido objeto</w:t>
      </w:r>
      <w:r w:rsidR="0039028B">
        <w:rPr>
          <w:rFonts w:ascii="Palatino Linotype" w:eastAsia="Palatino Linotype" w:hAnsi="Palatino Linotype" w:cs="Palatino Linotype"/>
          <w:i/>
          <w:color w:val="000000"/>
          <w:sz w:val="22"/>
          <w:szCs w:val="22"/>
        </w:rPr>
        <w:t>” (</w:t>
      </w:r>
      <w:r>
        <w:rPr>
          <w:rFonts w:ascii="Palatino Linotype" w:eastAsia="Palatino Linotype" w:hAnsi="Palatino Linotype" w:cs="Palatino Linotype"/>
          <w:i/>
          <w:color w:val="000000"/>
          <w:sz w:val="22"/>
          <w:szCs w:val="22"/>
        </w:rPr>
        <w:t>Sic)</w:t>
      </w:r>
    </w:p>
    <w:p w:rsidR="005E6958" w:rsidRDefault="005E6958" w:rsidP="005E6958">
      <w:pPr>
        <w:ind w:left="567" w:right="902"/>
        <w:jc w:val="both"/>
        <w:rPr>
          <w:rFonts w:ascii="Palatino Linotype" w:eastAsia="Palatino Linotype" w:hAnsi="Palatino Linotype" w:cs="Palatino Linotype"/>
          <w:i/>
          <w:color w:val="000000"/>
          <w:sz w:val="22"/>
          <w:szCs w:val="22"/>
        </w:rPr>
      </w:pPr>
    </w:p>
    <w:p w:rsidR="005E6958" w:rsidRDefault="005E6958" w:rsidP="005E6958">
      <w:pPr>
        <w:spacing w:after="240" w:line="360" w:lineRule="auto"/>
        <w:ind w:right="51"/>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Asimismo, debe precisarse que la publicación de esta información se realizará conforme lo establecen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mismos que se insertan a continuación: </w:t>
      </w:r>
    </w:p>
    <w:p w:rsidR="005E6958" w:rsidRDefault="005E6958" w:rsidP="005E6958">
      <w:pPr>
        <w:spacing w:before="240"/>
        <w:ind w:left="567"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“XVII. La información curricular desde el nivel de jefe de departamento o equivalente hasta el titular del sujeto obligado, así como, en su caso, las sanciones administrativas de que haya sido objeto. </w:t>
      </w:r>
    </w:p>
    <w:p w:rsidR="005E6958" w:rsidRDefault="005E6958" w:rsidP="005E6958">
      <w:pPr>
        <w:ind w:left="567"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La información que los sujetos obligados deberán publicar en cumplimiento a la presente fracción es la curricular no confidencial relacionada con todos los(as) servidores(as) públicos(as) y/o personas que desempeñen actualmente un empleo, cargo o comisión y/o ejerzan actos de autoridad en el sujeto obligado –desde nivel de jefe de departamento o equivalente y hasta el titular del sujeto obligado–, que permita conocer su trayectoria en el ámbito laboral y escolar</w:t>
      </w:r>
      <w:r>
        <w:rPr>
          <w:rFonts w:ascii="Palatino Linotype" w:eastAsia="Palatino Linotype" w:hAnsi="Palatino Linotype" w:cs="Palatino Linotype"/>
          <w:i/>
          <w:color w:val="000000"/>
          <w:sz w:val="22"/>
          <w:szCs w:val="22"/>
        </w:rPr>
        <w:t xml:space="preserve">. </w:t>
      </w:r>
    </w:p>
    <w:p w:rsidR="005E6958" w:rsidRDefault="005E6958" w:rsidP="005E6958">
      <w:pPr>
        <w:ind w:left="567"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Por cada servidor(a) público(a) se deberá especificar si ha sido acreedor a sanciones administrativas definitivas y que hayan sido aplicadas por autoridad u organismo competente. </w:t>
      </w:r>
    </w:p>
    <w:p w:rsidR="005E6958" w:rsidRDefault="005E6958" w:rsidP="005E6958">
      <w:pPr>
        <w:ind w:left="567" w:right="902"/>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 xml:space="preserve">Periodo de actualización: trimestral </w:t>
      </w:r>
    </w:p>
    <w:p w:rsidR="005E6958" w:rsidRDefault="005E6958" w:rsidP="005E6958">
      <w:pPr>
        <w:ind w:left="567" w:right="902"/>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En su caso, 15 días hábiles después de alguna modificación a la información de los servidores públicos que integran el sujeto obligado, así como su información curricular.</w:t>
      </w:r>
    </w:p>
    <w:p w:rsidR="005E6958" w:rsidRDefault="005E6958" w:rsidP="005E6958">
      <w:pPr>
        <w:ind w:left="567" w:right="902"/>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 xml:space="preserve">Conservar en el sitio de Internet: información vigente </w:t>
      </w:r>
    </w:p>
    <w:p w:rsidR="005E6958" w:rsidRDefault="005E6958" w:rsidP="005E6958">
      <w:pPr>
        <w:ind w:left="567"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lastRenderedPageBreak/>
        <w:t>Aplica a: todos los sujetos obligados</w:t>
      </w:r>
      <w:r>
        <w:rPr>
          <w:rFonts w:ascii="Palatino Linotype" w:eastAsia="Palatino Linotype" w:hAnsi="Palatino Linotype" w:cs="Palatino Linotype"/>
          <w:i/>
          <w:color w:val="000000"/>
          <w:sz w:val="22"/>
          <w:szCs w:val="22"/>
        </w:rPr>
        <w:t>”(Sic)</w:t>
      </w:r>
    </w:p>
    <w:p w:rsidR="005E6958" w:rsidRDefault="005E6958" w:rsidP="005E6958">
      <w:pPr>
        <w:ind w:left="567" w:right="902"/>
        <w:jc w:val="both"/>
        <w:rPr>
          <w:rFonts w:ascii="Palatino Linotype" w:eastAsia="Palatino Linotype" w:hAnsi="Palatino Linotype" w:cs="Palatino Linotype"/>
          <w:i/>
          <w:color w:val="000000"/>
          <w:sz w:val="22"/>
          <w:szCs w:val="22"/>
        </w:rPr>
      </w:pPr>
    </w:p>
    <w:p w:rsidR="005E6958" w:rsidRDefault="005E6958" w:rsidP="005E6958">
      <w:pPr>
        <w:spacing w:after="240" w:line="360" w:lineRule="auto"/>
        <w:ind w:right="51"/>
        <w:jc w:val="both"/>
        <w:rPr>
          <w:rFonts w:ascii="Palatino Linotype" w:eastAsia="Palatino Linotype" w:hAnsi="Palatino Linotype" w:cs="Palatino Linotype"/>
          <w:color w:val="000000"/>
        </w:rPr>
      </w:pPr>
      <w:r>
        <w:rPr>
          <w:rFonts w:ascii="Palatino Linotype" w:eastAsia="Palatino Linotype" w:hAnsi="Palatino Linotype" w:cs="Palatino Linotype"/>
          <w:noProof/>
          <w:color w:val="000000"/>
          <w:lang w:val="es-MX" w:eastAsia="es-MX"/>
        </w:rPr>
        <w:drawing>
          <wp:inline distT="0" distB="0" distL="0" distR="0" wp14:anchorId="3C8D4BE2" wp14:editId="13A4F4FF">
            <wp:extent cx="5671321" cy="3359150"/>
            <wp:effectExtent l="0" t="0" r="5715" b="0"/>
            <wp:docPr id="13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3"/>
                    <a:srcRect/>
                    <a:stretch>
                      <a:fillRect/>
                    </a:stretch>
                  </pic:blipFill>
                  <pic:spPr>
                    <a:xfrm>
                      <a:off x="0" y="0"/>
                      <a:ext cx="5672672" cy="3359950"/>
                    </a:xfrm>
                    <a:prstGeom prst="rect">
                      <a:avLst/>
                    </a:prstGeom>
                    <a:ln/>
                  </pic:spPr>
                </pic:pic>
              </a:graphicData>
            </a:graphic>
          </wp:inline>
        </w:drawing>
      </w:r>
      <w:r>
        <w:rPr>
          <w:noProof/>
          <w:lang w:val="es-MX" w:eastAsia="es-MX"/>
        </w:rPr>
        <mc:AlternateContent>
          <mc:Choice Requires="wps">
            <w:drawing>
              <wp:anchor distT="0" distB="0" distL="114300" distR="114300" simplePos="0" relativeHeight="251659264" behindDoc="0" locked="0" layoutInCell="1" hidden="0" allowOverlap="1" wp14:anchorId="3A579096" wp14:editId="4C529BF0">
                <wp:simplePos x="0" y="0"/>
                <wp:positionH relativeFrom="column">
                  <wp:posOffset>-12699</wp:posOffset>
                </wp:positionH>
                <wp:positionV relativeFrom="paragraph">
                  <wp:posOffset>889000</wp:posOffset>
                </wp:positionV>
                <wp:extent cx="5267325" cy="1049556"/>
                <wp:effectExtent l="0" t="0" r="0" b="0"/>
                <wp:wrapNone/>
                <wp:docPr id="125" name="Rectángulo 125"/>
                <wp:cNvGraphicFramePr/>
                <a:graphic xmlns:a="http://schemas.openxmlformats.org/drawingml/2006/main">
                  <a:graphicData uri="http://schemas.microsoft.com/office/word/2010/wordprocessingShape">
                    <wps:wsp>
                      <wps:cNvSpPr/>
                      <wps:spPr>
                        <a:xfrm>
                          <a:off x="2726625" y="3269510"/>
                          <a:ext cx="5238750" cy="1020981"/>
                        </a:xfrm>
                        <a:prstGeom prst="rect">
                          <a:avLst/>
                        </a:prstGeom>
                        <a:noFill/>
                        <a:ln w="28575" cap="flat" cmpd="sng">
                          <a:solidFill>
                            <a:srgbClr val="002060"/>
                          </a:solidFill>
                          <a:prstDash val="solid"/>
                          <a:miter lim="800000"/>
                          <a:headEnd type="none" w="sm" len="sm"/>
                          <a:tailEnd type="none" w="sm" len="sm"/>
                        </a:ln>
                      </wps:spPr>
                      <wps:txbx>
                        <w:txbxContent>
                          <w:p w:rsidR="0039028B" w:rsidRDefault="0039028B" w:rsidP="005E6958">
                            <w:pPr>
                              <w:textDirection w:val="btLr"/>
                            </w:pPr>
                          </w:p>
                        </w:txbxContent>
                      </wps:txbx>
                      <wps:bodyPr spcFirstLastPara="1" wrap="square" lIns="91425" tIns="91425" rIns="91425" bIns="91425" anchor="ctr" anchorCtr="0">
                        <a:noAutofit/>
                      </wps:bodyPr>
                    </wps:wsp>
                  </a:graphicData>
                </a:graphic>
              </wp:anchor>
            </w:drawing>
          </mc:Choice>
          <mc:Fallback xmlns:cx="http://schemas.microsoft.com/office/drawing/2014/chartex" xmlns:w16se="http://schemas.microsoft.com/office/word/2015/wordml/symex">
            <w:pict>
              <v:rect w14:anchorId="3A579096" id="Rectángulo 125" o:spid="_x0000_s1026" style="position:absolute;left:0;text-align:left;margin-left:-1pt;margin-top:70pt;width:414.75pt;height:82.6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" filled="f" strokecolor="#002060" strokeweight="2.25pt">
                <v:stroke startarrowwidth="narrow" startarrowlength="short" endarrowwidth="narrow" endarrowlength="short"/>
                <v:textbox inset="2.53958mm,2.53958mm,2.53958mm,2.53958mm">
                  <w:txbxContent>
                    <w:p w:rsidR="0039028B" w:rsidRDefault="0039028B" w:rsidP="005E6958">
                      <w:pPr>
                        <w:textDirection w:val="btLr"/>
                      </w:pPr>
                    </w:p>
                  </w:txbxContent>
                </v:textbox>
              </v:rect>
            </w:pict>
          </mc:Fallback>
        </mc:AlternateContent>
      </w:r>
    </w:p>
    <w:p w:rsidR="005E6958" w:rsidRDefault="005E6958" w:rsidP="005E6958">
      <w:pPr>
        <w:spacing w:before="240" w:after="240" w:line="360" w:lineRule="auto"/>
        <w:ind w:right="51"/>
        <w:jc w:val="both"/>
        <w:rPr>
          <w:rFonts w:ascii="Palatino Linotype" w:eastAsia="Palatino Linotype" w:hAnsi="Palatino Linotype" w:cs="Palatino Linotype"/>
          <w:color w:val="FF0000"/>
          <w:highlight w:val="green"/>
        </w:rPr>
      </w:pPr>
      <w:r>
        <w:rPr>
          <w:rFonts w:ascii="Palatino Linotype" w:eastAsia="Palatino Linotype" w:hAnsi="Palatino Linotype" w:cs="Palatino Linotype"/>
          <w:noProof/>
          <w:color w:val="FF0000"/>
          <w:highlight w:val="green"/>
          <w:lang w:val="es-MX" w:eastAsia="es-MX"/>
        </w:rPr>
        <w:drawing>
          <wp:inline distT="0" distB="0" distL="0" distR="0" wp14:anchorId="1835310A" wp14:editId="4BA700DC">
            <wp:extent cx="5610225" cy="2997200"/>
            <wp:effectExtent l="0" t="0" r="9525" b="0"/>
            <wp:docPr id="13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
                    <a:srcRect/>
                    <a:stretch>
                      <a:fillRect/>
                    </a:stretch>
                  </pic:blipFill>
                  <pic:spPr>
                    <a:xfrm>
                      <a:off x="0" y="0"/>
                      <a:ext cx="5610225" cy="2997200"/>
                    </a:xfrm>
                    <a:prstGeom prst="rect">
                      <a:avLst/>
                    </a:prstGeom>
                    <a:ln/>
                  </pic:spPr>
                </pic:pic>
              </a:graphicData>
            </a:graphic>
          </wp:inline>
        </w:drawing>
      </w:r>
    </w:p>
    <w:p w:rsidR="005E6958" w:rsidRDefault="005E6958" w:rsidP="005E6958">
      <w:pPr>
        <w:spacing w:before="240" w:after="240" w:line="360" w:lineRule="auto"/>
        <w:ind w:right="51"/>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 xml:space="preserve">Como se aprecia en el dispositivo legal citado, lo sujetos obligados deben publicar la información curricular desde el nivel del jefe de departamento o equivalente, hasta el titular del </w:t>
      </w:r>
      <w:r>
        <w:rPr>
          <w:rFonts w:ascii="Palatino Linotype" w:eastAsia="Palatino Linotype" w:hAnsi="Palatino Linotype" w:cs="Palatino Linotype"/>
          <w:b/>
          <w:color w:val="000000"/>
        </w:rPr>
        <w:t xml:space="preserve">SUJETO OBLIGADO, </w:t>
      </w:r>
      <w:r>
        <w:rPr>
          <w:rFonts w:ascii="Palatino Linotype" w:eastAsia="Palatino Linotype" w:hAnsi="Palatino Linotype" w:cs="Palatino Linotype"/>
          <w:color w:val="000000"/>
        </w:rPr>
        <w:t xml:space="preserve">como se apreció en la cita, respecto a la escolaridad mandata que se publique información referente al nivel máximo de estudios concluido y comprobable, mientras que respecto de la experiencia laboral, se requiere que se incluya información de los últimos tres empleos, en los que se advierta el campo de </w:t>
      </w:r>
      <w:r w:rsidRPr="00E158C7">
        <w:rPr>
          <w:rFonts w:ascii="Palatino Linotype" w:eastAsia="Palatino Linotype" w:hAnsi="Palatino Linotype" w:cs="Palatino Linotype"/>
          <w:b/>
          <w:color w:val="000000"/>
        </w:rPr>
        <w:t>experiencia que acredite sus habilidades, capacidades o pericia para desempeñar el cargo público</w:t>
      </w:r>
      <w:r>
        <w:rPr>
          <w:rFonts w:ascii="Palatino Linotype" w:eastAsia="Palatino Linotype" w:hAnsi="Palatino Linotype" w:cs="Palatino Linotype"/>
          <w:color w:val="000000"/>
        </w:rPr>
        <w:t>, debe precisarse que dicha circunstancia no es</w:t>
      </w:r>
      <w:r>
        <w:rPr>
          <w:rFonts w:ascii="Palatino Linotype" w:eastAsia="Palatino Linotype" w:hAnsi="Palatino Linotype" w:cs="Palatino Linotype"/>
          <w:b/>
          <w:color w:val="000000"/>
        </w:rPr>
        <w:t xml:space="preserve"> </w:t>
      </w:r>
      <w:r>
        <w:rPr>
          <w:rFonts w:ascii="Palatino Linotype" w:eastAsia="Palatino Linotype" w:hAnsi="Palatino Linotype" w:cs="Palatino Linotype"/>
          <w:color w:val="000000"/>
        </w:rPr>
        <w:t>óbice para que se encuentre impedido a contar con dicha información respecto de todos los servidores públicos con los que tenga una relación laboral.</w:t>
      </w:r>
    </w:p>
    <w:p w:rsidR="005E6958" w:rsidRDefault="005E6958" w:rsidP="005E6958">
      <w:pPr>
        <w:spacing w:before="240" w:after="240" w:line="360" w:lineRule="auto"/>
        <w:ind w:right="-234"/>
        <w:jc w:val="both"/>
        <w:rPr>
          <w:rFonts w:ascii="Palatino Linotype" w:eastAsia="Palatino Linotype" w:hAnsi="Palatino Linotype" w:cs="Palatino Linotype"/>
        </w:rPr>
      </w:pPr>
      <w:r>
        <w:rPr>
          <w:rFonts w:ascii="Palatino Linotype" w:eastAsia="Palatino Linotype" w:hAnsi="Palatino Linotype" w:cs="Palatino Linotype"/>
        </w:rPr>
        <w:t>De lo anterior, se desprende que una de las formas en que los ciudadanos pueden evaluar las aptitudes para desempeñar un cargo público determinado, es mediante la publicidad de ciertos datos contenidos en el currículum vitae, tales como: la trayectoria académica, profesional, laboral, así como todos aquellos que acrediten su capacidad, habilidades y pericia para ocupar el puesto público. Lo anterior, para favorecer la rendición de cuentas, pues la publicidad de lo anterior tiene como fin verificar el correcto desempeño de los sujetos obligados.</w:t>
      </w:r>
    </w:p>
    <w:p w:rsidR="005E6958" w:rsidRDefault="005E6958" w:rsidP="005E6958">
      <w:pPr>
        <w:spacing w:before="240" w:after="240" w:line="360" w:lineRule="auto"/>
        <w:ind w:right="-234"/>
        <w:jc w:val="both"/>
        <w:rPr>
          <w:rFonts w:ascii="Palatino Linotype" w:eastAsia="Palatino Linotype" w:hAnsi="Palatino Linotype" w:cs="Palatino Linotype"/>
        </w:rPr>
      </w:pPr>
      <w:r>
        <w:rPr>
          <w:rFonts w:ascii="Palatino Linotype" w:eastAsia="Palatino Linotype" w:hAnsi="Palatino Linotype" w:cs="Palatino Linotype"/>
        </w:rPr>
        <w:t xml:space="preserve">A mayor abundamiento conviene mencionar, el Criterio 03/09 emitido por el Pleno del entonces Instituto Federal de Acceso a la Información y Protección de Datos establece que: </w:t>
      </w:r>
    </w:p>
    <w:p w:rsidR="005E6958" w:rsidRDefault="005E6958" w:rsidP="005E6958">
      <w:pPr>
        <w:spacing w:before="240" w:after="240" w:line="276" w:lineRule="auto"/>
        <w:ind w:left="851" w:right="900"/>
        <w:jc w:val="both"/>
        <w:rPr>
          <w:rFonts w:ascii="Palatino Linotype" w:eastAsia="Palatino Linotype" w:hAnsi="Palatino Linotype" w:cs="Palatino Linotype"/>
        </w:rPr>
      </w:pPr>
      <w:r>
        <w:rPr>
          <w:rFonts w:ascii="Palatino Linotype" w:eastAsia="Palatino Linotype" w:hAnsi="Palatino Linotype" w:cs="Palatino Linotype"/>
          <w:i/>
          <w:sz w:val="22"/>
          <w:szCs w:val="22"/>
        </w:rPr>
        <w:t xml:space="preserve">“Curriculum Vitae de servidores públicos. Es obligación de los sujetos obligados otorgar acceso a versiones públicas de los mismos ante una solicitud de acceso. Uno </w:t>
      </w:r>
      <w:r>
        <w:rPr>
          <w:rFonts w:ascii="Palatino Linotype" w:eastAsia="Palatino Linotype" w:hAnsi="Palatino Linotype" w:cs="Palatino Linotype"/>
          <w:i/>
          <w:sz w:val="22"/>
          <w:szCs w:val="22"/>
        </w:rPr>
        <w:lastRenderedPageBreak/>
        <w:t xml:space="preserve">de los objetivos de la Ley Federal de Transparencia y Acceso a la Información Pública Gubernamental, de acuerdo con su artículo 4, fracción IV, es favorecer la rendición de cuentas a las personas, de manera que puedan valorar el desempeño de los sujetos obligados. Si bien en el curriculum vitae se describe información de una persona relacionada con su formación académica, trayectoria profesional, datos de contacto, datos biográficos, entre otros, los cuales constituyen datos personales, de acuerdo con lo previsto en el artículo 3, fracción II de la Ley Federal de Transparencia y Acceso a la Información Pública Gubernamental, y en consecuencia, representan información confidencial, en términos de lo establecido en el artículo 18, fracción II de la Ley Federal de Transparencia y Acceso a la Información Pública Gubernamental, tratándose del curriculum vitae de un servidor público, una de las formas en que los ciudadanos pueden evaluar sus aptitudes para desempeñar el cargo público que le ha sido encomendado, es mediante la publicidad de ciertos datos de los ahí contenidos. En esa tesitura, entre los datos personales del curriculum vitae de un servidor público susceptibles de hacerse del conocimiento público, ante una solicitud de acceso, se encuentran los relativos a su trayectoria académica, profesional, laboral, así como todos aquellos que acrediten su capacidad, habilidades o pericia para ocupar el cargo público.” </w:t>
      </w:r>
    </w:p>
    <w:p w:rsidR="005E6958" w:rsidRDefault="005E6958" w:rsidP="005E6958">
      <w:pPr>
        <w:spacing w:before="240" w:line="360" w:lineRule="auto"/>
        <w:jc w:val="both"/>
        <w:rPr>
          <w:rFonts w:ascii="Palatino Linotype" w:eastAsia="Palatino Linotype" w:hAnsi="Palatino Linotype" w:cs="Palatino Linotype"/>
        </w:rPr>
      </w:pPr>
      <w:r>
        <w:rPr>
          <w:rFonts w:ascii="Palatino Linotype" w:eastAsia="Palatino Linotype" w:hAnsi="Palatino Linotype" w:cs="Palatino Linotype"/>
          <w:color w:val="000000"/>
        </w:rPr>
        <w:t xml:space="preserve">Por lo que se estima </w:t>
      </w:r>
      <w:r w:rsidR="00E158C7">
        <w:rPr>
          <w:rFonts w:ascii="Palatino Linotype" w:eastAsia="Palatino Linotype" w:hAnsi="Palatino Linotype" w:cs="Palatino Linotype"/>
          <w:color w:val="000000"/>
        </w:rPr>
        <w:t>que,</w:t>
      </w:r>
      <w:r>
        <w:rPr>
          <w:rFonts w:ascii="Palatino Linotype" w:eastAsia="Palatino Linotype" w:hAnsi="Palatino Linotype" w:cs="Palatino Linotype"/>
          <w:color w:val="000000"/>
        </w:rPr>
        <w:t xml:space="preserve"> en el presente punto, es procedente la entrega </w:t>
      </w:r>
      <w:r w:rsidRPr="003E4484">
        <w:rPr>
          <w:rFonts w:ascii="Palatino Linotype" w:eastAsia="Palatino Linotype" w:hAnsi="Palatino Linotype" w:cs="Palatino Linotype"/>
          <w:color w:val="000000"/>
        </w:rPr>
        <w:t>de</w:t>
      </w:r>
      <w:r w:rsidR="00E158C7" w:rsidRPr="003E4484">
        <w:rPr>
          <w:rFonts w:ascii="Palatino Linotype" w:eastAsia="Palatino Linotype" w:hAnsi="Palatino Linotype" w:cs="Palatino Linotype"/>
          <w:color w:val="000000"/>
        </w:rPr>
        <w:t>l documento en donde consten la ficha curricular de la</w:t>
      </w:r>
      <w:r w:rsidRPr="003E4484">
        <w:rPr>
          <w:rFonts w:ascii="Palatino Linotype" w:eastAsia="Palatino Linotype" w:hAnsi="Palatino Linotype" w:cs="Palatino Linotype"/>
          <w:color w:val="000000"/>
        </w:rPr>
        <w:t xml:space="preserve"> </w:t>
      </w:r>
      <w:r w:rsidR="00E158C7" w:rsidRPr="003E4484">
        <w:rPr>
          <w:rFonts w:ascii="Palatino Linotype" w:eastAsia="Palatino Linotype" w:hAnsi="Palatino Linotype" w:cs="Palatino Linotype"/>
        </w:rPr>
        <w:t>Directora de Administración y Director del Instituto Municipal de Cultura Física y Deporte, vigente al siete de marzo</w:t>
      </w:r>
      <w:r w:rsidR="001049B3">
        <w:rPr>
          <w:rFonts w:ascii="Palatino Linotype" w:eastAsia="Palatino Linotype" w:hAnsi="Palatino Linotype" w:cs="Palatino Linotype"/>
        </w:rPr>
        <w:t xml:space="preserve"> del año dos mil veintidós, </w:t>
      </w:r>
      <w:r w:rsidRPr="003E4484">
        <w:rPr>
          <w:rFonts w:ascii="Palatino Linotype" w:eastAsia="Palatino Linotype" w:hAnsi="Palatino Linotype" w:cs="Palatino Linotype"/>
        </w:rPr>
        <w:t>de ser procedente en versión pública conforme a lo señalado por el considerando quinto del presente fallo.</w:t>
      </w:r>
      <w:r>
        <w:rPr>
          <w:rFonts w:ascii="Palatino Linotype" w:eastAsia="Palatino Linotype" w:hAnsi="Palatino Linotype" w:cs="Palatino Linotype"/>
        </w:rPr>
        <w:t xml:space="preserve"> </w:t>
      </w:r>
    </w:p>
    <w:p w:rsidR="005E6958" w:rsidRDefault="005E6958" w:rsidP="0047093D">
      <w:pPr>
        <w:spacing w:before="240" w:after="240" w:line="360" w:lineRule="auto"/>
        <w:contextualSpacing/>
        <w:jc w:val="both"/>
        <w:rPr>
          <w:rFonts w:ascii="Palatino Linotype" w:eastAsia="Palatino Linotype" w:hAnsi="Palatino Linotype" w:cs="Palatino Linotype"/>
        </w:rPr>
      </w:pPr>
    </w:p>
    <w:p w:rsidR="000A6D6B" w:rsidRDefault="00E158C7" w:rsidP="000A6D6B">
      <w:pPr>
        <w:spacing w:before="240" w:line="360" w:lineRule="auto"/>
        <w:ind w:right="49"/>
        <w:jc w:val="both"/>
        <w:rPr>
          <w:rFonts w:ascii="Palatino Linotype" w:eastAsia="Palatino Linotype" w:hAnsi="Palatino Linotype" w:cs="Palatino Linotype"/>
        </w:rPr>
      </w:pPr>
      <w:r w:rsidRPr="00E158C7">
        <w:rPr>
          <w:rFonts w:ascii="Palatino Linotype" w:eastAsia="Palatino Linotype" w:hAnsi="Palatino Linotype" w:cs="Palatino Linotype"/>
          <w:b/>
        </w:rPr>
        <w:t xml:space="preserve">En cuanto al </w:t>
      </w:r>
      <w:r w:rsidRPr="00E158C7">
        <w:rPr>
          <w:rFonts w:ascii="Palatino Linotype" w:eastAsia="Palatino Linotype" w:hAnsi="Palatino Linotype" w:cs="Palatino Linotype"/>
          <w:b/>
          <w:u w:val="single"/>
        </w:rPr>
        <w:t>Título o certificado de estudios</w:t>
      </w:r>
      <w:r w:rsidRPr="00E158C7">
        <w:rPr>
          <w:rFonts w:ascii="Palatino Linotype" w:eastAsia="Palatino Linotype" w:hAnsi="Palatino Linotype" w:cs="Palatino Linotype"/>
          <w:b/>
        </w:rPr>
        <w:t xml:space="preserve"> de la Directora de Administración y </w:t>
      </w:r>
      <w:r w:rsidRPr="00E158C7">
        <w:rPr>
          <w:rFonts w:ascii="Palatino Linotype" w:eastAsia="Palatino Linotype" w:hAnsi="Palatino Linotype" w:cs="Palatino Linotype"/>
          <w:b/>
          <w:u w:val="single"/>
        </w:rPr>
        <w:t>Nivel de escolaridad</w:t>
      </w:r>
      <w:r w:rsidR="000A6D6B">
        <w:rPr>
          <w:rFonts w:ascii="Palatino Linotype" w:eastAsia="Palatino Linotype" w:hAnsi="Palatino Linotype" w:cs="Palatino Linotype"/>
          <w:b/>
        </w:rPr>
        <w:t xml:space="preserve"> </w:t>
      </w:r>
      <w:r w:rsidR="000A6D6B" w:rsidRPr="000A6D6B">
        <w:rPr>
          <w:rFonts w:ascii="Palatino Linotype" w:eastAsia="Palatino Linotype" w:hAnsi="Palatino Linotype" w:cs="Palatino Linotype"/>
          <w:b/>
          <w:u w:val="single"/>
        </w:rPr>
        <w:t>y copia del último certificado de estudios</w:t>
      </w:r>
      <w:r w:rsidR="000A6D6B">
        <w:rPr>
          <w:rFonts w:ascii="Palatino Linotype" w:eastAsia="Palatino Linotype" w:hAnsi="Palatino Linotype" w:cs="Palatino Linotype"/>
          <w:b/>
        </w:rPr>
        <w:t xml:space="preserve"> </w:t>
      </w:r>
      <w:r w:rsidRPr="00E158C7">
        <w:rPr>
          <w:rFonts w:ascii="Palatino Linotype" w:eastAsia="Palatino Linotype" w:hAnsi="Palatino Linotype" w:cs="Palatino Linotype"/>
          <w:b/>
        </w:rPr>
        <w:t>del Director del Instituto Municipal de Cultura Física y Deporte</w:t>
      </w:r>
      <w:r>
        <w:rPr>
          <w:rFonts w:ascii="Palatino Linotype" w:eastAsia="Palatino Linotype" w:hAnsi="Palatino Linotype" w:cs="Palatino Linotype"/>
        </w:rPr>
        <w:t xml:space="preserve">, los documentos que colmaría dichos requerimientos serían </w:t>
      </w:r>
      <w:r w:rsidR="000A6D6B">
        <w:rPr>
          <w:rFonts w:ascii="Palatino Linotype" w:eastAsia="Palatino Linotype" w:hAnsi="Palatino Linotype" w:cs="Palatino Linotype"/>
        </w:rPr>
        <w:t xml:space="preserve">de manera enunciativa mas no limitada, los certificados, </w:t>
      </w:r>
      <w:r w:rsidR="000A6D6B">
        <w:rPr>
          <w:rFonts w:ascii="Palatino Linotype" w:eastAsia="Palatino Linotype" w:hAnsi="Palatino Linotype" w:cs="Palatino Linotype"/>
        </w:rPr>
        <w:lastRenderedPageBreak/>
        <w:t xml:space="preserve">diplomas, constancias, títulos o grados académicos que amparen estudios realizados </w:t>
      </w:r>
      <w:r>
        <w:rPr>
          <w:rFonts w:ascii="Palatino Linotype" w:eastAsia="Palatino Linotype" w:hAnsi="Palatino Linotype" w:cs="Palatino Linotype"/>
        </w:rPr>
        <w:t xml:space="preserve">en términos de lo señalado por el artículo </w:t>
      </w:r>
      <w:r w:rsidR="000A6D6B">
        <w:rPr>
          <w:rFonts w:ascii="Palatino Linotype" w:eastAsia="Palatino Linotype" w:hAnsi="Palatino Linotype" w:cs="Palatino Linotype"/>
        </w:rPr>
        <w:t>por el artículo 171 y 172 de la Ley de Educación del Estado de México, que señala:</w:t>
      </w:r>
    </w:p>
    <w:p w:rsidR="000A6D6B" w:rsidRDefault="000A6D6B" w:rsidP="000A6D6B">
      <w:pPr>
        <w:spacing w:before="240" w:after="240" w:line="276" w:lineRule="auto"/>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sidRPr="000A6D6B">
        <w:rPr>
          <w:rFonts w:ascii="Palatino Linotype" w:eastAsia="Palatino Linotype" w:hAnsi="Palatino Linotype" w:cs="Palatino Linotype"/>
          <w:i/>
          <w:sz w:val="22"/>
          <w:szCs w:val="22"/>
        </w:rPr>
        <w:t xml:space="preserve">Artículo 171. </w:t>
      </w:r>
      <w:r w:rsidRPr="000A6D6B">
        <w:rPr>
          <w:rFonts w:ascii="Palatino Linotype" w:eastAsia="Palatino Linotype" w:hAnsi="Palatino Linotype" w:cs="Palatino Linotype"/>
          <w:b/>
          <w:i/>
          <w:sz w:val="22"/>
          <w:szCs w:val="22"/>
        </w:rPr>
        <w:t>Las instituciones del Sistema Educativo expedirán certificados y otorgarán constancias, diplomas, títulos o grados académicos a las personas que hayan concluido estudios, de conformidad con los requisitos establecidos en los planes y programas correspondientes</w:t>
      </w:r>
      <w:r w:rsidRPr="000A6D6B">
        <w:rPr>
          <w:rFonts w:ascii="Palatino Linotype" w:eastAsia="Palatino Linotype" w:hAnsi="Palatino Linotype" w:cs="Palatino Linotype"/>
          <w:i/>
          <w:sz w:val="22"/>
          <w:szCs w:val="22"/>
        </w:rPr>
        <w:t xml:space="preserve">. </w:t>
      </w:r>
    </w:p>
    <w:p w:rsidR="000A6D6B" w:rsidRDefault="000A6D6B" w:rsidP="000A6D6B">
      <w:pPr>
        <w:spacing w:before="240" w:after="240" w:line="276" w:lineRule="auto"/>
        <w:ind w:left="851" w:right="900"/>
        <w:jc w:val="both"/>
        <w:rPr>
          <w:rFonts w:ascii="Palatino Linotype" w:eastAsia="Palatino Linotype" w:hAnsi="Palatino Linotype" w:cs="Palatino Linotype"/>
          <w:i/>
          <w:sz w:val="22"/>
          <w:szCs w:val="22"/>
        </w:rPr>
      </w:pPr>
      <w:r w:rsidRPr="000A6D6B">
        <w:rPr>
          <w:rFonts w:ascii="Palatino Linotype" w:eastAsia="Palatino Linotype" w:hAnsi="Palatino Linotype" w:cs="Palatino Linotype"/>
          <w:i/>
          <w:sz w:val="22"/>
          <w:szCs w:val="22"/>
        </w:rPr>
        <w:t xml:space="preserve">Dichos certificados, constancias, diplomas, títulos y grados deberán registrarse en el Sistema de Información y Gestión Educativa y tendrán validez en toda la República, en términos de lo dispuesto en la Ley General. </w:t>
      </w:r>
    </w:p>
    <w:p w:rsidR="000A6D6B" w:rsidRPr="000A6D6B" w:rsidRDefault="000A6D6B" w:rsidP="000A6D6B">
      <w:pPr>
        <w:spacing w:before="240" w:after="240" w:line="276" w:lineRule="auto"/>
        <w:ind w:left="851" w:right="900"/>
        <w:jc w:val="both"/>
        <w:rPr>
          <w:rFonts w:ascii="Palatino Linotype" w:eastAsia="Palatino Linotype" w:hAnsi="Palatino Linotype" w:cs="Palatino Linotype"/>
          <w:i/>
          <w:sz w:val="22"/>
          <w:szCs w:val="22"/>
        </w:rPr>
      </w:pPr>
      <w:r w:rsidRPr="000A6D6B">
        <w:rPr>
          <w:rFonts w:ascii="Palatino Linotype" w:eastAsia="Palatino Linotype" w:hAnsi="Palatino Linotype" w:cs="Palatino Linotype"/>
          <w:b/>
          <w:i/>
          <w:sz w:val="22"/>
          <w:szCs w:val="22"/>
        </w:rPr>
        <w:t>Artículo 172.- El certificado de estudios es el documento oficial mediante el cual la Autoridad Educativa Estatal reconoce que los educandos han concluido un nivel educativo determinado</w:t>
      </w:r>
      <w:r w:rsidRPr="000A6D6B">
        <w:rPr>
          <w:rFonts w:ascii="Palatino Linotype" w:eastAsia="Palatino Linotype" w:hAnsi="Palatino Linotype" w:cs="Palatino Linotype"/>
          <w:i/>
          <w:sz w:val="22"/>
          <w:szCs w:val="22"/>
        </w:rPr>
        <w:t>, en los tipos de educación básica, media superior y superior.</w:t>
      </w:r>
      <w:r>
        <w:rPr>
          <w:rFonts w:ascii="Palatino Linotype" w:eastAsia="Palatino Linotype" w:hAnsi="Palatino Linotype" w:cs="Palatino Linotype"/>
          <w:i/>
          <w:sz w:val="22"/>
          <w:szCs w:val="22"/>
        </w:rPr>
        <w:t>” (Sic)</w:t>
      </w:r>
    </w:p>
    <w:p w:rsidR="000A6D6B" w:rsidRDefault="000A6D6B" w:rsidP="000A6D6B">
      <w:pPr>
        <w:spacing w:before="240" w:line="360" w:lineRule="auto"/>
        <w:ind w:right="51"/>
        <w:contextualSpacing/>
        <w:jc w:val="both"/>
        <w:rPr>
          <w:rFonts w:ascii="Palatino Linotype" w:eastAsia="Palatino Linotype" w:hAnsi="Palatino Linotype" w:cs="Palatino Linotype"/>
        </w:rPr>
      </w:pPr>
      <w:r>
        <w:rPr>
          <w:rFonts w:ascii="Palatino Linotype" w:eastAsia="Palatino Linotype" w:hAnsi="Palatino Linotype" w:cs="Palatino Linotype"/>
        </w:rPr>
        <w:t>Por lo que conviene a traer lo señalado por el artículo 32 de la Ley Orgánica Municipal del Estado de México, en la que se destaca su fracción III, que señala:</w:t>
      </w:r>
    </w:p>
    <w:p w:rsidR="000A6D6B" w:rsidRDefault="000A6D6B" w:rsidP="000A6D6B">
      <w:pPr>
        <w:spacing w:before="240" w:after="240" w:line="276" w:lineRule="auto"/>
        <w:ind w:left="851" w:right="900"/>
        <w:jc w:val="both"/>
        <w:rPr>
          <w:rFonts w:ascii="Palatino Linotype" w:eastAsia="Palatino Linotype" w:hAnsi="Palatino Linotype" w:cs="Palatino Linotype"/>
          <w:b/>
          <w:i/>
          <w:sz w:val="22"/>
          <w:szCs w:val="22"/>
        </w:rPr>
      </w:pPr>
      <w:r>
        <w:rPr>
          <w:rFonts w:ascii="Palatino Linotype" w:eastAsia="Palatino Linotype" w:hAnsi="Palatino Linotype" w:cs="Palatino Linotype"/>
        </w:rPr>
        <w:t>“</w:t>
      </w:r>
      <w:r w:rsidRPr="000A6D6B">
        <w:rPr>
          <w:rFonts w:ascii="Palatino Linotype" w:eastAsia="Palatino Linotype" w:hAnsi="Palatino Linotype" w:cs="Palatino Linotype"/>
          <w:b/>
          <w:i/>
          <w:sz w:val="22"/>
          <w:szCs w:val="22"/>
        </w:rPr>
        <w:t>Artículo 32. Para ocupar las titularidades</w:t>
      </w:r>
      <w:r w:rsidRPr="000A6D6B">
        <w:rPr>
          <w:rFonts w:ascii="Palatino Linotype" w:eastAsia="Palatino Linotype" w:hAnsi="Palatino Linotype" w:cs="Palatino Linotype"/>
          <w:i/>
          <w:sz w:val="22"/>
          <w:szCs w:val="22"/>
        </w:rPr>
        <w:t xml:space="preserve"> de la Secretaría, la Tesorería, la Dirección de Obras Públicas, de Desarrollo Económico, de Turismo, de Ecología, de Desarrollo Urbano, de Desarrollo Social, de las Mujeres, de la Coordinación General Municipal de Mejora Regulatoria, de la Coordinación Municipal de Protección Civil, </w:t>
      </w:r>
      <w:r w:rsidRPr="000A6D6B">
        <w:rPr>
          <w:rFonts w:ascii="Palatino Linotype" w:eastAsia="Palatino Linotype" w:hAnsi="Palatino Linotype" w:cs="Palatino Linotype"/>
          <w:b/>
          <w:i/>
          <w:sz w:val="22"/>
          <w:szCs w:val="22"/>
        </w:rPr>
        <w:t xml:space="preserve">de </w:t>
      </w:r>
      <w:r w:rsidRPr="000A6D6B">
        <w:rPr>
          <w:rFonts w:ascii="Palatino Linotype" w:eastAsia="Palatino Linotype" w:hAnsi="Palatino Linotype" w:cs="Palatino Linotype"/>
          <w:b/>
          <w:i/>
          <w:sz w:val="22"/>
          <w:szCs w:val="22"/>
          <w:u w:val="single"/>
        </w:rPr>
        <w:t>las unidades administrativas y de los organismos auxiliares</w:t>
      </w:r>
      <w:r w:rsidRPr="000A6D6B">
        <w:rPr>
          <w:rFonts w:ascii="Palatino Linotype" w:eastAsia="Palatino Linotype" w:hAnsi="Palatino Linotype" w:cs="Palatino Linotype"/>
          <w:b/>
          <w:i/>
          <w:sz w:val="22"/>
          <w:szCs w:val="22"/>
        </w:rPr>
        <w:t>, se deberán satisfacer los siguientes requisitos:</w:t>
      </w:r>
    </w:p>
    <w:p w:rsidR="000A6D6B" w:rsidRPr="000A6D6B" w:rsidRDefault="000A6D6B" w:rsidP="000A6D6B">
      <w:pPr>
        <w:spacing w:before="240" w:after="240" w:line="276" w:lineRule="auto"/>
        <w:ind w:left="851" w:right="900"/>
        <w:jc w:val="both"/>
        <w:rPr>
          <w:rFonts w:ascii="Palatino Linotype" w:eastAsia="Palatino Linotype" w:hAnsi="Palatino Linotype" w:cs="Palatino Linotype"/>
          <w:i/>
          <w:sz w:val="22"/>
          <w:szCs w:val="22"/>
        </w:rPr>
      </w:pPr>
      <w:r w:rsidRPr="000A6D6B">
        <w:rPr>
          <w:rFonts w:ascii="Palatino Linotype" w:eastAsia="Palatino Linotype" w:hAnsi="Palatino Linotype" w:cs="Palatino Linotype"/>
          <w:b/>
          <w:i/>
          <w:sz w:val="22"/>
          <w:szCs w:val="22"/>
        </w:rPr>
        <w:t>III. Contar con título profesional o acreditar experiencia mínima de un año en la materia, ante la o el Presidente o el Ayuntamiento, cuando sea el caso, para el desempeño de los cargos que así lo requieran</w:t>
      </w:r>
      <w:r>
        <w:rPr>
          <w:rFonts w:ascii="Palatino Linotype" w:eastAsia="Palatino Linotype" w:hAnsi="Palatino Linotype" w:cs="Palatino Linotype"/>
          <w:i/>
          <w:sz w:val="22"/>
          <w:szCs w:val="22"/>
        </w:rPr>
        <w:t>…” (Sic)</w:t>
      </w:r>
    </w:p>
    <w:p w:rsidR="00E9006A" w:rsidRPr="00E9006A" w:rsidRDefault="000A6D6B" w:rsidP="000A6D6B">
      <w:pPr>
        <w:spacing w:before="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Con lo cual se acredita que el </w:t>
      </w:r>
      <w:r w:rsidRPr="000A6D6B">
        <w:rPr>
          <w:rFonts w:ascii="Palatino Linotype" w:eastAsia="Palatino Linotype" w:hAnsi="Palatino Linotype" w:cs="Palatino Linotype"/>
          <w:b/>
        </w:rPr>
        <w:t>SUJETO OBLIGADO</w:t>
      </w:r>
      <w:r>
        <w:rPr>
          <w:rFonts w:ascii="Palatino Linotype" w:eastAsia="Palatino Linotype" w:hAnsi="Palatino Linotype" w:cs="Palatino Linotype"/>
        </w:rPr>
        <w:t>, debe tener dentro de sus archivos los documento que contengan el título profesional o los documentos en donde conste la experiencia en el cargo a ocupar</w:t>
      </w:r>
      <w:r w:rsidR="009D1E8D">
        <w:rPr>
          <w:rFonts w:ascii="Palatino Linotype" w:eastAsia="Palatino Linotype" w:hAnsi="Palatino Linotype" w:cs="Palatino Linotype"/>
        </w:rPr>
        <w:t xml:space="preserve"> en este caso en materia de Administración y Deporte</w:t>
      </w:r>
      <w:r>
        <w:rPr>
          <w:rFonts w:ascii="Palatino Linotype" w:eastAsia="Palatino Linotype" w:hAnsi="Palatino Linotype" w:cs="Palatino Linotype"/>
        </w:rPr>
        <w:t xml:space="preserve">; razones por la cual lo precedente es ordenar </w:t>
      </w:r>
      <w:r w:rsidRPr="003E4484">
        <w:rPr>
          <w:rFonts w:ascii="Palatino Linotype" w:eastAsia="Palatino Linotype" w:hAnsi="Palatino Linotype" w:cs="Palatino Linotype"/>
        </w:rPr>
        <w:t xml:space="preserve">el documento </w:t>
      </w:r>
      <w:r w:rsidR="00E9006A" w:rsidRPr="003E4484">
        <w:rPr>
          <w:rFonts w:ascii="Palatino Linotype" w:eastAsia="Palatino Linotype" w:hAnsi="Palatino Linotype" w:cs="Palatino Linotype"/>
        </w:rPr>
        <w:t xml:space="preserve">o documentos </w:t>
      </w:r>
      <w:r w:rsidRPr="003E4484">
        <w:rPr>
          <w:rFonts w:ascii="Palatino Linotype" w:eastAsia="Palatino Linotype" w:hAnsi="Palatino Linotype" w:cs="Palatino Linotype"/>
        </w:rPr>
        <w:t xml:space="preserve">en donde conste </w:t>
      </w:r>
      <w:r w:rsidR="00E9006A" w:rsidRPr="003E4484">
        <w:rPr>
          <w:rFonts w:ascii="Palatino Linotype" w:eastAsia="Palatino Linotype" w:hAnsi="Palatino Linotype" w:cs="Palatino Linotype"/>
        </w:rPr>
        <w:t xml:space="preserve">el título o </w:t>
      </w:r>
      <w:r w:rsidR="001049B3">
        <w:rPr>
          <w:rFonts w:ascii="Palatino Linotype" w:eastAsia="Palatino Linotype" w:hAnsi="Palatino Linotype" w:cs="Palatino Linotype"/>
        </w:rPr>
        <w:t>documento donde se acredite el último grado</w:t>
      </w:r>
      <w:r w:rsidR="00E9006A" w:rsidRPr="003E4484">
        <w:rPr>
          <w:rFonts w:ascii="Palatino Linotype" w:eastAsia="Palatino Linotype" w:hAnsi="Palatino Linotype" w:cs="Palatino Linotype"/>
        </w:rPr>
        <w:t xml:space="preserve"> de estudios de la</w:t>
      </w:r>
      <w:r w:rsidR="00E9006A" w:rsidRPr="003E4484">
        <w:rPr>
          <w:rFonts w:ascii="Palatino Linotype" w:eastAsia="Palatino Linotype" w:hAnsi="Palatino Linotype" w:cs="Palatino Linotype"/>
          <w:b/>
        </w:rPr>
        <w:t xml:space="preserve"> </w:t>
      </w:r>
      <w:r w:rsidR="00E9006A" w:rsidRPr="003E4484">
        <w:rPr>
          <w:rFonts w:ascii="Palatino Linotype" w:eastAsia="Palatino Linotype" w:hAnsi="Palatino Linotype" w:cs="Palatino Linotype"/>
        </w:rPr>
        <w:t>Directora de Administración y del Director del Instituto Municipal de Cultura Física y Deporte, vigente al siete de ma</w:t>
      </w:r>
      <w:r w:rsidR="001049B3">
        <w:rPr>
          <w:rFonts w:ascii="Palatino Linotype" w:eastAsia="Palatino Linotype" w:hAnsi="Palatino Linotype" w:cs="Palatino Linotype"/>
        </w:rPr>
        <w:t xml:space="preserve">rzo del año dos mil veintidós, </w:t>
      </w:r>
      <w:r w:rsidR="00E9006A" w:rsidRPr="003E4484">
        <w:rPr>
          <w:rFonts w:ascii="Palatino Linotype" w:eastAsia="Palatino Linotype" w:hAnsi="Palatino Linotype" w:cs="Palatino Linotype"/>
        </w:rPr>
        <w:t>de ser procedente en versión pública conforme a lo señalado en el considerando quinto del presente fallo.</w:t>
      </w:r>
      <w:r w:rsidR="00E9006A">
        <w:rPr>
          <w:rFonts w:ascii="Palatino Linotype" w:eastAsia="Palatino Linotype" w:hAnsi="Palatino Linotype" w:cs="Palatino Linotype"/>
        </w:rPr>
        <w:t xml:space="preserve"> </w:t>
      </w:r>
    </w:p>
    <w:p w:rsidR="008F7E78" w:rsidRDefault="00E9006A" w:rsidP="0039028B">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Por otro lado, </w:t>
      </w:r>
      <w:r w:rsidRPr="00E9006A">
        <w:rPr>
          <w:rFonts w:ascii="Palatino Linotype" w:eastAsia="Palatino Linotype" w:hAnsi="Palatino Linotype" w:cs="Palatino Linotype"/>
          <w:b/>
        </w:rPr>
        <w:t>sobre el perfil de puesto de la Directora de</w:t>
      </w:r>
      <w:r w:rsidRPr="00E158C7">
        <w:rPr>
          <w:rFonts w:ascii="Palatino Linotype" w:eastAsia="Palatino Linotype" w:hAnsi="Palatino Linotype" w:cs="Palatino Linotype"/>
          <w:b/>
        </w:rPr>
        <w:t xml:space="preserve"> Administración</w:t>
      </w:r>
      <w:r w:rsidR="00A741A0">
        <w:rPr>
          <w:rFonts w:ascii="Palatino Linotype" w:eastAsia="Palatino Linotype" w:hAnsi="Palatino Linotype" w:cs="Palatino Linotype"/>
          <w:b/>
        </w:rPr>
        <w:t xml:space="preserve">, </w:t>
      </w:r>
      <w:r w:rsidR="008F7E78">
        <w:rPr>
          <w:rFonts w:ascii="Palatino Linotype" w:eastAsia="Palatino Linotype" w:hAnsi="Palatino Linotype" w:cs="Palatino Linotype"/>
          <w:b/>
        </w:rPr>
        <w:t>el SUJETO OBLIGADO</w:t>
      </w:r>
      <w:r w:rsidR="0039028B">
        <w:rPr>
          <w:rFonts w:ascii="Palatino Linotype" w:eastAsia="Palatino Linotype" w:hAnsi="Palatino Linotype" w:cs="Palatino Linotype"/>
        </w:rPr>
        <w:t xml:space="preserve">, </w:t>
      </w:r>
      <w:r w:rsidR="008F7E78">
        <w:rPr>
          <w:rFonts w:ascii="Palatino Linotype" w:eastAsia="Palatino Linotype" w:hAnsi="Palatino Linotype" w:cs="Palatino Linotype"/>
        </w:rPr>
        <w:t>el perfil de puestos es señalado por el artículo 92, fracción XII de la Ley de la Materia y sección III fracción XII de los lineamientos técnicos para la publicación, homologación y estandarización de la información establecida en el título quinto, capítulos II, III y IV, y el título noveno de la ley de transparencia y acceso a la información pública del Estado de México y Municipios; adicional de que aquella contemplada en el título quinto de la ley general de transparencia y acceso a la información pública, como una obligación de transparencia, la siguiente:</w:t>
      </w:r>
    </w:p>
    <w:p w:rsidR="008F7E78" w:rsidRDefault="008F7E78" w:rsidP="008F7E78">
      <w:pPr>
        <w:spacing w:before="240"/>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92</w:t>
      </w:r>
      <w:r>
        <w:rPr>
          <w:rFonts w:ascii="Palatino Linotype" w:eastAsia="Palatino Linotype" w:hAnsi="Palatino Linotype" w:cs="Palatino Linotype"/>
          <w:i/>
          <w:sz w:val="22"/>
          <w:szCs w:val="22"/>
        </w:rPr>
        <w:t>.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8F7E78" w:rsidRDefault="008F7E78" w:rsidP="008F7E78">
      <w:pPr>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XII.</w:t>
      </w:r>
      <w:r>
        <w:rPr>
          <w:rFonts w:ascii="Palatino Linotype" w:eastAsia="Palatino Linotype" w:hAnsi="Palatino Linotype" w:cs="Palatino Linotype"/>
          <w:i/>
          <w:sz w:val="22"/>
          <w:szCs w:val="22"/>
        </w:rPr>
        <w:t xml:space="preserve"> El perfil de los puestos de los servidores públicos a su servicio en los casos que aplique;</w:t>
      </w:r>
    </w:p>
    <w:p w:rsidR="002B35BB" w:rsidRDefault="002B35BB" w:rsidP="008F7E78">
      <w:pPr>
        <w:ind w:left="567" w:right="616"/>
        <w:jc w:val="center"/>
        <w:rPr>
          <w:rFonts w:ascii="Palatino Linotype" w:eastAsia="Palatino Linotype" w:hAnsi="Palatino Linotype" w:cs="Palatino Linotype"/>
          <w:b/>
          <w:i/>
          <w:sz w:val="22"/>
          <w:szCs w:val="22"/>
        </w:rPr>
      </w:pPr>
    </w:p>
    <w:p w:rsidR="008F7E78" w:rsidRDefault="008F7E78" w:rsidP="008F7E78">
      <w:pPr>
        <w:ind w:left="567" w:right="616"/>
        <w:jc w:val="center"/>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Sección III</w:t>
      </w:r>
    </w:p>
    <w:p w:rsidR="002B35BB" w:rsidRDefault="002B35BB" w:rsidP="008F7E78">
      <w:pPr>
        <w:ind w:left="567" w:right="616"/>
        <w:jc w:val="center"/>
        <w:rPr>
          <w:rFonts w:ascii="Palatino Linotype" w:eastAsia="Palatino Linotype" w:hAnsi="Palatino Linotype" w:cs="Palatino Linotype"/>
          <w:b/>
          <w:i/>
          <w:sz w:val="22"/>
          <w:szCs w:val="22"/>
        </w:rPr>
      </w:pPr>
    </w:p>
    <w:p w:rsidR="008F7E78" w:rsidRDefault="008F7E78" w:rsidP="008F7E78">
      <w:pPr>
        <w:ind w:left="567" w:right="616"/>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lastRenderedPageBreak/>
        <w:t>XII. El perfil de los puestos de los servidores públicos a su servicio en los casos que aplique;</w:t>
      </w:r>
    </w:p>
    <w:p w:rsidR="008F7E78" w:rsidRDefault="008F7E78" w:rsidP="008F7E78">
      <w:pPr>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De conformidad con lo dispuesto por el TITULO CUARTO De las Obligaciones de las Instituciones Públicas, CAPITULO II Del Sistema de Profesionalización de los Servidores Públicos Generales, artículos 99 y 100, fracción I de la Ley del Trabajo de los Servidores Públicos del Estado y Municipios2 ; las instituciones públicas establecerán un sistema de profesionalización que permita el ingreso al servicio a los aspirantes más calificados, y garantice la estabilidad y movilidad laborales de los servidores públicos conforme a su desarrollo profesional y a sus méritos en el servicio.</w:t>
      </w:r>
    </w:p>
    <w:p w:rsidR="008F7E78" w:rsidRDefault="008F7E78" w:rsidP="008F7E78">
      <w:pPr>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sistemas de profesionalización que establezcan las instituciones públicas deberán conformarse, entre otros instrumentos, por un catálogo de puestos por institución pública o dependencia, que deberá contener el perfil de cada uno de los existentes, los requisitos necesarios para desempeñarlos y el nivel salarial y escalafonario que les corresponde.</w:t>
      </w:r>
    </w:p>
    <w:p w:rsidR="008F7E78" w:rsidRDefault="008F7E78" w:rsidP="008F7E78">
      <w:pPr>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términos del artículo 41 del Reglamento de Escalafón de los Servidores Públicos Generales del Poder Ejecutivo del Estado de México; para ingresar a prestar servicios en las dependencias del Poder Ejecutivo o en la otrora Procuraduría General de Justicia del Estado de México3 , en cualquiera de los puestos de pie de rama, los candidatos deberán cubrir los requisitos que se determinan en la Ley del Trabajo de los Servidores Públicos del Estado y Municipios, en las Condiciones Generales y en las cédulas de identificación de puestos que forman parte del Catálogo General de Puestos.</w:t>
      </w:r>
    </w:p>
    <w:p w:rsidR="008F7E78" w:rsidRDefault="008F7E78" w:rsidP="008F7E78">
      <w:pPr>
        <w:ind w:left="567" w:right="616"/>
        <w:jc w:val="both"/>
        <w:rPr>
          <w:rFonts w:ascii="Palatino Linotype" w:eastAsia="Palatino Linotype" w:hAnsi="Palatino Linotype" w:cs="Palatino Linotype"/>
          <w:i/>
          <w:sz w:val="22"/>
          <w:szCs w:val="22"/>
        </w:rPr>
      </w:pPr>
      <w:r w:rsidRPr="002B35BB">
        <w:rPr>
          <w:rFonts w:ascii="Palatino Linotype" w:eastAsia="Palatino Linotype" w:hAnsi="Palatino Linotype" w:cs="Palatino Linotype"/>
          <w:b/>
          <w:i/>
          <w:sz w:val="22"/>
          <w:szCs w:val="22"/>
          <w:u w:val="single"/>
        </w:rPr>
        <w:t>Los sujetos obligados que no estén regulados por los ordenamientos anteriores, publicarán los perfiles de los puestos con que cuenten en su estructura, de acuerdo con la normatividad aplicable</w:t>
      </w:r>
      <w:r>
        <w:rPr>
          <w:rFonts w:ascii="Palatino Linotype" w:eastAsia="Palatino Linotype" w:hAnsi="Palatino Linotype" w:cs="Palatino Linotype"/>
          <w:i/>
          <w:sz w:val="22"/>
          <w:szCs w:val="22"/>
        </w:rPr>
        <w:t>.</w:t>
      </w:r>
    </w:p>
    <w:p w:rsidR="008F7E78" w:rsidRDefault="008F7E78" w:rsidP="008F7E78">
      <w:pPr>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El artículo 44 del Reglamento de Escalafón de los Servidores Públicos Generales del Poder Ejecutivo del Estado de México, prevé los requisitos para ocupar puestos escalafonarios son los establecidos en las cédulas de identificación de puestos que forman parte del Catálogo General de Puestos, en el que se especifica el título de cada puesto, el grupo y rama al que pertenece, el nivel salarial que le corresponde, así como su clasificación. Asimismo, el artículo 48 consigna que los requisitos establecidos para ocupar los puestos escalafonarios constituyen el perfil del puesto, el cual predetermina las condiciones mínimas que debe acreditar el servidor público para el desempeño del puesto.</w:t>
      </w:r>
    </w:p>
    <w:p w:rsidR="008F7E78" w:rsidRDefault="008F7E78" w:rsidP="008F7E78">
      <w:pPr>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Conforme al Manual de Procedimientos de la Subdirección de Escalafón de la Secretaría de Finanzas, del Poder Ejecutivo del Estado de México; </w:t>
      </w:r>
      <w:r>
        <w:rPr>
          <w:rFonts w:ascii="Palatino Linotype" w:eastAsia="Palatino Linotype" w:hAnsi="Palatino Linotype" w:cs="Palatino Linotype"/>
          <w:b/>
          <w:i/>
          <w:sz w:val="22"/>
          <w:szCs w:val="22"/>
          <w:u w:val="single"/>
        </w:rPr>
        <w:t>el Perfil de Puesto</w:t>
      </w:r>
      <w:r>
        <w:rPr>
          <w:rFonts w:ascii="Palatino Linotype" w:eastAsia="Palatino Linotype" w:hAnsi="Palatino Linotype" w:cs="Palatino Linotype"/>
          <w:b/>
          <w:i/>
          <w:sz w:val="22"/>
          <w:szCs w:val="22"/>
        </w:rPr>
        <w:t xml:space="preserve"> es la “</w:t>
      </w:r>
      <w:r>
        <w:rPr>
          <w:rFonts w:ascii="Palatino Linotype" w:eastAsia="Palatino Linotype" w:hAnsi="Palatino Linotype" w:cs="Palatino Linotype"/>
          <w:b/>
          <w:i/>
          <w:sz w:val="22"/>
          <w:szCs w:val="22"/>
          <w:u w:val="single"/>
        </w:rPr>
        <w:t>Herramienta que contiene las características que la o el ocupante de un puesto debe tener para poder cumplir con las funciones del mismo, tales como preparación académica, competencias, experiencia, así como las condiciones de trabajo.</w:t>
      </w:r>
      <w:r>
        <w:rPr>
          <w:rFonts w:ascii="Palatino Linotype" w:eastAsia="Palatino Linotype" w:hAnsi="Palatino Linotype" w:cs="Palatino Linotype"/>
          <w:i/>
          <w:sz w:val="22"/>
          <w:szCs w:val="22"/>
        </w:rPr>
        <w:t>” (Sic)</w:t>
      </w:r>
    </w:p>
    <w:p w:rsidR="008F7E78" w:rsidRDefault="008F7E78" w:rsidP="008F7E78">
      <w:pPr>
        <w:spacing w:line="360" w:lineRule="auto"/>
        <w:ind w:right="51"/>
        <w:jc w:val="both"/>
        <w:rPr>
          <w:rFonts w:ascii="Palatino Linotype" w:eastAsia="Palatino Linotype" w:hAnsi="Palatino Linotype" w:cs="Palatino Linotype"/>
        </w:rPr>
      </w:pPr>
    </w:p>
    <w:p w:rsidR="00A741A0" w:rsidRDefault="00A741A0" w:rsidP="00A741A0">
      <w:pPr>
        <w:spacing w:before="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En este sentido se acredita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es competente para generar, poseer y administrara la información solicitada; de ahí que, la información debe obrar en los archivos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conforme a lo previsto en el artículo 19, párrafo primero de la Ley de Transparencia y Acceso a la Información Pública de la entidad que ordena: </w:t>
      </w:r>
    </w:p>
    <w:p w:rsidR="00A741A0" w:rsidRDefault="00A741A0" w:rsidP="00A741A0">
      <w:pPr>
        <w:spacing w:line="360" w:lineRule="auto"/>
        <w:ind w:left="851" w:right="902"/>
        <w:jc w:val="both"/>
        <w:rPr>
          <w:rFonts w:ascii="Palatino Linotype" w:eastAsia="Palatino Linotype" w:hAnsi="Palatino Linotype" w:cs="Palatino Linotype"/>
          <w:i/>
          <w:sz w:val="22"/>
          <w:szCs w:val="22"/>
        </w:rPr>
      </w:pPr>
    </w:p>
    <w:p w:rsidR="00A741A0" w:rsidRDefault="00A741A0" w:rsidP="00A741A0">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19.</w:t>
      </w:r>
      <w:r>
        <w:rPr>
          <w:rFonts w:ascii="Palatino Linotype" w:eastAsia="Palatino Linotype" w:hAnsi="Palatino Linotype" w:cs="Palatino Linotype"/>
          <w:i/>
          <w:sz w:val="22"/>
          <w:szCs w:val="22"/>
        </w:rPr>
        <w:t xml:space="preserve"> Se presume que la información debe existir si se refiere a las facultades, competencias y funciones que los ordenamientos jurídicos aplicables otorgan a los sujetos obligados…” (Sic)</w:t>
      </w:r>
    </w:p>
    <w:p w:rsidR="00A741A0" w:rsidRDefault="00A741A0" w:rsidP="00E9006A">
      <w:pPr>
        <w:spacing w:before="240" w:after="240" w:line="360" w:lineRule="auto"/>
        <w:contextualSpacing/>
        <w:jc w:val="both"/>
        <w:rPr>
          <w:rFonts w:ascii="Palatino Linotype" w:eastAsia="Palatino Linotype" w:hAnsi="Palatino Linotype" w:cs="Palatino Linotype"/>
        </w:rPr>
      </w:pPr>
    </w:p>
    <w:p w:rsidR="008F7E78" w:rsidRDefault="008F7E78" w:rsidP="00E9006A">
      <w:pPr>
        <w:spacing w:before="240" w:after="240" w:line="360" w:lineRule="auto"/>
        <w:contextualSpacing/>
        <w:jc w:val="both"/>
        <w:rPr>
          <w:rFonts w:ascii="Palatino Linotype" w:eastAsia="Palatino Linotype" w:hAnsi="Palatino Linotype" w:cs="Palatino Linotype"/>
        </w:rPr>
      </w:pPr>
      <w:r w:rsidRPr="003E4484">
        <w:rPr>
          <w:rFonts w:ascii="Palatino Linotype" w:eastAsia="Palatino Linotype" w:hAnsi="Palatino Linotype" w:cs="Palatino Linotype"/>
        </w:rPr>
        <w:t>Razones por las cuales lo procedente es ordenar el documento en donde conste el perfil de puesto de la Directora de Administración, vigente al siete de marzo del año dos mil veintidós.</w:t>
      </w:r>
      <w:r>
        <w:rPr>
          <w:rFonts w:ascii="Palatino Linotype" w:eastAsia="Palatino Linotype" w:hAnsi="Palatino Linotype" w:cs="Palatino Linotype"/>
        </w:rPr>
        <w:t xml:space="preserve"> </w:t>
      </w:r>
    </w:p>
    <w:p w:rsidR="006265A2" w:rsidRDefault="006265A2" w:rsidP="00E9006A">
      <w:pPr>
        <w:spacing w:before="240" w:after="240" w:line="360" w:lineRule="auto"/>
        <w:contextualSpacing/>
        <w:jc w:val="both"/>
        <w:rPr>
          <w:rFonts w:ascii="Palatino Linotype" w:eastAsia="Palatino Linotype" w:hAnsi="Palatino Linotype" w:cs="Palatino Linotype"/>
        </w:rPr>
      </w:pPr>
    </w:p>
    <w:p w:rsidR="006265A2" w:rsidRDefault="006265A2" w:rsidP="0047093D">
      <w:pPr>
        <w:spacing w:before="240" w:after="240" w:line="360" w:lineRule="auto"/>
        <w:contextualSpacing/>
        <w:jc w:val="both"/>
        <w:rPr>
          <w:rFonts w:ascii="Palatino Linotype" w:eastAsia="Palatino Linotype" w:hAnsi="Palatino Linotype" w:cs="Palatino Linotype"/>
        </w:rPr>
      </w:pPr>
      <w:r w:rsidRPr="00ED13F2">
        <w:rPr>
          <w:rFonts w:ascii="Palatino Linotype" w:eastAsia="Palatino Linotype" w:hAnsi="Palatino Linotype" w:cs="Palatino Linotype"/>
        </w:rPr>
        <w:t xml:space="preserve">Por lo que atañe a la </w:t>
      </w:r>
      <w:r w:rsidRPr="003E4484">
        <w:rPr>
          <w:rFonts w:ascii="Palatino Linotype" w:eastAsia="Palatino Linotype" w:hAnsi="Palatino Linotype" w:cs="Palatino Linotype"/>
          <w:b/>
          <w:u w:val="single"/>
        </w:rPr>
        <w:t>declaración de intereses de la Directora de Administración</w:t>
      </w:r>
      <w:r w:rsidRPr="003E4484">
        <w:rPr>
          <w:rFonts w:ascii="Palatino Linotype" w:eastAsia="Palatino Linotype" w:hAnsi="Palatino Linotype" w:cs="Palatino Linotype"/>
          <w:b/>
        </w:rPr>
        <w:t>:</w:t>
      </w:r>
    </w:p>
    <w:p w:rsidR="00ED13F2" w:rsidRDefault="00ED13F2" w:rsidP="0047093D">
      <w:pPr>
        <w:spacing w:before="240" w:after="240" w:line="360" w:lineRule="auto"/>
        <w:contextualSpacing/>
        <w:jc w:val="both"/>
        <w:rPr>
          <w:rFonts w:ascii="Palatino Linotype" w:eastAsia="Palatino Linotype" w:hAnsi="Palatino Linotype" w:cs="Palatino Linotype"/>
        </w:rPr>
      </w:pPr>
    </w:p>
    <w:p w:rsidR="00ED13F2" w:rsidRPr="00ED13F2" w:rsidRDefault="00ED13F2" w:rsidP="00ED13F2">
      <w:pPr>
        <w:spacing w:before="240" w:line="360" w:lineRule="auto"/>
        <w:jc w:val="both"/>
        <w:rPr>
          <w:rFonts w:ascii="Palatino Linotype" w:eastAsia="Palatino Linotype" w:hAnsi="Palatino Linotype" w:cs="Palatino Linotype"/>
        </w:rPr>
      </w:pPr>
      <w:r w:rsidRPr="00ED13F2">
        <w:rPr>
          <w:rFonts w:ascii="Palatino Linotype" w:eastAsia="Palatino Linotype" w:hAnsi="Palatino Linotype" w:cs="Palatino Linotype"/>
        </w:rPr>
        <w:t>Es un documento que tiene por objeto informar y determinar el conjunto de intereses de un servidor púb</w:t>
      </w:r>
      <w:r w:rsidR="007D528C">
        <w:rPr>
          <w:rFonts w:ascii="Palatino Linotype" w:eastAsia="Palatino Linotype" w:hAnsi="Palatino Linotype" w:cs="Palatino Linotype"/>
        </w:rPr>
        <w:t>lico a fin de delimitar cuando e</w:t>
      </w:r>
      <w:r w:rsidRPr="00ED13F2">
        <w:rPr>
          <w:rFonts w:ascii="Palatino Linotype" w:eastAsia="Palatino Linotype" w:hAnsi="Palatino Linotype" w:cs="Palatino Linotype"/>
        </w:rPr>
        <w:t>stos entran en conflicto con su función, mediante el cual se informan intereses personales que de manera directa o indirecta (por medio de familiares) incidan o puedan afec</w:t>
      </w:r>
      <w:r>
        <w:rPr>
          <w:rFonts w:ascii="Palatino Linotype" w:eastAsia="Palatino Linotype" w:hAnsi="Palatino Linotype" w:cs="Palatino Linotype"/>
        </w:rPr>
        <w:t xml:space="preserve">tar el ejercicio de su funciones, conforme a lo señalado en </w:t>
      </w:r>
      <w:r w:rsidRPr="00ED13F2">
        <w:rPr>
          <w:rFonts w:ascii="Palatino Linotype" w:eastAsia="Palatino Linotype" w:hAnsi="Palatino Linotype" w:cs="Palatino Linotype"/>
        </w:rPr>
        <w:t>los artículos 44, 45 y 46 de la Ley de Responsabilidades Administrativas del Estado de México y Municipios, publicada en “Gaceta del Gobierno” el 3</w:t>
      </w:r>
      <w:r>
        <w:rPr>
          <w:rFonts w:ascii="Palatino Linotype" w:eastAsia="Palatino Linotype" w:hAnsi="Palatino Linotype" w:cs="Palatino Linotype"/>
        </w:rPr>
        <w:t xml:space="preserve">0 de mayo del 2017, como severa más adelante. </w:t>
      </w:r>
    </w:p>
    <w:p w:rsidR="00ED13F2" w:rsidRPr="00ED13F2" w:rsidRDefault="00ED13F2" w:rsidP="00ED13F2">
      <w:pPr>
        <w:spacing w:line="360" w:lineRule="auto"/>
        <w:jc w:val="both"/>
        <w:rPr>
          <w:rFonts w:ascii="Palatino Linotype" w:eastAsia="Palatino Linotype" w:hAnsi="Palatino Linotype" w:cs="Palatino Linotype"/>
        </w:rPr>
      </w:pPr>
    </w:p>
    <w:p w:rsidR="00ED13F2" w:rsidRDefault="00ED13F2" w:rsidP="00ED13F2">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Una vez precisado lo anterior, se procede a entrar en materia comenzando que en términos del artículo 112 fracciones VIII y XVI de la Ley Orgánica Municipal del Estado de México, en concordancia </w:t>
      </w:r>
      <w:r w:rsidR="0039028B" w:rsidRPr="0039028B">
        <w:rPr>
          <w:rFonts w:ascii="Palatino Linotype" w:eastAsia="Palatino Linotype" w:hAnsi="Palatino Linotype" w:cs="Palatino Linotype"/>
        </w:rPr>
        <w:t>con el artículo 79</w:t>
      </w:r>
      <w:r w:rsidRPr="0039028B">
        <w:rPr>
          <w:rFonts w:ascii="Palatino Linotype" w:eastAsia="Palatino Linotype" w:hAnsi="Palatino Linotype" w:cs="Palatino Linotype"/>
        </w:rPr>
        <w:t xml:space="preserve"> del Bando </w:t>
      </w:r>
      <w:r w:rsidR="0039028B" w:rsidRPr="0039028B">
        <w:rPr>
          <w:rFonts w:ascii="Palatino Linotype" w:eastAsia="Palatino Linotype" w:hAnsi="Palatino Linotype" w:cs="Palatino Linotype"/>
        </w:rPr>
        <w:t>Municipal de Temascalcingo</w:t>
      </w:r>
      <w:r w:rsidRPr="0039028B">
        <w:rPr>
          <w:rFonts w:ascii="Palatino Linotype" w:eastAsia="Palatino Linotype" w:hAnsi="Palatino Linotype" w:cs="Palatino Linotype"/>
        </w:rPr>
        <w:t xml:space="preserve"> 2022, </w:t>
      </w:r>
      <w:r>
        <w:rPr>
          <w:rFonts w:ascii="Palatino Linotype" w:eastAsia="Palatino Linotype" w:hAnsi="Palatino Linotype" w:cs="Palatino Linotype"/>
        </w:rPr>
        <w:t xml:space="preserve">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debe coordinarse con el Órgano Superior de Fiscalización del Estado de México y la Contraloría del Poder Legislativo y con la Secretaría de la Contraloría del Estado para el cumplimiento de sus funciones; así como verificar que los servidores públicos municipales cumplan con la declaración de intereses, en términos de la Ley de Responsabilidades Administrativas del Estado de México y Municipios.</w:t>
      </w:r>
    </w:p>
    <w:p w:rsidR="00ED13F2" w:rsidRDefault="00ED13F2" w:rsidP="00ED13F2">
      <w:pPr>
        <w:spacing w:line="360" w:lineRule="auto"/>
        <w:jc w:val="both"/>
        <w:rPr>
          <w:rFonts w:ascii="Palatino Linotype" w:eastAsia="Palatino Linotype" w:hAnsi="Palatino Linotype" w:cs="Palatino Linotype"/>
        </w:rPr>
      </w:pPr>
    </w:p>
    <w:p w:rsidR="00ED13F2" w:rsidRDefault="00ED13F2" w:rsidP="00ED13F2">
      <w:pPr>
        <w:spacing w:line="360" w:lineRule="auto"/>
        <w:ind w:right="-93"/>
        <w:jc w:val="both"/>
        <w:rPr>
          <w:rFonts w:ascii="Palatino Linotype" w:eastAsia="Palatino Linotype" w:hAnsi="Palatino Linotype" w:cs="Palatino Linotype"/>
        </w:rPr>
      </w:pPr>
      <w:r>
        <w:rPr>
          <w:rFonts w:ascii="Palatino Linotype" w:eastAsia="Palatino Linotype" w:hAnsi="Palatino Linotype" w:cs="Palatino Linotype"/>
        </w:rPr>
        <w:t>A su vez, la referida Ley de Responsabilidades Administrativas del Estado de México y Municipios, establece lo siguiente:</w:t>
      </w:r>
    </w:p>
    <w:p w:rsidR="00ED13F2" w:rsidRDefault="00ED13F2" w:rsidP="00ED13F2">
      <w:pPr>
        <w:spacing w:line="360" w:lineRule="auto"/>
        <w:ind w:right="-93"/>
        <w:jc w:val="both"/>
        <w:rPr>
          <w:rFonts w:ascii="Palatino Linotype" w:eastAsia="Palatino Linotype" w:hAnsi="Palatino Linotype" w:cs="Palatino Linotype"/>
        </w:rPr>
      </w:pPr>
    </w:p>
    <w:p w:rsidR="00ED13F2" w:rsidRDefault="00ED13F2" w:rsidP="00ED13F2">
      <w:pPr>
        <w:ind w:left="851"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Artículo 3.</w:t>
      </w:r>
      <w:r>
        <w:rPr>
          <w:rFonts w:ascii="Palatino Linotype" w:eastAsia="Palatino Linotype" w:hAnsi="Palatino Linotype" w:cs="Palatino Linotype"/>
          <w:i/>
          <w:sz w:val="22"/>
          <w:szCs w:val="22"/>
        </w:rPr>
        <w:t xml:space="preserve"> Para los efectos de la presente Ley, se entenderá por:</w:t>
      </w:r>
    </w:p>
    <w:p w:rsidR="00ED13F2" w:rsidRDefault="00ED13F2" w:rsidP="00ED13F2">
      <w:pPr>
        <w:ind w:left="851"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ED13F2" w:rsidRDefault="00ED13F2" w:rsidP="00ED13F2">
      <w:pPr>
        <w:ind w:left="851"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V.</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 xml:space="preserve">Conflicto de interés: A la posible afectación del desempeño imparcial y objetivo de las funciones de los Servidores Públicos en razón de intereses </w:t>
      </w:r>
      <w:r>
        <w:rPr>
          <w:rFonts w:ascii="Palatino Linotype" w:eastAsia="Palatino Linotype" w:hAnsi="Palatino Linotype" w:cs="Palatino Linotype"/>
          <w:i/>
          <w:sz w:val="22"/>
          <w:szCs w:val="22"/>
        </w:rPr>
        <w:t>personales</w:t>
      </w:r>
      <w:r>
        <w:rPr>
          <w:rFonts w:ascii="Palatino Linotype" w:eastAsia="Palatino Linotype" w:hAnsi="Palatino Linotype" w:cs="Palatino Linotype"/>
          <w:b/>
          <w:i/>
          <w:sz w:val="22"/>
          <w:szCs w:val="22"/>
        </w:rPr>
        <w:t xml:space="preserve">, familiares </w:t>
      </w:r>
      <w:r>
        <w:rPr>
          <w:rFonts w:ascii="Palatino Linotype" w:eastAsia="Palatino Linotype" w:hAnsi="Palatino Linotype" w:cs="Palatino Linotype"/>
          <w:i/>
          <w:sz w:val="22"/>
          <w:szCs w:val="22"/>
        </w:rPr>
        <w:t xml:space="preserve">o de negocios. </w:t>
      </w:r>
    </w:p>
    <w:p w:rsidR="00ED13F2" w:rsidRDefault="00ED13F2" w:rsidP="00ED13F2">
      <w:pPr>
        <w:ind w:left="851"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ED13F2" w:rsidRDefault="00ED13F2" w:rsidP="00ED13F2">
      <w:pPr>
        <w:ind w:left="851"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rPr>
        <w:t xml:space="preserve"> </w:t>
      </w:r>
      <w:r>
        <w:rPr>
          <w:rFonts w:ascii="Palatino Linotype" w:eastAsia="Palatino Linotype" w:hAnsi="Palatino Linotype" w:cs="Palatino Linotype"/>
          <w:b/>
          <w:i/>
          <w:sz w:val="22"/>
          <w:szCs w:val="22"/>
        </w:rPr>
        <w:t>Artículo 27.</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La Secretaría Ejecutiva del Sistema Estatal y Municipal Anticorrupción, estará a cargo del sistema</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de evolución patrimonial, de</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declaración de intereses</w:t>
      </w:r>
      <w:r>
        <w:rPr>
          <w:rFonts w:ascii="Palatino Linotype" w:eastAsia="Palatino Linotype" w:hAnsi="Palatino Linotype" w:cs="Palatino Linotype"/>
          <w:i/>
          <w:sz w:val="22"/>
          <w:szCs w:val="22"/>
        </w:rPr>
        <w:t xml:space="preserve"> y constancia de presentación de declaración fiscal, a través de la plataforma digital estatal que al efecto se establezca, de conformidad con lo previsto en la Ley General, en la Ley del Sistema, así como las bases, principios y lineamientos que apruebe el Comité Coordinador. </w:t>
      </w:r>
    </w:p>
    <w:p w:rsidR="00ED13F2" w:rsidRDefault="00ED13F2" w:rsidP="00ED13F2">
      <w:pPr>
        <w:ind w:right="1041"/>
        <w:jc w:val="both"/>
        <w:rPr>
          <w:rFonts w:ascii="Palatino Linotype" w:eastAsia="Palatino Linotype" w:hAnsi="Palatino Linotype" w:cs="Palatino Linotype"/>
          <w:i/>
          <w:sz w:val="22"/>
          <w:szCs w:val="22"/>
        </w:rPr>
      </w:pPr>
    </w:p>
    <w:p w:rsidR="00ED13F2" w:rsidRDefault="00ED13F2" w:rsidP="00ED13F2">
      <w:pPr>
        <w:ind w:left="851"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28.</w:t>
      </w:r>
      <w:r>
        <w:rPr>
          <w:rFonts w:ascii="Palatino Linotype" w:eastAsia="Palatino Linotype" w:hAnsi="Palatino Linotype" w:cs="Palatino Linotype"/>
          <w:i/>
          <w:sz w:val="22"/>
          <w:szCs w:val="22"/>
        </w:rPr>
        <w:t xml:space="preserve"> La información prevista en el sistema de evolución patrimonial, de declaración de intereses y presentación de la constancia de declaración fiscal, </w:t>
      </w:r>
      <w:r>
        <w:rPr>
          <w:rFonts w:ascii="Palatino Linotype" w:eastAsia="Palatino Linotype" w:hAnsi="Palatino Linotype" w:cs="Palatino Linotype"/>
          <w:b/>
          <w:i/>
          <w:sz w:val="22"/>
          <w:szCs w:val="22"/>
        </w:rPr>
        <w:t xml:space="preserve">se almacenará en la plataforma digital estatal que contendrá la información </w:t>
      </w:r>
      <w:r>
        <w:rPr>
          <w:rFonts w:ascii="Palatino Linotype" w:eastAsia="Palatino Linotype" w:hAnsi="Palatino Linotype" w:cs="Palatino Linotype"/>
          <w:b/>
          <w:i/>
          <w:sz w:val="22"/>
          <w:szCs w:val="22"/>
        </w:rPr>
        <w:lastRenderedPageBreak/>
        <w:t>que para efectos de las funciones de los sistemas Nacional, Estatal y Municipal Anticorrupción,</w:t>
      </w:r>
      <w:r>
        <w:rPr>
          <w:rFonts w:ascii="Palatino Linotype" w:eastAsia="Palatino Linotype" w:hAnsi="Palatino Linotype" w:cs="Palatino Linotype"/>
          <w:i/>
          <w:sz w:val="22"/>
          <w:szCs w:val="22"/>
        </w:rPr>
        <w:t xml:space="preserve"> generen los entes públicos facultados para la fiscalización y control de recursos públicos y la prevención, control, detección, sanción y disuasión de faltas administrativas y hechos de corrupción, de conformidad con lo establecido en la Ley General del Sistema y la Ley del Sistema.</w:t>
      </w:r>
    </w:p>
    <w:p w:rsidR="00ED13F2" w:rsidRDefault="00ED13F2" w:rsidP="00ED13F2">
      <w:pPr>
        <w:ind w:left="851" w:right="1041"/>
        <w:jc w:val="both"/>
        <w:rPr>
          <w:rFonts w:ascii="Palatino Linotype" w:eastAsia="Palatino Linotype" w:hAnsi="Palatino Linotype" w:cs="Palatino Linotype"/>
          <w:i/>
          <w:sz w:val="22"/>
          <w:szCs w:val="22"/>
        </w:rPr>
      </w:pPr>
    </w:p>
    <w:p w:rsidR="00ED13F2" w:rsidRDefault="00ED13F2" w:rsidP="00ED13F2">
      <w:pPr>
        <w:ind w:left="851"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 La plataforma digital estatal contará además con los sistemas de información específicos que estipulan la Ley del Sistema. </w:t>
      </w:r>
    </w:p>
    <w:p w:rsidR="00ED13F2" w:rsidRDefault="00ED13F2" w:rsidP="00ED13F2">
      <w:pPr>
        <w:ind w:left="851" w:right="1041"/>
        <w:jc w:val="both"/>
        <w:rPr>
          <w:rFonts w:ascii="Palatino Linotype" w:eastAsia="Palatino Linotype" w:hAnsi="Palatino Linotype" w:cs="Palatino Linotype"/>
          <w:i/>
          <w:sz w:val="22"/>
          <w:szCs w:val="22"/>
        </w:rPr>
      </w:pPr>
    </w:p>
    <w:p w:rsidR="00ED13F2" w:rsidRDefault="00ED13F2" w:rsidP="00ED13F2">
      <w:pPr>
        <w:ind w:left="851"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Artículo 29. </w:t>
      </w:r>
      <w:r>
        <w:rPr>
          <w:rFonts w:ascii="Palatino Linotype" w:eastAsia="Palatino Linotype" w:hAnsi="Palatino Linotype" w:cs="Palatino Linotype"/>
          <w:i/>
          <w:sz w:val="22"/>
          <w:szCs w:val="22"/>
        </w:rPr>
        <w:t xml:space="preserve">Las declaraciones patrimoniales y de intereses </w:t>
      </w:r>
      <w:r>
        <w:rPr>
          <w:rFonts w:ascii="Palatino Linotype" w:eastAsia="Palatino Linotype" w:hAnsi="Palatino Linotype" w:cs="Palatino Linotype"/>
          <w:b/>
          <w:i/>
          <w:sz w:val="22"/>
          <w:szCs w:val="22"/>
        </w:rPr>
        <w:t>serán públicas salvo los rubros cuya publicidad pueda afectar la vida privada o los datos personales</w:t>
      </w:r>
      <w:r>
        <w:rPr>
          <w:rFonts w:ascii="Palatino Linotype" w:eastAsia="Palatino Linotype" w:hAnsi="Palatino Linotype" w:cs="Palatino Linotype"/>
          <w:i/>
          <w:sz w:val="22"/>
          <w:szCs w:val="22"/>
        </w:rPr>
        <w:t xml:space="preserve"> protegidos por la Constitución. Para tal efecto, el Comité Coordinador, a propuesta del Comité de Participación Ciudadana, emitirá los formatos respectivos, garantizando que los rubros que pudieran afectar los derechos aludidos queden en resguardo de las autoridades competentes.”</w:t>
      </w:r>
    </w:p>
    <w:p w:rsidR="00ED13F2" w:rsidRDefault="00ED13F2" w:rsidP="00ED13F2">
      <w:pPr>
        <w:ind w:left="851" w:right="1041"/>
        <w:jc w:val="both"/>
        <w:rPr>
          <w:rFonts w:ascii="Palatino Linotype" w:eastAsia="Palatino Linotype" w:hAnsi="Palatino Linotype" w:cs="Palatino Linotype"/>
          <w:i/>
          <w:sz w:val="22"/>
          <w:szCs w:val="22"/>
        </w:rPr>
      </w:pPr>
    </w:p>
    <w:p w:rsidR="00ED13F2" w:rsidRDefault="00ED13F2" w:rsidP="00ED13F2">
      <w:pPr>
        <w:ind w:left="851"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el sistema de evolución patrimonial, de declaración de intereses y de constancia de presentación de la declaración fiscal de la plataforma digital estatal</w:t>
      </w:r>
      <w:r>
        <w:rPr>
          <w:rFonts w:ascii="Palatino Linotype" w:eastAsia="Palatino Linotype" w:hAnsi="Palatino Linotype" w:cs="Palatino Linotype"/>
          <w:b/>
          <w:i/>
          <w:sz w:val="22"/>
          <w:szCs w:val="22"/>
        </w:rPr>
        <w:t>, se inscribirán los datos públicos de los servidores públicos obligados a presentar declaraciones de situación patrimonial y de intereses</w:t>
      </w:r>
      <w:r>
        <w:rPr>
          <w:rFonts w:ascii="Palatino Linotype" w:eastAsia="Palatino Linotype" w:hAnsi="Palatino Linotype" w:cs="Palatino Linotype"/>
          <w:i/>
          <w:sz w:val="22"/>
          <w:szCs w:val="22"/>
        </w:rPr>
        <w:t>. De igual forma, se inscribirá la constancia que para efectos de esta Ley emita la autoridad fiscal, sobre la presentación de la declaración anual de impuestos.</w:t>
      </w:r>
    </w:p>
    <w:p w:rsidR="00ED13F2" w:rsidRDefault="00ED13F2" w:rsidP="00ED13F2">
      <w:pPr>
        <w:ind w:left="851" w:right="1041"/>
        <w:jc w:val="both"/>
        <w:rPr>
          <w:rFonts w:ascii="Palatino Linotype" w:eastAsia="Palatino Linotype" w:hAnsi="Palatino Linotype" w:cs="Palatino Linotype"/>
          <w:i/>
          <w:sz w:val="22"/>
          <w:szCs w:val="22"/>
        </w:rPr>
      </w:pPr>
    </w:p>
    <w:p w:rsidR="00ED13F2" w:rsidRDefault="00ED13F2" w:rsidP="00ED13F2">
      <w:pPr>
        <w:ind w:left="851"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30. Las declaraciones patrimonial y de intereses, serán públicas salvo los rubros cuya publicidad pueda afectar la vida privada o los datos personales protegidos por las Constituciones federal y local</w:t>
      </w:r>
      <w:r>
        <w:rPr>
          <w:rFonts w:ascii="Palatino Linotype" w:eastAsia="Palatino Linotype" w:hAnsi="Palatino Linotype" w:cs="Palatino Linotype"/>
          <w:i/>
          <w:sz w:val="22"/>
          <w:szCs w:val="22"/>
        </w:rPr>
        <w:t xml:space="preserve">. Para tal efecto, el Comité Coordinador, a propuesta del Comité de Participación Ciudadana, emitirá los formatos respectivos, en apego a las leyes y ordenamientos en la materia, garantizando que los rubros que pudieran afectar los derechos aludidos queden en resguardo de las autoridades competentes. </w:t>
      </w:r>
    </w:p>
    <w:p w:rsidR="00ED13F2" w:rsidRDefault="00ED13F2" w:rsidP="00ED13F2">
      <w:pPr>
        <w:ind w:left="851" w:right="1041"/>
        <w:jc w:val="both"/>
        <w:rPr>
          <w:rFonts w:ascii="Palatino Linotype" w:eastAsia="Palatino Linotype" w:hAnsi="Palatino Linotype" w:cs="Palatino Linotype"/>
          <w:i/>
          <w:sz w:val="22"/>
          <w:szCs w:val="22"/>
        </w:rPr>
      </w:pPr>
    </w:p>
    <w:p w:rsidR="00ED13F2" w:rsidRDefault="00ED13F2" w:rsidP="00ED13F2">
      <w:pPr>
        <w:ind w:left="851"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31.</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La Secretaría de la Contraloría y</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los órganos internos de control, según sea el caso, deberán realizar una verificación aleatoria de las declaraciones patrimoniales que obren en el sistema</w:t>
      </w:r>
      <w:r>
        <w:rPr>
          <w:rFonts w:ascii="Palatino Linotype" w:eastAsia="Palatino Linotype" w:hAnsi="Palatino Linotype" w:cs="Palatino Linotype"/>
          <w:i/>
          <w:sz w:val="22"/>
          <w:szCs w:val="22"/>
        </w:rPr>
        <w:t xml:space="preserve"> de evolución patrimonial, de </w:t>
      </w:r>
      <w:r>
        <w:rPr>
          <w:rFonts w:ascii="Palatino Linotype" w:eastAsia="Palatino Linotype" w:hAnsi="Palatino Linotype" w:cs="Palatino Linotype"/>
          <w:b/>
          <w:i/>
          <w:sz w:val="22"/>
          <w:szCs w:val="22"/>
        </w:rPr>
        <w:t>declaración de intereses</w:t>
      </w:r>
      <w:r>
        <w:rPr>
          <w:rFonts w:ascii="Palatino Linotype" w:eastAsia="Palatino Linotype" w:hAnsi="Palatino Linotype" w:cs="Palatino Linotype"/>
          <w:i/>
          <w:sz w:val="22"/>
          <w:szCs w:val="22"/>
        </w:rPr>
        <w:t xml:space="preserve"> y constancia de presentación de declaración fiscal, así como de la evolución del patrimonio de los servidores públicos. </w:t>
      </w:r>
    </w:p>
    <w:p w:rsidR="00ED13F2" w:rsidRDefault="00ED13F2" w:rsidP="00ED13F2">
      <w:pPr>
        <w:ind w:left="851" w:right="1041"/>
        <w:jc w:val="both"/>
        <w:rPr>
          <w:rFonts w:ascii="Palatino Linotype" w:eastAsia="Palatino Linotype" w:hAnsi="Palatino Linotype" w:cs="Palatino Linotype"/>
          <w:i/>
          <w:sz w:val="22"/>
          <w:szCs w:val="22"/>
        </w:rPr>
      </w:pPr>
    </w:p>
    <w:p w:rsidR="00ED13F2" w:rsidRDefault="00ED13F2" w:rsidP="00ED13F2">
      <w:pPr>
        <w:ind w:left="851"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lastRenderedPageBreak/>
        <w:t>Artículo 32.</w:t>
      </w:r>
      <w:r>
        <w:rPr>
          <w:rFonts w:ascii="Palatino Linotype" w:eastAsia="Palatino Linotype" w:hAnsi="Palatino Linotype" w:cs="Palatino Linotype"/>
          <w:i/>
          <w:sz w:val="22"/>
          <w:szCs w:val="22"/>
        </w:rPr>
        <w:t xml:space="preserve"> La </w:t>
      </w:r>
      <w:r>
        <w:rPr>
          <w:rFonts w:ascii="Palatino Linotype" w:eastAsia="Palatino Linotype" w:hAnsi="Palatino Linotype" w:cs="Palatino Linotype"/>
          <w:b/>
          <w:i/>
          <w:sz w:val="22"/>
          <w:szCs w:val="22"/>
        </w:rPr>
        <w:t>Secretaría de la Contraloría</w:t>
      </w:r>
      <w:r>
        <w:rPr>
          <w:rFonts w:ascii="Palatino Linotype" w:eastAsia="Palatino Linotype" w:hAnsi="Palatino Linotype" w:cs="Palatino Linotype"/>
          <w:i/>
          <w:sz w:val="22"/>
          <w:szCs w:val="22"/>
        </w:rPr>
        <w:t xml:space="preserve">, así como los órganos internos de control, según corresponda, </w:t>
      </w:r>
      <w:r>
        <w:rPr>
          <w:rFonts w:ascii="Palatino Linotype" w:eastAsia="Palatino Linotype" w:hAnsi="Palatino Linotype" w:cs="Palatino Linotype"/>
          <w:b/>
          <w:i/>
          <w:sz w:val="22"/>
          <w:szCs w:val="22"/>
        </w:rPr>
        <w:t>serán responsables de inscribir y mantener actualizada en el sistema de evolución patrimonial, de declaración de intereses</w:t>
      </w:r>
      <w:r>
        <w:rPr>
          <w:rFonts w:ascii="Palatino Linotype" w:eastAsia="Palatino Linotype" w:hAnsi="Palatino Linotype" w:cs="Palatino Linotype"/>
          <w:i/>
          <w:sz w:val="22"/>
          <w:szCs w:val="22"/>
        </w:rPr>
        <w:t xml:space="preserve"> y de presentación de la constancia de declaración fiscal, la información correspondiente a sus servidores públicos declarantes.</w:t>
      </w:r>
    </w:p>
    <w:p w:rsidR="00ED13F2" w:rsidRDefault="00ED13F2" w:rsidP="00ED13F2">
      <w:pPr>
        <w:ind w:left="851" w:right="1041"/>
        <w:jc w:val="both"/>
        <w:rPr>
          <w:rFonts w:ascii="Palatino Linotype" w:eastAsia="Palatino Linotype" w:hAnsi="Palatino Linotype" w:cs="Palatino Linotype"/>
          <w:i/>
          <w:sz w:val="22"/>
          <w:szCs w:val="22"/>
        </w:rPr>
      </w:pPr>
    </w:p>
    <w:p w:rsidR="00ED13F2" w:rsidRDefault="00ED13F2" w:rsidP="00ED13F2">
      <w:pPr>
        <w:ind w:left="851"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Asimismo, verificarán la situación o posible actualización de algún conflicto de interés, según la información proporcionada, llevarán el seguimiento de la evolución y la verificación de la situación patrimonial de dichos declarantes, en los términos de la presente Ley.</w:t>
      </w:r>
    </w:p>
    <w:p w:rsidR="00ED13F2" w:rsidRDefault="00ED13F2" w:rsidP="00ED13F2">
      <w:pPr>
        <w:ind w:left="851" w:right="1041"/>
        <w:jc w:val="both"/>
        <w:rPr>
          <w:rFonts w:ascii="Palatino Linotype" w:eastAsia="Palatino Linotype" w:hAnsi="Palatino Linotype" w:cs="Palatino Linotype"/>
          <w:i/>
          <w:sz w:val="22"/>
          <w:szCs w:val="22"/>
        </w:rPr>
      </w:pPr>
    </w:p>
    <w:p w:rsidR="00ED13F2" w:rsidRDefault="00ED13F2" w:rsidP="00ED13F2">
      <w:pPr>
        <w:ind w:left="851"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44.</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Se encuentran obligados a presentar declaración de intereses todos los servidores públicos que deban presentar la declaración de situación patrimonial, en términos de la presente Ley.</w:t>
      </w:r>
    </w:p>
    <w:p w:rsidR="00ED13F2" w:rsidRDefault="00ED13F2" w:rsidP="00ED13F2">
      <w:pPr>
        <w:ind w:left="851" w:right="1041"/>
        <w:jc w:val="both"/>
        <w:rPr>
          <w:rFonts w:ascii="Palatino Linotype" w:eastAsia="Palatino Linotype" w:hAnsi="Palatino Linotype" w:cs="Palatino Linotype"/>
          <w:i/>
          <w:sz w:val="22"/>
          <w:szCs w:val="22"/>
        </w:rPr>
      </w:pPr>
    </w:p>
    <w:p w:rsidR="00ED13F2" w:rsidRDefault="00ED13F2" w:rsidP="00ED13F2">
      <w:pPr>
        <w:ind w:left="851"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Para tal efecto, </w:t>
      </w:r>
      <w:r>
        <w:rPr>
          <w:rFonts w:ascii="Palatino Linotype" w:eastAsia="Palatino Linotype" w:hAnsi="Palatino Linotype" w:cs="Palatino Linotype"/>
          <w:b/>
          <w:i/>
          <w:sz w:val="22"/>
          <w:szCs w:val="22"/>
        </w:rPr>
        <w:t>la Secretaría de la Contraloría y los órganos internos de control se encargarán que las declaraciones sean integradas al sistema de evolución patrimonial, de declaración de intereses</w:t>
      </w:r>
      <w:r>
        <w:rPr>
          <w:rFonts w:ascii="Palatino Linotype" w:eastAsia="Palatino Linotype" w:hAnsi="Palatino Linotype" w:cs="Palatino Linotype"/>
          <w:i/>
          <w:sz w:val="22"/>
          <w:szCs w:val="22"/>
        </w:rPr>
        <w:t xml:space="preserve"> y presentación de la constancia de declaración fiscal.</w:t>
      </w:r>
    </w:p>
    <w:p w:rsidR="00ED13F2" w:rsidRDefault="00ED13F2" w:rsidP="00ED13F2">
      <w:pPr>
        <w:ind w:left="851" w:right="1041"/>
        <w:jc w:val="both"/>
        <w:rPr>
          <w:rFonts w:ascii="Palatino Linotype" w:eastAsia="Palatino Linotype" w:hAnsi="Palatino Linotype" w:cs="Palatino Linotype"/>
          <w:i/>
          <w:sz w:val="22"/>
          <w:szCs w:val="22"/>
        </w:rPr>
      </w:pPr>
    </w:p>
    <w:p w:rsidR="00ED13F2" w:rsidRDefault="00ED13F2" w:rsidP="00ED13F2">
      <w:pPr>
        <w:ind w:left="851"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45.</w:t>
      </w:r>
      <w:r>
        <w:rPr>
          <w:rFonts w:ascii="Palatino Linotype" w:eastAsia="Palatino Linotype" w:hAnsi="Palatino Linotype" w:cs="Palatino Linotype"/>
          <w:i/>
          <w:sz w:val="22"/>
          <w:szCs w:val="22"/>
        </w:rPr>
        <w:t xml:space="preserve"> Para efectos del artículo anterior habrá conflicto de interés en los supuestos establecidos en la fracción V del artículo 3 de la presente Ley.</w:t>
      </w:r>
    </w:p>
    <w:p w:rsidR="00ED13F2" w:rsidRDefault="00ED13F2" w:rsidP="00ED13F2">
      <w:pPr>
        <w:ind w:left="851" w:right="1041"/>
        <w:jc w:val="both"/>
        <w:rPr>
          <w:rFonts w:ascii="Palatino Linotype" w:eastAsia="Palatino Linotype" w:hAnsi="Palatino Linotype" w:cs="Palatino Linotype"/>
          <w:i/>
          <w:sz w:val="22"/>
          <w:szCs w:val="22"/>
        </w:rPr>
      </w:pPr>
    </w:p>
    <w:p w:rsidR="00ED13F2" w:rsidRDefault="00ED13F2" w:rsidP="00ED13F2">
      <w:pPr>
        <w:ind w:left="851"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La declaración de intereses tendrá por objeto informar y determinar el conjunto de intereses de un servidor público a fin de delimitar cuando éstos entran en conflicto con su función, la cual deberá contener por lo menos:</w:t>
      </w:r>
    </w:p>
    <w:p w:rsidR="00ED13F2" w:rsidRDefault="00ED13F2" w:rsidP="00ED13F2">
      <w:pPr>
        <w:ind w:left="851" w:right="1041"/>
        <w:jc w:val="both"/>
        <w:rPr>
          <w:rFonts w:ascii="Palatino Linotype" w:eastAsia="Palatino Linotype" w:hAnsi="Palatino Linotype" w:cs="Palatino Linotype"/>
          <w:i/>
          <w:sz w:val="22"/>
          <w:szCs w:val="22"/>
        </w:rPr>
      </w:pPr>
    </w:p>
    <w:p w:rsidR="00ED13F2" w:rsidRDefault="00ED13F2" w:rsidP="00ED13F2">
      <w:pPr>
        <w:ind w:left="851"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 Intereses personales del declarante que pudieran influir en el empleo, cargo o comisión:</w:t>
      </w:r>
    </w:p>
    <w:p w:rsidR="00ED13F2" w:rsidRDefault="00ED13F2" w:rsidP="00ED13F2">
      <w:pPr>
        <w:ind w:left="851"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a) Datos del cónyuge, concubina o concubinario y dependientes económicos que laboren en el Gobierno Federal, Estatal o Municipal, o en órganos autónomos.</w:t>
      </w:r>
    </w:p>
    <w:p w:rsidR="00ED13F2" w:rsidRDefault="00ED13F2" w:rsidP="00ED13F2">
      <w:pPr>
        <w:ind w:left="851"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b) </w:t>
      </w:r>
      <w:r>
        <w:rPr>
          <w:rFonts w:ascii="Palatino Linotype" w:eastAsia="Palatino Linotype" w:hAnsi="Palatino Linotype" w:cs="Palatino Linotype"/>
          <w:b/>
          <w:i/>
          <w:sz w:val="22"/>
          <w:szCs w:val="22"/>
        </w:rPr>
        <w:t>Familiares consanguíneos hasta el cuarto grado por afinidad o civil, que laboren en el Gobierno Federal, Estatal o Municipal, o en órganos autónomos</w:t>
      </w:r>
      <w:r>
        <w:rPr>
          <w:rFonts w:ascii="Palatino Linotype" w:eastAsia="Palatino Linotype" w:hAnsi="Palatino Linotype" w:cs="Palatino Linotype"/>
          <w:i/>
          <w:sz w:val="22"/>
          <w:szCs w:val="22"/>
        </w:rPr>
        <w:t>.</w:t>
      </w:r>
    </w:p>
    <w:p w:rsidR="00ED13F2" w:rsidRDefault="00ED13F2" w:rsidP="00ED13F2">
      <w:pPr>
        <w:ind w:left="851" w:right="1041"/>
        <w:jc w:val="both"/>
        <w:rPr>
          <w:rFonts w:ascii="Palatino Linotype" w:eastAsia="Palatino Linotype" w:hAnsi="Palatino Linotype" w:cs="Palatino Linotype"/>
          <w:i/>
          <w:sz w:val="22"/>
          <w:szCs w:val="22"/>
        </w:rPr>
      </w:pPr>
    </w:p>
    <w:p w:rsidR="00ED13F2" w:rsidRDefault="00ED13F2" w:rsidP="00ED13F2">
      <w:pPr>
        <w:ind w:left="851"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46.</w:t>
      </w:r>
      <w:r>
        <w:rPr>
          <w:rFonts w:ascii="Palatino Linotype" w:eastAsia="Palatino Linotype" w:hAnsi="Palatino Linotype" w:cs="Palatino Linotype"/>
          <w:i/>
          <w:sz w:val="22"/>
          <w:szCs w:val="22"/>
        </w:rPr>
        <w:t xml:space="preserve"> El Comité Coordinador, a propuesta del Comité de Participación Ciudadana, expedirá las normas, manuales e instructivos, así como los formatos </w:t>
      </w:r>
      <w:r>
        <w:rPr>
          <w:rFonts w:ascii="Palatino Linotype" w:eastAsia="Palatino Linotype" w:hAnsi="Palatino Linotype" w:cs="Palatino Linotype"/>
          <w:i/>
          <w:sz w:val="22"/>
          <w:szCs w:val="22"/>
        </w:rPr>
        <w:lastRenderedPageBreak/>
        <w:t xml:space="preserve">impresos y electrónicos, bajo los cuales los declarantes deberán presentar la </w:t>
      </w:r>
      <w:r>
        <w:rPr>
          <w:rFonts w:ascii="Palatino Linotype" w:eastAsia="Palatino Linotype" w:hAnsi="Palatino Linotype" w:cs="Palatino Linotype"/>
          <w:b/>
          <w:i/>
          <w:sz w:val="22"/>
          <w:szCs w:val="22"/>
        </w:rPr>
        <w:t>declaración de intereses,</w:t>
      </w:r>
      <w:r>
        <w:rPr>
          <w:rFonts w:ascii="Palatino Linotype" w:eastAsia="Palatino Linotype" w:hAnsi="Palatino Linotype" w:cs="Palatino Linotype"/>
          <w:i/>
          <w:sz w:val="22"/>
          <w:szCs w:val="22"/>
        </w:rPr>
        <w:t xml:space="preserve"> observando lo dispuesto en el artículo 30 de esta Ley.</w:t>
      </w:r>
    </w:p>
    <w:p w:rsidR="00ED13F2" w:rsidRDefault="00ED13F2" w:rsidP="00ED13F2">
      <w:pPr>
        <w:ind w:left="851" w:right="1041"/>
        <w:jc w:val="both"/>
        <w:rPr>
          <w:rFonts w:ascii="Palatino Linotype" w:eastAsia="Palatino Linotype" w:hAnsi="Palatino Linotype" w:cs="Palatino Linotype"/>
          <w:i/>
          <w:sz w:val="22"/>
          <w:szCs w:val="22"/>
        </w:rPr>
      </w:pPr>
    </w:p>
    <w:p w:rsidR="00ED13F2" w:rsidRDefault="00ED13F2" w:rsidP="00ED13F2">
      <w:pPr>
        <w:ind w:left="851"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La declaración de intereses deberá presentarse en los plazos a que se refiere el artículo 34 de esta Ley, y de la misma manera le serán aplicables los procedimientos establecidos en dicho artículo, para el incumplimiento de dichos plazos. El servidor público deberá presentar la declaración en cualquier momento en el que, en el ejercicio de sus funciones, considere que se puede actualizar un posible conflicto de interés.” (Sic)</w:t>
      </w:r>
    </w:p>
    <w:p w:rsidR="007D528C" w:rsidRDefault="007D528C" w:rsidP="00ED13F2">
      <w:pPr>
        <w:spacing w:line="360" w:lineRule="auto"/>
        <w:jc w:val="both"/>
        <w:rPr>
          <w:rFonts w:ascii="Palatino Linotype" w:eastAsia="Palatino Linotype" w:hAnsi="Palatino Linotype" w:cs="Palatino Linotype"/>
        </w:rPr>
      </w:pPr>
    </w:p>
    <w:p w:rsidR="00ED13F2" w:rsidRDefault="00ED13F2" w:rsidP="00ED13F2">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De los preceptos antes citados, se advierte que el sistema de declaración de intereses, se almacenará en la plataforma digital estatal que contendrá la información que para efectos de las funciones de los sistemas Nacional, Estatal y Municipal Anticorrupción, generen los entes públicos facultados para la fiscalización y control de recursos públicos y la prevención, control, detección, sanción y disuasión de faltas administrativas y hechos de corrupción, de conformidad con lo establecido en la Ley General del Sistema y la Ley del Sistema.</w:t>
      </w:r>
    </w:p>
    <w:p w:rsidR="00ED13F2" w:rsidRDefault="00ED13F2" w:rsidP="00ED13F2">
      <w:pPr>
        <w:spacing w:line="360" w:lineRule="auto"/>
        <w:jc w:val="both"/>
        <w:rPr>
          <w:rFonts w:ascii="Palatino Linotype" w:eastAsia="Palatino Linotype" w:hAnsi="Palatino Linotype" w:cs="Palatino Linotype"/>
        </w:rPr>
      </w:pPr>
    </w:p>
    <w:p w:rsidR="00ED13F2" w:rsidRDefault="00ED13F2" w:rsidP="00ED13F2">
      <w:pPr>
        <w:spacing w:line="360" w:lineRule="auto"/>
        <w:ind w:right="18"/>
        <w:jc w:val="both"/>
        <w:rPr>
          <w:rFonts w:ascii="Palatino Linotype" w:eastAsia="Palatino Linotype" w:hAnsi="Palatino Linotype" w:cs="Palatino Linotype"/>
        </w:rPr>
      </w:pPr>
      <w:r>
        <w:rPr>
          <w:rFonts w:ascii="Palatino Linotype" w:eastAsia="Palatino Linotype" w:hAnsi="Palatino Linotype" w:cs="Palatino Linotype"/>
        </w:rPr>
        <w:t>En el sistema de declaración de intereses, se inscribirán los datos públicos de los servidores públicos obligados a presentar declaraciones y de intereses.</w:t>
      </w:r>
    </w:p>
    <w:p w:rsidR="00ED13F2" w:rsidRDefault="00ED13F2" w:rsidP="00ED13F2">
      <w:pPr>
        <w:spacing w:line="360" w:lineRule="auto"/>
        <w:jc w:val="both"/>
        <w:rPr>
          <w:rFonts w:ascii="Palatino Linotype" w:eastAsia="Palatino Linotype" w:hAnsi="Palatino Linotype" w:cs="Palatino Linotype"/>
        </w:rPr>
      </w:pPr>
    </w:p>
    <w:p w:rsidR="00ED13F2" w:rsidRDefault="00ED13F2" w:rsidP="00ED13F2">
      <w:pPr>
        <w:spacing w:line="360" w:lineRule="auto"/>
        <w:jc w:val="both"/>
        <w:rPr>
          <w:rFonts w:ascii="Palatino Linotype" w:eastAsia="Palatino Linotype" w:hAnsi="Palatino Linotype" w:cs="Palatino Linotype"/>
          <w:b/>
        </w:rPr>
      </w:pPr>
      <w:r>
        <w:rPr>
          <w:rFonts w:ascii="Palatino Linotype" w:eastAsia="Palatino Linotype" w:hAnsi="Palatino Linotype" w:cs="Palatino Linotype"/>
        </w:rPr>
        <w:t xml:space="preserve">Siendo pertinente agregar que el artículo 32, refiere que la Secretaría de la Contraloría, así como los órganos internos de control, según corresponda, </w:t>
      </w:r>
      <w:r>
        <w:rPr>
          <w:rFonts w:ascii="Palatino Linotype" w:eastAsia="Palatino Linotype" w:hAnsi="Palatino Linotype" w:cs="Palatino Linotype"/>
          <w:b/>
        </w:rPr>
        <w:t>serán responsables de inscribir y mantener actualizada en el sistema de evolución de declaración de intereses, la información correspondiente a sus servidores públicos declarantes. Asimismo, verificarán la situación o posible actualización de algún conflicto de interés, según la información proporcionada, llevarán el seguimiento de</w:t>
      </w:r>
      <w:r>
        <w:rPr>
          <w:b/>
        </w:rPr>
        <w:t xml:space="preserve"> </w:t>
      </w:r>
      <w:r>
        <w:rPr>
          <w:rFonts w:ascii="Palatino Linotype" w:eastAsia="Palatino Linotype" w:hAnsi="Palatino Linotype" w:cs="Palatino Linotype"/>
          <w:b/>
        </w:rPr>
        <w:t xml:space="preserve">la </w:t>
      </w:r>
      <w:r>
        <w:rPr>
          <w:rFonts w:ascii="Palatino Linotype" w:eastAsia="Palatino Linotype" w:hAnsi="Palatino Linotype" w:cs="Palatino Linotype"/>
          <w:b/>
        </w:rPr>
        <w:lastRenderedPageBreak/>
        <w:t>evolución y la verificación de la situación patrimonial de dichos declarantes, en los términos de la presente Ley.</w:t>
      </w:r>
    </w:p>
    <w:p w:rsidR="00ED13F2" w:rsidRDefault="00ED13F2" w:rsidP="00ED13F2">
      <w:pPr>
        <w:spacing w:line="360" w:lineRule="auto"/>
        <w:jc w:val="both"/>
      </w:pPr>
    </w:p>
    <w:p w:rsidR="00ED13F2" w:rsidRDefault="00ED13F2" w:rsidP="00ED13F2">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Para tales efectos, la Secretaría de la Contraloría podrá firmar Convenios con el Servicio de Administración Tributaria, con la Comisión Nacional Bancaria y de Valores, con la Secretaría de Finanzas del Gobierno del Estado de México, con el Instituto de la Función Registral, así como con las distintas autoridades que tengan a su disposición datos, información o documentos que puedan servir para verificar la información declarada por los servidores públicos. </w:t>
      </w:r>
    </w:p>
    <w:p w:rsidR="00ED13F2" w:rsidRDefault="00ED13F2" w:rsidP="00ED13F2">
      <w:pPr>
        <w:spacing w:line="360" w:lineRule="auto"/>
        <w:jc w:val="both"/>
      </w:pPr>
    </w:p>
    <w:p w:rsidR="00ED13F2" w:rsidRDefault="00ED13F2" w:rsidP="00ED13F2">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Conforme al marco normativo planteado, es indispensable traer a colación lo previsto en el artículo 38 bis, fracción XVII de la Ley Orgánica de la Administración Pública del Estado de México, en el que se establece como competencia de la Secretaría de la Contraloría, recibir y registrar la declaración de intereses y determinar el Conflicto de Intereses de los servidores públicos del Estado y municipios.</w:t>
      </w:r>
    </w:p>
    <w:p w:rsidR="00ED13F2" w:rsidRDefault="00ED13F2" w:rsidP="00ED13F2">
      <w:pPr>
        <w:spacing w:line="360" w:lineRule="auto"/>
        <w:jc w:val="both"/>
        <w:rPr>
          <w:rFonts w:ascii="Palatino Linotype" w:eastAsia="Palatino Linotype" w:hAnsi="Palatino Linotype" w:cs="Palatino Linotype"/>
          <w:b/>
        </w:rPr>
      </w:pPr>
    </w:p>
    <w:p w:rsidR="00ED13F2" w:rsidRDefault="00ED13F2" w:rsidP="00ED13F2">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En este sentido, el Reglamento Interior de la Secretaría de la Contraloría,  señala lo siguiente:</w:t>
      </w:r>
    </w:p>
    <w:p w:rsidR="00ED13F2" w:rsidRDefault="00ED13F2" w:rsidP="00ED13F2">
      <w:pPr>
        <w:spacing w:line="276" w:lineRule="auto"/>
        <w:ind w:left="1080" w:right="91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24.</w:t>
      </w:r>
      <w:r>
        <w:rPr>
          <w:rFonts w:ascii="Palatino Linotype" w:eastAsia="Palatino Linotype" w:hAnsi="Palatino Linotype" w:cs="Palatino Linotype"/>
          <w:i/>
          <w:sz w:val="22"/>
          <w:szCs w:val="22"/>
        </w:rPr>
        <w:t xml:space="preserve"> A la Dirección General de Responsabilidades Administrativas, corresponden las atribuciones siguientes:</w:t>
      </w:r>
    </w:p>
    <w:p w:rsidR="00ED13F2" w:rsidRDefault="00ED13F2" w:rsidP="00ED13F2">
      <w:pPr>
        <w:spacing w:line="276" w:lineRule="auto"/>
        <w:ind w:left="1080" w:right="91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ED13F2" w:rsidRDefault="00ED13F2" w:rsidP="00ED13F2">
      <w:pPr>
        <w:spacing w:line="276" w:lineRule="auto"/>
        <w:ind w:left="1080" w:right="91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VI. </w:t>
      </w:r>
      <w:r>
        <w:rPr>
          <w:rFonts w:ascii="Palatino Linotype" w:eastAsia="Palatino Linotype" w:hAnsi="Palatino Linotype" w:cs="Palatino Linotype"/>
          <w:b/>
          <w:i/>
          <w:sz w:val="22"/>
          <w:szCs w:val="22"/>
        </w:rPr>
        <w:t>Recibir las declaraciones</w:t>
      </w:r>
      <w:r>
        <w:rPr>
          <w:rFonts w:ascii="Palatino Linotype" w:eastAsia="Palatino Linotype" w:hAnsi="Palatino Linotype" w:cs="Palatino Linotype"/>
          <w:i/>
          <w:sz w:val="22"/>
          <w:szCs w:val="22"/>
        </w:rPr>
        <w:t xml:space="preserve"> de situación patrimonial, </w:t>
      </w:r>
      <w:r>
        <w:rPr>
          <w:rFonts w:ascii="Palatino Linotype" w:eastAsia="Palatino Linotype" w:hAnsi="Palatino Linotype" w:cs="Palatino Linotype"/>
          <w:b/>
          <w:i/>
          <w:sz w:val="22"/>
          <w:szCs w:val="22"/>
        </w:rPr>
        <w:t>de intereses</w:t>
      </w:r>
      <w:r>
        <w:rPr>
          <w:rFonts w:ascii="Palatino Linotype" w:eastAsia="Palatino Linotype" w:hAnsi="Palatino Linotype" w:cs="Palatino Linotype"/>
          <w:i/>
          <w:sz w:val="22"/>
          <w:szCs w:val="22"/>
        </w:rPr>
        <w:t xml:space="preserve"> y el </w:t>
      </w:r>
      <w:r>
        <w:rPr>
          <w:rFonts w:ascii="Palatino Linotype" w:eastAsia="Palatino Linotype" w:hAnsi="Palatino Linotype" w:cs="Palatino Linotype"/>
          <w:b/>
          <w:i/>
          <w:sz w:val="22"/>
          <w:szCs w:val="22"/>
        </w:rPr>
        <w:t>acuse de la presentación de la declaración fiscal de los servidores públicos de la Administración Pública Estatal y Municipal</w:t>
      </w:r>
      <w:r>
        <w:rPr>
          <w:rFonts w:ascii="Palatino Linotype" w:eastAsia="Palatino Linotype" w:hAnsi="Palatino Linotype" w:cs="Palatino Linotype"/>
          <w:i/>
          <w:sz w:val="22"/>
          <w:szCs w:val="22"/>
        </w:rPr>
        <w:t>;</w:t>
      </w:r>
    </w:p>
    <w:p w:rsidR="00ED13F2" w:rsidRDefault="00ED13F2" w:rsidP="00ED13F2">
      <w:pPr>
        <w:spacing w:line="276" w:lineRule="auto"/>
        <w:ind w:left="1080" w:right="918"/>
        <w:jc w:val="both"/>
        <w:rPr>
          <w:rFonts w:ascii="Palatino Linotype" w:eastAsia="Palatino Linotype" w:hAnsi="Palatino Linotype" w:cs="Palatino Linotype"/>
          <w:i/>
          <w:sz w:val="22"/>
          <w:szCs w:val="22"/>
        </w:rPr>
      </w:pPr>
    </w:p>
    <w:p w:rsidR="00ED13F2" w:rsidRDefault="00ED13F2" w:rsidP="00ED13F2">
      <w:pPr>
        <w:spacing w:line="276" w:lineRule="auto"/>
        <w:ind w:left="1080" w:right="91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 xml:space="preserve">VII. </w:t>
      </w:r>
      <w:r>
        <w:rPr>
          <w:rFonts w:ascii="Palatino Linotype" w:eastAsia="Palatino Linotype" w:hAnsi="Palatino Linotype" w:cs="Palatino Linotype"/>
          <w:b/>
          <w:i/>
          <w:sz w:val="22"/>
          <w:szCs w:val="22"/>
        </w:rPr>
        <w:t>Coordinar y llevar el registro y resguardo de las declaraciones de</w:t>
      </w:r>
      <w:r>
        <w:rPr>
          <w:rFonts w:ascii="Palatino Linotype" w:eastAsia="Palatino Linotype" w:hAnsi="Palatino Linotype" w:cs="Palatino Linotype"/>
          <w:i/>
          <w:sz w:val="22"/>
          <w:szCs w:val="22"/>
        </w:rPr>
        <w:t xml:space="preserve"> situación patrimonial</w:t>
      </w:r>
      <w:r>
        <w:rPr>
          <w:rFonts w:ascii="Palatino Linotype" w:eastAsia="Palatino Linotype" w:hAnsi="Palatino Linotype" w:cs="Palatino Linotype"/>
          <w:b/>
          <w:i/>
          <w:sz w:val="22"/>
          <w:szCs w:val="22"/>
        </w:rPr>
        <w:t>, de intereses</w:t>
      </w:r>
      <w:r>
        <w:rPr>
          <w:rFonts w:ascii="Palatino Linotype" w:eastAsia="Palatino Linotype" w:hAnsi="Palatino Linotype" w:cs="Palatino Linotype"/>
          <w:i/>
          <w:sz w:val="22"/>
          <w:szCs w:val="22"/>
        </w:rPr>
        <w:t xml:space="preserve"> y el acuse de la presentación de la declaración fiscal </w:t>
      </w:r>
      <w:r>
        <w:rPr>
          <w:rFonts w:ascii="Palatino Linotype" w:eastAsia="Palatino Linotype" w:hAnsi="Palatino Linotype" w:cs="Palatino Linotype"/>
          <w:b/>
          <w:i/>
          <w:sz w:val="22"/>
          <w:szCs w:val="22"/>
        </w:rPr>
        <w:t>de los servidores públicos de la Administración Pública Estatal y Municipal</w:t>
      </w:r>
      <w:r>
        <w:rPr>
          <w:rFonts w:ascii="Palatino Linotype" w:eastAsia="Palatino Linotype" w:hAnsi="Palatino Linotype" w:cs="Palatino Linotype"/>
          <w:i/>
          <w:sz w:val="22"/>
          <w:szCs w:val="22"/>
        </w:rPr>
        <w:t>, para su publicitación conforme a las disposiciones jurídicas aplicables, así como para suministrar la información correspondiente a la Plataforma Digital Nacional y Estatal del Sistema Na</w:t>
      </w:r>
      <w:r w:rsidR="0039028B">
        <w:rPr>
          <w:rFonts w:ascii="Palatino Linotype" w:eastAsia="Palatino Linotype" w:hAnsi="Palatino Linotype" w:cs="Palatino Linotype"/>
          <w:i/>
          <w:sz w:val="22"/>
          <w:szCs w:val="22"/>
        </w:rPr>
        <w:t>cional y Estatal Anticorrupción</w:t>
      </w:r>
      <w:r>
        <w:rPr>
          <w:rFonts w:ascii="Palatino Linotype" w:eastAsia="Palatino Linotype" w:hAnsi="Palatino Linotype" w:cs="Palatino Linotype"/>
          <w:i/>
          <w:sz w:val="22"/>
          <w:szCs w:val="22"/>
        </w:rPr>
        <w:t>…”</w:t>
      </w:r>
      <w:r w:rsidR="0039028B">
        <w:rPr>
          <w:rFonts w:ascii="Palatino Linotype" w:eastAsia="Palatino Linotype" w:hAnsi="Palatino Linotype" w:cs="Palatino Linotype"/>
          <w:i/>
          <w:sz w:val="22"/>
          <w:szCs w:val="22"/>
        </w:rPr>
        <w:t>(Sic)</w:t>
      </w:r>
    </w:p>
    <w:p w:rsidR="00ED13F2" w:rsidRDefault="00ED13F2" w:rsidP="00ED13F2">
      <w:pPr>
        <w:spacing w:line="360" w:lineRule="auto"/>
        <w:jc w:val="both"/>
        <w:rPr>
          <w:rFonts w:ascii="Palatino Linotype" w:eastAsia="Palatino Linotype" w:hAnsi="Palatino Linotype" w:cs="Palatino Linotype"/>
        </w:rPr>
      </w:pPr>
    </w:p>
    <w:p w:rsidR="00ED13F2" w:rsidRDefault="00ED13F2" w:rsidP="00ED13F2">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Con lo referido, queda de manifiesto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no cuenta con competencia para atender los requerimientos señalados por el particular, por ende, no se</w:t>
      </w:r>
      <w:r>
        <w:t xml:space="preserve"> </w:t>
      </w:r>
      <w:r>
        <w:rPr>
          <w:rFonts w:ascii="Palatino Linotype" w:eastAsia="Palatino Linotype" w:hAnsi="Palatino Linotype" w:cs="Palatino Linotype"/>
        </w:rPr>
        <w:t xml:space="preserve">encuentra constreñido a entregar la información requerida ante la falta de atribuciones para generar, poseer o administrar lo solicitado. Resultando aplicable el criterio 13/17 emitido por el Pleno del Instituto Nacional de Transparencia, Acceso a la Información y Protección de Datos Personales, el </w:t>
      </w:r>
      <w:r w:rsidR="00D869D8">
        <w:rPr>
          <w:rFonts w:ascii="Palatino Linotype" w:eastAsia="Palatino Linotype" w:hAnsi="Palatino Linotype" w:cs="Palatino Linotype"/>
        </w:rPr>
        <w:t xml:space="preserve">cual, para pronta referencia se </w:t>
      </w:r>
      <w:r>
        <w:rPr>
          <w:rFonts w:ascii="Palatino Linotype" w:eastAsia="Palatino Linotype" w:hAnsi="Palatino Linotype" w:cs="Palatino Linotype"/>
        </w:rPr>
        <w:t>reproduce a continuación:</w:t>
      </w:r>
    </w:p>
    <w:p w:rsidR="00ED13F2" w:rsidRDefault="00ED13F2" w:rsidP="00ED13F2">
      <w:pPr>
        <w:spacing w:line="360" w:lineRule="auto"/>
        <w:jc w:val="both"/>
        <w:rPr>
          <w:rFonts w:ascii="Palatino Linotype" w:eastAsia="Palatino Linotype" w:hAnsi="Palatino Linotype" w:cs="Palatino Linotype"/>
        </w:rPr>
      </w:pPr>
    </w:p>
    <w:p w:rsidR="00ED13F2" w:rsidRDefault="00ED13F2" w:rsidP="00ED13F2">
      <w:pPr>
        <w:spacing w:line="276" w:lineRule="auto"/>
        <w:ind w:left="1080" w:right="91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Incompetencia.</w:t>
      </w:r>
      <w:r>
        <w:rPr>
          <w:rFonts w:ascii="Palatino Linotype" w:eastAsia="Palatino Linotype" w:hAnsi="Palatino Linotype" w:cs="Palatino Linotype"/>
          <w:i/>
          <w:sz w:val="22"/>
          <w:szCs w:val="22"/>
        </w:rPr>
        <w:t xml:space="preserve"> La incompetencia implica la ausencia de atribuciones del sujeto obligado para poseer la información solicitada; es decir, se trata de una cuestión de derecho, en tanto que no existan facultades para contar con lo requerido; por lo que la incompetencia es una cualidad atribuida al sujeto obligado que la declara.”</w:t>
      </w:r>
      <w:r w:rsidR="0039028B">
        <w:rPr>
          <w:rFonts w:ascii="Palatino Linotype" w:eastAsia="Palatino Linotype" w:hAnsi="Palatino Linotype" w:cs="Palatino Linotype"/>
          <w:i/>
          <w:sz w:val="22"/>
          <w:szCs w:val="22"/>
        </w:rPr>
        <w:t>(Sic)</w:t>
      </w:r>
    </w:p>
    <w:p w:rsidR="00ED13F2" w:rsidRDefault="00ED13F2" w:rsidP="00ED13F2">
      <w:pPr>
        <w:spacing w:line="360" w:lineRule="auto"/>
        <w:jc w:val="both"/>
        <w:rPr>
          <w:rFonts w:ascii="Palatino Linotype" w:eastAsia="Palatino Linotype" w:hAnsi="Palatino Linotype" w:cs="Palatino Linotype"/>
        </w:rPr>
      </w:pPr>
    </w:p>
    <w:p w:rsidR="00ED13F2" w:rsidRDefault="00ED13F2" w:rsidP="00ED13F2">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Así que, de los preceptos legales referidos, se advierte que a la Secretaría de la Contraloría le corresponde a través de la Dirección General de Responsabilidades Administrativas, recibir, registrar y resguardar</w:t>
      </w:r>
      <w:r w:rsidR="0039028B">
        <w:rPr>
          <w:rFonts w:ascii="Palatino Linotype" w:eastAsia="Palatino Linotype" w:hAnsi="Palatino Linotype" w:cs="Palatino Linotype"/>
        </w:rPr>
        <w:t xml:space="preserve"> las declaraciones de intereses</w:t>
      </w:r>
      <w:r>
        <w:rPr>
          <w:rFonts w:ascii="Palatino Linotype" w:eastAsia="Palatino Linotype" w:hAnsi="Palatino Linotype" w:cs="Palatino Linotype"/>
        </w:rPr>
        <w:t xml:space="preserve"> de los servidores públicos de la Administración Pública Estatal y Municipal.</w:t>
      </w:r>
    </w:p>
    <w:p w:rsidR="00ED13F2" w:rsidRDefault="00ED13F2" w:rsidP="00ED13F2">
      <w:pPr>
        <w:spacing w:line="360" w:lineRule="auto"/>
        <w:jc w:val="both"/>
        <w:rPr>
          <w:rFonts w:ascii="Palatino Linotype" w:eastAsia="Palatino Linotype" w:hAnsi="Palatino Linotype" w:cs="Palatino Linotype"/>
        </w:rPr>
      </w:pPr>
    </w:p>
    <w:p w:rsidR="00ED13F2" w:rsidRDefault="00ED13F2" w:rsidP="00ED13F2">
      <w:pPr>
        <w:spacing w:line="360" w:lineRule="auto"/>
        <w:jc w:val="both"/>
        <w:rPr>
          <w:rFonts w:ascii="Palatino Linotype" w:eastAsia="Palatino Linotype" w:hAnsi="Palatino Linotype" w:cs="Palatino Linotype"/>
          <w:highlight w:val="yellow"/>
        </w:rPr>
      </w:pPr>
      <w:r>
        <w:rPr>
          <w:rFonts w:ascii="Palatino Linotype" w:eastAsia="Palatino Linotype" w:hAnsi="Palatino Linotype" w:cs="Palatino Linotype"/>
        </w:rPr>
        <w:lastRenderedPageBreak/>
        <w:t xml:space="preserve">Atento a ello, es necesario manifestar que si bien es cierto la solicitud de información no es competencia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también es cierto que nos debemos apegar a lo que establece la Ley de Transparencia y Acceso a la Información Pública del Estado de México y Municipios, siendo aplicable lo que se establece los artículos 49 fracción II y 167 de la Ley de, los cuales disponen lo siguiente: </w:t>
      </w:r>
    </w:p>
    <w:p w:rsidR="00ED13F2" w:rsidRDefault="00ED13F2" w:rsidP="00ED13F2">
      <w:pPr>
        <w:spacing w:line="256" w:lineRule="auto"/>
        <w:ind w:left="851" w:right="899"/>
        <w:jc w:val="both"/>
        <w:rPr>
          <w:rFonts w:ascii="Palatino Linotype" w:eastAsia="Palatino Linotype" w:hAnsi="Palatino Linotype" w:cs="Palatino Linotype"/>
          <w:b/>
          <w:i/>
          <w:highlight w:val="yellow"/>
        </w:rPr>
      </w:pPr>
    </w:p>
    <w:p w:rsidR="00ED13F2" w:rsidRPr="007D528C" w:rsidRDefault="00ED13F2" w:rsidP="00ED13F2">
      <w:pPr>
        <w:spacing w:line="256" w:lineRule="auto"/>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rPr>
        <w:t>“</w:t>
      </w:r>
      <w:r w:rsidRPr="007D528C">
        <w:rPr>
          <w:rFonts w:ascii="Palatino Linotype" w:eastAsia="Palatino Linotype" w:hAnsi="Palatino Linotype" w:cs="Palatino Linotype"/>
          <w:b/>
          <w:i/>
          <w:sz w:val="22"/>
          <w:szCs w:val="22"/>
        </w:rPr>
        <w:t xml:space="preserve">Artículo 49. </w:t>
      </w:r>
      <w:r w:rsidRPr="007D528C">
        <w:rPr>
          <w:rFonts w:ascii="Palatino Linotype" w:eastAsia="Palatino Linotype" w:hAnsi="Palatino Linotype" w:cs="Palatino Linotype"/>
          <w:i/>
          <w:sz w:val="22"/>
          <w:szCs w:val="22"/>
        </w:rPr>
        <w:t>Los Comités de Transparencia tendrán las siguientes atribuciones:</w:t>
      </w:r>
    </w:p>
    <w:p w:rsidR="00ED13F2" w:rsidRPr="007D528C" w:rsidRDefault="00ED13F2" w:rsidP="00ED13F2">
      <w:pPr>
        <w:spacing w:line="256" w:lineRule="auto"/>
        <w:ind w:left="851" w:right="899"/>
        <w:jc w:val="both"/>
        <w:rPr>
          <w:rFonts w:ascii="Palatino Linotype" w:eastAsia="Palatino Linotype" w:hAnsi="Palatino Linotype" w:cs="Palatino Linotype"/>
          <w:i/>
          <w:sz w:val="22"/>
          <w:szCs w:val="22"/>
        </w:rPr>
      </w:pPr>
      <w:r w:rsidRPr="007D528C">
        <w:rPr>
          <w:rFonts w:ascii="Palatino Linotype" w:eastAsia="Palatino Linotype" w:hAnsi="Palatino Linotype" w:cs="Palatino Linotype"/>
          <w:b/>
          <w:i/>
          <w:sz w:val="22"/>
          <w:szCs w:val="22"/>
        </w:rPr>
        <w:t xml:space="preserve">I. </w:t>
      </w:r>
      <w:r w:rsidRPr="007D528C">
        <w:rPr>
          <w:rFonts w:ascii="Palatino Linotype" w:eastAsia="Palatino Linotype" w:hAnsi="Palatino Linotype" w:cs="Palatino Linotype"/>
          <w:i/>
          <w:sz w:val="22"/>
          <w:szCs w:val="22"/>
        </w:rPr>
        <w:t>Instituir, coordinar y supervisar en términos de las disposiciones aplicables, las acciones, medidas y procedimientos que coadyuven a asegurar una mayor eficacia en la gestión y atención de las solicitudes en materia de acceso a la información;</w:t>
      </w:r>
    </w:p>
    <w:p w:rsidR="00ED13F2" w:rsidRPr="007D528C" w:rsidRDefault="00ED13F2" w:rsidP="00ED13F2">
      <w:pPr>
        <w:spacing w:line="256" w:lineRule="auto"/>
        <w:ind w:left="851" w:right="899"/>
        <w:jc w:val="both"/>
        <w:rPr>
          <w:rFonts w:ascii="Palatino Linotype" w:eastAsia="Palatino Linotype" w:hAnsi="Palatino Linotype" w:cs="Palatino Linotype"/>
          <w:i/>
          <w:sz w:val="22"/>
          <w:szCs w:val="22"/>
          <w:u w:val="single"/>
        </w:rPr>
      </w:pPr>
      <w:r w:rsidRPr="007D528C">
        <w:rPr>
          <w:rFonts w:ascii="Palatino Linotype" w:eastAsia="Palatino Linotype" w:hAnsi="Palatino Linotype" w:cs="Palatino Linotype"/>
          <w:b/>
          <w:i/>
          <w:sz w:val="22"/>
          <w:szCs w:val="22"/>
        </w:rPr>
        <w:t xml:space="preserve">II. </w:t>
      </w:r>
      <w:r w:rsidRPr="007D528C">
        <w:rPr>
          <w:rFonts w:ascii="Palatino Linotype" w:eastAsia="Palatino Linotype" w:hAnsi="Palatino Linotype" w:cs="Palatino Linotype"/>
          <w:i/>
          <w:sz w:val="22"/>
          <w:szCs w:val="22"/>
        </w:rPr>
        <w:t xml:space="preserve">Confirmar, modificar o revocar las determinaciones que en materia de ampliación del plazo de respuesta, clasificación de la información y </w:t>
      </w:r>
      <w:r w:rsidRPr="007D528C">
        <w:rPr>
          <w:rFonts w:ascii="Palatino Linotype" w:eastAsia="Palatino Linotype" w:hAnsi="Palatino Linotype" w:cs="Palatino Linotype"/>
          <w:b/>
          <w:i/>
          <w:sz w:val="22"/>
          <w:szCs w:val="22"/>
          <w:u w:val="single"/>
        </w:rPr>
        <w:t xml:space="preserve">declaración </w:t>
      </w:r>
      <w:r w:rsidRPr="007D528C">
        <w:rPr>
          <w:rFonts w:ascii="Palatino Linotype" w:eastAsia="Palatino Linotype" w:hAnsi="Palatino Linotype" w:cs="Palatino Linotype"/>
          <w:i/>
          <w:sz w:val="22"/>
          <w:szCs w:val="22"/>
        </w:rPr>
        <w:t xml:space="preserve">de inexistencia </w:t>
      </w:r>
      <w:r w:rsidRPr="007D528C">
        <w:rPr>
          <w:rFonts w:ascii="Palatino Linotype" w:eastAsia="Palatino Linotype" w:hAnsi="Palatino Linotype" w:cs="Palatino Linotype"/>
          <w:b/>
          <w:i/>
          <w:sz w:val="22"/>
          <w:szCs w:val="22"/>
        </w:rPr>
        <w:t xml:space="preserve">o </w:t>
      </w:r>
      <w:r w:rsidRPr="007D528C">
        <w:rPr>
          <w:rFonts w:ascii="Palatino Linotype" w:eastAsia="Palatino Linotype" w:hAnsi="Palatino Linotype" w:cs="Palatino Linotype"/>
          <w:b/>
          <w:i/>
          <w:sz w:val="22"/>
          <w:szCs w:val="22"/>
          <w:u w:val="single"/>
        </w:rPr>
        <w:t>de incompetencia realicen los titulares de las áreas de los sujetos obligados</w:t>
      </w:r>
      <w:r w:rsidRPr="007D528C">
        <w:rPr>
          <w:rFonts w:ascii="Palatino Linotype" w:eastAsia="Palatino Linotype" w:hAnsi="Palatino Linotype" w:cs="Palatino Linotype"/>
          <w:i/>
          <w:sz w:val="22"/>
          <w:szCs w:val="22"/>
          <w:u w:val="single"/>
        </w:rPr>
        <w:t>;</w:t>
      </w:r>
    </w:p>
    <w:p w:rsidR="00ED13F2" w:rsidRPr="007D528C" w:rsidRDefault="00ED13F2" w:rsidP="00ED13F2">
      <w:pPr>
        <w:spacing w:line="256" w:lineRule="auto"/>
        <w:ind w:left="851" w:right="899"/>
        <w:jc w:val="both"/>
        <w:rPr>
          <w:rFonts w:ascii="Palatino Linotype" w:eastAsia="Palatino Linotype" w:hAnsi="Palatino Linotype" w:cs="Palatino Linotype"/>
          <w:i/>
          <w:sz w:val="22"/>
          <w:szCs w:val="22"/>
        </w:rPr>
      </w:pPr>
    </w:p>
    <w:p w:rsidR="00ED13F2" w:rsidRPr="007D528C" w:rsidRDefault="00ED13F2" w:rsidP="00ED13F2">
      <w:pPr>
        <w:spacing w:line="256" w:lineRule="auto"/>
        <w:ind w:left="851" w:right="899"/>
        <w:jc w:val="both"/>
        <w:rPr>
          <w:rFonts w:ascii="Palatino Linotype" w:eastAsia="Palatino Linotype" w:hAnsi="Palatino Linotype" w:cs="Palatino Linotype"/>
          <w:b/>
          <w:i/>
          <w:sz w:val="22"/>
          <w:szCs w:val="22"/>
          <w:u w:val="single"/>
        </w:rPr>
      </w:pPr>
      <w:r w:rsidRPr="007D528C">
        <w:rPr>
          <w:rFonts w:ascii="Palatino Linotype" w:eastAsia="Palatino Linotype" w:hAnsi="Palatino Linotype" w:cs="Palatino Linotype"/>
          <w:b/>
          <w:i/>
          <w:sz w:val="22"/>
          <w:szCs w:val="22"/>
        </w:rPr>
        <w:t xml:space="preserve">Artículo 167. </w:t>
      </w:r>
      <w:r w:rsidRPr="007D528C">
        <w:rPr>
          <w:rFonts w:ascii="Palatino Linotype" w:eastAsia="Palatino Linotype" w:hAnsi="Palatino Linotype" w:cs="Palatino Linotype"/>
          <w:i/>
          <w:sz w:val="22"/>
          <w:szCs w:val="22"/>
        </w:rPr>
        <w:t xml:space="preserve">Cuando las unidades de transparencia determinen la notoria incompetencia por parte de los sujetos obligados, dentro del ámbito de aplicación, para atender la solicitud de acceso a la información, deberán comunicarlo al solicitante, dentro de los tres días hábiles posteriores a la recepción de la solicitud y, </w:t>
      </w:r>
      <w:r w:rsidRPr="007D528C">
        <w:rPr>
          <w:rFonts w:ascii="Palatino Linotype" w:eastAsia="Palatino Linotype" w:hAnsi="Palatino Linotype" w:cs="Palatino Linotype"/>
          <w:b/>
          <w:i/>
          <w:sz w:val="22"/>
          <w:szCs w:val="22"/>
          <w:u w:val="single"/>
        </w:rPr>
        <w:t>en su caso orientar al solicitante, el o los sujetos obligados competentes.”</w:t>
      </w:r>
      <w:r w:rsidR="0039028B">
        <w:rPr>
          <w:rFonts w:ascii="Palatino Linotype" w:eastAsia="Palatino Linotype" w:hAnsi="Palatino Linotype" w:cs="Palatino Linotype"/>
          <w:b/>
          <w:i/>
          <w:sz w:val="22"/>
          <w:szCs w:val="22"/>
          <w:u w:val="single"/>
        </w:rPr>
        <w:t xml:space="preserve"> (Sic)</w:t>
      </w:r>
    </w:p>
    <w:p w:rsidR="00ED13F2" w:rsidRDefault="00ED13F2" w:rsidP="00ED13F2">
      <w:pPr>
        <w:tabs>
          <w:tab w:val="left" w:pos="709"/>
        </w:tabs>
        <w:spacing w:line="360" w:lineRule="auto"/>
        <w:ind w:right="51"/>
        <w:jc w:val="both"/>
        <w:rPr>
          <w:rFonts w:ascii="Palatino Linotype" w:eastAsia="Palatino Linotype" w:hAnsi="Palatino Linotype" w:cs="Palatino Linotype"/>
        </w:rPr>
      </w:pPr>
    </w:p>
    <w:p w:rsidR="00ED13F2" w:rsidRDefault="00ED13F2" w:rsidP="00ED13F2">
      <w:pPr>
        <w:tabs>
          <w:tab w:val="left" w:pos="709"/>
        </w:tabs>
        <w:spacing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t xml:space="preserve">De esta manera, se sustenta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a través de su Comité de Transparencia debe confirmar la </w:t>
      </w:r>
      <w:r w:rsidRPr="003E4484">
        <w:rPr>
          <w:rFonts w:ascii="Palatino Linotype" w:eastAsia="Palatino Linotype" w:hAnsi="Palatino Linotype" w:cs="Palatino Linotype"/>
        </w:rPr>
        <w:t xml:space="preserve">incompetencia que en el presente asunto encuadra en el supuesto de la Ley, es decir se deberá elaborar el acuerdo mediante el cual se confirme la incompetencia declarada por el Titular de la Unidad de Transparencia, respecto a la solicitud de información presentada por la parte </w:t>
      </w:r>
      <w:r w:rsidRPr="003E4484">
        <w:rPr>
          <w:rFonts w:ascii="Palatino Linotype" w:eastAsia="Palatino Linotype" w:hAnsi="Palatino Linotype" w:cs="Palatino Linotype"/>
          <w:b/>
        </w:rPr>
        <w:t>RECURRENTE</w:t>
      </w:r>
      <w:r>
        <w:rPr>
          <w:rFonts w:ascii="Palatino Linotype" w:eastAsia="Palatino Linotype" w:hAnsi="Palatino Linotype" w:cs="Palatino Linotype"/>
        </w:rPr>
        <w:t>, debiendo notificarle de igual forma el Acuerdo de referencia.</w:t>
      </w:r>
    </w:p>
    <w:p w:rsidR="00ED13F2" w:rsidRDefault="00ED13F2" w:rsidP="00ED13F2">
      <w:pPr>
        <w:tabs>
          <w:tab w:val="left" w:pos="709"/>
        </w:tabs>
        <w:spacing w:line="360" w:lineRule="auto"/>
        <w:ind w:right="51"/>
        <w:jc w:val="both"/>
        <w:rPr>
          <w:rFonts w:ascii="Palatino Linotype" w:eastAsia="Palatino Linotype" w:hAnsi="Palatino Linotype" w:cs="Palatino Linotype"/>
        </w:rPr>
      </w:pPr>
    </w:p>
    <w:p w:rsidR="00ED13F2" w:rsidRDefault="00ED13F2" w:rsidP="00ED13F2">
      <w:pPr>
        <w:tabs>
          <w:tab w:val="left" w:pos="709"/>
        </w:tabs>
        <w:spacing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Por otra parte, ante la incompetencia,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tiene la potestad de orientar al particular sobre la dependencia pública ante quien deba presentar su solicitud de información. En este orden de ideas, se</w:t>
      </w:r>
      <w:r w:rsidR="004D6502">
        <w:rPr>
          <w:rFonts w:ascii="Palatino Linotype" w:eastAsia="Palatino Linotype" w:hAnsi="Palatino Linotype" w:cs="Palatino Linotype"/>
        </w:rPr>
        <w:t xml:space="preserve"> dejan a salvo los derechos de la </w:t>
      </w:r>
      <w:r>
        <w:rPr>
          <w:rFonts w:ascii="Palatino Linotype" w:eastAsia="Palatino Linotype" w:hAnsi="Palatino Linotype" w:cs="Palatino Linotype"/>
        </w:rPr>
        <w:t xml:space="preserve">Recurrente para que formule una nueva solicitud de información ante el Sujeto Obligado competente. </w:t>
      </w:r>
    </w:p>
    <w:p w:rsidR="00ED13F2" w:rsidRPr="00EF5D72" w:rsidRDefault="00ED13F2" w:rsidP="0047093D">
      <w:pPr>
        <w:spacing w:before="240" w:after="240" w:line="360" w:lineRule="auto"/>
        <w:contextualSpacing/>
        <w:jc w:val="both"/>
        <w:rPr>
          <w:rFonts w:ascii="Palatino Linotype" w:eastAsia="Palatino Linotype" w:hAnsi="Palatino Linotype" w:cs="Palatino Linotype"/>
          <w:color w:val="FF0000"/>
        </w:rPr>
      </w:pPr>
    </w:p>
    <w:p w:rsidR="008F7E78" w:rsidRPr="008F7E78" w:rsidRDefault="008F7E78" w:rsidP="008F7E78">
      <w:pPr>
        <w:spacing w:before="240" w:after="240" w:line="360" w:lineRule="auto"/>
        <w:contextualSpacing/>
        <w:jc w:val="both"/>
        <w:rPr>
          <w:rFonts w:ascii="Palatino Linotype" w:eastAsia="Palatino Linotype" w:hAnsi="Palatino Linotype" w:cs="Palatino Linotype"/>
          <w:b/>
        </w:rPr>
      </w:pPr>
      <w:r>
        <w:rPr>
          <w:rFonts w:ascii="Palatino Linotype" w:eastAsia="Palatino Linotype" w:hAnsi="Palatino Linotype" w:cs="Palatino Linotype"/>
        </w:rPr>
        <w:t xml:space="preserve">En lo que concierne </w:t>
      </w:r>
      <w:r w:rsidRPr="008F7E78">
        <w:rPr>
          <w:rFonts w:ascii="Palatino Linotype" w:eastAsia="Palatino Linotype" w:hAnsi="Palatino Linotype" w:cs="Palatino Linotype"/>
          <w:b/>
        </w:rPr>
        <w:t xml:space="preserve">a </w:t>
      </w:r>
      <w:r w:rsidRPr="008F7E78">
        <w:rPr>
          <w:rFonts w:ascii="Palatino Linotype" w:eastAsia="Palatino Linotype" w:hAnsi="Palatino Linotype" w:cs="Palatino Linotype"/>
          <w:b/>
          <w:u w:val="single"/>
        </w:rPr>
        <w:t>los recibos de nómina de las quincenas de enero y febrero de 2022</w:t>
      </w:r>
      <w:r w:rsidRPr="008F7E78">
        <w:rPr>
          <w:rFonts w:ascii="Palatino Linotype" w:eastAsia="Palatino Linotype" w:hAnsi="Palatino Linotype" w:cs="Palatino Linotype"/>
          <w:b/>
        </w:rPr>
        <w:t>, de la Directora de Administración y Director del Instituto Municipal de Cultura Física y Deporte</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conviene a traer lo establecido por el artículo 804, fracción II, de la Ley Federal de Trabajo, el cual a la letra establece: </w:t>
      </w:r>
    </w:p>
    <w:p w:rsidR="008F7E78" w:rsidRDefault="008F7E78" w:rsidP="008F7E78">
      <w:pPr>
        <w:ind w:left="851" w:right="851"/>
        <w:jc w:val="both"/>
        <w:rPr>
          <w:rFonts w:ascii="Palatino Linotype" w:eastAsia="Palatino Linotype" w:hAnsi="Palatino Linotype" w:cs="Palatino Linotype"/>
          <w:i/>
        </w:rPr>
      </w:pPr>
    </w:p>
    <w:p w:rsidR="008F7E78" w:rsidRDefault="008F7E78" w:rsidP="008F7E78">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rPr>
        <w:t>“</w:t>
      </w:r>
      <w:r>
        <w:rPr>
          <w:rFonts w:ascii="Palatino Linotype" w:eastAsia="Palatino Linotype" w:hAnsi="Palatino Linotype" w:cs="Palatino Linotype"/>
          <w:b/>
          <w:i/>
          <w:sz w:val="22"/>
          <w:szCs w:val="22"/>
        </w:rPr>
        <w:t>Artículo 804.-</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El patrón tiene obligación de conservar y exhibir en juicio los documentos que a continuación se precisan</w:t>
      </w:r>
      <w:r>
        <w:rPr>
          <w:rFonts w:ascii="Palatino Linotype" w:eastAsia="Palatino Linotype" w:hAnsi="Palatino Linotype" w:cs="Palatino Linotype"/>
          <w:i/>
          <w:sz w:val="22"/>
          <w:szCs w:val="22"/>
        </w:rPr>
        <w:t>:</w:t>
      </w:r>
    </w:p>
    <w:p w:rsidR="008F7E78" w:rsidRDefault="008F7E78" w:rsidP="008F7E78">
      <w:pPr>
        <w:ind w:left="851" w:right="851"/>
        <w:jc w:val="both"/>
        <w:rPr>
          <w:rFonts w:ascii="Palatino Linotype" w:eastAsia="Palatino Linotype" w:hAnsi="Palatino Linotype" w:cs="Palatino Linotype"/>
          <w:i/>
          <w:sz w:val="22"/>
          <w:szCs w:val="22"/>
        </w:rPr>
      </w:pPr>
    </w:p>
    <w:p w:rsidR="008F7E78" w:rsidRDefault="008F7E78" w:rsidP="008F7E78">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Listas de raya o nómina de personal</w:t>
      </w:r>
      <w:r>
        <w:rPr>
          <w:rFonts w:ascii="Palatino Linotype" w:eastAsia="Palatino Linotype" w:hAnsi="Palatino Linotype" w:cs="Palatino Linotype"/>
          <w:i/>
          <w:sz w:val="22"/>
          <w:szCs w:val="22"/>
        </w:rPr>
        <w:t xml:space="preserve">, cuando se lleven en el centro de trabajo; o recibos de pagos de salarios; </w:t>
      </w:r>
    </w:p>
    <w:p w:rsidR="008F7E78" w:rsidRDefault="008F7E78" w:rsidP="008F7E78">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8F7E78" w:rsidRDefault="008F7E78" w:rsidP="008F7E78">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Los documentos señalados en la fracción I deberán conservarse mientras dure la relación laboral y hasta un año después; </w:t>
      </w:r>
      <w:r>
        <w:rPr>
          <w:rFonts w:ascii="Palatino Linotype" w:eastAsia="Palatino Linotype" w:hAnsi="Palatino Linotype" w:cs="Palatino Linotype"/>
          <w:b/>
          <w:i/>
          <w:sz w:val="22"/>
          <w:szCs w:val="22"/>
        </w:rPr>
        <w:t>los señalados en las fracciones II, III y IV, durante el último año y un año después de que se extinga la relación laboral</w:t>
      </w:r>
      <w:r>
        <w:rPr>
          <w:rFonts w:ascii="Palatino Linotype" w:eastAsia="Palatino Linotype" w:hAnsi="Palatino Linotype" w:cs="Palatino Linotype"/>
          <w:i/>
          <w:sz w:val="22"/>
          <w:szCs w:val="22"/>
        </w:rPr>
        <w:t>; y los mencionados en la fracción V, conforme lo señalen las Leyes que los rijan.” (Sic)</w:t>
      </w:r>
    </w:p>
    <w:p w:rsidR="008F7E78" w:rsidRDefault="008F7E78" w:rsidP="008F7E78">
      <w:pPr>
        <w:tabs>
          <w:tab w:val="right" w:pos="8505"/>
        </w:tabs>
        <w:spacing w:line="360" w:lineRule="auto"/>
        <w:jc w:val="both"/>
        <w:rPr>
          <w:rFonts w:ascii="Palatino Linotype" w:eastAsia="Palatino Linotype" w:hAnsi="Palatino Linotype" w:cs="Palatino Linotype"/>
        </w:rPr>
      </w:pPr>
    </w:p>
    <w:p w:rsidR="008F7E78" w:rsidRDefault="008F7E78" w:rsidP="008F7E78">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De lo precedente, se concluye que la nómina, es el registro utilizado para efectuar los pagos a los trabajadores por concepto de sueldos y salarios, el cual se compone por el conjunto de trabajadores en el que se asientan las percepciones brutas, deducciones y la cantidad neta a pagar.</w:t>
      </w:r>
    </w:p>
    <w:p w:rsidR="008F7E78" w:rsidRDefault="008F7E78" w:rsidP="008F7E78">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lastRenderedPageBreak/>
        <w:t>En ese contexto, tratándose de servidores públicos de los Municipios la Ley del Trabajo de los Servidores Públicos del Estado y Municipios, en su artículo 220-K, establece lo siguiente:</w:t>
      </w:r>
    </w:p>
    <w:p w:rsidR="008F7E78" w:rsidRDefault="008F7E78" w:rsidP="008F7E78">
      <w:pPr>
        <w:tabs>
          <w:tab w:val="left" w:pos="9072"/>
        </w:tabs>
        <w:spacing w:before="240"/>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220 K.-</w:t>
      </w:r>
      <w:r>
        <w:rPr>
          <w:rFonts w:ascii="Palatino Linotype" w:eastAsia="Palatino Linotype" w:hAnsi="Palatino Linotype" w:cs="Palatino Linotype"/>
          <w:i/>
          <w:sz w:val="22"/>
          <w:szCs w:val="22"/>
        </w:rPr>
        <w:t xml:space="preserve"> La </w:t>
      </w:r>
      <w:r>
        <w:rPr>
          <w:rFonts w:ascii="Palatino Linotype" w:eastAsia="Palatino Linotype" w:hAnsi="Palatino Linotype" w:cs="Palatino Linotype"/>
          <w:b/>
          <w:i/>
          <w:sz w:val="22"/>
          <w:szCs w:val="22"/>
        </w:rPr>
        <w:t>institución o dependencia pública tiene la obligación de conservar y exhibir en el proceso los documentos que a continuación</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se precisan</w:t>
      </w:r>
      <w:r>
        <w:rPr>
          <w:rFonts w:ascii="Palatino Linotype" w:eastAsia="Palatino Linotype" w:hAnsi="Palatino Linotype" w:cs="Palatino Linotype"/>
          <w:i/>
          <w:sz w:val="22"/>
          <w:szCs w:val="22"/>
        </w:rPr>
        <w:t>:</w:t>
      </w:r>
    </w:p>
    <w:p w:rsidR="008F7E78" w:rsidRDefault="008F7E78" w:rsidP="008F7E78">
      <w:pPr>
        <w:tabs>
          <w:tab w:val="left" w:pos="9072"/>
        </w:tabs>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8F7E78" w:rsidRDefault="008F7E78" w:rsidP="008F7E78">
      <w:pPr>
        <w:tabs>
          <w:tab w:val="left" w:pos="9072"/>
        </w:tabs>
        <w:ind w:left="851" w:right="851"/>
        <w:jc w:val="both"/>
        <w:rPr>
          <w:rFonts w:ascii="Palatino Linotype" w:eastAsia="Palatino Linotype" w:hAnsi="Palatino Linotype" w:cs="Palatino Linotype"/>
          <w:b/>
          <w:i/>
          <w:sz w:val="22"/>
          <w:szCs w:val="22"/>
        </w:rPr>
      </w:pPr>
      <w:r>
        <w:rPr>
          <w:rFonts w:ascii="Palatino Linotype" w:eastAsia="Palatino Linotype" w:hAnsi="Palatino Linotype" w:cs="Palatino Linotype"/>
          <w:i/>
          <w:sz w:val="22"/>
          <w:szCs w:val="22"/>
        </w:rPr>
        <w:t xml:space="preserve">II. </w:t>
      </w:r>
      <w:r>
        <w:rPr>
          <w:rFonts w:ascii="Palatino Linotype" w:eastAsia="Palatino Linotype" w:hAnsi="Palatino Linotype" w:cs="Palatino Linotype"/>
          <w:b/>
          <w:i/>
          <w:sz w:val="22"/>
          <w:szCs w:val="22"/>
        </w:rPr>
        <w:t>Recibos de pagos de salarios o</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las constancias documentales del pago de salario</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cuando sea por depósito o mediante información electrónica;</w:t>
      </w:r>
    </w:p>
    <w:p w:rsidR="008F7E78" w:rsidRDefault="008F7E78" w:rsidP="008F7E78">
      <w:pPr>
        <w:tabs>
          <w:tab w:val="left" w:pos="9072"/>
        </w:tabs>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8F7E78" w:rsidRDefault="008F7E78" w:rsidP="008F7E78">
      <w:pPr>
        <w:tabs>
          <w:tab w:val="left" w:pos="9072"/>
        </w:tabs>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documentos señalados en la fracción I de este artículo, deberán conservarse mientras dure la relación laboral y hasta un año después; los señalados por las fracciones II, III, IV durante el último año y un año después de que se extinga la relación laboral, y los mencionados en la fracción V, conforme lo señalen las leyes que los rijan.</w:t>
      </w:r>
    </w:p>
    <w:p w:rsidR="008F7E78" w:rsidRDefault="008F7E78" w:rsidP="008F7E78">
      <w:pPr>
        <w:tabs>
          <w:tab w:val="left" w:pos="9072"/>
        </w:tabs>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 (Sic)</w:t>
      </w:r>
    </w:p>
    <w:p w:rsidR="008F7E78" w:rsidRDefault="008F7E78" w:rsidP="008F7E78">
      <w:pPr>
        <w:tabs>
          <w:tab w:val="left" w:pos="9072"/>
        </w:tabs>
        <w:ind w:left="851" w:right="851"/>
        <w:jc w:val="both"/>
        <w:rPr>
          <w:rFonts w:ascii="Palatino Linotype" w:eastAsia="Palatino Linotype" w:hAnsi="Palatino Linotype" w:cs="Palatino Linotype"/>
          <w:i/>
          <w:sz w:val="22"/>
          <w:szCs w:val="22"/>
        </w:rPr>
      </w:pPr>
    </w:p>
    <w:p w:rsidR="008F7E78" w:rsidRDefault="008F7E78" w:rsidP="008F7E78">
      <w:pPr>
        <w:spacing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t>Luego entonces, tenemos que toda institución o dependencia pública del Estado de México debe conservar las constancias documentales del pago de salario cuando sea por depósito o mediante información electrónica, debiendo conservar dicha documentación durante el último año y un año después de que se extinga la relación laboral a través de los sistemas de digitalización o de información magnética o electrónica.</w:t>
      </w:r>
    </w:p>
    <w:p w:rsidR="008F7E78" w:rsidRDefault="008F7E78" w:rsidP="008F7E78">
      <w:pPr>
        <w:spacing w:line="360" w:lineRule="auto"/>
        <w:ind w:right="51"/>
        <w:jc w:val="both"/>
        <w:rPr>
          <w:rFonts w:ascii="Palatino Linotype" w:eastAsia="Palatino Linotype" w:hAnsi="Palatino Linotype" w:cs="Palatino Linotype"/>
        </w:rPr>
      </w:pPr>
    </w:p>
    <w:p w:rsidR="008F7E78" w:rsidRDefault="008F7E78" w:rsidP="008F7E78">
      <w:pPr>
        <w:tabs>
          <w:tab w:val="right" w:pos="8505"/>
        </w:tabs>
        <w:spacing w:after="240" w:line="360" w:lineRule="auto"/>
        <w:jc w:val="both"/>
        <w:rPr>
          <w:color w:val="000000"/>
        </w:rPr>
      </w:pPr>
      <w:r>
        <w:rPr>
          <w:rFonts w:ascii="Palatino Linotype" w:eastAsia="Palatino Linotype" w:hAnsi="Palatino Linotype" w:cs="Palatino Linotype"/>
        </w:rPr>
        <w:t xml:space="preserve">Una vez precisado lo que antecede, es necesario analizar la Ley de Fiscalización Superior del Estado de México, toda vez que señala </w:t>
      </w:r>
      <w:r>
        <w:rPr>
          <w:rFonts w:ascii="Palatino Linotype" w:eastAsia="Palatino Linotype" w:hAnsi="Palatino Linotype" w:cs="Palatino Linotype"/>
          <w:color w:val="000000"/>
        </w:rPr>
        <w:t xml:space="preserve">que los municipios que conforman </w:t>
      </w:r>
      <w:r>
        <w:rPr>
          <w:rFonts w:ascii="Palatino Linotype" w:eastAsia="Palatino Linotype" w:hAnsi="Palatino Linotype" w:cs="Palatino Linotype"/>
          <w:color w:val="000000"/>
        </w:rPr>
        <w:lastRenderedPageBreak/>
        <w:t xml:space="preserve">el Estado de México, entre ellos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w:t>
      </w:r>
      <w:r>
        <w:t xml:space="preserve"> </w:t>
      </w:r>
      <w:r>
        <w:rPr>
          <w:rFonts w:ascii="Palatino Linotype" w:eastAsia="Palatino Linotype" w:hAnsi="Palatino Linotype" w:cs="Palatino Linotype"/>
          <w:color w:val="000000"/>
        </w:rPr>
        <w:t>es considerado como ente fiscalizable, como así lo señala el artículo 4 fracción II de la Ley de Fiscalización Superior del Estado de México, el cual señala:</w:t>
      </w:r>
    </w:p>
    <w:p w:rsidR="008F7E78" w:rsidRDefault="008F7E78" w:rsidP="008F7E78">
      <w:pPr>
        <w:spacing w:before="240"/>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“Artículo 4. </w:t>
      </w:r>
      <w:r>
        <w:rPr>
          <w:rFonts w:ascii="Palatino Linotype" w:eastAsia="Palatino Linotype" w:hAnsi="Palatino Linotype" w:cs="Palatino Linotype"/>
          <w:i/>
          <w:sz w:val="22"/>
          <w:szCs w:val="22"/>
        </w:rPr>
        <w:t>Son sujetos de fiscalización:</w:t>
      </w:r>
    </w:p>
    <w:p w:rsidR="008F7E78" w:rsidRDefault="008F7E78" w:rsidP="008F7E78">
      <w:pPr>
        <w:ind w:left="851" w:right="851"/>
        <w:jc w:val="both"/>
        <w:rPr>
          <w:i/>
          <w:sz w:val="22"/>
          <w:szCs w:val="22"/>
        </w:rPr>
      </w:pPr>
      <w:r>
        <w:rPr>
          <w:rFonts w:ascii="Palatino Linotype" w:eastAsia="Palatino Linotype" w:hAnsi="Palatino Linotype" w:cs="Palatino Linotype"/>
          <w:i/>
          <w:sz w:val="22"/>
          <w:szCs w:val="22"/>
        </w:rPr>
        <w:t>…</w:t>
      </w:r>
    </w:p>
    <w:p w:rsidR="008F7E78" w:rsidRDefault="008F7E78" w:rsidP="008F7E78">
      <w:pPr>
        <w:numPr>
          <w:ilvl w:val="0"/>
          <w:numId w:val="19"/>
        </w:numPr>
        <w:pBdr>
          <w:top w:val="nil"/>
          <w:left w:val="nil"/>
          <w:bottom w:val="nil"/>
          <w:right w:val="nil"/>
          <w:between w:val="nil"/>
        </w:pBdr>
        <w:spacing w:before="240" w:after="160"/>
        <w:ind w:right="85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Los municipios del Estado de México…” (Sic)</w:t>
      </w:r>
    </w:p>
    <w:p w:rsidR="008F7E78" w:rsidRDefault="008F7E78" w:rsidP="008F7E78">
      <w:pPr>
        <w:spacing w:before="240"/>
        <w:ind w:left="851" w:right="851"/>
        <w:jc w:val="both"/>
        <w:rPr>
          <w:b/>
          <w:color w:val="000000"/>
          <w:sz w:val="22"/>
          <w:szCs w:val="22"/>
        </w:rPr>
      </w:pPr>
    </w:p>
    <w:p w:rsidR="008F7E78" w:rsidRDefault="008F7E78" w:rsidP="008F7E78">
      <w:pPr>
        <w:spacing w:line="360" w:lineRule="auto"/>
        <w:ind w:right="4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Asimismo, el ordenamiento legal referido señala en su artículo 8, fracción XI, que el Órgano Superior de Fiscalización del Estado de México, tiene como una de sus </w:t>
      </w:r>
      <w:r w:rsidR="006265A2">
        <w:rPr>
          <w:rFonts w:ascii="Palatino Linotype" w:eastAsia="Palatino Linotype" w:hAnsi="Palatino Linotype" w:cs="Palatino Linotype"/>
          <w:color w:val="000000"/>
        </w:rPr>
        <w:t>atribuciones el de emitir la</w:t>
      </w:r>
      <w:r>
        <w:rPr>
          <w:rFonts w:ascii="Palatino Linotype" w:eastAsia="Palatino Linotype" w:hAnsi="Palatino Linotype" w:cs="Palatino Linotype"/>
          <w:color w:val="000000"/>
        </w:rPr>
        <w:t xml:space="preserve">s </w:t>
      </w:r>
      <w:r w:rsidR="006265A2">
        <w:rPr>
          <w:rFonts w:ascii="Palatino Linotype" w:eastAsia="Palatino Linotype" w:hAnsi="Palatino Linotype" w:cs="Palatino Linotype"/>
          <w:color w:val="000000"/>
        </w:rPr>
        <w:t>Políticas para la</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rPr>
        <w:t>Integración del Informe Trimestral de los Sujetos de Fiscalización Municipales para el Ejercicio 2022</w:t>
      </w:r>
      <w:r>
        <w:rPr>
          <w:rFonts w:ascii="Palatino Linotype" w:eastAsia="Palatino Linotype" w:hAnsi="Palatino Linotype" w:cs="Palatino Linotype"/>
          <w:color w:val="000000"/>
        </w:rPr>
        <w:t>, como así se advierte a continuación:</w:t>
      </w:r>
    </w:p>
    <w:p w:rsidR="008F7E78" w:rsidRDefault="008F7E78" w:rsidP="008F7E78">
      <w:pPr>
        <w:spacing w:line="360" w:lineRule="auto"/>
        <w:ind w:right="49"/>
        <w:jc w:val="both"/>
        <w:rPr>
          <w:rFonts w:ascii="Palatino Linotype" w:eastAsia="Palatino Linotype" w:hAnsi="Palatino Linotype" w:cs="Palatino Linotype"/>
          <w:color w:val="000000"/>
        </w:rPr>
      </w:pPr>
    </w:p>
    <w:p w:rsidR="008F7E78" w:rsidRDefault="008F7E78" w:rsidP="008F7E78">
      <w:pPr>
        <w:ind w:left="851" w:right="851"/>
        <w:jc w:val="both"/>
        <w:rPr>
          <w:i/>
          <w:sz w:val="22"/>
          <w:szCs w:val="22"/>
        </w:rPr>
      </w:pPr>
      <w:r>
        <w:rPr>
          <w:rFonts w:ascii="Palatino Linotype" w:eastAsia="Palatino Linotype" w:hAnsi="Palatino Linotype" w:cs="Palatino Linotype"/>
          <w:b/>
          <w:i/>
          <w:sz w:val="22"/>
          <w:szCs w:val="22"/>
        </w:rPr>
        <w:t xml:space="preserve">“Artículo 8. </w:t>
      </w:r>
      <w:r>
        <w:rPr>
          <w:rFonts w:ascii="Palatino Linotype" w:eastAsia="Palatino Linotype" w:hAnsi="Palatino Linotype" w:cs="Palatino Linotype"/>
          <w:i/>
          <w:sz w:val="22"/>
          <w:szCs w:val="22"/>
        </w:rPr>
        <w:t>El Órgano Superior tendrá las siguientes atribuciones:</w:t>
      </w:r>
    </w:p>
    <w:p w:rsidR="008F7E78" w:rsidRDefault="008F7E78" w:rsidP="008F7E78">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8F7E78" w:rsidRDefault="008F7E78" w:rsidP="008F7E78">
      <w:pPr>
        <w:ind w:left="851" w:right="851"/>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XI. Establecer los lineamientos</w:t>
      </w:r>
      <w:r>
        <w:rPr>
          <w:rFonts w:ascii="Palatino Linotype" w:eastAsia="Palatino Linotype" w:hAnsi="Palatino Linotype" w:cs="Palatino Linotype"/>
          <w:i/>
          <w:sz w:val="22"/>
          <w:szCs w:val="22"/>
        </w:rPr>
        <w:t xml:space="preserve">, criterios, procedimientos, métodos y sistemas </w:t>
      </w:r>
      <w:r>
        <w:rPr>
          <w:rFonts w:ascii="Palatino Linotype" w:eastAsia="Palatino Linotype" w:hAnsi="Palatino Linotype" w:cs="Palatino Linotype"/>
          <w:b/>
          <w:i/>
          <w:sz w:val="22"/>
          <w:szCs w:val="22"/>
        </w:rPr>
        <w:t>para las acciones de control y evaluación, necesarios para la fiscalización de las cuentas públicas y los informes trimestrales</w:t>
      </w:r>
      <w:r>
        <w:rPr>
          <w:rFonts w:ascii="Palatino Linotype" w:eastAsia="Palatino Linotype" w:hAnsi="Palatino Linotype" w:cs="Palatino Linotype"/>
          <w:i/>
          <w:sz w:val="22"/>
          <w:szCs w:val="22"/>
        </w:rPr>
        <w:t>…</w:t>
      </w:r>
      <w:r>
        <w:rPr>
          <w:rFonts w:ascii="Palatino Linotype" w:eastAsia="Palatino Linotype" w:hAnsi="Palatino Linotype" w:cs="Palatino Linotype"/>
          <w:color w:val="000000"/>
          <w:sz w:val="22"/>
          <w:szCs w:val="22"/>
        </w:rPr>
        <w:t xml:space="preserve">” </w:t>
      </w:r>
      <w:r>
        <w:rPr>
          <w:rFonts w:ascii="Palatino Linotype" w:eastAsia="Palatino Linotype" w:hAnsi="Palatino Linotype" w:cs="Palatino Linotype"/>
          <w:sz w:val="22"/>
          <w:szCs w:val="22"/>
        </w:rPr>
        <w:t>(</w:t>
      </w:r>
      <w:r>
        <w:rPr>
          <w:rFonts w:ascii="Palatino Linotype" w:eastAsia="Palatino Linotype" w:hAnsi="Palatino Linotype" w:cs="Palatino Linotype"/>
          <w:i/>
          <w:sz w:val="22"/>
          <w:szCs w:val="22"/>
        </w:rPr>
        <w:t>Sic)</w:t>
      </w:r>
    </w:p>
    <w:p w:rsidR="008F7E78" w:rsidRDefault="008F7E78" w:rsidP="008F7E78">
      <w:pPr>
        <w:ind w:left="851" w:right="851"/>
        <w:jc w:val="both"/>
        <w:rPr>
          <w:rFonts w:ascii="Palatino Linotype" w:eastAsia="Palatino Linotype" w:hAnsi="Palatino Linotype" w:cs="Palatino Linotype"/>
          <w:b/>
          <w:i/>
        </w:rPr>
      </w:pPr>
    </w:p>
    <w:p w:rsidR="008F7E78" w:rsidRDefault="008F7E78" w:rsidP="008F7E78">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Dentro de los cuales ubicamos en su módulo cuatro la información de la nómina, como se advierte en las siguientes imágenes sustraídas de dichas políticas:</w:t>
      </w:r>
    </w:p>
    <w:p w:rsidR="008F7E78" w:rsidRDefault="008F7E78" w:rsidP="008F7E78">
      <w:pPr>
        <w:spacing w:line="360" w:lineRule="auto"/>
        <w:jc w:val="both"/>
      </w:pPr>
    </w:p>
    <w:p w:rsidR="008F7E78" w:rsidRDefault="008F7E78" w:rsidP="008F7E78">
      <w:pPr>
        <w:spacing w:line="360" w:lineRule="auto"/>
        <w:jc w:val="both"/>
        <w:rPr>
          <w:rFonts w:ascii="Palatino Linotype" w:eastAsia="Palatino Linotype" w:hAnsi="Palatino Linotype" w:cs="Palatino Linotype"/>
        </w:rPr>
      </w:pPr>
      <w:r>
        <w:rPr>
          <w:noProof/>
          <w:lang w:val="es-MX" w:eastAsia="es-MX"/>
        </w:rPr>
        <w:lastRenderedPageBreak/>
        <mc:AlternateContent>
          <mc:Choice Requires="wps">
            <w:drawing>
              <wp:anchor distT="0" distB="0" distL="114300" distR="114300" simplePos="0" relativeHeight="251661312" behindDoc="0" locked="0" layoutInCell="1" hidden="0" allowOverlap="1" wp14:anchorId="2F55B9E8" wp14:editId="06C9BF91">
                <wp:simplePos x="0" y="0"/>
                <wp:positionH relativeFrom="column">
                  <wp:posOffset>4470400</wp:posOffset>
                </wp:positionH>
                <wp:positionV relativeFrom="paragraph">
                  <wp:posOffset>800100</wp:posOffset>
                </wp:positionV>
                <wp:extent cx="558800" cy="831849"/>
                <wp:effectExtent l="0" t="0" r="0" b="0"/>
                <wp:wrapNone/>
                <wp:docPr id="133" name="Flecha a la derecha con bandas 133"/>
                <wp:cNvGraphicFramePr/>
                <a:graphic xmlns:a="http://schemas.openxmlformats.org/drawingml/2006/main">
                  <a:graphicData uri="http://schemas.microsoft.com/office/word/2010/wordprocessingShape">
                    <wps:wsp>
                      <wps:cNvSpPr/>
                      <wps:spPr>
                        <a:xfrm rot="10800000">
                          <a:off x="0" y="0"/>
                          <a:ext cx="558800" cy="831849"/>
                        </a:xfrm>
                        <a:prstGeom prst="stripedRightArrow">
                          <a:avLst>
                            <a:gd name="adj1" fmla="val 50000"/>
                            <a:gd name="adj2" fmla="val 50000"/>
                          </a:avLst>
                        </a:prstGeom>
                        <a:solidFill>
                          <a:schemeClr val="accent1"/>
                        </a:solidFill>
                        <a:ln w="12700" cap="flat" cmpd="sng">
                          <a:solidFill>
                            <a:srgbClr val="42719B"/>
                          </a:solidFill>
                          <a:prstDash val="solid"/>
                          <a:miter lim="800000"/>
                          <a:headEnd type="none" w="sm" len="sm"/>
                          <a:tailEnd type="none" w="sm" len="sm"/>
                        </a:ln>
                      </wps:spPr>
                      <wps:txbx>
                        <w:txbxContent>
                          <w:p w:rsidR="0039028B" w:rsidRDefault="0039028B" w:rsidP="008F7E78">
                            <w:pPr>
                              <w:textDirection w:val="btLr"/>
                            </w:pPr>
                          </w:p>
                        </w:txbxContent>
                      </wps:txbx>
                      <wps:bodyPr spcFirstLastPara="1" wrap="square" lIns="91425" tIns="91425" rIns="91425" bIns="91425" anchor="ctr" anchorCtr="0">
                        <a:noAutofit/>
                      </wps:bodyPr>
                    </wps:wsp>
                  </a:graphicData>
                </a:graphic>
              </wp:anchor>
            </w:drawing>
          </mc:Choice>
          <mc:Fallback xmlns:cx="http://schemas.microsoft.com/office/drawing/2014/chartex" xmlns:w16se="http://schemas.microsoft.com/office/word/2015/wordml/symex">
            <w:pict>
              <v:shapetype w14:anchorId="2F55B9E8"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Flecha a la derecha con bandas 133" o:spid="_x0000_s1027" type="#_x0000_t93" style="position:absolute;left:0;text-align:left;margin-left:352pt;margin-top:63pt;width:44pt;height:65.5pt;rotation:180;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" adj="10800" fillcolor="#5b9bd5 [3204]" strokecolor="#42719b" strokeweight="1pt">
                <v:stroke startarrowwidth="narrow" startarrowlength="short" endarrowwidth="narrow" endarrowlength="short"/>
                <v:textbox inset="2.53958mm,2.53958mm,2.53958mm,2.53958mm">
                  <w:txbxContent>
                    <w:p w:rsidR="0039028B" w:rsidRDefault="0039028B" w:rsidP="008F7E78">
                      <w:pPr>
                        <w:textDirection w:val="btLr"/>
                      </w:pPr>
                    </w:p>
                  </w:txbxContent>
                </v:textbox>
              </v:shape>
            </w:pict>
          </mc:Fallback>
        </mc:AlternateContent>
      </w:r>
      <w:r>
        <w:rPr>
          <w:noProof/>
          <w:lang w:val="es-MX" w:eastAsia="es-MX"/>
        </w:rPr>
        <w:drawing>
          <wp:inline distT="0" distB="0" distL="0" distR="0" wp14:anchorId="04C6DFB1" wp14:editId="5C803DC0">
            <wp:extent cx="5430727" cy="2315071"/>
            <wp:effectExtent l="0" t="0" r="0" b="9525"/>
            <wp:docPr id="14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5"/>
                    <a:srcRect l="35982" t="17911" r="21361" b="2999"/>
                    <a:stretch>
                      <a:fillRect/>
                    </a:stretch>
                  </pic:blipFill>
                  <pic:spPr>
                    <a:xfrm>
                      <a:off x="0" y="0"/>
                      <a:ext cx="5462191" cy="2328484"/>
                    </a:xfrm>
                    <a:prstGeom prst="rect">
                      <a:avLst/>
                    </a:prstGeom>
                    <a:ln/>
                  </pic:spPr>
                </pic:pic>
              </a:graphicData>
            </a:graphic>
          </wp:inline>
        </w:drawing>
      </w:r>
    </w:p>
    <w:p w:rsidR="008F7E78" w:rsidRDefault="008F7E78" w:rsidP="008F7E78">
      <w:pPr>
        <w:spacing w:line="360" w:lineRule="auto"/>
        <w:jc w:val="both"/>
        <w:rPr>
          <w:rFonts w:ascii="Palatino Linotype" w:eastAsia="Palatino Linotype" w:hAnsi="Palatino Linotype" w:cs="Palatino Linotype"/>
        </w:rPr>
      </w:pPr>
    </w:p>
    <w:p w:rsidR="008F7E78" w:rsidRDefault="00D869D8" w:rsidP="008F7E78">
      <w:pPr>
        <w:spacing w:line="360" w:lineRule="auto"/>
        <w:jc w:val="both"/>
        <w:rPr>
          <w:rFonts w:ascii="Palatino Linotype" w:eastAsia="Palatino Linotype" w:hAnsi="Palatino Linotype" w:cs="Palatino Linotype"/>
        </w:rPr>
      </w:pPr>
      <w:r>
        <w:rPr>
          <w:noProof/>
          <w:lang w:val="es-MX" w:eastAsia="es-MX"/>
        </w:rPr>
        <mc:AlternateContent>
          <mc:Choice Requires="wps">
            <w:drawing>
              <wp:anchor distT="0" distB="0" distL="114300" distR="114300" simplePos="0" relativeHeight="251662336" behindDoc="0" locked="0" layoutInCell="1" hidden="0" allowOverlap="1" wp14:anchorId="6B0EF61F" wp14:editId="3804EE09">
                <wp:simplePos x="0" y="0"/>
                <wp:positionH relativeFrom="column">
                  <wp:posOffset>3004614</wp:posOffset>
                </wp:positionH>
                <wp:positionV relativeFrom="paragraph">
                  <wp:posOffset>823959</wp:posOffset>
                </wp:positionV>
                <wp:extent cx="717550" cy="800100"/>
                <wp:effectExtent l="0" t="0" r="0" b="0"/>
                <wp:wrapNone/>
                <wp:docPr id="136" name="Flecha izquierda 136"/>
                <wp:cNvGraphicFramePr/>
                <a:graphic xmlns:a="http://schemas.openxmlformats.org/drawingml/2006/main">
                  <a:graphicData uri="http://schemas.microsoft.com/office/word/2010/wordprocessingShape">
                    <wps:wsp>
                      <wps:cNvSpPr/>
                      <wps:spPr>
                        <a:xfrm>
                          <a:off x="0" y="0"/>
                          <a:ext cx="717550" cy="800100"/>
                        </a:xfrm>
                        <a:prstGeom prst="leftArrow">
                          <a:avLst>
                            <a:gd name="adj1" fmla="val 50000"/>
                            <a:gd name="adj2" fmla="val 50000"/>
                          </a:avLst>
                        </a:prstGeom>
                        <a:solidFill>
                          <a:schemeClr val="accent1"/>
                        </a:solidFill>
                        <a:ln w="12700" cap="flat" cmpd="sng">
                          <a:solidFill>
                            <a:srgbClr val="42719B"/>
                          </a:solidFill>
                          <a:prstDash val="solid"/>
                          <a:miter lim="800000"/>
                          <a:headEnd type="none" w="sm" len="sm"/>
                          <a:tailEnd type="none" w="sm" len="sm"/>
                        </a:ln>
                      </wps:spPr>
                      <wps:txbx>
                        <w:txbxContent>
                          <w:p w:rsidR="0039028B" w:rsidRDefault="0039028B" w:rsidP="008F7E78">
                            <w:pPr>
                              <w:textDirection w:val="btLr"/>
                            </w:pPr>
                          </w:p>
                        </w:txbxContent>
                      </wps:txbx>
                      <wps:bodyPr spcFirstLastPara="1" wrap="square" lIns="91425" tIns="91425" rIns="91425" bIns="91425" anchor="ctr" anchorCtr="0">
                        <a:noAutofit/>
                      </wps:bodyPr>
                    </wps:wsp>
                  </a:graphicData>
                </a:graphic>
              </wp:anchor>
            </w:drawing>
          </mc:Choice>
          <mc:Fallback xmlns:cx="http://schemas.microsoft.com/office/drawing/2014/chartex" xmlns:w16se="http://schemas.microsoft.com/office/word/2015/wordml/symex">
            <w:pict>
              <v:shapetype w14:anchorId="6B0EF61F"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Flecha izquierda 136" o:spid="_x0000_s1028" type="#_x0000_t66" style="position:absolute;left:0;text-align:left;margin-left:236.6pt;margin-top:64.9pt;width:56.5pt;height:63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" adj="10800" fillcolor="#5b9bd5 [3204]" strokecolor="#42719b" strokeweight="1pt">
                <v:stroke startarrowwidth="narrow" startarrowlength="short" endarrowwidth="narrow" endarrowlength="short"/>
                <v:textbox inset="2.53958mm,2.53958mm,2.53958mm,2.53958mm">
                  <w:txbxContent>
                    <w:p w:rsidR="0039028B" w:rsidRDefault="0039028B" w:rsidP="008F7E78">
                      <w:pPr>
                        <w:textDirection w:val="btLr"/>
                      </w:pPr>
                    </w:p>
                  </w:txbxContent>
                </v:textbox>
              </v:shape>
            </w:pict>
          </mc:Fallback>
        </mc:AlternateContent>
      </w:r>
      <w:r w:rsidR="008F7E78">
        <w:rPr>
          <w:noProof/>
          <w:lang w:val="es-MX" w:eastAsia="es-MX"/>
        </w:rPr>
        <w:drawing>
          <wp:inline distT="0" distB="0" distL="0" distR="0" wp14:anchorId="3ECDCE49" wp14:editId="786F90B2">
            <wp:extent cx="5525298" cy="2478923"/>
            <wp:effectExtent l="0" t="0" r="0" b="0"/>
            <wp:docPr id="14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6"/>
                    <a:srcRect l="32361" t="20325" r="3937" b="4206"/>
                    <a:stretch>
                      <a:fillRect/>
                    </a:stretch>
                  </pic:blipFill>
                  <pic:spPr>
                    <a:xfrm>
                      <a:off x="0" y="0"/>
                      <a:ext cx="5537317" cy="2484315"/>
                    </a:xfrm>
                    <a:prstGeom prst="rect">
                      <a:avLst/>
                    </a:prstGeom>
                    <a:ln/>
                  </pic:spPr>
                </pic:pic>
              </a:graphicData>
            </a:graphic>
          </wp:inline>
        </w:drawing>
      </w:r>
    </w:p>
    <w:p w:rsidR="008F7E78" w:rsidRDefault="008F7E78" w:rsidP="008F7E78">
      <w:pPr>
        <w:spacing w:line="360" w:lineRule="auto"/>
        <w:jc w:val="both"/>
        <w:rPr>
          <w:rFonts w:ascii="Palatino Linotype" w:eastAsia="Palatino Linotype" w:hAnsi="Palatino Linotype" w:cs="Palatino Linotype"/>
        </w:rPr>
      </w:pPr>
    </w:p>
    <w:p w:rsidR="008F7E78" w:rsidRDefault="008F7E78" w:rsidP="008F7E78">
      <w:pPr>
        <w:spacing w:line="360" w:lineRule="auto"/>
        <w:jc w:val="both"/>
        <w:rPr>
          <w:rFonts w:ascii="Palatino Linotype" w:eastAsia="Palatino Linotype" w:hAnsi="Palatino Linotype" w:cs="Palatino Linotype"/>
        </w:rPr>
      </w:pPr>
      <w:r>
        <w:rPr>
          <w:noProof/>
          <w:lang w:val="es-MX" w:eastAsia="es-MX"/>
        </w:rPr>
        <w:lastRenderedPageBreak/>
        <w:drawing>
          <wp:inline distT="0" distB="0" distL="0" distR="0" wp14:anchorId="302CA2F7" wp14:editId="3B74B373">
            <wp:extent cx="5441950" cy="3093057"/>
            <wp:effectExtent l="0" t="0" r="6350" b="0"/>
            <wp:docPr id="141"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7"/>
                    <a:srcRect l="23987" t="26966" r="3145" b="13261"/>
                    <a:stretch>
                      <a:fillRect/>
                    </a:stretch>
                  </pic:blipFill>
                  <pic:spPr>
                    <a:xfrm>
                      <a:off x="0" y="0"/>
                      <a:ext cx="5446499" cy="3095643"/>
                    </a:xfrm>
                    <a:prstGeom prst="rect">
                      <a:avLst/>
                    </a:prstGeom>
                    <a:ln/>
                  </pic:spPr>
                </pic:pic>
              </a:graphicData>
            </a:graphic>
          </wp:inline>
        </w:drawing>
      </w:r>
    </w:p>
    <w:p w:rsidR="008F7E78" w:rsidRDefault="008F7E78" w:rsidP="008F7E78">
      <w:pPr>
        <w:spacing w:line="360" w:lineRule="auto"/>
        <w:jc w:val="both"/>
      </w:pPr>
    </w:p>
    <w:p w:rsidR="008F7E78" w:rsidRDefault="008F7E78" w:rsidP="008F7E78">
      <w:pPr>
        <w:spacing w:line="360" w:lineRule="auto"/>
        <w:jc w:val="both"/>
        <w:rPr>
          <w:rFonts w:ascii="Palatino Linotype" w:eastAsia="Palatino Linotype" w:hAnsi="Palatino Linotype" w:cs="Palatino Linotype"/>
        </w:rPr>
      </w:pPr>
      <w:r>
        <w:rPr>
          <w:noProof/>
          <w:lang w:val="es-MX" w:eastAsia="es-MX"/>
        </w:rPr>
        <w:drawing>
          <wp:inline distT="0" distB="0" distL="0" distR="0" wp14:anchorId="071514D4" wp14:editId="4ECCB885">
            <wp:extent cx="5353050" cy="3035300"/>
            <wp:effectExtent l="0" t="0" r="0" b="0"/>
            <wp:docPr id="144"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8"/>
                    <a:srcRect l="22516" t="21936" r="4391" b="21512"/>
                    <a:stretch>
                      <a:fillRect/>
                    </a:stretch>
                  </pic:blipFill>
                  <pic:spPr>
                    <a:xfrm>
                      <a:off x="0" y="0"/>
                      <a:ext cx="5353050" cy="3035300"/>
                    </a:xfrm>
                    <a:prstGeom prst="rect">
                      <a:avLst/>
                    </a:prstGeom>
                    <a:ln/>
                  </pic:spPr>
                </pic:pic>
              </a:graphicData>
            </a:graphic>
          </wp:inline>
        </w:drawing>
      </w:r>
    </w:p>
    <w:p w:rsidR="008F7E78" w:rsidRDefault="008F7E78" w:rsidP="008F7E78">
      <w:pPr>
        <w:spacing w:line="360" w:lineRule="auto"/>
        <w:jc w:val="both"/>
        <w:rPr>
          <w:rFonts w:ascii="Palatino Linotype" w:eastAsia="Palatino Linotype" w:hAnsi="Palatino Linotype" w:cs="Palatino Linotype"/>
        </w:rPr>
      </w:pPr>
    </w:p>
    <w:p w:rsidR="008F7E78" w:rsidRDefault="008F7E78" w:rsidP="008F7E78">
      <w:pPr>
        <w:spacing w:line="360" w:lineRule="auto"/>
        <w:jc w:val="both"/>
        <w:rPr>
          <w:rFonts w:ascii="Palatino Linotype" w:eastAsia="Palatino Linotype" w:hAnsi="Palatino Linotype" w:cs="Palatino Linotype"/>
        </w:rPr>
      </w:pPr>
      <w:r>
        <w:rPr>
          <w:noProof/>
          <w:lang w:val="es-MX" w:eastAsia="es-MX"/>
        </w:rPr>
        <w:lastRenderedPageBreak/>
        <w:drawing>
          <wp:inline distT="0" distB="0" distL="0" distR="0" wp14:anchorId="1ECFA64D" wp14:editId="1F2BA59A">
            <wp:extent cx="5492080" cy="3070904"/>
            <wp:effectExtent l="0" t="0" r="0" b="0"/>
            <wp:docPr id="14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9"/>
                    <a:srcRect l="36206" t="14489" r="18081"/>
                    <a:stretch>
                      <a:fillRect/>
                    </a:stretch>
                  </pic:blipFill>
                  <pic:spPr>
                    <a:xfrm>
                      <a:off x="0" y="0"/>
                      <a:ext cx="5501153" cy="3075977"/>
                    </a:xfrm>
                    <a:prstGeom prst="rect">
                      <a:avLst/>
                    </a:prstGeom>
                    <a:ln/>
                  </pic:spPr>
                </pic:pic>
              </a:graphicData>
            </a:graphic>
          </wp:inline>
        </w:drawing>
      </w:r>
    </w:p>
    <w:p w:rsidR="008F7E78" w:rsidRDefault="00D869D8" w:rsidP="008F7E78">
      <w:pPr>
        <w:spacing w:line="360" w:lineRule="auto"/>
        <w:jc w:val="both"/>
        <w:rPr>
          <w:rFonts w:ascii="Palatino Linotype" w:eastAsia="Palatino Linotype" w:hAnsi="Palatino Linotype" w:cs="Palatino Linotype"/>
        </w:rPr>
      </w:pPr>
      <w:r>
        <w:rPr>
          <w:noProof/>
          <w:lang w:val="es-MX" w:eastAsia="es-MX"/>
        </w:rPr>
        <mc:AlternateContent>
          <mc:Choice Requires="wps">
            <w:drawing>
              <wp:anchor distT="0" distB="0" distL="114300" distR="114300" simplePos="0" relativeHeight="251663360" behindDoc="0" locked="0" layoutInCell="1" hidden="0" allowOverlap="1" wp14:anchorId="49CB239D" wp14:editId="1122085E">
                <wp:simplePos x="0" y="0"/>
                <wp:positionH relativeFrom="column">
                  <wp:posOffset>1208629</wp:posOffset>
                </wp:positionH>
                <wp:positionV relativeFrom="paragraph">
                  <wp:posOffset>2873797</wp:posOffset>
                </wp:positionV>
                <wp:extent cx="422398" cy="458024"/>
                <wp:effectExtent l="0" t="0" r="0" b="0"/>
                <wp:wrapNone/>
                <wp:docPr id="137" name="Flecha arriba 137"/>
                <wp:cNvGraphicFramePr/>
                <a:graphic xmlns:a="http://schemas.openxmlformats.org/drawingml/2006/main">
                  <a:graphicData uri="http://schemas.microsoft.com/office/word/2010/wordprocessingShape">
                    <wps:wsp>
                      <wps:cNvSpPr/>
                      <wps:spPr>
                        <a:xfrm>
                          <a:off x="0" y="0"/>
                          <a:ext cx="422398" cy="458024"/>
                        </a:xfrm>
                        <a:prstGeom prst="upArrow">
                          <a:avLst>
                            <a:gd name="adj1" fmla="val 50000"/>
                            <a:gd name="adj2" fmla="val 50000"/>
                          </a:avLst>
                        </a:prstGeom>
                        <a:solidFill>
                          <a:schemeClr val="accent1"/>
                        </a:solidFill>
                        <a:ln w="12700" cap="flat" cmpd="sng">
                          <a:solidFill>
                            <a:srgbClr val="42719B"/>
                          </a:solidFill>
                          <a:prstDash val="solid"/>
                          <a:miter lim="800000"/>
                          <a:headEnd type="none" w="sm" len="sm"/>
                          <a:tailEnd type="none" w="sm" len="sm"/>
                        </a:ln>
                      </wps:spPr>
                      <wps:txbx>
                        <w:txbxContent>
                          <w:p w:rsidR="0039028B" w:rsidRDefault="0039028B" w:rsidP="008F7E78">
                            <w:pPr>
                              <w:textDirection w:val="btLr"/>
                            </w:pPr>
                          </w:p>
                        </w:txbxContent>
                      </wps:txbx>
                      <wps:bodyPr spcFirstLastPara="1" wrap="square" lIns="91425" tIns="91425" rIns="91425" bIns="91425" anchor="ctr" anchorCtr="0">
                        <a:noAutofit/>
                      </wps:bodyPr>
                    </wps:wsp>
                  </a:graphicData>
                </a:graphic>
              </wp:anchor>
            </w:drawing>
          </mc:Choice>
          <mc:Fallback xmlns:cx="http://schemas.microsoft.com/office/drawing/2014/chartex" xmlns:w16se="http://schemas.microsoft.com/office/word/2015/wordml/symex">
            <w:pict>
              <v:shapetype w14:anchorId="49CB239D"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Flecha arriba 137" o:spid="_x0000_s1029" type="#_x0000_t68" style="position:absolute;left:0;text-align:left;margin-left:95.15pt;margin-top:226.3pt;width:33.25pt;height:36.0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" adj="9960" fillcolor="#5b9bd5 [3204]" strokecolor="#42719b" strokeweight="1pt">
                <v:stroke startarrowwidth="narrow" startarrowlength="short" endarrowwidth="narrow" endarrowlength="short"/>
                <v:textbox inset="2.53958mm,2.53958mm,2.53958mm,2.53958mm">
                  <w:txbxContent>
                    <w:p w:rsidR="0039028B" w:rsidRDefault="0039028B" w:rsidP="008F7E78">
                      <w:pPr>
                        <w:textDirection w:val="btLr"/>
                      </w:pPr>
                    </w:p>
                  </w:txbxContent>
                </v:textbox>
              </v:shape>
            </w:pict>
          </mc:Fallback>
        </mc:AlternateContent>
      </w:r>
      <w:r w:rsidR="008F7E78">
        <w:rPr>
          <w:noProof/>
          <w:lang w:val="es-MX" w:eastAsia="es-MX"/>
        </w:rPr>
        <w:drawing>
          <wp:inline distT="0" distB="0" distL="0" distR="0" wp14:anchorId="687CBF50" wp14:editId="14C44D03">
            <wp:extent cx="5435600" cy="3684028"/>
            <wp:effectExtent l="0" t="0" r="0" b="0"/>
            <wp:docPr id="14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0"/>
                    <a:srcRect l="37792" t="16704" r="16949" b="2192"/>
                    <a:stretch>
                      <a:fillRect/>
                    </a:stretch>
                  </pic:blipFill>
                  <pic:spPr>
                    <a:xfrm>
                      <a:off x="0" y="0"/>
                      <a:ext cx="5440557" cy="3687387"/>
                    </a:xfrm>
                    <a:prstGeom prst="rect">
                      <a:avLst/>
                    </a:prstGeom>
                    <a:ln/>
                  </pic:spPr>
                </pic:pic>
              </a:graphicData>
            </a:graphic>
          </wp:inline>
        </w:drawing>
      </w:r>
    </w:p>
    <w:p w:rsidR="008F7E78" w:rsidRDefault="008F7E78" w:rsidP="008F7E78">
      <w:pPr>
        <w:spacing w:line="360" w:lineRule="auto"/>
        <w:jc w:val="both"/>
        <w:rPr>
          <w:rFonts w:ascii="Palatino Linotype" w:eastAsia="Palatino Linotype" w:hAnsi="Palatino Linotype" w:cs="Palatino Linotype"/>
        </w:rPr>
      </w:pPr>
      <w:r>
        <w:rPr>
          <w:noProof/>
          <w:lang w:val="es-MX" w:eastAsia="es-MX"/>
        </w:rPr>
        <w:lastRenderedPageBreak/>
        <w:drawing>
          <wp:inline distT="0" distB="0" distL="0" distR="0" wp14:anchorId="61A7B8D1" wp14:editId="7A6A0C61">
            <wp:extent cx="5435600" cy="3073400"/>
            <wp:effectExtent l="0" t="0" r="0" b="0"/>
            <wp:docPr id="14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1"/>
                    <a:srcRect l="43222" t="23949" r="22607" b="9438"/>
                    <a:stretch>
                      <a:fillRect/>
                    </a:stretch>
                  </pic:blipFill>
                  <pic:spPr>
                    <a:xfrm>
                      <a:off x="0" y="0"/>
                      <a:ext cx="5435600" cy="3073400"/>
                    </a:xfrm>
                    <a:prstGeom prst="rect">
                      <a:avLst/>
                    </a:prstGeom>
                    <a:ln/>
                  </pic:spPr>
                </pic:pic>
              </a:graphicData>
            </a:graphic>
          </wp:inline>
        </w:drawing>
      </w:r>
      <w:r>
        <w:rPr>
          <w:noProof/>
          <w:lang w:val="es-MX" w:eastAsia="es-MX"/>
        </w:rPr>
        <mc:AlternateContent>
          <mc:Choice Requires="wps">
            <w:drawing>
              <wp:anchor distT="0" distB="0" distL="114300" distR="114300" simplePos="0" relativeHeight="251664384" behindDoc="0" locked="0" layoutInCell="1" hidden="0" allowOverlap="1" wp14:anchorId="5169D900" wp14:editId="64B6C744">
                <wp:simplePos x="0" y="0"/>
                <wp:positionH relativeFrom="column">
                  <wp:posOffset>1155700</wp:posOffset>
                </wp:positionH>
                <wp:positionV relativeFrom="paragraph">
                  <wp:posOffset>2133600</wp:posOffset>
                </wp:positionV>
                <wp:extent cx="422398" cy="458024"/>
                <wp:effectExtent l="0" t="0" r="0" b="0"/>
                <wp:wrapNone/>
                <wp:docPr id="135" name="Flecha arriba 135"/>
                <wp:cNvGraphicFramePr/>
                <a:graphic xmlns:a="http://schemas.openxmlformats.org/drawingml/2006/main">
                  <a:graphicData uri="http://schemas.microsoft.com/office/word/2010/wordprocessingShape">
                    <wps:wsp>
                      <wps:cNvSpPr/>
                      <wps:spPr>
                        <a:xfrm>
                          <a:off x="5141151" y="3557338"/>
                          <a:ext cx="409698" cy="445324"/>
                        </a:xfrm>
                        <a:prstGeom prst="upArrow">
                          <a:avLst>
                            <a:gd name="adj1" fmla="val 50000"/>
                            <a:gd name="adj2" fmla="val 50000"/>
                          </a:avLst>
                        </a:prstGeom>
                        <a:solidFill>
                          <a:schemeClr val="accent1"/>
                        </a:solidFill>
                        <a:ln w="12700" cap="flat" cmpd="sng">
                          <a:solidFill>
                            <a:srgbClr val="42719B"/>
                          </a:solidFill>
                          <a:prstDash val="solid"/>
                          <a:miter lim="800000"/>
                          <a:headEnd type="none" w="sm" len="sm"/>
                          <a:tailEnd type="none" w="sm" len="sm"/>
                        </a:ln>
                      </wps:spPr>
                      <wps:txbx>
                        <w:txbxContent>
                          <w:p w:rsidR="0039028B" w:rsidRDefault="0039028B" w:rsidP="008F7E78">
                            <w:pPr>
                              <w:textDirection w:val="btLr"/>
                            </w:pPr>
                          </w:p>
                        </w:txbxContent>
                      </wps:txbx>
                      <wps:bodyPr spcFirstLastPara="1" wrap="square" lIns="91425" tIns="91425" rIns="91425" bIns="91425" anchor="ctr" anchorCtr="0">
                        <a:noAutofit/>
                      </wps:bodyPr>
                    </wps:wsp>
                  </a:graphicData>
                </a:graphic>
              </wp:anchor>
            </w:drawing>
          </mc:Choice>
          <mc:Fallback xmlns:cx="http://schemas.microsoft.com/office/drawing/2014/chartex" xmlns:w16se="http://schemas.microsoft.com/office/word/2015/wordml/symex">
            <w:pict>
              <v:shape w14:anchorId="5169D900" id="Flecha arriba 135" o:spid="_x0000_s1030" type="#_x0000_t68" style="position:absolute;left:0;text-align:left;margin-left:91pt;margin-top:168pt;width:33.25pt;height:36.0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" adj="9936" fillcolor="#5b9bd5 [3204]" strokecolor="#42719b" strokeweight="1pt">
                <v:stroke startarrowwidth="narrow" startarrowlength="short" endarrowwidth="narrow" endarrowlength="short"/>
                <v:textbox inset="2.53958mm,2.53958mm,2.53958mm,2.53958mm">
                  <w:txbxContent>
                    <w:p w:rsidR="0039028B" w:rsidRDefault="0039028B" w:rsidP="008F7E78">
                      <w:pPr>
                        <w:textDirection w:val="btLr"/>
                      </w:pPr>
                    </w:p>
                  </w:txbxContent>
                </v:textbox>
              </v:shape>
            </w:pict>
          </mc:Fallback>
        </mc:AlternateContent>
      </w:r>
    </w:p>
    <w:p w:rsidR="00065B6B" w:rsidRDefault="00065B6B" w:rsidP="008F7E78">
      <w:pPr>
        <w:spacing w:line="360" w:lineRule="auto"/>
        <w:jc w:val="both"/>
        <w:rPr>
          <w:rFonts w:ascii="Palatino Linotype" w:eastAsia="Palatino Linotype" w:hAnsi="Palatino Linotype" w:cs="Palatino Linotype"/>
        </w:rPr>
      </w:pPr>
    </w:p>
    <w:p w:rsidR="008F7E78" w:rsidRDefault="008F7E78" w:rsidP="008F7E78">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observancia a las imágenes anteriores, se acredita que el </w:t>
      </w:r>
      <w:r>
        <w:rPr>
          <w:rFonts w:ascii="Palatino Linotype" w:eastAsia="Palatino Linotype" w:hAnsi="Palatino Linotype" w:cs="Palatino Linotype"/>
          <w:b/>
        </w:rPr>
        <w:t>SUJETO OBLIGADO</w:t>
      </w:r>
      <w:r>
        <w:rPr>
          <w:rFonts w:ascii="Palatino Linotype" w:eastAsia="Palatino Linotype" w:hAnsi="Palatino Linotype" w:cs="Palatino Linotype"/>
        </w:rPr>
        <w:t>, debió generar la información relativa a los recibos de nómina solicitados; de manera mensual y remitirla al Órgano Superior de Fiscalización del Estado de México, para su respectiva revisión y fiscalización.</w:t>
      </w:r>
    </w:p>
    <w:p w:rsidR="008F7E78" w:rsidRDefault="008F7E78" w:rsidP="008F7E78">
      <w:pPr>
        <w:spacing w:line="360" w:lineRule="auto"/>
        <w:jc w:val="both"/>
        <w:rPr>
          <w:rFonts w:ascii="Palatino Linotype" w:eastAsia="Palatino Linotype" w:hAnsi="Palatino Linotype" w:cs="Palatino Linotype"/>
        </w:rPr>
      </w:pPr>
    </w:p>
    <w:p w:rsidR="008F7E78" w:rsidRDefault="008F7E78" w:rsidP="008F7E78">
      <w:pPr>
        <w:spacing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t xml:space="preserve">En resumen, los recibos de nómina, son el documento que contiene los salarios de todos los funcionarios de la administración pública del municipio de </w:t>
      </w:r>
      <w:r w:rsidR="00065B6B">
        <w:rPr>
          <w:rFonts w:ascii="Palatino Linotype" w:eastAsia="Palatino Linotype" w:hAnsi="Palatino Linotype" w:cs="Palatino Linotype"/>
        </w:rPr>
        <w:t>Temascalcingo</w:t>
      </w:r>
      <w:r>
        <w:rPr>
          <w:rFonts w:ascii="Palatino Linotype" w:eastAsia="Palatino Linotype" w:hAnsi="Palatino Linotype" w:cs="Palatino Linotype"/>
        </w:rPr>
        <w:t xml:space="preserve">, entre los que se destacan el salario del titular de </w:t>
      </w:r>
      <w:r w:rsidR="00065B6B">
        <w:rPr>
          <w:rFonts w:ascii="Palatino Linotype" w:eastAsia="Palatino Linotype" w:hAnsi="Palatino Linotype" w:cs="Palatino Linotype"/>
        </w:rPr>
        <w:t xml:space="preserve">la </w:t>
      </w:r>
      <w:r w:rsidR="00065B6B" w:rsidRPr="008F7E78">
        <w:rPr>
          <w:rFonts w:ascii="Palatino Linotype" w:eastAsia="Palatino Linotype" w:hAnsi="Palatino Linotype" w:cs="Palatino Linotype"/>
          <w:b/>
        </w:rPr>
        <w:t>Directora de Administración y Director del Instituto Municipal de Cultura Física y Deporte</w:t>
      </w:r>
      <w:r>
        <w:rPr>
          <w:rFonts w:ascii="Palatino Linotype" w:eastAsia="Palatino Linotype" w:hAnsi="Palatino Linotype" w:cs="Palatino Linotype"/>
        </w:rPr>
        <w:t xml:space="preserve">, y que es información que el </w:t>
      </w:r>
      <w:r>
        <w:rPr>
          <w:rFonts w:ascii="Palatino Linotype" w:eastAsia="Palatino Linotype" w:hAnsi="Palatino Linotype" w:cs="Palatino Linotype"/>
          <w:b/>
        </w:rPr>
        <w:t>SUJETO OBLIGADO</w:t>
      </w:r>
      <w:r>
        <w:rPr>
          <w:rFonts w:ascii="Palatino Linotype" w:eastAsia="Palatino Linotype" w:hAnsi="Palatino Linotype" w:cs="Palatino Linotype"/>
        </w:rPr>
        <w:t>, debió haber</w:t>
      </w:r>
      <w:r>
        <w:rPr>
          <w:rFonts w:ascii="Palatino Linotype" w:eastAsia="Palatino Linotype" w:hAnsi="Palatino Linotype" w:cs="Palatino Linotype"/>
          <w:b/>
        </w:rPr>
        <w:t xml:space="preserve"> </w:t>
      </w:r>
      <w:r w:rsidRPr="003E4484">
        <w:rPr>
          <w:rFonts w:ascii="Palatino Linotype" w:eastAsia="Palatino Linotype" w:hAnsi="Palatino Linotype" w:cs="Palatino Linotype"/>
        </w:rPr>
        <w:t xml:space="preserve">generado, administrado o poseído de acuerdo a lo establecido en el presente considerando; por lo que resulta procedente </w:t>
      </w:r>
      <w:r w:rsidRPr="003E4484">
        <w:rPr>
          <w:rFonts w:ascii="Palatino Linotype" w:eastAsia="Palatino Linotype" w:hAnsi="Palatino Linotype" w:cs="Palatino Linotype"/>
        </w:rPr>
        <w:lastRenderedPageBreak/>
        <w:t xml:space="preserve">ordenar al </w:t>
      </w:r>
      <w:r w:rsidRPr="003E4484">
        <w:rPr>
          <w:rFonts w:ascii="Palatino Linotype" w:eastAsia="Palatino Linotype" w:hAnsi="Palatino Linotype" w:cs="Palatino Linotype"/>
          <w:b/>
        </w:rPr>
        <w:t>SUJETO OBLIGADO</w:t>
      </w:r>
      <w:r w:rsidRPr="003E4484">
        <w:rPr>
          <w:rFonts w:ascii="Palatino Linotype" w:eastAsia="Palatino Linotype" w:hAnsi="Palatino Linotype" w:cs="Palatino Linotype"/>
        </w:rPr>
        <w:t xml:space="preserve"> su entrega salvaguardando los datos personales que contenga, de conformidad con el considerando quinto.</w:t>
      </w:r>
      <w:r>
        <w:rPr>
          <w:rFonts w:ascii="Palatino Linotype" w:eastAsia="Palatino Linotype" w:hAnsi="Palatino Linotype" w:cs="Palatino Linotype"/>
        </w:rPr>
        <w:t xml:space="preserve"> </w:t>
      </w:r>
    </w:p>
    <w:p w:rsidR="008F7E78" w:rsidRDefault="008F7E78" w:rsidP="008F7E78">
      <w:pPr>
        <w:spacing w:line="360" w:lineRule="auto"/>
        <w:ind w:right="51"/>
        <w:jc w:val="both"/>
        <w:rPr>
          <w:rFonts w:ascii="Palatino Linotype" w:eastAsia="Palatino Linotype" w:hAnsi="Palatino Linotype" w:cs="Palatino Linotype"/>
        </w:rPr>
      </w:pPr>
    </w:p>
    <w:p w:rsidR="008F7E78" w:rsidRDefault="008F7E78" w:rsidP="008F7E78">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Además, de que la información que se ordena, es de interés general y de alcance público, puesto que la ciudadanía tiene derecho a saber cuál es el gasto ejercido para el pago de remuneraciones por servicios personales al realizar las funciones públicas; esto es, su acceso permite transparentar la aplicación de los recursos públicos que son otorgados para el cumplimiento de sus funciones, ello conforme a lo dispuesto por los artículos 7 y 23 de la Ley de Transparencia y Acceso a la Información Pública del Estado de México y Municipios, que establece como deber de los Sujetos Obligados el hacer pública toda la información respecto a los montos y nombres de las personas a quienes se entreguen recursos públicos y con ello transparentar la forma, términos, causas y finalidad en la disposición de esos recursos; precepto legal que es del tenor siguiente:</w:t>
      </w:r>
    </w:p>
    <w:p w:rsidR="00065B6B" w:rsidRDefault="00065B6B" w:rsidP="008F7E78">
      <w:pPr>
        <w:spacing w:line="360" w:lineRule="auto"/>
        <w:jc w:val="both"/>
        <w:rPr>
          <w:rFonts w:ascii="Palatino Linotype" w:eastAsia="Palatino Linotype" w:hAnsi="Palatino Linotype" w:cs="Palatino Linotype"/>
        </w:rPr>
      </w:pPr>
    </w:p>
    <w:p w:rsidR="008F7E78" w:rsidRDefault="008F7E78" w:rsidP="008F7E78">
      <w:pPr>
        <w:ind w:left="851" w:right="851"/>
        <w:jc w:val="both"/>
        <w:rPr>
          <w:rFonts w:ascii="Palatino Linotype" w:eastAsia="Palatino Linotype" w:hAnsi="Palatino Linotype" w:cs="Palatino Linotype"/>
          <w:i/>
          <w:sz w:val="22"/>
          <w:szCs w:val="22"/>
          <w:u w:val="single"/>
        </w:rPr>
      </w:pPr>
      <w:r>
        <w:rPr>
          <w:rFonts w:ascii="Palatino Linotype" w:eastAsia="Palatino Linotype" w:hAnsi="Palatino Linotype" w:cs="Palatino Linotype"/>
          <w:b/>
          <w:i/>
          <w:sz w:val="22"/>
          <w:szCs w:val="22"/>
          <w:u w:val="single"/>
        </w:rPr>
        <w:t>“Artículo 7. El Estado de México garantizará el efectivo acceso de toda persona a la información en posesión de cualquier entidad,</w:t>
      </w:r>
      <w:r>
        <w:rPr>
          <w:rFonts w:ascii="Palatino Linotype" w:eastAsia="Palatino Linotype" w:hAnsi="Palatino Linotype" w:cs="Palatino Linotype"/>
          <w:i/>
          <w:sz w:val="22"/>
          <w:szCs w:val="22"/>
        </w:rPr>
        <w:t xml:space="preserve"> autoridad, órgano y organismo de los poderes Ejecutivo, Legislativo y Judicial, órganos autónomos, partidos políticos, fideicomisos y fondos públicos, así como de cualquier persona física, jurídico colectiva o sindicato </w:t>
      </w:r>
      <w:r>
        <w:rPr>
          <w:rFonts w:ascii="Palatino Linotype" w:eastAsia="Palatino Linotype" w:hAnsi="Palatino Linotype" w:cs="Palatino Linotype"/>
          <w:b/>
          <w:i/>
          <w:sz w:val="22"/>
          <w:szCs w:val="22"/>
          <w:u w:val="single"/>
        </w:rPr>
        <w:t>que reciba y ejerza recursos públicos</w:t>
      </w:r>
      <w:r>
        <w:rPr>
          <w:rFonts w:ascii="Palatino Linotype" w:eastAsia="Palatino Linotype" w:hAnsi="Palatino Linotype" w:cs="Palatino Linotype"/>
          <w:i/>
          <w:sz w:val="22"/>
          <w:szCs w:val="22"/>
        </w:rPr>
        <w:t xml:space="preserve"> o realice actos de autoridad </w:t>
      </w:r>
      <w:r>
        <w:rPr>
          <w:rFonts w:ascii="Palatino Linotype" w:eastAsia="Palatino Linotype" w:hAnsi="Palatino Linotype" w:cs="Palatino Linotype"/>
          <w:b/>
          <w:i/>
          <w:sz w:val="22"/>
          <w:szCs w:val="22"/>
          <w:u w:val="single"/>
        </w:rPr>
        <w:t>en el ámbito de competencia del Estado de México y sus municipios</w:t>
      </w:r>
      <w:r>
        <w:rPr>
          <w:rFonts w:ascii="Palatino Linotype" w:eastAsia="Palatino Linotype" w:hAnsi="Palatino Linotype" w:cs="Palatino Linotype"/>
          <w:i/>
          <w:sz w:val="22"/>
          <w:szCs w:val="22"/>
          <w:u w:val="single"/>
        </w:rPr>
        <w:t>.</w:t>
      </w:r>
    </w:p>
    <w:p w:rsidR="008F7E78" w:rsidRDefault="008F7E78" w:rsidP="008F7E78">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Artículo 23. Son sujetos obligados a transparentar y permitir el acceso a su información y proteger los datos personales que obren en su poder:</w:t>
      </w:r>
    </w:p>
    <w:p w:rsidR="008F7E78" w:rsidRDefault="008F7E78" w:rsidP="008F7E78">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8F7E78" w:rsidRDefault="008F7E78" w:rsidP="008F7E78">
      <w:pPr>
        <w:ind w:left="851" w:right="851"/>
        <w:jc w:val="both"/>
        <w:rPr>
          <w:rFonts w:ascii="Palatino Linotype" w:eastAsia="Palatino Linotype" w:hAnsi="Palatino Linotype" w:cs="Palatino Linotype"/>
          <w:b/>
          <w:i/>
          <w:sz w:val="22"/>
          <w:szCs w:val="22"/>
          <w:u w:val="single"/>
        </w:rPr>
      </w:pPr>
      <w:r>
        <w:rPr>
          <w:rFonts w:ascii="Palatino Linotype" w:eastAsia="Palatino Linotype" w:hAnsi="Palatino Linotype" w:cs="Palatino Linotype"/>
          <w:b/>
          <w:i/>
          <w:sz w:val="22"/>
          <w:szCs w:val="22"/>
          <w:u w:val="single"/>
        </w:rPr>
        <w:t>IV. Los ayuntamientos y las dependencias, organismos, órganos y entidades de la administración municipal;</w:t>
      </w:r>
    </w:p>
    <w:p w:rsidR="008F7E78" w:rsidRDefault="008F7E78" w:rsidP="008F7E78">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8F7E78" w:rsidRDefault="008F7E78" w:rsidP="008F7E78">
      <w:pPr>
        <w:ind w:left="851" w:right="851"/>
        <w:jc w:val="both"/>
        <w:rPr>
          <w:rFonts w:ascii="Palatino Linotype" w:eastAsia="Palatino Linotype" w:hAnsi="Palatino Linotype" w:cs="Palatino Linotype"/>
          <w:b/>
          <w:i/>
          <w:sz w:val="22"/>
          <w:szCs w:val="22"/>
          <w:u w:val="single"/>
        </w:rPr>
      </w:pPr>
      <w:r>
        <w:rPr>
          <w:rFonts w:ascii="Palatino Linotype" w:eastAsia="Palatino Linotype" w:hAnsi="Palatino Linotype" w:cs="Palatino Linotype"/>
          <w:b/>
          <w:i/>
          <w:sz w:val="22"/>
          <w:szCs w:val="22"/>
          <w:u w:val="single"/>
        </w:rPr>
        <w:lastRenderedPageBreak/>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rsidR="008F7E78" w:rsidRDefault="008F7E78" w:rsidP="008F7E78">
      <w:pPr>
        <w:ind w:left="851" w:right="851"/>
        <w:jc w:val="both"/>
        <w:rPr>
          <w:rFonts w:ascii="Palatino Linotype" w:eastAsia="Palatino Linotype" w:hAnsi="Palatino Linotype" w:cs="Palatino Linotype"/>
          <w:b/>
          <w:i/>
          <w:sz w:val="22"/>
          <w:szCs w:val="22"/>
        </w:rPr>
      </w:pPr>
      <w:r>
        <w:rPr>
          <w:rFonts w:ascii="Palatino Linotype" w:eastAsia="Palatino Linotype" w:hAnsi="Palatino Linotype" w:cs="Palatino Linotype"/>
          <w:i/>
          <w:sz w:val="22"/>
          <w:szCs w:val="22"/>
        </w:rPr>
        <w:t>Los servidores públicos deberán transparentar sus acciones así como garantizar y respetar el derecho de acceso a la información pública.”</w:t>
      </w:r>
      <w:r>
        <w:rPr>
          <w:rFonts w:ascii="Palatino Linotype" w:eastAsia="Palatino Linotype" w:hAnsi="Palatino Linotype" w:cs="Palatino Linotype"/>
          <w:b/>
          <w:i/>
          <w:sz w:val="22"/>
          <w:szCs w:val="22"/>
        </w:rPr>
        <w:t xml:space="preserve"> [Sic]</w:t>
      </w:r>
    </w:p>
    <w:p w:rsidR="008F7E78" w:rsidRDefault="008F7E78" w:rsidP="008F7E78">
      <w:pPr>
        <w:spacing w:line="360" w:lineRule="auto"/>
        <w:jc w:val="both"/>
        <w:rPr>
          <w:rFonts w:ascii="Palatino Linotype" w:eastAsia="Palatino Linotype" w:hAnsi="Palatino Linotype" w:cs="Palatino Linotype"/>
        </w:rPr>
      </w:pPr>
    </w:p>
    <w:p w:rsidR="00065B6B" w:rsidRDefault="008F7E78" w:rsidP="008F7E78">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Sirve de sustento por analogía, para justificar la publicidad sobre los datos relativos a los montos por concepto de pago de las remuneraciones, los criterios </w:t>
      </w:r>
      <w:r>
        <w:rPr>
          <w:rFonts w:ascii="Palatino Linotype" w:eastAsia="Palatino Linotype" w:hAnsi="Palatino Linotype" w:cs="Palatino Linotype"/>
          <w:b/>
        </w:rPr>
        <w:t>01/2003</w:t>
      </w:r>
      <w:r>
        <w:rPr>
          <w:rFonts w:ascii="Palatino Linotype" w:eastAsia="Palatino Linotype" w:hAnsi="Palatino Linotype" w:cs="Palatino Linotype"/>
        </w:rPr>
        <w:t xml:space="preserve"> y </w:t>
      </w:r>
      <w:r>
        <w:rPr>
          <w:rFonts w:ascii="Palatino Linotype" w:eastAsia="Palatino Linotype" w:hAnsi="Palatino Linotype" w:cs="Palatino Linotype"/>
          <w:b/>
        </w:rPr>
        <w:t>02/2003</w:t>
      </w:r>
      <w:r>
        <w:rPr>
          <w:rFonts w:ascii="Palatino Linotype" w:eastAsia="Palatino Linotype" w:hAnsi="Palatino Linotype" w:cs="Palatino Linotype"/>
        </w:rPr>
        <w:t xml:space="preserve"> emitidos por el Comité de Acceso a la Información Pública y Protección de Datos Personales de la Suprema Corte de Justicia de la Nación que a continuación se citan:</w:t>
      </w:r>
    </w:p>
    <w:p w:rsidR="008F7E78" w:rsidRDefault="008F7E78" w:rsidP="008F7E78">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 </w:t>
      </w:r>
    </w:p>
    <w:p w:rsidR="008F7E78" w:rsidRDefault="008F7E78" w:rsidP="008F7E78">
      <w:pPr>
        <w:ind w:left="851" w:right="851"/>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“Criterio 01/2003.</w:t>
      </w:r>
    </w:p>
    <w:p w:rsidR="008F7E78" w:rsidRDefault="008F7E78" w:rsidP="008F7E78">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INGRESOS DE LOS SERVIDORES PÚBLICOS. CONSTITUYEN INFORMACIÓN PÚBLICA AÚN Y CUANDO SU DIFUSIÓN PUEDE AFECTAR LA VIDA O LA SEGURIDAD DE AQUELLOS.</w:t>
      </w:r>
      <w:r>
        <w:rPr>
          <w:rFonts w:ascii="Palatino Linotype" w:eastAsia="Palatino Linotype" w:hAnsi="Palatino Linotype" w:cs="Palatino Linotype"/>
          <w:i/>
          <w:sz w:val="22"/>
          <w:szCs w:val="22"/>
        </w:rPr>
        <w:t xml:space="preserve"> </w:t>
      </w:r>
    </w:p>
    <w:p w:rsidR="008F7E78" w:rsidRDefault="008F7E78" w:rsidP="008F7E78">
      <w:pPr>
        <w:ind w:left="851" w:right="851"/>
        <w:jc w:val="both"/>
        <w:rPr>
          <w:rFonts w:ascii="Palatino Linotype" w:eastAsia="Palatino Linotype" w:hAnsi="Palatino Linotype" w:cs="Palatino Linotype"/>
          <w:i/>
          <w:sz w:val="22"/>
          <w:szCs w:val="22"/>
          <w:u w:val="single"/>
        </w:rPr>
      </w:pPr>
      <w:r>
        <w:rPr>
          <w:rFonts w:ascii="Palatino Linotype" w:eastAsia="Palatino Linotype" w:hAnsi="Palatino Linotype" w:cs="Palatino Linotype"/>
          <w:i/>
          <w:sz w:val="22"/>
          <w:szCs w:val="22"/>
        </w:rPr>
        <w:t xml:space="preserve">Si bien el artículo 13, fracción IV, de la Ley Federal de Transparencia y  Acceso  a la información Pública Gubernamental establece que debe clasificarse como información confidencial la que conste en expedientes administrativos cuya difusión  pueda poner en riesgo la vida, la seguridad o la salud de cualquier persona, debe reconocerse que aun y  cuando en ese supuesto podría encuadrar la relativa a las percepciones ordinarias y extraordinaria de los servidores públicos, ello no obsta para reconocer que el legislador estableció en el artículo 7 de ese mismo ordenamiento que la referida información, como una obligación de trasparencia, </w:t>
      </w:r>
      <w:r>
        <w:rPr>
          <w:rFonts w:ascii="Palatino Linotype" w:eastAsia="Palatino Linotype" w:hAnsi="Palatino Linotype" w:cs="Palatino Linotype"/>
          <w:b/>
          <w:i/>
          <w:sz w:val="22"/>
          <w:szCs w:val="22"/>
          <w:u w:val="single"/>
        </w:rPr>
        <w:t>deben publicarse en medios remotos o locales de comunicación electrónica, lo que se sustenta en el hecho de que el monto de todos los ingresos que recibe un servidor público por desarrollar las labores que les son encomendadas con motivo del desempeño del cargo respecto. Constituyen información pública, en tanto que se trata de erogaciones que realiza un órgano del Estado en base con los recursos que encuentran su origen en mayor medida en las contribuciones aportados por los gobernados</w:t>
      </w:r>
      <w:r>
        <w:rPr>
          <w:rFonts w:ascii="Palatino Linotype" w:eastAsia="Palatino Linotype" w:hAnsi="Palatino Linotype" w:cs="Palatino Linotype"/>
          <w:i/>
          <w:sz w:val="22"/>
          <w:szCs w:val="22"/>
          <w:u w:val="single"/>
        </w:rPr>
        <w:t>…”</w:t>
      </w:r>
    </w:p>
    <w:p w:rsidR="008F7E78" w:rsidRDefault="008F7E78" w:rsidP="008F7E78">
      <w:pPr>
        <w:ind w:left="851" w:right="851"/>
        <w:jc w:val="both"/>
        <w:rPr>
          <w:rFonts w:ascii="Palatino Linotype" w:eastAsia="Palatino Linotype" w:hAnsi="Palatino Linotype" w:cs="Palatino Linotype"/>
          <w:i/>
          <w:sz w:val="22"/>
          <w:szCs w:val="22"/>
        </w:rPr>
      </w:pPr>
    </w:p>
    <w:p w:rsidR="008F7E78" w:rsidRDefault="008F7E78" w:rsidP="008F7E78">
      <w:pPr>
        <w:ind w:left="851" w:right="851"/>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“Criterio 02/2003.</w:t>
      </w:r>
    </w:p>
    <w:p w:rsidR="008F7E78" w:rsidRDefault="008F7E78" w:rsidP="008F7E78">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lastRenderedPageBreak/>
        <w:t>INGRESOS DE LOS SERVIDORES PÚBLICOS, SON INFORMACIÓN PÚBLICA AÚN Y CUANDO CONSTITUYEN DATOS PERSONALES QUE SE REFIEREN AL PATRIMONIO DE AQUÉLLOS.</w:t>
      </w:r>
      <w:r>
        <w:rPr>
          <w:rFonts w:ascii="Palatino Linotype" w:eastAsia="Palatino Linotype" w:hAnsi="Palatino Linotype" w:cs="Palatino Linotype"/>
          <w:i/>
          <w:sz w:val="22"/>
          <w:szCs w:val="22"/>
        </w:rPr>
        <w:t xml:space="preserve"> </w:t>
      </w:r>
    </w:p>
    <w:p w:rsidR="008F7E78" w:rsidRDefault="008F7E78" w:rsidP="008F7E78">
      <w:pPr>
        <w:ind w:left="851" w:right="851"/>
        <w:jc w:val="both"/>
        <w:rPr>
          <w:rFonts w:ascii="Palatino Linotype" w:eastAsia="Palatino Linotype" w:hAnsi="Palatino Linotype" w:cs="Palatino Linotype"/>
          <w:b/>
          <w:i/>
          <w:sz w:val="22"/>
          <w:szCs w:val="22"/>
        </w:rPr>
      </w:pPr>
      <w:r>
        <w:rPr>
          <w:rFonts w:ascii="Palatino Linotype" w:eastAsia="Palatino Linotype" w:hAnsi="Palatino Linotype" w:cs="Palatino Linotype"/>
          <w:i/>
          <w:sz w:val="22"/>
          <w:szCs w:val="22"/>
        </w:rPr>
        <w:t xml:space="preserve">De la interpretación sistemática de lo previsto en los artículos 3º, fracción II; 7º, 9º y 18, fracción II, de la Ley Federal de Transparencia y Acceso a la Información Pública Gubernamental se advierte que no constituye información confidencial la relativa a los ingresos que reciben los servidores públicos, ya que aun y cuando se trata de datos personales relativos a su patrimonio, para su difusión no se requiere consentimiento de aquellos, </w:t>
      </w:r>
      <w:r>
        <w:rPr>
          <w:rFonts w:ascii="Palatino Linotype" w:eastAsia="Palatino Linotype" w:hAnsi="Palatino Linotype" w:cs="Palatino Linotype"/>
          <w:b/>
          <w:i/>
          <w:sz w:val="22"/>
          <w:szCs w:val="22"/>
          <w:u w:val="single"/>
        </w:rPr>
        <w:t>lo que deriva del hecho de que en términos de los previsto en el citado ordenamiento deben ponerse a disposición del público a través de medios remotos o locales de comunicación electrónica, tanto el directorio de servidores públicos como las remuneraciones mensuales por puesto incluso</w:t>
      </w:r>
      <w:r>
        <w:rPr>
          <w:rFonts w:ascii="Palatino Linotype" w:eastAsia="Palatino Linotype" w:hAnsi="Palatino Linotype" w:cs="Palatino Linotype"/>
          <w:i/>
          <w:sz w:val="22"/>
          <w:szCs w:val="22"/>
        </w:rPr>
        <w:t xml:space="preserve"> el sistema de compensación…” </w:t>
      </w:r>
      <w:r>
        <w:rPr>
          <w:rFonts w:ascii="Palatino Linotype" w:eastAsia="Palatino Linotype" w:hAnsi="Palatino Linotype" w:cs="Palatino Linotype"/>
          <w:b/>
          <w:i/>
          <w:sz w:val="22"/>
          <w:szCs w:val="22"/>
        </w:rPr>
        <w:t>[Sic]</w:t>
      </w:r>
    </w:p>
    <w:p w:rsidR="008F7E78" w:rsidRDefault="008F7E78" w:rsidP="008F7E78">
      <w:pPr>
        <w:spacing w:line="360" w:lineRule="auto"/>
        <w:ind w:right="-93"/>
        <w:jc w:val="both"/>
        <w:rPr>
          <w:rFonts w:ascii="Palatino Linotype" w:eastAsia="Palatino Linotype" w:hAnsi="Palatino Linotype" w:cs="Palatino Linotype"/>
        </w:rPr>
      </w:pPr>
    </w:p>
    <w:p w:rsidR="00D869D8" w:rsidRDefault="00D869D8" w:rsidP="0047093D">
      <w:pPr>
        <w:spacing w:before="240" w:after="240" w:line="360" w:lineRule="auto"/>
        <w:contextualSpacing/>
        <w:jc w:val="both"/>
        <w:rPr>
          <w:rFonts w:ascii="Palatino Linotype" w:eastAsia="Palatino Linotype" w:hAnsi="Palatino Linotype" w:cs="Palatino Linotype"/>
          <w:b/>
        </w:rPr>
      </w:pPr>
      <w:r>
        <w:rPr>
          <w:rFonts w:ascii="Palatino Linotype" w:eastAsia="Palatino Linotype" w:hAnsi="Palatino Linotype" w:cs="Palatino Linotype"/>
        </w:rPr>
        <w:t xml:space="preserve">En cuanto a </w:t>
      </w:r>
      <w:r w:rsidRPr="00D869D8">
        <w:rPr>
          <w:rFonts w:ascii="Palatino Linotype" w:eastAsia="Palatino Linotype" w:hAnsi="Palatino Linotype" w:cs="Palatino Linotype"/>
          <w:b/>
        </w:rPr>
        <w:t xml:space="preserve">si ha sido </w:t>
      </w:r>
      <w:r w:rsidRPr="00D869D8">
        <w:rPr>
          <w:rFonts w:ascii="Palatino Linotype" w:eastAsia="Palatino Linotype" w:hAnsi="Palatino Linotype" w:cs="Palatino Linotype"/>
          <w:b/>
          <w:u w:val="single"/>
        </w:rPr>
        <w:t>deportista desta</w:t>
      </w:r>
      <w:r w:rsidR="004D6502">
        <w:rPr>
          <w:rFonts w:ascii="Palatino Linotype" w:eastAsia="Palatino Linotype" w:hAnsi="Palatino Linotype" w:cs="Palatino Linotype"/>
          <w:b/>
          <w:u w:val="single"/>
        </w:rPr>
        <w:t>cado y si ha participado o logró</w:t>
      </w:r>
      <w:r w:rsidRPr="00D869D8">
        <w:rPr>
          <w:rFonts w:ascii="Palatino Linotype" w:eastAsia="Palatino Linotype" w:hAnsi="Palatino Linotype" w:cs="Palatino Linotype"/>
          <w:b/>
          <w:u w:val="single"/>
        </w:rPr>
        <w:t xml:space="preserve"> un premio en olimpiadas, selectivos nacionales, panamericanos a fin de saber su trayectoria deportiva</w:t>
      </w:r>
      <w:r w:rsidRPr="00D869D8">
        <w:rPr>
          <w:rFonts w:ascii="Palatino Linotype" w:eastAsia="Palatino Linotype" w:hAnsi="Palatino Linotype" w:cs="Palatino Linotype"/>
          <w:b/>
        </w:rPr>
        <w:t xml:space="preserve"> del Director del Instit</w:t>
      </w:r>
      <w:r w:rsidRPr="008F7E78">
        <w:rPr>
          <w:rFonts w:ascii="Palatino Linotype" w:eastAsia="Palatino Linotype" w:hAnsi="Palatino Linotype" w:cs="Palatino Linotype"/>
          <w:b/>
        </w:rPr>
        <w:t>uto Municipal de Cultura Física y Deporte</w:t>
      </w:r>
      <w:r>
        <w:rPr>
          <w:rFonts w:ascii="Palatino Linotype" w:eastAsia="Palatino Linotype" w:hAnsi="Palatino Linotype" w:cs="Palatino Linotype"/>
          <w:b/>
        </w:rPr>
        <w:t>.</w:t>
      </w:r>
    </w:p>
    <w:p w:rsidR="00D869D8" w:rsidRDefault="00D869D8" w:rsidP="0047093D">
      <w:pPr>
        <w:spacing w:before="240" w:after="240" w:line="360" w:lineRule="auto"/>
        <w:contextualSpacing/>
        <w:jc w:val="both"/>
        <w:rPr>
          <w:rFonts w:ascii="Palatino Linotype" w:eastAsia="Palatino Linotype" w:hAnsi="Palatino Linotype" w:cs="Palatino Linotype"/>
          <w:b/>
        </w:rPr>
      </w:pPr>
    </w:p>
    <w:p w:rsidR="00D869D8" w:rsidRDefault="00D869D8" w:rsidP="0047093D">
      <w:pPr>
        <w:spacing w:before="240" w:after="240" w:line="360" w:lineRule="auto"/>
        <w:contextualSpacing/>
        <w:jc w:val="both"/>
        <w:rPr>
          <w:rFonts w:ascii="Palatino Linotype" w:eastAsia="Palatino Linotype" w:hAnsi="Palatino Linotype" w:cs="Palatino Linotype"/>
        </w:rPr>
      </w:pPr>
      <w:r>
        <w:rPr>
          <w:rFonts w:ascii="Palatino Linotype" w:eastAsia="Palatino Linotype" w:hAnsi="Palatino Linotype" w:cs="Palatino Linotype"/>
        </w:rPr>
        <w:t>Es señalar que de una revisión a la Ley Orgánica Municipal del Estado de México, Ley de Cultura Física y Deporte del Estado de M</w:t>
      </w:r>
      <w:r w:rsidRPr="00D869D8">
        <w:rPr>
          <w:rFonts w:ascii="Palatino Linotype" w:eastAsia="Palatino Linotype" w:hAnsi="Palatino Linotype" w:cs="Palatino Linotype"/>
        </w:rPr>
        <w:t>éxico</w:t>
      </w:r>
      <w:r>
        <w:rPr>
          <w:rFonts w:ascii="Palatino Linotype" w:eastAsia="Palatino Linotype" w:hAnsi="Palatino Linotype" w:cs="Palatino Linotype"/>
        </w:rPr>
        <w:t xml:space="preserve"> y Bando Municipal del Ayuntamiento de Temascalcingo para el año 2022, no se advierte que para ser D</w:t>
      </w:r>
      <w:r w:rsidR="009C78C4">
        <w:rPr>
          <w:rFonts w:ascii="Palatino Linotype" w:eastAsia="Palatino Linotype" w:hAnsi="Palatino Linotype" w:cs="Palatino Linotype"/>
        </w:rPr>
        <w:t>irector del</w:t>
      </w:r>
      <w:r w:rsidR="009C78C4" w:rsidRPr="00D869D8">
        <w:rPr>
          <w:rFonts w:ascii="Palatino Linotype" w:eastAsia="Palatino Linotype" w:hAnsi="Palatino Linotype" w:cs="Palatino Linotype"/>
          <w:b/>
        </w:rPr>
        <w:t xml:space="preserve"> </w:t>
      </w:r>
      <w:r w:rsidR="009C78C4" w:rsidRPr="009C78C4">
        <w:rPr>
          <w:rFonts w:ascii="Palatino Linotype" w:eastAsia="Palatino Linotype" w:hAnsi="Palatino Linotype" w:cs="Palatino Linotype"/>
        </w:rPr>
        <w:t>Instituto Municipal de Cultura Física y Deporte</w:t>
      </w:r>
      <w:r w:rsidR="009C78C4">
        <w:rPr>
          <w:rFonts w:ascii="Palatino Linotype" w:eastAsia="Palatino Linotype" w:hAnsi="Palatino Linotype" w:cs="Palatino Linotype"/>
        </w:rPr>
        <w:t xml:space="preserve"> tenga que acreditar haber sido deportista destacado y obtenido un premio en olimpiadas, selectivos nacionales o panamericanos; por consiguiente, no es procedente ordenar su entrega.</w:t>
      </w:r>
    </w:p>
    <w:p w:rsidR="009C78C4" w:rsidRDefault="009C78C4" w:rsidP="0047093D">
      <w:pPr>
        <w:spacing w:before="240" w:after="240" w:line="360" w:lineRule="auto"/>
        <w:contextualSpacing/>
        <w:jc w:val="both"/>
        <w:rPr>
          <w:rFonts w:ascii="Palatino Linotype" w:eastAsia="Palatino Linotype" w:hAnsi="Palatino Linotype" w:cs="Palatino Linotype"/>
        </w:rPr>
      </w:pPr>
    </w:p>
    <w:p w:rsidR="00EB5B84" w:rsidRDefault="009C78C4" w:rsidP="00EB5B84">
      <w:pPr>
        <w:spacing w:before="240" w:after="240" w:line="360" w:lineRule="auto"/>
        <w:contextualSpacing/>
        <w:jc w:val="both"/>
        <w:rPr>
          <w:rFonts w:ascii="Palatino Linotype" w:eastAsia="Palatino Linotype" w:hAnsi="Palatino Linotype" w:cs="Palatino Linotype"/>
        </w:rPr>
      </w:pPr>
      <w:r>
        <w:rPr>
          <w:rFonts w:ascii="Palatino Linotype" w:eastAsia="Palatino Linotype" w:hAnsi="Palatino Linotype" w:cs="Palatino Linotype"/>
        </w:rPr>
        <w:t xml:space="preserve">En lo que compete a que si </w:t>
      </w:r>
      <w:r w:rsidR="00EB5B84" w:rsidRPr="00EB5B84">
        <w:rPr>
          <w:rFonts w:ascii="Palatino Linotype" w:eastAsia="Palatino Linotype" w:hAnsi="Palatino Linotype" w:cs="Palatino Linotype"/>
          <w:u w:val="single"/>
        </w:rPr>
        <w:t xml:space="preserve">el </w:t>
      </w:r>
      <w:r w:rsidR="00EB5B84" w:rsidRPr="00EB5B84">
        <w:rPr>
          <w:rFonts w:ascii="Palatino Linotype" w:eastAsia="Palatino Linotype" w:hAnsi="Palatino Linotype" w:cs="Palatino Linotype"/>
          <w:b/>
          <w:u w:val="single"/>
        </w:rPr>
        <w:t>Director del Instituto Municipal de Cultura Física y Deporte</w:t>
      </w:r>
      <w:r w:rsidR="00EB5B84" w:rsidRPr="00EB5B84">
        <w:rPr>
          <w:rFonts w:ascii="Palatino Linotype" w:eastAsia="Palatino Linotype" w:hAnsi="Palatino Linotype" w:cs="Palatino Linotype"/>
          <w:u w:val="single"/>
        </w:rPr>
        <w:t xml:space="preserve">, </w:t>
      </w:r>
      <w:r w:rsidRPr="00EB5B84">
        <w:rPr>
          <w:rFonts w:ascii="Palatino Linotype" w:eastAsia="Palatino Linotype" w:hAnsi="Palatino Linotype" w:cs="Palatino Linotype"/>
          <w:u w:val="single"/>
        </w:rPr>
        <w:t xml:space="preserve">cumple con los requisitos de la Ley Orgánica Municipal </w:t>
      </w:r>
      <w:r w:rsidR="00EB5B84" w:rsidRPr="00EB5B84">
        <w:rPr>
          <w:rFonts w:ascii="Palatino Linotype" w:eastAsia="Palatino Linotype" w:hAnsi="Palatino Linotype" w:cs="Palatino Linotype"/>
          <w:u w:val="single"/>
        </w:rPr>
        <w:t>del Estado de México y la Ley de Cultura Física y Deporte del Estado de México</w:t>
      </w:r>
      <w:r w:rsidR="00EB5B84">
        <w:rPr>
          <w:rFonts w:ascii="Palatino Linotype" w:eastAsia="Palatino Linotype" w:hAnsi="Palatino Linotype" w:cs="Palatino Linotype"/>
        </w:rPr>
        <w:t>:</w:t>
      </w:r>
    </w:p>
    <w:p w:rsidR="00EB5B84" w:rsidRDefault="00EB5B84" w:rsidP="00EB5B84">
      <w:pPr>
        <w:spacing w:before="240" w:after="240" w:line="360" w:lineRule="auto"/>
        <w:contextualSpacing/>
        <w:jc w:val="both"/>
        <w:rPr>
          <w:rFonts w:ascii="Palatino Linotype" w:eastAsia="Palatino Linotype" w:hAnsi="Palatino Linotype" w:cs="Palatino Linotype"/>
        </w:rPr>
      </w:pPr>
      <w:r>
        <w:rPr>
          <w:rFonts w:ascii="Palatino Linotype" w:eastAsia="Palatino Linotype" w:hAnsi="Palatino Linotype" w:cs="Palatino Linotype"/>
        </w:rPr>
        <w:lastRenderedPageBreak/>
        <w:t>La Ley Orgánica Municipal del Estado de México, señala en sus artículos 32 y 123 Bis, que para ser Titular de los organismos auxiliares se requiere satisfacer los siguientes requisitos:</w:t>
      </w:r>
    </w:p>
    <w:p w:rsidR="00EB5B84" w:rsidRDefault="00EB5B84" w:rsidP="00EB5B84">
      <w:pPr>
        <w:spacing w:before="240" w:after="240" w:line="360" w:lineRule="auto"/>
        <w:contextualSpacing/>
        <w:jc w:val="both"/>
        <w:rPr>
          <w:rFonts w:ascii="Palatino Linotype" w:eastAsia="Palatino Linotype" w:hAnsi="Palatino Linotype" w:cs="Palatino Linotype"/>
        </w:rPr>
      </w:pPr>
    </w:p>
    <w:p w:rsidR="00EB5B84" w:rsidRDefault="00EB5B84" w:rsidP="00EB5B84">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sidRPr="00EB5B84">
        <w:rPr>
          <w:rFonts w:ascii="Palatino Linotype" w:eastAsia="Palatino Linotype" w:hAnsi="Palatino Linotype" w:cs="Palatino Linotype"/>
          <w:i/>
          <w:sz w:val="22"/>
          <w:szCs w:val="22"/>
        </w:rPr>
        <w:t xml:space="preserve">Artículo 32. </w:t>
      </w:r>
      <w:r w:rsidRPr="00EB5B84">
        <w:rPr>
          <w:rFonts w:ascii="Palatino Linotype" w:eastAsia="Palatino Linotype" w:hAnsi="Palatino Linotype" w:cs="Palatino Linotype"/>
          <w:b/>
          <w:i/>
          <w:sz w:val="22"/>
          <w:szCs w:val="22"/>
        </w:rPr>
        <w:t>Para ocupar las titularidades</w:t>
      </w:r>
      <w:r w:rsidRPr="00EB5B84">
        <w:rPr>
          <w:rFonts w:ascii="Palatino Linotype" w:eastAsia="Palatino Linotype" w:hAnsi="Palatino Linotype" w:cs="Palatino Linotype"/>
          <w:i/>
          <w:sz w:val="22"/>
          <w:szCs w:val="22"/>
        </w:rPr>
        <w:t xml:space="preserve"> de la Secretaría, la Tesorería, la Dirección de Obras Públicas, de Desarrollo Económico, de Turismo, de Ecología, de Desarrollo Urbano, de Desarrollo Social, de las Mujeres, de la Coordinación General Municipal de Mejora Regulatoria, de la Coordinación Municipal de Protección Civil, de las unidades administrativas y </w:t>
      </w:r>
      <w:r w:rsidRPr="00EB5B84">
        <w:rPr>
          <w:rFonts w:ascii="Palatino Linotype" w:eastAsia="Palatino Linotype" w:hAnsi="Palatino Linotype" w:cs="Palatino Linotype"/>
          <w:b/>
          <w:i/>
          <w:sz w:val="22"/>
          <w:szCs w:val="22"/>
        </w:rPr>
        <w:t>de los organismos auxiliares</w:t>
      </w:r>
      <w:r w:rsidRPr="00EB5B84">
        <w:rPr>
          <w:rFonts w:ascii="Palatino Linotype" w:eastAsia="Palatino Linotype" w:hAnsi="Palatino Linotype" w:cs="Palatino Linotype"/>
          <w:i/>
          <w:sz w:val="22"/>
          <w:szCs w:val="22"/>
        </w:rPr>
        <w:t xml:space="preserve">, se deberán satisfacer los siguientes requisitos: </w:t>
      </w:r>
    </w:p>
    <w:p w:rsidR="00EB5B84" w:rsidRPr="00EB5B84" w:rsidRDefault="00EB5B84" w:rsidP="00EB5B84">
      <w:pPr>
        <w:ind w:left="851" w:right="851"/>
        <w:jc w:val="both"/>
        <w:rPr>
          <w:rFonts w:ascii="Palatino Linotype" w:eastAsia="Palatino Linotype" w:hAnsi="Palatino Linotype" w:cs="Palatino Linotype"/>
          <w:b/>
          <w:i/>
          <w:sz w:val="22"/>
          <w:szCs w:val="22"/>
        </w:rPr>
      </w:pPr>
      <w:r w:rsidRPr="00EB5B84">
        <w:rPr>
          <w:rFonts w:ascii="Palatino Linotype" w:eastAsia="Palatino Linotype" w:hAnsi="Palatino Linotype" w:cs="Palatino Linotype"/>
          <w:b/>
          <w:i/>
          <w:sz w:val="22"/>
          <w:szCs w:val="22"/>
        </w:rPr>
        <w:t xml:space="preserve">I. Ser persona ciudadana del Estado, en pleno uso de sus derechos; </w:t>
      </w:r>
    </w:p>
    <w:p w:rsidR="00EB5B84" w:rsidRPr="00EB5B84" w:rsidRDefault="00EB5B84" w:rsidP="00EB5B84">
      <w:pPr>
        <w:ind w:left="851" w:right="851"/>
        <w:jc w:val="both"/>
        <w:rPr>
          <w:rFonts w:ascii="Palatino Linotype" w:eastAsia="Palatino Linotype" w:hAnsi="Palatino Linotype" w:cs="Palatino Linotype"/>
          <w:b/>
          <w:i/>
          <w:sz w:val="22"/>
          <w:szCs w:val="22"/>
        </w:rPr>
      </w:pPr>
      <w:r w:rsidRPr="00EB5B84">
        <w:rPr>
          <w:rFonts w:ascii="Palatino Linotype" w:eastAsia="Palatino Linotype" w:hAnsi="Palatino Linotype" w:cs="Palatino Linotype"/>
          <w:b/>
          <w:i/>
          <w:sz w:val="22"/>
          <w:szCs w:val="22"/>
        </w:rPr>
        <w:t>II. No estar inhabilitada o inhabilitado para desempeñar cargo, empleo, o comisión pública</w:t>
      </w:r>
    </w:p>
    <w:p w:rsidR="00EB5B84" w:rsidRPr="00EB5B84" w:rsidRDefault="00EB5B84" w:rsidP="00EB5B84">
      <w:pPr>
        <w:ind w:left="851" w:right="851"/>
        <w:jc w:val="both"/>
        <w:rPr>
          <w:rFonts w:ascii="Palatino Linotype" w:eastAsia="Palatino Linotype" w:hAnsi="Palatino Linotype" w:cs="Palatino Linotype"/>
          <w:b/>
          <w:i/>
          <w:sz w:val="22"/>
          <w:szCs w:val="22"/>
        </w:rPr>
      </w:pPr>
      <w:r w:rsidRPr="00EB5B84">
        <w:rPr>
          <w:rFonts w:ascii="Palatino Linotype" w:eastAsia="Palatino Linotype" w:hAnsi="Palatino Linotype" w:cs="Palatino Linotype"/>
          <w:b/>
          <w:i/>
          <w:sz w:val="22"/>
          <w:szCs w:val="22"/>
        </w:rPr>
        <w:t xml:space="preserve">III. Contar con título profesional o acreditar experiencia mínima de un año en la materia, ante la o el Presidente o el Ayuntamiento, cuando sea el caso, para el desempeño de los cargos que así lo requieran; </w:t>
      </w:r>
    </w:p>
    <w:p w:rsidR="00EB5B84" w:rsidRPr="00EB5B84" w:rsidRDefault="00EB5B84" w:rsidP="00EB5B84">
      <w:pPr>
        <w:ind w:left="851" w:right="851"/>
        <w:jc w:val="both"/>
        <w:rPr>
          <w:rFonts w:ascii="Palatino Linotype" w:eastAsia="Palatino Linotype" w:hAnsi="Palatino Linotype" w:cs="Palatino Linotype"/>
          <w:b/>
          <w:i/>
          <w:sz w:val="22"/>
          <w:szCs w:val="22"/>
        </w:rPr>
      </w:pPr>
      <w:r w:rsidRPr="00EB5B84">
        <w:rPr>
          <w:rFonts w:ascii="Palatino Linotype" w:eastAsia="Palatino Linotype" w:hAnsi="Palatino Linotype" w:cs="Palatino Linotype"/>
          <w:b/>
          <w:i/>
          <w:sz w:val="22"/>
          <w:szCs w:val="22"/>
        </w:rPr>
        <w:t xml:space="preserve">IV. Contar con certificación de competencia laboral en la materia del cargo que se desempeñará, expedida por institución con reconocimiento de validez oficial. Este requisito deberá acreditarse dentro de los seis meses siguientes a la fecha en que inicien sus funciones; </w:t>
      </w:r>
    </w:p>
    <w:p w:rsidR="00EB5B84" w:rsidRPr="00EB5B84" w:rsidRDefault="00EB5B84" w:rsidP="00EB5B84">
      <w:pPr>
        <w:ind w:left="851" w:right="851"/>
        <w:jc w:val="both"/>
        <w:rPr>
          <w:rFonts w:ascii="Palatino Linotype" w:eastAsia="Palatino Linotype" w:hAnsi="Palatino Linotype" w:cs="Palatino Linotype"/>
          <w:b/>
          <w:i/>
          <w:sz w:val="22"/>
          <w:szCs w:val="22"/>
        </w:rPr>
      </w:pPr>
      <w:r w:rsidRPr="00EB5B84">
        <w:rPr>
          <w:rFonts w:ascii="Palatino Linotype" w:eastAsia="Palatino Linotype" w:hAnsi="Palatino Linotype" w:cs="Palatino Linotype"/>
          <w:b/>
          <w:i/>
          <w:sz w:val="22"/>
          <w:szCs w:val="22"/>
        </w:rPr>
        <w:t xml:space="preserve">V. No estar condenada o condenado por sentencia ejecutoriada por el delito de violencia política contra las mujeres en razón de género; </w:t>
      </w:r>
    </w:p>
    <w:p w:rsidR="00EB5B84" w:rsidRPr="00EB5B84" w:rsidRDefault="00EB5B84" w:rsidP="00EB5B84">
      <w:pPr>
        <w:ind w:left="851" w:right="851"/>
        <w:jc w:val="both"/>
        <w:rPr>
          <w:rFonts w:ascii="Palatino Linotype" w:eastAsia="Palatino Linotype" w:hAnsi="Palatino Linotype" w:cs="Palatino Linotype"/>
          <w:b/>
          <w:i/>
          <w:sz w:val="22"/>
          <w:szCs w:val="22"/>
        </w:rPr>
      </w:pPr>
      <w:r w:rsidRPr="00EB5B84">
        <w:rPr>
          <w:rFonts w:ascii="Palatino Linotype" w:eastAsia="Palatino Linotype" w:hAnsi="Palatino Linotype" w:cs="Palatino Linotype"/>
          <w:b/>
          <w:i/>
          <w:sz w:val="22"/>
          <w:szCs w:val="22"/>
        </w:rPr>
        <w:t xml:space="preserve">VI. No estar inscrito en el Registro de Deudores Alimentarios Morosos en el Estado, ni en otra entidad federativa, y </w:t>
      </w:r>
    </w:p>
    <w:p w:rsidR="00EB5B84" w:rsidRPr="00EB5B84" w:rsidRDefault="00EB5B84" w:rsidP="00EB5B84">
      <w:pPr>
        <w:ind w:left="851" w:right="851"/>
        <w:jc w:val="both"/>
        <w:rPr>
          <w:rFonts w:ascii="Palatino Linotype" w:eastAsia="Palatino Linotype" w:hAnsi="Palatino Linotype" w:cs="Palatino Linotype"/>
          <w:b/>
          <w:i/>
          <w:sz w:val="22"/>
          <w:szCs w:val="22"/>
        </w:rPr>
      </w:pPr>
      <w:r w:rsidRPr="00EB5B84">
        <w:rPr>
          <w:rFonts w:ascii="Palatino Linotype" w:eastAsia="Palatino Linotype" w:hAnsi="Palatino Linotype" w:cs="Palatino Linotype"/>
          <w:b/>
          <w:i/>
          <w:sz w:val="22"/>
          <w:szCs w:val="22"/>
        </w:rPr>
        <w:t xml:space="preserve">VII. No estar condenada o condenado por sentencia ejecutoriada por delitos de violencia familiar, contra la libertad sexual o de violencia de género. </w:t>
      </w:r>
    </w:p>
    <w:p w:rsidR="00EB5B84" w:rsidRDefault="00EB5B84" w:rsidP="00EB5B84">
      <w:pPr>
        <w:ind w:left="851" w:right="851"/>
        <w:jc w:val="both"/>
        <w:rPr>
          <w:rFonts w:ascii="Palatino Linotype" w:eastAsia="Palatino Linotype" w:hAnsi="Palatino Linotype" w:cs="Palatino Linotype"/>
          <w:i/>
          <w:sz w:val="22"/>
          <w:szCs w:val="22"/>
        </w:rPr>
      </w:pPr>
      <w:r w:rsidRPr="00EB5B84">
        <w:rPr>
          <w:rFonts w:ascii="Palatino Linotype" w:eastAsia="Palatino Linotype" w:hAnsi="Palatino Linotype" w:cs="Palatino Linotype"/>
          <w:i/>
          <w:sz w:val="22"/>
          <w:szCs w:val="22"/>
        </w:rPr>
        <w:t>Vencido el plazo a que se refiere la fracción IV, la o el Presidente Municipal informará al Cabildo sobre el cumplimiento de dicha certificación laboral para que, en su caso, el Ayuntamiento tome las medidas correspondientes respecto de aquellos servidores públ</w:t>
      </w:r>
      <w:r>
        <w:rPr>
          <w:rFonts w:ascii="Palatino Linotype" w:eastAsia="Palatino Linotype" w:hAnsi="Palatino Linotype" w:cs="Palatino Linotype"/>
          <w:i/>
          <w:sz w:val="22"/>
          <w:szCs w:val="22"/>
        </w:rPr>
        <w:t xml:space="preserve">icos que no hubiesen cumplido. </w:t>
      </w:r>
    </w:p>
    <w:p w:rsidR="00EB5B84" w:rsidRDefault="00EB5B84" w:rsidP="00EB5B84">
      <w:pPr>
        <w:ind w:left="851" w:right="851"/>
        <w:jc w:val="both"/>
        <w:rPr>
          <w:rFonts w:ascii="Palatino Linotype" w:eastAsia="Palatino Linotype" w:hAnsi="Palatino Linotype" w:cs="Palatino Linotype"/>
        </w:rPr>
      </w:pPr>
      <w:r>
        <w:rPr>
          <w:rFonts w:ascii="Palatino Linotype" w:eastAsia="Palatino Linotype" w:hAnsi="Palatino Linotype" w:cs="Palatino Linotype"/>
          <w:i/>
          <w:sz w:val="22"/>
          <w:szCs w:val="22"/>
        </w:rPr>
        <w:t>…</w:t>
      </w:r>
    </w:p>
    <w:p w:rsidR="00EB5B84" w:rsidRPr="00EB5B84" w:rsidRDefault="00EB5B84" w:rsidP="00EB5B84">
      <w:pPr>
        <w:ind w:left="851" w:right="851"/>
        <w:jc w:val="both"/>
        <w:rPr>
          <w:rFonts w:ascii="Palatino Linotype" w:eastAsia="Palatino Linotype" w:hAnsi="Palatino Linotype" w:cs="Palatino Linotype"/>
          <w:i/>
          <w:sz w:val="22"/>
          <w:szCs w:val="22"/>
        </w:rPr>
      </w:pPr>
      <w:r w:rsidRPr="00EB5B84">
        <w:rPr>
          <w:rFonts w:ascii="Palatino Linotype" w:eastAsia="Palatino Linotype" w:hAnsi="Palatino Linotype" w:cs="Palatino Linotype"/>
          <w:b/>
          <w:i/>
          <w:sz w:val="22"/>
          <w:szCs w:val="22"/>
        </w:rPr>
        <w:t xml:space="preserve">Artículo 123 Bis.- La persona titular de los organismos públicos descentralizados en materia de cultura física y deporte, a que se refiere el artículo anterior, además de los requisitos establecidos en el artículo 32 de </w:t>
      </w:r>
      <w:r w:rsidRPr="00EB5B84">
        <w:rPr>
          <w:rFonts w:ascii="Palatino Linotype" w:eastAsia="Palatino Linotype" w:hAnsi="Palatino Linotype" w:cs="Palatino Linotype"/>
          <w:b/>
          <w:i/>
          <w:sz w:val="22"/>
          <w:szCs w:val="22"/>
        </w:rPr>
        <w:lastRenderedPageBreak/>
        <w:t>esta Ley, preferentemente deberá contar con título profesional en el área de educación física o disciplina afín</w:t>
      </w:r>
      <w:r>
        <w:rPr>
          <w:rFonts w:ascii="Palatino Linotype" w:eastAsia="Palatino Linotype" w:hAnsi="Palatino Linotype" w:cs="Palatino Linotype"/>
          <w:i/>
          <w:sz w:val="22"/>
          <w:szCs w:val="22"/>
        </w:rPr>
        <w:t>.”(Sic)</w:t>
      </w:r>
    </w:p>
    <w:p w:rsidR="00EB5B84" w:rsidRDefault="00EB5B84" w:rsidP="0047093D">
      <w:pPr>
        <w:spacing w:before="240" w:after="240" w:line="360" w:lineRule="auto"/>
        <w:contextualSpacing/>
        <w:jc w:val="both"/>
        <w:rPr>
          <w:rFonts w:ascii="Palatino Linotype" w:eastAsia="Palatino Linotype" w:hAnsi="Palatino Linotype" w:cs="Palatino Linotype"/>
        </w:rPr>
      </w:pPr>
    </w:p>
    <w:p w:rsidR="00E50BE6" w:rsidRDefault="00E50BE6" w:rsidP="00E50BE6">
      <w:pPr>
        <w:pBdr>
          <w:top w:val="nil"/>
          <w:left w:val="nil"/>
          <w:bottom w:val="nil"/>
          <w:right w:val="nil"/>
          <w:between w:val="nil"/>
        </w:pBdr>
        <w:spacing w:before="240" w:after="240"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t xml:space="preserve">Del anterior precepto legal, se observan los requisitos con los que deben contar </w:t>
      </w:r>
      <w:r w:rsidRPr="00E50BE6">
        <w:rPr>
          <w:rFonts w:ascii="Palatino Linotype" w:eastAsia="Palatino Linotype" w:hAnsi="Palatino Linotype" w:cs="Palatino Linotype"/>
        </w:rPr>
        <w:t>Director del Instituto Municipal de Cultura Física y Deporte</w:t>
      </w:r>
      <w:r>
        <w:rPr>
          <w:rFonts w:ascii="Palatino Linotype" w:eastAsia="Palatino Linotype" w:hAnsi="Palatino Linotype" w:cs="Palatino Linotype"/>
        </w:rPr>
        <w:t xml:space="preserve">. </w:t>
      </w:r>
    </w:p>
    <w:p w:rsidR="00E50BE6" w:rsidRDefault="00E50BE6" w:rsidP="00E50BE6">
      <w:pPr>
        <w:pBdr>
          <w:top w:val="nil"/>
          <w:left w:val="nil"/>
          <w:bottom w:val="nil"/>
          <w:right w:val="nil"/>
          <w:between w:val="nil"/>
        </w:pBdr>
        <w:spacing w:before="240" w:after="240"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t xml:space="preserve">Cabe aclarar, que del informe justificado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no se pronunció respecto de dicho Director, no obstante </w:t>
      </w:r>
      <w:r w:rsidR="000D711D">
        <w:rPr>
          <w:rFonts w:ascii="Palatino Linotype" w:eastAsia="Palatino Linotype" w:hAnsi="Palatino Linotype" w:cs="Palatino Linotype"/>
        </w:rPr>
        <w:t xml:space="preserve">se advierte que la solicitud la turno al </w:t>
      </w:r>
      <w:r w:rsidR="000D711D" w:rsidRPr="00E50BE6">
        <w:rPr>
          <w:rFonts w:ascii="Palatino Linotype" w:eastAsia="Palatino Linotype" w:hAnsi="Palatino Linotype" w:cs="Palatino Linotype"/>
        </w:rPr>
        <w:t>Director del Instituto Municipal de Cultura Física y Deporte</w:t>
      </w:r>
      <w:r w:rsidR="000D711D">
        <w:rPr>
          <w:rFonts w:ascii="Palatino Linotype" w:eastAsia="Palatino Linotype" w:hAnsi="Palatino Linotype" w:cs="Palatino Linotype"/>
        </w:rPr>
        <w:t>, con lo cual se acredita que si cuenta con dicha unidad administrativa lo que se robustece, c</w:t>
      </w:r>
      <w:r w:rsidR="007D0014">
        <w:rPr>
          <w:rFonts w:ascii="Palatino Linotype" w:eastAsia="Palatino Linotype" w:hAnsi="Palatino Linotype" w:cs="Palatino Linotype"/>
        </w:rPr>
        <w:t xml:space="preserve">on lo señalado por el artículo </w:t>
      </w:r>
      <w:r w:rsidR="000D711D">
        <w:rPr>
          <w:rFonts w:ascii="Palatino Linotype" w:eastAsia="Palatino Linotype" w:hAnsi="Palatino Linotype" w:cs="Palatino Linotype"/>
        </w:rPr>
        <w:t xml:space="preserve">188 del Bando Municipal del </w:t>
      </w:r>
      <w:r w:rsidR="000D711D" w:rsidRPr="000D711D">
        <w:rPr>
          <w:rFonts w:ascii="Palatino Linotype" w:eastAsia="Palatino Linotype" w:hAnsi="Palatino Linotype" w:cs="Palatino Linotype"/>
          <w:b/>
        </w:rPr>
        <w:t xml:space="preserve">SUJETO OBLIGADO </w:t>
      </w:r>
      <w:r w:rsidR="000D711D">
        <w:rPr>
          <w:rFonts w:ascii="Palatino Linotype" w:eastAsia="Palatino Linotype" w:hAnsi="Palatino Linotype" w:cs="Palatino Linotype"/>
        </w:rPr>
        <w:t>para el año 2022, que señala:</w:t>
      </w:r>
    </w:p>
    <w:p w:rsidR="000D711D" w:rsidRPr="000D711D" w:rsidRDefault="000D711D" w:rsidP="000D711D">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sidRPr="000D711D">
        <w:rPr>
          <w:rFonts w:ascii="Palatino Linotype" w:eastAsia="Palatino Linotype" w:hAnsi="Palatino Linotype" w:cs="Palatino Linotype"/>
          <w:i/>
          <w:sz w:val="22"/>
          <w:szCs w:val="22"/>
        </w:rPr>
        <w:t>Artículo 188. Es Organismo Público Descentralizado de la Administración Pública Municipal y auxiliar de la misma el Instituto Municipal de Cultura Física y Deporte de Temascalcingo, México, que tiene personalidad jurídica y patrimonio propio, coadyuva con el Ayuntamiento en el ejercicio de sus funciones, en términos de la ley aplicable del presente Bando y demás ordenamientos aplicables.</w:t>
      </w:r>
      <w:r>
        <w:rPr>
          <w:rFonts w:ascii="Palatino Linotype" w:eastAsia="Palatino Linotype" w:hAnsi="Palatino Linotype" w:cs="Palatino Linotype"/>
          <w:i/>
          <w:sz w:val="22"/>
          <w:szCs w:val="22"/>
        </w:rPr>
        <w:t>” (Sic)</w:t>
      </w:r>
    </w:p>
    <w:p w:rsidR="00E50BE6" w:rsidRDefault="00E50BE6" w:rsidP="00E50BE6">
      <w:pPr>
        <w:pBdr>
          <w:top w:val="nil"/>
          <w:left w:val="nil"/>
          <w:bottom w:val="nil"/>
          <w:right w:val="nil"/>
          <w:between w:val="nil"/>
        </w:pBdr>
        <w:spacing w:before="240" w:after="240"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t>Aclarado lo anterior, regresando a los requisitos señalados por el artículo 32 de la Ley Orgánica Municipal del Estado de México, referido, y en atención a que el particular requirió los documentos comprobatorios de cada uno de ellos, es necesario entrar a analizar cada una de las fracciones establecidas por el precepto legal antes señalado, conforme a lo que sigue:</w:t>
      </w:r>
    </w:p>
    <w:p w:rsidR="00E50BE6" w:rsidRDefault="00E50BE6" w:rsidP="00E50BE6">
      <w:pPr>
        <w:pBdr>
          <w:top w:val="nil"/>
          <w:left w:val="nil"/>
          <w:bottom w:val="nil"/>
          <w:right w:val="nil"/>
          <w:between w:val="nil"/>
        </w:pBdr>
        <w:spacing w:before="240" w:after="240"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t>Respecto de la fracción I, relacionado con “</w:t>
      </w:r>
      <w:r w:rsidR="000D711D" w:rsidRPr="000D711D">
        <w:rPr>
          <w:rFonts w:ascii="Palatino Linotype" w:eastAsia="Palatino Linotype" w:hAnsi="Palatino Linotype" w:cs="Palatino Linotype"/>
          <w:i/>
        </w:rPr>
        <w:t xml:space="preserve">Ser persona ciudadana del Estado, en pleno </w:t>
      </w:r>
      <w:r w:rsidR="000D711D">
        <w:rPr>
          <w:rFonts w:ascii="Palatino Linotype" w:eastAsia="Palatino Linotype" w:hAnsi="Palatino Linotype" w:cs="Palatino Linotype"/>
          <w:i/>
        </w:rPr>
        <w:t>uso de sus derechos</w:t>
      </w:r>
      <w:r>
        <w:rPr>
          <w:rFonts w:ascii="Palatino Linotype" w:eastAsia="Palatino Linotype" w:hAnsi="Palatino Linotype" w:cs="Palatino Linotype"/>
        </w:rPr>
        <w:t xml:space="preserve">”, el documento que acreditaría dicha circunstancia de manera enunciativa más no limitada, de conformidad con el artículo 3 de la Ley de </w:t>
      </w:r>
      <w:r>
        <w:rPr>
          <w:rFonts w:ascii="Palatino Linotype" w:eastAsia="Palatino Linotype" w:hAnsi="Palatino Linotype" w:cs="Palatino Linotype"/>
        </w:rPr>
        <w:lastRenderedPageBreak/>
        <w:t>Nacionalidad, son: el acta de nacimiento, el certificado de nacionalidad mexicana, el pasaporte, la carta de naturalización, la cédula de identidad ciudadana, la matrícula consular que cuente con los siguientes elementos de seguridad (fotografía digitalizada, banda magnética e identificación holográfica), identificaciones oficiales con fotografía y comprobantes domiciliarios.</w:t>
      </w:r>
    </w:p>
    <w:p w:rsidR="00E50BE6" w:rsidRDefault="00E50BE6" w:rsidP="00E50BE6">
      <w:pPr>
        <w:widowControl w:val="0"/>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No obstante, dicha documentación debe ser protegida mediante su clasificación como </w:t>
      </w:r>
      <w:r>
        <w:rPr>
          <w:rFonts w:ascii="Palatino Linotype" w:eastAsia="Palatino Linotype" w:hAnsi="Palatino Linotype" w:cs="Palatino Linotype"/>
        </w:rPr>
        <w:t xml:space="preserve">confidencial en su totalidad, ya </w:t>
      </w:r>
      <w:r>
        <w:rPr>
          <w:rFonts w:ascii="Palatino Linotype" w:eastAsia="Palatino Linotype" w:hAnsi="Palatino Linotype" w:cs="Palatino Linotype"/>
          <w:color w:val="000000"/>
        </w:rPr>
        <w:t>que por su naturaleza jurídica contienen datos deben ser clasificados como confidenciales, lo anterior, como a continuación se precisa:</w:t>
      </w:r>
    </w:p>
    <w:p w:rsidR="00E50BE6" w:rsidRDefault="00E50BE6" w:rsidP="00E50BE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Por lo que se refiere a la credencial para votar, constituyen datos personales el nombre, domicilio, huella digital, fotografía del elector, clave de registro o elector, Clave Única del Registro de Población y firma, tal como se refiere en el artículo 156 numeral 1, incisos d), g) e i) de la Ley General de Instituciones y Procedimientos Electorales que enlista los datos que, cuando menos, debe contener la credencial para votar, como son: </w:t>
      </w:r>
    </w:p>
    <w:p w:rsidR="00E50BE6" w:rsidRDefault="00E50BE6" w:rsidP="00E50BE6">
      <w:pPr>
        <w:tabs>
          <w:tab w:val="left" w:pos="8222"/>
        </w:tabs>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156</w:t>
      </w:r>
      <w:r>
        <w:rPr>
          <w:rFonts w:ascii="Palatino Linotype" w:eastAsia="Palatino Linotype" w:hAnsi="Palatino Linotype" w:cs="Palatino Linotype"/>
          <w:i/>
          <w:sz w:val="22"/>
          <w:szCs w:val="22"/>
        </w:rPr>
        <w:t>.</w:t>
      </w:r>
    </w:p>
    <w:p w:rsidR="00E50BE6" w:rsidRDefault="00E50BE6" w:rsidP="00E50BE6">
      <w:pPr>
        <w:tabs>
          <w:tab w:val="left" w:pos="8222"/>
        </w:tabs>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1.</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u w:val="single"/>
        </w:rPr>
        <w:t>La credencial para votar deberá contener, cuando menos, los siguientes datos del elector</w:t>
      </w:r>
      <w:r>
        <w:rPr>
          <w:rFonts w:ascii="Palatino Linotype" w:eastAsia="Palatino Linotype" w:hAnsi="Palatino Linotype" w:cs="Palatino Linotype"/>
          <w:i/>
          <w:sz w:val="22"/>
          <w:szCs w:val="22"/>
        </w:rPr>
        <w:t>:</w:t>
      </w:r>
    </w:p>
    <w:p w:rsidR="00E50BE6" w:rsidRDefault="00E50BE6" w:rsidP="00E50BE6">
      <w:pPr>
        <w:tabs>
          <w:tab w:val="left" w:pos="8222"/>
        </w:tabs>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E50BE6" w:rsidRDefault="00E50BE6" w:rsidP="00E50BE6">
      <w:pPr>
        <w:tabs>
          <w:tab w:val="left" w:pos="8222"/>
        </w:tabs>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d) </w:t>
      </w:r>
      <w:r>
        <w:rPr>
          <w:rFonts w:ascii="Palatino Linotype" w:eastAsia="Palatino Linotype" w:hAnsi="Palatino Linotype" w:cs="Palatino Linotype"/>
          <w:b/>
          <w:i/>
          <w:sz w:val="22"/>
          <w:szCs w:val="22"/>
          <w:u w:val="single"/>
        </w:rPr>
        <w:t>Domicilio</w:t>
      </w:r>
      <w:r>
        <w:rPr>
          <w:rFonts w:ascii="Palatino Linotype" w:eastAsia="Palatino Linotype" w:hAnsi="Palatino Linotype" w:cs="Palatino Linotype"/>
          <w:i/>
          <w:sz w:val="22"/>
          <w:szCs w:val="22"/>
        </w:rPr>
        <w:t>;</w:t>
      </w:r>
    </w:p>
    <w:p w:rsidR="00E50BE6" w:rsidRDefault="00E50BE6" w:rsidP="00E50BE6">
      <w:pPr>
        <w:tabs>
          <w:tab w:val="left" w:pos="8222"/>
        </w:tabs>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E50BE6" w:rsidRDefault="00E50BE6" w:rsidP="00E50BE6">
      <w:pPr>
        <w:tabs>
          <w:tab w:val="left" w:pos="8222"/>
        </w:tabs>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g) </w:t>
      </w:r>
      <w:r>
        <w:rPr>
          <w:rFonts w:ascii="Palatino Linotype" w:eastAsia="Palatino Linotype" w:hAnsi="Palatino Linotype" w:cs="Palatino Linotype"/>
          <w:b/>
          <w:i/>
          <w:sz w:val="22"/>
          <w:szCs w:val="22"/>
        </w:rPr>
        <w:t>Firma</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u w:val="single"/>
        </w:rPr>
        <w:t>huella digital</w:t>
      </w:r>
      <w:r>
        <w:rPr>
          <w:rFonts w:ascii="Palatino Linotype" w:eastAsia="Palatino Linotype" w:hAnsi="Palatino Linotype" w:cs="Palatino Linotype"/>
          <w:i/>
          <w:sz w:val="22"/>
          <w:szCs w:val="22"/>
        </w:rPr>
        <w:t xml:space="preserve"> y </w:t>
      </w:r>
      <w:r>
        <w:rPr>
          <w:rFonts w:ascii="Palatino Linotype" w:eastAsia="Palatino Linotype" w:hAnsi="Palatino Linotype" w:cs="Palatino Linotype"/>
          <w:b/>
          <w:i/>
          <w:sz w:val="22"/>
          <w:szCs w:val="22"/>
          <w:u w:val="single"/>
        </w:rPr>
        <w:t>fotografía del elector</w:t>
      </w:r>
      <w:r>
        <w:rPr>
          <w:rFonts w:ascii="Palatino Linotype" w:eastAsia="Palatino Linotype" w:hAnsi="Palatino Linotype" w:cs="Palatino Linotype"/>
          <w:i/>
          <w:sz w:val="22"/>
          <w:szCs w:val="22"/>
        </w:rPr>
        <w:t>;</w:t>
      </w:r>
    </w:p>
    <w:p w:rsidR="00E50BE6" w:rsidRDefault="00E50BE6" w:rsidP="00E50BE6">
      <w:pPr>
        <w:tabs>
          <w:tab w:val="left" w:pos="8222"/>
        </w:tabs>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E50BE6" w:rsidRDefault="00E50BE6" w:rsidP="00E50BE6">
      <w:pPr>
        <w:tabs>
          <w:tab w:val="left" w:pos="8222"/>
        </w:tabs>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 </w:t>
      </w:r>
      <w:r>
        <w:rPr>
          <w:rFonts w:ascii="Palatino Linotype" w:eastAsia="Palatino Linotype" w:hAnsi="Palatino Linotype" w:cs="Palatino Linotype"/>
          <w:b/>
          <w:i/>
          <w:sz w:val="22"/>
          <w:szCs w:val="22"/>
          <w:u w:val="single"/>
        </w:rPr>
        <w:t>Clave Única del Registro de Población</w:t>
      </w:r>
      <w:r w:rsidR="007D0014">
        <w:rPr>
          <w:rFonts w:ascii="Palatino Linotype" w:eastAsia="Palatino Linotype" w:hAnsi="Palatino Linotype" w:cs="Palatino Linotype"/>
          <w:i/>
          <w:sz w:val="22"/>
          <w:szCs w:val="22"/>
        </w:rPr>
        <w:t>.”</w:t>
      </w:r>
      <w:r>
        <w:rPr>
          <w:rFonts w:ascii="Palatino Linotype" w:eastAsia="Palatino Linotype" w:hAnsi="Palatino Linotype" w:cs="Palatino Linotype"/>
          <w:i/>
          <w:sz w:val="22"/>
          <w:szCs w:val="22"/>
        </w:rPr>
        <w:t xml:space="preserve"> (Sic)</w:t>
      </w:r>
    </w:p>
    <w:p w:rsidR="00E50BE6" w:rsidRDefault="00E50BE6" w:rsidP="00E50BE6">
      <w:pPr>
        <w:tabs>
          <w:tab w:val="left" w:pos="8222"/>
        </w:tabs>
        <w:ind w:left="851" w:right="851"/>
        <w:jc w:val="both"/>
        <w:rPr>
          <w:rFonts w:ascii="Palatino Linotype" w:eastAsia="Palatino Linotype" w:hAnsi="Palatino Linotype" w:cs="Palatino Linotype"/>
          <w:i/>
          <w:sz w:val="22"/>
          <w:szCs w:val="22"/>
        </w:rPr>
      </w:pPr>
    </w:p>
    <w:p w:rsidR="00E50BE6" w:rsidRDefault="00E50BE6" w:rsidP="00E50BE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Así, el conocimiento de dichos datos afecta la esfera más íntima de su Titular, en razón de que su utilización indebida pueda dar origen a un riesgo grave para éste.</w:t>
      </w:r>
    </w:p>
    <w:p w:rsidR="000D711D" w:rsidRDefault="000D711D" w:rsidP="00E50BE6">
      <w:pPr>
        <w:spacing w:before="240" w:after="240" w:line="360" w:lineRule="auto"/>
        <w:jc w:val="both"/>
        <w:rPr>
          <w:rFonts w:ascii="Palatino Linotype" w:eastAsia="Palatino Linotype" w:hAnsi="Palatino Linotype" w:cs="Palatino Linotype"/>
        </w:rPr>
      </w:pPr>
      <w:r>
        <w:rPr>
          <w:noProof/>
          <w:lang w:val="es-MX" w:eastAsia="es-MX"/>
        </w:rPr>
        <w:lastRenderedPageBreak/>
        <w:drawing>
          <wp:anchor distT="0" distB="0" distL="0" distR="0" simplePos="0" relativeHeight="251670528" behindDoc="1" locked="0" layoutInCell="1" hidden="0" allowOverlap="1" wp14:anchorId="3B088F90" wp14:editId="527863A0">
            <wp:simplePos x="0" y="0"/>
            <wp:positionH relativeFrom="margin">
              <wp:align>right</wp:align>
            </wp:positionH>
            <wp:positionV relativeFrom="paragraph">
              <wp:posOffset>2082263</wp:posOffset>
            </wp:positionV>
            <wp:extent cx="5768761" cy="2292563"/>
            <wp:effectExtent l="0" t="0" r="3810" b="0"/>
            <wp:wrapNone/>
            <wp:docPr id="10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2"/>
                    <a:srcRect b="2758"/>
                    <a:stretch>
                      <a:fillRect/>
                    </a:stretch>
                  </pic:blipFill>
                  <pic:spPr>
                    <a:xfrm>
                      <a:off x="0" y="0"/>
                      <a:ext cx="5768761" cy="2292563"/>
                    </a:xfrm>
                    <a:prstGeom prst="rect">
                      <a:avLst/>
                    </a:prstGeom>
                    <a:ln/>
                  </pic:spPr>
                </pic:pic>
              </a:graphicData>
            </a:graphic>
            <wp14:sizeRelV relativeFrom="margin">
              <wp14:pctHeight>0</wp14:pctHeight>
            </wp14:sizeRelV>
          </wp:anchor>
        </w:drawing>
      </w:r>
      <w:r w:rsidR="00E50BE6">
        <w:rPr>
          <w:rFonts w:ascii="Palatino Linotype" w:eastAsia="Palatino Linotype" w:hAnsi="Palatino Linotype" w:cs="Palatino Linotype"/>
        </w:rPr>
        <w:t>Asimismo, en el caso particular de la clave de elector, debe precisarse que es un código alfa numérico compuesto por letras de los apellidos y nombre de la persona, seguido de la fecha de nacimiento y finalmente una serie de números indispensables para su inscripción en el Registro Federal de Electores que, a su vez, hace identificable a la persona que corresponde dicha credencial para votar, tan es así, que el Sistema de Administración Tributaria en su catálogo de trámites contempla como identificación oficial los siguientes documentos:</w:t>
      </w:r>
    </w:p>
    <w:p w:rsidR="00E50BE6" w:rsidRDefault="00E50BE6" w:rsidP="00E50BE6">
      <w:pPr>
        <w:spacing w:before="240" w:after="240" w:line="360" w:lineRule="auto"/>
        <w:jc w:val="both"/>
        <w:rPr>
          <w:rFonts w:ascii="Palatino Linotype" w:eastAsia="Palatino Linotype" w:hAnsi="Palatino Linotype" w:cs="Palatino Linotype"/>
        </w:rPr>
      </w:pPr>
    </w:p>
    <w:p w:rsidR="00E50BE6" w:rsidRDefault="00E50BE6" w:rsidP="00E50BE6">
      <w:pPr>
        <w:spacing w:before="240" w:after="240" w:line="360" w:lineRule="auto"/>
        <w:jc w:val="both"/>
        <w:rPr>
          <w:rFonts w:ascii="Palatino Linotype" w:eastAsia="Palatino Linotype" w:hAnsi="Palatino Linotype" w:cs="Palatino Linotype"/>
        </w:rPr>
      </w:pPr>
    </w:p>
    <w:p w:rsidR="00E50BE6" w:rsidRDefault="00E50BE6" w:rsidP="00E50BE6">
      <w:pPr>
        <w:spacing w:before="240" w:after="240" w:line="360" w:lineRule="auto"/>
        <w:jc w:val="both"/>
        <w:rPr>
          <w:rFonts w:ascii="Palatino Linotype" w:eastAsia="Palatino Linotype" w:hAnsi="Palatino Linotype" w:cs="Palatino Linotype"/>
        </w:rPr>
      </w:pPr>
    </w:p>
    <w:p w:rsidR="00E50BE6" w:rsidRDefault="00E50BE6" w:rsidP="00E50BE6">
      <w:pPr>
        <w:spacing w:before="240" w:after="240" w:line="360" w:lineRule="auto"/>
        <w:jc w:val="both"/>
        <w:rPr>
          <w:rFonts w:ascii="Palatino Linotype" w:eastAsia="Palatino Linotype" w:hAnsi="Palatino Linotype" w:cs="Palatino Linotype"/>
        </w:rPr>
      </w:pPr>
    </w:p>
    <w:p w:rsidR="00E50BE6" w:rsidRDefault="00E50BE6" w:rsidP="00E50BE6">
      <w:pPr>
        <w:spacing w:before="240" w:after="240" w:line="360" w:lineRule="auto"/>
        <w:ind w:right="49"/>
        <w:jc w:val="center"/>
        <w:rPr>
          <w:rFonts w:ascii="Palatino Linotype" w:eastAsia="Palatino Linotype" w:hAnsi="Palatino Linotype" w:cs="Palatino Linotype"/>
        </w:rPr>
      </w:pPr>
    </w:p>
    <w:p w:rsidR="00E50BE6" w:rsidRDefault="00E50BE6" w:rsidP="00E50BE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Respecto a la edad, número identificador (OCR) y código de barras bidimensional y cifrado contenidos en las credenciales para votar, se advierte que se trata de elementos de información, control y presentación, de conformidad a lo señalado por el Instituto Nacional Electoral, en la página de Internet Institucional, http://portalanterior.ine.mx/archivos2/portal/credencial/pdf-credencial/ABC_credenciales_ INE_2015.pdf, como se muestra a continuación, en su parte medular: </w:t>
      </w:r>
    </w:p>
    <w:p w:rsidR="00E50BE6" w:rsidRDefault="00E50BE6" w:rsidP="00E50BE6">
      <w:pPr>
        <w:spacing w:before="240" w:after="240" w:line="360" w:lineRule="auto"/>
        <w:jc w:val="center"/>
        <w:rPr>
          <w:rFonts w:ascii="Palatino Linotype" w:eastAsia="Palatino Linotype" w:hAnsi="Palatino Linotype" w:cs="Palatino Linotype"/>
        </w:rPr>
      </w:pPr>
      <w:r>
        <w:rPr>
          <w:rFonts w:ascii="Palatino Linotype" w:eastAsia="Palatino Linotype" w:hAnsi="Palatino Linotype" w:cs="Palatino Linotype"/>
          <w:noProof/>
          <w:lang w:val="es-MX" w:eastAsia="es-MX"/>
        </w:rPr>
        <w:lastRenderedPageBreak/>
        <w:drawing>
          <wp:inline distT="0" distB="0" distL="0" distR="0" wp14:anchorId="6F92C292" wp14:editId="6C3F45E2">
            <wp:extent cx="5934360" cy="1963320"/>
            <wp:effectExtent l="0" t="0" r="0" b="0"/>
            <wp:docPr id="121"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3"/>
                    <a:srcRect/>
                    <a:stretch>
                      <a:fillRect/>
                    </a:stretch>
                  </pic:blipFill>
                  <pic:spPr>
                    <a:xfrm>
                      <a:off x="0" y="0"/>
                      <a:ext cx="5934360" cy="1963320"/>
                    </a:xfrm>
                    <a:prstGeom prst="rect">
                      <a:avLst/>
                    </a:prstGeom>
                    <a:ln/>
                  </pic:spPr>
                </pic:pic>
              </a:graphicData>
            </a:graphic>
          </wp:inline>
        </w:drawing>
      </w:r>
      <w:r>
        <w:rPr>
          <w:noProof/>
          <w:lang w:val="es-MX" w:eastAsia="es-MX"/>
        </w:rPr>
        <mc:AlternateContent>
          <mc:Choice Requires="wps">
            <w:drawing>
              <wp:anchor distT="0" distB="0" distL="114300" distR="114300" simplePos="0" relativeHeight="251671552" behindDoc="0" locked="0" layoutInCell="1" hidden="0" allowOverlap="1" wp14:anchorId="5268F034" wp14:editId="1ED3D388">
                <wp:simplePos x="0" y="0"/>
                <wp:positionH relativeFrom="column">
                  <wp:posOffset>1270000</wp:posOffset>
                </wp:positionH>
                <wp:positionV relativeFrom="paragraph">
                  <wp:posOffset>279400</wp:posOffset>
                </wp:positionV>
                <wp:extent cx="2726709" cy="336550"/>
                <wp:effectExtent l="0" t="0" r="0" b="0"/>
                <wp:wrapNone/>
                <wp:docPr id="97" name="Rectángulo 97"/>
                <wp:cNvGraphicFramePr/>
                <a:graphic xmlns:a="http://schemas.openxmlformats.org/drawingml/2006/main">
                  <a:graphicData uri="http://schemas.microsoft.com/office/word/2010/wordprocessingShape">
                    <wps:wsp>
                      <wps:cNvSpPr/>
                      <wps:spPr>
                        <a:xfrm>
                          <a:off x="4001696" y="3630775"/>
                          <a:ext cx="2688609" cy="298450"/>
                        </a:xfrm>
                        <a:prstGeom prst="rect">
                          <a:avLst/>
                        </a:prstGeom>
                        <a:noFill/>
                        <a:ln w="19050" cap="flat" cmpd="sng">
                          <a:solidFill>
                            <a:srgbClr val="FF0000"/>
                          </a:solidFill>
                          <a:prstDash val="solid"/>
                          <a:miter lim="800000"/>
                          <a:headEnd type="none" w="sm" len="sm"/>
                          <a:tailEnd type="none" w="sm" len="sm"/>
                        </a:ln>
                      </wps:spPr>
                      <wps:txbx>
                        <w:txbxContent>
                          <w:p w:rsidR="0039028B" w:rsidRDefault="0039028B" w:rsidP="00E50BE6">
                            <w:pPr>
                              <w:textDirection w:val="btLr"/>
                            </w:pPr>
                          </w:p>
                        </w:txbxContent>
                      </wps:txbx>
                      <wps:bodyPr spcFirstLastPara="1" wrap="square" lIns="91425" tIns="91425" rIns="91425" bIns="91425" anchor="ctr" anchorCtr="0">
                        <a:noAutofit/>
                      </wps:bodyPr>
                    </wps:wsp>
                  </a:graphicData>
                </a:graphic>
              </wp:anchor>
            </w:drawing>
          </mc:Choice>
          <mc:Fallback xmlns:cx="http://schemas.microsoft.com/office/drawing/2014/chartex" xmlns:w16se="http://schemas.microsoft.com/office/word/2015/wordml/symex">
            <w:pict>
              <v:rect w14:anchorId="5268F034" id="Rectángulo 97" o:spid="_x0000_s1031" style="position:absolute;left:0;text-align:left;margin-left:100pt;margin-top:22pt;width:214.7pt;height:26.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" filled="f" strokecolor="red" strokeweight="1.5pt">
                <v:stroke startarrowwidth="narrow" startarrowlength="short" endarrowwidth="narrow" endarrowlength="short"/>
                <v:textbox inset="2.53958mm,2.53958mm,2.53958mm,2.53958mm">
                  <w:txbxContent>
                    <w:p w:rsidR="0039028B" w:rsidRDefault="0039028B" w:rsidP="00E50BE6">
                      <w:pPr>
                        <w:textDirection w:val="btLr"/>
                      </w:pPr>
                    </w:p>
                  </w:txbxContent>
                </v:textbox>
              </v:rect>
            </w:pict>
          </mc:Fallback>
        </mc:AlternateContent>
      </w:r>
      <w:r>
        <w:rPr>
          <w:noProof/>
          <w:lang w:val="es-MX" w:eastAsia="es-MX"/>
        </w:rPr>
        <mc:AlternateContent>
          <mc:Choice Requires="wps">
            <w:drawing>
              <wp:anchor distT="0" distB="0" distL="114300" distR="114300" simplePos="0" relativeHeight="251672576" behindDoc="0" locked="0" layoutInCell="1" hidden="0" allowOverlap="1" wp14:anchorId="3F66DDAD" wp14:editId="68530472">
                <wp:simplePos x="0" y="0"/>
                <wp:positionH relativeFrom="column">
                  <wp:posOffset>190500</wp:posOffset>
                </wp:positionH>
                <wp:positionV relativeFrom="paragraph">
                  <wp:posOffset>787400</wp:posOffset>
                </wp:positionV>
                <wp:extent cx="802374" cy="563539"/>
                <wp:effectExtent l="0" t="0" r="0" b="0"/>
                <wp:wrapNone/>
                <wp:docPr id="101" name="Rectángulo 101"/>
                <wp:cNvGraphicFramePr/>
                <a:graphic xmlns:a="http://schemas.openxmlformats.org/drawingml/2006/main">
                  <a:graphicData uri="http://schemas.microsoft.com/office/word/2010/wordprocessingShape">
                    <wps:wsp>
                      <wps:cNvSpPr/>
                      <wps:spPr>
                        <a:xfrm>
                          <a:off x="4963863" y="3517281"/>
                          <a:ext cx="764274" cy="525439"/>
                        </a:xfrm>
                        <a:prstGeom prst="rect">
                          <a:avLst/>
                        </a:prstGeom>
                        <a:noFill/>
                        <a:ln w="19050" cap="flat" cmpd="sng">
                          <a:solidFill>
                            <a:srgbClr val="FF0000"/>
                          </a:solidFill>
                          <a:prstDash val="solid"/>
                          <a:miter lim="800000"/>
                          <a:headEnd type="none" w="sm" len="sm"/>
                          <a:tailEnd type="none" w="sm" len="sm"/>
                        </a:ln>
                      </wps:spPr>
                      <wps:txbx>
                        <w:txbxContent>
                          <w:p w:rsidR="0039028B" w:rsidRDefault="0039028B" w:rsidP="00E50BE6">
                            <w:pPr>
                              <w:textDirection w:val="btLr"/>
                            </w:pPr>
                          </w:p>
                        </w:txbxContent>
                      </wps:txbx>
                      <wps:bodyPr spcFirstLastPara="1" wrap="square" lIns="91425" tIns="91425" rIns="91425" bIns="91425" anchor="ctr" anchorCtr="0">
                        <a:noAutofit/>
                      </wps:bodyPr>
                    </wps:wsp>
                  </a:graphicData>
                </a:graphic>
              </wp:anchor>
            </w:drawing>
          </mc:Choice>
          <mc:Fallback xmlns:cx="http://schemas.microsoft.com/office/drawing/2014/chartex" xmlns:w16se="http://schemas.microsoft.com/office/word/2015/wordml/symex">
            <w:pict>
              <v:rect w14:anchorId="3F66DDAD" id="Rectángulo 101" o:spid="_x0000_s1032" style="position:absolute;left:0;text-align:left;margin-left:15pt;margin-top:62pt;width:63.2pt;height:44.3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" filled="f" strokecolor="red" strokeweight="1.5pt">
                <v:stroke startarrowwidth="narrow" startarrowlength="short" endarrowwidth="narrow" endarrowlength="short"/>
                <v:textbox inset="2.53958mm,2.53958mm,2.53958mm,2.53958mm">
                  <w:txbxContent>
                    <w:p w:rsidR="0039028B" w:rsidRDefault="0039028B" w:rsidP="00E50BE6">
                      <w:pPr>
                        <w:textDirection w:val="btLr"/>
                      </w:pPr>
                    </w:p>
                  </w:txbxContent>
                </v:textbox>
              </v:rect>
            </w:pict>
          </mc:Fallback>
        </mc:AlternateContent>
      </w:r>
    </w:p>
    <w:p w:rsidR="00E50BE6" w:rsidRDefault="00E50BE6" w:rsidP="00E50BE6">
      <w:pPr>
        <w:widowControl w:val="0"/>
        <w:spacing w:before="240" w:after="240" w:line="360" w:lineRule="auto"/>
        <w:jc w:val="center"/>
        <w:rPr>
          <w:rFonts w:ascii="Palatino Linotype" w:eastAsia="Palatino Linotype" w:hAnsi="Palatino Linotype" w:cs="Palatino Linotype"/>
        </w:rPr>
      </w:pPr>
      <w:r>
        <w:rPr>
          <w:rFonts w:ascii="Palatino Linotype" w:eastAsia="Palatino Linotype" w:hAnsi="Palatino Linotype" w:cs="Palatino Linotype"/>
          <w:noProof/>
          <w:lang w:val="es-MX" w:eastAsia="es-MX"/>
        </w:rPr>
        <w:drawing>
          <wp:inline distT="0" distB="0" distL="0" distR="0" wp14:anchorId="53DE7802" wp14:editId="18AEC277">
            <wp:extent cx="5844648" cy="2591513"/>
            <wp:effectExtent l="0" t="0" r="0" b="0"/>
            <wp:docPr id="12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4"/>
                    <a:srcRect/>
                    <a:stretch>
                      <a:fillRect/>
                    </a:stretch>
                  </pic:blipFill>
                  <pic:spPr>
                    <a:xfrm>
                      <a:off x="0" y="0"/>
                      <a:ext cx="5844648" cy="2591513"/>
                    </a:xfrm>
                    <a:prstGeom prst="rect">
                      <a:avLst/>
                    </a:prstGeom>
                    <a:ln/>
                  </pic:spPr>
                </pic:pic>
              </a:graphicData>
            </a:graphic>
          </wp:inline>
        </w:drawing>
      </w:r>
      <w:r>
        <w:rPr>
          <w:noProof/>
          <w:lang w:val="es-MX" w:eastAsia="es-MX"/>
        </w:rPr>
        <mc:AlternateContent>
          <mc:Choice Requires="wps">
            <w:drawing>
              <wp:anchor distT="0" distB="0" distL="114300" distR="114300" simplePos="0" relativeHeight="251673600" behindDoc="0" locked="0" layoutInCell="1" hidden="0" allowOverlap="1" wp14:anchorId="03670BA0" wp14:editId="2335BC0A">
                <wp:simplePos x="0" y="0"/>
                <wp:positionH relativeFrom="column">
                  <wp:posOffset>1117600</wp:posOffset>
                </wp:positionH>
                <wp:positionV relativeFrom="paragraph">
                  <wp:posOffset>177800</wp:posOffset>
                </wp:positionV>
                <wp:extent cx="2542464" cy="488476"/>
                <wp:effectExtent l="0" t="0" r="0" b="0"/>
                <wp:wrapNone/>
                <wp:docPr id="104" name="Rectángulo 104"/>
                <wp:cNvGraphicFramePr/>
                <a:graphic xmlns:a="http://schemas.openxmlformats.org/drawingml/2006/main">
                  <a:graphicData uri="http://schemas.microsoft.com/office/word/2010/wordprocessingShape">
                    <wps:wsp>
                      <wps:cNvSpPr/>
                      <wps:spPr>
                        <a:xfrm>
                          <a:off x="4093818" y="3554812"/>
                          <a:ext cx="2504364" cy="450376"/>
                        </a:xfrm>
                        <a:prstGeom prst="rect">
                          <a:avLst/>
                        </a:prstGeom>
                        <a:noFill/>
                        <a:ln w="19050" cap="flat" cmpd="sng">
                          <a:solidFill>
                            <a:srgbClr val="FF0000"/>
                          </a:solidFill>
                          <a:prstDash val="solid"/>
                          <a:miter lim="800000"/>
                          <a:headEnd type="none" w="sm" len="sm"/>
                          <a:tailEnd type="none" w="sm" len="sm"/>
                        </a:ln>
                      </wps:spPr>
                      <wps:txbx>
                        <w:txbxContent>
                          <w:p w:rsidR="0039028B" w:rsidRDefault="0039028B" w:rsidP="00E50BE6">
                            <w:pPr>
                              <w:textDirection w:val="btLr"/>
                            </w:pPr>
                          </w:p>
                        </w:txbxContent>
                      </wps:txbx>
                      <wps:bodyPr spcFirstLastPara="1" wrap="square" lIns="91425" tIns="91425" rIns="91425" bIns="91425" anchor="ctr" anchorCtr="0">
                        <a:noAutofit/>
                      </wps:bodyPr>
                    </wps:wsp>
                  </a:graphicData>
                </a:graphic>
              </wp:anchor>
            </w:drawing>
          </mc:Choice>
          <mc:Fallback xmlns:cx="http://schemas.microsoft.com/office/drawing/2014/chartex" xmlns:w16se="http://schemas.microsoft.com/office/word/2015/wordml/symex">
            <w:pict>
              <v:rect w14:anchorId="03670BA0" id="Rectángulo 104" o:spid="_x0000_s1033" style="position:absolute;left:0;text-align:left;margin-left:88pt;margin-top:14pt;width:200.2pt;height:38.4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" filled="f" strokecolor="red" strokeweight="1.5pt">
                <v:stroke startarrowwidth="narrow" startarrowlength="short" endarrowwidth="narrow" endarrowlength="short"/>
                <v:textbox inset="2.53958mm,2.53958mm,2.53958mm,2.53958mm">
                  <w:txbxContent>
                    <w:p w:rsidR="0039028B" w:rsidRDefault="0039028B" w:rsidP="00E50BE6">
                      <w:pPr>
                        <w:textDirection w:val="btLr"/>
                      </w:pPr>
                    </w:p>
                  </w:txbxContent>
                </v:textbox>
              </v:rect>
            </w:pict>
          </mc:Fallback>
        </mc:AlternateContent>
      </w:r>
      <w:r>
        <w:rPr>
          <w:noProof/>
          <w:lang w:val="es-MX" w:eastAsia="es-MX"/>
        </w:rPr>
        <mc:AlternateContent>
          <mc:Choice Requires="wps">
            <w:drawing>
              <wp:anchor distT="0" distB="0" distL="114300" distR="114300" simplePos="0" relativeHeight="251674624" behindDoc="0" locked="0" layoutInCell="1" hidden="0" allowOverlap="1" wp14:anchorId="5F7B86F9" wp14:editId="20F5F944">
                <wp:simplePos x="0" y="0"/>
                <wp:positionH relativeFrom="column">
                  <wp:posOffset>1117600</wp:posOffset>
                </wp:positionH>
                <wp:positionV relativeFrom="paragraph">
                  <wp:posOffset>1219200</wp:posOffset>
                </wp:positionV>
                <wp:extent cx="2542464" cy="374650"/>
                <wp:effectExtent l="0" t="0" r="0" b="0"/>
                <wp:wrapNone/>
                <wp:docPr id="99" name="Rectángulo 99"/>
                <wp:cNvGraphicFramePr/>
                <a:graphic xmlns:a="http://schemas.openxmlformats.org/drawingml/2006/main">
                  <a:graphicData uri="http://schemas.microsoft.com/office/word/2010/wordprocessingShape">
                    <wps:wsp>
                      <wps:cNvSpPr/>
                      <wps:spPr>
                        <a:xfrm>
                          <a:off x="4093818" y="3611725"/>
                          <a:ext cx="2504364" cy="336550"/>
                        </a:xfrm>
                        <a:prstGeom prst="rect">
                          <a:avLst/>
                        </a:prstGeom>
                        <a:noFill/>
                        <a:ln w="19050" cap="flat" cmpd="sng">
                          <a:solidFill>
                            <a:srgbClr val="FF0000"/>
                          </a:solidFill>
                          <a:prstDash val="solid"/>
                          <a:miter lim="800000"/>
                          <a:headEnd type="none" w="sm" len="sm"/>
                          <a:tailEnd type="none" w="sm" len="sm"/>
                        </a:ln>
                      </wps:spPr>
                      <wps:txbx>
                        <w:txbxContent>
                          <w:p w:rsidR="0039028B" w:rsidRDefault="0039028B" w:rsidP="00E50BE6">
                            <w:pPr>
                              <w:textDirection w:val="btLr"/>
                            </w:pPr>
                          </w:p>
                        </w:txbxContent>
                      </wps:txbx>
                      <wps:bodyPr spcFirstLastPara="1" wrap="square" lIns="91425" tIns="91425" rIns="91425" bIns="91425" anchor="ctr" anchorCtr="0">
                        <a:noAutofit/>
                      </wps:bodyPr>
                    </wps:wsp>
                  </a:graphicData>
                </a:graphic>
              </wp:anchor>
            </w:drawing>
          </mc:Choice>
          <mc:Fallback xmlns:cx="http://schemas.microsoft.com/office/drawing/2014/chartex" xmlns:w16se="http://schemas.microsoft.com/office/word/2015/wordml/symex">
            <w:pict>
              <v:rect w14:anchorId="5F7B86F9" id="Rectángulo 99" o:spid="_x0000_s1034" style="position:absolute;left:0;text-align:left;margin-left:88pt;margin-top:96pt;width:200.2pt;height:29.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" filled="f" strokecolor="red" strokeweight="1.5pt">
                <v:stroke startarrowwidth="narrow" startarrowlength="short" endarrowwidth="narrow" endarrowlength="short"/>
                <v:textbox inset="2.53958mm,2.53958mm,2.53958mm,2.53958mm">
                  <w:txbxContent>
                    <w:p w:rsidR="0039028B" w:rsidRDefault="0039028B" w:rsidP="00E50BE6">
                      <w:pPr>
                        <w:textDirection w:val="btLr"/>
                      </w:pPr>
                    </w:p>
                  </w:txbxContent>
                </v:textbox>
              </v:rect>
            </w:pict>
          </mc:Fallback>
        </mc:AlternateContent>
      </w:r>
      <w:r>
        <w:rPr>
          <w:noProof/>
          <w:lang w:val="es-MX" w:eastAsia="es-MX"/>
        </w:rPr>
        <mc:AlternateContent>
          <mc:Choice Requires="wps">
            <w:drawing>
              <wp:anchor distT="0" distB="0" distL="114300" distR="114300" simplePos="0" relativeHeight="251675648" behindDoc="0" locked="0" layoutInCell="1" hidden="0" allowOverlap="1" wp14:anchorId="17687461" wp14:editId="1D457C71">
                <wp:simplePos x="0" y="0"/>
                <wp:positionH relativeFrom="column">
                  <wp:posOffset>355600</wp:posOffset>
                </wp:positionH>
                <wp:positionV relativeFrom="paragraph">
                  <wp:posOffset>355600</wp:posOffset>
                </wp:positionV>
                <wp:extent cx="413414" cy="1894195"/>
                <wp:effectExtent l="0" t="0" r="0" b="0"/>
                <wp:wrapNone/>
                <wp:docPr id="96" name="Rectángulo 96"/>
                <wp:cNvGraphicFramePr/>
                <a:graphic xmlns:a="http://schemas.openxmlformats.org/drawingml/2006/main">
                  <a:graphicData uri="http://schemas.microsoft.com/office/word/2010/wordprocessingShape">
                    <wps:wsp>
                      <wps:cNvSpPr/>
                      <wps:spPr>
                        <a:xfrm>
                          <a:off x="5158343" y="2851953"/>
                          <a:ext cx="375314" cy="1856095"/>
                        </a:xfrm>
                        <a:prstGeom prst="rect">
                          <a:avLst/>
                        </a:prstGeom>
                        <a:noFill/>
                        <a:ln w="19050" cap="flat" cmpd="sng">
                          <a:solidFill>
                            <a:srgbClr val="FF0000"/>
                          </a:solidFill>
                          <a:prstDash val="solid"/>
                          <a:miter lim="800000"/>
                          <a:headEnd type="none" w="sm" len="sm"/>
                          <a:tailEnd type="none" w="sm" len="sm"/>
                        </a:ln>
                      </wps:spPr>
                      <wps:txbx>
                        <w:txbxContent>
                          <w:p w:rsidR="0039028B" w:rsidRDefault="0039028B" w:rsidP="00E50BE6">
                            <w:pPr>
                              <w:textDirection w:val="btLr"/>
                            </w:pPr>
                          </w:p>
                        </w:txbxContent>
                      </wps:txbx>
                      <wps:bodyPr spcFirstLastPara="1" wrap="square" lIns="91425" tIns="91425" rIns="91425" bIns="91425" anchor="ctr" anchorCtr="0">
                        <a:noAutofit/>
                      </wps:bodyPr>
                    </wps:wsp>
                  </a:graphicData>
                </a:graphic>
              </wp:anchor>
            </w:drawing>
          </mc:Choice>
          <mc:Fallback xmlns:cx="http://schemas.microsoft.com/office/drawing/2014/chartex" xmlns:w16se="http://schemas.microsoft.com/office/word/2015/wordml/symex">
            <w:pict>
              <v:rect w14:anchorId="17687461" id="Rectángulo 96" o:spid="_x0000_s1035" style="position:absolute;left:0;text-align:left;margin-left:28pt;margin-top:28pt;width:32.55pt;height:149.1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" filled="f" strokecolor="red" strokeweight="1.5pt">
                <v:stroke startarrowwidth="narrow" startarrowlength="short" endarrowwidth="narrow" endarrowlength="short"/>
                <v:textbox inset="2.53958mm,2.53958mm,2.53958mm,2.53958mm">
                  <w:txbxContent>
                    <w:p w:rsidR="0039028B" w:rsidRDefault="0039028B" w:rsidP="00E50BE6">
                      <w:pPr>
                        <w:textDirection w:val="btLr"/>
                      </w:pPr>
                    </w:p>
                  </w:txbxContent>
                </v:textbox>
              </v:rect>
            </w:pict>
          </mc:Fallback>
        </mc:AlternateContent>
      </w:r>
    </w:p>
    <w:p w:rsidR="00E50BE6" w:rsidRDefault="00E50BE6" w:rsidP="00E50BE6">
      <w:pPr>
        <w:widowControl w:val="0"/>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esa tesitura, en el caso del número identificador (OCR), debe precisarse que éste es generalmente utilizado en la realización de diversas operaciones bancarias y, en algunos casos, como un medio de identificación de las personas, por lo cual, su conocimiento y utilización, concierne únicamente a su titular. </w:t>
      </w:r>
    </w:p>
    <w:p w:rsidR="00E50BE6" w:rsidRDefault="00E50BE6" w:rsidP="00E50BE6">
      <w:pPr>
        <w:widowControl w:val="0"/>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el caso de la edad, se trata de un dato personal sensible que concierne únicamente a su titular, al corresponder a su esfera más íntima. </w:t>
      </w:r>
    </w:p>
    <w:p w:rsidR="00E50BE6" w:rsidRDefault="00E50BE6" w:rsidP="00E50BE6">
      <w:pPr>
        <w:widowControl w:val="0"/>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El código de barras bidimensional y cifrado, como fue anteriormente mencionado, se trata de un medio de almacenamiento de información, que en el caso de las credenciales para votar, contiene datos e información, utilizada para efectos electorales, misma, que únicamente concierne a las autoridades competentes en la materia y a su propio titular.</w:t>
      </w:r>
    </w:p>
    <w:p w:rsidR="00E50BE6" w:rsidRDefault="00E50BE6" w:rsidP="00E50BE6">
      <w:pPr>
        <w:widowControl w:val="0"/>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Por lo que se refiere a la CURP</w:t>
      </w:r>
      <w:r>
        <w:rPr>
          <w:rFonts w:ascii="Palatino Linotype" w:eastAsia="Palatino Linotype" w:hAnsi="Palatino Linotype" w:cs="Palatino Linotype"/>
          <w:b/>
        </w:rPr>
        <w:t xml:space="preserve">, </w:t>
      </w:r>
      <w:r>
        <w:rPr>
          <w:rFonts w:ascii="Palatino Linotype" w:eastAsia="Palatino Linotype" w:hAnsi="Palatino Linotype" w:cs="Palatino Linotype"/>
        </w:rPr>
        <w:t>constituye un dato personal, ya que tiene como finalidad registrar a cada una de las personas que integran la población del país, con los datos que permitan certificar y acreditar fehacientemente su identidad, la cual servirá para identificarla de manera individual.</w:t>
      </w:r>
    </w:p>
    <w:p w:rsidR="00E50BE6" w:rsidRDefault="00E50BE6" w:rsidP="00E50BE6">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rPr>
        <w:t>Lo anterior, tiene sustento en los artículos 86 y 91 de la Ley General de Población, la cual señala lo siguiente:</w:t>
      </w:r>
    </w:p>
    <w:p w:rsidR="00E50BE6" w:rsidRDefault="00E50BE6" w:rsidP="00E50BE6">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w:t>
      </w:r>
      <w:r>
        <w:rPr>
          <w:rFonts w:ascii="Palatino Linotype" w:eastAsia="Palatino Linotype" w:hAnsi="Palatino Linotype" w:cs="Palatino Linotype"/>
          <w:b/>
          <w:i/>
        </w:rPr>
        <w:t xml:space="preserve"> </w:t>
      </w:r>
      <w:r>
        <w:rPr>
          <w:rFonts w:ascii="Palatino Linotype" w:eastAsia="Palatino Linotype" w:hAnsi="Palatino Linotype" w:cs="Palatino Linotype"/>
          <w:b/>
          <w:i/>
          <w:sz w:val="22"/>
          <w:szCs w:val="22"/>
        </w:rPr>
        <w:t>86.</w:t>
      </w:r>
      <w:r>
        <w:rPr>
          <w:rFonts w:ascii="Palatino Linotype" w:eastAsia="Palatino Linotype" w:hAnsi="Palatino Linotype" w:cs="Palatino Linotype"/>
          <w:b/>
          <w:i/>
        </w:rPr>
        <w:t xml:space="preserve"> </w:t>
      </w:r>
      <w:r>
        <w:rPr>
          <w:rFonts w:ascii="Palatino Linotype" w:eastAsia="Palatino Linotype" w:hAnsi="Palatino Linotype" w:cs="Palatino Linotype"/>
          <w:i/>
          <w:sz w:val="22"/>
          <w:szCs w:val="22"/>
        </w:rPr>
        <w:t>El</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Registro</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Nacional</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de</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Población</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tiene</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como</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finalidad</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registrar</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a</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cada</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una</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de</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las</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personas</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que</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integran</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la</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población</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del</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país,</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con</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los</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datos</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que</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permitan</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certificar</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y</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acreditar</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fehacientemente</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su</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identidad.</w:t>
      </w:r>
    </w:p>
    <w:p w:rsidR="00E50BE6" w:rsidRDefault="00E50BE6" w:rsidP="00E50BE6">
      <w:pPr>
        <w:ind w:left="851" w:right="851"/>
        <w:jc w:val="both"/>
        <w:rPr>
          <w:rFonts w:ascii="Palatino Linotype" w:eastAsia="Palatino Linotype" w:hAnsi="Palatino Linotype" w:cs="Palatino Linotype"/>
          <w:b/>
          <w:i/>
          <w:sz w:val="22"/>
          <w:szCs w:val="22"/>
        </w:rPr>
      </w:pPr>
    </w:p>
    <w:p w:rsidR="00E50BE6" w:rsidRDefault="00E50BE6" w:rsidP="00E50BE6">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w:t>
      </w:r>
      <w:r>
        <w:rPr>
          <w:rFonts w:ascii="Palatino Linotype" w:eastAsia="Palatino Linotype" w:hAnsi="Palatino Linotype" w:cs="Palatino Linotype"/>
          <w:b/>
          <w:i/>
        </w:rPr>
        <w:t xml:space="preserve"> </w:t>
      </w:r>
      <w:r>
        <w:rPr>
          <w:rFonts w:ascii="Palatino Linotype" w:eastAsia="Palatino Linotype" w:hAnsi="Palatino Linotype" w:cs="Palatino Linotype"/>
          <w:b/>
          <w:i/>
          <w:sz w:val="22"/>
          <w:szCs w:val="22"/>
        </w:rPr>
        <w:t>91.</w:t>
      </w:r>
      <w:r>
        <w:rPr>
          <w:rFonts w:ascii="Palatino Linotype" w:eastAsia="Palatino Linotype" w:hAnsi="Palatino Linotype" w:cs="Palatino Linotype"/>
          <w:b/>
          <w:i/>
        </w:rPr>
        <w:t xml:space="preserve"> </w:t>
      </w:r>
      <w:r>
        <w:rPr>
          <w:rFonts w:ascii="Palatino Linotype" w:eastAsia="Palatino Linotype" w:hAnsi="Palatino Linotype" w:cs="Palatino Linotype"/>
          <w:b/>
          <w:i/>
          <w:sz w:val="22"/>
          <w:szCs w:val="22"/>
        </w:rPr>
        <w:t>Al</w:t>
      </w:r>
      <w:r>
        <w:rPr>
          <w:rFonts w:ascii="Palatino Linotype" w:eastAsia="Palatino Linotype" w:hAnsi="Palatino Linotype" w:cs="Palatino Linotype"/>
          <w:b/>
          <w:i/>
        </w:rPr>
        <w:t xml:space="preserve"> </w:t>
      </w:r>
      <w:r>
        <w:rPr>
          <w:rFonts w:ascii="Palatino Linotype" w:eastAsia="Palatino Linotype" w:hAnsi="Palatino Linotype" w:cs="Palatino Linotype"/>
          <w:b/>
          <w:i/>
          <w:sz w:val="22"/>
          <w:szCs w:val="22"/>
        </w:rPr>
        <w:t>incorporar</w:t>
      </w:r>
      <w:r>
        <w:rPr>
          <w:rFonts w:ascii="Palatino Linotype" w:eastAsia="Palatino Linotype" w:hAnsi="Palatino Linotype" w:cs="Palatino Linotype"/>
          <w:b/>
          <w:i/>
        </w:rPr>
        <w:t xml:space="preserve"> </w:t>
      </w:r>
      <w:r>
        <w:rPr>
          <w:rFonts w:ascii="Palatino Linotype" w:eastAsia="Palatino Linotype" w:hAnsi="Palatino Linotype" w:cs="Palatino Linotype"/>
          <w:b/>
          <w:i/>
          <w:sz w:val="22"/>
          <w:szCs w:val="22"/>
        </w:rPr>
        <w:t>a</w:t>
      </w:r>
      <w:r>
        <w:rPr>
          <w:rFonts w:ascii="Palatino Linotype" w:eastAsia="Palatino Linotype" w:hAnsi="Palatino Linotype" w:cs="Palatino Linotype"/>
          <w:b/>
          <w:i/>
        </w:rPr>
        <w:t xml:space="preserve"> </w:t>
      </w:r>
      <w:r>
        <w:rPr>
          <w:rFonts w:ascii="Palatino Linotype" w:eastAsia="Palatino Linotype" w:hAnsi="Palatino Linotype" w:cs="Palatino Linotype"/>
          <w:b/>
          <w:i/>
          <w:sz w:val="22"/>
          <w:szCs w:val="22"/>
        </w:rPr>
        <w:t>una</w:t>
      </w:r>
      <w:r>
        <w:rPr>
          <w:rFonts w:ascii="Palatino Linotype" w:eastAsia="Palatino Linotype" w:hAnsi="Palatino Linotype" w:cs="Palatino Linotype"/>
          <w:b/>
          <w:i/>
        </w:rPr>
        <w:t xml:space="preserve"> </w:t>
      </w:r>
      <w:r>
        <w:rPr>
          <w:rFonts w:ascii="Palatino Linotype" w:eastAsia="Palatino Linotype" w:hAnsi="Palatino Linotype" w:cs="Palatino Linotype"/>
          <w:b/>
          <w:i/>
          <w:sz w:val="22"/>
          <w:szCs w:val="22"/>
        </w:rPr>
        <w:t>persona</w:t>
      </w:r>
      <w:r>
        <w:rPr>
          <w:rFonts w:ascii="Palatino Linotype" w:eastAsia="Palatino Linotype" w:hAnsi="Palatino Linotype" w:cs="Palatino Linotype"/>
          <w:b/>
          <w:i/>
        </w:rPr>
        <w:t xml:space="preserve"> </w:t>
      </w:r>
      <w:r>
        <w:rPr>
          <w:rFonts w:ascii="Palatino Linotype" w:eastAsia="Palatino Linotype" w:hAnsi="Palatino Linotype" w:cs="Palatino Linotype"/>
          <w:b/>
          <w:i/>
          <w:sz w:val="22"/>
          <w:szCs w:val="22"/>
        </w:rPr>
        <w:t>en</w:t>
      </w:r>
      <w:r>
        <w:rPr>
          <w:rFonts w:ascii="Palatino Linotype" w:eastAsia="Palatino Linotype" w:hAnsi="Palatino Linotype" w:cs="Palatino Linotype"/>
          <w:b/>
          <w:i/>
        </w:rPr>
        <w:t xml:space="preserve"> </w:t>
      </w:r>
      <w:r>
        <w:rPr>
          <w:rFonts w:ascii="Palatino Linotype" w:eastAsia="Palatino Linotype" w:hAnsi="Palatino Linotype" w:cs="Palatino Linotype"/>
          <w:b/>
          <w:i/>
          <w:sz w:val="22"/>
          <w:szCs w:val="22"/>
        </w:rPr>
        <w:t>el</w:t>
      </w:r>
      <w:r>
        <w:rPr>
          <w:rFonts w:ascii="Palatino Linotype" w:eastAsia="Palatino Linotype" w:hAnsi="Palatino Linotype" w:cs="Palatino Linotype"/>
          <w:b/>
          <w:i/>
        </w:rPr>
        <w:t xml:space="preserve"> </w:t>
      </w:r>
      <w:r>
        <w:rPr>
          <w:rFonts w:ascii="Palatino Linotype" w:eastAsia="Palatino Linotype" w:hAnsi="Palatino Linotype" w:cs="Palatino Linotype"/>
          <w:b/>
          <w:i/>
          <w:sz w:val="22"/>
          <w:szCs w:val="22"/>
        </w:rPr>
        <w:t>Registro</w:t>
      </w:r>
      <w:r>
        <w:rPr>
          <w:rFonts w:ascii="Palatino Linotype" w:eastAsia="Palatino Linotype" w:hAnsi="Palatino Linotype" w:cs="Palatino Linotype"/>
          <w:b/>
          <w:i/>
        </w:rPr>
        <w:t xml:space="preserve"> </w:t>
      </w:r>
      <w:r>
        <w:rPr>
          <w:rFonts w:ascii="Palatino Linotype" w:eastAsia="Palatino Linotype" w:hAnsi="Palatino Linotype" w:cs="Palatino Linotype"/>
          <w:b/>
          <w:i/>
          <w:sz w:val="22"/>
          <w:szCs w:val="22"/>
        </w:rPr>
        <w:t>Nacional</w:t>
      </w:r>
      <w:r>
        <w:rPr>
          <w:rFonts w:ascii="Palatino Linotype" w:eastAsia="Palatino Linotype" w:hAnsi="Palatino Linotype" w:cs="Palatino Linotype"/>
          <w:b/>
          <w:i/>
        </w:rPr>
        <w:t xml:space="preserve"> </w:t>
      </w:r>
      <w:r>
        <w:rPr>
          <w:rFonts w:ascii="Palatino Linotype" w:eastAsia="Palatino Linotype" w:hAnsi="Palatino Linotype" w:cs="Palatino Linotype"/>
          <w:b/>
          <w:i/>
          <w:sz w:val="22"/>
          <w:szCs w:val="22"/>
        </w:rPr>
        <w:t>de</w:t>
      </w:r>
      <w:r>
        <w:rPr>
          <w:rFonts w:ascii="Palatino Linotype" w:eastAsia="Palatino Linotype" w:hAnsi="Palatino Linotype" w:cs="Palatino Linotype"/>
          <w:b/>
          <w:i/>
        </w:rPr>
        <w:t xml:space="preserve"> </w:t>
      </w:r>
      <w:r>
        <w:rPr>
          <w:rFonts w:ascii="Palatino Linotype" w:eastAsia="Palatino Linotype" w:hAnsi="Palatino Linotype" w:cs="Palatino Linotype"/>
          <w:b/>
          <w:i/>
          <w:sz w:val="22"/>
          <w:szCs w:val="22"/>
        </w:rPr>
        <w:t>Población</w:t>
      </w:r>
      <w:r>
        <w:rPr>
          <w:rFonts w:ascii="Palatino Linotype" w:eastAsia="Palatino Linotype" w:hAnsi="Palatino Linotype" w:cs="Palatino Linotype"/>
          <w:i/>
          <w:sz w:val="22"/>
          <w:szCs w:val="22"/>
        </w:rPr>
        <w:t>,</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se</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le</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asignará</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una</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clave</w:t>
      </w:r>
      <w:r>
        <w:rPr>
          <w:rFonts w:ascii="Palatino Linotype" w:eastAsia="Palatino Linotype" w:hAnsi="Palatino Linotype" w:cs="Palatino Linotype"/>
          <w:i/>
        </w:rPr>
        <w:t xml:space="preserve"> </w:t>
      </w:r>
      <w:r>
        <w:rPr>
          <w:rFonts w:ascii="Palatino Linotype" w:eastAsia="Palatino Linotype" w:hAnsi="Palatino Linotype" w:cs="Palatino Linotype"/>
          <w:b/>
          <w:i/>
          <w:sz w:val="22"/>
          <w:szCs w:val="22"/>
        </w:rPr>
        <w:t>que</w:t>
      </w:r>
      <w:r>
        <w:rPr>
          <w:rFonts w:ascii="Palatino Linotype" w:eastAsia="Palatino Linotype" w:hAnsi="Palatino Linotype" w:cs="Palatino Linotype"/>
          <w:b/>
          <w:i/>
        </w:rPr>
        <w:t xml:space="preserve"> </w:t>
      </w:r>
      <w:r>
        <w:rPr>
          <w:rFonts w:ascii="Palatino Linotype" w:eastAsia="Palatino Linotype" w:hAnsi="Palatino Linotype" w:cs="Palatino Linotype"/>
          <w:b/>
          <w:i/>
          <w:sz w:val="22"/>
          <w:szCs w:val="22"/>
        </w:rPr>
        <w:t>se</w:t>
      </w:r>
      <w:r>
        <w:rPr>
          <w:rFonts w:ascii="Palatino Linotype" w:eastAsia="Palatino Linotype" w:hAnsi="Palatino Linotype" w:cs="Palatino Linotype"/>
          <w:b/>
          <w:i/>
        </w:rPr>
        <w:t xml:space="preserve"> </w:t>
      </w:r>
      <w:r>
        <w:rPr>
          <w:rFonts w:ascii="Palatino Linotype" w:eastAsia="Palatino Linotype" w:hAnsi="Palatino Linotype" w:cs="Palatino Linotype"/>
          <w:b/>
          <w:i/>
          <w:sz w:val="22"/>
          <w:szCs w:val="22"/>
        </w:rPr>
        <w:t>denominará</w:t>
      </w:r>
      <w:r>
        <w:rPr>
          <w:rFonts w:ascii="Palatino Linotype" w:eastAsia="Palatino Linotype" w:hAnsi="Palatino Linotype" w:cs="Palatino Linotype"/>
          <w:b/>
          <w:i/>
        </w:rPr>
        <w:t xml:space="preserve"> </w:t>
      </w:r>
      <w:r>
        <w:rPr>
          <w:rFonts w:ascii="Palatino Linotype" w:eastAsia="Palatino Linotype" w:hAnsi="Palatino Linotype" w:cs="Palatino Linotype"/>
          <w:b/>
          <w:i/>
          <w:sz w:val="22"/>
          <w:szCs w:val="22"/>
        </w:rPr>
        <w:t>Clave</w:t>
      </w:r>
      <w:r>
        <w:rPr>
          <w:rFonts w:ascii="Palatino Linotype" w:eastAsia="Palatino Linotype" w:hAnsi="Palatino Linotype" w:cs="Palatino Linotype"/>
          <w:b/>
          <w:i/>
        </w:rPr>
        <w:t xml:space="preserve"> </w:t>
      </w:r>
      <w:r>
        <w:rPr>
          <w:rFonts w:ascii="Palatino Linotype" w:eastAsia="Palatino Linotype" w:hAnsi="Palatino Linotype" w:cs="Palatino Linotype"/>
          <w:b/>
          <w:i/>
          <w:sz w:val="22"/>
          <w:szCs w:val="22"/>
        </w:rPr>
        <w:t>Única</w:t>
      </w:r>
      <w:r>
        <w:rPr>
          <w:rFonts w:ascii="Palatino Linotype" w:eastAsia="Palatino Linotype" w:hAnsi="Palatino Linotype" w:cs="Palatino Linotype"/>
          <w:b/>
          <w:i/>
        </w:rPr>
        <w:t xml:space="preserve"> </w:t>
      </w:r>
      <w:r>
        <w:rPr>
          <w:rFonts w:ascii="Palatino Linotype" w:eastAsia="Palatino Linotype" w:hAnsi="Palatino Linotype" w:cs="Palatino Linotype"/>
          <w:b/>
          <w:i/>
          <w:sz w:val="22"/>
          <w:szCs w:val="22"/>
        </w:rPr>
        <w:t>de</w:t>
      </w:r>
      <w:r>
        <w:rPr>
          <w:rFonts w:ascii="Palatino Linotype" w:eastAsia="Palatino Linotype" w:hAnsi="Palatino Linotype" w:cs="Palatino Linotype"/>
          <w:b/>
          <w:i/>
        </w:rPr>
        <w:t xml:space="preserve"> </w:t>
      </w:r>
      <w:r>
        <w:rPr>
          <w:rFonts w:ascii="Palatino Linotype" w:eastAsia="Palatino Linotype" w:hAnsi="Palatino Linotype" w:cs="Palatino Linotype"/>
          <w:b/>
          <w:i/>
          <w:sz w:val="22"/>
          <w:szCs w:val="22"/>
        </w:rPr>
        <w:t>Registro</w:t>
      </w:r>
      <w:r>
        <w:rPr>
          <w:rFonts w:ascii="Palatino Linotype" w:eastAsia="Palatino Linotype" w:hAnsi="Palatino Linotype" w:cs="Palatino Linotype"/>
          <w:b/>
          <w:i/>
        </w:rPr>
        <w:t xml:space="preserve"> </w:t>
      </w:r>
      <w:r>
        <w:rPr>
          <w:rFonts w:ascii="Palatino Linotype" w:eastAsia="Palatino Linotype" w:hAnsi="Palatino Linotype" w:cs="Palatino Linotype"/>
          <w:b/>
          <w:i/>
          <w:sz w:val="22"/>
          <w:szCs w:val="22"/>
        </w:rPr>
        <w:t>de</w:t>
      </w:r>
      <w:r>
        <w:rPr>
          <w:rFonts w:ascii="Palatino Linotype" w:eastAsia="Palatino Linotype" w:hAnsi="Palatino Linotype" w:cs="Palatino Linotype"/>
          <w:b/>
          <w:i/>
        </w:rPr>
        <w:t xml:space="preserve"> </w:t>
      </w:r>
      <w:r>
        <w:rPr>
          <w:rFonts w:ascii="Palatino Linotype" w:eastAsia="Palatino Linotype" w:hAnsi="Palatino Linotype" w:cs="Palatino Linotype"/>
          <w:b/>
          <w:i/>
          <w:sz w:val="22"/>
          <w:szCs w:val="22"/>
        </w:rPr>
        <w:t>Población</w:t>
      </w:r>
      <w:r>
        <w:rPr>
          <w:rFonts w:ascii="Palatino Linotype" w:eastAsia="Palatino Linotype" w:hAnsi="Palatino Linotype" w:cs="Palatino Linotype"/>
          <w:i/>
          <w:sz w:val="22"/>
          <w:szCs w:val="22"/>
        </w:rPr>
        <w:t>.</w:t>
      </w:r>
      <w:r>
        <w:rPr>
          <w:rFonts w:ascii="Palatino Linotype" w:eastAsia="Palatino Linotype" w:hAnsi="Palatino Linotype" w:cs="Palatino Linotype"/>
          <w:i/>
        </w:rPr>
        <w:t xml:space="preserve"> </w:t>
      </w:r>
      <w:r>
        <w:rPr>
          <w:rFonts w:ascii="Palatino Linotype" w:eastAsia="Palatino Linotype" w:hAnsi="Palatino Linotype" w:cs="Palatino Linotype"/>
          <w:b/>
          <w:i/>
          <w:sz w:val="22"/>
          <w:szCs w:val="22"/>
        </w:rPr>
        <w:t>Esta</w:t>
      </w:r>
      <w:r>
        <w:rPr>
          <w:rFonts w:ascii="Palatino Linotype" w:eastAsia="Palatino Linotype" w:hAnsi="Palatino Linotype" w:cs="Palatino Linotype"/>
          <w:b/>
          <w:i/>
        </w:rPr>
        <w:t xml:space="preserve"> </w:t>
      </w:r>
      <w:r>
        <w:rPr>
          <w:rFonts w:ascii="Palatino Linotype" w:eastAsia="Palatino Linotype" w:hAnsi="Palatino Linotype" w:cs="Palatino Linotype"/>
          <w:b/>
          <w:i/>
          <w:sz w:val="22"/>
          <w:szCs w:val="22"/>
        </w:rPr>
        <w:t>servirá</w:t>
      </w:r>
      <w:r>
        <w:rPr>
          <w:rFonts w:ascii="Palatino Linotype" w:eastAsia="Palatino Linotype" w:hAnsi="Palatino Linotype" w:cs="Palatino Linotype"/>
          <w:b/>
          <w:i/>
        </w:rPr>
        <w:t xml:space="preserve"> </w:t>
      </w:r>
      <w:r>
        <w:rPr>
          <w:rFonts w:ascii="Palatino Linotype" w:eastAsia="Palatino Linotype" w:hAnsi="Palatino Linotype" w:cs="Palatino Linotype"/>
          <w:b/>
          <w:i/>
          <w:sz w:val="22"/>
          <w:szCs w:val="22"/>
        </w:rPr>
        <w:t>para</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registrarla</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e</w:t>
      </w:r>
      <w:r>
        <w:rPr>
          <w:rFonts w:ascii="Palatino Linotype" w:eastAsia="Palatino Linotype" w:hAnsi="Palatino Linotype" w:cs="Palatino Linotype"/>
          <w:i/>
        </w:rPr>
        <w:t xml:space="preserve"> </w:t>
      </w:r>
      <w:r>
        <w:rPr>
          <w:rFonts w:ascii="Palatino Linotype" w:eastAsia="Palatino Linotype" w:hAnsi="Palatino Linotype" w:cs="Palatino Linotype"/>
          <w:b/>
          <w:i/>
          <w:sz w:val="22"/>
          <w:szCs w:val="22"/>
        </w:rPr>
        <w:t>identificarla</w:t>
      </w:r>
      <w:r>
        <w:rPr>
          <w:rFonts w:ascii="Palatino Linotype" w:eastAsia="Palatino Linotype" w:hAnsi="Palatino Linotype" w:cs="Palatino Linotype"/>
          <w:b/>
          <w:i/>
        </w:rPr>
        <w:t xml:space="preserve"> </w:t>
      </w:r>
      <w:r>
        <w:rPr>
          <w:rFonts w:ascii="Palatino Linotype" w:eastAsia="Palatino Linotype" w:hAnsi="Palatino Linotype" w:cs="Palatino Linotype"/>
          <w:b/>
          <w:i/>
          <w:sz w:val="22"/>
          <w:szCs w:val="22"/>
        </w:rPr>
        <w:t>en</w:t>
      </w:r>
      <w:r>
        <w:rPr>
          <w:rFonts w:ascii="Palatino Linotype" w:eastAsia="Palatino Linotype" w:hAnsi="Palatino Linotype" w:cs="Palatino Linotype"/>
          <w:b/>
          <w:i/>
        </w:rPr>
        <w:t xml:space="preserve"> </w:t>
      </w:r>
      <w:r>
        <w:rPr>
          <w:rFonts w:ascii="Palatino Linotype" w:eastAsia="Palatino Linotype" w:hAnsi="Palatino Linotype" w:cs="Palatino Linotype"/>
          <w:b/>
          <w:i/>
          <w:sz w:val="22"/>
          <w:szCs w:val="22"/>
        </w:rPr>
        <w:t>forma</w:t>
      </w:r>
      <w:r>
        <w:rPr>
          <w:rFonts w:ascii="Palatino Linotype" w:eastAsia="Palatino Linotype" w:hAnsi="Palatino Linotype" w:cs="Palatino Linotype"/>
          <w:b/>
          <w:i/>
        </w:rPr>
        <w:t xml:space="preserve"> </w:t>
      </w:r>
      <w:r>
        <w:rPr>
          <w:rFonts w:ascii="Palatino Linotype" w:eastAsia="Palatino Linotype" w:hAnsi="Palatino Linotype" w:cs="Palatino Linotype"/>
          <w:b/>
          <w:i/>
          <w:sz w:val="22"/>
          <w:szCs w:val="22"/>
        </w:rPr>
        <w:t>individual</w:t>
      </w:r>
      <w:r w:rsidR="007D0014">
        <w:rPr>
          <w:rFonts w:ascii="Palatino Linotype" w:eastAsia="Palatino Linotype" w:hAnsi="Palatino Linotype" w:cs="Palatino Linotype"/>
          <w:i/>
          <w:sz w:val="22"/>
          <w:szCs w:val="22"/>
        </w:rPr>
        <w:t>.”</w:t>
      </w:r>
      <w:r w:rsidR="007D0014">
        <w:rPr>
          <w:rFonts w:ascii="Palatino Linotype" w:eastAsia="Palatino Linotype" w:hAnsi="Palatino Linotype" w:cs="Palatino Linotype"/>
          <w:i/>
        </w:rPr>
        <w:t xml:space="preserve"> (</w:t>
      </w:r>
      <w:r>
        <w:rPr>
          <w:rFonts w:ascii="Palatino Linotype" w:eastAsia="Palatino Linotype" w:hAnsi="Palatino Linotype" w:cs="Palatino Linotype"/>
          <w:i/>
        </w:rPr>
        <w:t>Sic)</w:t>
      </w:r>
    </w:p>
    <w:p w:rsidR="00E50BE6" w:rsidRDefault="00E50BE6" w:rsidP="00E50BE6">
      <w:pPr>
        <w:ind w:left="851" w:right="851"/>
        <w:jc w:val="both"/>
        <w:rPr>
          <w:rFonts w:ascii="Palatino Linotype" w:eastAsia="Palatino Linotype" w:hAnsi="Palatino Linotype" w:cs="Palatino Linotype"/>
          <w:i/>
          <w:sz w:val="22"/>
          <w:szCs w:val="22"/>
        </w:rPr>
      </w:pPr>
    </w:p>
    <w:p w:rsidR="00E50BE6" w:rsidRDefault="00E50BE6" w:rsidP="00E50BE6">
      <w:pPr>
        <w:spacing w:before="280" w:after="280" w:line="360" w:lineRule="auto"/>
        <w:jc w:val="both"/>
        <w:rPr>
          <w:rFonts w:ascii="Palatino Linotype" w:eastAsia="Palatino Linotype" w:hAnsi="Palatino Linotype" w:cs="Palatino Linotype"/>
          <w:sz w:val="28"/>
          <w:szCs w:val="28"/>
        </w:rPr>
      </w:pPr>
      <w:r>
        <w:rPr>
          <w:rFonts w:ascii="Palatino Linotype" w:eastAsia="Palatino Linotype" w:hAnsi="Palatino Linotype" w:cs="Palatino Linotype"/>
        </w:rPr>
        <w:t xml:space="preserve">Ahora bien, la CURP está integrada de 18 elementos representados por letras y números, que se generan a partir de los datos contenidos en un documento probatorio de identidad (acta de nacimiento, carta de naturalización o documento migratorio), la cual se integra de la primera letra del apellido paterno; seguida de la primera letra </w:t>
      </w:r>
      <w:r>
        <w:rPr>
          <w:rFonts w:ascii="Palatino Linotype" w:eastAsia="Palatino Linotype" w:hAnsi="Palatino Linotype" w:cs="Palatino Linotype"/>
        </w:rPr>
        <w:lastRenderedPageBreak/>
        <w:t xml:space="preserve">Vocal del primer apellido; seguida de la primera letra del segundo apellido y por último la primera letra del nombre; fecha de nacimiento año/mes/día; sexo; Entidad Federativa de nacimiento; consonantes internas del nombre y apellidos; un diferenciador de homonimia y siglo; y un digito verificador, que garantizan la correcta integración. </w:t>
      </w:r>
    </w:p>
    <w:p w:rsidR="00E50BE6" w:rsidRDefault="00E50BE6" w:rsidP="00E50BE6">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rPr>
        <w:t>Al respecto, el INAI, a través del Criterio 18/17 de la Segunda Época, señala literalmente lo siguiente:</w:t>
      </w:r>
    </w:p>
    <w:p w:rsidR="00E50BE6" w:rsidRDefault="00E50BE6" w:rsidP="00E50BE6">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Clave</w:t>
      </w:r>
      <w:r>
        <w:rPr>
          <w:rFonts w:ascii="Palatino Linotype" w:eastAsia="Palatino Linotype" w:hAnsi="Palatino Linotype" w:cs="Palatino Linotype"/>
          <w:b/>
          <w:i/>
        </w:rPr>
        <w:t xml:space="preserve"> </w:t>
      </w:r>
      <w:r>
        <w:rPr>
          <w:rFonts w:ascii="Palatino Linotype" w:eastAsia="Palatino Linotype" w:hAnsi="Palatino Linotype" w:cs="Palatino Linotype"/>
          <w:b/>
          <w:i/>
          <w:sz w:val="22"/>
          <w:szCs w:val="22"/>
        </w:rPr>
        <w:t>Única</w:t>
      </w:r>
      <w:r>
        <w:rPr>
          <w:rFonts w:ascii="Palatino Linotype" w:eastAsia="Palatino Linotype" w:hAnsi="Palatino Linotype" w:cs="Palatino Linotype"/>
          <w:b/>
          <w:i/>
        </w:rPr>
        <w:t xml:space="preserve"> </w:t>
      </w:r>
      <w:r>
        <w:rPr>
          <w:rFonts w:ascii="Palatino Linotype" w:eastAsia="Palatino Linotype" w:hAnsi="Palatino Linotype" w:cs="Palatino Linotype"/>
          <w:b/>
          <w:i/>
          <w:sz w:val="22"/>
          <w:szCs w:val="22"/>
        </w:rPr>
        <w:t>de</w:t>
      </w:r>
      <w:r>
        <w:rPr>
          <w:rFonts w:ascii="Palatino Linotype" w:eastAsia="Palatino Linotype" w:hAnsi="Palatino Linotype" w:cs="Palatino Linotype"/>
          <w:b/>
          <w:i/>
        </w:rPr>
        <w:t xml:space="preserve"> </w:t>
      </w:r>
      <w:r>
        <w:rPr>
          <w:rFonts w:ascii="Palatino Linotype" w:eastAsia="Palatino Linotype" w:hAnsi="Palatino Linotype" w:cs="Palatino Linotype"/>
          <w:b/>
          <w:i/>
          <w:sz w:val="22"/>
          <w:szCs w:val="22"/>
        </w:rPr>
        <w:t>Registro</w:t>
      </w:r>
      <w:r>
        <w:rPr>
          <w:rFonts w:ascii="Palatino Linotype" w:eastAsia="Palatino Linotype" w:hAnsi="Palatino Linotype" w:cs="Palatino Linotype"/>
          <w:b/>
          <w:i/>
        </w:rPr>
        <w:t xml:space="preserve"> </w:t>
      </w:r>
      <w:r>
        <w:rPr>
          <w:rFonts w:ascii="Palatino Linotype" w:eastAsia="Palatino Linotype" w:hAnsi="Palatino Linotype" w:cs="Palatino Linotype"/>
          <w:b/>
          <w:i/>
          <w:sz w:val="22"/>
          <w:szCs w:val="22"/>
        </w:rPr>
        <w:t>de</w:t>
      </w:r>
      <w:r>
        <w:rPr>
          <w:rFonts w:ascii="Palatino Linotype" w:eastAsia="Palatino Linotype" w:hAnsi="Palatino Linotype" w:cs="Palatino Linotype"/>
          <w:b/>
          <w:i/>
        </w:rPr>
        <w:t xml:space="preserve"> </w:t>
      </w:r>
      <w:r>
        <w:rPr>
          <w:rFonts w:ascii="Palatino Linotype" w:eastAsia="Palatino Linotype" w:hAnsi="Palatino Linotype" w:cs="Palatino Linotype"/>
          <w:b/>
          <w:i/>
          <w:sz w:val="22"/>
          <w:szCs w:val="22"/>
        </w:rPr>
        <w:t>Población</w:t>
      </w:r>
      <w:r>
        <w:rPr>
          <w:rFonts w:ascii="Palatino Linotype" w:eastAsia="Palatino Linotype" w:hAnsi="Palatino Linotype" w:cs="Palatino Linotype"/>
          <w:b/>
          <w:i/>
        </w:rPr>
        <w:t xml:space="preserve"> </w:t>
      </w:r>
      <w:r>
        <w:rPr>
          <w:rFonts w:ascii="Palatino Linotype" w:eastAsia="Palatino Linotype" w:hAnsi="Palatino Linotype" w:cs="Palatino Linotype"/>
          <w:b/>
          <w:i/>
          <w:sz w:val="22"/>
          <w:szCs w:val="22"/>
        </w:rPr>
        <w:t>(CURP).</w:t>
      </w:r>
      <w:r>
        <w:rPr>
          <w:rFonts w:ascii="Palatino Linotype" w:eastAsia="Palatino Linotype" w:hAnsi="Palatino Linotype" w:cs="Palatino Linotype"/>
          <w:i/>
        </w:rPr>
        <w:t xml:space="preserve"> </w:t>
      </w:r>
      <w:r>
        <w:rPr>
          <w:rFonts w:ascii="Palatino Linotype" w:eastAsia="Palatino Linotype" w:hAnsi="Palatino Linotype" w:cs="Palatino Linotype"/>
          <w:b/>
          <w:i/>
          <w:sz w:val="22"/>
          <w:szCs w:val="22"/>
        </w:rPr>
        <w:t>La</w:t>
      </w:r>
      <w:r>
        <w:rPr>
          <w:rFonts w:ascii="Palatino Linotype" w:eastAsia="Palatino Linotype" w:hAnsi="Palatino Linotype" w:cs="Palatino Linotype"/>
          <w:b/>
          <w:i/>
        </w:rPr>
        <w:t xml:space="preserve"> </w:t>
      </w:r>
      <w:r>
        <w:rPr>
          <w:rFonts w:ascii="Palatino Linotype" w:eastAsia="Palatino Linotype" w:hAnsi="Palatino Linotype" w:cs="Palatino Linotype"/>
          <w:b/>
          <w:i/>
          <w:sz w:val="22"/>
          <w:szCs w:val="22"/>
        </w:rPr>
        <w:t>Clave</w:t>
      </w:r>
      <w:r>
        <w:rPr>
          <w:rFonts w:ascii="Palatino Linotype" w:eastAsia="Palatino Linotype" w:hAnsi="Palatino Linotype" w:cs="Palatino Linotype"/>
          <w:b/>
          <w:i/>
        </w:rPr>
        <w:t xml:space="preserve"> </w:t>
      </w:r>
      <w:r>
        <w:rPr>
          <w:rFonts w:ascii="Palatino Linotype" w:eastAsia="Palatino Linotype" w:hAnsi="Palatino Linotype" w:cs="Palatino Linotype"/>
          <w:b/>
          <w:i/>
          <w:sz w:val="22"/>
          <w:szCs w:val="22"/>
        </w:rPr>
        <w:t>Única</w:t>
      </w:r>
      <w:r>
        <w:rPr>
          <w:rFonts w:ascii="Palatino Linotype" w:eastAsia="Palatino Linotype" w:hAnsi="Palatino Linotype" w:cs="Palatino Linotype"/>
          <w:b/>
          <w:i/>
        </w:rPr>
        <w:t xml:space="preserve"> </w:t>
      </w:r>
      <w:r>
        <w:rPr>
          <w:rFonts w:ascii="Palatino Linotype" w:eastAsia="Palatino Linotype" w:hAnsi="Palatino Linotype" w:cs="Palatino Linotype"/>
          <w:b/>
          <w:i/>
          <w:sz w:val="22"/>
          <w:szCs w:val="22"/>
        </w:rPr>
        <w:t>de</w:t>
      </w:r>
      <w:r>
        <w:rPr>
          <w:rFonts w:ascii="Palatino Linotype" w:eastAsia="Palatino Linotype" w:hAnsi="Palatino Linotype" w:cs="Palatino Linotype"/>
          <w:b/>
          <w:i/>
        </w:rPr>
        <w:t xml:space="preserve"> </w:t>
      </w:r>
      <w:r>
        <w:rPr>
          <w:rFonts w:ascii="Palatino Linotype" w:eastAsia="Palatino Linotype" w:hAnsi="Palatino Linotype" w:cs="Palatino Linotype"/>
          <w:b/>
          <w:i/>
          <w:sz w:val="22"/>
          <w:szCs w:val="22"/>
        </w:rPr>
        <w:t>Registro</w:t>
      </w:r>
      <w:r>
        <w:rPr>
          <w:rFonts w:ascii="Palatino Linotype" w:eastAsia="Palatino Linotype" w:hAnsi="Palatino Linotype" w:cs="Palatino Linotype"/>
          <w:b/>
          <w:i/>
        </w:rPr>
        <w:t xml:space="preserve"> </w:t>
      </w:r>
      <w:r>
        <w:rPr>
          <w:rFonts w:ascii="Palatino Linotype" w:eastAsia="Palatino Linotype" w:hAnsi="Palatino Linotype" w:cs="Palatino Linotype"/>
          <w:b/>
          <w:i/>
          <w:sz w:val="22"/>
          <w:szCs w:val="22"/>
        </w:rPr>
        <w:t>de</w:t>
      </w:r>
      <w:r>
        <w:rPr>
          <w:rFonts w:ascii="Palatino Linotype" w:eastAsia="Palatino Linotype" w:hAnsi="Palatino Linotype" w:cs="Palatino Linotype"/>
          <w:b/>
          <w:i/>
        </w:rPr>
        <w:t xml:space="preserve"> </w:t>
      </w:r>
      <w:r>
        <w:rPr>
          <w:rFonts w:ascii="Palatino Linotype" w:eastAsia="Palatino Linotype" w:hAnsi="Palatino Linotype" w:cs="Palatino Linotype"/>
          <w:b/>
          <w:i/>
          <w:sz w:val="22"/>
          <w:szCs w:val="22"/>
        </w:rPr>
        <w:t>Población</w:t>
      </w:r>
      <w:r>
        <w:rPr>
          <w:rFonts w:ascii="Palatino Linotype" w:eastAsia="Palatino Linotype" w:hAnsi="Palatino Linotype" w:cs="Palatino Linotype"/>
          <w:b/>
          <w:i/>
        </w:rPr>
        <w:t xml:space="preserve"> </w:t>
      </w:r>
      <w:r>
        <w:rPr>
          <w:rFonts w:ascii="Palatino Linotype" w:eastAsia="Palatino Linotype" w:hAnsi="Palatino Linotype" w:cs="Palatino Linotype"/>
          <w:b/>
          <w:i/>
          <w:sz w:val="22"/>
          <w:szCs w:val="22"/>
        </w:rPr>
        <w:t>se</w:t>
      </w:r>
      <w:r>
        <w:rPr>
          <w:rFonts w:ascii="Palatino Linotype" w:eastAsia="Palatino Linotype" w:hAnsi="Palatino Linotype" w:cs="Palatino Linotype"/>
          <w:b/>
          <w:i/>
        </w:rPr>
        <w:t xml:space="preserve"> </w:t>
      </w:r>
      <w:r>
        <w:rPr>
          <w:rFonts w:ascii="Palatino Linotype" w:eastAsia="Palatino Linotype" w:hAnsi="Palatino Linotype" w:cs="Palatino Linotype"/>
          <w:b/>
          <w:i/>
          <w:sz w:val="22"/>
          <w:szCs w:val="22"/>
        </w:rPr>
        <w:t>integra</w:t>
      </w:r>
      <w:r>
        <w:rPr>
          <w:rFonts w:ascii="Palatino Linotype" w:eastAsia="Palatino Linotype" w:hAnsi="Palatino Linotype" w:cs="Palatino Linotype"/>
          <w:b/>
          <w:i/>
        </w:rPr>
        <w:t xml:space="preserve"> </w:t>
      </w:r>
      <w:r>
        <w:rPr>
          <w:rFonts w:ascii="Palatino Linotype" w:eastAsia="Palatino Linotype" w:hAnsi="Palatino Linotype" w:cs="Palatino Linotype"/>
          <w:b/>
          <w:i/>
          <w:sz w:val="22"/>
          <w:szCs w:val="22"/>
        </w:rPr>
        <w:t>por</w:t>
      </w:r>
      <w:r>
        <w:rPr>
          <w:rFonts w:ascii="Palatino Linotype" w:eastAsia="Palatino Linotype" w:hAnsi="Palatino Linotype" w:cs="Palatino Linotype"/>
          <w:b/>
          <w:i/>
        </w:rPr>
        <w:t xml:space="preserve"> </w:t>
      </w:r>
      <w:r>
        <w:rPr>
          <w:rFonts w:ascii="Palatino Linotype" w:eastAsia="Palatino Linotype" w:hAnsi="Palatino Linotype" w:cs="Palatino Linotype"/>
          <w:b/>
          <w:i/>
          <w:sz w:val="22"/>
          <w:szCs w:val="22"/>
        </w:rPr>
        <w:t>datos</w:t>
      </w:r>
      <w:r>
        <w:rPr>
          <w:rFonts w:ascii="Palatino Linotype" w:eastAsia="Palatino Linotype" w:hAnsi="Palatino Linotype" w:cs="Palatino Linotype"/>
          <w:b/>
          <w:i/>
        </w:rPr>
        <w:t xml:space="preserve"> </w:t>
      </w:r>
      <w:r>
        <w:rPr>
          <w:rFonts w:ascii="Palatino Linotype" w:eastAsia="Palatino Linotype" w:hAnsi="Palatino Linotype" w:cs="Palatino Linotype"/>
          <w:b/>
          <w:i/>
          <w:sz w:val="22"/>
          <w:szCs w:val="22"/>
        </w:rPr>
        <w:t>personales</w:t>
      </w:r>
      <w:r>
        <w:rPr>
          <w:rFonts w:ascii="Palatino Linotype" w:eastAsia="Palatino Linotype" w:hAnsi="Palatino Linotype" w:cs="Palatino Linotype"/>
          <w:b/>
          <w:i/>
        </w:rPr>
        <w:t xml:space="preserve"> </w:t>
      </w:r>
      <w:r>
        <w:rPr>
          <w:rFonts w:ascii="Palatino Linotype" w:eastAsia="Palatino Linotype" w:hAnsi="Palatino Linotype" w:cs="Palatino Linotype"/>
          <w:b/>
          <w:i/>
          <w:sz w:val="22"/>
          <w:szCs w:val="22"/>
        </w:rPr>
        <w:t>que</w:t>
      </w:r>
      <w:r>
        <w:rPr>
          <w:rFonts w:ascii="Palatino Linotype" w:eastAsia="Palatino Linotype" w:hAnsi="Palatino Linotype" w:cs="Palatino Linotype"/>
          <w:b/>
          <w:i/>
        </w:rPr>
        <w:t xml:space="preserve"> </w:t>
      </w:r>
      <w:r>
        <w:rPr>
          <w:rFonts w:ascii="Palatino Linotype" w:eastAsia="Palatino Linotype" w:hAnsi="Palatino Linotype" w:cs="Palatino Linotype"/>
          <w:b/>
          <w:i/>
          <w:sz w:val="22"/>
          <w:szCs w:val="22"/>
        </w:rPr>
        <w:t>sólo</w:t>
      </w:r>
      <w:r>
        <w:rPr>
          <w:rFonts w:ascii="Palatino Linotype" w:eastAsia="Palatino Linotype" w:hAnsi="Palatino Linotype" w:cs="Palatino Linotype"/>
          <w:b/>
          <w:i/>
        </w:rPr>
        <w:t xml:space="preserve"> </w:t>
      </w:r>
      <w:r>
        <w:rPr>
          <w:rFonts w:ascii="Palatino Linotype" w:eastAsia="Palatino Linotype" w:hAnsi="Palatino Linotype" w:cs="Palatino Linotype"/>
          <w:b/>
          <w:i/>
          <w:sz w:val="22"/>
          <w:szCs w:val="22"/>
        </w:rPr>
        <w:t>conciernen</w:t>
      </w:r>
      <w:r>
        <w:rPr>
          <w:rFonts w:ascii="Palatino Linotype" w:eastAsia="Palatino Linotype" w:hAnsi="Palatino Linotype" w:cs="Palatino Linotype"/>
          <w:b/>
          <w:i/>
        </w:rPr>
        <w:t xml:space="preserve"> </w:t>
      </w:r>
      <w:r>
        <w:rPr>
          <w:rFonts w:ascii="Palatino Linotype" w:eastAsia="Palatino Linotype" w:hAnsi="Palatino Linotype" w:cs="Palatino Linotype"/>
          <w:b/>
          <w:i/>
          <w:sz w:val="22"/>
          <w:szCs w:val="22"/>
        </w:rPr>
        <w:t>al</w:t>
      </w:r>
      <w:r>
        <w:rPr>
          <w:rFonts w:ascii="Palatino Linotype" w:eastAsia="Palatino Linotype" w:hAnsi="Palatino Linotype" w:cs="Palatino Linotype"/>
          <w:b/>
          <w:i/>
        </w:rPr>
        <w:t xml:space="preserve"> </w:t>
      </w:r>
      <w:r>
        <w:rPr>
          <w:rFonts w:ascii="Palatino Linotype" w:eastAsia="Palatino Linotype" w:hAnsi="Palatino Linotype" w:cs="Palatino Linotype"/>
          <w:b/>
          <w:i/>
          <w:sz w:val="22"/>
          <w:szCs w:val="22"/>
        </w:rPr>
        <w:t>particular</w:t>
      </w:r>
      <w:r>
        <w:rPr>
          <w:rFonts w:ascii="Palatino Linotype" w:eastAsia="Palatino Linotype" w:hAnsi="Palatino Linotype" w:cs="Palatino Linotype"/>
          <w:b/>
          <w:i/>
        </w:rPr>
        <w:t xml:space="preserve"> </w:t>
      </w:r>
      <w:r>
        <w:rPr>
          <w:rFonts w:ascii="Palatino Linotype" w:eastAsia="Palatino Linotype" w:hAnsi="Palatino Linotype" w:cs="Palatino Linotype"/>
          <w:b/>
          <w:i/>
          <w:sz w:val="22"/>
          <w:szCs w:val="22"/>
        </w:rPr>
        <w:t>titular</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de</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la</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misma,</w:t>
      </w:r>
      <w:r>
        <w:rPr>
          <w:rFonts w:ascii="Palatino Linotype" w:eastAsia="Palatino Linotype" w:hAnsi="Palatino Linotype" w:cs="Palatino Linotype"/>
          <w:i/>
        </w:rPr>
        <w:t xml:space="preserve"> </w:t>
      </w:r>
      <w:r>
        <w:rPr>
          <w:rFonts w:ascii="Palatino Linotype" w:eastAsia="Palatino Linotype" w:hAnsi="Palatino Linotype" w:cs="Palatino Linotype"/>
          <w:b/>
          <w:i/>
          <w:sz w:val="22"/>
          <w:szCs w:val="22"/>
        </w:rPr>
        <w:t>como</w:t>
      </w:r>
      <w:r>
        <w:rPr>
          <w:rFonts w:ascii="Palatino Linotype" w:eastAsia="Palatino Linotype" w:hAnsi="Palatino Linotype" w:cs="Palatino Linotype"/>
          <w:b/>
          <w:i/>
        </w:rPr>
        <w:t xml:space="preserve"> </w:t>
      </w:r>
      <w:r>
        <w:rPr>
          <w:rFonts w:ascii="Palatino Linotype" w:eastAsia="Palatino Linotype" w:hAnsi="Palatino Linotype" w:cs="Palatino Linotype"/>
          <w:b/>
          <w:i/>
          <w:sz w:val="22"/>
          <w:szCs w:val="22"/>
        </w:rPr>
        <w:t>lo</w:t>
      </w:r>
      <w:r>
        <w:rPr>
          <w:rFonts w:ascii="Palatino Linotype" w:eastAsia="Palatino Linotype" w:hAnsi="Palatino Linotype" w:cs="Palatino Linotype"/>
          <w:b/>
          <w:i/>
        </w:rPr>
        <w:t xml:space="preserve"> </w:t>
      </w:r>
      <w:r>
        <w:rPr>
          <w:rFonts w:ascii="Palatino Linotype" w:eastAsia="Palatino Linotype" w:hAnsi="Palatino Linotype" w:cs="Palatino Linotype"/>
          <w:b/>
          <w:i/>
          <w:sz w:val="22"/>
          <w:szCs w:val="22"/>
        </w:rPr>
        <w:t>son</w:t>
      </w:r>
      <w:r>
        <w:rPr>
          <w:rFonts w:ascii="Palatino Linotype" w:eastAsia="Palatino Linotype" w:hAnsi="Palatino Linotype" w:cs="Palatino Linotype"/>
          <w:b/>
          <w:i/>
        </w:rPr>
        <w:t xml:space="preserve"> </w:t>
      </w:r>
      <w:r>
        <w:rPr>
          <w:rFonts w:ascii="Palatino Linotype" w:eastAsia="Palatino Linotype" w:hAnsi="Palatino Linotype" w:cs="Palatino Linotype"/>
          <w:b/>
          <w:i/>
          <w:sz w:val="22"/>
          <w:szCs w:val="22"/>
        </w:rPr>
        <w:t>su</w:t>
      </w:r>
      <w:r>
        <w:rPr>
          <w:rFonts w:ascii="Palatino Linotype" w:eastAsia="Palatino Linotype" w:hAnsi="Palatino Linotype" w:cs="Palatino Linotype"/>
          <w:b/>
          <w:i/>
        </w:rPr>
        <w:t xml:space="preserve"> </w:t>
      </w:r>
      <w:r>
        <w:rPr>
          <w:rFonts w:ascii="Palatino Linotype" w:eastAsia="Palatino Linotype" w:hAnsi="Palatino Linotype" w:cs="Palatino Linotype"/>
          <w:b/>
          <w:i/>
          <w:sz w:val="22"/>
          <w:szCs w:val="22"/>
        </w:rPr>
        <w:t>nombre,</w:t>
      </w:r>
      <w:r>
        <w:rPr>
          <w:rFonts w:ascii="Palatino Linotype" w:eastAsia="Palatino Linotype" w:hAnsi="Palatino Linotype" w:cs="Palatino Linotype"/>
          <w:b/>
          <w:i/>
        </w:rPr>
        <w:t xml:space="preserve"> </w:t>
      </w:r>
      <w:r>
        <w:rPr>
          <w:rFonts w:ascii="Palatino Linotype" w:eastAsia="Palatino Linotype" w:hAnsi="Palatino Linotype" w:cs="Palatino Linotype"/>
          <w:b/>
          <w:i/>
          <w:sz w:val="22"/>
          <w:szCs w:val="22"/>
        </w:rPr>
        <w:t>apellidos,</w:t>
      </w:r>
      <w:r>
        <w:rPr>
          <w:rFonts w:ascii="Palatino Linotype" w:eastAsia="Palatino Linotype" w:hAnsi="Palatino Linotype" w:cs="Palatino Linotype"/>
          <w:b/>
          <w:i/>
        </w:rPr>
        <w:t xml:space="preserve"> </w:t>
      </w:r>
      <w:r>
        <w:rPr>
          <w:rFonts w:ascii="Palatino Linotype" w:eastAsia="Palatino Linotype" w:hAnsi="Palatino Linotype" w:cs="Palatino Linotype"/>
          <w:b/>
          <w:i/>
          <w:sz w:val="22"/>
          <w:szCs w:val="22"/>
        </w:rPr>
        <w:t>fecha</w:t>
      </w:r>
      <w:r>
        <w:rPr>
          <w:rFonts w:ascii="Palatino Linotype" w:eastAsia="Palatino Linotype" w:hAnsi="Palatino Linotype" w:cs="Palatino Linotype"/>
          <w:b/>
          <w:i/>
        </w:rPr>
        <w:t xml:space="preserve"> </w:t>
      </w:r>
      <w:r>
        <w:rPr>
          <w:rFonts w:ascii="Palatino Linotype" w:eastAsia="Palatino Linotype" w:hAnsi="Palatino Linotype" w:cs="Palatino Linotype"/>
          <w:b/>
          <w:i/>
          <w:sz w:val="22"/>
          <w:szCs w:val="22"/>
        </w:rPr>
        <w:t>de</w:t>
      </w:r>
      <w:r>
        <w:rPr>
          <w:rFonts w:ascii="Palatino Linotype" w:eastAsia="Palatino Linotype" w:hAnsi="Palatino Linotype" w:cs="Palatino Linotype"/>
          <w:b/>
          <w:i/>
        </w:rPr>
        <w:t xml:space="preserve"> </w:t>
      </w:r>
      <w:r>
        <w:rPr>
          <w:rFonts w:ascii="Palatino Linotype" w:eastAsia="Palatino Linotype" w:hAnsi="Palatino Linotype" w:cs="Palatino Linotype"/>
          <w:b/>
          <w:i/>
          <w:sz w:val="22"/>
          <w:szCs w:val="22"/>
        </w:rPr>
        <w:t>nacimiento,</w:t>
      </w:r>
      <w:r>
        <w:rPr>
          <w:rFonts w:ascii="Palatino Linotype" w:eastAsia="Palatino Linotype" w:hAnsi="Palatino Linotype" w:cs="Palatino Linotype"/>
          <w:b/>
          <w:i/>
        </w:rPr>
        <w:t xml:space="preserve"> </w:t>
      </w:r>
      <w:r>
        <w:rPr>
          <w:rFonts w:ascii="Palatino Linotype" w:eastAsia="Palatino Linotype" w:hAnsi="Palatino Linotype" w:cs="Palatino Linotype"/>
          <w:b/>
          <w:i/>
          <w:sz w:val="22"/>
          <w:szCs w:val="22"/>
        </w:rPr>
        <w:t>lugar</w:t>
      </w:r>
      <w:r>
        <w:rPr>
          <w:rFonts w:ascii="Palatino Linotype" w:eastAsia="Palatino Linotype" w:hAnsi="Palatino Linotype" w:cs="Palatino Linotype"/>
          <w:b/>
          <w:i/>
        </w:rPr>
        <w:t xml:space="preserve"> </w:t>
      </w:r>
      <w:r>
        <w:rPr>
          <w:rFonts w:ascii="Palatino Linotype" w:eastAsia="Palatino Linotype" w:hAnsi="Palatino Linotype" w:cs="Palatino Linotype"/>
          <w:b/>
          <w:i/>
          <w:sz w:val="22"/>
          <w:szCs w:val="22"/>
        </w:rPr>
        <w:t>de</w:t>
      </w:r>
      <w:r>
        <w:rPr>
          <w:rFonts w:ascii="Palatino Linotype" w:eastAsia="Palatino Linotype" w:hAnsi="Palatino Linotype" w:cs="Palatino Linotype"/>
          <w:b/>
          <w:i/>
        </w:rPr>
        <w:t xml:space="preserve"> </w:t>
      </w:r>
      <w:r>
        <w:rPr>
          <w:rFonts w:ascii="Palatino Linotype" w:eastAsia="Palatino Linotype" w:hAnsi="Palatino Linotype" w:cs="Palatino Linotype"/>
          <w:b/>
          <w:i/>
          <w:sz w:val="22"/>
          <w:szCs w:val="22"/>
        </w:rPr>
        <w:t>nacimiento</w:t>
      </w:r>
      <w:r>
        <w:rPr>
          <w:rFonts w:ascii="Palatino Linotype" w:eastAsia="Palatino Linotype" w:hAnsi="Palatino Linotype" w:cs="Palatino Linotype"/>
          <w:b/>
          <w:i/>
        </w:rPr>
        <w:t xml:space="preserve"> </w:t>
      </w:r>
      <w:r>
        <w:rPr>
          <w:rFonts w:ascii="Palatino Linotype" w:eastAsia="Palatino Linotype" w:hAnsi="Palatino Linotype" w:cs="Palatino Linotype"/>
          <w:b/>
          <w:i/>
          <w:sz w:val="22"/>
          <w:szCs w:val="22"/>
        </w:rPr>
        <w:t>y</w:t>
      </w:r>
      <w:r>
        <w:rPr>
          <w:rFonts w:ascii="Palatino Linotype" w:eastAsia="Palatino Linotype" w:hAnsi="Palatino Linotype" w:cs="Palatino Linotype"/>
          <w:b/>
          <w:i/>
        </w:rPr>
        <w:t xml:space="preserve"> </w:t>
      </w:r>
      <w:r>
        <w:rPr>
          <w:rFonts w:ascii="Palatino Linotype" w:eastAsia="Palatino Linotype" w:hAnsi="Palatino Linotype" w:cs="Palatino Linotype"/>
          <w:b/>
          <w:i/>
          <w:sz w:val="22"/>
          <w:szCs w:val="22"/>
        </w:rPr>
        <w:t>sexo</w:t>
      </w:r>
      <w:r>
        <w:rPr>
          <w:rFonts w:ascii="Palatino Linotype" w:eastAsia="Palatino Linotype" w:hAnsi="Palatino Linotype" w:cs="Palatino Linotype"/>
          <w:i/>
          <w:sz w:val="22"/>
          <w:szCs w:val="22"/>
        </w:rPr>
        <w:t>.</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Dichos</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datos,</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constituyen</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información</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que</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distingue</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plenamente</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a</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una</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persona</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física</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del</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resto</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de</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los</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habitantes</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del</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país,</w:t>
      </w:r>
      <w:r>
        <w:rPr>
          <w:rFonts w:ascii="Palatino Linotype" w:eastAsia="Palatino Linotype" w:hAnsi="Palatino Linotype" w:cs="Palatino Linotype"/>
          <w:i/>
        </w:rPr>
        <w:t xml:space="preserve"> </w:t>
      </w:r>
      <w:r>
        <w:rPr>
          <w:rFonts w:ascii="Palatino Linotype" w:eastAsia="Palatino Linotype" w:hAnsi="Palatino Linotype" w:cs="Palatino Linotype"/>
          <w:b/>
          <w:i/>
          <w:sz w:val="22"/>
          <w:szCs w:val="22"/>
        </w:rPr>
        <w:t>por</w:t>
      </w:r>
      <w:r>
        <w:rPr>
          <w:rFonts w:ascii="Palatino Linotype" w:eastAsia="Palatino Linotype" w:hAnsi="Palatino Linotype" w:cs="Palatino Linotype"/>
          <w:b/>
          <w:i/>
        </w:rPr>
        <w:t xml:space="preserve"> </w:t>
      </w:r>
      <w:r>
        <w:rPr>
          <w:rFonts w:ascii="Palatino Linotype" w:eastAsia="Palatino Linotype" w:hAnsi="Palatino Linotype" w:cs="Palatino Linotype"/>
          <w:b/>
          <w:i/>
          <w:sz w:val="22"/>
          <w:szCs w:val="22"/>
        </w:rPr>
        <w:t>lo</w:t>
      </w:r>
      <w:r>
        <w:rPr>
          <w:rFonts w:ascii="Palatino Linotype" w:eastAsia="Palatino Linotype" w:hAnsi="Palatino Linotype" w:cs="Palatino Linotype"/>
          <w:b/>
          <w:i/>
        </w:rPr>
        <w:t xml:space="preserve"> </w:t>
      </w:r>
      <w:r>
        <w:rPr>
          <w:rFonts w:ascii="Palatino Linotype" w:eastAsia="Palatino Linotype" w:hAnsi="Palatino Linotype" w:cs="Palatino Linotype"/>
          <w:b/>
          <w:i/>
          <w:sz w:val="22"/>
          <w:szCs w:val="22"/>
        </w:rPr>
        <w:t>que</w:t>
      </w:r>
      <w:r>
        <w:rPr>
          <w:rFonts w:ascii="Palatino Linotype" w:eastAsia="Palatino Linotype" w:hAnsi="Palatino Linotype" w:cs="Palatino Linotype"/>
          <w:b/>
          <w:i/>
        </w:rPr>
        <w:t xml:space="preserve"> </w:t>
      </w:r>
      <w:r>
        <w:rPr>
          <w:rFonts w:ascii="Palatino Linotype" w:eastAsia="Palatino Linotype" w:hAnsi="Palatino Linotype" w:cs="Palatino Linotype"/>
          <w:b/>
          <w:i/>
          <w:sz w:val="22"/>
          <w:szCs w:val="22"/>
        </w:rPr>
        <w:t>la</w:t>
      </w:r>
      <w:r>
        <w:rPr>
          <w:rFonts w:ascii="Palatino Linotype" w:eastAsia="Palatino Linotype" w:hAnsi="Palatino Linotype" w:cs="Palatino Linotype"/>
          <w:b/>
          <w:i/>
        </w:rPr>
        <w:t xml:space="preserve"> </w:t>
      </w:r>
      <w:r>
        <w:rPr>
          <w:rFonts w:ascii="Palatino Linotype" w:eastAsia="Palatino Linotype" w:hAnsi="Palatino Linotype" w:cs="Palatino Linotype"/>
          <w:b/>
          <w:i/>
          <w:sz w:val="22"/>
          <w:szCs w:val="22"/>
        </w:rPr>
        <w:t>CURP</w:t>
      </w:r>
      <w:r>
        <w:rPr>
          <w:rFonts w:ascii="Palatino Linotype" w:eastAsia="Palatino Linotype" w:hAnsi="Palatino Linotype" w:cs="Palatino Linotype"/>
          <w:b/>
          <w:i/>
        </w:rPr>
        <w:t xml:space="preserve"> </w:t>
      </w:r>
      <w:r>
        <w:rPr>
          <w:rFonts w:ascii="Palatino Linotype" w:eastAsia="Palatino Linotype" w:hAnsi="Palatino Linotype" w:cs="Palatino Linotype"/>
          <w:b/>
          <w:i/>
          <w:sz w:val="22"/>
          <w:szCs w:val="22"/>
        </w:rPr>
        <w:t>está</w:t>
      </w:r>
      <w:r>
        <w:rPr>
          <w:rFonts w:ascii="Palatino Linotype" w:eastAsia="Palatino Linotype" w:hAnsi="Palatino Linotype" w:cs="Palatino Linotype"/>
          <w:b/>
          <w:i/>
        </w:rPr>
        <w:t xml:space="preserve"> </w:t>
      </w:r>
      <w:r>
        <w:rPr>
          <w:rFonts w:ascii="Palatino Linotype" w:eastAsia="Palatino Linotype" w:hAnsi="Palatino Linotype" w:cs="Palatino Linotype"/>
          <w:b/>
          <w:i/>
          <w:sz w:val="22"/>
          <w:szCs w:val="22"/>
        </w:rPr>
        <w:t>considerada</w:t>
      </w:r>
      <w:r>
        <w:rPr>
          <w:rFonts w:ascii="Palatino Linotype" w:eastAsia="Palatino Linotype" w:hAnsi="Palatino Linotype" w:cs="Palatino Linotype"/>
          <w:b/>
          <w:i/>
        </w:rPr>
        <w:t xml:space="preserve"> </w:t>
      </w:r>
      <w:r>
        <w:rPr>
          <w:rFonts w:ascii="Palatino Linotype" w:eastAsia="Palatino Linotype" w:hAnsi="Palatino Linotype" w:cs="Palatino Linotype"/>
          <w:b/>
          <w:i/>
          <w:sz w:val="22"/>
          <w:szCs w:val="22"/>
        </w:rPr>
        <w:t>como</w:t>
      </w:r>
      <w:r>
        <w:rPr>
          <w:rFonts w:ascii="Palatino Linotype" w:eastAsia="Palatino Linotype" w:hAnsi="Palatino Linotype" w:cs="Palatino Linotype"/>
          <w:b/>
          <w:i/>
        </w:rPr>
        <w:t xml:space="preserve"> </w:t>
      </w:r>
      <w:r>
        <w:rPr>
          <w:rFonts w:ascii="Palatino Linotype" w:eastAsia="Palatino Linotype" w:hAnsi="Palatino Linotype" w:cs="Palatino Linotype"/>
          <w:b/>
          <w:i/>
          <w:sz w:val="22"/>
          <w:szCs w:val="22"/>
        </w:rPr>
        <w:t>información</w:t>
      </w:r>
      <w:r>
        <w:rPr>
          <w:rFonts w:ascii="Palatino Linotype" w:eastAsia="Palatino Linotype" w:hAnsi="Palatino Linotype" w:cs="Palatino Linotype"/>
          <w:b/>
          <w:i/>
        </w:rPr>
        <w:t xml:space="preserve"> </w:t>
      </w:r>
      <w:r>
        <w:rPr>
          <w:rFonts w:ascii="Palatino Linotype" w:eastAsia="Palatino Linotype" w:hAnsi="Palatino Linotype" w:cs="Palatino Linotype"/>
          <w:b/>
          <w:i/>
          <w:sz w:val="22"/>
          <w:szCs w:val="22"/>
        </w:rPr>
        <w:t>confidencial</w:t>
      </w:r>
      <w:r>
        <w:rPr>
          <w:rFonts w:ascii="Palatino Linotype" w:eastAsia="Palatino Linotype" w:hAnsi="Palatino Linotype" w:cs="Palatino Linotype"/>
          <w:i/>
          <w:sz w:val="22"/>
          <w:szCs w:val="22"/>
        </w:rPr>
        <w:t>.</w:t>
      </w:r>
      <w:r>
        <w:rPr>
          <w:rFonts w:ascii="Palatino Linotype" w:eastAsia="Palatino Linotype" w:hAnsi="Palatino Linotype" w:cs="Palatino Linotype"/>
          <w:i/>
        </w:rPr>
        <w:t xml:space="preserve"> </w:t>
      </w:r>
    </w:p>
    <w:p w:rsidR="00E50BE6" w:rsidRDefault="00E50BE6" w:rsidP="00E50BE6">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Resoluciones:</w:t>
      </w:r>
    </w:p>
    <w:p w:rsidR="00E50BE6" w:rsidRDefault="00E50BE6" w:rsidP="00E50BE6">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RRA</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3995/16.</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Secretaría</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de</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la</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Defensa</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Nacional.</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1</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de</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febrero</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de</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2017.</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Por</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unanimidad.</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Comisionado</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Ponente</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Rosendoevgueni</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Monterrey</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Chepov.</w:t>
      </w:r>
    </w:p>
    <w:p w:rsidR="00E50BE6" w:rsidRDefault="00E50BE6" w:rsidP="00E50BE6">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RRA</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0937/17.</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Senado</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de</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la</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República.</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15</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de</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marzo</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de</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2017.</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Por</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unanimidad.</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Comisionada</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Ponente</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Ximena</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Puente</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de</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la</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Mora.</w:t>
      </w:r>
      <w:r>
        <w:rPr>
          <w:rFonts w:ascii="Palatino Linotype" w:eastAsia="Palatino Linotype" w:hAnsi="Palatino Linotype" w:cs="Palatino Linotype"/>
          <w:i/>
        </w:rPr>
        <w:t xml:space="preserve"> </w:t>
      </w:r>
    </w:p>
    <w:p w:rsidR="00E50BE6" w:rsidRDefault="00E50BE6" w:rsidP="00E50BE6">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RRA</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0478/17.</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Secretaría</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de</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Relaciones</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Exteriores.</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26</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de</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abril</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de</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2017.</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Por</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unanimidad.</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Comisionada</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Ponente</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Areli</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Cano</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Guadiana.”</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(Sic)</w:t>
      </w:r>
    </w:p>
    <w:p w:rsidR="00E50BE6" w:rsidRDefault="00E50BE6" w:rsidP="00E50BE6">
      <w:pPr>
        <w:ind w:left="851" w:right="851"/>
        <w:jc w:val="both"/>
        <w:rPr>
          <w:rFonts w:ascii="Palatino Linotype" w:eastAsia="Palatino Linotype" w:hAnsi="Palatino Linotype" w:cs="Palatino Linotype"/>
          <w:i/>
          <w:sz w:val="22"/>
          <w:szCs w:val="22"/>
        </w:rPr>
      </w:pPr>
    </w:p>
    <w:p w:rsidR="00E50BE6" w:rsidRDefault="00E50BE6" w:rsidP="00E50BE6">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 lo anterior, se desprende que la CURP se encuentra vinculada al nombre y apellidos de la persona, permitiendo identificar fecha y lugar de nacimiento, así como el sexo; datos que únicamente le atañen a su titular, por lo que, ésta constituye un dato personal que concierne a una persona física identificada e identificable en términos de los artículos 2, fracción II de la Ley de Transparencia y Acceso a la Información Pública </w:t>
      </w:r>
      <w:r>
        <w:rPr>
          <w:rFonts w:ascii="Palatino Linotype" w:eastAsia="Palatino Linotype" w:hAnsi="Palatino Linotype" w:cs="Palatino Linotype"/>
        </w:rPr>
        <w:lastRenderedPageBreak/>
        <w:t>del Estado de México y Municipios y 4, fracción XI de la Ley de Protección de Datos Personales en Posesión de Sujetos Obligados del Estado de México y Municipios.</w:t>
      </w:r>
    </w:p>
    <w:p w:rsidR="00E50BE6" w:rsidRDefault="00E50BE6" w:rsidP="00E50BE6">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El domicilio particular, de acuerdo a lo señalado en los artículos 2.3 y 2.5 del Código Civil del Estado de México, el domicilio es un atributo de la personalidad y un derecho de las personas. Este tiene como propósito que una persona pueda establecerse temporal o permanentemente en un lugar determinado, para habitar, establecer su centro de trabajo o negocios; ahora bien, su inclusión en el nombramiento se puede decir que sólo tiene como objetivo brindar elementos que permitan conocer y hacer identificable a la persona que se designa, sin que esta información sea de relevancia para el interés público, así como tampoco tiene relevancia en el ejercicio de atribuciones de los servidores públicos. </w:t>
      </w:r>
    </w:p>
    <w:p w:rsidR="00E50BE6" w:rsidRDefault="00E50BE6" w:rsidP="00E50BE6">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Por lo que la clasificación del domicilio particular, por tratarse de un dato personal confidencial, en términos del artículo 143, fracción I de la Ley de Transparencia y Acceso a la Información Pública del Estado de México y Municipios. </w:t>
      </w:r>
    </w:p>
    <w:p w:rsidR="00E50BE6" w:rsidRDefault="00E50BE6" w:rsidP="00E50BE6">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lo que corresponde a la huella dactilar, la Academia Mexicana de la Lengua y el Diccionario de la Real Academia de la Lengua Española, establecen que la huella dactilar, es la impresión que suele dejar la yema del dedo en un objeto al tocarlo, o la que se obtiene impregnándola previamente en una materia colorante. Por su parte, en el documento electrónico intitulado “Nuevas Tecnologías Biométricas”, publicado por el Instituto Nacional de Ciencias Penales y la Procuraduría General de la República, disponible en </w:t>
      </w:r>
      <w:hyperlink r:id="rId25">
        <w:r>
          <w:rPr>
            <w:rFonts w:ascii="Palatino Linotype" w:eastAsia="Palatino Linotype" w:hAnsi="Palatino Linotype" w:cs="Palatino Linotype"/>
            <w:color w:val="0563C1"/>
            <w:u w:val="single"/>
          </w:rPr>
          <w:t>https://docplayer.es/5455342-Nuevas-tecnologias-biometricas-instituto-</w:t>
        </w:r>
        <w:r>
          <w:rPr>
            <w:rFonts w:ascii="Palatino Linotype" w:eastAsia="Palatino Linotype" w:hAnsi="Palatino Linotype" w:cs="Palatino Linotype"/>
            <w:color w:val="0563C1"/>
            <w:u w:val="single"/>
          </w:rPr>
          <w:lastRenderedPageBreak/>
          <w:t>nacional-de-ciencias-penales-procuraduria-general-de-la-republica-version-1-0.html</w:t>
        </w:r>
      </w:hyperlink>
      <w:r>
        <w:rPr>
          <w:rFonts w:ascii="Palatino Linotype" w:eastAsia="Palatino Linotype" w:hAnsi="Palatino Linotype" w:cs="Palatino Linotype"/>
        </w:rPr>
        <w:t xml:space="preserve">, se indica que existen tres principios fundamentales para la identificación de las huellas dactilares, a saber: </w:t>
      </w:r>
    </w:p>
    <w:p w:rsidR="00E50BE6" w:rsidRDefault="00E50BE6" w:rsidP="00E50BE6">
      <w:pPr>
        <w:spacing w:line="360" w:lineRule="auto"/>
        <w:jc w:val="both"/>
        <w:rPr>
          <w:rFonts w:ascii="Palatino Linotype" w:eastAsia="Palatino Linotype" w:hAnsi="Palatino Linotype" w:cs="Palatino Linotype"/>
        </w:rPr>
      </w:pPr>
    </w:p>
    <w:p w:rsidR="00E50BE6" w:rsidRDefault="00E50BE6" w:rsidP="00E50BE6">
      <w:pPr>
        <w:numPr>
          <w:ilvl w:val="0"/>
          <w:numId w:val="21"/>
        </w:numPr>
        <w:spacing w:line="360" w:lineRule="auto"/>
        <w:ind w:right="474"/>
        <w:jc w:val="both"/>
        <w:rPr>
          <w:rFonts w:ascii="Palatino Linotype" w:eastAsia="Palatino Linotype" w:hAnsi="Palatino Linotype" w:cs="Palatino Linotype"/>
        </w:rPr>
      </w:pPr>
      <w:r>
        <w:rPr>
          <w:rFonts w:ascii="Palatino Linotype" w:eastAsia="Palatino Linotype" w:hAnsi="Palatino Linotype" w:cs="Palatino Linotype"/>
        </w:rPr>
        <w:t xml:space="preserve">Primer principio. La huella es una característica individual. No hay dos huellas con características en las crestas que sean idénticas. </w:t>
      </w:r>
    </w:p>
    <w:p w:rsidR="00E50BE6" w:rsidRDefault="00E50BE6" w:rsidP="00E50BE6">
      <w:pPr>
        <w:spacing w:line="360" w:lineRule="auto"/>
        <w:ind w:right="474"/>
        <w:jc w:val="both"/>
        <w:rPr>
          <w:rFonts w:ascii="Palatino Linotype" w:eastAsia="Palatino Linotype" w:hAnsi="Palatino Linotype" w:cs="Palatino Linotype"/>
        </w:rPr>
      </w:pPr>
    </w:p>
    <w:p w:rsidR="00E50BE6" w:rsidRDefault="00E50BE6" w:rsidP="00E50BE6">
      <w:pPr>
        <w:numPr>
          <w:ilvl w:val="0"/>
          <w:numId w:val="21"/>
        </w:numPr>
        <w:spacing w:line="360" w:lineRule="auto"/>
        <w:ind w:right="474"/>
        <w:jc w:val="both"/>
        <w:rPr>
          <w:rFonts w:ascii="Palatino Linotype" w:eastAsia="Palatino Linotype" w:hAnsi="Palatino Linotype" w:cs="Palatino Linotype"/>
        </w:rPr>
      </w:pPr>
      <w:r>
        <w:rPr>
          <w:rFonts w:ascii="Palatino Linotype" w:eastAsia="Palatino Linotype" w:hAnsi="Palatino Linotype" w:cs="Palatino Linotype"/>
        </w:rPr>
        <w:t xml:space="preserve">Segundo principio. Una huella permanece sin cambios durante toda la vida de un individuo (sin embargo, puede adquirir cicatrices o cualquier otra deformación que impida su identificación clara). </w:t>
      </w:r>
    </w:p>
    <w:p w:rsidR="00E50BE6" w:rsidRDefault="00E50BE6" w:rsidP="00E50BE6">
      <w:pPr>
        <w:spacing w:line="360" w:lineRule="auto"/>
        <w:ind w:right="474"/>
        <w:jc w:val="both"/>
        <w:rPr>
          <w:rFonts w:ascii="Palatino Linotype" w:eastAsia="Palatino Linotype" w:hAnsi="Palatino Linotype" w:cs="Palatino Linotype"/>
        </w:rPr>
      </w:pPr>
    </w:p>
    <w:p w:rsidR="00E50BE6" w:rsidRDefault="00E50BE6" w:rsidP="00E50BE6">
      <w:pPr>
        <w:numPr>
          <w:ilvl w:val="0"/>
          <w:numId w:val="21"/>
        </w:numPr>
        <w:spacing w:line="360" w:lineRule="auto"/>
        <w:ind w:right="474"/>
        <w:jc w:val="both"/>
        <w:rPr>
          <w:rFonts w:ascii="Palatino Linotype" w:eastAsia="Palatino Linotype" w:hAnsi="Palatino Linotype" w:cs="Palatino Linotype"/>
        </w:rPr>
      </w:pPr>
      <w:r>
        <w:rPr>
          <w:rFonts w:ascii="Palatino Linotype" w:eastAsia="Palatino Linotype" w:hAnsi="Palatino Linotype" w:cs="Palatino Linotype"/>
        </w:rPr>
        <w:t xml:space="preserve">Tercer principio. Las huellas tienen patrones que se forman con sus crestas, lo que hace posible clasificarlas sistemáticamente para agilizar las búsquedas. </w:t>
      </w:r>
    </w:p>
    <w:p w:rsidR="00E50BE6" w:rsidRDefault="00E50BE6" w:rsidP="00E50BE6">
      <w:pPr>
        <w:pBdr>
          <w:top w:val="nil"/>
          <w:left w:val="nil"/>
          <w:bottom w:val="nil"/>
          <w:right w:val="nil"/>
          <w:between w:val="nil"/>
        </w:pBdr>
        <w:ind w:left="708"/>
        <w:rPr>
          <w:rFonts w:ascii="Palatino Linotype" w:eastAsia="Palatino Linotype" w:hAnsi="Palatino Linotype" w:cs="Palatino Linotype"/>
          <w:color w:val="000000"/>
          <w:sz w:val="22"/>
          <w:szCs w:val="22"/>
        </w:rPr>
      </w:pPr>
    </w:p>
    <w:p w:rsidR="00E50BE6" w:rsidRDefault="00E50BE6" w:rsidP="00E50BE6">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Conforme a lo expuesto, es indubitable que la huella dactilar es una característica propia de un individuo que permite su reconocimiento. Por tanto, sin duda, se considera que es una característica individual que se utiliza como medio de identificación de las personas y, por tanto, constituye un dato personal, de conformidad con lo establecido en el artículo 143, fracción I de la Ley de la materia.</w:t>
      </w:r>
    </w:p>
    <w:p w:rsidR="00E50BE6" w:rsidRDefault="00E50BE6" w:rsidP="00E50BE6">
      <w:pPr>
        <w:spacing w:line="360" w:lineRule="auto"/>
        <w:jc w:val="both"/>
        <w:rPr>
          <w:rFonts w:ascii="Palatino Linotype" w:eastAsia="Palatino Linotype" w:hAnsi="Palatino Linotype" w:cs="Palatino Linotype"/>
        </w:rPr>
      </w:pPr>
    </w:p>
    <w:p w:rsidR="00E50BE6" w:rsidRDefault="00E50BE6" w:rsidP="00E50BE6">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Ahora bien, no obstante que dicho dato no se haya recolectado mediante escaneo que permita su sistematización y procesamiento electrónico, incluso su recolección en tinta y papel, también permite su escaneo, lo que puede propiciar un mal uno de dicho dato, </w:t>
      </w:r>
      <w:r>
        <w:rPr>
          <w:rFonts w:ascii="Palatino Linotype" w:eastAsia="Palatino Linotype" w:hAnsi="Palatino Linotype" w:cs="Palatino Linotype"/>
        </w:rPr>
        <w:lastRenderedPageBreak/>
        <w:t>sino se aplican las medidas de protección adecuada, tal como lo refiere la Tesis Aislada HUELLA DACTILAR. ES APTA PARA ACREDITAR EL CONSENTIMIENTO EN LA CELEBRACIÓN DE UN CONTRATO.</w:t>
      </w:r>
    </w:p>
    <w:p w:rsidR="00E50BE6" w:rsidRDefault="00E50BE6" w:rsidP="00E50BE6">
      <w:pPr>
        <w:spacing w:line="360" w:lineRule="auto"/>
        <w:jc w:val="both"/>
        <w:rPr>
          <w:rFonts w:ascii="Palatino Linotype" w:eastAsia="Palatino Linotype" w:hAnsi="Palatino Linotype" w:cs="Palatino Linotype"/>
        </w:rPr>
      </w:pPr>
    </w:p>
    <w:p w:rsidR="00E50BE6" w:rsidRDefault="00E50BE6" w:rsidP="00E50BE6">
      <w:pPr>
        <w:ind w:left="567" w:right="567"/>
        <w:jc w:val="both"/>
        <w:rPr>
          <w:rFonts w:ascii="Palatino Linotype" w:eastAsia="Palatino Linotype" w:hAnsi="Palatino Linotype" w:cs="Palatino Linotype"/>
          <w:i/>
        </w:rPr>
      </w:pPr>
      <w:r>
        <w:rPr>
          <w:rFonts w:ascii="Palatino Linotype" w:eastAsia="Palatino Linotype" w:hAnsi="Palatino Linotype" w:cs="Palatino Linotype"/>
          <w:b/>
          <w:i/>
        </w:rPr>
        <w:t>“La huella dactilar es un elemento jurídicamente reconocido para demostrar tanto la individualización de su autor como la manifestación de su voluntad con el contenido de un documento, porque es más idónea para individualizar al sujeto, pues las técnicas dactiloscópicas desarrolladas permiten afirmar que no hay dos personas que posean idénticas huellas dactilares;</w:t>
      </w:r>
      <w:r>
        <w:rPr>
          <w:rFonts w:ascii="Palatino Linotype" w:eastAsia="Palatino Linotype" w:hAnsi="Palatino Linotype" w:cs="Palatino Linotype"/>
          <w:i/>
        </w:rPr>
        <w:t xml:space="preserve"> en cambio, los caracteres de la letra pueden ser imitados y, en algunos casos, podrá resultar difícil al perito decidir sobre la autenticidad de una firma. Como ejemplo de la eficacia de esa función individualizadora se tiene el artículo 76 del Código Civil para el Distrito Federal, que concibe a la huella como una firma útil para identificar a los nacidos en un parto múltiple. Por lo que toca a la función de acreditar la manifestación del consentimiento, el citado código prevé diversos supuestos, como por ejemplo, la solicitud del matrimonio (artículo 97, fracción III, segundo párrafo) y la celebración misma de éste (artículo 103, fracción IX, tercer párrafo). Tratándose de los contratos, la impresión de la huella cumple esa doble función, pues si bien es cierto que dicho código en su artículo 1834 establece como requisito adicional la firma de la persona que intervenga a ruego del autor de la huella, ello ocurre de manera excepcional para los casos en que éste no sepa o no pueda leer ni escribir, pero aun en este caso el conocimiento del contenido del documento y, en consecuencia, la eficacia de la manifestación de la voluntad del autor respecto del contenido del contrato, se asegura con la necesidad de la intervención de la persona que solicite el autor. De esta manera, si en un contrato se encuentran plasmadas huellas atribuidas a una de las partes acompañadas de firmas igualmente atribuidas a él, quedando demostrado que dichas huellas sí corresponden a dicho autor, debe tenerse por acreditado el consentimiento en la celebración del contrato, incluso, con independencia de que la prueba pericial haya determinado la falsificación de las firmas correspondientes, más aún cuando el autor no negó expresamente haber estampado sus huellas en el contrato.(Sic)</w:t>
      </w:r>
    </w:p>
    <w:p w:rsidR="00E50BE6" w:rsidRDefault="00E50BE6" w:rsidP="00E50BE6">
      <w:pPr>
        <w:spacing w:line="360" w:lineRule="auto"/>
        <w:jc w:val="both"/>
        <w:rPr>
          <w:rFonts w:ascii="Palatino Linotype" w:eastAsia="Palatino Linotype" w:hAnsi="Palatino Linotype" w:cs="Palatino Linotype"/>
        </w:rPr>
      </w:pPr>
    </w:p>
    <w:p w:rsidR="00E50BE6" w:rsidRDefault="00E50BE6" w:rsidP="00E50BE6">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 En la actualidad existen sistemas denominados AFIS por sus siglas en inglés </w:t>
      </w:r>
      <w:r>
        <w:rPr>
          <w:rFonts w:ascii="Palatino Linotype" w:eastAsia="Palatino Linotype" w:hAnsi="Palatino Linotype" w:cs="Palatino Linotype"/>
          <w:i/>
        </w:rPr>
        <w:t>Automated Fingerprint Identification System</w:t>
      </w:r>
      <w:r>
        <w:rPr>
          <w:rFonts w:ascii="Palatino Linotype" w:eastAsia="Palatino Linotype" w:hAnsi="Palatino Linotype" w:cs="Palatino Linotype"/>
        </w:rPr>
        <w:t xml:space="preserve"> que son sistemas informáticos que permiten la captura, consulta y comparación automática de huellas dactilares, para la captura y adquisición existen diversas formas de realizarlo y una de ellas es a través de la fotografía de una huella dactilar que se encuentra impresa en un papel, que sólo depende de la calidad de la imagen para su comparación para la individualización del autor por medio de los sistemas AFIS. </w:t>
      </w:r>
    </w:p>
    <w:p w:rsidR="00E50BE6" w:rsidRDefault="00E50BE6" w:rsidP="00E50BE6">
      <w:pPr>
        <w:spacing w:line="360" w:lineRule="auto"/>
        <w:jc w:val="both"/>
        <w:rPr>
          <w:rFonts w:ascii="Palatino Linotype" w:eastAsia="Palatino Linotype" w:hAnsi="Palatino Linotype" w:cs="Palatino Linotype"/>
        </w:rPr>
      </w:pPr>
    </w:p>
    <w:p w:rsidR="00E50BE6" w:rsidRDefault="00E50BE6" w:rsidP="00E50BE6">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términos de la calidad de la imagen se debe observar que en la NOM-151-SCFI-2016 publicada en el Diario Oficial de la Federación el 30 de Marzo de 2017, se determina que la calidad propicia para realizar la digitalización de documentos físicos en formato de imagen es de 200 píxeles por pulgada o superior para representaciones en blanco y negro, color o escala de grises, para garantizar el contenido y la integridad de los documentos digitalizados. Desde esta perspectiva es viable digitalizar la imagen de una huella digital con una calidad mínima para poder ser puesta a disposición de un sistema AFIS por medio de escáneres y multifuncionales de venta al público general de diversas marcas y que pueden proporcionar una resolución de hasta 600 pixeles por pulgada. </w:t>
      </w:r>
    </w:p>
    <w:p w:rsidR="00E50BE6" w:rsidRDefault="00E50BE6" w:rsidP="00E50BE6">
      <w:pPr>
        <w:spacing w:line="360" w:lineRule="auto"/>
        <w:jc w:val="both"/>
        <w:rPr>
          <w:rFonts w:ascii="Palatino Linotype" w:eastAsia="Palatino Linotype" w:hAnsi="Palatino Linotype" w:cs="Palatino Linotype"/>
        </w:rPr>
      </w:pPr>
    </w:p>
    <w:p w:rsidR="00E50BE6" w:rsidRDefault="00E50BE6" w:rsidP="00E50BE6">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conclusión, con el uso de las tecnologías de digitalización e impresión puestas a disposición de público general, es posible realizar la adquisición y reproducción de la huella digital que se encuentra en un documento y adicionalmente se puede sistematizar la comparación y análisis de las digitalizaciones a través de sistemas </w:t>
      </w:r>
      <w:r>
        <w:rPr>
          <w:rFonts w:ascii="Palatino Linotype" w:eastAsia="Palatino Linotype" w:hAnsi="Palatino Linotype" w:cs="Palatino Linotype"/>
        </w:rPr>
        <w:lastRenderedPageBreak/>
        <w:t>especializados para esta finalidad que pueden encontrarse de forma gratuita en internet.</w:t>
      </w:r>
    </w:p>
    <w:p w:rsidR="00E50BE6" w:rsidRDefault="00E50BE6" w:rsidP="00E50BE6">
      <w:pPr>
        <w:spacing w:line="360" w:lineRule="auto"/>
        <w:jc w:val="both"/>
        <w:rPr>
          <w:rFonts w:ascii="Palatino Linotype" w:eastAsia="Palatino Linotype" w:hAnsi="Palatino Linotype" w:cs="Palatino Linotype"/>
        </w:rPr>
      </w:pPr>
    </w:p>
    <w:p w:rsidR="00E50BE6" w:rsidRDefault="00E50BE6" w:rsidP="00E50BE6">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Por lo anterior, la huella dactilar no sólo constituye un dato personal confidencial de carácter biométrico, sino que su tratamiento debe llevarse a cabo a través de medidas de seguridad que garanticen su adecuado tratamiento, por lo que debe ser clasificado como confidencial en términos del artículo 143, fracción I, de la Ley de Transparencia y Acceso a la Información Pública del Estado de México y Municipios.</w:t>
      </w:r>
    </w:p>
    <w:p w:rsidR="000D711D" w:rsidRDefault="000D711D" w:rsidP="000D711D">
      <w:pPr>
        <w:pBdr>
          <w:top w:val="nil"/>
          <w:left w:val="nil"/>
          <w:bottom w:val="nil"/>
          <w:right w:val="nil"/>
          <w:between w:val="nil"/>
        </w:pBdr>
        <w:spacing w:before="240" w:after="240" w:line="360" w:lineRule="auto"/>
        <w:ind w:right="51"/>
        <w:jc w:val="both"/>
        <w:rPr>
          <w:rFonts w:ascii="Palatino Linotype" w:eastAsia="Palatino Linotype" w:hAnsi="Palatino Linotype" w:cs="Palatino Linotype"/>
        </w:rPr>
      </w:pPr>
      <w:r w:rsidRPr="003E4484">
        <w:rPr>
          <w:rFonts w:ascii="Palatino Linotype" w:eastAsia="Palatino Linotype" w:hAnsi="Palatino Linotype" w:cs="Palatino Linotype"/>
        </w:rPr>
        <w:t>El Acuerdo del Comité de Transparencia en términos del artículo 49 fracción VIII, 122, 143 fracciones I y II y 149 de la Ley de Transparencia y Acceso a la Información Pública del Estado de México y Municipios, en el que funde y motive las razones por virtud de las cuales se justifique la clasificación como totalmente confidenciales las documentales con las cuales acredite la fracción I del artículo 32 de la Ley Orgánica Municipal del Estado de México, indicada en el considerando cuarto de la presente resolución.</w:t>
      </w:r>
      <w:r>
        <w:rPr>
          <w:rFonts w:ascii="Palatino Linotype" w:eastAsia="Palatino Linotype" w:hAnsi="Palatino Linotype" w:cs="Palatino Linotype"/>
        </w:rPr>
        <w:t xml:space="preserve"> </w:t>
      </w:r>
    </w:p>
    <w:p w:rsidR="00E50BE6" w:rsidRDefault="00E50BE6" w:rsidP="00E50BE6">
      <w:pPr>
        <w:pBdr>
          <w:top w:val="nil"/>
          <w:left w:val="nil"/>
          <w:bottom w:val="nil"/>
          <w:right w:val="nil"/>
          <w:between w:val="nil"/>
        </w:pBdr>
        <w:spacing w:before="240" w:after="240"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t>En relación a la fracción II, correspondiente con “</w:t>
      </w:r>
      <w:r w:rsidR="000D711D" w:rsidRPr="000D711D">
        <w:rPr>
          <w:rFonts w:ascii="Palatino Linotype" w:eastAsia="Palatino Linotype" w:hAnsi="Palatino Linotype" w:cs="Palatino Linotype"/>
          <w:i/>
        </w:rPr>
        <w:t>No estar inhabilitada o inhabilitado para desempeñar cargo, empleo, o comisión pública</w:t>
      </w:r>
      <w:r>
        <w:rPr>
          <w:rFonts w:ascii="Palatino Linotype" w:eastAsia="Palatino Linotype" w:hAnsi="Palatino Linotype" w:cs="Palatino Linotype"/>
          <w:i/>
        </w:rPr>
        <w:t>”</w:t>
      </w:r>
      <w:r>
        <w:rPr>
          <w:rFonts w:ascii="Palatino Linotype" w:eastAsia="Palatino Linotype" w:hAnsi="Palatino Linotype" w:cs="Palatino Linotype"/>
        </w:rPr>
        <w:t>, debe constar en los expedientes laborales, las respectivas Constancias de No Inhabilitación, emitidas con base en la consulta en el sistema electrónico de la Secretaría de la Contraloría del Gobierno del Estado de México, de conformidad con el artículo 28, último párrafo, de la Ley de Responsabilidades Administrativas del Estado de México y Municipios, el cual se inserta a continuación:</w:t>
      </w:r>
    </w:p>
    <w:p w:rsidR="00E50BE6" w:rsidRDefault="00E50BE6" w:rsidP="00E50BE6">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w:t>
      </w:r>
      <w:r>
        <w:rPr>
          <w:rFonts w:ascii="Palatino Linotype" w:eastAsia="Palatino Linotype" w:hAnsi="Palatino Linotype" w:cs="Palatino Linotype"/>
          <w:b/>
          <w:i/>
          <w:sz w:val="22"/>
          <w:szCs w:val="22"/>
        </w:rPr>
        <w:t>Artículo 28</w:t>
      </w:r>
      <w:r>
        <w:rPr>
          <w:rFonts w:ascii="Palatino Linotype" w:eastAsia="Palatino Linotype" w:hAnsi="Palatino Linotype" w:cs="Palatino Linotype"/>
          <w:i/>
          <w:sz w:val="22"/>
          <w:szCs w:val="22"/>
        </w:rPr>
        <w:t xml:space="preserve">. </w:t>
      </w:r>
    </w:p>
    <w:p w:rsidR="00E50BE6" w:rsidRDefault="00E50BE6" w:rsidP="00E50BE6">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E50BE6" w:rsidRDefault="00E50BE6" w:rsidP="00E50BE6">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u w:val="single"/>
        </w:rPr>
        <w:t>Los entes públicos, previo al nombramiento, designación o contratación de quienes pretendan ingresar al servicio público, consultarán los sistemas nacional, estatal y municipal de servidores públicos</w:t>
      </w:r>
      <w:r>
        <w:rPr>
          <w:rFonts w:ascii="Palatino Linotype" w:eastAsia="Palatino Linotype" w:hAnsi="Palatino Linotype" w:cs="Palatino Linotype"/>
          <w:i/>
          <w:sz w:val="22"/>
          <w:szCs w:val="22"/>
        </w:rPr>
        <w:t xml:space="preserve"> y particulares sancionados de la plataforma digital nacional y estatal, </w:t>
      </w:r>
      <w:r>
        <w:rPr>
          <w:rFonts w:ascii="Palatino Linotype" w:eastAsia="Palatino Linotype" w:hAnsi="Palatino Linotype" w:cs="Palatino Linotype"/>
          <w:b/>
          <w:i/>
          <w:sz w:val="22"/>
          <w:szCs w:val="22"/>
          <w:u w:val="single"/>
        </w:rPr>
        <w:t>con el fin de verificar si existen inhabilitaciones de dichas personas</w:t>
      </w:r>
      <w:r>
        <w:rPr>
          <w:rFonts w:ascii="Palatino Linotype" w:eastAsia="Palatino Linotype" w:hAnsi="Palatino Linotype" w:cs="Palatino Linotype"/>
          <w:i/>
          <w:sz w:val="22"/>
          <w:szCs w:val="22"/>
        </w:rPr>
        <w:t>, de no existir se expedirá la constancia correspondiente.” (Sic)</w:t>
      </w:r>
    </w:p>
    <w:p w:rsidR="00E50BE6" w:rsidRDefault="00E50BE6" w:rsidP="00E50BE6">
      <w:pPr>
        <w:pBdr>
          <w:top w:val="nil"/>
          <w:left w:val="nil"/>
          <w:bottom w:val="nil"/>
          <w:right w:val="nil"/>
          <w:between w:val="nil"/>
        </w:pBdr>
        <w:spacing w:before="240" w:after="240" w:line="360" w:lineRule="auto"/>
        <w:ind w:right="51"/>
        <w:jc w:val="both"/>
        <w:rPr>
          <w:rFonts w:ascii="Palatino Linotype" w:eastAsia="Palatino Linotype" w:hAnsi="Palatino Linotype" w:cs="Palatino Linotype"/>
        </w:rPr>
      </w:pPr>
      <w:r w:rsidRPr="003E4484">
        <w:rPr>
          <w:rFonts w:ascii="Palatino Linotype" w:eastAsia="Palatino Linotype" w:hAnsi="Palatino Linotype" w:cs="Palatino Linotype"/>
        </w:rPr>
        <w:t xml:space="preserve">Razones por las cuales lo procedente es ordenar la constancias de no inhabilitación del Director </w:t>
      </w:r>
      <w:r w:rsidR="000D711D" w:rsidRPr="003E4484">
        <w:rPr>
          <w:rFonts w:ascii="Palatino Linotype" w:eastAsia="Palatino Linotype" w:hAnsi="Palatino Linotype" w:cs="Palatino Linotype"/>
        </w:rPr>
        <w:t>del Instituto Munici</w:t>
      </w:r>
      <w:r w:rsidR="004D6502">
        <w:rPr>
          <w:rFonts w:ascii="Palatino Linotype" w:eastAsia="Palatino Linotype" w:hAnsi="Palatino Linotype" w:cs="Palatino Linotype"/>
        </w:rPr>
        <w:t xml:space="preserve">pal de Cultura Física y Deporte, </w:t>
      </w:r>
      <w:r w:rsidRPr="003E4484">
        <w:rPr>
          <w:rFonts w:ascii="Palatino Linotype" w:eastAsia="Palatino Linotype" w:hAnsi="Palatino Linotype" w:cs="Palatino Linotype"/>
        </w:rPr>
        <w:t>en versión pública de acuerdo a lo señalado por el considerando quinto del presente fallo.</w:t>
      </w:r>
      <w:r>
        <w:rPr>
          <w:rFonts w:ascii="Palatino Linotype" w:eastAsia="Palatino Linotype" w:hAnsi="Palatino Linotype" w:cs="Palatino Linotype"/>
        </w:rPr>
        <w:t xml:space="preserve"> </w:t>
      </w:r>
    </w:p>
    <w:p w:rsidR="00C94DE7" w:rsidRDefault="00E50BE6" w:rsidP="00E50BE6">
      <w:pPr>
        <w:pBdr>
          <w:top w:val="nil"/>
          <w:left w:val="nil"/>
          <w:bottom w:val="nil"/>
          <w:right w:val="nil"/>
          <w:between w:val="nil"/>
        </w:pBdr>
        <w:spacing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t xml:space="preserve">En cuanto a la fracción III, afín con </w:t>
      </w:r>
      <w:r w:rsidR="00C94DE7">
        <w:rPr>
          <w:rFonts w:ascii="Palatino Linotype" w:eastAsia="Palatino Linotype" w:hAnsi="Palatino Linotype" w:cs="Palatino Linotype"/>
        </w:rPr>
        <w:t>“</w:t>
      </w:r>
      <w:r w:rsidR="00C94DE7" w:rsidRPr="00C94DE7">
        <w:rPr>
          <w:rFonts w:ascii="Palatino Linotype" w:eastAsia="Palatino Linotype" w:hAnsi="Palatino Linotype" w:cs="Palatino Linotype"/>
          <w:i/>
        </w:rPr>
        <w:t>Contar con título profesional o acreditar experiencia mínima de un año en la materia, ante la o el Presidente o el Ayuntamiento, cuando sea el caso, para el desempeño de los cargos que así lo requieran</w:t>
      </w:r>
      <w:r w:rsidR="00C94DE7" w:rsidRPr="00C94DE7">
        <w:rPr>
          <w:rFonts w:ascii="Palatino Linotype" w:eastAsia="Palatino Linotype" w:hAnsi="Palatino Linotype" w:cs="Palatino Linotype"/>
        </w:rPr>
        <w:t xml:space="preserve">”, </w:t>
      </w:r>
      <w:r w:rsidR="00C94DE7">
        <w:rPr>
          <w:rFonts w:ascii="Palatino Linotype" w:eastAsia="Palatino Linotype" w:hAnsi="Palatino Linotype" w:cs="Palatino Linotype"/>
        </w:rPr>
        <w:t xml:space="preserve">deberá estarse a lo señalado en cuanto </w:t>
      </w:r>
      <w:r w:rsidR="003E4484">
        <w:rPr>
          <w:rFonts w:ascii="Palatino Linotype" w:eastAsia="Palatino Linotype" w:hAnsi="Palatino Linotype" w:cs="Palatino Linotype"/>
        </w:rPr>
        <w:t>al n</w:t>
      </w:r>
      <w:r w:rsidR="00C94DE7">
        <w:rPr>
          <w:rFonts w:ascii="Palatino Linotype" w:eastAsia="Palatino Linotype" w:hAnsi="Palatino Linotype" w:cs="Palatino Linotype"/>
        </w:rPr>
        <w:t>ivel de escolaridad, copia de ultimo certificado de estudios y ficha curricular, del presente considerando.</w:t>
      </w:r>
    </w:p>
    <w:p w:rsidR="00C94DE7" w:rsidRDefault="00C94DE7" w:rsidP="00E50BE6">
      <w:pPr>
        <w:pBdr>
          <w:top w:val="nil"/>
          <w:left w:val="nil"/>
          <w:bottom w:val="nil"/>
          <w:right w:val="nil"/>
          <w:between w:val="nil"/>
        </w:pBdr>
        <w:spacing w:line="360" w:lineRule="auto"/>
        <w:ind w:right="51"/>
        <w:jc w:val="both"/>
        <w:rPr>
          <w:rFonts w:ascii="Palatino Linotype" w:eastAsia="Palatino Linotype" w:hAnsi="Palatino Linotype" w:cs="Palatino Linotype"/>
        </w:rPr>
      </w:pPr>
    </w:p>
    <w:p w:rsidR="00C94DE7" w:rsidRDefault="00C94DE7" w:rsidP="00C94DE7">
      <w:pPr>
        <w:pBdr>
          <w:top w:val="nil"/>
          <w:left w:val="nil"/>
          <w:bottom w:val="nil"/>
          <w:right w:val="nil"/>
          <w:between w:val="nil"/>
        </w:pBdr>
        <w:spacing w:line="360" w:lineRule="auto"/>
        <w:ind w:right="51"/>
        <w:jc w:val="both"/>
        <w:rPr>
          <w:rFonts w:ascii="Palatino Linotype" w:eastAsia="Palatino Linotype" w:hAnsi="Palatino Linotype" w:cs="Palatino Linotype"/>
          <w:i/>
          <w:color w:val="000000"/>
        </w:rPr>
      </w:pPr>
      <w:r>
        <w:rPr>
          <w:rFonts w:ascii="Palatino Linotype" w:eastAsia="Palatino Linotype" w:hAnsi="Palatino Linotype" w:cs="Palatino Linotype"/>
        </w:rPr>
        <w:t xml:space="preserve">En cuanto a la fracción IV, </w:t>
      </w:r>
      <w:r>
        <w:rPr>
          <w:rFonts w:ascii="Palatino Linotype" w:eastAsia="Palatino Linotype" w:hAnsi="Palatino Linotype" w:cs="Palatino Linotype"/>
          <w:color w:val="000000"/>
        </w:rPr>
        <w:t>conexa a “</w:t>
      </w:r>
      <w:r w:rsidRPr="00C94DE7">
        <w:rPr>
          <w:rFonts w:ascii="Palatino Linotype" w:eastAsia="Palatino Linotype" w:hAnsi="Palatino Linotype" w:cs="Palatino Linotype"/>
          <w:i/>
          <w:color w:val="000000"/>
        </w:rPr>
        <w:t>Contar con certificación de competencia laboral en la materia del cargo que se desempeñará, expedida por institución con reconocimiento de validez oficial. Este requisito deberá acreditarse dentro de los seis meses siguientes a la fec</w:t>
      </w:r>
      <w:r>
        <w:rPr>
          <w:rFonts w:ascii="Palatino Linotype" w:eastAsia="Palatino Linotype" w:hAnsi="Palatino Linotype" w:cs="Palatino Linotype"/>
          <w:i/>
          <w:color w:val="000000"/>
        </w:rPr>
        <w:t xml:space="preserve">ha en que inicien sus funciones. </w:t>
      </w:r>
    </w:p>
    <w:p w:rsidR="00C94DE7" w:rsidRDefault="00C94DE7" w:rsidP="00C94DE7">
      <w:pPr>
        <w:pBdr>
          <w:top w:val="nil"/>
          <w:left w:val="nil"/>
          <w:bottom w:val="nil"/>
          <w:right w:val="nil"/>
          <w:between w:val="nil"/>
        </w:pBdr>
        <w:spacing w:line="360" w:lineRule="auto"/>
        <w:ind w:right="51"/>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w:t>
      </w:r>
    </w:p>
    <w:p w:rsidR="00C94DE7" w:rsidRDefault="00C94DE7" w:rsidP="00C94DE7">
      <w:pPr>
        <w:pBdr>
          <w:top w:val="nil"/>
          <w:left w:val="nil"/>
          <w:bottom w:val="nil"/>
          <w:right w:val="nil"/>
          <w:between w:val="nil"/>
        </w:pBdr>
        <w:spacing w:line="360" w:lineRule="auto"/>
        <w:ind w:right="51"/>
        <w:jc w:val="both"/>
        <w:rPr>
          <w:rFonts w:ascii="Palatino Linotype" w:eastAsia="Palatino Linotype" w:hAnsi="Palatino Linotype" w:cs="Palatino Linotype"/>
          <w:i/>
          <w:color w:val="000000"/>
        </w:rPr>
      </w:pPr>
      <w:r w:rsidRPr="00C94DE7">
        <w:rPr>
          <w:rFonts w:ascii="Palatino Linotype" w:eastAsia="Palatino Linotype" w:hAnsi="Palatino Linotype" w:cs="Palatino Linotype"/>
          <w:i/>
          <w:color w:val="000000"/>
        </w:rPr>
        <w:t xml:space="preserve">Vencido el plazo a que se refiere la fracción IV, la o el Presidente Municipal informará al Cabildo sobre el cumplimiento de dicha certificación laboral para que, en su caso, el Ayuntamiento tome </w:t>
      </w:r>
      <w:r w:rsidRPr="00C94DE7">
        <w:rPr>
          <w:rFonts w:ascii="Palatino Linotype" w:eastAsia="Palatino Linotype" w:hAnsi="Palatino Linotype" w:cs="Palatino Linotype"/>
          <w:i/>
          <w:color w:val="000000"/>
        </w:rPr>
        <w:lastRenderedPageBreak/>
        <w:t>las medidas correspondientes respecto de aquellos servidores públicos que no hubiesen cumplido</w:t>
      </w:r>
      <w:r>
        <w:rPr>
          <w:rFonts w:ascii="Palatino Linotype" w:eastAsia="Palatino Linotype" w:hAnsi="Palatino Linotype" w:cs="Palatino Linotype"/>
          <w:i/>
          <w:color w:val="000000"/>
        </w:rPr>
        <w:t>” (Sic)</w:t>
      </w:r>
    </w:p>
    <w:p w:rsidR="00C94DE7" w:rsidRDefault="00C94DE7" w:rsidP="00C94DE7">
      <w:pPr>
        <w:spacing w:before="240" w:after="240" w:line="360" w:lineRule="auto"/>
        <w:jc w:val="both"/>
        <w:rPr>
          <w:rFonts w:ascii="Palatino Linotype" w:eastAsia="Palatino Linotype" w:hAnsi="Palatino Linotype" w:cs="Palatino Linotype"/>
          <w:color w:val="000000"/>
        </w:rPr>
      </w:pPr>
      <w:r w:rsidRPr="007D0014">
        <w:rPr>
          <w:rFonts w:ascii="Palatino Linotype" w:eastAsia="Palatino Linotype" w:hAnsi="Palatino Linotype" w:cs="Palatino Linotype"/>
          <w:color w:val="000000"/>
        </w:rPr>
        <w:t xml:space="preserve">De lo anterior se advierte que </w:t>
      </w:r>
      <w:r w:rsidR="007D0014" w:rsidRPr="007D0014">
        <w:rPr>
          <w:rFonts w:ascii="Palatino Linotype" w:eastAsia="Palatino Linotype" w:hAnsi="Palatino Linotype" w:cs="Palatino Linotype"/>
          <w:color w:val="000000"/>
        </w:rPr>
        <w:t xml:space="preserve">los Titulares de las Áreas </w:t>
      </w:r>
      <w:r w:rsidR="007D0014">
        <w:rPr>
          <w:rFonts w:ascii="Palatino Linotype" w:eastAsia="Palatino Linotype" w:hAnsi="Palatino Linotype" w:cs="Palatino Linotype"/>
          <w:color w:val="000000"/>
        </w:rPr>
        <w:t xml:space="preserve">de los organismos auxiliares, </w:t>
      </w:r>
      <w:r w:rsidR="007D0014" w:rsidRPr="007D0014">
        <w:rPr>
          <w:rFonts w:ascii="Palatino Linotype" w:eastAsia="Palatino Linotype" w:hAnsi="Palatino Linotype" w:cs="Palatino Linotype"/>
          <w:color w:val="000000"/>
        </w:rPr>
        <w:t>en este caso el Director del IMCUFIDE</w:t>
      </w:r>
      <w:r w:rsidR="007D0014">
        <w:rPr>
          <w:rFonts w:ascii="Palatino Linotype" w:eastAsia="Palatino Linotype" w:hAnsi="Palatino Linotype" w:cs="Palatino Linotype"/>
          <w:color w:val="000000"/>
        </w:rPr>
        <w:t>, debe con</w:t>
      </w:r>
      <w:r w:rsidR="007D0014" w:rsidRPr="007D0014">
        <w:rPr>
          <w:rFonts w:ascii="Palatino Linotype" w:eastAsia="Palatino Linotype" w:hAnsi="Palatino Linotype" w:cs="Palatino Linotype"/>
          <w:color w:val="000000"/>
        </w:rPr>
        <w:t xml:space="preserve">tar con una </w:t>
      </w:r>
      <w:r w:rsidRPr="007D0014">
        <w:rPr>
          <w:rFonts w:ascii="Palatino Linotype" w:eastAsia="Palatino Linotype" w:hAnsi="Palatino Linotype" w:cs="Palatino Linotype"/>
          <w:color w:val="000000"/>
        </w:rPr>
        <w:t>certificación de co</w:t>
      </w:r>
      <w:r w:rsidR="007D0014" w:rsidRPr="007D0014">
        <w:rPr>
          <w:rFonts w:ascii="Palatino Linotype" w:eastAsia="Palatino Linotype" w:hAnsi="Palatino Linotype" w:cs="Palatino Linotype"/>
          <w:color w:val="000000"/>
        </w:rPr>
        <w:t xml:space="preserve">mpetencia laboral en la materia; sin embargo, </w:t>
      </w:r>
      <w:r w:rsidR="007D0014">
        <w:rPr>
          <w:rFonts w:ascii="Palatino Linotype" w:eastAsia="Palatino Linotype" w:hAnsi="Palatino Linotype" w:cs="Palatino Linotype"/>
          <w:color w:val="000000"/>
        </w:rPr>
        <w:t xml:space="preserve">como </w:t>
      </w:r>
      <w:r>
        <w:rPr>
          <w:rFonts w:ascii="Palatino Linotype" w:eastAsia="Palatino Linotype" w:hAnsi="Palatino Linotype" w:cs="Palatino Linotype"/>
          <w:color w:val="000000"/>
        </w:rPr>
        <w:t xml:space="preserve">se desprende </w:t>
      </w:r>
      <w:r w:rsidR="00333EDB">
        <w:rPr>
          <w:rFonts w:ascii="Palatino Linotype" w:eastAsia="Palatino Linotype" w:hAnsi="Palatino Linotype" w:cs="Palatino Linotype"/>
          <w:color w:val="000000"/>
        </w:rPr>
        <w:t>de la fracción anterior</w:t>
      </w:r>
      <w:r>
        <w:rPr>
          <w:rFonts w:ascii="Palatino Linotype" w:eastAsia="Palatino Linotype" w:hAnsi="Palatino Linotype" w:cs="Palatino Linotype"/>
          <w:color w:val="000000"/>
        </w:rPr>
        <w:t xml:space="preserve">, </w:t>
      </w:r>
      <w:r w:rsidR="007D0014">
        <w:rPr>
          <w:rFonts w:ascii="Palatino Linotype" w:eastAsia="Palatino Linotype" w:hAnsi="Palatino Linotype" w:cs="Palatino Linotype"/>
          <w:color w:val="000000"/>
        </w:rPr>
        <w:t xml:space="preserve">la certificación </w:t>
      </w:r>
      <w:r>
        <w:rPr>
          <w:rFonts w:ascii="Palatino Linotype" w:eastAsia="Palatino Linotype" w:hAnsi="Palatino Linotype" w:cs="Palatino Linotype"/>
          <w:color w:val="000000"/>
        </w:rPr>
        <w:t>deberá expedirse dentro del periodo de seis meses posterior al inicio de sus funciones, es decir</w:t>
      </w:r>
      <w:r w:rsidR="007D0014">
        <w:rPr>
          <w:rFonts w:ascii="Palatino Linotype" w:eastAsia="Palatino Linotype" w:hAnsi="Palatino Linotype" w:cs="Palatino Linotype"/>
          <w:color w:val="000000"/>
        </w:rPr>
        <w:t>,</w:t>
      </w:r>
      <w:r>
        <w:rPr>
          <w:rFonts w:ascii="Palatino Linotype" w:eastAsia="Palatino Linotype" w:hAnsi="Palatino Linotype" w:cs="Palatino Linotype"/>
          <w:color w:val="000000"/>
        </w:rPr>
        <w:t xml:space="preserve"> que los nuevos servidores públicos cuentan con seis meses para certificarse. </w:t>
      </w:r>
    </w:p>
    <w:p w:rsidR="00C94DE7" w:rsidRDefault="00C94DE7" w:rsidP="00C94DE7">
      <w:pP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En ese sentido, es de recordar que a través de la Comisión Certificadora de Competencia Laboral de los Servidores Públicos del Estado de México (COCERTEM) que el IHAEM certifica a los servidores públicos mencionados con anterioridad, para ello es importante mencionar que la certificación de competencia laboral requerida es el proceso mediante el cual un organismo acreditado, reconoce que una persona ha demostrado su competencia, para desempeñar una función productiva determinada, con base en la Norma Institucional de Competencia Laboral (NICL) aprobada, dicha norma describe lo que una persona es competente de saber y hacer en su función laboral</w:t>
      </w:r>
      <w:r>
        <w:rPr>
          <w:rFonts w:ascii="Palatino Linotype" w:eastAsia="Palatino Linotype" w:hAnsi="Palatino Linotype" w:cs="Palatino Linotype"/>
          <w:color w:val="000000"/>
          <w:vertAlign w:val="superscript"/>
        </w:rPr>
        <w:footnoteReference w:id="4"/>
      </w:r>
      <w:r>
        <w:rPr>
          <w:rFonts w:ascii="Palatino Linotype" w:eastAsia="Palatino Linotype" w:hAnsi="Palatino Linotype" w:cs="Palatino Linotype"/>
          <w:color w:val="000000"/>
        </w:rPr>
        <w:t xml:space="preserve">. </w:t>
      </w:r>
    </w:p>
    <w:p w:rsidR="00C94DE7" w:rsidRDefault="00C94DE7" w:rsidP="00C94DE7">
      <w:pP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Para al fin, la COCERTEM desarrolla planes de evaluación con los candidatos para establecer la fecha y hora en que se llevará a cabo el proceso de evaluación, indicándole los derechos y obligaciones correspondientes; además la evaluación se hace de tres </w:t>
      </w:r>
      <w:r>
        <w:rPr>
          <w:rFonts w:ascii="Palatino Linotype" w:eastAsia="Palatino Linotype" w:hAnsi="Palatino Linotype" w:cs="Palatino Linotype"/>
          <w:color w:val="000000"/>
        </w:rPr>
        <w:lastRenderedPageBreak/>
        <w:t>tipos: evaluación de conocimientos, desempeño y productos; el primero de ellos se trata de un cuestionario que permite evaluar los conocimientos adquiridos, en la segunda fase se aplica una guía de observación que permite evaluar las habilidades, aptitudes y destrezas de un candidato para desempeñar alguna función productiva y en la tercera se aplica una lista de cotejo que permite evaluar los elementos que deben contener los papeles de trabajo establecidos en una Norma Institucional de Competencia Laboral, con la finalidad de obtener un certificado o documento emitido por la Comisión en el cual se manifiesta la competencia de una persona para desempeñar una función productiva, por cumplir los requisitos de una o algunas Normas de Competencia Laboral.</w:t>
      </w:r>
    </w:p>
    <w:p w:rsidR="00C94DE7" w:rsidRDefault="007D0014" w:rsidP="00C94DE7">
      <w:pP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noProof/>
          <w:color w:val="000000"/>
          <w:lang w:val="es-MX" w:eastAsia="es-MX"/>
        </w:rPr>
        <mc:AlternateContent>
          <mc:Choice Requires="wps">
            <w:drawing>
              <wp:anchor distT="0" distB="0" distL="114300" distR="114300" simplePos="0" relativeHeight="251676672" behindDoc="0" locked="0" layoutInCell="1" allowOverlap="1">
                <wp:simplePos x="0" y="0"/>
                <wp:positionH relativeFrom="column">
                  <wp:posOffset>100965</wp:posOffset>
                </wp:positionH>
                <wp:positionV relativeFrom="paragraph">
                  <wp:posOffset>1276350</wp:posOffset>
                </wp:positionV>
                <wp:extent cx="5645150" cy="2527300"/>
                <wp:effectExtent l="0" t="0" r="31750" b="25400"/>
                <wp:wrapNone/>
                <wp:docPr id="2" name="Conector recto 2"/>
                <wp:cNvGraphicFramePr/>
                <a:graphic xmlns:a="http://schemas.openxmlformats.org/drawingml/2006/main">
                  <a:graphicData uri="http://schemas.microsoft.com/office/word/2010/wordprocessingShape">
                    <wps:wsp>
                      <wps:cNvCnPr/>
                      <wps:spPr>
                        <a:xfrm>
                          <a:off x="0" y="0"/>
                          <a:ext cx="5645150" cy="25273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w16se="http://schemas.microsoft.com/office/word/2015/wordml/symex">
            <w:pict>
              <v:line w14:anchorId="004454C4" id="Conector recto 2" o:spid="_x0000_s1026" style="position:absolute;z-index:251676672;visibility:visible;mso-wrap-style:square;mso-wrap-distance-left:9pt;mso-wrap-distance-top:0;mso-wrap-distance-right:9pt;mso-wrap-distance-bottom:0;mso-position-horizontal:absolute;mso-position-horizontal-relative:text;mso-position-vertical:absolute;mso-position-vertical-relative:text" from="7.95pt,100.5pt" to="452.45pt,2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" strokecolor="black [3200]" strokeweight=".5pt">
                <v:stroke joinstyle="miter"/>
              </v:line>
            </w:pict>
          </mc:Fallback>
        </mc:AlternateContent>
      </w:r>
      <w:r w:rsidR="00C94DE7">
        <w:rPr>
          <w:rFonts w:ascii="Palatino Linotype" w:eastAsia="Palatino Linotype" w:hAnsi="Palatino Linotype" w:cs="Palatino Linotype"/>
          <w:color w:val="000000"/>
        </w:rPr>
        <w:t xml:space="preserve">Para tales efectos, la COCERTEM ha desarrollado un calendario de evaluaciones aplicable para </w:t>
      </w:r>
      <w:r>
        <w:rPr>
          <w:rFonts w:ascii="Palatino Linotype" w:eastAsia="Palatino Linotype" w:hAnsi="Palatino Linotype" w:cs="Palatino Linotype"/>
          <w:color w:val="000000"/>
        </w:rPr>
        <w:t>el mes de febrero</w:t>
      </w:r>
      <w:r w:rsidR="00C94DE7">
        <w:rPr>
          <w:rFonts w:ascii="Palatino Linotype" w:eastAsia="Palatino Linotype" w:hAnsi="Palatino Linotype" w:cs="Palatino Linotype"/>
          <w:color w:val="000000"/>
        </w:rPr>
        <w:t xml:space="preserve"> de dos mil veintidós, para que los nuevos servidores públicos obtengan la certificación correspondiente, por ello a manera de referencia se toma el siguiente extracto del calendario.</w:t>
      </w:r>
    </w:p>
    <w:p w:rsidR="007D0014" w:rsidRPr="007D0014" w:rsidRDefault="007D0014" w:rsidP="00C94DE7">
      <w:pPr>
        <w:spacing w:before="240" w:after="240" w:line="360" w:lineRule="auto"/>
        <w:jc w:val="both"/>
        <w:rPr>
          <w:noProof/>
          <w:lang w:val="es-MX" w:eastAsia="en-US"/>
        </w:rPr>
      </w:pPr>
    </w:p>
    <w:p w:rsidR="00C94DE7" w:rsidRDefault="007D0014" w:rsidP="00C94DE7">
      <w:pPr>
        <w:spacing w:before="240" w:after="240" w:line="360" w:lineRule="auto"/>
        <w:jc w:val="both"/>
        <w:rPr>
          <w:rFonts w:ascii="Palatino Linotype" w:eastAsia="Palatino Linotype" w:hAnsi="Palatino Linotype" w:cs="Palatino Linotype"/>
          <w:color w:val="000000"/>
        </w:rPr>
      </w:pPr>
      <w:r>
        <w:rPr>
          <w:noProof/>
          <w:lang w:val="es-MX" w:eastAsia="es-MX"/>
        </w:rPr>
        <w:lastRenderedPageBreak/>
        <w:drawing>
          <wp:inline distT="0" distB="0" distL="0" distR="0" wp14:anchorId="28C991C5" wp14:editId="3A456C24">
            <wp:extent cx="5632450" cy="2845435"/>
            <wp:effectExtent l="0" t="0" r="635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43320" t="12154" r="18100"/>
                    <a:stretch/>
                  </pic:blipFill>
                  <pic:spPr bwMode="auto">
                    <a:xfrm>
                      <a:off x="0" y="0"/>
                      <a:ext cx="5632450" cy="2845435"/>
                    </a:xfrm>
                    <a:prstGeom prst="rect">
                      <a:avLst/>
                    </a:prstGeom>
                    <a:ln>
                      <a:noFill/>
                    </a:ln>
                    <a:extLst>
                      <a:ext uri="{53640926-AAD7-44D8-BBD7-CCE9431645EC}">
                        <a14:shadowObscured xmlns:a14="http://schemas.microsoft.com/office/drawing/2010/main"/>
                      </a:ext>
                    </a:extLst>
                  </pic:spPr>
                </pic:pic>
              </a:graphicData>
            </a:graphic>
          </wp:inline>
        </w:drawing>
      </w:r>
    </w:p>
    <w:p w:rsidR="00A6601D" w:rsidRDefault="00C94DE7" w:rsidP="00C94DE7">
      <w:pPr>
        <w:spacing w:before="240" w:after="240" w:line="360" w:lineRule="auto"/>
        <w:jc w:val="both"/>
        <w:rPr>
          <w:rFonts w:ascii="Palatino Linotype" w:eastAsia="Palatino Linotype" w:hAnsi="Palatino Linotype" w:cs="Palatino Linotype"/>
          <w:color w:val="FF0000"/>
        </w:rPr>
      </w:pPr>
      <w:r>
        <w:rPr>
          <w:rFonts w:ascii="Palatino Linotype" w:eastAsia="Palatino Linotype" w:hAnsi="Palatino Linotype" w:cs="Palatino Linotype"/>
          <w:color w:val="000000"/>
        </w:rPr>
        <w:t>Como se puede observar de la imagen anterior, para el proceso de certificación de la COCERTEM se estableció una c</w:t>
      </w:r>
      <w:r w:rsidR="00A6601D">
        <w:rPr>
          <w:rFonts w:ascii="Palatino Linotype" w:eastAsia="Palatino Linotype" w:hAnsi="Palatino Linotype" w:cs="Palatino Linotype"/>
          <w:color w:val="000000"/>
        </w:rPr>
        <w:t>onvocatoria para el mes de febrero</w:t>
      </w:r>
      <w:r>
        <w:rPr>
          <w:rFonts w:ascii="Palatino Linotype" w:eastAsia="Palatino Linotype" w:hAnsi="Palatino Linotype" w:cs="Palatino Linotype"/>
          <w:color w:val="000000"/>
        </w:rPr>
        <w:t xml:space="preserve"> del año en curso, en donde se dan </w:t>
      </w:r>
      <w:r w:rsidRPr="00A6601D">
        <w:rPr>
          <w:rFonts w:ascii="Palatino Linotype" w:eastAsia="Palatino Linotype" w:hAnsi="Palatino Linotype" w:cs="Palatino Linotype"/>
          <w:color w:val="000000"/>
        </w:rPr>
        <w:t>distintitas fechas para la certificación de los servidores públicos que vayan a desempeñarse en las funciones establecidas por la Ley Orgánica Municipal</w:t>
      </w:r>
      <w:r w:rsidR="004360E2" w:rsidRPr="00A6601D">
        <w:rPr>
          <w:rFonts w:ascii="Palatino Linotype" w:eastAsia="Palatino Linotype" w:hAnsi="Palatino Linotype" w:cs="Palatino Linotype"/>
          <w:color w:val="000000"/>
        </w:rPr>
        <w:t xml:space="preserve"> del Estado de México</w:t>
      </w:r>
      <w:r w:rsidRPr="00A6601D">
        <w:rPr>
          <w:rFonts w:ascii="Palatino Linotype" w:eastAsia="Palatino Linotype" w:hAnsi="Palatino Linotype" w:cs="Palatino Linotype"/>
          <w:color w:val="000000"/>
        </w:rPr>
        <w:t>, por lo que al momento de emitir la presente resolu</w:t>
      </w:r>
      <w:r w:rsidR="007D0014" w:rsidRPr="00A6601D">
        <w:rPr>
          <w:rFonts w:ascii="Palatino Linotype" w:eastAsia="Palatino Linotype" w:hAnsi="Palatino Linotype" w:cs="Palatino Linotype"/>
          <w:color w:val="000000"/>
        </w:rPr>
        <w:t>ción ya fue concluido el segundo</w:t>
      </w:r>
      <w:r w:rsidRPr="00A6601D">
        <w:rPr>
          <w:rFonts w:ascii="Palatino Linotype" w:eastAsia="Palatino Linotype" w:hAnsi="Palatino Linotype" w:cs="Palatino Linotype"/>
          <w:color w:val="000000"/>
        </w:rPr>
        <w:t xml:space="preserve"> periodo y por ello solamente siguen abiertas las demás convocatorias emitidas con posterioridad al mes de</w:t>
      </w:r>
      <w:r w:rsidR="007D0014" w:rsidRPr="00A6601D">
        <w:rPr>
          <w:rFonts w:ascii="Palatino Linotype" w:eastAsia="Palatino Linotype" w:hAnsi="Palatino Linotype" w:cs="Palatino Linotype"/>
          <w:color w:val="000000"/>
        </w:rPr>
        <w:t xml:space="preserve"> febrero</w:t>
      </w:r>
      <w:r w:rsidR="004360E2" w:rsidRPr="00A6601D">
        <w:rPr>
          <w:rFonts w:ascii="Palatino Linotype" w:eastAsia="Palatino Linotype" w:hAnsi="Palatino Linotype" w:cs="Palatino Linotype"/>
          <w:color w:val="000000"/>
        </w:rPr>
        <w:t xml:space="preserve"> del 2022, de ahí que, el servidor público referido en la solicitud, adscrito</w:t>
      </w:r>
      <w:r w:rsidRPr="00A6601D">
        <w:rPr>
          <w:rFonts w:ascii="Palatino Linotype" w:eastAsia="Palatino Linotype" w:hAnsi="Palatino Linotype" w:cs="Palatino Linotype"/>
          <w:color w:val="000000"/>
        </w:rPr>
        <w:t xml:space="preserve"> al Ayuntamiento de </w:t>
      </w:r>
      <w:r w:rsidR="004360E2" w:rsidRPr="00A6601D">
        <w:rPr>
          <w:rFonts w:ascii="Palatino Linotype" w:eastAsia="Palatino Linotype" w:hAnsi="Palatino Linotype" w:cs="Palatino Linotype"/>
          <w:color w:val="000000"/>
        </w:rPr>
        <w:t>Temascalcingo</w:t>
      </w:r>
      <w:r w:rsidRPr="00A6601D">
        <w:rPr>
          <w:rFonts w:ascii="Palatino Linotype" w:eastAsia="Palatino Linotype" w:hAnsi="Palatino Linotype" w:cs="Palatino Linotype"/>
          <w:color w:val="000000"/>
        </w:rPr>
        <w:t xml:space="preserve">, </w:t>
      </w:r>
      <w:r w:rsidRPr="00A6601D">
        <w:rPr>
          <w:rFonts w:ascii="Palatino Linotype" w:eastAsia="Palatino Linotype" w:hAnsi="Palatino Linotype" w:cs="Palatino Linotype"/>
          <w:color w:val="000000"/>
          <w:u w:val="single"/>
        </w:rPr>
        <w:t>aún se encuentran en tiempo de poder certificarse</w:t>
      </w:r>
      <w:r w:rsidRPr="00A6601D">
        <w:rPr>
          <w:rFonts w:ascii="Palatino Linotype" w:eastAsia="Palatino Linotype" w:hAnsi="Palatino Linotype" w:cs="Palatino Linotype"/>
          <w:color w:val="000000"/>
        </w:rPr>
        <w:t xml:space="preserve">, </w:t>
      </w:r>
      <w:r w:rsidR="004360E2" w:rsidRPr="00A6601D">
        <w:rPr>
          <w:rFonts w:ascii="Palatino Linotype" w:eastAsia="Palatino Linotype" w:hAnsi="Palatino Linotype" w:cs="Palatino Linotype"/>
          <w:color w:val="000000"/>
        </w:rPr>
        <w:t>en atención a la interposición de la solicitud de acceso a la información pública, que fue el pas</w:t>
      </w:r>
      <w:r w:rsidR="00A6601D" w:rsidRPr="00A6601D">
        <w:rPr>
          <w:rFonts w:ascii="Palatino Linotype" w:eastAsia="Palatino Linotype" w:hAnsi="Palatino Linotype" w:cs="Palatino Linotype"/>
          <w:color w:val="000000"/>
        </w:rPr>
        <w:t>ado</w:t>
      </w:r>
      <w:r w:rsidR="00A6601D">
        <w:rPr>
          <w:rFonts w:ascii="Palatino Linotype" w:eastAsia="Palatino Linotype" w:hAnsi="Palatino Linotype" w:cs="Palatino Linotype"/>
          <w:color w:val="000000"/>
        </w:rPr>
        <w:t xml:space="preserve"> siete de marzo del año 2022 y porque el servidor público entró en su cargo el pasado primero de enero del año en curso, lo que se robustece con la siguiente imagen sustraída del IPOMEX del </w:t>
      </w:r>
      <w:r w:rsidR="00A6601D">
        <w:rPr>
          <w:rFonts w:ascii="Palatino Linotype" w:eastAsia="Palatino Linotype" w:hAnsi="Palatino Linotype" w:cs="Palatino Linotype"/>
          <w:color w:val="000000"/>
        </w:rPr>
        <w:lastRenderedPageBreak/>
        <w:t xml:space="preserve">Ayuntamiento de Temascalcingo, en específico de su Directorio, que se inserta a continuación:  </w:t>
      </w:r>
      <w:r w:rsidR="004360E2">
        <w:rPr>
          <w:rFonts w:ascii="Palatino Linotype" w:eastAsia="Palatino Linotype" w:hAnsi="Palatino Linotype" w:cs="Palatino Linotype"/>
          <w:color w:val="000000"/>
        </w:rPr>
        <w:t xml:space="preserve"> </w:t>
      </w:r>
      <w:r w:rsidR="005F695A">
        <w:rPr>
          <w:rFonts w:ascii="Palatino Linotype" w:eastAsia="Palatino Linotype" w:hAnsi="Palatino Linotype" w:cs="Palatino Linotype"/>
          <w:color w:val="000000"/>
        </w:rPr>
        <w:t xml:space="preserve"> </w:t>
      </w:r>
    </w:p>
    <w:p w:rsidR="00A6601D" w:rsidRDefault="00A6601D" w:rsidP="00C94DE7">
      <w:pPr>
        <w:spacing w:before="240" w:after="240" w:line="360" w:lineRule="auto"/>
        <w:jc w:val="both"/>
        <w:rPr>
          <w:rFonts w:ascii="Palatino Linotype" w:eastAsia="Palatino Linotype" w:hAnsi="Palatino Linotype" w:cs="Palatino Linotype"/>
          <w:color w:val="FF0000"/>
        </w:rPr>
      </w:pPr>
      <w:r>
        <w:rPr>
          <w:noProof/>
          <w:lang w:val="es-MX" w:eastAsia="es-MX"/>
        </w:rPr>
        <mc:AlternateContent>
          <mc:Choice Requires="wps">
            <w:drawing>
              <wp:anchor distT="0" distB="0" distL="114300" distR="114300" simplePos="0" relativeHeight="251677696" behindDoc="0" locked="0" layoutInCell="1" allowOverlap="1">
                <wp:simplePos x="0" y="0"/>
                <wp:positionH relativeFrom="column">
                  <wp:posOffset>2247265</wp:posOffset>
                </wp:positionH>
                <wp:positionV relativeFrom="paragraph">
                  <wp:posOffset>1236345</wp:posOffset>
                </wp:positionV>
                <wp:extent cx="882650" cy="412750"/>
                <wp:effectExtent l="19050" t="19050" r="12700" b="44450"/>
                <wp:wrapNone/>
                <wp:docPr id="4" name="Flecha izquierda 4"/>
                <wp:cNvGraphicFramePr/>
                <a:graphic xmlns:a="http://schemas.openxmlformats.org/drawingml/2006/main">
                  <a:graphicData uri="http://schemas.microsoft.com/office/word/2010/wordprocessingShape">
                    <wps:wsp>
                      <wps:cNvSpPr/>
                      <wps:spPr>
                        <a:xfrm>
                          <a:off x="0" y="0"/>
                          <a:ext cx="882650" cy="41275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w16se="http://schemas.microsoft.com/office/word/2015/wordml/symex">
            <w:pict>
              <v:shape w14:anchorId="679442D2" id="Flecha izquierda 4" o:spid="_x0000_s1026" type="#_x0000_t66" style="position:absolute;margin-left:176.95pt;margin-top:97.35pt;width:69.5pt;height:32.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" adj="5050" fillcolor="#5b9bd5 [3204]" strokecolor="#1f4d78 [1604]" strokeweight="1pt"/>
            </w:pict>
          </mc:Fallback>
        </mc:AlternateContent>
      </w:r>
      <w:r>
        <w:rPr>
          <w:noProof/>
          <w:lang w:val="es-MX" w:eastAsia="es-MX"/>
        </w:rPr>
        <w:drawing>
          <wp:inline distT="0" distB="0" distL="0" distR="0" wp14:anchorId="3D90601B" wp14:editId="7451ED16">
            <wp:extent cx="5562600" cy="332105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18739" t="17056" r="37280" b="5881"/>
                    <a:stretch/>
                  </pic:blipFill>
                  <pic:spPr bwMode="auto">
                    <a:xfrm>
                      <a:off x="0" y="0"/>
                      <a:ext cx="5562600" cy="3321050"/>
                    </a:xfrm>
                    <a:prstGeom prst="rect">
                      <a:avLst/>
                    </a:prstGeom>
                    <a:ln>
                      <a:noFill/>
                    </a:ln>
                    <a:extLst>
                      <a:ext uri="{53640926-AAD7-44D8-BBD7-CCE9431645EC}">
                        <a14:shadowObscured xmlns:a14="http://schemas.microsoft.com/office/drawing/2010/main"/>
                      </a:ext>
                    </a:extLst>
                  </pic:spPr>
                </pic:pic>
              </a:graphicData>
            </a:graphic>
          </wp:inline>
        </w:drawing>
      </w:r>
    </w:p>
    <w:p w:rsidR="00C94DE7" w:rsidRDefault="00C94DE7" w:rsidP="00C94DE7">
      <w:pP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Asimismo, el artículo 19 de la Ley Orgánica Municipal regula lo siguiente sobre la fecha de entrada en funciones de los titulares de las unidades que conformarán la administración pública municipal: </w:t>
      </w:r>
    </w:p>
    <w:p w:rsidR="00C94DE7" w:rsidRDefault="00C94DE7" w:rsidP="00C94DE7">
      <w:pPr>
        <w:spacing w:before="240" w:after="240" w:line="276" w:lineRule="auto"/>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“Artículo 19.- </w:t>
      </w:r>
      <w:r>
        <w:rPr>
          <w:rFonts w:ascii="Palatino Linotype" w:eastAsia="Palatino Linotype" w:hAnsi="Palatino Linotype" w:cs="Palatino Linotype"/>
          <w:b/>
          <w:i/>
          <w:color w:val="000000"/>
          <w:sz w:val="22"/>
          <w:szCs w:val="22"/>
          <w:u w:val="single"/>
        </w:rPr>
        <w:t>A las nueve horas del día 1 de enero del año inmediato siguiente a aquel en que se hayan efectuado las elecciones municipales, el ayuntamiento saliente dará posesión de las oficinas municipales a los miembros del ayuntamiento entrante, que hubieren rendido la protesta de ley</w:t>
      </w:r>
      <w:r>
        <w:rPr>
          <w:rFonts w:ascii="Palatino Linotype" w:eastAsia="Palatino Linotype" w:hAnsi="Palatino Linotype" w:cs="Palatino Linotype"/>
          <w:i/>
          <w:color w:val="000000"/>
          <w:sz w:val="22"/>
          <w:szCs w:val="22"/>
        </w:rPr>
        <w:t xml:space="preserve">, cuyo presidente municipal hará la siguiente declaratoria formal y solemne: “Queda legítimamente instalado el ayuntamiento del municipio de…, que deberá funcionar durante los años de…”. </w:t>
      </w:r>
    </w:p>
    <w:p w:rsidR="00C94DE7" w:rsidRDefault="00C94DE7" w:rsidP="00C94DE7">
      <w:pPr>
        <w:spacing w:before="240" w:after="240" w:line="276" w:lineRule="auto"/>
        <w:ind w:left="567" w:right="900"/>
        <w:jc w:val="both"/>
        <w:rPr>
          <w:rFonts w:ascii="Palatino Linotype" w:eastAsia="Palatino Linotype" w:hAnsi="Palatino Linotype" w:cs="Palatino Linotype"/>
          <w:b/>
          <w:i/>
          <w:color w:val="000000"/>
          <w:sz w:val="22"/>
          <w:szCs w:val="22"/>
          <w:u w:val="single"/>
        </w:rPr>
      </w:pPr>
      <w:r>
        <w:rPr>
          <w:rFonts w:ascii="Palatino Linotype" w:eastAsia="Palatino Linotype" w:hAnsi="Palatino Linotype" w:cs="Palatino Linotype"/>
          <w:i/>
          <w:color w:val="000000"/>
          <w:sz w:val="22"/>
          <w:szCs w:val="22"/>
        </w:rPr>
        <w:lastRenderedPageBreak/>
        <w:t xml:space="preserve">La inasistencia de los integrantes del ayuntamiento saliente no será obstáculo para que se dé por instalado el entrante, sin perjuicio de las sanciones que establezcan las disposiciones jurídicas aplicables. </w:t>
      </w:r>
      <w:r>
        <w:rPr>
          <w:rFonts w:ascii="Palatino Linotype" w:eastAsia="Palatino Linotype" w:hAnsi="Palatino Linotype" w:cs="Palatino Linotype"/>
          <w:b/>
          <w:i/>
          <w:color w:val="000000"/>
          <w:sz w:val="22"/>
          <w:szCs w:val="22"/>
          <w:u w:val="single"/>
        </w:rPr>
        <w:t xml:space="preserve">A continuación se procederá a la suscripción de las actas y demás documentos relativos a la entrega-recepción de la administración municipal, con la participación de los miembros de los ayuntamientos y los titulares de sus dependencias administrativas salientes y entrantes, designados al efecto; la cual se realizará siguiendo los lineamientos, términos, instructivos, formatos, cédulas y demás documentación que disponga el Órgano Superior de Fiscalización del Estado de México, para el caso, misma que tendrá en ese acto, la intervención que establezcan las leyes. </w:t>
      </w:r>
    </w:p>
    <w:p w:rsidR="00C94DE7" w:rsidRDefault="00C94DE7" w:rsidP="00C94DE7">
      <w:pPr>
        <w:spacing w:before="240" w:after="240" w:line="276" w:lineRule="auto"/>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La documentación que se señala anteriormente deberá ser conocida en la primera sesión de Cabildo por los integrantes del Ayuntamiento a los cuales se les entregará copia de la misma. El ayuntamiento saliente, a través del presidente municipal, presentará al ayuntamiento entrante, con una copia para la Legislatura, un documento que contenga sus observaciones, sugerencias y recomendaciones en relación a la administración y gobierno municipal.”(Sic)</w:t>
      </w:r>
    </w:p>
    <w:p w:rsidR="00C94DE7" w:rsidRDefault="00C94DE7" w:rsidP="00C94DE7">
      <w:pPr>
        <w:spacing w:after="240" w:line="360" w:lineRule="auto"/>
        <w:jc w:val="both"/>
        <w:rPr>
          <w:rFonts w:ascii="Palatino Linotype" w:eastAsia="Palatino Linotype" w:hAnsi="Palatino Linotype" w:cs="Palatino Linotype"/>
          <w:color w:val="000000"/>
        </w:rPr>
      </w:pPr>
      <w:r w:rsidRPr="00A6601D">
        <w:rPr>
          <w:rFonts w:ascii="Palatino Linotype" w:eastAsia="Palatino Linotype" w:hAnsi="Palatino Linotype" w:cs="Palatino Linotype"/>
          <w:color w:val="000000"/>
        </w:rPr>
        <w:t xml:space="preserve">Por lo que </w:t>
      </w:r>
      <w:r w:rsidR="004360E2" w:rsidRPr="00A6601D">
        <w:rPr>
          <w:rFonts w:ascii="Palatino Linotype" w:eastAsia="Palatino Linotype" w:hAnsi="Palatino Linotype" w:cs="Palatino Linotype"/>
          <w:color w:val="000000"/>
        </w:rPr>
        <w:t>se</w:t>
      </w:r>
      <w:r w:rsidRPr="00A6601D">
        <w:rPr>
          <w:rFonts w:ascii="Palatino Linotype" w:eastAsia="Palatino Linotype" w:hAnsi="Palatino Linotype" w:cs="Palatino Linotype"/>
          <w:color w:val="000000"/>
        </w:rPr>
        <w:t xml:space="preserve"> considera proc</w:t>
      </w:r>
      <w:r w:rsidR="004360E2" w:rsidRPr="00A6601D">
        <w:rPr>
          <w:rFonts w:ascii="Palatino Linotype" w:eastAsia="Palatino Linotype" w:hAnsi="Palatino Linotype" w:cs="Palatino Linotype"/>
          <w:color w:val="000000"/>
        </w:rPr>
        <w:t>edente ordenar la entrega de la certificación</w:t>
      </w:r>
      <w:r w:rsidRPr="00A6601D">
        <w:rPr>
          <w:rFonts w:ascii="Palatino Linotype" w:eastAsia="Palatino Linotype" w:hAnsi="Palatino Linotype" w:cs="Palatino Linotype"/>
          <w:color w:val="000000"/>
        </w:rPr>
        <w:t xml:space="preserve"> con la que contaba al momento de la presentación de la</w:t>
      </w:r>
      <w:r w:rsidR="004360E2" w:rsidRPr="00A6601D">
        <w:rPr>
          <w:rFonts w:ascii="Palatino Linotype" w:eastAsia="Palatino Linotype" w:hAnsi="Palatino Linotype" w:cs="Palatino Linotype"/>
          <w:color w:val="000000"/>
        </w:rPr>
        <w:t xml:space="preserve"> solicitud, es decir, al siete de marzo</w:t>
      </w:r>
      <w:r w:rsidRPr="00A6601D">
        <w:rPr>
          <w:rFonts w:ascii="Palatino Linotype" w:eastAsia="Palatino Linotype" w:hAnsi="Palatino Linotype" w:cs="Palatino Linotype"/>
          <w:color w:val="000000"/>
        </w:rPr>
        <w:t xml:space="preserve"> del año dos mil veintidós, no </w:t>
      </w:r>
      <w:r w:rsidR="00A6601D" w:rsidRPr="00A6601D">
        <w:rPr>
          <w:rFonts w:ascii="Palatino Linotype" w:eastAsia="Palatino Linotype" w:hAnsi="Palatino Linotype" w:cs="Palatino Linotype"/>
          <w:color w:val="000000"/>
        </w:rPr>
        <w:t>obstante,</w:t>
      </w:r>
      <w:r w:rsidRPr="00A6601D">
        <w:rPr>
          <w:rFonts w:ascii="Palatino Linotype" w:eastAsia="Palatino Linotype" w:hAnsi="Palatino Linotype" w:cs="Palatino Linotype"/>
          <w:color w:val="000000"/>
        </w:rPr>
        <w:t xml:space="preserve"> para el caso, de acuerdo al est</w:t>
      </w:r>
      <w:r w:rsidR="004360E2" w:rsidRPr="00A6601D">
        <w:rPr>
          <w:rFonts w:ascii="Palatino Linotype" w:eastAsia="Palatino Linotype" w:hAnsi="Palatino Linotype" w:cs="Palatino Linotype"/>
          <w:color w:val="000000"/>
        </w:rPr>
        <w:t>udio expuesto, no cuente con la certificación</w:t>
      </w:r>
      <w:r w:rsidRPr="00A6601D">
        <w:rPr>
          <w:rFonts w:ascii="Palatino Linotype" w:eastAsia="Palatino Linotype" w:hAnsi="Palatino Linotype" w:cs="Palatino Linotype"/>
          <w:color w:val="000000"/>
        </w:rPr>
        <w:t xml:space="preserve"> bastará con que as</w:t>
      </w:r>
      <w:r w:rsidR="0037055D" w:rsidRPr="00A6601D">
        <w:rPr>
          <w:rFonts w:ascii="Palatino Linotype" w:eastAsia="Palatino Linotype" w:hAnsi="Palatino Linotype" w:cs="Palatino Linotype"/>
          <w:color w:val="000000"/>
        </w:rPr>
        <w:t>í se lo haga del conocimiento a la</w:t>
      </w:r>
      <w:r w:rsidRPr="00A6601D">
        <w:rPr>
          <w:rFonts w:ascii="Palatino Linotype" w:eastAsia="Palatino Linotype" w:hAnsi="Palatino Linotype" w:cs="Palatino Linotype"/>
          <w:color w:val="000000"/>
        </w:rPr>
        <w:t xml:space="preserve"> </w:t>
      </w:r>
      <w:r w:rsidR="004360E2" w:rsidRPr="00A6601D">
        <w:rPr>
          <w:rFonts w:ascii="Palatino Linotype" w:eastAsia="Palatino Linotype" w:hAnsi="Palatino Linotype" w:cs="Palatino Linotype"/>
          <w:b/>
          <w:color w:val="000000"/>
        </w:rPr>
        <w:t>RECURRENTE</w:t>
      </w:r>
      <w:r w:rsidR="0037055D" w:rsidRPr="00A6601D">
        <w:rPr>
          <w:rFonts w:ascii="Palatino Linotype" w:eastAsia="Palatino Linotype" w:hAnsi="Palatino Linotype" w:cs="Palatino Linotype"/>
          <w:color w:val="000000"/>
        </w:rPr>
        <w:t xml:space="preserve"> de</w:t>
      </w:r>
      <w:r w:rsidRPr="00A6601D">
        <w:rPr>
          <w:rFonts w:ascii="Palatino Linotype" w:eastAsia="Palatino Linotype" w:hAnsi="Palatino Linotype" w:cs="Palatino Linotype"/>
          <w:color w:val="000000"/>
        </w:rPr>
        <w:t xml:space="preserve"> manera fundada y motivada, para tener por satisfecho este punto de la solicitud de información.</w:t>
      </w:r>
      <w:r>
        <w:rPr>
          <w:rFonts w:ascii="Palatino Linotype" w:eastAsia="Palatino Linotype" w:hAnsi="Palatino Linotype" w:cs="Palatino Linotype"/>
          <w:color w:val="000000"/>
        </w:rPr>
        <w:t xml:space="preserve"> </w:t>
      </w:r>
    </w:p>
    <w:p w:rsidR="00C94DE7" w:rsidRDefault="00C94DE7" w:rsidP="00C94DE7">
      <w:pP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Lo anterior es así, toda vez que en el c</w:t>
      </w:r>
      <w:r w:rsidR="0037055D">
        <w:rPr>
          <w:rFonts w:ascii="Palatino Linotype" w:eastAsia="Palatino Linotype" w:hAnsi="Palatino Linotype" w:cs="Palatino Linotype"/>
          <w:color w:val="000000"/>
        </w:rPr>
        <w:t>aso particular, se tiene que el servidor público referido</w:t>
      </w:r>
      <w:r>
        <w:rPr>
          <w:rFonts w:ascii="Palatino Linotype" w:eastAsia="Palatino Linotype" w:hAnsi="Palatino Linotype" w:cs="Palatino Linotype"/>
          <w:color w:val="000000"/>
        </w:rPr>
        <w:t xml:space="preserve"> en la solicitud tienen hasta el mes de julio par</w:t>
      </w:r>
      <w:r w:rsidR="0037055D">
        <w:rPr>
          <w:rFonts w:ascii="Palatino Linotype" w:eastAsia="Palatino Linotype" w:hAnsi="Palatino Linotype" w:cs="Palatino Linotype"/>
          <w:color w:val="000000"/>
        </w:rPr>
        <w:t>a contar con la certificación correspondiente</w:t>
      </w:r>
      <w:r>
        <w:rPr>
          <w:rFonts w:ascii="Palatino Linotype" w:eastAsia="Palatino Linotype" w:hAnsi="Palatino Linotype" w:cs="Palatino Linotype"/>
          <w:color w:val="000000"/>
        </w:rPr>
        <w:t>, esto en términos de la Ley Orgánica Municipal</w:t>
      </w:r>
      <w:r w:rsidR="0037055D">
        <w:rPr>
          <w:rFonts w:ascii="Palatino Linotype" w:eastAsia="Palatino Linotype" w:hAnsi="Palatino Linotype" w:cs="Palatino Linotype"/>
          <w:color w:val="000000"/>
        </w:rPr>
        <w:t xml:space="preserve"> del Estado de México</w:t>
      </w:r>
      <w:r>
        <w:rPr>
          <w:rFonts w:ascii="Palatino Linotype" w:eastAsia="Palatino Linotype" w:hAnsi="Palatino Linotype" w:cs="Palatino Linotype"/>
          <w:color w:val="000000"/>
        </w:rPr>
        <w:t xml:space="preserve">. </w:t>
      </w:r>
    </w:p>
    <w:p w:rsidR="00E50BE6" w:rsidRDefault="00D10F70" w:rsidP="00E50BE6">
      <w:pPr>
        <w:pBdr>
          <w:top w:val="nil"/>
          <w:left w:val="nil"/>
          <w:bottom w:val="nil"/>
          <w:right w:val="nil"/>
          <w:between w:val="nil"/>
        </w:pBdr>
        <w:spacing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lastRenderedPageBreak/>
        <w:t>Por lo que atañe a las fracciones V y VII, sobre “</w:t>
      </w:r>
      <w:r w:rsidRPr="00D10F70">
        <w:rPr>
          <w:rFonts w:ascii="Palatino Linotype" w:eastAsia="Palatino Linotype" w:hAnsi="Palatino Linotype" w:cs="Palatino Linotype"/>
          <w:i/>
        </w:rPr>
        <w:t xml:space="preserve">V. No estar condenada o condenado por sentencia ejecutoriada por el delito de violencia política contra las mujeres en razón de género y VII. No estar condenada o condenado por sentencia ejecutoriada por delitos de violencia familiar, contra la libertad sexual o de violencia de </w:t>
      </w:r>
      <w:r>
        <w:rPr>
          <w:rFonts w:ascii="Palatino Linotype" w:eastAsia="Palatino Linotype" w:hAnsi="Palatino Linotype" w:cs="Palatino Linotype"/>
          <w:i/>
        </w:rPr>
        <w:t xml:space="preserve">género” (Sic), </w:t>
      </w:r>
      <w:r w:rsidR="00E50BE6">
        <w:rPr>
          <w:rFonts w:ascii="Palatino Linotype" w:eastAsia="Palatino Linotype" w:hAnsi="Palatino Linotype" w:cs="Palatino Linotype"/>
        </w:rPr>
        <w:t xml:space="preserve">el documento que colmaría dicha circunstancia sería el Certificado de antecedentes no penales u informe de antecedentes penales, dichos documentos deben ser entregados en versión pública a considerarse que en el presente caso se tratan de medios y mando superiores del </w:t>
      </w:r>
      <w:r w:rsidR="00E50BE6" w:rsidRPr="00A6601D">
        <w:rPr>
          <w:rFonts w:ascii="Palatino Linotype" w:eastAsia="Palatino Linotype" w:hAnsi="Palatino Linotype" w:cs="Palatino Linotype"/>
          <w:sz w:val="22"/>
          <w:szCs w:val="22"/>
        </w:rPr>
        <w:t>Ayunta</w:t>
      </w:r>
      <w:r w:rsidR="00A6601D" w:rsidRPr="00A6601D">
        <w:rPr>
          <w:rFonts w:ascii="Palatino Linotype" w:eastAsia="Palatino Linotype" w:hAnsi="Palatino Linotype" w:cs="Palatino Linotype"/>
          <w:sz w:val="22"/>
          <w:szCs w:val="22"/>
        </w:rPr>
        <w:t>miento de Temascalcingo</w:t>
      </w:r>
      <w:r w:rsidR="00E50BE6" w:rsidRPr="00A6601D">
        <w:rPr>
          <w:rFonts w:ascii="Palatino Linotype" w:eastAsia="Palatino Linotype" w:hAnsi="Palatino Linotype" w:cs="Palatino Linotype"/>
          <w:sz w:val="22"/>
          <w:szCs w:val="22"/>
        </w:rPr>
        <w:t>,</w:t>
      </w:r>
      <w:r w:rsidR="00E50BE6" w:rsidRPr="00A6601D">
        <w:rPr>
          <w:rFonts w:ascii="Palatino Linotype" w:eastAsia="Palatino Linotype" w:hAnsi="Palatino Linotype" w:cs="Palatino Linotype"/>
          <w:sz w:val="44"/>
        </w:rPr>
        <w:t xml:space="preserve"> </w:t>
      </w:r>
      <w:r w:rsidR="00E50BE6">
        <w:rPr>
          <w:rFonts w:ascii="Palatino Linotype" w:eastAsia="Palatino Linotype" w:hAnsi="Palatino Linotype" w:cs="Palatino Linotype"/>
        </w:rPr>
        <w:t>por lo que deberán clasificarse como confidencial en atención a los siguientes argumentos:</w:t>
      </w:r>
    </w:p>
    <w:p w:rsidR="00A6601D" w:rsidRDefault="00A6601D" w:rsidP="00464DC4">
      <w:pPr>
        <w:spacing w:after="240" w:line="360" w:lineRule="auto"/>
        <w:contextualSpacing/>
        <w:jc w:val="both"/>
        <w:rPr>
          <w:rFonts w:ascii="Palatino Linotype" w:eastAsia="Palatino Linotype" w:hAnsi="Palatino Linotype" w:cs="Palatino Linotype"/>
        </w:rPr>
      </w:pPr>
    </w:p>
    <w:p w:rsidR="00E50BE6" w:rsidRDefault="00E50BE6" w:rsidP="00464DC4">
      <w:pPr>
        <w:spacing w:after="240" w:line="360" w:lineRule="auto"/>
        <w:contextualSpacing/>
        <w:jc w:val="both"/>
        <w:rPr>
          <w:rFonts w:ascii="Palatino Linotype" w:eastAsia="Palatino Linotype" w:hAnsi="Palatino Linotype" w:cs="Palatino Linotype"/>
        </w:rPr>
      </w:pPr>
      <w:r>
        <w:rPr>
          <w:rFonts w:ascii="Palatino Linotype" w:eastAsia="Palatino Linotype" w:hAnsi="Palatino Linotype" w:cs="Palatino Linotype"/>
        </w:rPr>
        <w:t>En el caso concreto, es pertinente conocer cómo se integran los expedientes de ingreso de los servidores públicos para conocer cuáles son los documentos que los conforman, y si entre ellos el certificado de antecedentes no penales u informe de antecedentes no penales, es considerado un requisito que debe presentarse para que de este modo se encuentre bajo resguardo de una autoridad.</w:t>
      </w:r>
    </w:p>
    <w:p w:rsidR="00464DC4" w:rsidRDefault="00464DC4" w:rsidP="00464DC4">
      <w:pPr>
        <w:spacing w:after="240" w:line="360" w:lineRule="auto"/>
        <w:contextualSpacing/>
        <w:jc w:val="both"/>
        <w:rPr>
          <w:rFonts w:ascii="Palatino Linotype" w:eastAsia="Palatino Linotype" w:hAnsi="Palatino Linotype" w:cs="Palatino Linotype"/>
        </w:rPr>
      </w:pPr>
    </w:p>
    <w:p w:rsidR="00CC16E3" w:rsidRDefault="00E50BE6" w:rsidP="00CC16E3">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Ahora bien, para la obtención del citado documento el interesado deberá seguir el procedimiento establecido en el ACUERDO NUMERO 14/2011, DEL PROCURADOR GENERAL DE JUSTICIA DEL ESTADO DE MÉXICO, POR EL QUE SE ESTABLECEN LOS SUPUESTOS Y LINEAMIENTOS PARA LA EXPEDICIÓN DE INFORMES Y CERTIFICADOS DE NO ANTECEDENTES PENALES, publicado en la Gaceta del Gobierno del Estado de México, el día treinta de noviembre de dos mil once, que señala</w:t>
      </w:r>
      <w:r w:rsidR="005F695A">
        <w:rPr>
          <w:rFonts w:ascii="Palatino Linotype" w:eastAsia="Palatino Linotype" w:hAnsi="Palatino Linotype" w:cs="Palatino Linotype"/>
        </w:rPr>
        <w:t xml:space="preserve"> </w:t>
      </w:r>
    </w:p>
    <w:p w:rsidR="00E50BE6" w:rsidRDefault="00E50BE6" w:rsidP="00CC16E3">
      <w:pPr>
        <w:spacing w:before="240" w:after="240"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i/>
          <w:sz w:val="22"/>
          <w:szCs w:val="22"/>
        </w:rPr>
        <w:lastRenderedPageBreak/>
        <w:t>“</w:t>
      </w:r>
      <w:r>
        <w:rPr>
          <w:rFonts w:ascii="Palatino Linotype" w:eastAsia="Palatino Linotype" w:hAnsi="Palatino Linotype" w:cs="Palatino Linotype"/>
          <w:b/>
          <w:i/>
          <w:sz w:val="22"/>
          <w:szCs w:val="22"/>
        </w:rPr>
        <w:t>CUARTO</w:t>
      </w:r>
      <w:r>
        <w:rPr>
          <w:rFonts w:ascii="Palatino Linotype" w:eastAsia="Palatino Linotype" w:hAnsi="Palatino Linotype" w:cs="Palatino Linotype"/>
          <w:i/>
          <w:sz w:val="22"/>
          <w:szCs w:val="22"/>
        </w:rPr>
        <w:t>. Para efectos de este Acuerdo, son antecedentes penales aquellos registros de, identificación personal sobre sujetos que hubieren sido condenados por autoridad judicial competente a una pena o medida de seguridad, mediante resolución que haya causado ejecutoria, en los términos a que hace referencia el Libro Primero. Titulo Tercero del Código Penal del Estado de México</w:t>
      </w:r>
      <w:r>
        <w:rPr>
          <w:rFonts w:ascii="Palatino Linotype" w:eastAsia="Palatino Linotype" w:hAnsi="Palatino Linotype" w:cs="Palatino Linotype"/>
          <w:sz w:val="22"/>
          <w:szCs w:val="22"/>
        </w:rPr>
        <w:t>.”</w:t>
      </w:r>
    </w:p>
    <w:p w:rsidR="00E50BE6" w:rsidRDefault="00E50BE6" w:rsidP="00E50BE6">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SÉPTIMO</w:t>
      </w:r>
      <w:r>
        <w:rPr>
          <w:rFonts w:ascii="Palatino Linotype" w:eastAsia="Palatino Linotype" w:hAnsi="Palatino Linotype" w:cs="Palatino Linotype"/>
          <w:i/>
          <w:sz w:val="22"/>
          <w:szCs w:val="22"/>
        </w:rPr>
        <w:t xml:space="preserve">. Para la expedición del Certificado de No Antecedentes Penales, el Instituto de Servicios Periciales deberá recabar constancia del pago de derechos respectivo, copia de identificación oficial, fotografías y huellas dactilares del interesado, conforme a la normatividad aplicable. Para el trámite respectivo, el interesado deberá: </w:t>
      </w:r>
    </w:p>
    <w:p w:rsidR="00E50BE6" w:rsidRDefault="00E50BE6" w:rsidP="00E50BE6">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Realizar el pago de derechos por la expedición del Certificado de No Antecedentes Penales de la forma que a continuación se indica:</w:t>
      </w:r>
    </w:p>
    <w:p w:rsidR="00E50BE6" w:rsidRDefault="00E50BE6" w:rsidP="00E50BE6">
      <w:pPr>
        <w:numPr>
          <w:ilvl w:val="0"/>
          <w:numId w:val="20"/>
        </w:numPr>
        <w:pBdr>
          <w:top w:val="nil"/>
          <w:left w:val="nil"/>
          <w:bottom w:val="nil"/>
          <w:right w:val="nil"/>
          <w:between w:val="nil"/>
        </w:pBdr>
        <w:ind w:left="851" w:right="85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color w:val="000000"/>
          <w:sz w:val="22"/>
          <w:szCs w:val="22"/>
        </w:rPr>
        <w:t xml:space="preserve"> </w:t>
      </w:r>
      <w:r>
        <w:rPr>
          <w:rFonts w:ascii="Palatino Linotype" w:eastAsia="Palatino Linotype" w:hAnsi="Palatino Linotype" w:cs="Palatino Linotype"/>
          <w:i/>
          <w:color w:val="000000"/>
          <w:sz w:val="22"/>
          <w:szCs w:val="22"/>
        </w:rPr>
        <w:t xml:space="preserve">Ingresar a la página electrónica www.edomex.gob.mx: Hacer "click en el botón "Portal de Servicios al Contribuyente, Pagos Electrónicos"; </w:t>
      </w:r>
    </w:p>
    <w:p w:rsidR="00E50BE6" w:rsidRDefault="00E50BE6" w:rsidP="00E50BE6">
      <w:pPr>
        <w:numPr>
          <w:ilvl w:val="0"/>
          <w:numId w:val="20"/>
        </w:num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Hacer "click" en el botón "Derechos" y a continuación en "No Antecedentes Penales"; Llenar el "Formulario de Pago Estatal Procuraduría", e. imprimir el formulario y acudir a realizar el pago en cualquiera de las instituciones bancarias señaladas en el mismo.</w:t>
      </w:r>
    </w:p>
    <w:p w:rsidR="00E50BE6" w:rsidRDefault="00E50BE6" w:rsidP="00E50BE6">
      <w:pPr>
        <w:numPr>
          <w:ilvl w:val="0"/>
          <w:numId w:val="20"/>
        </w:num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 Hecho el pago de derechos, ingresar a la página www.eciornex.dob.mx/pgiern y proceder como sigue: Hacer "click" en el botón "Expedición de Certificado de No Antecedentes Penales" y llenar el Formato correspondiente; dar "click" en el botón "Siguiente" y aparecerá un comprobante de registro en línea, generando una clave del trámite un número de folio, el cual deberá imprimirse., el interesado se podrá presentar en las oficinas del Instituto de Servicios Periciales de su elección, en días hábiles, en un horario de 09:00 a 18:00 horas, exhibiendo el comprobante de registro en línea. “</w:t>
      </w:r>
    </w:p>
    <w:p w:rsidR="00E50BE6" w:rsidRDefault="00E50BE6" w:rsidP="00E50BE6">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OCTAVO.</w:t>
      </w:r>
      <w:r>
        <w:rPr>
          <w:rFonts w:ascii="Palatino Linotype" w:eastAsia="Palatino Linotype" w:hAnsi="Palatino Linotype" w:cs="Palatino Linotype"/>
          <w:i/>
          <w:sz w:val="22"/>
          <w:szCs w:val="22"/>
        </w:rPr>
        <w:t xml:space="preserve"> El Instituto de Servicios Periciales expedirá </w:t>
      </w:r>
      <w:r>
        <w:rPr>
          <w:rFonts w:ascii="Palatino Linotype" w:eastAsia="Palatino Linotype" w:hAnsi="Palatino Linotype" w:cs="Palatino Linotype"/>
          <w:b/>
          <w:i/>
          <w:sz w:val="22"/>
          <w:szCs w:val="22"/>
        </w:rPr>
        <w:t>un Informe</w:t>
      </w:r>
      <w:r>
        <w:rPr>
          <w:rFonts w:ascii="Palatino Linotype" w:eastAsia="Palatino Linotype" w:hAnsi="Palatino Linotype" w:cs="Palatino Linotype"/>
          <w:i/>
          <w:sz w:val="22"/>
          <w:szCs w:val="22"/>
        </w:rPr>
        <w:t xml:space="preserve">, a través de medios electrónicos, cuyo trámite será gratuito. Para tal efecto, el interesado deberá ingresar a la página electrónica www.edomex.gob.mx/pcliem y realizar lo siguiente: </w:t>
      </w:r>
    </w:p>
    <w:p w:rsidR="00E50BE6" w:rsidRDefault="00E50BE6" w:rsidP="00E50BE6">
      <w:pPr>
        <w:numPr>
          <w:ilvl w:val="0"/>
          <w:numId w:val="22"/>
        </w:numPr>
        <w:ind w:left="851" w:right="851" w:hanging="42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Llenar el Formato con los siguientes datos: </w:t>
      </w:r>
    </w:p>
    <w:p w:rsidR="00E50BE6" w:rsidRDefault="00E50BE6" w:rsidP="00E50BE6">
      <w:pPr>
        <w:numPr>
          <w:ilvl w:val="1"/>
          <w:numId w:val="23"/>
        </w:num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Nombre; </w:t>
      </w:r>
    </w:p>
    <w:p w:rsidR="00E50BE6" w:rsidRDefault="00E50BE6" w:rsidP="00E50BE6">
      <w:pPr>
        <w:numPr>
          <w:ilvl w:val="1"/>
          <w:numId w:val="23"/>
        </w:num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Apellido Paterno; </w:t>
      </w:r>
    </w:p>
    <w:p w:rsidR="00E50BE6" w:rsidRDefault="00E50BE6" w:rsidP="00E50BE6">
      <w:pPr>
        <w:numPr>
          <w:ilvl w:val="1"/>
          <w:numId w:val="23"/>
        </w:num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Apellido Materno; </w:t>
      </w:r>
    </w:p>
    <w:p w:rsidR="00E50BE6" w:rsidRDefault="00E50BE6" w:rsidP="00E50BE6">
      <w:pPr>
        <w:numPr>
          <w:ilvl w:val="1"/>
          <w:numId w:val="23"/>
        </w:num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Fecha de Nacimiento (dd/mm/aaaa):</w:t>
      </w:r>
    </w:p>
    <w:p w:rsidR="00E50BE6" w:rsidRDefault="00E50BE6" w:rsidP="00E50BE6">
      <w:pPr>
        <w:numPr>
          <w:ilvl w:val="1"/>
          <w:numId w:val="23"/>
        </w:num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Registro Federal de Contribuyentes (RFC); </w:t>
      </w:r>
    </w:p>
    <w:p w:rsidR="00E50BE6" w:rsidRDefault="00E50BE6" w:rsidP="00E50BE6">
      <w:pPr>
        <w:numPr>
          <w:ilvl w:val="1"/>
          <w:numId w:val="23"/>
        </w:num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Clave Única de Registro de Población (CURP); </w:t>
      </w:r>
    </w:p>
    <w:p w:rsidR="00E50BE6" w:rsidRDefault="00E50BE6" w:rsidP="00E50BE6">
      <w:pPr>
        <w:numPr>
          <w:ilvl w:val="1"/>
          <w:numId w:val="23"/>
        </w:num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 xml:space="preserve">Número de folio de la identificación: </w:t>
      </w:r>
    </w:p>
    <w:p w:rsidR="00E50BE6" w:rsidRDefault="00E50BE6" w:rsidP="00E50BE6">
      <w:pPr>
        <w:numPr>
          <w:ilvl w:val="1"/>
          <w:numId w:val="23"/>
        </w:num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Teléfono fijo y móvil;</w:t>
      </w:r>
    </w:p>
    <w:p w:rsidR="00E50BE6" w:rsidRDefault="00E50BE6" w:rsidP="00E50BE6">
      <w:pPr>
        <w:numPr>
          <w:ilvl w:val="1"/>
          <w:numId w:val="23"/>
        </w:num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Correo Electrónico, </w:t>
      </w:r>
    </w:p>
    <w:p w:rsidR="00E50BE6" w:rsidRDefault="00E50BE6" w:rsidP="00E50BE6">
      <w:pPr>
        <w:numPr>
          <w:ilvl w:val="1"/>
          <w:numId w:val="23"/>
        </w:num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Domicilio, que contendrá: Calle, número exterior, número interior, Colonia, Código Postal y Municipio dentro del Estado de México. </w:t>
      </w:r>
    </w:p>
    <w:p w:rsidR="00E50BE6" w:rsidRDefault="00E50BE6" w:rsidP="00E50BE6">
      <w:pPr>
        <w:numPr>
          <w:ilvl w:val="1"/>
          <w:numId w:val="23"/>
        </w:num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Adjuntar archivo que contenga la imagen de alguno de los documentos de identificación solicitados por el Sistema, y que serán: Credencial de elector expedida por el Instituto Federal Electoral, Licencia de conducir, Cartilla del Servicio Militar y Pasaporte expedido por la Secretaria de Relaciones Exteriores de la Federación. </w:t>
      </w:r>
    </w:p>
    <w:p w:rsidR="00E50BE6" w:rsidRDefault="00E50BE6" w:rsidP="00E50BE6">
      <w:pPr>
        <w:numPr>
          <w:ilvl w:val="0"/>
          <w:numId w:val="22"/>
        </w:numPr>
        <w:ind w:left="851" w:right="851" w:hanging="36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Dar "click" en el rubro "enviar". El Sistema generará un folio y número de trámite, el cual podrá ser consultado en la página de Internet de la Procuraduría General de Justicia del Estado de México por el plazo de treinta días naturales, a partir de la generación de la respuesta.”</w:t>
      </w:r>
    </w:p>
    <w:p w:rsidR="00E50BE6" w:rsidRDefault="00E50BE6" w:rsidP="00E50BE6">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NOVENO</w:t>
      </w:r>
      <w:r>
        <w:rPr>
          <w:rFonts w:ascii="Palatino Linotype" w:eastAsia="Palatino Linotype" w:hAnsi="Palatino Linotype" w:cs="Palatino Linotype"/>
          <w:i/>
          <w:sz w:val="22"/>
          <w:szCs w:val="22"/>
        </w:rPr>
        <w:t xml:space="preserve">. El Informe será emitido únicamente en relación con los </w:t>
      </w:r>
      <w:r>
        <w:rPr>
          <w:rFonts w:ascii="Palatino Linotype" w:eastAsia="Palatino Linotype" w:hAnsi="Palatino Linotype" w:cs="Palatino Linotype"/>
          <w:i/>
          <w:sz w:val="22"/>
          <w:szCs w:val="22"/>
          <w:u w:val="single"/>
        </w:rPr>
        <w:t>datos proporcionados por el interesado</w:t>
      </w:r>
      <w:r>
        <w:rPr>
          <w:rFonts w:ascii="Palatino Linotype" w:eastAsia="Palatino Linotype" w:hAnsi="Palatino Linotype" w:cs="Palatino Linotype"/>
          <w:i/>
          <w:sz w:val="22"/>
          <w:szCs w:val="22"/>
        </w:rPr>
        <w:t xml:space="preserve"> en el Formato a que se refiere la fracción I del artículo anterior, y su utilización será estricta responsabilidad del usuario. El Informe se limitará a señalar que, conforme a los datos proporcionados, la persona de que se trate, no cuenta con antecedentes penales, sin hacer mayor precisión sobre los expedientes o registros correspondientes, o bien, que podrá presentarse en las oficinas del Instituto de Servicios Periciales para realizar las aclaraciones respectivas y en su caso, solicitar las rectificaciones y cancelaciones a que haya lugar, en términos de las disposiciones legales aplicables.”(Sic)</w:t>
      </w:r>
    </w:p>
    <w:p w:rsidR="00E50BE6" w:rsidRDefault="00E50BE6" w:rsidP="00E50BE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 lo anterior se desprende que para expedir el certificado de antecedentes no penales o el informe respectivo, el </w:t>
      </w:r>
      <w:r w:rsidRPr="00CC16E3">
        <w:rPr>
          <w:rFonts w:ascii="Palatino Linotype" w:eastAsia="Palatino Linotype" w:hAnsi="Palatino Linotype" w:cs="Palatino Linotype"/>
        </w:rPr>
        <w:t xml:space="preserve">Instituto de Servicios Periciales </w:t>
      </w:r>
      <w:r w:rsidR="00CC16E3" w:rsidRPr="00CC16E3">
        <w:rPr>
          <w:rFonts w:ascii="Palatino Linotype" w:eastAsia="Palatino Linotype" w:hAnsi="Palatino Linotype" w:cs="Palatino Linotype"/>
        </w:rPr>
        <w:t xml:space="preserve">del Estado de México </w:t>
      </w:r>
      <w:r>
        <w:rPr>
          <w:rFonts w:ascii="Palatino Linotype" w:eastAsia="Palatino Linotype" w:hAnsi="Palatino Linotype" w:cs="Palatino Linotype"/>
        </w:rPr>
        <w:t xml:space="preserve">recabará los datos personales del interesado, de lo que resulta evidente que el certificado multirreferido contiene datos que resultan de carácter confidencial, como lo es la fecha de Nacimiento, Registro Federal de Contribuyentes (RFC), Clave Única de Registro de Población (CURP), Número de folio de la identificación, Teléfono fijo y móvil, Correo Electrónico, Domicilio, que contendrá: Calle, número exterior, número interior, Colonia, Código Postal y Municipio dentro del Estado de México,  Credencial </w:t>
      </w:r>
      <w:r>
        <w:rPr>
          <w:rFonts w:ascii="Palatino Linotype" w:eastAsia="Palatino Linotype" w:hAnsi="Palatino Linotype" w:cs="Palatino Linotype"/>
        </w:rPr>
        <w:lastRenderedPageBreak/>
        <w:t xml:space="preserve">de elector expedida por el Instituto Federal </w:t>
      </w:r>
      <w:r w:rsidRPr="00B3525E">
        <w:rPr>
          <w:rFonts w:ascii="Palatino Linotype" w:eastAsia="Palatino Linotype" w:hAnsi="Palatino Linotype" w:cs="Palatino Linotype"/>
        </w:rPr>
        <w:t>Electoral, Licencia de conducir, Cartilla del Servicio Militar o Pasaporte.</w:t>
      </w:r>
    </w:p>
    <w:p w:rsidR="00E50BE6" w:rsidRDefault="00E50BE6" w:rsidP="00E50BE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Luego entonces se puede argumentar que, si bien el certificado de antecedentes no penales es un documento público al ser emitido por un servidor público dotado de atribuciones para tal efecto, no se debe perder de vista que de conformidad con lo establecido en la obra propuesta por el Doctor José Ramón Cossío Díaz, Ministro de la Suprema Corte de Justicia de la Nación, intitulada “La Transparencia y el Acceso a la Información en los Expedientes Judiciales”, cuyo principal objetivo consiste en unificar y complementar los criterios emitidos por el Alto Tribunal y el entonces Instituto Federal de Acceso a la Información y Protección de Datos, organismo autónomo, en materia de transparencia, bajo la incertidumbre para proporcionar la información contenida en los expedientes judiciales ante la solicitud de los particulares, es decir, es una herramienta práctica que coadyuva en la tarea de atender el ejercicio de los derechos de acceso a la información y protección de datos, en la referida obra concretamente en el tema identificado con el numeral 138, “Constancia de antecedentes penales”, página 107, la cual establece que: </w:t>
      </w:r>
    </w:p>
    <w:p w:rsidR="00E50BE6" w:rsidRDefault="00E50BE6" w:rsidP="00E50BE6">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la constancia de antecedentes penales es el documento expedido por la autoridad competente para acreditar la existencia o inexistencia de delitos cometidos por los individuos y la condena correspondiente</w:t>
      </w:r>
      <w:r>
        <w:rPr>
          <w:rFonts w:ascii="Palatino Linotype" w:eastAsia="Palatino Linotype" w:hAnsi="Palatino Linotype" w:cs="Palatino Linotype"/>
          <w:i/>
          <w:sz w:val="22"/>
          <w:szCs w:val="22"/>
        </w:rPr>
        <w:t xml:space="preserve">, en su caso. </w:t>
      </w:r>
      <w:r>
        <w:rPr>
          <w:rFonts w:ascii="Palatino Linotype" w:eastAsia="Palatino Linotype" w:hAnsi="Palatino Linotype" w:cs="Palatino Linotype"/>
          <w:b/>
          <w:i/>
          <w:sz w:val="22"/>
          <w:szCs w:val="22"/>
        </w:rPr>
        <w:t>La certificación corresponde a la policía y tiene importancia para determinar la reincidencia</w:t>
      </w:r>
      <w:r>
        <w:rPr>
          <w:rFonts w:ascii="Palatino Linotype" w:eastAsia="Palatino Linotype" w:hAnsi="Palatino Linotype" w:cs="Palatino Linotype"/>
          <w:i/>
          <w:sz w:val="22"/>
          <w:szCs w:val="22"/>
        </w:rPr>
        <w:t xml:space="preserve"> (artículo 20 del Código Penal Federal), la habitualidad (artículo 21 del Código Penal Federal) </w:t>
      </w:r>
      <w:r>
        <w:rPr>
          <w:rFonts w:ascii="Palatino Linotype" w:eastAsia="Palatino Linotype" w:hAnsi="Palatino Linotype" w:cs="Palatino Linotype"/>
          <w:b/>
          <w:i/>
          <w:sz w:val="22"/>
          <w:szCs w:val="22"/>
        </w:rPr>
        <w:t>y la posibilidad de caución</w:t>
      </w:r>
      <w:r>
        <w:rPr>
          <w:rFonts w:ascii="Palatino Linotype" w:eastAsia="Palatino Linotype" w:hAnsi="Palatino Linotype" w:cs="Palatino Linotype"/>
          <w:i/>
          <w:sz w:val="22"/>
          <w:szCs w:val="22"/>
        </w:rPr>
        <w:t xml:space="preserve"> (artículo 402 del Código Federal de Procedimientos Penales), al respecto se precisa que materia de transparencia y acceso a la información, </w:t>
      </w:r>
      <w:r>
        <w:rPr>
          <w:rFonts w:ascii="Palatino Linotype" w:eastAsia="Palatino Linotype" w:hAnsi="Palatino Linotype" w:cs="Palatino Linotype"/>
          <w:i/>
          <w:sz w:val="22"/>
          <w:szCs w:val="22"/>
          <w:u w:val="single"/>
        </w:rPr>
        <w:t>este acto jurídico contiene información confidencial pues se refiere a datos personales de particulares</w:t>
      </w:r>
      <w:r>
        <w:rPr>
          <w:rFonts w:ascii="Palatino Linotype" w:eastAsia="Palatino Linotype" w:hAnsi="Palatino Linotype" w:cs="Palatino Linotype"/>
          <w:i/>
          <w:sz w:val="22"/>
          <w:szCs w:val="22"/>
        </w:rPr>
        <w:t>.” (Sic)</w:t>
      </w:r>
    </w:p>
    <w:p w:rsidR="00E50BE6" w:rsidRDefault="00E50BE6" w:rsidP="00E50BE6">
      <w:pPr>
        <w:spacing w:line="360" w:lineRule="auto"/>
        <w:jc w:val="both"/>
        <w:rPr>
          <w:rFonts w:ascii="Palatino Linotype" w:eastAsia="Palatino Linotype" w:hAnsi="Palatino Linotype" w:cs="Palatino Linotype"/>
        </w:rPr>
      </w:pPr>
    </w:p>
    <w:p w:rsidR="00E50BE6" w:rsidRDefault="00E50BE6" w:rsidP="00E50BE6">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De lo expuesto, se concluye que un Certificado de No Antecedentes Penales constituye un documento que puede ser entregado en versión pública, al contener información confidencial en términos de los artículos 143, fracción I de la Ley de Transparencia del Estado de México y Municipios y 4, fracciones VII y VIII de la Ley de Protección de Datos Personales del Estado de México.</w:t>
      </w:r>
    </w:p>
    <w:p w:rsidR="00E50BE6" w:rsidRDefault="00E50BE6" w:rsidP="00E50BE6">
      <w:pPr>
        <w:spacing w:line="360" w:lineRule="auto"/>
        <w:jc w:val="both"/>
        <w:rPr>
          <w:rFonts w:ascii="Palatino Linotype" w:eastAsia="Palatino Linotype" w:hAnsi="Palatino Linotype" w:cs="Palatino Linotype"/>
        </w:rPr>
      </w:pPr>
    </w:p>
    <w:p w:rsidR="00E50BE6" w:rsidRDefault="00E50BE6" w:rsidP="00E50BE6">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Ahora bien, como se ha precisado en líneas anteriores el Certificado de no antecedentes penales es un documento que debe ser considerado como confidencial por regla general; sin embargo, cuando el interés público de conocer dicha información esté por encima del interés particular de protegerla, en dicha ponderación se deberá acreditar que el beneficio que reporta dar a conocer la información confidencial pedida o solicitada es mayor a la invasión que su divulgación genera en los derechos de las personas, considerando la legitimidad del derecho adoptado como preferente que sea el adecuado para el logro de un fin constitucionalmente válido o apto para conseguir el fin pretendido (idoneidad), la falta de un medio alternativo menos lesivo a la apertura de la información para satisfacer el interés público (necesidad) y el equilibrio entre perjuicio y beneficio a favor del interés público, a fin de que la decisión tomada represente un beneficio mayor al perjuicio que podría causar a la población (proporcionalidad), al tratarse de medios y mandos superiores del Ayuntamiento de </w:t>
      </w:r>
      <w:r w:rsidR="00B3525E">
        <w:rPr>
          <w:rFonts w:ascii="Palatino Linotype" w:eastAsia="Palatino Linotype" w:hAnsi="Palatino Linotype" w:cs="Palatino Linotype"/>
        </w:rPr>
        <w:t>Temascalcingo</w:t>
      </w:r>
      <w:r>
        <w:rPr>
          <w:rFonts w:ascii="Palatino Linotype" w:eastAsia="Palatino Linotype" w:hAnsi="Palatino Linotype" w:cs="Palatino Linotype"/>
        </w:rPr>
        <w:t>.</w:t>
      </w:r>
    </w:p>
    <w:p w:rsidR="00E50BE6" w:rsidRDefault="00E50BE6" w:rsidP="00E50BE6">
      <w:pPr>
        <w:spacing w:line="360" w:lineRule="auto"/>
        <w:ind w:right="49"/>
        <w:jc w:val="both"/>
        <w:rPr>
          <w:rFonts w:ascii="Palatino Linotype" w:eastAsia="Palatino Linotype" w:hAnsi="Palatino Linotype" w:cs="Palatino Linotype"/>
        </w:rPr>
      </w:pPr>
    </w:p>
    <w:p w:rsidR="00E50BE6" w:rsidRDefault="00E50BE6" w:rsidP="00E50BE6">
      <w:pPr>
        <w:tabs>
          <w:tab w:val="left" w:pos="709"/>
        </w:tabs>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Una vez precisado lo anterior,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deberá emitir el acuerdo que la clasifique como confidencial, debidamente fundado y motivado en términos de lo </w:t>
      </w:r>
      <w:r>
        <w:rPr>
          <w:rFonts w:ascii="Palatino Linotype" w:eastAsia="Palatino Linotype" w:hAnsi="Palatino Linotype" w:cs="Palatino Linotype"/>
        </w:rPr>
        <w:lastRenderedPageBreak/>
        <w:t xml:space="preserve">establecido en los artículos 3, fracciones IX, XX y XXI; 49 fracción VIII; 91, 143 y 149 de la Ley de Transparencia y Acceso a la Información Pública del Estado de México y Municipios, de los dispositivos legales citados, se desprende que el derecho de acceso a la información pública tiene como limitante el respeto a la intimidad y a la vida privada de las personas, es por ello que este Instituto debe cuidar que los datos personales que obren en poder de los Sujetos Obligados estén protegidos, quienes deberán adoptar las medidas de seguridad administrativa, física y técnica necesarias para garantizar la integridad, confidencialidad y disponibilidad de los datos personales, considerando además, que conforme al principio de finalidad todo tratamiento de datos personales que efectúen los sujetos obligados deberá estar justificado en la Ley, lo anterior en términos de lo dispuesto por los artículos 6, 22, 38 y 43, de la Ley de Protección de Datos Personales del Estado de México. </w:t>
      </w:r>
    </w:p>
    <w:p w:rsidR="00E50BE6" w:rsidRDefault="00E50BE6" w:rsidP="00E50BE6">
      <w:pPr>
        <w:pBdr>
          <w:top w:val="nil"/>
          <w:left w:val="nil"/>
          <w:bottom w:val="nil"/>
          <w:right w:val="nil"/>
          <w:between w:val="nil"/>
        </w:pBdr>
        <w:spacing w:before="240" w:after="240"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t xml:space="preserve">En consecuencia,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tiene la posibilidad de otorgar satisfacción al presente requerimiento, por lo que resulta procedente ordenar la entrega del </w:t>
      </w:r>
      <w:r w:rsidRPr="003E4484">
        <w:rPr>
          <w:rFonts w:ascii="Palatino Linotype" w:eastAsia="Palatino Linotype" w:hAnsi="Palatino Linotype" w:cs="Palatino Linotype"/>
        </w:rPr>
        <w:t xml:space="preserve">certificado de antecedentes no penales del </w:t>
      </w:r>
      <w:r w:rsidR="00464DC4" w:rsidRPr="003E4484">
        <w:rPr>
          <w:rFonts w:ascii="Palatino Linotype" w:eastAsia="Palatino Linotype" w:hAnsi="Palatino Linotype" w:cs="Palatino Linotype"/>
        </w:rPr>
        <w:t xml:space="preserve">Director del Instituto Municipal de Cultura Física y Deporte, </w:t>
      </w:r>
      <w:r w:rsidR="00B3525E">
        <w:rPr>
          <w:rFonts w:ascii="Palatino Linotype" w:eastAsia="Palatino Linotype" w:hAnsi="Palatino Linotype" w:cs="Palatino Linotype"/>
        </w:rPr>
        <w:t xml:space="preserve">que obre en sus archivos a la fecha de la solicitud </w:t>
      </w:r>
      <w:r w:rsidRPr="003E4484">
        <w:rPr>
          <w:rFonts w:ascii="Palatino Linotype" w:eastAsia="Palatino Linotype" w:hAnsi="Palatino Linotype" w:cs="Palatino Linotype"/>
        </w:rPr>
        <w:t>y en versión pública de acuerdo a lo señalado por el considerando quinto del presente fallo.</w:t>
      </w:r>
      <w:r>
        <w:rPr>
          <w:rFonts w:ascii="Palatino Linotype" w:eastAsia="Palatino Linotype" w:hAnsi="Palatino Linotype" w:cs="Palatino Linotype"/>
        </w:rPr>
        <w:t xml:space="preserve"> </w:t>
      </w:r>
    </w:p>
    <w:p w:rsidR="00DD61EF" w:rsidRPr="000B2F80" w:rsidRDefault="00E50BE6" w:rsidP="00DD61EF">
      <w:pPr>
        <w:spacing w:line="360" w:lineRule="auto"/>
        <w:contextualSpacing/>
        <w:jc w:val="both"/>
        <w:rPr>
          <w:rFonts w:ascii="Palatino Linotype" w:hAnsi="Palatino Linotype" w:cs="Tahoma"/>
        </w:rPr>
      </w:pPr>
      <w:r>
        <w:rPr>
          <w:rFonts w:ascii="Palatino Linotype" w:eastAsia="Palatino Linotype" w:hAnsi="Palatino Linotype" w:cs="Palatino Linotype"/>
        </w:rPr>
        <w:t xml:space="preserve"> Por l</w:t>
      </w:r>
      <w:r w:rsidR="00464DC4">
        <w:rPr>
          <w:rFonts w:ascii="Palatino Linotype" w:eastAsia="Palatino Linotype" w:hAnsi="Palatino Linotype" w:cs="Palatino Linotype"/>
        </w:rPr>
        <w:t>o que concierne a la fracción VI</w:t>
      </w:r>
      <w:r>
        <w:rPr>
          <w:rFonts w:ascii="Palatino Linotype" w:eastAsia="Palatino Linotype" w:hAnsi="Palatino Linotype" w:cs="Palatino Linotype"/>
        </w:rPr>
        <w:t xml:space="preserve">, tocante a </w:t>
      </w:r>
      <w:r>
        <w:rPr>
          <w:rFonts w:ascii="Palatino Linotype" w:eastAsia="Palatino Linotype" w:hAnsi="Palatino Linotype" w:cs="Palatino Linotype"/>
          <w:i/>
        </w:rPr>
        <w:t>“</w:t>
      </w:r>
      <w:r w:rsidR="00464DC4" w:rsidRPr="00464DC4">
        <w:rPr>
          <w:rFonts w:ascii="Palatino Linotype" w:eastAsia="Palatino Linotype" w:hAnsi="Palatino Linotype" w:cs="Palatino Linotype"/>
          <w:i/>
        </w:rPr>
        <w:t xml:space="preserve">No estar inscrito en el Registro de Deudores Alimentarios Morosos en el Estado, </w:t>
      </w:r>
      <w:r w:rsidR="00464DC4">
        <w:rPr>
          <w:rFonts w:ascii="Palatino Linotype" w:eastAsia="Palatino Linotype" w:hAnsi="Palatino Linotype" w:cs="Palatino Linotype"/>
          <w:i/>
        </w:rPr>
        <w:t xml:space="preserve">ni en otra entidad federativa”(Sic), </w:t>
      </w:r>
      <w:r w:rsidR="00DD61EF">
        <w:rPr>
          <w:rFonts w:ascii="Palatino Linotype" w:hAnsi="Palatino Linotype" w:cs="Tahoma"/>
          <w:bCs/>
          <w:lang w:eastAsia="en-US"/>
        </w:rPr>
        <w:t>p</w:t>
      </w:r>
      <w:r w:rsidR="00DD61EF" w:rsidRPr="000B2F80">
        <w:rPr>
          <w:rFonts w:ascii="Palatino Linotype" w:hAnsi="Palatino Linotype" w:cs="Tahoma"/>
          <w:bCs/>
          <w:lang w:eastAsia="en-US"/>
        </w:rPr>
        <w:t xml:space="preserve">or lo que hace los certificados de no deudor alimentario moroso este debe ser protegido mediante su clasificación como </w:t>
      </w:r>
      <w:r w:rsidR="00DD61EF" w:rsidRPr="000B2F80">
        <w:rPr>
          <w:rFonts w:ascii="Palatino Linotype" w:hAnsi="Palatino Linotype" w:cs="Tahoma"/>
          <w:b/>
          <w:bCs/>
          <w:lang w:eastAsia="en-US"/>
        </w:rPr>
        <w:t>confidencial en su totalidad</w:t>
      </w:r>
      <w:r w:rsidR="00DD61EF" w:rsidRPr="000B2F80">
        <w:rPr>
          <w:rFonts w:ascii="Palatino Linotype" w:hAnsi="Palatino Linotype" w:cs="Tahoma"/>
          <w:bCs/>
          <w:lang w:eastAsia="en-US"/>
        </w:rPr>
        <w:t xml:space="preserve">, ello derivado a que el </w:t>
      </w:r>
      <w:r w:rsidR="00DD61EF" w:rsidRPr="000B2F80">
        <w:rPr>
          <w:rFonts w:ascii="Palatino Linotype" w:hAnsi="Palatino Linotype" w:cs="Tahoma"/>
          <w:bCs/>
          <w:lang w:eastAsia="en-US"/>
        </w:rPr>
        <w:lastRenderedPageBreak/>
        <w:t xml:space="preserve">estar inscrito en dicho registro tiene un impacto </w:t>
      </w:r>
      <w:r w:rsidR="00DD61EF" w:rsidRPr="000B2F80">
        <w:rPr>
          <w:rFonts w:ascii="Palatino Linotype" w:hAnsi="Palatino Linotype" w:cs="Tahoma"/>
        </w:rPr>
        <w:t>en la imagen de un servidor público y se trata de un tema estrictamente de carácter personal e incluso de tipo familiar.</w:t>
      </w:r>
    </w:p>
    <w:p w:rsidR="00DD61EF" w:rsidRPr="000B2F80" w:rsidRDefault="00DD61EF" w:rsidP="00DD61EF">
      <w:pPr>
        <w:spacing w:line="360" w:lineRule="auto"/>
        <w:contextualSpacing/>
        <w:jc w:val="both"/>
        <w:rPr>
          <w:rFonts w:ascii="Palatino Linotype" w:hAnsi="Palatino Linotype" w:cs="Tahoma"/>
        </w:rPr>
      </w:pPr>
    </w:p>
    <w:p w:rsidR="00DD61EF" w:rsidRPr="000B2F80" w:rsidRDefault="00DD61EF" w:rsidP="00DD61EF">
      <w:pPr>
        <w:spacing w:line="360" w:lineRule="auto"/>
        <w:contextualSpacing/>
        <w:jc w:val="both"/>
        <w:rPr>
          <w:rFonts w:ascii="Palatino Linotype" w:hAnsi="Palatino Linotype" w:cs="Tahoma"/>
        </w:rPr>
      </w:pPr>
      <w:r w:rsidRPr="000B2F80">
        <w:rPr>
          <w:rFonts w:ascii="Palatino Linotype" w:hAnsi="Palatino Linotype" w:cs="Tahoma"/>
        </w:rPr>
        <w:t xml:space="preserve">Al respecto, en el Proyecto de Decreto por el que se Reforman y Adicionan Diversas Disposiciones para crear el Registro de Deudores Alimentarios del Estado de México, disponible en la dirección electrónica </w:t>
      </w:r>
      <w:hyperlink r:id="rId28" w:anchor=":~:text=La%20inscripci%C3%B3n%20con%20el%20car%C3%A1cter,del%20Estado%20de%20M%C3%A9xico%20e" w:history="1">
        <w:r w:rsidRPr="000B2F80">
          <w:rPr>
            <w:rStyle w:val="Hipervnculo"/>
            <w:rFonts w:ascii="Palatino Linotype" w:hAnsi="Palatino Linotype" w:cs="Tahoma"/>
          </w:rPr>
          <w:t>https://www.ipomex.org.mx/recursos/ipo/files_ipo/2014/8/11/630bc7787b59af912a96a9e1bca1c770.pdf#:~:text=La%20inscripci%C3%B3n%20con%20el%20car%C3%A1cter,del%20Estado%20de%20M%C3%A9xico%20e</w:t>
        </w:r>
      </w:hyperlink>
      <w:r w:rsidRPr="000B2F80">
        <w:rPr>
          <w:rFonts w:ascii="Palatino Linotype" w:hAnsi="Palatino Linotype" w:cs="Tahoma"/>
        </w:rPr>
        <w:t xml:space="preserve">, pueden advertirse los objetivos de crear dicho registro: </w:t>
      </w:r>
    </w:p>
    <w:p w:rsidR="00DD61EF" w:rsidRPr="00E61B74" w:rsidRDefault="00DD61EF" w:rsidP="00DD61EF">
      <w:pPr>
        <w:spacing w:line="360" w:lineRule="auto"/>
        <w:contextualSpacing/>
        <w:jc w:val="both"/>
        <w:rPr>
          <w:rFonts w:ascii="Palatino Linotype" w:hAnsi="Palatino Linotype" w:cs="Tahoma"/>
        </w:rPr>
      </w:pPr>
    </w:p>
    <w:p w:rsidR="00DD61EF" w:rsidRPr="00DD61EF" w:rsidRDefault="00DD61EF" w:rsidP="00DD61EF">
      <w:pPr>
        <w:ind w:left="567" w:right="539"/>
        <w:contextualSpacing/>
        <w:jc w:val="both"/>
        <w:rPr>
          <w:rFonts w:ascii="Palatino Linotype" w:hAnsi="Palatino Linotype" w:cs="Tahoma"/>
          <w:i/>
          <w:iCs/>
          <w:sz w:val="22"/>
          <w:szCs w:val="22"/>
        </w:rPr>
      </w:pPr>
      <w:r w:rsidRPr="00DD61EF">
        <w:rPr>
          <w:rFonts w:ascii="Palatino Linotype" w:hAnsi="Palatino Linotype" w:cs="Tahoma"/>
          <w:i/>
          <w:iCs/>
          <w:sz w:val="22"/>
          <w:szCs w:val="22"/>
        </w:rPr>
        <w:t>“El interés superior del menor debe prevalecer en cualquier controversia de derecho familiar, situación que obliga a las autoridades a establecer las medidas necesarias para asegurar el cumplimiento del pago de la pensión alimenticia decretada a su favor.</w:t>
      </w:r>
    </w:p>
    <w:p w:rsidR="00DD61EF" w:rsidRPr="00DD61EF" w:rsidRDefault="00DD61EF" w:rsidP="00DD61EF">
      <w:pPr>
        <w:ind w:left="567"/>
        <w:contextualSpacing/>
        <w:jc w:val="both"/>
        <w:rPr>
          <w:rFonts w:ascii="Palatino Linotype" w:hAnsi="Palatino Linotype" w:cs="Tahoma"/>
          <w:i/>
          <w:iCs/>
          <w:sz w:val="22"/>
          <w:szCs w:val="22"/>
        </w:rPr>
      </w:pPr>
    </w:p>
    <w:p w:rsidR="00DD61EF" w:rsidRPr="00DD61EF" w:rsidRDefault="00DD61EF" w:rsidP="00DD61EF">
      <w:pPr>
        <w:ind w:left="567" w:right="539"/>
        <w:contextualSpacing/>
        <w:jc w:val="both"/>
        <w:rPr>
          <w:rFonts w:ascii="Palatino Linotype" w:hAnsi="Palatino Linotype" w:cs="Tahoma"/>
          <w:i/>
          <w:iCs/>
          <w:sz w:val="22"/>
          <w:szCs w:val="22"/>
        </w:rPr>
      </w:pPr>
      <w:r w:rsidRPr="00DD61EF">
        <w:rPr>
          <w:rFonts w:ascii="Palatino Linotype" w:hAnsi="Palatino Linotype" w:cs="Tahoma"/>
          <w:i/>
          <w:iCs/>
          <w:sz w:val="22"/>
          <w:szCs w:val="22"/>
        </w:rPr>
        <w:t>De acuerdo a nuestra legislación, el derecho a los alimentos no sólo se comprende el acceso a los productos para la nutrición y alimentación sino también lo relativo a la educación, vivienda, vestido, asistencia médica, recreación, entre otros; aspectos todos que permiten o posibilitan el desarrollo integral de las personas.</w:t>
      </w:r>
    </w:p>
    <w:p w:rsidR="00DD61EF" w:rsidRPr="00DD61EF" w:rsidRDefault="00DD61EF" w:rsidP="00DD61EF">
      <w:pPr>
        <w:ind w:left="567" w:right="539"/>
        <w:contextualSpacing/>
        <w:jc w:val="both"/>
        <w:rPr>
          <w:rFonts w:ascii="Palatino Linotype" w:hAnsi="Palatino Linotype" w:cs="Tahoma"/>
          <w:i/>
          <w:iCs/>
          <w:sz w:val="22"/>
          <w:szCs w:val="22"/>
        </w:rPr>
      </w:pPr>
    </w:p>
    <w:p w:rsidR="00DD61EF" w:rsidRPr="00DD61EF" w:rsidRDefault="00DD61EF" w:rsidP="00DD61EF">
      <w:pPr>
        <w:ind w:left="567" w:right="539"/>
        <w:contextualSpacing/>
        <w:jc w:val="both"/>
        <w:rPr>
          <w:rFonts w:ascii="Palatino Linotype" w:hAnsi="Palatino Linotype" w:cs="Tahoma"/>
          <w:i/>
          <w:iCs/>
          <w:sz w:val="22"/>
          <w:szCs w:val="22"/>
        </w:rPr>
      </w:pPr>
      <w:r w:rsidRPr="00DD61EF">
        <w:rPr>
          <w:rFonts w:ascii="Palatino Linotype" w:hAnsi="Palatino Linotype" w:cs="Tahoma"/>
          <w:i/>
          <w:iCs/>
          <w:sz w:val="22"/>
          <w:szCs w:val="22"/>
        </w:rPr>
        <w:t>En nuestra Entidad, las demandas de alimentos son presentadas en su gran mayoría por mujeres madres de familia que demandan, por su propio derecho y/o en representación de sus menores hijos, de su cónyuge, concubino o ex pareja el cumplimiento de esta obligación. Esto debido a que en ocasiones los obligados a proporcionar alimentos eluden su responsabilidad, con la errónea idea de que será en perjuicio de su pareja o ex pareja, sin entender que son los menores hijos los que resultan más afectados. Así que, al acudir al sistema de justicia se pretende que la pensión alimenticia correspondiente quede fijada definitivamente y se garantice el cumplimiento de la obligación alimentaria.</w:t>
      </w:r>
    </w:p>
    <w:p w:rsidR="00DD61EF" w:rsidRPr="00DD61EF" w:rsidRDefault="00DD61EF" w:rsidP="00DD61EF">
      <w:pPr>
        <w:ind w:left="567" w:right="539"/>
        <w:contextualSpacing/>
        <w:jc w:val="both"/>
        <w:rPr>
          <w:rFonts w:ascii="Palatino Linotype" w:hAnsi="Palatino Linotype" w:cs="Tahoma"/>
          <w:i/>
          <w:iCs/>
          <w:sz w:val="22"/>
          <w:szCs w:val="22"/>
        </w:rPr>
      </w:pPr>
    </w:p>
    <w:p w:rsidR="00DD61EF" w:rsidRPr="00DD61EF" w:rsidRDefault="00DD61EF" w:rsidP="00DD61EF">
      <w:pPr>
        <w:ind w:left="567" w:right="539"/>
        <w:contextualSpacing/>
        <w:jc w:val="both"/>
        <w:rPr>
          <w:rFonts w:ascii="Palatino Linotype" w:hAnsi="Palatino Linotype" w:cs="Tahoma"/>
          <w:i/>
          <w:iCs/>
          <w:sz w:val="22"/>
          <w:szCs w:val="22"/>
        </w:rPr>
      </w:pPr>
      <w:r w:rsidRPr="00DD61EF">
        <w:rPr>
          <w:rFonts w:ascii="Palatino Linotype" w:hAnsi="Palatino Linotype" w:cs="Tahoma"/>
          <w:i/>
          <w:iCs/>
          <w:sz w:val="22"/>
          <w:szCs w:val="22"/>
        </w:rPr>
        <w:t xml:space="preserve">Los alimentos tienen carácter preferente a favor de los hijos, sin que pueda eximirse el deudor alimentario de su cumplimiento cuando esté en posibilidades de hacerlo. En el </w:t>
      </w:r>
      <w:r w:rsidRPr="00DD61EF">
        <w:rPr>
          <w:rFonts w:ascii="Palatino Linotype" w:hAnsi="Palatino Linotype" w:cs="Tahoma"/>
          <w:i/>
          <w:iCs/>
          <w:sz w:val="22"/>
          <w:szCs w:val="22"/>
        </w:rPr>
        <w:lastRenderedPageBreak/>
        <w:t>Estado de México,</w:t>
      </w:r>
      <w:r w:rsidRPr="00DD61EF">
        <w:rPr>
          <w:rFonts w:ascii="Palatino Linotype" w:hAnsi="Palatino Linotype"/>
          <w:sz w:val="22"/>
          <w:szCs w:val="22"/>
        </w:rPr>
        <w:t xml:space="preserve"> </w:t>
      </w:r>
      <w:r w:rsidRPr="00DD61EF">
        <w:rPr>
          <w:rFonts w:ascii="Palatino Linotype" w:hAnsi="Palatino Linotype" w:cs="Tahoma"/>
          <w:i/>
          <w:iCs/>
          <w:sz w:val="22"/>
          <w:szCs w:val="22"/>
        </w:rPr>
        <w:t>diversos son los instrumentos legales que se tienen para obligar al deudor al pago de alimentos, cuando éstos no se enteran de manera voluntaria, como debe ser el ideal, entre los que destacan: el embargo de bienes, incluyendo, la del salario, así como la pérdida de la patria potestad, contempladas en la legislación civil, sustantiva y adjetiva. También podemos citar, la imposición de la pena de prisión hasta por siete años, por el delito de incumplimiento de obligaciones, previsto en las fracciones II y III, del artículo 217, del Código Penal del Estado de México. Pese a los alcances de estas medidas legales, éstas no han sido suficientes para hacer cumplir a los deudores con sus obligaciones alimentarias.</w:t>
      </w:r>
    </w:p>
    <w:p w:rsidR="00DD61EF" w:rsidRPr="00DD61EF" w:rsidRDefault="00DD61EF" w:rsidP="00DD61EF">
      <w:pPr>
        <w:ind w:left="567" w:right="539"/>
        <w:contextualSpacing/>
        <w:jc w:val="both"/>
        <w:rPr>
          <w:rFonts w:ascii="Palatino Linotype" w:hAnsi="Palatino Linotype" w:cs="Tahoma"/>
          <w:i/>
          <w:iCs/>
          <w:sz w:val="22"/>
          <w:szCs w:val="22"/>
        </w:rPr>
      </w:pPr>
    </w:p>
    <w:p w:rsidR="00DD61EF" w:rsidRPr="00DD61EF" w:rsidRDefault="00DD61EF" w:rsidP="00DD61EF">
      <w:pPr>
        <w:ind w:left="567" w:right="539"/>
        <w:contextualSpacing/>
        <w:jc w:val="both"/>
        <w:rPr>
          <w:rFonts w:ascii="Palatino Linotype" w:hAnsi="Palatino Linotype" w:cs="Tahoma"/>
          <w:i/>
          <w:iCs/>
          <w:sz w:val="22"/>
          <w:szCs w:val="22"/>
        </w:rPr>
      </w:pPr>
      <w:r w:rsidRPr="00DD61EF">
        <w:rPr>
          <w:rFonts w:ascii="Palatino Linotype" w:hAnsi="Palatino Linotype" w:cs="Tahoma"/>
          <w:i/>
          <w:iCs/>
          <w:sz w:val="22"/>
          <w:szCs w:val="22"/>
        </w:rPr>
        <w:t xml:space="preserve">Por ello, creemos necesario establecer nuevos y diferentes mecanismos que aseguren el pago de los alimentos, para que sean satisfechas las necesidades más básicas, principalmente de los menores, que no pueden allegarse por sí mismos los recursos económicos para la subsistencia. Lo anterior, porque cuando una persona ha logrado satisfacer sus necesidades básicas, entonces está en mejores condiciones para crecer y superarse. En ese sentido, el presente Proyecto de Decreto propone la creación del Registro de Deudores Alimentarios del Estado de México (REDAEM), </w:t>
      </w:r>
      <w:r w:rsidRPr="00DD61EF">
        <w:rPr>
          <w:rFonts w:ascii="Palatino Linotype" w:hAnsi="Palatino Linotype" w:cs="Tahoma"/>
          <w:b/>
          <w:bCs/>
          <w:i/>
          <w:iCs/>
          <w:sz w:val="22"/>
          <w:szCs w:val="22"/>
          <w:u w:val="single"/>
        </w:rPr>
        <w:t>con la finalidad de asegurar el cumplimiento de las obligaciones alimentarias que tienen los padres para con sus menores hijos.</w:t>
      </w:r>
      <w:r>
        <w:rPr>
          <w:rFonts w:ascii="Palatino Linotype" w:hAnsi="Palatino Linotype" w:cs="Tahoma"/>
          <w:b/>
          <w:bCs/>
          <w:i/>
          <w:iCs/>
          <w:sz w:val="22"/>
          <w:szCs w:val="22"/>
          <w:u w:val="single"/>
        </w:rPr>
        <w:t>” (Sic)</w:t>
      </w:r>
    </w:p>
    <w:p w:rsidR="00DD61EF" w:rsidRPr="00E61B74" w:rsidRDefault="00DD61EF" w:rsidP="00DD61EF">
      <w:pPr>
        <w:spacing w:line="360" w:lineRule="auto"/>
        <w:contextualSpacing/>
        <w:jc w:val="both"/>
        <w:rPr>
          <w:rFonts w:ascii="Palatino Linotype" w:hAnsi="Palatino Linotype" w:cs="Tahoma"/>
        </w:rPr>
      </w:pPr>
    </w:p>
    <w:p w:rsidR="00DD61EF" w:rsidRDefault="00DD61EF" w:rsidP="00DD61EF">
      <w:pPr>
        <w:spacing w:line="360" w:lineRule="auto"/>
        <w:contextualSpacing/>
        <w:jc w:val="both"/>
        <w:rPr>
          <w:rFonts w:ascii="Palatino Linotype" w:hAnsi="Palatino Linotype" w:cs="Tahoma"/>
        </w:rPr>
      </w:pPr>
      <w:r w:rsidRPr="000B2F80">
        <w:rPr>
          <w:rFonts w:ascii="Palatino Linotype" w:hAnsi="Palatino Linotype" w:cs="Tahoma"/>
        </w:rPr>
        <w:t xml:space="preserve">De lo anterior se desprende que el registro de deudores alimentarios morosos no tiene por objeto su publicidad, sino por el contrario que sea un mecanismo para garantizar que los padres cumplan con su obligación de dar alimentos a los hijos en razón de su protección (interés superior del menor), en este sentido si bien dicho registro no es público, para el caso de proporcionar los que no están inscritos como deudores morosos y se clasifiquen los que sí se encuentran inscritos se puede arribar a la conclusión de quiénes sí se encuentran como deudores alimentarios morosos, por lo tanto, no es procedente entrega esta información ni de quienes están ni de quienes no están, por lo que resulta </w:t>
      </w:r>
      <w:r w:rsidRPr="003B3B18">
        <w:rPr>
          <w:rFonts w:ascii="Palatino Linotype" w:hAnsi="Palatino Linotype" w:cs="Tahoma"/>
        </w:rPr>
        <w:t xml:space="preserve">procedente clasificar la información solicitada por el Recurrente de manera general como </w:t>
      </w:r>
      <w:r w:rsidRPr="003B3B18">
        <w:rPr>
          <w:rFonts w:ascii="Palatino Linotype" w:hAnsi="Palatino Linotype" w:cs="Tahoma"/>
          <w:b/>
        </w:rPr>
        <w:t>información confidencial en su totalidad</w:t>
      </w:r>
      <w:r w:rsidRPr="003B3B18">
        <w:rPr>
          <w:rFonts w:ascii="Palatino Linotype" w:hAnsi="Palatino Linotype" w:cs="Tahoma"/>
        </w:rPr>
        <w:t xml:space="preserve"> en </w:t>
      </w:r>
      <w:r w:rsidRPr="003B3B18">
        <w:rPr>
          <w:rFonts w:ascii="Palatino Linotype" w:hAnsi="Palatino Linotype" w:cs="Tahoma"/>
        </w:rPr>
        <w:lastRenderedPageBreak/>
        <w:t>términos del artículo 143, fracción I, de la Ley de Transparencia y Acceso a la Información Pública del Estado de México y Municipios.</w:t>
      </w:r>
      <w:r w:rsidRPr="000B2F80">
        <w:rPr>
          <w:rFonts w:ascii="Palatino Linotype" w:hAnsi="Palatino Linotype" w:cs="Tahoma"/>
        </w:rPr>
        <w:t xml:space="preserve"> </w:t>
      </w:r>
    </w:p>
    <w:p w:rsidR="00B3525E" w:rsidRDefault="00B3525E" w:rsidP="00B3525E">
      <w:pPr>
        <w:spacing w:line="360" w:lineRule="auto"/>
        <w:contextualSpacing/>
        <w:jc w:val="both"/>
        <w:rPr>
          <w:rFonts w:ascii="Palatino Linotype" w:hAnsi="Palatino Linotype" w:cs="Tahoma"/>
        </w:rPr>
      </w:pPr>
    </w:p>
    <w:p w:rsidR="00B3525E" w:rsidRDefault="00B3525E" w:rsidP="00B3525E">
      <w:pPr>
        <w:pStyle w:val="Prrafodelista"/>
        <w:autoSpaceDE w:val="0"/>
        <w:autoSpaceDN w:val="0"/>
        <w:adjustRightInd w:val="0"/>
        <w:spacing w:line="360" w:lineRule="auto"/>
        <w:ind w:left="0"/>
        <w:jc w:val="both"/>
        <w:rPr>
          <w:rFonts w:ascii="Palatino Linotype" w:hAnsi="Palatino Linotype"/>
          <w:sz w:val="24"/>
          <w:szCs w:val="24"/>
          <w:shd w:val="clear" w:color="auto" w:fill="FFFFFF"/>
        </w:rPr>
      </w:pPr>
      <w:r w:rsidRPr="00B3525E">
        <w:rPr>
          <w:rFonts w:ascii="Palatino Linotype" w:hAnsi="Palatino Linotype" w:cs="Tahoma"/>
          <w:sz w:val="24"/>
          <w:szCs w:val="24"/>
        </w:rPr>
        <w:t xml:space="preserve">En cuanto a que si el </w:t>
      </w:r>
      <w:r w:rsidRPr="00B3525E">
        <w:rPr>
          <w:rFonts w:ascii="Palatino Linotype" w:eastAsia="Palatino Linotype" w:hAnsi="Palatino Linotype" w:cs="Palatino Linotype"/>
          <w:b/>
          <w:sz w:val="24"/>
          <w:szCs w:val="24"/>
        </w:rPr>
        <w:t xml:space="preserve">Director del Instituto Municipal de Cultura Física y Deporte, cuenta con cursos para fortalecer su profesionalismo y ética en el correcto </w:t>
      </w:r>
      <w:r w:rsidRPr="00B3525E">
        <w:rPr>
          <w:rFonts w:ascii="Palatino Linotype" w:hAnsi="Palatino Linotype"/>
          <w:sz w:val="24"/>
          <w:szCs w:val="24"/>
          <w:shd w:val="clear" w:color="auto" w:fill="FFFFFF"/>
        </w:rPr>
        <w:t xml:space="preserve">de sus labores como servidor público. </w:t>
      </w:r>
    </w:p>
    <w:p w:rsidR="00B3525E" w:rsidRDefault="00B3525E" w:rsidP="00B3525E">
      <w:pPr>
        <w:pStyle w:val="Prrafodelista"/>
        <w:autoSpaceDE w:val="0"/>
        <w:autoSpaceDN w:val="0"/>
        <w:adjustRightInd w:val="0"/>
        <w:spacing w:line="360" w:lineRule="auto"/>
        <w:ind w:left="0"/>
        <w:jc w:val="both"/>
        <w:rPr>
          <w:rFonts w:ascii="Palatino Linotype" w:hAnsi="Palatino Linotype"/>
          <w:sz w:val="24"/>
          <w:szCs w:val="24"/>
          <w:shd w:val="clear" w:color="auto" w:fill="FFFFFF"/>
        </w:rPr>
      </w:pPr>
    </w:p>
    <w:p w:rsidR="00B3525E" w:rsidRDefault="00B3525E" w:rsidP="00B3525E">
      <w:pPr>
        <w:pStyle w:val="Prrafodelista"/>
        <w:autoSpaceDE w:val="0"/>
        <w:autoSpaceDN w:val="0"/>
        <w:adjustRightInd w:val="0"/>
        <w:spacing w:line="360" w:lineRule="auto"/>
        <w:ind w:left="0"/>
        <w:jc w:val="both"/>
        <w:rPr>
          <w:rFonts w:ascii="Palatino Linotype" w:hAnsi="Palatino Linotype"/>
          <w:sz w:val="24"/>
          <w:szCs w:val="24"/>
          <w:shd w:val="clear" w:color="auto" w:fill="FFFFFF"/>
        </w:rPr>
      </w:pPr>
      <w:r>
        <w:rPr>
          <w:rFonts w:ascii="Palatino Linotype" w:hAnsi="Palatino Linotype"/>
          <w:sz w:val="24"/>
          <w:szCs w:val="24"/>
          <w:shd w:val="clear" w:color="auto" w:fill="FFFFFF"/>
        </w:rPr>
        <w:t xml:space="preserve">En términos del artículo 4 </w:t>
      </w:r>
      <w:r w:rsidR="0075616C">
        <w:rPr>
          <w:rFonts w:ascii="Palatino Linotype" w:hAnsi="Palatino Linotype"/>
          <w:sz w:val="24"/>
          <w:szCs w:val="24"/>
          <w:shd w:val="clear" w:color="auto" w:fill="FFFFFF"/>
        </w:rPr>
        <w:t xml:space="preserve">fracción XVII de la Ley Orgánica Municipal del Estado de México, el Presidente Municipal de Temascalcingo tiene la atribución de proveer el desarrollo institucional del Ayuntamiento, entre los que se destaca la </w:t>
      </w:r>
      <w:r w:rsidR="0075616C" w:rsidRPr="0075616C">
        <w:rPr>
          <w:rFonts w:ascii="Palatino Linotype" w:hAnsi="Palatino Linotype"/>
          <w:sz w:val="24"/>
          <w:szCs w:val="24"/>
          <w:shd w:val="clear" w:color="auto" w:fill="FFFFFF"/>
        </w:rPr>
        <w:t>profesionalización de los servidores públicos municipales</w:t>
      </w:r>
      <w:r w:rsidR="0075616C">
        <w:rPr>
          <w:rFonts w:ascii="Palatino Linotype" w:hAnsi="Palatino Linotype"/>
          <w:sz w:val="24"/>
          <w:szCs w:val="24"/>
          <w:shd w:val="clear" w:color="auto" w:fill="FFFFFF"/>
        </w:rPr>
        <w:t>, como así lo determina dicho ordenamiento legal que se inserta a continuación:</w:t>
      </w:r>
    </w:p>
    <w:p w:rsidR="0075616C" w:rsidRPr="0075616C" w:rsidRDefault="0075616C" w:rsidP="00B3525E">
      <w:pPr>
        <w:pStyle w:val="Prrafodelista"/>
        <w:autoSpaceDE w:val="0"/>
        <w:autoSpaceDN w:val="0"/>
        <w:adjustRightInd w:val="0"/>
        <w:spacing w:line="360" w:lineRule="auto"/>
        <w:ind w:left="0"/>
        <w:jc w:val="both"/>
        <w:rPr>
          <w:rFonts w:ascii="Palatino Linotype" w:hAnsi="Palatino Linotype"/>
          <w:sz w:val="24"/>
          <w:szCs w:val="24"/>
          <w:shd w:val="clear" w:color="auto" w:fill="FFFFFF"/>
        </w:rPr>
      </w:pPr>
    </w:p>
    <w:p w:rsidR="00B3525E" w:rsidRPr="0075616C" w:rsidRDefault="0075616C" w:rsidP="0075616C">
      <w:pPr>
        <w:ind w:left="567" w:right="539"/>
        <w:contextualSpacing/>
        <w:jc w:val="both"/>
        <w:rPr>
          <w:rFonts w:ascii="Palatino Linotype" w:hAnsi="Palatino Linotype" w:cs="Tahoma"/>
          <w:i/>
          <w:iCs/>
          <w:sz w:val="22"/>
          <w:szCs w:val="22"/>
        </w:rPr>
      </w:pPr>
      <w:r>
        <w:rPr>
          <w:rFonts w:ascii="Palatino Linotype" w:hAnsi="Palatino Linotype" w:cs="Tahoma"/>
          <w:i/>
          <w:iCs/>
          <w:sz w:val="22"/>
          <w:szCs w:val="22"/>
        </w:rPr>
        <w:t>“</w:t>
      </w:r>
      <w:r w:rsidR="00B3525E" w:rsidRPr="0075616C">
        <w:rPr>
          <w:rFonts w:ascii="Palatino Linotype" w:hAnsi="Palatino Linotype" w:cs="Tahoma"/>
          <w:i/>
          <w:iCs/>
          <w:sz w:val="22"/>
          <w:szCs w:val="22"/>
        </w:rPr>
        <w:t>Artículo 48</w:t>
      </w:r>
      <w:r w:rsidR="00B3525E" w:rsidRPr="0075616C">
        <w:rPr>
          <w:rFonts w:ascii="Palatino Linotype" w:hAnsi="Palatino Linotype" w:cs="Tahoma"/>
          <w:b/>
          <w:i/>
          <w:iCs/>
          <w:sz w:val="22"/>
          <w:szCs w:val="22"/>
        </w:rPr>
        <w:t>.- El presidente municipal tiene las siguientes atribuciones</w:t>
      </w:r>
      <w:r w:rsidR="00B3525E" w:rsidRPr="0075616C">
        <w:rPr>
          <w:rFonts w:ascii="Palatino Linotype" w:hAnsi="Palatino Linotype" w:cs="Tahoma"/>
          <w:i/>
          <w:iCs/>
          <w:sz w:val="22"/>
          <w:szCs w:val="22"/>
        </w:rPr>
        <w:t>:</w:t>
      </w:r>
    </w:p>
    <w:p w:rsidR="00B3525E" w:rsidRPr="0075616C" w:rsidRDefault="00B3525E" w:rsidP="0075616C">
      <w:pPr>
        <w:ind w:left="567" w:right="539"/>
        <w:contextualSpacing/>
        <w:jc w:val="both"/>
        <w:rPr>
          <w:rFonts w:ascii="Palatino Linotype" w:hAnsi="Palatino Linotype" w:cs="Tahoma"/>
          <w:i/>
          <w:iCs/>
          <w:sz w:val="22"/>
          <w:szCs w:val="22"/>
        </w:rPr>
      </w:pPr>
      <w:r w:rsidRPr="0075616C">
        <w:rPr>
          <w:rFonts w:ascii="Palatino Linotype" w:hAnsi="Palatino Linotype" w:cs="Tahoma"/>
          <w:i/>
          <w:iCs/>
          <w:sz w:val="22"/>
          <w:szCs w:val="22"/>
        </w:rPr>
        <w:t>…</w:t>
      </w:r>
    </w:p>
    <w:p w:rsidR="00B3525E" w:rsidRPr="0075616C" w:rsidRDefault="00B3525E" w:rsidP="0075616C">
      <w:pPr>
        <w:ind w:left="567" w:right="539"/>
        <w:contextualSpacing/>
        <w:jc w:val="both"/>
        <w:rPr>
          <w:rFonts w:ascii="Palatino Linotype" w:hAnsi="Palatino Linotype" w:cs="Tahoma"/>
          <w:i/>
          <w:iCs/>
          <w:sz w:val="22"/>
          <w:szCs w:val="22"/>
        </w:rPr>
      </w:pPr>
      <w:r w:rsidRPr="0075616C">
        <w:rPr>
          <w:rFonts w:ascii="Palatino Linotype" w:hAnsi="Palatino Linotype" w:cs="Tahoma"/>
          <w:b/>
          <w:i/>
          <w:iCs/>
          <w:sz w:val="22"/>
          <w:szCs w:val="22"/>
        </w:rPr>
        <w:t xml:space="preserve">XVII. Promover el desarrollo institucional del Ayuntamiento, entendido como el conjunto de acciones sistemáticas que hagan más eficiente la administración pública municipal mediante la capacitación </w:t>
      </w:r>
      <w:r w:rsidRPr="0075616C">
        <w:rPr>
          <w:rFonts w:ascii="Palatino Linotype" w:hAnsi="Palatino Linotype" w:cs="Tahoma"/>
          <w:b/>
          <w:i/>
          <w:iCs/>
          <w:sz w:val="22"/>
          <w:szCs w:val="22"/>
          <w:u w:val="single"/>
        </w:rPr>
        <w:t>y profesionalización de los servidores públicos municipales</w:t>
      </w:r>
      <w:r w:rsidRPr="0075616C">
        <w:rPr>
          <w:rFonts w:ascii="Palatino Linotype" w:hAnsi="Palatino Linotype" w:cs="Tahoma"/>
          <w:i/>
          <w:iCs/>
          <w:sz w:val="22"/>
          <w:szCs w:val="22"/>
        </w:rPr>
        <w:t>, la elaboración de planes y programas de mejora administrativa, el uso de tecnologías de información y comunicación en las áreas de la gestión, implantación de indicadores del desempeño o de eficiencia en el gasto público, entre otros de la misma naturaleza. Los resultados de las acciones implementadas deberán formar parte del informe anual al que se refiere la fr</w:t>
      </w:r>
      <w:r w:rsidR="0075616C">
        <w:rPr>
          <w:rFonts w:ascii="Palatino Linotype" w:hAnsi="Palatino Linotype" w:cs="Tahoma"/>
          <w:i/>
          <w:iCs/>
          <w:sz w:val="22"/>
          <w:szCs w:val="22"/>
        </w:rPr>
        <w:t>acción XV del presente artículo…”(Sic)</w:t>
      </w:r>
    </w:p>
    <w:p w:rsidR="00B3525E" w:rsidRDefault="00B3525E" w:rsidP="00B3525E">
      <w:pPr>
        <w:spacing w:line="360" w:lineRule="auto"/>
        <w:contextualSpacing/>
        <w:jc w:val="both"/>
        <w:rPr>
          <w:rFonts w:ascii="Palatino Linotype" w:hAnsi="Palatino Linotype" w:cs="Tahoma"/>
        </w:rPr>
      </w:pPr>
    </w:p>
    <w:p w:rsidR="0075616C" w:rsidRDefault="0075616C" w:rsidP="00403EAF">
      <w:pPr>
        <w:spacing w:before="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Lo que se robustece con lo señalado por el artículo 98 fracción</w:t>
      </w:r>
      <w:r w:rsidR="005C0167">
        <w:rPr>
          <w:rFonts w:ascii="Palatino Linotype" w:eastAsia="Palatino Linotype" w:hAnsi="Palatino Linotype" w:cs="Palatino Linotype"/>
        </w:rPr>
        <w:t xml:space="preserve"> IX de la Ley del Trabajo d</w:t>
      </w:r>
      <w:r w:rsidR="005C0167" w:rsidRPr="005C0167">
        <w:rPr>
          <w:rFonts w:ascii="Palatino Linotype" w:eastAsia="Palatino Linotype" w:hAnsi="Palatino Linotype" w:cs="Palatino Linotype"/>
        </w:rPr>
        <w:t>e Los Servidores Públicos</w:t>
      </w:r>
      <w:r w:rsidR="005C0167">
        <w:rPr>
          <w:rFonts w:ascii="Palatino Linotype" w:eastAsia="Palatino Linotype" w:hAnsi="Palatino Linotype" w:cs="Palatino Linotype"/>
        </w:rPr>
        <w:t xml:space="preserve"> del Estado y</w:t>
      </w:r>
      <w:r w:rsidR="005C0167" w:rsidRPr="005C0167">
        <w:rPr>
          <w:rFonts w:ascii="Palatino Linotype" w:eastAsia="Palatino Linotype" w:hAnsi="Palatino Linotype" w:cs="Palatino Linotype"/>
        </w:rPr>
        <w:t xml:space="preserve"> Municipios</w:t>
      </w:r>
      <w:r w:rsidR="005C0167">
        <w:rPr>
          <w:rFonts w:ascii="Palatino Linotype" w:eastAsia="Palatino Linotype" w:hAnsi="Palatino Linotype" w:cs="Palatino Linotype"/>
        </w:rPr>
        <w:t>, que señala:</w:t>
      </w:r>
    </w:p>
    <w:p w:rsidR="005C0167" w:rsidRDefault="005C0167" w:rsidP="00403EAF">
      <w:pPr>
        <w:spacing w:before="240" w:line="360" w:lineRule="auto"/>
        <w:ind w:right="49"/>
        <w:jc w:val="both"/>
        <w:rPr>
          <w:rFonts w:ascii="Palatino Linotype" w:eastAsia="Palatino Linotype" w:hAnsi="Palatino Linotype" w:cs="Palatino Linotype"/>
        </w:rPr>
      </w:pPr>
    </w:p>
    <w:p w:rsidR="0075616C" w:rsidRPr="005C0167" w:rsidRDefault="0075616C" w:rsidP="005C0167">
      <w:pPr>
        <w:ind w:left="567" w:right="539"/>
        <w:contextualSpacing/>
        <w:jc w:val="both"/>
        <w:rPr>
          <w:rFonts w:ascii="Palatino Linotype" w:hAnsi="Palatino Linotype" w:cs="Tahoma"/>
          <w:b/>
          <w:i/>
          <w:iCs/>
          <w:sz w:val="22"/>
          <w:szCs w:val="22"/>
        </w:rPr>
      </w:pPr>
      <w:r w:rsidRPr="005C0167">
        <w:rPr>
          <w:rFonts w:ascii="Palatino Linotype" w:hAnsi="Palatino Linotype" w:cs="Tahoma"/>
          <w:b/>
          <w:i/>
          <w:iCs/>
          <w:sz w:val="22"/>
          <w:szCs w:val="22"/>
        </w:rPr>
        <w:t>ARTÍCULO 98. Son obligaciones de las instituciones públicas:</w:t>
      </w:r>
    </w:p>
    <w:p w:rsidR="0075616C" w:rsidRPr="005C0167" w:rsidRDefault="0075616C" w:rsidP="005C0167">
      <w:pPr>
        <w:ind w:left="567" w:right="539"/>
        <w:contextualSpacing/>
        <w:jc w:val="both"/>
        <w:rPr>
          <w:rFonts w:ascii="Palatino Linotype" w:hAnsi="Palatino Linotype" w:cs="Tahoma"/>
          <w:i/>
          <w:iCs/>
          <w:sz w:val="22"/>
          <w:szCs w:val="22"/>
        </w:rPr>
      </w:pPr>
      <w:r w:rsidRPr="005C0167">
        <w:rPr>
          <w:rFonts w:ascii="Palatino Linotype" w:hAnsi="Palatino Linotype" w:cs="Tahoma"/>
          <w:i/>
          <w:iCs/>
          <w:sz w:val="22"/>
          <w:szCs w:val="22"/>
        </w:rPr>
        <w:t>…</w:t>
      </w:r>
    </w:p>
    <w:p w:rsidR="0075616C" w:rsidRPr="005C0167" w:rsidRDefault="0075616C" w:rsidP="005C0167">
      <w:pPr>
        <w:ind w:left="567" w:right="539"/>
        <w:contextualSpacing/>
        <w:jc w:val="both"/>
        <w:rPr>
          <w:rFonts w:ascii="Palatino Linotype" w:hAnsi="Palatino Linotype" w:cs="Tahoma"/>
          <w:i/>
          <w:iCs/>
          <w:sz w:val="22"/>
          <w:szCs w:val="22"/>
        </w:rPr>
      </w:pPr>
      <w:r w:rsidRPr="005C0167">
        <w:rPr>
          <w:rFonts w:ascii="Palatino Linotype" w:hAnsi="Palatino Linotype" w:cs="Tahoma"/>
          <w:b/>
          <w:i/>
          <w:iCs/>
          <w:sz w:val="22"/>
          <w:szCs w:val="22"/>
        </w:rPr>
        <w:t>IX. Realizar actividades de capacitación y adiestramiento con el objeto de que los servidores públicos puedan adquirir conocimientos que les permitan</w:t>
      </w:r>
      <w:r w:rsidRPr="005C0167">
        <w:rPr>
          <w:rFonts w:ascii="Palatino Linotype" w:hAnsi="Palatino Linotype" w:cs="Tahoma"/>
          <w:i/>
          <w:iCs/>
          <w:sz w:val="22"/>
          <w:szCs w:val="22"/>
        </w:rPr>
        <w:t xml:space="preserve"> obtener ascensos conforme al escalafón y </w:t>
      </w:r>
      <w:r w:rsidRPr="005C0167">
        <w:rPr>
          <w:rFonts w:ascii="Palatino Linotype" w:hAnsi="Palatino Linotype" w:cs="Tahoma"/>
          <w:b/>
          <w:i/>
          <w:iCs/>
          <w:sz w:val="22"/>
          <w:szCs w:val="22"/>
        </w:rPr>
        <w:t>des</w:t>
      </w:r>
      <w:r w:rsidR="005C0167">
        <w:rPr>
          <w:rFonts w:ascii="Palatino Linotype" w:hAnsi="Palatino Linotype" w:cs="Tahoma"/>
          <w:b/>
          <w:i/>
          <w:iCs/>
          <w:sz w:val="22"/>
          <w:szCs w:val="22"/>
        </w:rPr>
        <w:t>arrollar su aptitud profesional…”(Sic)</w:t>
      </w:r>
    </w:p>
    <w:p w:rsidR="005C0167" w:rsidRDefault="005C0167" w:rsidP="00403EAF">
      <w:pPr>
        <w:spacing w:before="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Por lo que es posible que el citado Director cuente con capacitaciones, cursos o adiestramientos, para desarrollar su aptitud profesional; razones por las cuales lo procedente es ordenar los documentos en donde constes las capacitaciones, curso o adiestramientos para desarrollo sus aptitudes profesionales y de ser procedente en versión </w:t>
      </w:r>
      <w:r w:rsidR="00ED68A5">
        <w:rPr>
          <w:rFonts w:ascii="Palatino Linotype" w:eastAsia="Palatino Linotype" w:hAnsi="Palatino Linotype" w:cs="Palatino Linotype"/>
        </w:rPr>
        <w:t>pública conforme a lo señalado en el considerando quinto en el presente fallo.</w:t>
      </w:r>
    </w:p>
    <w:p w:rsidR="00403EAF" w:rsidRPr="00403EAF" w:rsidRDefault="00952D0A" w:rsidP="00403EAF">
      <w:pPr>
        <w:spacing w:before="240" w:line="360" w:lineRule="auto"/>
        <w:ind w:right="49"/>
        <w:jc w:val="both"/>
        <w:rPr>
          <w:rFonts w:ascii="Palatino Linotype" w:hAnsi="Palatino Linotype" w:cs="Tahoma"/>
        </w:rPr>
      </w:pPr>
      <w:r w:rsidRPr="00952D0A">
        <w:rPr>
          <w:rFonts w:ascii="Palatino Linotype" w:eastAsia="Palatino Linotype" w:hAnsi="Palatino Linotype" w:cs="Palatino Linotype"/>
        </w:rPr>
        <w:t xml:space="preserve">Finalmente, </w:t>
      </w:r>
      <w:r w:rsidRPr="00FB0FBD">
        <w:rPr>
          <w:rFonts w:ascii="Palatino Linotype" w:eastAsia="Palatino Linotype" w:hAnsi="Palatino Linotype" w:cs="Palatino Linotype"/>
          <w:b/>
          <w:u w:val="single"/>
        </w:rPr>
        <w:t xml:space="preserve">de la </w:t>
      </w:r>
      <w:r w:rsidRPr="00FB0FBD">
        <w:rPr>
          <w:rFonts w:ascii="Palatino Linotype" w:hAnsi="Palatino Linotype" w:cs="Tahoma"/>
          <w:b/>
          <w:u w:val="single"/>
        </w:rPr>
        <w:t>copia de los recibos de pago de las quincenas de diciembre de 2021 y de enero a febrero de 2022, de Uriel Roldan Zaldívar, Matilde Rosario Moreno Correa y Gerardo Gilberto Roldan Zaldívar</w:t>
      </w:r>
      <w:r>
        <w:rPr>
          <w:rFonts w:ascii="Palatino Linotype" w:hAnsi="Palatino Linotype" w:cs="Tahoma"/>
        </w:rPr>
        <w:t xml:space="preserve">, </w:t>
      </w:r>
      <w:r w:rsidR="00FB0FBD">
        <w:rPr>
          <w:rFonts w:ascii="Palatino Linotype" w:hAnsi="Palatino Linotype" w:cs="Tahoma"/>
        </w:rPr>
        <w:t xml:space="preserve">de las respuestas proporcionadas a través del informe justificado, </w:t>
      </w:r>
      <w:r w:rsidR="00E90816">
        <w:rPr>
          <w:rFonts w:ascii="Palatino Linotype" w:hAnsi="Palatino Linotype" w:cs="Tahoma"/>
        </w:rPr>
        <w:t>se advierte que la titular de la unidad de transparencia incumplió con lo señalado por el art</w:t>
      </w:r>
      <w:r w:rsidR="00403EAF">
        <w:rPr>
          <w:rFonts w:ascii="Palatino Linotype" w:hAnsi="Palatino Linotype" w:cs="Tahoma"/>
        </w:rPr>
        <w:t xml:space="preserve">ículo </w:t>
      </w:r>
      <w:r w:rsidR="00403EAF">
        <w:rPr>
          <w:rFonts w:ascii="Palatino Linotype" w:eastAsia="Palatino Linotype" w:hAnsi="Palatino Linotype" w:cs="Palatino Linotype"/>
        </w:rPr>
        <w:t>162 de la Ley de Transparencia y Acceso a la Información Pública del Estado de México y Municipios, ya que</w:t>
      </w:r>
      <w:r w:rsidR="0047540A">
        <w:rPr>
          <w:rFonts w:ascii="Palatino Linotype" w:eastAsia="Palatino Linotype" w:hAnsi="Palatino Linotype" w:cs="Palatino Linotype"/>
        </w:rPr>
        <w:t xml:space="preserve"> las únicas áreas que se pronunciaron fueron la Dirección de Administración y Director de ODAPAS de Temascalcingo</w:t>
      </w:r>
      <w:r w:rsidR="00403EAF">
        <w:rPr>
          <w:rFonts w:ascii="Palatino Linotype" w:eastAsia="Palatino Linotype" w:hAnsi="Palatino Linotype" w:cs="Palatino Linotype"/>
        </w:rPr>
        <w:t xml:space="preserve">, </w:t>
      </w:r>
      <w:r w:rsidR="0047540A">
        <w:rPr>
          <w:rFonts w:ascii="Palatino Linotype" w:eastAsia="Palatino Linotype" w:hAnsi="Palatino Linotype" w:cs="Palatino Linotype"/>
        </w:rPr>
        <w:t xml:space="preserve">en ese sentido </w:t>
      </w:r>
      <w:r w:rsidR="00403EAF">
        <w:rPr>
          <w:rFonts w:ascii="Palatino Linotype" w:eastAsia="Palatino Linotype" w:hAnsi="Palatino Linotype" w:cs="Palatino Linotype"/>
        </w:rPr>
        <w:t xml:space="preserve">no se puede perder de vista que para otorgar respuesta a la solicitud inicial, el </w:t>
      </w:r>
      <w:r w:rsidR="00403EAF">
        <w:rPr>
          <w:rFonts w:ascii="Palatino Linotype" w:eastAsia="Palatino Linotype" w:hAnsi="Palatino Linotype" w:cs="Palatino Linotype"/>
          <w:b/>
        </w:rPr>
        <w:t>SUJETO OBLIGADO</w:t>
      </w:r>
      <w:r w:rsidR="00403EAF">
        <w:rPr>
          <w:rFonts w:ascii="Palatino Linotype" w:eastAsia="Palatino Linotype" w:hAnsi="Palatino Linotype" w:cs="Palatino Linotype"/>
        </w:rPr>
        <w:t xml:space="preserve"> no turnó dicho ocurso a las áreas en las que podría obrar la información, tal como se puede apreciar en el expediente electrónico, sin embargo, de conformidad con la fracción XXXIX del artículo tercero de la legislación local vigente en materia de transparencia, el Servidor Público Habilitado es el competente para apoyar, gestionar y entregar la información: </w:t>
      </w:r>
    </w:p>
    <w:p w:rsidR="00403EAF" w:rsidRDefault="00403EAF" w:rsidP="00403EAF">
      <w:pPr>
        <w:spacing w:before="240" w:after="240"/>
        <w:ind w:left="709" w:right="902"/>
        <w:jc w:val="both"/>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lastRenderedPageBreak/>
        <w:t>“XXXIX. Servidor público habilitado: 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 (Sic)</w:t>
      </w:r>
    </w:p>
    <w:p w:rsidR="00403EAF" w:rsidRDefault="00403EAF" w:rsidP="00403EAF">
      <w:pPr>
        <w:shd w:val="clear" w:color="auto" w:fill="FFFFFF"/>
        <w:spacing w:before="240" w:after="240" w:line="360" w:lineRule="auto"/>
        <w:jc w:val="both"/>
        <w:rPr>
          <w:color w:val="222222"/>
        </w:rPr>
      </w:pPr>
      <w:r>
        <w:rPr>
          <w:rFonts w:ascii="Palatino Linotype" w:eastAsia="Palatino Linotype" w:hAnsi="Palatino Linotype" w:cs="Palatino Linotype"/>
          <w:color w:val="222222"/>
        </w:rPr>
        <w:t>En este orden de ideas, se advierte que efectivamente la Unidad de Transparencia no cumplió con lo expresado en el artículo 162 de la Ley </w:t>
      </w:r>
      <w:r>
        <w:rPr>
          <w:rFonts w:ascii="Palatino Linotype" w:eastAsia="Palatino Linotype" w:hAnsi="Palatino Linotype" w:cs="Palatino Linotype"/>
          <w:color w:val="000000"/>
        </w:rPr>
        <w:t>de Transparencia y Acceso a la Información Pública del Estado de México y Municipios, el cual menciona lo siguiente:</w:t>
      </w:r>
    </w:p>
    <w:p w:rsidR="00403EAF" w:rsidRDefault="00403EAF" w:rsidP="00403EAF">
      <w:pPr>
        <w:shd w:val="clear" w:color="auto" w:fill="FFFFFF"/>
        <w:spacing w:after="240"/>
        <w:ind w:left="993" w:right="1041"/>
        <w:jc w:val="both"/>
        <w:rPr>
          <w:color w:val="222222"/>
        </w:rPr>
      </w:pPr>
      <w:r>
        <w:rPr>
          <w:rFonts w:ascii="Palatino Linotype" w:eastAsia="Palatino Linotype" w:hAnsi="Palatino Linotype" w:cs="Palatino Linotype"/>
          <w:b/>
          <w:i/>
          <w:color w:val="222222"/>
          <w:sz w:val="22"/>
          <w:szCs w:val="22"/>
        </w:rPr>
        <w:t>“Artículo 162.</w:t>
      </w:r>
      <w:r>
        <w:rPr>
          <w:rFonts w:ascii="Palatino Linotype" w:eastAsia="Palatino Linotype" w:hAnsi="Palatino Linotype" w:cs="Palatino Linotype"/>
          <w:i/>
          <w:color w:val="222222"/>
          <w:sz w:val="22"/>
          <w:szCs w:val="22"/>
        </w:rPr>
        <w:t>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r w:rsidR="0058717C">
        <w:rPr>
          <w:rFonts w:ascii="Palatino Linotype" w:eastAsia="Palatino Linotype" w:hAnsi="Palatino Linotype" w:cs="Palatino Linotype"/>
          <w:i/>
          <w:color w:val="222222"/>
          <w:sz w:val="22"/>
          <w:szCs w:val="22"/>
        </w:rPr>
        <w:t>.” (</w:t>
      </w:r>
      <w:r>
        <w:rPr>
          <w:rFonts w:ascii="Palatino Linotype" w:eastAsia="Palatino Linotype" w:hAnsi="Palatino Linotype" w:cs="Palatino Linotype"/>
          <w:i/>
          <w:color w:val="222222"/>
          <w:sz w:val="22"/>
          <w:szCs w:val="22"/>
        </w:rPr>
        <w:t>Sic)</w:t>
      </w:r>
    </w:p>
    <w:p w:rsidR="00403EAF" w:rsidRDefault="00403EAF" w:rsidP="00403EAF">
      <w:pPr>
        <w:shd w:val="clear" w:color="auto" w:fill="FFFFFF"/>
        <w:spacing w:line="360" w:lineRule="auto"/>
        <w:jc w:val="both"/>
        <w:rPr>
          <w:color w:val="222222"/>
        </w:rPr>
      </w:pPr>
      <w:r>
        <w:rPr>
          <w:rFonts w:ascii="Palatino Linotype" w:eastAsia="Palatino Linotype" w:hAnsi="Palatino Linotype" w:cs="Palatino Linotype"/>
          <w:color w:val="222222"/>
        </w:rPr>
        <w:t>Dicho procedimiento de búsqueda, se constituye como la garantía primaria del derecho humano de acceso a la información pública, el cual se rige por los principios de simplicidad, rapidez, gratuidad del procedimiento, auxilio y orientaci</w:t>
      </w:r>
      <w:bookmarkStart w:id="0" w:name="_GoBack"/>
      <w:bookmarkEnd w:id="0"/>
      <w:r>
        <w:rPr>
          <w:rFonts w:ascii="Palatino Linotype" w:eastAsia="Palatino Linotype" w:hAnsi="Palatino Linotype" w:cs="Palatino Linotype"/>
          <w:color w:val="222222"/>
        </w:rPr>
        <w:t>ón a los particulares con el fin de otorgar la protección más amplia de éste derecho</w:t>
      </w:r>
      <w:r>
        <w:rPr>
          <w:rFonts w:ascii="Palatino Linotype" w:eastAsia="Palatino Linotype" w:hAnsi="Palatino Linotype" w:cs="Palatino Linotype"/>
          <w:color w:val="222222"/>
          <w:vertAlign w:val="superscript"/>
        </w:rPr>
        <w:footnoteReference w:id="5"/>
      </w:r>
      <w:r>
        <w:rPr>
          <w:rFonts w:ascii="Palatino Linotype" w:eastAsia="Palatino Linotype" w:hAnsi="Palatino Linotype" w:cs="Palatino Linotype"/>
          <w:color w:val="222222"/>
        </w:rPr>
        <w:t xml:space="preserve">, para ello la misma norma establece que los sujetos obligados deberán otorgar el acceso a los documentos que obren en sus archivos o que estén obligados a documentar de acuerdo a sus facultades, competencias o funciones; por ende, al recibir una solicitud de acceso a la información pública, y como fue referido, las solicitudes se tendrán que turnar al área competente para brindar contestación, por lo que la misma Ley indica que serán los Sujetos Obligados quienes establecerán la forma y términos en que darán trámite </w:t>
      </w:r>
      <w:r>
        <w:rPr>
          <w:rFonts w:ascii="Palatino Linotype" w:eastAsia="Palatino Linotype" w:hAnsi="Palatino Linotype" w:cs="Palatino Linotype"/>
          <w:color w:val="222222"/>
        </w:rPr>
        <w:lastRenderedPageBreak/>
        <w:t>interno a las solicitudes que no podrán exceder de los periodos establecidos para brindar respuesta, tal cual se desprende de los siguientes artículos:</w:t>
      </w:r>
    </w:p>
    <w:p w:rsidR="00403EAF" w:rsidRDefault="00403EAF" w:rsidP="00403EAF">
      <w:pPr>
        <w:shd w:val="clear" w:color="auto" w:fill="FFFFFF"/>
        <w:ind w:left="993" w:right="1041"/>
        <w:jc w:val="both"/>
        <w:rPr>
          <w:rFonts w:ascii="Palatino Linotype" w:eastAsia="Palatino Linotype" w:hAnsi="Palatino Linotype" w:cs="Palatino Linotype"/>
          <w:b/>
          <w:i/>
          <w:color w:val="222222"/>
          <w:sz w:val="22"/>
          <w:szCs w:val="22"/>
        </w:rPr>
      </w:pPr>
    </w:p>
    <w:p w:rsidR="00403EAF" w:rsidRDefault="00403EAF" w:rsidP="00403EAF">
      <w:pPr>
        <w:shd w:val="clear" w:color="auto" w:fill="FFFFFF"/>
        <w:ind w:left="993" w:right="1041"/>
        <w:jc w:val="both"/>
        <w:rPr>
          <w:color w:val="222222"/>
        </w:rPr>
      </w:pPr>
      <w:r>
        <w:rPr>
          <w:rFonts w:ascii="Palatino Linotype" w:eastAsia="Palatino Linotype" w:hAnsi="Palatino Linotype" w:cs="Palatino Linotype"/>
          <w:b/>
          <w:i/>
          <w:color w:val="222222"/>
          <w:sz w:val="22"/>
          <w:szCs w:val="22"/>
        </w:rPr>
        <w:t>“Artículo 160. </w:t>
      </w:r>
      <w:r>
        <w:rPr>
          <w:rFonts w:ascii="Palatino Linotype" w:eastAsia="Palatino Linotype" w:hAnsi="Palatino Linotype" w:cs="Palatino Linotype"/>
          <w:i/>
          <w:color w:val="222222"/>
          <w:sz w:val="22"/>
          <w:szCs w:val="22"/>
        </w:rPr>
        <w:t>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rsidR="00403EAF" w:rsidRDefault="00403EAF" w:rsidP="00403EAF">
      <w:pPr>
        <w:shd w:val="clear" w:color="auto" w:fill="FFFFFF"/>
        <w:ind w:left="993" w:right="1041"/>
        <w:jc w:val="both"/>
        <w:rPr>
          <w:color w:val="222222"/>
        </w:rPr>
      </w:pPr>
      <w:r>
        <w:rPr>
          <w:rFonts w:ascii="Palatino Linotype" w:eastAsia="Palatino Linotype" w:hAnsi="Palatino Linotype" w:cs="Palatino Linotype"/>
          <w:i/>
          <w:color w:val="222222"/>
          <w:sz w:val="22"/>
          <w:szCs w:val="22"/>
        </w:rPr>
        <w:t>En caso que la información solicitada consista en bases de datos se deberá privilegiar la entrega de la misma en formatos abiertos.</w:t>
      </w:r>
    </w:p>
    <w:p w:rsidR="00403EAF" w:rsidRDefault="00403EAF" w:rsidP="00403EAF">
      <w:pPr>
        <w:shd w:val="clear" w:color="auto" w:fill="FFFFFF"/>
        <w:ind w:left="993" w:right="1041"/>
        <w:jc w:val="both"/>
        <w:rPr>
          <w:color w:val="222222"/>
        </w:rPr>
      </w:pPr>
      <w:r>
        <w:rPr>
          <w:rFonts w:ascii="Palatino Linotype" w:eastAsia="Palatino Linotype" w:hAnsi="Palatino Linotype" w:cs="Palatino Linotype"/>
          <w:b/>
          <w:i/>
          <w:color w:val="222222"/>
          <w:sz w:val="22"/>
          <w:szCs w:val="22"/>
        </w:rPr>
        <w:t>Artículo 163.</w:t>
      </w:r>
      <w:r>
        <w:rPr>
          <w:rFonts w:ascii="Palatino Linotype" w:eastAsia="Palatino Linotype" w:hAnsi="Palatino Linotype" w:cs="Palatino Linotype"/>
          <w:i/>
          <w:color w:val="222222"/>
          <w:sz w:val="22"/>
          <w:szCs w:val="22"/>
        </w:rPr>
        <w:t> La Unidad de Transparencia deberá notificar la respuesta a la solicitud al interesado en el menor tiempo posible, que no podrá exceder de quince días hábiles, contados a partir del día siguiente a la presentación de aquélla.</w:t>
      </w:r>
    </w:p>
    <w:p w:rsidR="00403EAF" w:rsidRDefault="00403EAF" w:rsidP="00403EAF">
      <w:pPr>
        <w:shd w:val="clear" w:color="auto" w:fill="FFFFFF"/>
        <w:ind w:left="993" w:right="1041"/>
        <w:jc w:val="both"/>
        <w:rPr>
          <w:color w:val="222222"/>
        </w:rPr>
      </w:pPr>
      <w:r>
        <w:rPr>
          <w:rFonts w:ascii="Palatino Linotype" w:eastAsia="Palatino Linotype" w:hAnsi="Palatino Linotype" w:cs="Palatino Linotype"/>
          <w:i/>
          <w:color w:val="222222"/>
          <w:sz w:val="22"/>
          <w:szCs w:val="22"/>
        </w:rPr>
        <w:t>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w:t>
      </w:r>
    </w:p>
    <w:p w:rsidR="00403EAF" w:rsidRDefault="00403EAF" w:rsidP="00403EAF">
      <w:pPr>
        <w:shd w:val="clear" w:color="auto" w:fill="FFFFFF"/>
        <w:ind w:left="993" w:right="1041"/>
        <w:jc w:val="both"/>
        <w:rPr>
          <w:color w:val="222222"/>
        </w:rPr>
      </w:pPr>
      <w:r>
        <w:rPr>
          <w:rFonts w:ascii="Palatino Linotype" w:eastAsia="Palatino Linotype" w:hAnsi="Palatino Linotype" w:cs="Palatino Linotype"/>
          <w:b/>
          <w:i/>
          <w:color w:val="222222"/>
          <w:sz w:val="22"/>
          <w:szCs w:val="22"/>
        </w:rPr>
        <w:t>Artículo 165.</w:t>
      </w:r>
      <w:r>
        <w:rPr>
          <w:rFonts w:ascii="Palatino Linotype" w:eastAsia="Palatino Linotype" w:hAnsi="Palatino Linotype" w:cs="Palatino Linotype"/>
          <w:i/>
          <w:color w:val="222222"/>
          <w:sz w:val="22"/>
          <w:szCs w:val="22"/>
        </w:rPr>
        <w:t> Los sujetos obligados establecerán la forma y términos en que darán trámite interno a las solicitudes en materia de acceso a la información.</w:t>
      </w:r>
    </w:p>
    <w:p w:rsidR="00403EAF" w:rsidRDefault="00403EAF" w:rsidP="00403EAF">
      <w:pPr>
        <w:shd w:val="clear" w:color="auto" w:fill="FFFFFF"/>
        <w:ind w:left="993" w:right="1041"/>
        <w:jc w:val="both"/>
        <w:rPr>
          <w:color w:val="222222"/>
        </w:rPr>
      </w:pPr>
      <w:r>
        <w:rPr>
          <w:rFonts w:ascii="Palatino Linotype" w:eastAsia="Palatino Linotype" w:hAnsi="Palatino Linotype" w:cs="Palatino Linotype"/>
          <w:i/>
          <w:color w:val="222222"/>
          <w:sz w:val="22"/>
          <w:szCs w:val="22"/>
        </w:rPr>
        <w:t>La información que se entregue en versión pública, cuya modalidad de reproducción o envío tenga un costo, procederá una vez que se acredite el pago respectivo. No puede entenderse como reproducción la elaboración de la misma.</w:t>
      </w:r>
    </w:p>
    <w:p w:rsidR="00403EAF" w:rsidRDefault="00403EAF" w:rsidP="00403EAF">
      <w:pPr>
        <w:shd w:val="clear" w:color="auto" w:fill="FFFFFF"/>
        <w:spacing w:after="240"/>
        <w:ind w:left="993" w:right="1041"/>
        <w:jc w:val="both"/>
        <w:rPr>
          <w:color w:val="222222"/>
        </w:rPr>
      </w:pPr>
      <w:r>
        <w:rPr>
          <w:rFonts w:ascii="Palatino Linotype" w:eastAsia="Palatino Linotype" w:hAnsi="Palatino Linotype" w:cs="Palatino Linotype"/>
          <w:i/>
          <w:color w:val="222222"/>
          <w:sz w:val="22"/>
          <w:szCs w:val="22"/>
        </w:rPr>
        <w:t>Ante la falta de respuesta a una solicitud en el plazo previsto y en caso de que proceda el acceso, los costos de reproducción y envío correrán a cargo del sujeto obligado</w:t>
      </w:r>
      <w:r w:rsidR="00C246A9">
        <w:rPr>
          <w:rFonts w:ascii="Palatino Linotype" w:eastAsia="Palatino Linotype" w:hAnsi="Palatino Linotype" w:cs="Palatino Linotype"/>
          <w:i/>
          <w:color w:val="222222"/>
          <w:sz w:val="22"/>
          <w:szCs w:val="22"/>
        </w:rPr>
        <w:t>.” (</w:t>
      </w:r>
      <w:r>
        <w:rPr>
          <w:rFonts w:ascii="Palatino Linotype" w:eastAsia="Palatino Linotype" w:hAnsi="Palatino Linotype" w:cs="Palatino Linotype"/>
          <w:i/>
          <w:color w:val="222222"/>
          <w:sz w:val="22"/>
          <w:szCs w:val="22"/>
        </w:rPr>
        <w:t>Sic)</w:t>
      </w:r>
    </w:p>
    <w:p w:rsidR="00403EAF" w:rsidRDefault="00403EAF" w:rsidP="00403EAF">
      <w:pPr>
        <w:shd w:val="clear" w:color="auto" w:fill="FFFFFF"/>
        <w:spacing w:before="240" w:after="240" w:line="360" w:lineRule="auto"/>
        <w:jc w:val="both"/>
        <w:rPr>
          <w:color w:val="222222"/>
        </w:rPr>
      </w:pPr>
      <w:r>
        <w:rPr>
          <w:rFonts w:ascii="Palatino Linotype" w:eastAsia="Palatino Linotype" w:hAnsi="Palatino Linotype" w:cs="Palatino Linotype"/>
          <w:color w:val="222222"/>
        </w:rPr>
        <w:t xml:space="preserve">Finalmente, la Ley de Transparencia vigente determina que el procedimiento de acceso a la información pública se tendrá por cumplida cuando el solicitante tenga a su disposición la información requerida, o en su caso, cuando realice la consulta de la </w:t>
      </w:r>
      <w:r>
        <w:rPr>
          <w:rFonts w:ascii="Palatino Linotype" w:eastAsia="Palatino Linotype" w:hAnsi="Palatino Linotype" w:cs="Palatino Linotype"/>
          <w:color w:val="222222"/>
        </w:rPr>
        <w:lastRenderedPageBreak/>
        <w:t>misma en el que ésta se localice</w:t>
      </w:r>
      <w:r>
        <w:rPr>
          <w:rFonts w:ascii="Palatino Linotype" w:eastAsia="Palatino Linotype" w:hAnsi="Palatino Linotype" w:cs="Palatino Linotype"/>
          <w:color w:val="222222"/>
          <w:vertAlign w:val="superscript"/>
        </w:rPr>
        <w:footnoteReference w:id="6"/>
      </w:r>
      <w:r>
        <w:rPr>
          <w:rFonts w:ascii="Palatino Linotype" w:eastAsia="Palatino Linotype" w:hAnsi="Palatino Linotype" w:cs="Palatino Linotype"/>
          <w:color w:val="222222"/>
        </w:rPr>
        <w:t xml:space="preserve">, situación que no se advierte en el presente caso, toda vez que el </w:t>
      </w:r>
      <w:r>
        <w:rPr>
          <w:rFonts w:ascii="Palatino Linotype" w:eastAsia="Palatino Linotype" w:hAnsi="Palatino Linotype" w:cs="Palatino Linotype"/>
          <w:b/>
          <w:color w:val="222222"/>
        </w:rPr>
        <w:t>SUJETO OBLIGADO</w:t>
      </w:r>
      <w:r>
        <w:rPr>
          <w:rFonts w:ascii="Palatino Linotype" w:eastAsia="Palatino Linotype" w:hAnsi="Palatino Linotype" w:cs="Palatino Linotype"/>
          <w:color w:val="222222"/>
        </w:rPr>
        <w:t>, a través de la Unidad de Transparencia no ha brindado el acceso a la información solicitada por el particular, por ende para tener por satisfecho el derecho humano en mérito, será necesario que la Unidad de Transparencia en estricto apego al procedimiento descrito realice una búsqueda exhaustiva y razonable de la información, turnando a las áreas competentes la solicitud con el objetivo de brindar contestación al requerimiento.</w:t>
      </w:r>
    </w:p>
    <w:p w:rsidR="00403EAF" w:rsidRDefault="00403EAF" w:rsidP="00403EAF">
      <w:pPr>
        <w:shd w:val="clear" w:color="auto" w:fill="FFFFFF"/>
        <w:spacing w:before="240" w:after="240" w:line="360" w:lineRule="auto"/>
        <w:jc w:val="both"/>
        <w:rPr>
          <w:rFonts w:ascii="Palatino Linotype" w:eastAsia="Palatino Linotype" w:hAnsi="Palatino Linotype" w:cs="Palatino Linotype"/>
          <w:color w:val="222222"/>
        </w:rPr>
      </w:pPr>
      <w:r>
        <w:rPr>
          <w:rFonts w:ascii="Palatino Linotype" w:eastAsia="Palatino Linotype" w:hAnsi="Palatino Linotype" w:cs="Palatino Linotype"/>
          <w:color w:val="222222"/>
        </w:rPr>
        <w:t xml:space="preserve">En mérito de lo anterior, se colige que el </w:t>
      </w:r>
      <w:r>
        <w:rPr>
          <w:rFonts w:ascii="Palatino Linotype" w:eastAsia="Palatino Linotype" w:hAnsi="Palatino Linotype" w:cs="Palatino Linotype"/>
          <w:b/>
          <w:color w:val="222222"/>
        </w:rPr>
        <w:t>SUJETO OBLIGADO</w:t>
      </w:r>
      <w:r>
        <w:rPr>
          <w:rFonts w:ascii="Palatino Linotype" w:eastAsia="Palatino Linotype" w:hAnsi="Palatino Linotype" w:cs="Palatino Linotype"/>
          <w:color w:val="222222"/>
        </w:rPr>
        <w:t xml:space="preserve"> debió realizar una búsqueda exhaustiva y razonable de la información peticionada en todas las áreas competentes para que se pronunciaran respecto de la solicitud del particular, como podría ser la </w:t>
      </w:r>
      <w:r w:rsidR="00C246A9">
        <w:rPr>
          <w:rFonts w:ascii="Palatino Linotype" w:eastAsia="Palatino Linotype" w:hAnsi="Palatino Linotype" w:cs="Palatino Linotype"/>
          <w:color w:val="222222"/>
        </w:rPr>
        <w:t>Tesorería Municipal del Ayuntamiento de Temascalcingo</w:t>
      </w:r>
      <w:r>
        <w:rPr>
          <w:rFonts w:ascii="Palatino Linotype" w:eastAsia="Palatino Linotype" w:hAnsi="Palatino Linotype" w:cs="Palatino Linotype"/>
          <w:color w:val="222222"/>
        </w:rPr>
        <w:t>, quien tiene las siguientes atribuciones</w:t>
      </w:r>
      <w:r w:rsidR="00C246A9">
        <w:rPr>
          <w:rFonts w:ascii="Palatino Linotype" w:eastAsia="Palatino Linotype" w:hAnsi="Palatino Linotype" w:cs="Palatino Linotype"/>
          <w:color w:val="222222"/>
        </w:rPr>
        <w:t>, en términos del artículo 95 fracción IV de la Ley Orgánica Municipal del Estado de México, que señala</w:t>
      </w:r>
      <w:r>
        <w:rPr>
          <w:rFonts w:ascii="Palatino Linotype" w:eastAsia="Palatino Linotype" w:hAnsi="Palatino Linotype" w:cs="Palatino Linotype"/>
          <w:color w:val="222222"/>
        </w:rPr>
        <w:t>:</w:t>
      </w:r>
    </w:p>
    <w:p w:rsidR="00C246A9" w:rsidRDefault="00C246A9" w:rsidP="00403EAF">
      <w:pPr>
        <w:shd w:val="clear" w:color="auto" w:fill="FFFFFF"/>
        <w:ind w:left="567" w:right="902"/>
        <w:jc w:val="both"/>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t>“</w:t>
      </w:r>
      <w:r w:rsidRPr="00C246A9">
        <w:rPr>
          <w:rFonts w:ascii="Palatino Linotype" w:eastAsia="Palatino Linotype" w:hAnsi="Palatino Linotype" w:cs="Palatino Linotype"/>
          <w:i/>
          <w:sz w:val="20"/>
          <w:szCs w:val="20"/>
        </w:rPr>
        <w:t>Artículo 95.- Son atribuciones del tesorero municipal:</w:t>
      </w:r>
    </w:p>
    <w:p w:rsidR="00C246A9" w:rsidRDefault="00C246A9" w:rsidP="00403EAF">
      <w:pPr>
        <w:shd w:val="clear" w:color="auto" w:fill="FFFFFF"/>
        <w:ind w:left="567" w:right="902"/>
        <w:jc w:val="both"/>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t>…</w:t>
      </w:r>
    </w:p>
    <w:p w:rsidR="00403EAF" w:rsidRPr="00EA5D87" w:rsidRDefault="00C246A9" w:rsidP="00403EAF">
      <w:pPr>
        <w:shd w:val="clear" w:color="auto" w:fill="FFFFFF"/>
        <w:ind w:left="567" w:right="902"/>
        <w:jc w:val="both"/>
        <w:rPr>
          <w:rFonts w:ascii="Palatino Linotype" w:eastAsia="Palatino Linotype" w:hAnsi="Palatino Linotype" w:cs="Palatino Linotype"/>
          <w:i/>
          <w:sz w:val="20"/>
          <w:szCs w:val="20"/>
        </w:rPr>
      </w:pPr>
      <w:r w:rsidRPr="00C246A9">
        <w:rPr>
          <w:rFonts w:ascii="Palatino Linotype" w:eastAsia="Palatino Linotype" w:hAnsi="Palatino Linotype" w:cs="Palatino Linotype"/>
          <w:i/>
          <w:sz w:val="20"/>
          <w:szCs w:val="20"/>
        </w:rPr>
        <w:t>IV. Llevar los registros contables, financieros y administrativos de los i</w:t>
      </w:r>
      <w:r>
        <w:rPr>
          <w:rFonts w:ascii="Palatino Linotype" w:eastAsia="Palatino Linotype" w:hAnsi="Palatino Linotype" w:cs="Palatino Linotype"/>
          <w:i/>
          <w:sz w:val="20"/>
          <w:szCs w:val="20"/>
        </w:rPr>
        <w:t>ngresos, egresos, e inventarios…</w:t>
      </w:r>
      <w:r w:rsidR="00403EAF">
        <w:rPr>
          <w:rFonts w:ascii="Palatino Linotype" w:eastAsia="Palatino Linotype" w:hAnsi="Palatino Linotype" w:cs="Palatino Linotype"/>
          <w:i/>
          <w:sz w:val="20"/>
          <w:szCs w:val="20"/>
        </w:rPr>
        <w:t>(Sic)</w:t>
      </w:r>
    </w:p>
    <w:p w:rsidR="00C246A9" w:rsidRDefault="00C246A9" w:rsidP="00952D0A">
      <w:pPr>
        <w:spacing w:before="240" w:line="360" w:lineRule="auto"/>
        <w:ind w:right="49"/>
        <w:jc w:val="both"/>
        <w:rPr>
          <w:rFonts w:ascii="Palatino Linotype" w:hAnsi="Palatino Linotype" w:cs="Tahoma"/>
        </w:rPr>
      </w:pPr>
      <w:r>
        <w:rPr>
          <w:rFonts w:ascii="Palatino Linotype" w:hAnsi="Palatino Linotype" w:cs="Tahoma"/>
        </w:rPr>
        <w:t xml:space="preserve">Lo que se robustece con lo señalado por el artículo 80 del Bando Municipal del </w:t>
      </w:r>
      <w:r w:rsidRPr="00C246A9">
        <w:rPr>
          <w:rFonts w:ascii="Palatino Linotype" w:hAnsi="Palatino Linotype" w:cs="Tahoma"/>
          <w:b/>
        </w:rPr>
        <w:t>SUJETO OBLIGADO</w:t>
      </w:r>
      <w:r>
        <w:rPr>
          <w:rFonts w:ascii="Palatino Linotype" w:hAnsi="Palatino Linotype" w:cs="Tahoma"/>
        </w:rPr>
        <w:t>, para el año 2022, que señala:</w:t>
      </w:r>
    </w:p>
    <w:p w:rsidR="00DB4CFD" w:rsidRDefault="00DB4CFD" w:rsidP="00DB4CFD">
      <w:pPr>
        <w:spacing w:before="240" w:line="360" w:lineRule="auto"/>
        <w:ind w:right="49"/>
        <w:contextualSpacing/>
        <w:jc w:val="both"/>
        <w:rPr>
          <w:rFonts w:ascii="Palatino Linotype" w:hAnsi="Palatino Linotype" w:cs="Tahoma"/>
        </w:rPr>
      </w:pPr>
    </w:p>
    <w:p w:rsidR="00C246A9" w:rsidRPr="007959E3" w:rsidRDefault="007959E3" w:rsidP="00DB4CFD">
      <w:pPr>
        <w:shd w:val="clear" w:color="auto" w:fill="FFFFFF"/>
        <w:spacing w:line="360" w:lineRule="auto"/>
        <w:ind w:left="567" w:right="902"/>
        <w:contextualSpacing/>
        <w:jc w:val="both"/>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t>“</w:t>
      </w:r>
      <w:r w:rsidRPr="007959E3">
        <w:rPr>
          <w:rFonts w:ascii="Palatino Linotype" w:eastAsia="Palatino Linotype" w:hAnsi="Palatino Linotype" w:cs="Palatino Linotype"/>
          <w:i/>
          <w:sz w:val="20"/>
          <w:szCs w:val="20"/>
        </w:rPr>
        <w:t xml:space="preserve">Artículo 80. La Tesorería municipal es el órgano encargado de la recaudación, fiscalización y administración de las contribuciones municipales, también es responsable de realizar las </w:t>
      </w:r>
      <w:r w:rsidRPr="007959E3">
        <w:rPr>
          <w:rFonts w:ascii="Palatino Linotype" w:eastAsia="Palatino Linotype" w:hAnsi="Palatino Linotype" w:cs="Palatino Linotype"/>
          <w:i/>
          <w:sz w:val="20"/>
          <w:szCs w:val="20"/>
        </w:rPr>
        <w:lastRenderedPageBreak/>
        <w:t>erogaciones que realice la Administración Pública Municipal, de conformidad con las disposiciones legales aplicables.</w:t>
      </w:r>
      <w:r>
        <w:rPr>
          <w:rFonts w:ascii="Palatino Linotype" w:eastAsia="Palatino Linotype" w:hAnsi="Palatino Linotype" w:cs="Palatino Linotype"/>
          <w:i/>
          <w:sz w:val="20"/>
          <w:szCs w:val="20"/>
        </w:rPr>
        <w:t>” (Sic)</w:t>
      </w:r>
      <w:r w:rsidR="00C246A9" w:rsidRPr="007959E3">
        <w:rPr>
          <w:rFonts w:ascii="Palatino Linotype" w:eastAsia="Palatino Linotype" w:hAnsi="Palatino Linotype" w:cs="Palatino Linotype"/>
          <w:i/>
          <w:sz w:val="20"/>
          <w:szCs w:val="20"/>
        </w:rPr>
        <w:t xml:space="preserve"> </w:t>
      </w:r>
    </w:p>
    <w:p w:rsidR="00403EAF" w:rsidRDefault="00C246A9" w:rsidP="005968DA">
      <w:pPr>
        <w:spacing w:before="240" w:line="360" w:lineRule="auto"/>
        <w:ind w:right="49"/>
        <w:jc w:val="both"/>
        <w:rPr>
          <w:rFonts w:ascii="Palatino Linotype" w:hAnsi="Palatino Linotype" w:cs="Tahoma"/>
        </w:rPr>
      </w:pPr>
      <w:r>
        <w:rPr>
          <w:rFonts w:ascii="Palatino Linotype" w:hAnsi="Palatino Linotype" w:cs="Tahoma"/>
        </w:rPr>
        <w:t xml:space="preserve">Así también </w:t>
      </w:r>
      <w:r w:rsidR="0015776D">
        <w:rPr>
          <w:rFonts w:ascii="Palatino Linotype" w:eastAsia="Palatino Linotype" w:hAnsi="Palatino Linotype" w:cs="Palatino Linotype"/>
          <w:color w:val="222222"/>
        </w:rPr>
        <w:t xml:space="preserve">del </w:t>
      </w:r>
      <w:r w:rsidR="0015776D">
        <w:rPr>
          <w:rFonts w:ascii="Palatino Linotype" w:hAnsi="Palatino Linotype" w:cs="Tahoma"/>
        </w:rPr>
        <w:t>Instituto Municipal d</w:t>
      </w:r>
      <w:r w:rsidR="0015776D" w:rsidRPr="0015776D">
        <w:rPr>
          <w:rFonts w:ascii="Palatino Linotype" w:hAnsi="Palatino Linotype" w:cs="Tahoma"/>
        </w:rPr>
        <w:t xml:space="preserve">e Cultura Física </w:t>
      </w:r>
      <w:r w:rsidR="0015776D">
        <w:rPr>
          <w:rFonts w:ascii="Palatino Linotype" w:hAnsi="Palatino Linotype" w:cs="Tahoma"/>
        </w:rPr>
        <w:t>y</w:t>
      </w:r>
      <w:r w:rsidR="0015776D">
        <w:t xml:space="preserve"> </w:t>
      </w:r>
      <w:r w:rsidR="0015776D" w:rsidRPr="0015776D">
        <w:rPr>
          <w:rFonts w:ascii="Palatino Linotype" w:hAnsi="Palatino Linotype" w:cs="Tahoma"/>
        </w:rPr>
        <w:t xml:space="preserve">Deporte y </w:t>
      </w:r>
      <w:r w:rsidR="0015776D">
        <w:rPr>
          <w:rFonts w:ascii="Palatino Linotype" w:hAnsi="Palatino Linotype" w:cs="Tahoma"/>
        </w:rPr>
        <w:t>Sistema Municipal para el Desarrollo Integral de Las Familias d</w:t>
      </w:r>
      <w:r w:rsidR="0015776D" w:rsidRPr="0015776D">
        <w:rPr>
          <w:rFonts w:ascii="Palatino Linotype" w:hAnsi="Palatino Linotype" w:cs="Tahoma"/>
        </w:rPr>
        <w:t>e Temascalcingo</w:t>
      </w:r>
      <w:r w:rsidR="0015776D">
        <w:rPr>
          <w:rFonts w:ascii="Palatino Linotype" w:hAnsi="Palatino Linotype" w:cs="Tahoma"/>
        </w:rPr>
        <w:t>, porque así lo solicit</w:t>
      </w:r>
      <w:r w:rsidR="005968DA">
        <w:rPr>
          <w:rFonts w:ascii="Palatino Linotype" w:hAnsi="Palatino Linotype" w:cs="Tahoma"/>
        </w:rPr>
        <w:t>ó el particular y además de acuerdo</w:t>
      </w:r>
      <w:r w:rsidR="0015776D">
        <w:rPr>
          <w:rFonts w:ascii="Palatino Linotype" w:hAnsi="Palatino Linotype" w:cs="Tahoma"/>
        </w:rPr>
        <w:t xml:space="preserve"> a sus atribuciones señaladas en los artículos 6 del Reglamento Interior del </w:t>
      </w:r>
      <w:r w:rsidR="005968DA">
        <w:rPr>
          <w:rFonts w:ascii="Palatino Linotype" w:hAnsi="Palatino Linotype" w:cs="Tahoma"/>
        </w:rPr>
        <w:t>Instituto Municipal de Cultura Física y</w:t>
      </w:r>
      <w:r w:rsidR="00B67963" w:rsidRPr="0015776D">
        <w:rPr>
          <w:rFonts w:ascii="Palatino Linotype" w:hAnsi="Palatino Linotype" w:cs="Tahoma"/>
        </w:rPr>
        <w:t xml:space="preserve"> Deporte</w:t>
      </w:r>
      <w:r w:rsidR="005968DA">
        <w:rPr>
          <w:rFonts w:ascii="Palatino Linotype" w:hAnsi="Palatino Linotype" w:cs="Tahoma"/>
        </w:rPr>
        <w:t xml:space="preserve"> y 15 de la Ley que c</w:t>
      </w:r>
      <w:r w:rsidR="005968DA" w:rsidRPr="005968DA">
        <w:rPr>
          <w:rFonts w:ascii="Palatino Linotype" w:hAnsi="Palatino Linotype" w:cs="Tahoma"/>
        </w:rPr>
        <w:t>rea Los Organismos Públicos</w:t>
      </w:r>
      <w:r w:rsidR="005968DA">
        <w:rPr>
          <w:rFonts w:ascii="Palatino Linotype" w:hAnsi="Palatino Linotype" w:cs="Tahoma"/>
        </w:rPr>
        <w:t xml:space="preserve"> Descentralizados de Asistencia Social, d</w:t>
      </w:r>
      <w:r w:rsidR="005968DA" w:rsidRPr="005968DA">
        <w:rPr>
          <w:rFonts w:ascii="Palatino Linotype" w:hAnsi="Palatino Linotype" w:cs="Tahoma"/>
        </w:rPr>
        <w:t>e Carácter Municipal, Denominados "Sistema</w:t>
      </w:r>
      <w:r w:rsidR="005968DA">
        <w:rPr>
          <w:rFonts w:ascii="Palatino Linotype" w:hAnsi="Palatino Linotype" w:cs="Tahoma"/>
        </w:rPr>
        <w:t>s Municipales Para el Desarrollo Integral de l</w:t>
      </w:r>
      <w:r w:rsidR="005968DA" w:rsidRPr="005968DA">
        <w:rPr>
          <w:rFonts w:ascii="Palatino Linotype" w:hAnsi="Palatino Linotype" w:cs="Tahoma"/>
        </w:rPr>
        <w:t>a Familia"</w:t>
      </w:r>
      <w:r w:rsidR="005968DA">
        <w:rPr>
          <w:rFonts w:ascii="Palatino Linotype" w:hAnsi="Palatino Linotype" w:cs="Tahoma"/>
        </w:rPr>
        <w:t>, que señalan:</w:t>
      </w:r>
    </w:p>
    <w:p w:rsidR="005968DA" w:rsidRDefault="005968DA" w:rsidP="005968DA">
      <w:pPr>
        <w:shd w:val="clear" w:color="auto" w:fill="FFFFFF"/>
        <w:ind w:left="567" w:right="902"/>
        <w:jc w:val="both"/>
        <w:rPr>
          <w:rFonts w:ascii="Palatino Linotype" w:eastAsia="Palatino Linotype" w:hAnsi="Palatino Linotype" w:cs="Palatino Linotype"/>
          <w:i/>
          <w:sz w:val="20"/>
          <w:szCs w:val="20"/>
        </w:rPr>
      </w:pPr>
    </w:p>
    <w:p w:rsidR="0015776D" w:rsidRDefault="005968DA" w:rsidP="005968DA">
      <w:pPr>
        <w:shd w:val="clear" w:color="auto" w:fill="FFFFFF"/>
        <w:ind w:left="567" w:right="902"/>
        <w:jc w:val="both"/>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t>“</w:t>
      </w:r>
      <w:r w:rsidR="0015776D" w:rsidRPr="005968DA">
        <w:rPr>
          <w:rFonts w:ascii="Palatino Linotype" w:eastAsia="Palatino Linotype" w:hAnsi="Palatino Linotype" w:cs="Palatino Linotype"/>
          <w:i/>
          <w:sz w:val="20"/>
          <w:szCs w:val="20"/>
        </w:rPr>
        <w:t xml:space="preserve">Artículo 6.- </w:t>
      </w:r>
      <w:r w:rsidR="0015776D" w:rsidRPr="005968DA">
        <w:rPr>
          <w:rFonts w:ascii="Palatino Linotype" w:eastAsia="Palatino Linotype" w:hAnsi="Palatino Linotype" w:cs="Palatino Linotype"/>
          <w:b/>
          <w:i/>
          <w:sz w:val="20"/>
          <w:szCs w:val="20"/>
        </w:rPr>
        <w:t xml:space="preserve">El Director General y los Titulares de las diversas Unidades Administrativas que conforman el Instituto, </w:t>
      </w:r>
      <w:r w:rsidR="0015776D" w:rsidRPr="005968DA">
        <w:rPr>
          <w:rFonts w:ascii="Palatino Linotype" w:eastAsia="Palatino Linotype" w:hAnsi="Palatino Linotype" w:cs="Palatino Linotype"/>
          <w:b/>
          <w:i/>
          <w:sz w:val="20"/>
          <w:szCs w:val="20"/>
          <w:u w:val="single"/>
        </w:rPr>
        <w:t>contarán con los recursos humanos</w:t>
      </w:r>
      <w:r w:rsidR="0015776D" w:rsidRPr="005968DA">
        <w:rPr>
          <w:rFonts w:ascii="Palatino Linotype" w:eastAsia="Palatino Linotype" w:hAnsi="Palatino Linotype" w:cs="Palatino Linotype"/>
          <w:i/>
          <w:sz w:val="20"/>
          <w:szCs w:val="20"/>
        </w:rPr>
        <w:t>, financieros y materiales que resulten necesarios para el eficiente y eficaz desempeño de su función, de acuerdo con el presupuesto asignado al mismo.</w:t>
      </w:r>
    </w:p>
    <w:p w:rsidR="005968DA" w:rsidRDefault="005968DA" w:rsidP="005968DA">
      <w:pPr>
        <w:shd w:val="clear" w:color="auto" w:fill="FFFFFF"/>
        <w:ind w:left="567" w:right="902"/>
        <w:jc w:val="both"/>
        <w:rPr>
          <w:rFonts w:ascii="Palatino Linotype" w:eastAsia="Palatino Linotype" w:hAnsi="Palatino Linotype" w:cs="Palatino Linotype"/>
          <w:i/>
          <w:sz w:val="20"/>
          <w:szCs w:val="20"/>
        </w:rPr>
      </w:pPr>
    </w:p>
    <w:p w:rsidR="005968DA" w:rsidRDefault="005968DA" w:rsidP="005968DA">
      <w:pPr>
        <w:shd w:val="clear" w:color="auto" w:fill="FFFFFF"/>
        <w:ind w:left="567" w:right="902"/>
        <w:jc w:val="both"/>
        <w:rPr>
          <w:rFonts w:ascii="Palatino Linotype" w:eastAsia="Palatino Linotype" w:hAnsi="Palatino Linotype" w:cs="Palatino Linotype"/>
          <w:i/>
          <w:sz w:val="20"/>
          <w:szCs w:val="20"/>
        </w:rPr>
      </w:pPr>
      <w:r w:rsidRPr="005968DA">
        <w:rPr>
          <w:rFonts w:ascii="Palatino Linotype" w:eastAsia="Palatino Linotype" w:hAnsi="Palatino Linotype" w:cs="Palatino Linotype"/>
          <w:b/>
          <w:i/>
          <w:sz w:val="20"/>
          <w:szCs w:val="20"/>
        </w:rPr>
        <w:t xml:space="preserve">Artículo 15.- El Tesorero será el responsable del manejo del presupuesto del Sistema Municipal, </w:t>
      </w:r>
      <w:r w:rsidRPr="005968DA">
        <w:rPr>
          <w:rFonts w:ascii="Palatino Linotype" w:eastAsia="Palatino Linotype" w:hAnsi="Palatino Linotype" w:cs="Palatino Linotype"/>
          <w:i/>
          <w:sz w:val="20"/>
          <w:szCs w:val="20"/>
        </w:rPr>
        <w:t>y de la administración de los recursos que conforman el patrimonio del organismo, lo cual hará en coordinación con el Director, debiendo informar los estados financieros mensualmente a la Junta de Gobierno o cuando ésta y la presidencia lo soliciten, además tendrá las siguientes atribuciones:</w:t>
      </w:r>
    </w:p>
    <w:p w:rsidR="005968DA" w:rsidRDefault="005968DA" w:rsidP="005968DA">
      <w:pPr>
        <w:shd w:val="clear" w:color="auto" w:fill="FFFFFF"/>
        <w:ind w:left="567" w:right="902"/>
        <w:jc w:val="both"/>
        <w:rPr>
          <w:rFonts w:ascii="Palatino Linotype" w:eastAsia="Palatino Linotype" w:hAnsi="Palatino Linotype" w:cs="Palatino Linotype"/>
          <w:i/>
          <w:sz w:val="20"/>
          <w:szCs w:val="20"/>
        </w:rPr>
      </w:pPr>
      <w:r>
        <w:rPr>
          <w:rFonts w:ascii="Palatino Linotype" w:eastAsia="Palatino Linotype" w:hAnsi="Palatino Linotype" w:cs="Palatino Linotype"/>
          <w:b/>
          <w:i/>
          <w:sz w:val="20"/>
          <w:szCs w:val="20"/>
        </w:rPr>
        <w:t>…</w:t>
      </w:r>
    </w:p>
    <w:p w:rsidR="005968DA" w:rsidRDefault="005968DA" w:rsidP="005968DA">
      <w:pPr>
        <w:shd w:val="clear" w:color="auto" w:fill="FFFFFF"/>
        <w:ind w:left="567" w:right="902"/>
        <w:jc w:val="both"/>
        <w:rPr>
          <w:rFonts w:ascii="Palatino Linotype" w:eastAsia="Palatino Linotype" w:hAnsi="Palatino Linotype" w:cs="Palatino Linotype"/>
          <w:i/>
          <w:sz w:val="20"/>
          <w:szCs w:val="20"/>
        </w:rPr>
      </w:pPr>
      <w:r w:rsidRPr="005968DA">
        <w:rPr>
          <w:rFonts w:ascii="Palatino Linotype" w:eastAsia="Palatino Linotype" w:hAnsi="Palatino Linotype" w:cs="Palatino Linotype"/>
          <w:b/>
          <w:i/>
          <w:sz w:val="20"/>
          <w:szCs w:val="20"/>
        </w:rPr>
        <w:t>II. Llevar los libros y registros contables, financieros y administrativos de los</w:t>
      </w:r>
      <w:r w:rsidRPr="005968DA">
        <w:rPr>
          <w:rFonts w:ascii="Palatino Linotype" w:eastAsia="Palatino Linotype" w:hAnsi="Palatino Linotype" w:cs="Palatino Linotype"/>
          <w:i/>
          <w:sz w:val="20"/>
          <w:szCs w:val="20"/>
        </w:rPr>
        <w:t xml:space="preserve"> ingresos, </w:t>
      </w:r>
      <w:r w:rsidRPr="005968DA">
        <w:rPr>
          <w:rFonts w:ascii="Palatino Linotype" w:eastAsia="Palatino Linotype" w:hAnsi="Palatino Linotype" w:cs="Palatino Linotype"/>
          <w:b/>
          <w:i/>
          <w:sz w:val="20"/>
          <w:szCs w:val="20"/>
        </w:rPr>
        <w:t>egresos</w:t>
      </w:r>
      <w:r>
        <w:rPr>
          <w:rFonts w:ascii="Palatino Linotype" w:eastAsia="Palatino Linotype" w:hAnsi="Palatino Linotype" w:cs="Palatino Linotype"/>
          <w:i/>
          <w:sz w:val="20"/>
          <w:szCs w:val="20"/>
        </w:rPr>
        <w:t xml:space="preserve"> e inventarios…” (Sic)</w:t>
      </w:r>
    </w:p>
    <w:p w:rsidR="005968DA" w:rsidRDefault="005968DA" w:rsidP="005968DA">
      <w:pPr>
        <w:shd w:val="clear" w:color="auto" w:fill="FFFFFF"/>
        <w:ind w:left="567" w:right="902"/>
        <w:jc w:val="both"/>
        <w:rPr>
          <w:rFonts w:ascii="Palatino Linotype" w:eastAsia="Palatino Linotype" w:hAnsi="Palatino Linotype" w:cs="Palatino Linotype"/>
          <w:i/>
          <w:sz w:val="20"/>
          <w:szCs w:val="20"/>
        </w:rPr>
      </w:pPr>
    </w:p>
    <w:p w:rsidR="00844830" w:rsidRDefault="00844830" w:rsidP="00952D0A">
      <w:pPr>
        <w:spacing w:before="240" w:line="360" w:lineRule="auto"/>
        <w:ind w:right="49"/>
        <w:jc w:val="both"/>
        <w:rPr>
          <w:rFonts w:ascii="Palatino Linotype" w:hAnsi="Palatino Linotype" w:cs="Tahoma"/>
        </w:rPr>
      </w:pPr>
      <w:r>
        <w:rPr>
          <w:rFonts w:ascii="Palatino Linotype" w:hAnsi="Palatino Linotype" w:cs="Tahoma"/>
        </w:rPr>
        <w:t>E</w:t>
      </w:r>
      <w:r w:rsidRPr="00844830">
        <w:rPr>
          <w:rFonts w:ascii="Palatino Linotype" w:hAnsi="Palatino Linotype" w:cs="Tahoma"/>
        </w:rPr>
        <w:t xml:space="preserve">stablecido lo precedente, </w:t>
      </w:r>
      <w:r>
        <w:rPr>
          <w:rFonts w:ascii="Palatino Linotype" w:hAnsi="Palatino Linotype" w:cs="Tahoma"/>
        </w:rPr>
        <w:t>sobre la naturaleza de la información solicitada, es decir los recibos de pago de las quincenas, deberá estarse a lo señalado en los recibos</w:t>
      </w:r>
      <w:r w:rsidRPr="00844830">
        <w:rPr>
          <w:rFonts w:ascii="Palatino Linotype" w:hAnsi="Palatino Linotype" w:cs="Tahoma"/>
        </w:rPr>
        <w:t xml:space="preserve"> de nómina de la Directora de Administración y Director del Instituto Municipal de Cultura Física y Deporte</w:t>
      </w:r>
      <w:r>
        <w:rPr>
          <w:rFonts w:ascii="Palatino Linotype" w:hAnsi="Palatino Linotype" w:cs="Tahoma"/>
        </w:rPr>
        <w:t xml:space="preserve">, del presente considerando. </w:t>
      </w:r>
    </w:p>
    <w:p w:rsidR="00B3525E" w:rsidRDefault="00B3525E" w:rsidP="00952D0A">
      <w:pPr>
        <w:spacing w:before="240" w:line="360" w:lineRule="auto"/>
        <w:ind w:right="49"/>
        <w:jc w:val="both"/>
        <w:rPr>
          <w:rFonts w:ascii="Palatino Linotype" w:hAnsi="Palatino Linotype" w:cs="Tahoma"/>
        </w:rPr>
      </w:pPr>
    </w:p>
    <w:p w:rsidR="00844830" w:rsidRPr="003B3B18" w:rsidRDefault="00844830" w:rsidP="00844830">
      <w:pPr>
        <w:spacing w:before="240" w:after="240" w:line="360" w:lineRule="auto"/>
        <w:contextualSpacing/>
        <w:jc w:val="both"/>
        <w:rPr>
          <w:rFonts w:ascii="Palatino Linotype" w:hAnsi="Palatino Linotype" w:cs="Tahoma"/>
        </w:rPr>
      </w:pPr>
      <w:r>
        <w:rPr>
          <w:rFonts w:ascii="Palatino Linotype" w:hAnsi="Palatino Linotype" w:cs="Tahoma"/>
        </w:rPr>
        <w:lastRenderedPageBreak/>
        <w:t xml:space="preserve">Razones por las cuales lo procedente es ordenar, previa búsqueda exhaustiva y razonable, los recibos de nómina </w:t>
      </w:r>
      <w:r>
        <w:rPr>
          <w:rFonts w:ascii="Palatino Linotype" w:eastAsia="Palatino Linotype" w:hAnsi="Palatino Linotype" w:cs="Palatino Linotype"/>
        </w:rPr>
        <w:t xml:space="preserve">de la primera y segunda quincena del mes de diciembre del año 2021 y la primera y segunda quincena de los meses de enero y febrero del año 2022, de las personas descritas en la solicitud de acceso a la información pública número </w:t>
      </w:r>
      <w:r>
        <w:rPr>
          <w:rFonts w:ascii="Palatino Linotype" w:eastAsia="Palatino Linotype" w:hAnsi="Palatino Linotype" w:cs="Palatino Linotype"/>
          <w:b/>
        </w:rPr>
        <w:t>00048</w:t>
      </w:r>
      <w:r w:rsidRPr="000A398F">
        <w:rPr>
          <w:rFonts w:ascii="Palatino Linotype" w:eastAsia="Palatino Linotype" w:hAnsi="Palatino Linotype" w:cs="Palatino Linotype"/>
          <w:b/>
        </w:rPr>
        <w:t>/TMASCALC/IP/2022</w:t>
      </w:r>
      <w:r>
        <w:rPr>
          <w:rFonts w:ascii="Palatino Linotype" w:eastAsia="Palatino Linotype" w:hAnsi="Palatino Linotype" w:cs="Palatino Linotype"/>
          <w:b/>
        </w:rPr>
        <w:t xml:space="preserve">, y en versión pública conforme a lo señalado por el considerando quinto del presente fallo. </w:t>
      </w:r>
    </w:p>
    <w:p w:rsidR="00844830" w:rsidRDefault="00844830" w:rsidP="00844830">
      <w:pPr>
        <w:spacing w:before="240" w:after="240" w:line="360" w:lineRule="auto"/>
        <w:contextualSpacing/>
        <w:jc w:val="both"/>
        <w:rPr>
          <w:rFonts w:ascii="Palatino Linotype" w:eastAsia="Palatino Linotype" w:hAnsi="Palatino Linotype" w:cs="Palatino Linotype"/>
          <w:b/>
        </w:rPr>
      </w:pPr>
    </w:p>
    <w:p w:rsidR="00844830" w:rsidRPr="00D77FDB" w:rsidRDefault="00D77FDB" w:rsidP="00844830">
      <w:pPr>
        <w:spacing w:before="240" w:after="240" w:line="360" w:lineRule="auto"/>
        <w:contextualSpacing/>
        <w:jc w:val="both"/>
        <w:rPr>
          <w:rFonts w:ascii="Palatino Linotype" w:eastAsia="Palatino Linotype" w:hAnsi="Palatino Linotype" w:cs="Palatino Linotype"/>
        </w:rPr>
      </w:pPr>
      <w:r w:rsidRPr="00D77FDB">
        <w:rPr>
          <w:rFonts w:ascii="Palatino Linotype" w:eastAsia="Palatino Linotype" w:hAnsi="Palatino Linotype" w:cs="Palatino Linotype"/>
        </w:rPr>
        <w:t>E</w:t>
      </w:r>
      <w:r w:rsidR="00844830" w:rsidRPr="00D77FDB">
        <w:rPr>
          <w:rFonts w:ascii="Palatino Linotype" w:eastAsia="Palatino Linotype" w:hAnsi="Palatino Linotype" w:cs="Palatino Linotype"/>
        </w:rPr>
        <w:t xml:space="preserve">n el supuesto de que dichas personas </w:t>
      </w:r>
      <w:r>
        <w:rPr>
          <w:rFonts w:ascii="Palatino Linotype" w:eastAsia="Palatino Linotype" w:hAnsi="Palatino Linotype" w:cs="Palatino Linotype"/>
        </w:rPr>
        <w:t>no laboren dentro del Ayuntamiento de Temascalcingo</w:t>
      </w:r>
      <w:r w:rsidR="00844830" w:rsidRPr="00D77FDB">
        <w:rPr>
          <w:rFonts w:ascii="Palatino Linotype" w:eastAsia="Palatino Linotype" w:hAnsi="Palatino Linotype" w:cs="Palatino Linotype"/>
        </w:rPr>
        <w:t xml:space="preserve">, </w:t>
      </w:r>
      <w:r>
        <w:rPr>
          <w:rFonts w:ascii="Palatino Linotype" w:hAnsi="Palatino Linotype" w:cs="Tahoma"/>
        </w:rPr>
        <w:t>Instituto Municipal d</w:t>
      </w:r>
      <w:r w:rsidRPr="0015776D">
        <w:rPr>
          <w:rFonts w:ascii="Palatino Linotype" w:hAnsi="Palatino Linotype" w:cs="Tahoma"/>
        </w:rPr>
        <w:t xml:space="preserve">e Cultura Física </w:t>
      </w:r>
      <w:r>
        <w:rPr>
          <w:rFonts w:ascii="Palatino Linotype" w:hAnsi="Palatino Linotype" w:cs="Tahoma"/>
        </w:rPr>
        <w:t>y</w:t>
      </w:r>
      <w:r>
        <w:t xml:space="preserve"> </w:t>
      </w:r>
      <w:r w:rsidRPr="0015776D">
        <w:rPr>
          <w:rFonts w:ascii="Palatino Linotype" w:hAnsi="Palatino Linotype" w:cs="Tahoma"/>
        </w:rPr>
        <w:t xml:space="preserve">Deporte </w:t>
      </w:r>
      <w:r>
        <w:rPr>
          <w:rFonts w:ascii="Palatino Linotype" w:hAnsi="Palatino Linotype" w:cs="Tahoma"/>
        </w:rPr>
        <w:t xml:space="preserve">de Temascalcingo </w:t>
      </w:r>
      <w:r w:rsidRPr="0015776D">
        <w:rPr>
          <w:rFonts w:ascii="Palatino Linotype" w:hAnsi="Palatino Linotype" w:cs="Tahoma"/>
        </w:rPr>
        <w:t xml:space="preserve">y </w:t>
      </w:r>
      <w:r>
        <w:rPr>
          <w:rFonts w:ascii="Palatino Linotype" w:hAnsi="Palatino Linotype" w:cs="Tahoma"/>
        </w:rPr>
        <w:t>Sistema Municipal para el Desarrollo Integral de Las Familias d</w:t>
      </w:r>
      <w:r w:rsidRPr="0015776D">
        <w:rPr>
          <w:rFonts w:ascii="Palatino Linotype" w:hAnsi="Palatino Linotype" w:cs="Tahoma"/>
        </w:rPr>
        <w:t>e Temascalcingo</w:t>
      </w:r>
      <w:r>
        <w:rPr>
          <w:rFonts w:ascii="Palatino Linotype" w:eastAsia="Palatino Linotype" w:hAnsi="Palatino Linotype" w:cs="Palatino Linotype"/>
        </w:rPr>
        <w:t xml:space="preserve">, bastara que así se lo haga saber a la </w:t>
      </w:r>
      <w:r w:rsidRPr="00D77FDB">
        <w:rPr>
          <w:rFonts w:ascii="Palatino Linotype" w:eastAsia="Palatino Linotype" w:hAnsi="Palatino Linotype" w:cs="Palatino Linotype"/>
          <w:b/>
        </w:rPr>
        <w:t>RECURRENTE</w:t>
      </w:r>
      <w:r>
        <w:rPr>
          <w:rFonts w:ascii="Palatino Linotype" w:eastAsia="Palatino Linotype" w:hAnsi="Palatino Linotype" w:cs="Palatino Linotype"/>
        </w:rPr>
        <w:t xml:space="preserve"> de manera fundada y motivada. </w:t>
      </w:r>
    </w:p>
    <w:p w:rsidR="00844830" w:rsidRDefault="00844830" w:rsidP="00952D0A">
      <w:pPr>
        <w:spacing w:before="240" w:line="360" w:lineRule="auto"/>
        <w:ind w:right="49"/>
        <w:jc w:val="both"/>
        <w:rPr>
          <w:rFonts w:ascii="Palatino Linotype" w:hAnsi="Palatino Linotype" w:cs="Tahoma"/>
        </w:rPr>
      </w:pPr>
    </w:p>
    <w:p w:rsidR="00D77FDB" w:rsidRDefault="00D77FDB" w:rsidP="00D77FDB">
      <w:pPr>
        <w:spacing w:line="360" w:lineRule="auto"/>
        <w:ind w:right="-93"/>
        <w:jc w:val="both"/>
        <w:rPr>
          <w:rFonts w:ascii="Palatino Linotype" w:hAnsi="Palatino Linotype" w:cs="Arial"/>
        </w:rPr>
      </w:pPr>
      <w:r w:rsidRPr="00D77FDB">
        <w:rPr>
          <w:rFonts w:ascii="Palatino Linotype" w:eastAsia="Palatino Linotype" w:hAnsi="Palatino Linotype" w:cs="Palatino Linotype"/>
        </w:rPr>
        <w:t xml:space="preserve">Ya para culminar, sobre el pronunciamiento del </w:t>
      </w:r>
      <w:r>
        <w:rPr>
          <w:rFonts w:ascii="Palatino Linotype" w:eastAsia="Palatino Linotype" w:hAnsi="Palatino Linotype" w:cs="Palatino Linotype"/>
        </w:rPr>
        <w:t xml:space="preserve">Director del </w:t>
      </w:r>
      <w:r w:rsidRPr="00D77FDB">
        <w:rPr>
          <w:rFonts w:ascii="Palatino Linotype" w:eastAsia="Palatino Linotype" w:hAnsi="Palatino Linotype" w:cs="Palatino Linotype"/>
        </w:rPr>
        <w:t>Org</w:t>
      </w:r>
      <w:r>
        <w:rPr>
          <w:rFonts w:ascii="Palatino Linotype" w:eastAsia="Palatino Linotype" w:hAnsi="Palatino Linotype" w:cs="Palatino Linotype"/>
        </w:rPr>
        <w:t>anismo Público Descentralizado para la Prestación de los Servicios d</w:t>
      </w:r>
      <w:r w:rsidRPr="00D77FDB">
        <w:rPr>
          <w:rFonts w:ascii="Palatino Linotype" w:eastAsia="Palatino Linotype" w:hAnsi="Palatino Linotype" w:cs="Palatino Linotype"/>
        </w:rPr>
        <w:t>e Agua Po</w:t>
      </w:r>
      <w:r>
        <w:rPr>
          <w:rFonts w:ascii="Palatino Linotype" w:eastAsia="Palatino Linotype" w:hAnsi="Palatino Linotype" w:cs="Palatino Linotype"/>
        </w:rPr>
        <w:t>table, Drenaje, Alcantarillado y Tratamiento de Aguas Residuales del Municipio d</w:t>
      </w:r>
      <w:r w:rsidRPr="00D77FDB">
        <w:rPr>
          <w:rFonts w:ascii="Palatino Linotype" w:eastAsia="Palatino Linotype" w:hAnsi="Palatino Linotype" w:cs="Palatino Linotype"/>
        </w:rPr>
        <w:t>e Temascalcingo (ODAPAS)</w:t>
      </w:r>
      <w:r>
        <w:rPr>
          <w:rFonts w:ascii="Palatino Linotype" w:eastAsia="Palatino Linotype" w:hAnsi="Palatino Linotype" w:cs="Palatino Linotype"/>
        </w:rPr>
        <w:t xml:space="preserve">, tocante al punto que se analiza, es de recordar que informó que en los registros de nómina de ODAPAS del año 2021 y de lo que va del año 2022, no existían datos de las personas señaladas en la solicitud; por consiguiente, </w:t>
      </w:r>
      <w:r>
        <w:rPr>
          <w:rFonts w:ascii="Palatino Linotype" w:eastAsia="Palatino Linotype" w:hAnsi="Palatino Linotype" w:cs="Palatino Linotype"/>
          <w:color w:val="000000"/>
        </w:rPr>
        <w:t xml:space="preserve">el pronunciamiento del </w:t>
      </w:r>
      <w:r w:rsidRPr="00DF4F8F">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se traduce en un hecho negativo, </w:t>
      </w:r>
      <w:r>
        <w:rPr>
          <w:rFonts w:ascii="Palatino Linotype" w:eastAsia="Palatino Linotype" w:hAnsi="Palatino Linotype" w:cs="Palatino Linotype"/>
        </w:rPr>
        <w:t xml:space="preserve">colmando con ello el derecho de acceso a la información pública </w:t>
      </w:r>
      <w:r w:rsidRPr="00C91457">
        <w:rPr>
          <w:rFonts w:ascii="Palatino Linotype" w:hAnsi="Palatino Linotype" w:cs="Arial"/>
        </w:rPr>
        <w:t>y ante</w:t>
      </w:r>
      <w:r>
        <w:rPr>
          <w:rFonts w:ascii="Palatino Linotype" w:hAnsi="Palatino Linotype" w:cs="Arial"/>
          <w:color w:val="FF0000"/>
        </w:rPr>
        <w:t xml:space="preserve"> </w:t>
      </w:r>
      <w:r>
        <w:rPr>
          <w:rFonts w:ascii="Palatino Linotype" w:hAnsi="Palatino Linotype" w:cs="Arial"/>
        </w:rPr>
        <w:t xml:space="preserve">un hecho negativo el Pleno de este Organismo Garante ha sostenido que resulta innecesaria una declaratoria de inexistencia en términos de los artículos 19, 169 y 170 de la Ley de Transparencia y </w:t>
      </w:r>
      <w:r>
        <w:rPr>
          <w:rFonts w:ascii="Palatino Linotype" w:hAnsi="Palatino Linotype" w:cs="Arial"/>
        </w:rPr>
        <w:lastRenderedPageBreak/>
        <w:t>Acceso a la Información Pública del Estado de México y Municipios, resultando aplicable la siguiente tesis:</w:t>
      </w:r>
    </w:p>
    <w:p w:rsidR="00D77FDB" w:rsidRDefault="00D77FDB" w:rsidP="00D77FDB">
      <w:pPr>
        <w:spacing w:before="120" w:after="120"/>
        <w:ind w:left="567" w:right="851"/>
        <w:jc w:val="center"/>
        <w:rPr>
          <w:rFonts w:ascii="Palatino Linotype" w:hAnsi="Palatino Linotype" w:cs="Arial"/>
          <w:i/>
          <w:sz w:val="22"/>
          <w:szCs w:val="22"/>
        </w:rPr>
      </w:pPr>
      <w:r>
        <w:rPr>
          <w:rFonts w:ascii="Palatino Linotype" w:hAnsi="Palatino Linotype" w:cs="Arial"/>
        </w:rPr>
        <w:t>“</w:t>
      </w:r>
      <w:r>
        <w:rPr>
          <w:rFonts w:ascii="Palatino Linotype" w:hAnsi="Palatino Linotype" w:cs="Arial"/>
          <w:b/>
          <w:i/>
          <w:sz w:val="22"/>
          <w:szCs w:val="22"/>
        </w:rPr>
        <w:t>HECHOS NEGATIVOS, NO SON SUSCEPTIBLES DE DEMOSTRACIÓN</w:t>
      </w:r>
      <w:r>
        <w:rPr>
          <w:rFonts w:ascii="Palatino Linotype" w:hAnsi="Palatino Linotype" w:cs="Arial"/>
          <w:i/>
          <w:sz w:val="22"/>
          <w:szCs w:val="22"/>
        </w:rPr>
        <w:t>.</w:t>
      </w:r>
    </w:p>
    <w:p w:rsidR="00D77FDB" w:rsidRDefault="00D77FDB" w:rsidP="00D77FDB">
      <w:pPr>
        <w:ind w:left="851" w:right="851"/>
        <w:jc w:val="both"/>
        <w:rPr>
          <w:rFonts w:ascii="Palatino Linotype" w:hAnsi="Palatino Linotype" w:cs="Arial"/>
          <w:i/>
          <w:sz w:val="22"/>
          <w:szCs w:val="22"/>
        </w:rPr>
      </w:pPr>
      <w:r>
        <w:rPr>
          <w:rFonts w:ascii="Palatino Linotype" w:hAnsi="Palatino Linotype" w:cs="Arial"/>
          <w:i/>
          <w:sz w:val="22"/>
          <w:szCs w:val="22"/>
        </w:rPr>
        <w:t>Tratándose de un hecho negativo, el Juez no tiene por qué invocar prueba alguna de la que se desprenda, ya que es bien sabido que esta clase de hechos no son susceptibles de demostración.</w:t>
      </w:r>
    </w:p>
    <w:p w:rsidR="00D77FDB" w:rsidRDefault="00D77FDB" w:rsidP="00D77FDB">
      <w:pPr>
        <w:ind w:left="851" w:right="851"/>
        <w:jc w:val="both"/>
        <w:rPr>
          <w:rFonts w:ascii="Palatino Linotype" w:hAnsi="Palatino Linotype" w:cs="Arial"/>
          <w:i/>
          <w:sz w:val="22"/>
          <w:szCs w:val="22"/>
        </w:rPr>
      </w:pPr>
    </w:p>
    <w:p w:rsidR="00D77FDB" w:rsidRDefault="00D77FDB" w:rsidP="00D77FDB">
      <w:pPr>
        <w:spacing w:before="120" w:after="120"/>
        <w:ind w:left="851" w:right="851"/>
        <w:jc w:val="both"/>
        <w:rPr>
          <w:rFonts w:ascii="Palatino Linotype" w:hAnsi="Palatino Linotype" w:cs="Arial"/>
          <w:i/>
          <w:sz w:val="22"/>
          <w:szCs w:val="22"/>
        </w:rPr>
      </w:pPr>
      <w:r>
        <w:rPr>
          <w:rFonts w:ascii="Palatino Linotype" w:hAnsi="Palatino Linotype" w:cs="Arial"/>
          <w:i/>
          <w:sz w:val="22"/>
          <w:szCs w:val="22"/>
        </w:rPr>
        <w:t>Amparo en revisión 2022/61. José García Florín (Menor). 9 de octubre de 1961. Cinco votos. Ponente: José Rivera Pérez Campos.” (Sic)</w:t>
      </w:r>
    </w:p>
    <w:p w:rsidR="00D77FDB" w:rsidRDefault="00D77FDB" w:rsidP="00D77FDB">
      <w:pPr>
        <w:pStyle w:val="Sinespaciado"/>
        <w:spacing w:before="120" w:after="120" w:line="360" w:lineRule="auto"/>
        <w:contextualSpacing/>
        <w:jc w:val="both"/>
        <w:rPr>
          <w:rFonts w:ascii="Palatino Linotype" w:hAnsi="Palatino Linotype" w:cs="Arial"/>
        </w:rPr>
      </w:pPr>
    </w:p>
    <w:p w:rsidR="00D77FDB" w:rsidRDefault="00D77FDB" w:rsidP="00D77FDB">
      <w:pPr>
        <w:pStyle w:val="Sinespaciado"/>
        <w:spacing w:before="120" w:after="120" w:line="360" w:lineRule="auto"/>
        <w:contextualSpacing/>
        <w:jc w:val="both"/>
        <w:rPr>
          <w:rFonts w:ascii="Palatino Linotype" w:hAnsi="Palatino Linotype" w:cs="Arial"/>
        </w:rPr>
      </w:pPr>
      <w:r>
        <w:rPr>
          <w:rFonts w:ascii="Palatino Linotype" w:hAnsi="Palatino Linotype" w:cs="Arial"/>
        </w:rPr>
        <w:t xml:space="preserve">Ya que el área del </w:t>
      </w:r>
      <w:r w:rsidRPr="00A96008">
        <w:rPr>
          <w:rFonts w:ascii="Palatino Linotype" w:hAnsi="Palatino Linotype" w:cs="Arial"/>
          <w:b/>
        </w:rPr>
        <w:t>SUJETO OBLIGADO</w:t>
      </w:r>
      <w:r w:rsidR="00D36C26">
        <w:rPr>
          <w:rFonts w:ascii="Palatino Linotype" w:hAnsi="Palatino Linotype" w:cs="Arial"/>
        </w:rPr>
        <w:t xml:space="preserve">, que se pronunció fue el </w:t>
      </w:r>
      <w:r w:rsidR="00D36C26">
        <w:rPr>
          <w:rFonts w:ascii="Palatino Linotype" w:eastAsia="Palatino Linotype" w:hAnsi="Palatino Linotype" w:cs="Palatino Linotype"/>
        </w:rPr>
        <w:t xml:space="preserve">Director del </w:t>
      </w:r>
      <w:r w:rsidR="00D36C26" w:rsidRPr="00D77FDB">
        <w:rPr>
          <w:rFonts w:ascii="Palatino Linotype" w:eastAsia="Palatino Linotype" w:hAnsi="Palatino Linotype" w:cs="Palatino Linotype"/>
        </w:rPr>
        <w:t>Org</w:t>
      </w:r>
      <w:r w:rsidR="00D36C26">
        <w:rPr>
          <w:rFonts w:ascii="Palatino Linotype" w:eastAsia="Palatino Linotype" w:hAnsi="Palatino Linotype" w:cs="Palatino Linotype"/>
        </w:rPr>
        <w:t>anismo Público Descentralizado para la Prestación de los Servicios d</w:t>
      </w:r>
      <w:r w:rsidR="00D36C26" w:rsidRPr="00D77FDB">
        <w:rPr>
          <w:rFonts w:ascii="Palatino Linotype" w:eastAsia="Palatino Linotype" w:hAnsi="Palatino Linotype" w:cs="Palatino Linotype"/>
        </w:rPr>
        <w:t>e Agua Po</w:t>
      </w:r>
      <w:r w:rsidR="00D36C26">
        <w:rPr>
          <w:rFonts w:ascii="Palatino Linotype" w:eastAsia="Palatino Linotype" w:hAnsi="Palatino Linotype" w:cs="Palatino Linotype"/>
        </w:rPr>
        <w:t>table, Drenaje, Alcantarillado y Tratamiento de Aguas Residuales del Municipio d</w:t>
      </w:r>
      <w:r w:rsidR="00D36C26" w:rsidRPr="00D77FDB">
        <w:rPr>
          <w:rFonts w:ascii="Palatino Linotype" w:eastAsia="Palatino Linotype" w:hAnsi="Palatino Linotype" w:cs="Palatino Linotype"/>
        </w:rPr>
        <w:t>e Temascalcingo (ODAPAS)</w:t>
      </w:r>
      <w:r>
        <w:rPr>
          <w:rFonts w:ascii="Palatino Linotype" w:hAnsi="Palatino Linotype" w:cs="Arial"/>
        </w:rPr>
        <w:t>, que en términos d</w:t>
      </w:r>
      <w:r w:rsidR="00D36C26">
        <w:rPr>
          <w:rFonts w:ascii="Palatino Linotype" w:hAnsi="Palatino Linotype" w:cs="Arial"/>
        </w:rPr>
        <w:t xml:space="preserve">e lo señalado por los artículos 17 fracción XII y 18 fracción  </w:t>
      </w:r>
      <w:r>
        <w:rPr>
          <w:rFonts w:ascii="Palatino Linotype" w:hAnsi="Palatino Linotype" w:cs="Arial"/>
        </w:rPr>
        <w:t xml:space="preserve"> de la Ley Orgánica Municipal del Estado de México, es la competente para conocer de la información solicitada, como así lo señala enseguida:</w:t>
      </w:r>
    </w:p>
    <w:p w:rsidR="00D77FDB" w:rsidRDefault="00D77FDB" w:rsidP="00D77FDB">
      <w:pPr>
        <w:pStyle w:val="Sinespaciado"/>
        <w:spacing w:before="120" w:after="120" w:line="360" w:lineRule="auto"/>
        <w:contextualSpacing/>
        <w:jc w:val="both"/>
        <w:rPr>
          <w:rFonts w:ascii="Palatino Linotype" w:hAnsi="Palatino Linotype" w:cs="Arial"/>
        </w:rPr>
      </w:pPr>
    </w:p>
    <w:p w:rsidR="00D36C26" w:rsidRDefault="00D77FDB" w:rsidP="00D77FDB">
      <w:pPr>
        <w:ind w:left="851" w:right="851"/>
        <w:jc w:val="both"/>
        <w:rPr>
          <w:rFonts w:ascii="Palatino Linotype" w:hAnsi="Palatino Linotype" w:cs="Arial"/>
          <w:i/>
          <w:sz w:val="22"/>
          <w:szCs w:val="22"/>
        </w:rPr>
      </w:pPr>
      <w:r>
        <w:rPr>
          <w:rFonts w:ascii="Palatino Linotype" w:hAnsi="Palatino Linotype" w:cs="Arial"/>
          <w:i/>
          <w:sz w:val="22"/>
          <w:szCs w:val="22"/>
        </w:rPr>
        <w:t>“</w:t>
      </w:r>
      <w:r w:rsidR="00D36C26">
        <w:rPr>
          <w:rFonts w:ascii="Palatino Linotype" w:hAnsi="Palatino Linotype" w:cs="Arial"/>
          <w:i/>
          <w:sz w:val="22"/>
          <w:szCs w:val="22"/>
        </w:rPr>
        <w:t>Artículo 17</w:t>
      </w:r>
      <w:r w:rsidRPr="00A96008">
        <w:rPr>
          <w:rFonts w:ascii="Palatino Linotype" w:hAnsi="Palatino Linotype" w:cs="Arial"/>
          <w:i/>
          <w:sz w:val="22"/>
          <w:szCs w:val="22"/>
        </w:rPr>
        <w:t xml:space="preserve">.- </w:t>
      </w:r>
      <w:r w:rsidR="00D36C26" w:rsidRPr="00407E82">
        <w:rPr>
          <w:rFonts w:ascii="Palatino Linotype" w:hAnsi="Palatino Linotype" w:cs="Arial"/>
          <w:b/>
          <w:i/>
          <w:sz w:val="22"/>
          <w:szCs w:val="22"/>
        </w:rPr>
        <w:t>Al Director General</w:t>
      </w:r>
      <w:r w:rsidR="00D36C26">
        <w:rPr>
          <w:rFonts w:ascii="Palatino Linotype" w:hAnsi="Palatino Linotype" w:cs="Arial"/>
          <w:i/>
          <w:sz w:val="22"/>
          <w:szCs w:val="22"/>
        </w:rPr>
        <w:t xml:space="preserve"> además de las facultades comprendidas en la ley, le corresponde el ejercicio de las siguientes atribuciones:</w:t>
      </w:r>
    </w:p>
    <w:p w:rsidR="00D36C26" w:rsidRDefault="00D36C26" w:rsidP="00D77FDB">
      <w:pPr>
        <w:ind w:left="851" w:right="851"/>
        <w:jc w:val="both"/>
        <w:rPr>
          <w:rFonts w:ascii="Palatino Linotype" w:hAnsi="Palatino Linotype" w:cs="Arial"/>
          <w:i/>
          <w:sz w:val="22"/>
          <w:szCs w:val="22"/>
        </w:rPr>
      </w:pPr>
      <w:r>
        <w:rPr>
          <w:rFonts w:ascii="Palatino Linotype" w:hAnsi="Palatino Linotype" w:cs="Arial"/>
          <w:i/>
          <w:sz w:val="22"/>
          <w:szCs w:val="22"/>
        </w:rPr>
        <w:t>…</w:t>
      </w:r>
    </w:p>
    <w:p w:rsidR="00D36C26" w:rsidRPr="00407E82" w:rsidRDefault="00D36C26" w:rsidP="00D77FDB">
      <w:pPr>
        <w:ind w:left="851" w:right="851"/>
        <w:jc w:val="both"/>
        <w:rPr>
          <w:rFonts w:ascii="Palatino Linotype" w:hAnsi="Palatino Linotype" w:cs="Arial"/>
          <w:b/>
          <w:i/>
          <w:sz w:val="22"/>
          <w:szCs w:val="22"/>
        </w:rPr>
      </w:pPr>
      <w:r w:rsidRPr="00407E82">
        <w:rPr>
          <w:rFonts w:ascii="Palatino Linotype" w:hAnsi="Palatino Linotype" w:cs="Arial"/>
          <w:b/>
          <w:i/>
          <w:sz w:val="22"/>
          <w:szCs w:val="22"/>
        </w:rPr>
        <w:t>XIII. Verificar el cumplimiento de las atribuciones conferidas en el presente reglamento a cada una de las unidades administrativas.</w:t>
      </w:r>
    </w:p>
    <w:p w:rsidR="00D36C26" w:rsidRDefault="00D36C26" w:rsidP="00D77FDB">
      <w:pPr>
        <w:ind w:left="851" w:right="851"/>
        <w:jc w:val="both"/>
        <w:rPr>
          <w:rFonts w:ascii="Palatino Linotype" w:hAnsi="Palatino Linotype" w:cs="Arial"/>
          <w:i/>
          <w:sz w:val="22"/>
          <w:szCs w:val="22"/>
        </w:rPr>
      </w:pPr>
      <w:r>
        <w:rPr>
          <w:rFonts w:ascii="Palatino Linotype" w:hAnsi="Palatino Linotype" w:cs="Arial"/>
          <w:i/>
          <w:sz w:val="22"/>
          <w:szCs w:val="22"/>
        </w:rPr>
        <w:t>…</w:t>
      </w:r>
    </w:p>
    <w:p w:rsidR="00407E82" w:rsidRDefault="00D36C26" w:rsidP="00407E82">
      <w:pPr>
        <w:ind w:left="851" w:right="851"/>
        <w:jc w:val="both"/>
        <w:rPr>
          <w:rFonts w:ascii="Palatino Linotype" w:hAnsi="Palatino Linotype" w:cs="Arial"/>
          <w:i/>
          <w:sz w:val="22"/>
          <w:szCs w:val="22"/>
        </w:rPr>
      </w:pPr>
      <w:r>
        <w:rPr>
          <w:rFonts w:ascii="Palatino Linotype" w:hAnsi="Palatino Linotype" w:cs="Arial"/>
          <w:i/>
          <w:sz w:val="22"/>
          <w:szCs w:val="22"/>
        </w:rPr>
        <w:t xml:space="preserve"> Artículo 18</w:t>
      </w:r>
      <w:r w:rsidRPr="00A96008">
        <w:rPr>
          <w:rFonts w:ascii="Palatino Linotype" w:hAnsi="Palatino Linotype" w:cs="Arial"/>
          <w:i/>
          <w:sz w:val="22"/>
          <w:szCs w:val="22"/>
        </w:rPr>
        <w:t>.-</w:t>
      </w:r>
      <w:r>
        <w:rPr>
          <w:rFonts w:ascii="Palatino Linotype" w:hAnsi="Palatino Linotype" w:cs="Arial"/>
          <w:i/>
          <w:sz w:val="22"/>
          <w:szCs w:val="22"/>
        </w:rPr>
        <w:t xml:space="preserve"> </w:t>
      </w:r>
      <w:r w:rsidRPr="00407E82">
        <w:rPr>
          <w:rFonts w:ascii="Palatino Linotype" w:hAnsi="Palatino Linotype" w:cs="Arial"/>
          <w:b/>
          <w:i/>
          <w:sz w:val="22"/>
          <w:szCs w:val="22"/>
        </w:rPr>
        <w:t>Al Director de Administración y Finanzas</w:t>
      </w:r>
      <w:r w:rsidR="00407E82">
        <w:rPr>
          <w:rFonts w:ascii="Palatino Linotype" w:hAnsi="Palatino Linotype" w:cs="Arial"/>
          <w:i/>
          <w:sz w:val="22"/>
          <w:szCs w:val="22"/>
        </w:rPr>
        <w:t>, además de las facultades comprendidas en la ley, le corresponde el ejercicio de las siguientes atribuciones:</w:t>
      </w:r>
    </w:p>
    <w:p w:rsidR="00407E82" w:rsidRDefault="00407E82" w:rsidP="00D36C26">
      <w:pPr>
        <w:ind w:left="851" w:right="851"/>
        <w:jc w:val="both"/>
        <w:rPr>
          <w:rFonts w:ascii="Palatino Linotype" w:hAnsi="Palatino Linotype" w:cs="Arial"/>
          <w:i/>
          <w:sz w:val="22"/>
          <w:szCs w:val="22"/>
        </w:rPr>
      </w:pPr>
      <w:r>
        <w:rPr>
          <w:rFonts w:ascii="Palatino Linotype" w:hAnsi="Palatino Linotype" w:cs="Arial"/>
          <w:i/>
          <w:sz w:val="22"/>
          <w:szCs w:val="22"/>
        </w:rPr>
        <w:t>…</w:t>
      </w:r>
    </w:p>
    <w:p w:rsidR="00D77FDB" w:rsidRPr="00A96008" w:rsidRDefault="00407E82" w:rsidP="00407E82">
      <w:pPr>
        <w:ind w:left="851" w:right="851"/>
        <w:jc w:val="both"/>
        <w:rPr>
          <w:rFonts w:ascii="Palatino Linotype" w:hAnsi="Palatino Linotype" w:cs="Arial"/>
          <w:i/>
          <w:sz w:val="22"/>
          <w:szCs w:val="22"/>
        </w:rPr>
      </w:pPr>
      <w:r w:rsidRPr="00407E82">
        <w:rPr>
          <w:rFonts w:ascii="Palatino Linotype" w:hAnsi="Palatino Linotype" w:cs="Arial"/>
          <w:b/>
          <w:i/>
          <w:sz w:val="22"/>
          <w:szCs w:val="22"/>
        </w:rPr>
        <w:t>III. Dirigir y supervisar las acciones relacionadas</w:t>
      </w:r>
      <w:r>
        <w:rPr>
          <w:rFonts w:ascii="Palatino Linotype" w:hAnsi="Palatino Linotype" w:cs="Arial"/>
          <w:i/>
          <w:sz w:val="22"/>
          <w:szCs w:val="22"/>
        </w:rPr>
        <w:t xml:space="preserve"> con la contabilidad, presupuestación, ingresos y </w:t>
      </w:r>
      <w:r w:rsidRPr="00407E82">
        <w:rPr>
          <w:rFonts w:ascii="Palatino Linotype" w:hAnsi="Palatino Linotype" w:cs="Arial"/>
          <w:b/>
          <w:i/>
          <w:sz w:val="22"/>
          <w:szCs w:val="22"/>
        </w:rPr>
        <w:t>egresos del Organismo</w:t>
      </w:r>
      <w:r w:rsidR="00D77FDB">
        <w:rPr>
          <w:rFonts w:ascii="Palatino Linotype" w:hAnsi="Palatino Linotype" w:cs="Arial"/>
          <w:i/>
          <w:sz w:val="22"/>
          <w:szCs w:val="22"/>
        </w:rPr>
        <w:t>…”(Sic)</w:t>
      </w:r>
    </w:p>
    <w:p w:rsidR="00D77FDB" w:rsidRDefault="00D77FDB" w:rsidP="00D77FDB">
      <w:pPr>
        <w:pStyle w:val="Sinespaciado"/>
        <w:spacing w:before="120" w:after="120" w:line="360" w:lineRule="auto"/>
        <w:contextualSpacing/>
        <w:jc w:val="both"/>
        <w:rPr>
          <w:rFonts w:ascii="Palatino Linotype" w:eastAsia="Palatino Linotype" w:hAnsi="Palatino Linotype" w:cs="Palatino Linotype"/>
        </w:rPr>
      </w:pPr>
    </w:p>
    <w:p w:rsidR="00D77FDB" w:rsidRDefault="00407E82" w:rsidP="00D77FDB">
      <w:pPr>
        <w:pStyle w:val="Sinespaciado"/>
        <w:spacing w:before="120" w:after="120" w:line="360" w:lineRule="auto"/>
        <w:contextualSpacing/>
        <w:jc w:val="both"/>
        <w:rPr>
          <w:rFonts w:ascii="Palatino Linotype" w:hAnsi="Palatino Linotype"/>
        </w:rPr>
      </w:pPr>
      <w:r>
        <w:rPr>
          <w:rFonts w:ascii="Palatino Linotype" w:eastAsia="Palatino Linotype" w:hAnsi="Palatino Linotype" w:cs="Palatino Linotype"/>
        </w:rPr>
        <w:t>Además, que</w:t>
      </w:r>
      <w:r w:rsidR="00071D71">
        <w:rPr>
          <w:rFonts w:ascii="Palatino Linotype" w:eastAsia="Palatino Linotype" w:hAnsi="Palatino Linotype" w:cs="Palatino Linotype"/>
        </w:rPr>
        <w:t xml:space="preserve"> este</w:t>
      </w:r>
      <w:r w:rsidR="00D77FDB">
        <w:rPr>
          <w:rFonts w:ascii="Palatino Linotype" w:eastAsia="Palatino Linotype" w:hAnsi="Palatino Linotype" w:cs="Palatino Linotype"/>
        </w:rPr>
        <w:t xml:space="preserve"> </w:t>
      </w:r>
      <w:r w:rsidR="00D77FDB">
        <w:rPr>
          <w:rFonts w:ascii="Palatino Linotype" w:hAnsi="Palatino Linotype"/>
        </w:rPr>
        <w:t>Organismo Garante estima conveniente señalar que no está facultado para manifestarse sobre la veracidad de la información proporcionada, ya que no existe precepto legal alguno en la Ley de la Materia que permita, vía recurso de revisión, se pronuncie al respecto. Por analogía, sirve de apoyo a lo anterior el Criterio 31-10 emitido por el entonces Instituto Federal de Accesos a la Información y Protección de Datos, que a la letra establece lo siguiente:</w:t>
      </w:r>
    </w:p>
    <w:p w:rsidR="00D77FDB" w:rsidRDefault="00D77FDB" w:rsidP="00D77FDB">
      <w:pPr>
        <w:pStyle w:val="Sinespaciado"/>
        <w:spacing w:before="120" w:after="120" w:line="360" w:lineRule="auto"/>
        <w:contextualSpacing/>
        <w:jc w:val="both"/>
        <w:rPr>
          <w:rFonts w:ascii="Palatino Linotype" w:hAnsi="Palatino Linotype"/>
        </w:rPr>
      </w:pPr>
    </w:p>
    <w:p w:rsidR="00D77FDB" w:rsidRDefault="00D77FDB" w:rsidP="00D77FDB">
      <w:pPr>
        <w:spacing w:before="120" w:after="120"/>
        <w:ind w:left="851" w:right="851"/>
        <w:jc w:val="both"/>
        <w:rPr>
          <w:rFonts w:ascii="Palatino Linotype" w:hAnsi="Palatino Linotype"/>
          <w:i/>
          <w:sz w:val="22"/>
          <w:szCs w:val="22"/>
        </w:rPr>
      </w:pPr>
      <w:r>
        <w:rPr>
          <w:rFonts w:ascii="Palatino Linotype" w:hAnsi="Palatino Linotype"/>
          <w:i/>
          <w:sz w:val="22"/>
          <w:szCs w:val="22"/>
        </w:rPr>
        <w:t>“</w:t>
      </w:r>
      <w:r>
        <w:rPr>
          <w:rFonts w:ascii="Palatino Linotype" w:hAnsi="Palatino Linotype"/>
          <w:b/>
          <w:i/>
          <w:sz w:val="22"/>
          <w:szCs w:val="22"/>
        </w:rPr>
        <w:t>El Instituto Federal de Acceso a la Información y Protección de Datos no cuenta con facultades para pronunciarse respecto de la veracidad de los documentos proporcionados por los sujetos obligados.</w:t>
      </w:r>
      <w:r>
        <w:rPr>
          <w:rFonts w:ascii="Palatino Linotype" w:hAnsi="Palatino Linotype"/>
          <w:i/>
          <w:sz w:val="22"/>
          <w:szCs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respecto.”(Sic)</w:t>
      </w:r>
    </w:p>
    <w:p w:rsidR="00D77FDB" w:rsidRDefault="00D77FDB" w:rsidP="00D77FDB">
      <w:pPr>
        <w:pStyle w:val="Prrafodelista"/>
        <w:autoSpaceDE w:val="0"/>
        <w:autoSpaceDN w:val="0"/>
        <w:adjustRightInd w:val="0"/>
        <w:spacing w:line="360" w:lineRule="auto"/>
        <w:ind w:left="0"/>
        <w:jc w:val="both"/>
        <w:rPr>
          <w:rFonts w:ascii="Palatino Linotype" w:hAnsi="Palatino Linotype" w:cs="Arial"/>
        </w:rPr>
      </w:pPr>
    </w:p>
    <w:p w:rsidR="00D77FDB" w:rsidRDefault="00D77FDB" w:rsidP="00D77FDB">
      <w:pPr>
        <w:pStyle w:val="Prrafodelista"/>
        <w:autoSpaceDE w:val="0"/>
        <w:autoSpaceDN w:val="0"/>
        <w:adjustRightInd w:val="0"/>
        <w:spacing w:line="360" w:lineRule="auto"/>
        <w:ind w:left="0"/>
        <w:jc w:val="both"/>
        <w:rPr>
          <w:rFonts w:ascii="Palatino Linotype" w:hAnsi="Palatino Linotype" w:cs="Arial"/>
          <w:sz w:val="24"/>
          <w:szCs w:val="24"/>
        </w:rPr>
      </w:pPr>
      <w:r w:rsidRPr="00407E82">
        <w:rPr>
          <w:rFonts w:ascii="Palatino Linotype" w:hAnsi="Palatino Linotype" w:cs="Arial"/>
          <w:sz w:val="24"/>
          <w:szCs w:val="24"/>
        </w:rPr>
        <w:t>De lo anterior, este Organismo Resolutor en aras de tutelar el derecho de acceso a la información de los particulares, tiene la obligación de apegarse en todo momento a lo que dispone la Ley de Transparencia y Acceso a la Información Pública del Estado de México y Municipios garantizando los principios de imparcialidad y legalidad en el procedimiento de impugnación y resolución del recurso planteado.</w:t>
      </w:r>
    </w:p>
    <w:p w:rsidR="00DB4CFD" w:rsidRDefault="00DB4CFD" w:rsidP="00DB4CFD">
      <w:pPr>
        <w:spacing w:before="280" w:after="28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lastRenderedPageBreak/>
        <w:t>A última hora, es de señalar que, como ya se mencionó el</w:t>
      </w:r>
      <w:r>
        <w:rPr>
          <w:rFonts w:ascii="Palatino Linotype" w:eastAsia="Palatino Linotype" w:hAnsi="Palatino Linotype" w:cs="Palatino Linotype"/>
          <w:b/>
        </w:rPr>
        <w:t xml:space="preserve"> SUJETO OBLIGADO</w:t>
      </w:r>
      <w:r>
        <w:rPr>
          <w:rFonts w:ascii="Palatino Linotype" w:eastAsia="Palatino Linotype" w:hAnsi="Palatino Linotype" w:cs="Palatino Linotype"/>
        </w:rPr>
        <w:t xml:space="preserve">, omitió proporcionar la respuesta a su solicitud de acceso a la información pública, en el término contemplado en el ya citado artículo 163 de la Ley de la materia, razón por la que </w:t>
      </w:r>
      <w:r>
        <w:rPr>
          <w:rFonts w:ascii="Palatino Linotype" w:eastAsia="Palatino Linotype" w:hAnsi="Palatino Linotype" w:cs="Palatino Linotype"/>
          <w:b/>
        </w:rPr>
        <w:t>se ordena dar vista al Titular de la Contraloría Interna y Órgano de Control y Vigilancia de este Instituto</w:t>
      </w:r>
      <w:r>
        <w:rPr>
          <w:rFonts w:ascii="Palatino Linotype" w:eastAsia="Palatino Linotype" w:hAnsi="Palatino Linotype" w:cs="Palatino Linotype"/>
        </w:rPr>
        <w:t>, para que resuelva lo conducente y determine en su caso el grado de responsabilidad en el incumplimiento de las obligaciones establecidas en la misma, en términos del artículo 190 de la Ley de Transparencia y Acceso a la Información Pública del Estado de México y Municipios.</w:t>
      </w:r>
    </w:p>
    <w:p w:rsidR="001E5501" w:rsidRDefault="001E5501" w:rsidP="001E5501">
      <w:pPr>
        <w:tabs>
          <w:tab w:val="left" w:pos="709"/>
        </w:tabs>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Quinto. Versión Pública. </w:t>
      </w:r>
      <w:r>
        <w:rPr>
          <w:rFonts w:ascii="Palatino Linotype" w:eastAsia="Palatino Linotype" w:hAnsi="Palatino Linotype" w:cs="Palatino Linotype"/>
        </w:rPr>
        <w:t xml:space="preserve">Para la entrega de la información, en razón de que el derecho de acceso a la información pública no es absoluto, sino que encuentra como excepciones que la información sobre la cual se peticiona el acceso, sea o contenga datos que deban ser clasificados en los términos que la misma Ley de la Materia señala,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tendrá que hacer la elaboración de una versión pública de los documentos que vaya entregar para dar cumplimiento a esta resolución, a fin de satisfacer el derecho de acceso a la información pública de la recurrente sin menoscabar el derecho a la protección de los datos personales de terceros, lo anterior, de conformidad a lo que señalan los artículos 3, fracciones IX, XX, XXXII, XLV; 6, 137 y 143 fracción I, de la Ley de Transparencia y Acceso a la Información Pública del Estado de México y Municipios vigente, los cuales establecen lo siguiente:</w:t>
      </w:r>
    </w:p>
    <w:p w:rsidR="001E5501" w:rsidRDefault="001E5501" w:rsidP="001E5501">
      <w:pPr>
        <w:tabs>
          <w:tab w:val="left" w:pos="709"/>
        </w:tabs>
        <w:spacing w:line="360" w:lineRule="auto"/>
        <w:jc w:val="both"/>
        <w:rPr>
          <w:rFonts w:ascii="Palatino Linotype" w:eastAsia="Palatino Linotype" w:hAnsi="Palatino Linotype" w:cs="Palatino Linotype"/>
        </w:rPr>
      </w:pPr>
    </w:p>
    <w:p w:rsidR="001E5501" w:rsidRDefault="001E5501" w:rsidP="001E5501">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3.</w:t>
      </w:r>
      <w:r>
        <w:rPr>
          <w:rFonts w:ascii="Palatino Linotype" w:eastAsia="Palatino Linotype" w:hAnsi="Palatino Linotype" w:cs="Palatino Linotype"/>
          <w:i/>
          <w:sz w:val="22"/>
          <w:szCs w:val="22"/>
        </w:rPr>
        <w:t xml:space="preserve"> Para los efectos de la presente Ley se entenderá por:…</w:t>
      </w:r>
    </w:p>
    <w:p w:rsidR="001E5501" w:rsidRDefault="001E5501" w:rsidP="001E5501">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XX.</w:t>
      </w:r>
      <w:r>
        <w:rPr>
          <w:rFonts w:ascii="Palatino Linotype" w:eastAsia="Palatino Linotype" w:hAnsi="Palatino Linotype" w:cs="Palatino Linotype"/>
          <w:i/>
          <w:sz w:val="22"/>
          <w:szCs w:val="22"/>
        </w:rPr>
        <w:t xml:space="preserve"> Información clasificada: Aquella considerada por la presente Ley como reservada o confidencial; </w:t>
      </w:r>
    </w:p>
    <w:p w:rsidR="001E5501" w:rsidRDefault="001E5501" w:rsidP="001E5501">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lastRenderedPageBreak/>
        <w:t>XXI.</w:t>
      </w:r>
      <w:r>
        <w:rPr>
          <w:rFonts w:ascii="Palatino Linotype" w:eastAsia="Palatino Linotype" w:hAnsi="Palatino Linotype" w:cs="Palatino Linotype"/>
          <w:i/>
          <w:sz w:val="22"/>
          <w:szCs w:val="22"/>
        </w:rPr>
        <w:t xml:space="preserve">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1E5501" w:rsidRDefault="001E5501" w:rsidP="001E5501">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1E5501" w:rsidRDefault="001E5501" w:rsidP="001E5501">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XXXIV</w:t>
      </w:r>
      <w:r>
        <w:rPr>
          <w:rFonts w:ascii="Palatino Linotype" w:eastAsia="Palatino Linotype" w:hAnsi="Palatino Linotype" w:cs="Palatino Linotype"/>
          <w:i/>
          <w:sz w:val="22"/>
          <w:szCs w:val="22"/>
        </w:rPr>
        <w:t>. Prueba de interés público: Es el proceso de ponderación entre el beneficio que reporta dar a conocer la información confidencial solicitada contra el daño que su divulgación genera en los derechos de las personas, llevado a cabo por el Instituto en el ámbito de sus respectivas competencias</w:t>
      </w:r>
    </w:p>
    <w:p w:rsidR="001E5501" w:rsidRDefault="001E5501" w:rsidP="001E5501">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1E5501" w:rsidRDefault="001E5501" w:rsidP="001E5501">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XLV.</w:t>
      </w:r>
      <w:r>
        <w:rPr>
          <w:rFonts w:ascii="Palatino Linotype" w:eastAsia="Palatino Linotype" w:hAnsi="Palatino Linotype" w:cs="Palatino Linotype"/>
          <w:i/>
          <w:sz w:val="22"/>
          <w:szCs w:val="22"/>
        </w:rPr>
        <w:t xml:space="preserve"> Versión pública: Documento en el que se elimine, suprime o borra la información clasificada como reservada o confidencial para permitir su acceso</w:t>
      </w:r>
    </w:p>
    <w:p w:rsidR="001E5501" w:rsidRDefault="001E5501" w:rsidP="001E5501">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91.</w:t>
      </w:r>
      <w:r>
        <w:rPr>
          <w:rFonts w:ascii="Palatino Linotype" w:eastAsia="Palatino Linotype" w:hAnsi="Palatino Linotype" w:cs="Palatino Linotype"/>
          <w:i/>
          <w:sz w:val="22"/>
          <w:szCs w:val="22"/>
        </w:rPr>
        <w:t xml:space="preserve"> El acceso a la información pública será restringido excepcionalmente, cuando ésta sea clasificada como reservada o confidencial.</w:t>
      </w:r>
    </w:p>
    <w:p w:rsidR="001E5501" w:rsidRDefault="001E5501" w:rsidP="001E5501">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122.</w:t>
      </w:r>
      <w:r>
        <w:rPr>
          <w:rFonts w:ascii="Palatino Linotype" w:eastAsia="Palatino Linotype" w:hAnsi="Palatino Linotype" w:cs="Palatino Linotype"/>
          <w:i/>
          <w:sz w:val="22"/>
          <w:szCs w:val="22"/>
        </w:rPr>
        <w:t xml:space="preserve"> La clasificación es el proceso mediante el cual el sujeto obligado determina que la información en su poder actualiza alguno de los supuestos de reserva o confidencialidad, de conformidad con lo dispuesto en el presente título.</w:t>
      </w:r>
    </w:p>
    <w:p w:rsidR="001E5501" w:rsidRDefault="001E5501" w:rsidP="001E5501">
      <w:pPr>
        <w:tabs>
          <w:tab w:val="left" w:pos="709"/>
        </w:tabs>
        <w:ind w:left="567" w:right="567"/>
        <w:jc w:val="both"/>
        <w:rPr>
          <w:rFonts w:ascii="Palatino Linotype" w:eastAsia="Palatino Linotype" w:hAnsi="Palatino Linotype" w:cs="Palatino Linotype"/>
          <w:i/>
          <w:sz w:val="22"/>
          <w:szCs w:val="22"/>
          <w:highlight w:val="yellow"/>
        </w:rPr>
      </w:pPr>
      <w:r>
        <w:rPr>
          <w:rFonts w:ascii="Palatino Linotype" w:eastAsia="Palatino Linotype" w:hAnsi="Palatino Linotype" w:cs="Palatino Linotype"/>
          <w:i/>
          <w:sz w:val="22"/>
          <w:szCs w:val="22"/>
        </w:rPr>
        <w:t>Los supuestos de reserva o confidencialidad previstos en las leyes deberán ser acordes con las bases, principios y disposiciones establecidos en la Ley General y, en ningún caso, podrán contravenirla.</w:t>
      </w:r>
    </w:p>
    <w:p w:rsidR="001E5501" w:rsidRDefault="001E5501" w:rsidP="001E5501">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titulares de las áreas de los sujetos obligados serán los responsables de clasificar la información, de conformidad con lo dispuesto en la presente Ley y demás disposiciones jurídicas aplicables</w:t>
      </w:r>
    </w:p>
    <w:p w:rsidR="001E5501" w:rsidRDefault="001E5501" w:rsidP="001E5501">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135.</w:t>
      </w:r>
      <w:r>
        <w:rPr>
          <w:rFonts w:ascii="Palatino Linotype" w:eastAsia="Palatino Linotype" w:hAnsi="Palatino Linotype" w:cs="Palatino Linotype"/>
          <w:i/>
          <w:sz w:val="22"/>
          <w:szCs w:val="22"/>
        </w:rPr>
        <w:t xml:space="preserve"> Los lineamientos generales que se emitan al respecto en materia de clasificación de la información reservada y confidencial y, para la elaboración de versiones públicas, serán de observancia obligatoria para los sujetos obligados.</w:t>
      </w:r>
    </w:p>
    <w:p w:rsidR="001E5501" w:rsidRDefault="001E5501" w:rsidP="001E5501">
      <w:pPr>
        <w:tabs>
          <w:tab w:val="left" w:pos="709"/>
        </w:tabs>
        <w:ind w:left="567" w:right="567"/>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rsidR="001E5501" w:rsidRDefault="001E5501" w:rsidP="001E5501">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143</w:t>
      </w:r>
      <w:r>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rsidR="001E5501" w:rsidRDefault="001E5501" w:rsidP="001E5501">
      <w:pPr>
        <w:tabs>
          <w:tab w:val="left" w:pos="709"/>
        </w:tabs>
        <w:ind w:left="567" w:right="567"/>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I. Se refiera a la información privada y los datos personales concernientes a una persona física o jurídica colectiva identificada o identificable; </w:t>
      </w:r>
    </w:p>
    <w:p w:rsidR="001E5501" w:rsidRDefault="001E5501" w:rsidP="001E5501">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w:t>
      </w:r>
      <w:r>
        <w:rPr>
          <w:rFonts w:ascii="Palatino Linotype" w:eastAsia="Palatino Linotype" w:hAnsi="Palatino Linotype" w:cs="Palatino Linotype"/>
          <w:i/>
          <w:sz w:val="22"/>
          <w:szCs w:val="22"/>
        </w:rPr>
        <w:t xml:space="preserve"> Los secretos bancario, fiduciario, industrial, comercial, fiscal, bursátil y postal, cuya titularidad corresponda a particulares, sujetos de derecho internacional o a sujetos obligados cuando no involucren el ejercicio de recursos públicos; y </w:t>
      </w:r>
    </w:p>
    <w:p w:rsidR="001E5501" w:rsidRDefault="001E5501" w:rsidP="001E5501">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lastRenderedPageBreak/>
        <w:t>III.</w:t>
      </w:r>
      <w:r>
        <w:rPr>
          <w:rFonts w:ascii="Palatino Linotype" w:eastAsia="Palatino Linotype" w:hAnsi="Palatino Linotype" w:cs="Palatino Linotype"/>
          <w:i/>
          <w:sz w:val="22"/>
          <w:szCs w:val="22"/>
        </w:rPr>
        <w:t xml:space="preserve"> La que presenten los particulares a los sujetos obligados, de conformidad con lo dispuesto por las leyes o los tratados internacionales.</w:t>
      </w:r>
    </w:p>
    <w:p w:rsidR="001E5501" w:rsidRDefault="001E5501" w:rsidP="001E5501">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La información confidencial no estará sujeta a temporalidad alguna y sólo podrán tener acceso a ella los titulares de la misma, sus representantes y los servidores públicos facultados para ello.</w:t>
      </w:r>
    </w:p>
    <w:p w:rsidR="001E5501" w:rsidRDefault="001E5501" w:rsidP="001E5501">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No se considerará confidencial la información que se encuentre en los registros públicos o en fuentes de acceso público, ni tampoco la que sea considerada por la presente ley como información pública.</w:t>
      </w:r>
    </w:p>
    <w:p w:rsidR="001E5501" w:rsidRDefault="001E5501" w:rsidP="001E5501">
      <w:pPr>
        <w:tabs>
          <w:tab w:val="left" w:pos="709"/>
        </w:tabs>
        <w:ind w:left="567" w:right="567"/>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Artículo 147. Para que los sujetos obligados puedan permitir el acceso a información confidencial requieren obtener el consentimiento de los particulares titulares de la información.</w:t>
      </w:r>
    </w:p>
    <w:p w:rsidR="001E5501" w:rsidRDefault="001E5501" w:rsidP="001E5501">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148.</w:t>
      </w:r>
      <w:r>
        <w:rPr>
          <w:rFonts w:ascii="Palatino Linotype" w:eastAsia="Palatino Linotype" w:hAnsi="Palatino Linotype" w:cs="Palatino Linotype"/>
          <w:i/>
          <w:sz w:val="22"/>
          <w:szCs w:val="22"/>
        </w:rPr>
        <w:t xml:space="preserve"> No se requerirá el consentimiento del titular de la información confidencial cuando:</w:t>
      </w:r>
    </w:p>
    <w:p w:rsidR="001E5501" w:rsidRDefault="001E5501" w:rsidP="001E5501">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w:t>
      </w:r>
      <w:r>
        <w:rPr>
          <w:rFonts w:ascii="Palatino Linotype" w:eastAsia="Palatino Linotype" w:hAnsi="Palatino Linotype" w:cs="Palatino Linotype"/>
          <w:i/>
          <w:sz w:val="22"/>
          <w:szCs w:val="22"/>
        </w:rPr>
        <w:t xml:space="preserve"> La información se encuentre en registros públicos o fuentes de acceso público;</w:t>
      </w:r>
    </w:p>
    <w:p w:rsidR="001E5501" w:rsidRDefault="001E5501" w:rsidP="001E5501">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w:t>
      </w:r>
      <w:r>
        <w:rPr>
          <w:rFonts w:ascii="Palatino Linotype" w:eastAsia="Palatino Linotype" w:hAnsi="Palatino Linotype" w:cs="Palatino Linotype"/>
          <w:i/>
          <w:sz w:val="22"/>
          <w:szCs w:val="22"/>
        </w:rPr>
        <w:t xml:space="preserve"> Por Ley tenga el carácter de pública;</w:t>
      </w:r>
    </w:p>
    <w:p w:rsidR="001E5501" w:rsidRDefault="001E5501" w:rsidP="001E5501">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III</w:t>
      </w:r>
      <w:r>
        <w:rPr>
          <w:rFonts w:ascii="Palatino Linotype" w:eastAsia="Palatino Linotype" w:hAnsi="Palatino Linotype" w:cs="Palatino Linotype"/>
          <w:i/>
          <w:sz w:val="22"/>
          <w:szCs w:val="22"/>
        </w:rPr>
        <w:t>. Exista una orden judicial;</w:t>
      </w:r>
    </w:p>
    <w:p w:rsidR="001E5501" w:rsidRDefault="001E5501" w:rsidP="001E5501">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IV.</w:t>
      </w:r>
      <w:r>
        <w:rPr>
          <w:rFonts w:ascii="Palatino Linotype" w:eastAsia="Palatino Linotype" w:hAnsi="Palatino Linotype" w:cs="Palatino Linotype"/>
          <w:i/>
          <w:sz w:val="22"/>
          <w:szCs w:val="22"/>
        </w:rPr>
        <w:t xml:space="preserve"> Por razones de seguridad pública, o para proteger los derechos de terceros, se requiera su publicación; o</w:t>
      </w:r>
    </w:p>
    <w:p w:rsidR="001E5501" w:rsidRDefault="001E5501" w:rsidP="001E5501">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V.</w:t>
      </w:r>
      <w:r>
        <w:rPr>
          <w:rFonts w:ascii="Palatino Linotype" w:eastAsia="Palatino Linotype" w:hAnsi="Palatino Linotype" w:cs="Palatino Linotype"/>
          <w:i/>
          <w:sz w:val="22"/>
          <w:szCs w:val="22"/>
        </w:rPr>
        <w:t xml:space="preserve"> Cuando se transmita entre sujetos obligados y entre éstos y los sujetos de derecho internacional, en términos de los tratados y los acuerdos interinstitucionales, siempre y cuando la información se utilice para el ejercicio de facultades propias de los mismos. Para efectos de la fracción I del presente artículo, deberá sujetarse a lo previsto en las disposiciones jurídicas aplicables.</w:t>
      </w:r>
    </w:p>
    <w:p w:rsidR="001E5501" w:rsidRDefault="001E5501" w:rsidP="001E5501">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Para efectos de la fracción IV del presente artículo, el Instituto deberá aplicar la prueba de interés público. Además, se deberá corroborar una conexión patente entre la información confidencial y un tema de interés público y la proporcionalidad entre la invasión a la intimidad ocasionada por la divulgación de la información confidencial y el interés público de la información. </w:t>
      </w:r>
    </w:p>
    <w:p w:rsidR="001E5501" w:rsidRDefault="001E5501" w:rsidP="001E5501">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149.</w:t>
      </w:r>
      <w:r>
        <w:rPr>
          <w:rFonts w:ascii="Palatino Linotype" w:eastAsia="Palatino Linotype" w:hAnsi="Palatino Linotype" w:cs="Palatino Linotype"/>
          <w:i/>
          <w:sz w:val="22"/>
          <w:szCs w:val="22"/>
        </w:rPr>
        <w:t xml:space="preserve"> El acuerdo que clasifique la información como confidencial deberá contener un razonamiento lógico en el que demuestre que la información se encuentra en alguna o algunas de las hipótesis previstas en la presente Ley.” (Sic)</w:t>
      </w:r>
    </w:p>
    <w:p w:rsidR="001E5501" w:rsidRDefault="001E5501" w:rsidP="001E5501">
      <w:pPr>
        <w:spacing w:line="360" w:lineRule="auto"/>
        <w:ind w:right="49"/>
        <w:jc w:val="both"/>
        <w:rPr>
          <w:rFonts w:ascii="Palatino Linotype" w:eastAsia="Palatino Linotype" w:hAnsi="Palatino Linotype" w:cs="Palatino Linotype"/>
        </w:rPr>
      </w:pPr>
    </w:p>
    <w:p w:rsidR="001E5501" w:rsidRDefault="001E5501" w:rsidP="001E5501">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 los artículos transcritos anteriormente, se observan las excepciones que tiene el derecho de acceso a la información pública, respecto a algunos tipos de información, </w:t>
      </w:r>
      <w:r>
        <w:rPr>
          <w:rFonts w:ascii="Palatino Linotype" w:eastAsia="Palatino Linotype" w:hAnsi="Palatino Linotype" w:cs="Palatino Linotype"/>
        </w:rPr>
        <w:lastRenderedPageBreak/>
        <w:t>lo cual restringe su acceso, precisándose de manera clara las hipótesis que dan lugar a clasificar la información, la cual puede ser de dos maneras: Reservada o Confidencial.</w:t>
      </w:r>
    </w:p>
    <w:p w:rsidR="001E5501" w:rsidRDefault="001E5501" w:rsidP="001E5501">
      <w:pPr>
        <w:spacing w:line="360" w:lineRule="auto"/>
        <w:jc w:val="both"/>
        <w:rPr>
          <w:rFonts w:ascii="Palatino Linotype" w:eastAsia="Palatino Linotype" w:hAnsi="Palatino Linotype" w:cs="Palatino Linotype"/>
        </w:rPr>
      </w:pPr>
    </w:p>
    <w:p w:rsidR="001E5501" w:rsidRDefault="001E5501" w:rsidP="001E5501">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En otras palabras, la información confidencial será cuando por su naturaleza, contenga datos personales concernientes a una persona física o jurídico colectiva identificada o identificable, los secretos bancario, fiduciario, industrial, comercial, fiscal, bursátil y postal, cuya titularidad corresponda a particulares, sujetos de derecho internacional o a Sujetos Obligados cuando no involucren el ejercicio de recursos públicos y la que presenten los particulares a los Sujetos Obligados, de conformidad con lo dispuesto por las leyes o los tratados internacionales.</w:t>
      </w:r>
    </w:p>
    <w:p w:rsidR="001E5501" w:rsidRDefault="001E5501" w:rsidP="001E5501">
      <w:pPr>
        <w:spacing w:line="360" w:lineRule="auto"/>
        <w:jc w:val="both"/>
        <w:rPr>
          <w:rFonts w:ascii="Palatino Linotype" w:eastAsia="Palatino Linotype" w:hAnsi="Palatino Linotype" w:cs="Palatino Linotype"/>
        </w:rPr>
      </w:pPr>
    </w:p>
    <w:p w:rsidR="001E5501" w:rsidRDefault="001E5501" w:rsidP="001E5501">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De igual forma, para el caso de la información confidencial se aprecia, que se establece un procedimiento para clasificar la información como confidencial, mediante el cual se fundamentará y motivará la necesidad de clasificar la información, en el que se precisen los motivos que obliguen a la clasificación; lo que se consolida con lo señalado por el artículo 168 de la Ley en la Materia, que señala:</w:t>
      </w:r>
    </w:p>
    <w:p w:rsidR="001E5501" w:rsidRDefault="001E5501" w:rsidP="001E5501">
      <w:pPr>
        <w:spacing w:line="360" w:lineRule="auto"/>
        <w:jc w:val="both"/>
        <w:rPr>
          <w:rFonts w:ascii="Palatino Linotype" w:eastAsia="Palatino Linotype" w:hAnsi="Palatino Linotype" w:cs="Palatino Linotype"/>
        </w:rPr>
      </w:pPr>
    </w:p>
    <w:p w:rsidR="001E5501" w:rsidRDefault="001E5501" w:rsidP="001E5501">
      <w:pPr>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168</w:t>
      </w:r>
      <w:r>
        <w:rPr>
          <w:rFonts w:ascii="Palatino Linotype" w:eastAsia="Palatino Linotype" w:hAnsi="Palatino Linotype" w:cs="Palatino Linotype"/>
          <w:i/>
          <w:sz w:val="22"/>
          <w:szCs w:val="22"/>
        </w:rPr>
        <w:t>. En caso de que los sujetos obligados consideren que los documentos o la información deban ser clasificados, se sujetará a lo siguiente:</w:t>
      </w:r>
    </w:p>
    <w:p w:rsidR="001E5501" w:rsidRDefault="001E5501" w:rsidP="001E5501">
      <w:pPr>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w:t>
      </w:r>
      <w:r>
        <w:rPr>
          <w:rFonts w:ascii="Palatino Linotype" w:eastAsia="Palatino Linotype" w:hAnsi="Palatino Linotype" w:cs="Palatino Linotype"/>
          <w:i/>
          <w:sz w:val="22"/>
          <w:szCs w:val="22"/>
        </w:rPr>
        <w:t xml:space="preserve"> El Área deberá remitir la solicitud, así como un escrito en el que </w:t>
      </w:r>
      <w:r>
        <w:rPr>
          <w:rFonts w:ascii="Palatino Linotype" w:eastAsia="Palatino Linotype" w:hAnsi="Palatino Linotype" w:cs="Palatino Linotype"/>
          <w:b/>
          <w:i/>
          <w:sz w:val="22"/>
          <w:szCs w:val="22"/>
        </w:rPr>
        <w:t>funde y motive la clasificación al Comité de Transparencia</w:t>
      </w:r>
      <w:r>
        <w:rPr>
          <w:rFonts w:ascii="Palatino Linotype" w:eastAsia="Palatino Linotype" w:hAnsi="Palatino Linotype" w:cs="Palatino Linotype"/>
          <w:i/>
          <w:sz w:val="22"/>
          <w:szCs w:val="22"/>
        </w:rPr>
        <w:t>, mismo que deberá resolver para:</w:t>
      </w:r>
    </w:p>
    <w:p w:rsidR="001E5501" w:rsidRDefault="001E5501" w:rsidP="001E5501">
      <w:pPr>
        <w:ind w:left="567" w:right="616"/>
        <w:jc w:val="both"/>
        <w:rPr>
          <w:rFonts w:ascii="Palatino Linotype" w:eastAsia="Palatino Linotype" w:hAnsi="Palatino Linotype" w:cs="Palatino Linotype"/>
          <w:b/>
          <w:i/>
          <w:sz w:val="22"/>
          <w:szCs w:val="22"/>
        </w:rPr>
      </w:pPr>
      <w:r>
        <w:rPr>
          <w:rFonts w:ascii="Palatino Linotype" w:eastAsia="Palatino Linotype" w:hAnsi="Palatino Linotype" w:cs="Palatino Linotype"/>
          <w:i/>
          <w:sz w:val="22"/>
          <w:szCs w:val="22"/>
        </w:rPr>
        <w:t>a</w:t>
      </w:r>
      <w:r>
        <w:rPr>
          <w:rFonts w:ascii="Palatino Linotype" w:eastAsia="Palatino Linotype" w:hAnsi="Palatino Linotype" w:cs="Palatino Linotype"/>
          <w:b/>
          <w:i/>
          <w:sz w:val="22"/>
          <w:szCs w:val="22"/>
        </w:rPr>
        <w:t>) Confirmar la clasificación;</w:t>
      </w:r>
    </w:p>
    <w:p w:rsidR="001E5501" w:rsidRDefault="001E5501" w:rsidP="001E5501">
      <w:pPr>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b) Modificar la clasificación y otorgar total o parcialmente el acceso a la información; y c) Revocar la clasificación y conceder el acceso a la información.</w:t>
      </w:r>
    </w:p>
    <w:p w:rsidR="001E5501" w:rsidRDefault="001E5501" w:rsidP="001E5501">
      <w:pPr>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w:t>
      </w:r>
      <w:r>
        <w:rPr>
          <w:rFonts w:ascii="Palatino Linotype" w:eastAsia="Palatino Linotype" w:hAnsi="Palatino Linotype" w:cs="Palatino Linotype"/>
          <w:i/>
          <w:sz w:val="22"/>
          <w:szCs w:val="22"/>
        </w:rPr>
        <w:t xml:space="preserve"> El Comité de Transparencia podrá tener acceso a la información que esté en poder del Área correspondiente, de la cual se haya solicitado su clasificación; y</w:t>
      </w:r>
    </w:p>
    <w:p w:rsidR="001E5501" w:rsidRDefault="001E5501" w:rsidP="001E5501">
      <w:pPr>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lastRenderedPageBreak/>
        <w:t>III.</w:t>
      </w:r>
      <w:r>
        <w:rPr>
          <w:rFonts w:ascii="Palatino Linotype" w:eastAsia="Palatino Linotype" w:hAnsi="Palatino Linotype" w:cs="Palatino Linotype"/>
          <w:i/>
          <w:sz w:val="22"/>
          <w:szCs w:val="22"/>
        </w:rPr>
        <w:t xml:space="preserve"> La resolución del Comité de Transparencia será notificada al interesado en el plazo de respuesta a la solicitud que establece esta Ley.</w:t>
      </w:r>
    </w:p>
    <w:p w:rsidR="001E5501" w:rsidRDefault="001E5501" w:rsidP="001E5501">
      <w:pPr>
        <w:spacing w:line="360" w:lineRule="auto"/>
        <w:jc w:val="both"/>
        <w:rPr>
          <w:rFonts w:ascii="Palatino Linotype" w:eastAsia="Palatino Linotype" w:hAnsi="Palatino Linotype" w:cs="Palatino Linotype"/>
        </w:rPr>
      </w:pPr>
    </w:p>
    <w:p w:rsidR="001E5501" w:rsidRDefault="001E5501" w:rsidP="001E5501">
      <w:pPr>
        <w:spacing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deberá proceder a testar los datos personales que se encuentren contenidos en los documentos a entregar por parte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para satisfacer el derecho de acceso a la información pública de la recurrente,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 que señala la fracción XII del artículo 4 de la Ley de Protección de Datos Personales en Posesión de Sujetos Obligados del Estado de México.</w:t>
      </w:r>
    </w:p>
    <w:p w:rsidR="001E5501" w:rsidRDefault="001E5501" w:rsidP="001E5501">
      <w:pPr>
        <w:spacing w:line="360" w:lineRule="auto"/>
        <w:ind w:right="51"/>
        <w:jc w:val="both"/>
        <w:rPr>
          <w:rFonts w:ascii="Palatino Linotype" w:eastAsia="Palatino Linotype" w:hAnsi="Palatino Linotype" w:cs="Palatino Linotype"/>
        </w:rPr>
      </w:pPr>
    </w:p>
    <w:p w:rsidR="001E5501" w:rsidRDefault="001E5501" w:rsidP="001E5501">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En el caso específico, es criterio reiterado de este Instituto que además de los datos especificados en la Ley de Transparencia y Acceso a la Información Pública del Estado de México y Municipios, se consideran confidenciales y por tanto deben testarse al momento de la elaboración de versiones públicas el </w:t>
      </w:r>
      <w:r>
        <w:rPr>
          <w:rFonts w:ascii="Palatino Linotype" w:eastAsia="Palatino Linotype" w:hAnsi="Palatino Linotype" w:cs="Palatino Linotype"/>
          <w:b/>
        </w:rPr>
        <w:t>Registro Federal de Contribuyentes</w:t>
      </w:r>
      <w:r>
        <w:rPr>
          <w:rFonts w:ascii="Palatino Linotype" w:eastAsia="Palatino Linotype" w:hAnsi="Palatino Linotype" w:cs="Palatino Linotype"/>
        </w:rPr>
        <w:t xml:space="preserve"> (RFC), la </w:t>
      </w:r>
      <w:r>
        <w:rPr>
          <w:rFonts w:ascii="Palatino Linotype" w:eastAsia="Palatino Linotype" w:hAnsi="Palatino Linotype" w:cs="Palatino Linotype"/>
          <w:b/>
        </w:rPr>
        <w:t>Clave Única de Registro de Población</w:t>
      </w:r>
      <w:r>
        <w:rPr>
          <w:rFonts w:ascii="Palatino Linotype" w:eastAsia="Palatino Linotype" w:hAnsi="Palatino Linotype" w:cs="Palatino Linotype"/>
        </w:rPr>
        <w:t xml:space="preserve"> (CURP) y la </w:t>
      </w:r>
      <w:r>
        <w:rPr>
          <w:rFonts w:ascii="Palatino Linotype" w:eastAsia="Palatino Linotype" w:hAnsi="Palatino Linotype" w:cs="Palatino Linotype"/>
          <w:b/>
        </w:rPr>
        <w:t>Clave de cualquier tipo de seguridad social</w:t>
      </w:r>
      <w:r>
        <w:rPr>
          <w:rFonts w:ascii="Palatino Linotype" w:eastAsia="Palatino Linotype" w:hAnsi="Palatino Linotype" w:cs="Palatino Linotype"/>
        </w:rPr>
        <w:t xml:space="preserve"> (ISSEMYM, u otros), así como, los </w:t>
      </w:r>
      <w:r>
        <w:rPr>
          <w:rFonts w:ascii="Palatino Linotype" w:eastAsia="Palatino Linotype" w:hAnsi="Palatino Linotype" w:cs="Palatino Linotype"/>
          <w:b/>
        </w:rPr>
        <w:t>préstamos o descuentos</w:t>
      </w:r>
      <w:r>
        <w:rPr>
          <w:rFonts w:ascii="Palatino Linotype" w:eastAsia="Palatino Linotype" w:hAnsi="Palatino Linotype" w:cs="Palatino Linotype"/>
        </w:rPr>
        <w:t xml:space="preserve"> que se le hagan a la persona y que no tengan relación con los impuestos o </w:t>
      </w:r>
      <w:r>
        <w:rPr>
          <w:rFonts w:ascii="Palatino Linotype" w:eastAsia="Palatino Linotype" w:hAnsi="Palatino Linotype" w:cs="Palatino Linotype"/>
        </w:rPr>
        <w:lastRenderedPageBreak/>
        <w:t xml:space="preserve">la cuota por seguridad social, así como los </w:t>
      </w:r>
      <w:r>
        <w:rPr>
          <w:rFonts w:ascii="Palatino Linotype" w:eastAsia="Palatino Linotype" w:hAnsi="Palatino Linotype" w:cs="Palatino Linotype"/>
          <w:b/>
        </w:rPr>
        <w:t>Códigos Bidimensionales</w:t>
      </w:r>
      <w:r>
        <w:rPr>
          <w:rFonts w:ascii="Palatino Linotype" w:eastAsia="Palatino Linotype" w:hAnsi="Palatino Linotype" w:cs="Palatino Linotype"/>
        </w:rPr>
        <w:t xml:space="preserve">, también denominados </w:t>
      </w:r>
      <w:r>
        <w:rPr>
          <w:rFonts w:ascii="Palatino Linotype" w:eastAsia="Palatino Linotype" w:hAnsi="Palatino Linotype" w:cs="Palatino Linotype"/>
          <w:b/>
        </w:rPr>
        <w:t>Códigos QR</w:t>
      </w:r>
      <w:r>
        <w:rPr>
          <w:rFonts w:ascii="Palatino Linotype" w:eastAsia="Palatino Linotype" w:hAnsi="Palatino Linotype" w:cs="Palatino Linotype"/>
        </w:rPr>
        <w:t>.</w:t>
      </w:r>
    </w:p>
    <w:p w:rsidR="001E5501" w:rsidRDefault="001E5501" w:rsidP="001E550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En cuanto al RFC, este constituye un dato personal, ya que para su obtención es necesario acreditar ante la autoridad fiscal previamente la identidad de la persona, su fecha de nacimiento, entre otros aspectos.</w:t>
      </w:r>
    </w:p>
    <w:p w:rsidR="001E5501" w:rsidRDefault="001E5501" w:rsidP="001E550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Ahora bien, las personas físicas tramitan su inscripción en el registro con el propósito de realizar —mediante esa clave de identificación— operaciones o actividades de naturaleza fiscal, la cual, les permite hacerse identificables respecto de una situación fiscal determinada.</w:t>
      </w:r>
    </w:p>
    <w:p w:rsidR="001E5501" w:rsidRDefault="001E5501" w:rsidP="001E550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Lo anterior es compartido por el Instituto Nacional de Transparencia, Acceso a la Información y Protección de Datos (INAI) a través del Criterio 19/17, el cual es del tenor literal siguiente:</w:t>
      </w:r>
    </w:p>
    <w:p w:rsidR="001E5501" w:rsidRDefault="001E5501" w:rsidP="001E5501">
      <w:pPr>
        <w:spacing w:after="120"/>
        <w:ind w:left="851" w:right="902"/>
        <w:jc w:val="both"/>
        <w:rPr>
          <w:rFonts w:ascii="Arial" w:eastAsia="Arial" w:hAnsi="Arial" w:cs="Arial"/>
        </w:rPr>
      </w:pPr>
      <w:r>
        <w:rPr>
          <w:rFonts w:ascii="Palatino Linotype" w:eastAsia="Palatino Linotype" w:hAnsi="Palatino Linotype" w:cs="Palatino Linotype"/>
          <w:b/>
          <w:i/>
          <w:sz w:val="20"/>
          <w:szCs w:val="20"/>
        </w:rPr>
        <w:t xml:space="preserve">“Registro Federal de Contribuyentes (RFC) de personas físicas. </w:t>
      </w:r>
      <w:r>
        <w:rPr>
          <w:rFonts w:ascii="Palatino Linotype" w:eastAsia="Palatino Linotype" w:hAnsi="Palatino Linotype" w:cs="Palatino Linotype"/>
          <w:i/>
          <w:sz w:val="20"/>
          <w:szCs w:val="20"/>
        </w:rPr>
        <w:t>El RFC es una clave de carácter fiscal, única e irrepetible, que permite identificar al titular, su edad y fecha de nacimiento, por lo que es un dato personal de carácter confidencial.” (Sic)</w:t>
      </w:r>
    </w:p>
    <w:p w:rsidR="001E5501" w:rsidRDefault="001E5501" w:rsidP="001E5501">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Así, el RFC se vincula al nombre de su titular y permite identificar la edad de la persona, su fecha de nacimiento, así como su homoclave, la cual es única e irrepetible y determina la identificación de dicha persona para efectos fiscales, por lo que constituye un dato personal que concierne a una persona física identificada e identificable en términos de los artículos 3, fracción IX de la Ley de Transparencia y Acceso a la Información Pública del Estado de México y Municipios y 4 fracción VII de la Ley de Protección de Datos Personales del Estado de México.</w:t>
      </w:r>
    </w:p>
    <w:p w:rsidR="001E5501" w:rsidRDefault="001E5501" w:rsidP="001E5501">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En cuanto al CURP, en virtud de que éste se 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rsidR="001E5501" w:rsidRDefault="001E5501" w:rsidP="001E550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Argumento que es compartido por el Instituto Nacional de Transparencia, Acceso a la Información y Protección de Datos (INAI)</w:t>
      </w:r>
      <w:r>
        <w:rPr>
          <w:rFonts w:ascii="Palatino Linotype" w:eastAsia="Palatino Linotype" w:hAnsi="Palatino Linotype" w:cs="Palatino Linotype"/>
          <w:b/>
        </w:rPr>
        <w:t xml:space="preserve">, conforme al </w:t>
      </w:r>
      <w:r>
        <w:rPr>
          <w:rFonts w:ascii="Palatino Linotype" w:eastAsia="Palatino Linotype" w:hAnsi="Palatino Linotype" w:cs="Palatino Linotype"/>
        </w:rPr>
        <w:t xml:space="preserve">criterio número 18/17, el cual refiere: </w:t>
      </w:r>
    </w:p>
    <w:p w:rsidR="001E5501" w:rsidRDefault="001E5501" w:rsidP="001E5501">
      <w:pPr>
        <w:pBdr>
          <w:top w:val="nil"/>
          <w:left w:val="nil"/>
          <w:bottom w:val="nil"/>
          <w:right w:val="nil"/>
          <w:between w:val="nil"/>
        </w:pBdr>
        <w:spacing w:after="120"/>
        <w:ind w:left="851" w:right="902"/>
        <w:jc w:val="both"/>
        <w:rPr>
          <w:rFonts w:ascii="Arial" w:eastAsia="Arial" w:hAnsi="Arial" w:cs="Arial"/>
          <w:b/>
          <w:color w:val="000000"/>
        </w:rPr>
      </w:pPr>
      <w:r>
        <w:rPr>
          <w:rFonts w:ascii="Palatino Linotype" w:eastAsia="Palatino Linotype" w:hAnsi="Palatino Linotype" w:cs="Palatino Linotype"/>
          <w:b/>
          <w:i/>
          <w:color w:val="000000"/>
          <w:sz w:val="20"/>
          <w:szCs w:val="20"/>
        </w:rPr>
        <w:t xml:space="preserve">“Clave Única de Registro de Población (CURP). </w:t>
      </w:r>
      <w:r>
        <w:rPr>
          <w:rFonts w:ascii="Palatino Linotype" w:eastAsia="Palatino Linotype" w:hAnsi="Palatino Linotype" w:cs="Palatino Linotype"/>
          <w:i/>
          <w:color w:val="000000"/>
          <w:sz w:val="20"/>
          <w:szCs w:val="20"/>
        </w:rPr>
        <w:t>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(Sic)</w:t>
      </w:r>
    </w:p>
    <w:p w:rsidR="001E5501" w:rsidRDefault="001E5501" w:rsidP="001E550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Por otra parte y respecto a la clave de seguridad social y en su caso clave o número del servidor público –trabajador-, en virtud de que su divulgación no aporta a la transparencia o a la rendición de cuentas y sí provoca una transgresión a la vida privada e intimidad de la persona, esta información también resulta ser de carácter confidencial; siendo aplicable como orientador el criterio número 15/10 emitido por el entonces Instituto Federal de Transparencia y Acceso a la Información (INAI, cuyo texto y sentido literal es el siguiente:</w:t>
      </w:r>
    </w:p>
    <w:p w:rsidR="001E5501" w:rsidRDefault="001E5501" w:rsidP="001E5501">
      <w:pPr>
        <w:spacing w:before="240" w:after="240"/>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“El número de ficha de identificación única de los trabajadores es información de carácter confidencial.</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i/>
          <w:sz w:val="22"/>
          <w:szCs w:val="22"/>
          <w:u w:val="single"/>
        </w:rPr>
        <w:t>En los casos en que el número de trabajador o ficha de identificación única constituya un elemento por medio del cual los trabajadores puedan acceder a un sistema de datos o información de la dependencia o entidad, para hacer uso de diversos servicios, como la presentación de consultas relacionadas con su situación laboral particular</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i/>
          <w:sz w:val="22"/>
          <w:szCs w:val="22"/>
          <w:u w:val="single"/>
        </w:rPr>
        <w:t xml:space="preserve">dicha información es susceptible de clasificarse con el carácter de </w:t>
      </w:r>
      <w:r>
        <w:rPr>
          <w:rFonts w:ascii="Palatino Linotype" w:eastAsia="Palatino Linotype" w:hAnsi="Palatino Linotype" w:cs="Palatino Linotype"/>
          <w:i/>
          <w:sz w:val="22"/>
          <w:szCs w:val="22"/>
          <w:u w:val="single"/>
        </w:rPr>
        <w:lastRenderedPageBreak/>
        <w:t>confidencial</w:t>
      </w:r>
      <w:r>
        <w:rPr>
          <w:rFonts w:ascii="Palatino Linotype" w:eastAsia="Palatino Linotype" w:hAnsi="Palatino Linotype" w:cs="Palatino Linotype"/>
          <w:i/>
          <w:sz w:val="22"/>
          <w:szCs w:val="22"/>
        </w:rPr>
        <w:t>, en términos de lo establecido en el artículo 18, fracción II de la Ley Federal de Transparencia y Acceso a la Información Pública Gubernamental, en virtud de que a través de la misma es posible conocer información personal de su titular.” (Sic)</w:t>
      </w:r>
    </w:p>
    <w:p w:rsidR="00DB4CFD" w:rsidRPr="0005134A" w:rsidRDefault="00DB4CFD" w:rsidP="00DB4CFD">
      <w:pPr>
        <w:spacing w:line="360" w:lineRule="auto"/>
        <w:jc w:val="both"/>
        <w:rPr>
          <w:rFonts w:ascii="Palatino Linotype" w:hAnsi="Palatino Linotype"/>
          <w:lang w:eastAsia="es-MX"/>
        </w:rPr>
      </w:pPr>
      <w:r w:rsidRPr="0005134A">
        <w:rPr>
          <w:rFonts w:ascii="Palatino Linotype" w:hAnsi="Palatino Linotype"/>
          <w:lang w:eastAsia="es-MX"/>
        </w:rPr>
        <w:t xml:space="preserve">Por cuanto hace a la </w:t>
      </w:r>
      <w:r w:rsidRPr="0005134A">
        <w:rPr>
          <w:rFonts w:ascii="Palatino Linotype" w:hAnsi="Palatino Linotype"/>
          <w:b/>
        </w:rPr>
        <w:t>Clave de cualquier tipo de seguridad social</w:t>
      </w:r>
      <w:r w:rsidRPr="0005134A">
        <w:rPr>
          <w:rFonts w:ascii="Palatino Linotype" w:hAnsi="Palatino Linotype"/>
        </w:rPr>
        <w:t xml:space="preserve"> (ISSEMYM, u otros), está integrado por una </w:t>
      </w:r>
      <w:r w:rsidRPr="0005134A">
        <w:rPr>
          <w:rFonts w:ascii="Palatino Linotype" w:hAnsi="Palatino Linotype"/>
          <w:bCs/>
          <w:lang w:eastAsia="es-MX"/>
        </w:rPr>
        <w:t xml:space="preserve">secuencia de números con los que se identifica a los trabajadores que cubren las cuotas respectivas, asimismo, lo identifica con la fuente de trabajo; por lo que al ser una clave de identificación de los trabajadores, constituye información confidencial, </w:t>
      </w:r>
      <w:r w:rsidRPr="0005134A">
        <w:rPr>
          <w:rFonts w:ascii="Palatino Linotype" w:hAnsi="Palatino Linotype"/>
          <w:lang w:eastAsia="es-MX"/>
        </w:rPr>
        <w:t xml:space="preserve">dato que únicamente le atañe al servidor público, por lo que constituye un dato personal que concierne a una persona física identificada e identificable en términos de los artículos 2 fracción II de la Ley de Transparencia y Acceso a la Información Pública del Estado de México y Municipios y  </w:t>
      </w:r>
      <w:r w:rsidRPr="0005134A">
        <w:rPr>
          <w:rFonts w:ascii="Palatino Linotype" w:eastAsia="Arial Unicode MS" w:hAnsi="Palatino Linotype"/>
        </w:rPr>
        <w:t>4 fracción XI de la Ley de Protección de Datos Personales en Posesión de Sujetos Obligados del Estado de México y Municipios</w:t>
      </w:r>
      <w:r w:rsidRPr="0005134A">
        <w:rPr>
          <w:rFonts w:ascii="Palatino Linotype" w:hAnsi="Palatino Linotype"/>
          <w:lang w:eastAsia="es-MX"/>
        </w:rPr>
        <w:t>.</w:t>
      </w:r>
    </w:p>
    <w:p w:rsidR="00DB4CFD" w:rsidRDefault="00DB4CFD" w:rsidP="001E5501">
      <w:pPr>
        <w:spacing w:line="360" w:lineRule="auto"/>
        <w:jc w:val="both"/>
        <w:rPr>
          <w:rFonts w:ascii="Palatino Linotype" w:eastAsia="Palatino Linotype" w:hAnsi="Palatino Linotype" w:cs="Palatino Linotype"/>
        </w:rPr>
      </w:pPr>
    </w:p>
    <w:p w:rsidR="001E5501" w:rsidRDefault="001E5501" w:rsidP="001E5501">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Respecto de los </w:t>
      </w:r>
      <w:r>
        <w:rPr>
          <w:rFonts w:ascii="Palatino Linotype" w:eastAsia="Palatino Linotype" w:hAnsi="Palatino Linotype" w:cs="Palatino Linotype"/>
          <w:b/>
        </w:rPr>
        <w:t>préstamos o descuentos</w:t>
      </w:r>
      <w:r>
        <w:rPr>
          <w:rFonts w:ascii="Palatino Linotype" w:eastAsia="Palatino Linotype" w:hAnsi="Palatino Linotype" w:cs="Palatino Linotype"/>
        </w:rPr>
        <w:t xml:space="preserve"> </w:t>
      </w:r>
      <w:r>
        <w:rPr>
          <w:rFonts w:ascii="Palatino Linotype" w:eastAsia="Palatino Linotype" w:hAnsi="Palatino Linotype" w:cs="Palatino Linotype"/>
          <w:b/>
        </w:rPr>
        <w:t>de carácter personal</w:t>
      </w:r>
      <w:r>
        <w:rPr>
          <w:rFonts w:ascii="Palatino Linotype" w:eastAsia="Palatino Linotype" w:hAnsi="Palatino Linotype" w:cs="Palatino Linotype"/>
        </w:rPr>
        <w:t>, éstos no deben tener relación con la prestación del servicio; es decir, son confidenciales los préstamos o descuentos que se le hagan a la persona en los que no se involucren instituciones públicas, en virtud de no favorecer en la transparencia y rendición de cuentas, sino, por el contrario, con ello se violentaría la protección de información confidencial, porque incide en la intimidad de un individuo identificado.</w:t>
      </w:r>
    </w:p>
    <w:p w:rsidR="001E5501" w:rsidRDefault="001E5501" w:rsidP="001E5501">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Por cuanto hace a las deducciones, para entender los límites y alcances de esta restricción, es oportuno recurrir al artículo 84 de la Ley del Trabajo de los Servidores Públicos del Estado y Municipios:</w:t>
      </w:r>
    </w:p>
    <w:p w:rsidR="001E5501" w:rsidRDefault="001E5501" w:rsidP="001E5501">
      <w:pPr>
        <w:ind w:left="851" w:right="851"/>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lastRenderedPageBreak/>
        <w:t xml:space="preserve">“ARTÍCULO 84. </w:t>
      </w:r>
      <w:r>
        <w:rPr>
          <w:rFonts w:ascii="Palatino Linotype" w:eastAsia="Palatino Linotype" w:hAnsi="Palatino Linotype" w:cs="Palatino Linotype"/>
          <w:i/>
          <w:sz w:val="22"/>
          <w:szCs w:val="22"/>
        </w:rPr>
        <w:t>Sólo podrán hacerse retenciones, descuentos o deducciones al sueldo de los servidores públicos por concepto de:</w:t>
      </w:r>
    </w:p>
    <w:p w:rsidR="001E5501" w:rsidRDefault="001E5501" w:rsidP="001E5501">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 Gravámenes fiscales relacionados con el sueldo;</w:t>
      </w:r>
    </w:p>
    <w:p w:rsidR="001E5501" w:rsidRDefault="001E5501" w:rsidP="001E5501">
      <w:pPr>
        <w:ind w:left="851" w:right="851"/>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II. Deudas contraídas con las instituciones públicas o dependencias por concepto de anticipos de sueldo, pagos hechos con exceso, errores o pérdidas debidamente comprobados;</w:t>
      </w:r>
    </w:p>
    <w:p w:rsidR="001E5501" w:rsidRDefault="001E5501" w:rsidP="001E5501">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III. Cuotas sindicales;</w:t>
      </w:r>
    </w:p>
    <w:p w:rsidR="001E5501" w:rsidRDefault="001E5501" w:rsidP="001E5501">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IV. Cuotas de aportación a fondos para la constitución de cooperativas y de cajas de ahorro, siempre que el servidor público hubiese manifestado previamente, de manera expresa, su conformidad;</w:t>
      </w:r>
    </w:p>
    <w:p w:rsidR="001E5501" w:rsidRDefault="001E5501" w:rsidP="001E5501">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V. Descuentos ordenados por el Instituto de Seguridad Social del Estado de México y Municipios, con motivo de cuotas y obligaciones contraídas con éste por los servidores públicos;</w:t>
      </w:r>
    </w:p>
    <w:p w:rsidR="001E5501" w:rsidRDefault="001E5501" w:rsidP="001E5501">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VI. Obligaciones a cargo del servidor público con las que haya consentido, derivadas de la adquisición o del uso de habitaciones consideradas como de interés social;</w:t>
      </w:r>
    </w:p>
    <w:p w:rsidR="001E5501" w:rsidRDefault="001E5501" w:rsidP="001E5501">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VII. Faltas de puntualidad o de asistencia injustificadas;</w:t>
      </w:r>
    </w:p>
    <w:p w:rsidR="001E5501" w:rsidRDefault="001E5501" w:rsidP="001E5501">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VIII. Pensiones alimenticias ordenadas por la autoridad judicial;</w:t>
      </w:r>
      <w:r>
        <w:rPr>
          <w:rFonts w:ascii="Palatino Linotype" w:eastAsia="Palatino Linotype" w:hAnsi="Palatino Linotype" w:cs="Palatino Linotype"/>
          <w:i/>
          <w:sz w:val="22"/>
          <w:szCs w:val="22"/>
        </w:rPr>
        <w:t xml:space="preserve"> o</w:t>
      </w:r>
    </w:p>
    <w:p w:rsidR="001E5501" w:rsidRDefault="001E5501" w:rsidP="001E5501">
      <w:pPr>
        <w:ind w:left="851" w:right="851"/>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IX. Cualquier otro convenido con instituciones de servicios y aceptado por el servidor público.</w:t>
      </w:r>
    </w:p>
    <w:p w:rsidR="001E5501" w:rsidRDefault="001E5501" w:rsidP="001E5501">
      <w:pPr>
        <w:spacing w:after="120"/>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 (Sic)</w:t>
      </w:r>
    </w:p>
    <w:p w:rsidR="001E5501" w:rsidRDefault="001E5501" w:rsidP="001E5501">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Como se puede observar, la Ley del Trabajo de mérito establece claramente cuáles son esos descuentos o gravámenes que directamente se relacionan con las obligaciones adquiridas como servidores públicos y aquéllos que únicamente inciden en su vida privada. De este modo, descuentos por pensiones alimenticias o créditos adquiridos con instituciones privadas que no se relacionen con el gasto público, son información que debe clasificarse como confidencial.</w:t>
      </w:r>
    </w:p>
    <w:p w:rsidR="001E5501" w:rsidRDefault="001E5501" w:rsidP="001E5501">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En conclusión, los préstamos o descuentos de carácter personal, en virtud de no tener relación con la prestación del servicio y al no involucrar instituciones públicas, se consideran datos confidenciales.</w:t>
      </w:r>
    </w:p>
    <w:p w:rsidR="001E5501" w:rsidRDefault="001E5501" w:rsidP="001E5501">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1E5501" w:rsidRDefault="001E5501" w:rsidP="001E5501">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Respecto de los </w:t>
      </w:r>
      <w:r>
        <w:rPr>
          <w:rFonts w:ascii="Palatino Linotype" w:eastAsia="Palatino Linotype" w:hAnsi="Palatino Linotype" w:cs="Palatino Linotype"/>
          <w:b/>
        </w:rPr>
        <w:t>Códigos Bidimensionales</w:t>
      </w:r>
      <w:r>
        <w:rPr>
          <w:rFonts w:ascii="Palatino Linotype" w:eastAsia="Palatino Linotype" w:hAnsi="Palatino Linotype" w:cs="Palatino Linotype"/>
        </w:rPr>
        <w:t xml:space="preserve">, también denominados </w:t>
      </w:r>
      <w:r>
        <w:rPr>
          <w:rFonts w:ascii="Palatino Linotype" w:eastAsia="Palatino Linotype" w:hAnsi="Palatino Linotype" w:cs="Palatino Linotype"/>
          <w:b/>
        </w:rPr>
        <w:t>Códigos QR</w:t>
      </w:r>
      <w:r>
        <w:rPr>
          <w:rFonts w:ascii="Palatino Linotype" w:eastAsia="Palatino Linotype" w:hAnsi="Palatino Linotype" w:cs="Palatino Linotype"/>
        </w:rPr>
        <w:t xml:space="preserve">, se trata de barras en dos dimensiones que al igual a los códigos de barras o códigos unidimensionales, son utilizados para almacenar diversos tipos datos de manera codificada, los cuales a través de lectores que pueden ser obtenidos por cualquier persona, pueden obtener los referidos datos, los cuales en el caso de los recibos de nómina pueden corresponder a datos personales como los anteriormente mencionados, v. gr. el </w:t>
      </w:r>
      <w:r>
        <w:rPr>
          <w:rFonts w:ascii="Palatino Linotype" w:eastAsia="Palatino Linotype" w:hAnsi="Palatino Linotype" w:cs="Palatino Linotype"/>
          <w:b/>
        </w:rPr>
        <w:t>Registro Federal de Contribuyentes</w:t>
      </w:r>
      <w:r>
        <w:rPr>
          <w:rFonts w:ascii="Palatino Linotype" w:eastAsia="Palatino Linotype" w:hAnsi="Palatino Linotype" w:cs="Palatino Linotype"/>
        </w:rPr>
        <w:t xml:space="preserve"> (RFC) y la </w:t>
      </w:r>
      <w:r>
        <w:rPr>
          <w:rFonts w:ascii="Palatino Linotype" w:eastAsia="Palatino Linotype" w:hAnsi="Palatino Linotype" w:cs="Palatino Linotype"/>
          <w:b/>
        </w:rPr>
        <w:t>Clave Única de Registro de Población</w:t>
      </w:r>
      <w:r>
        <w:rPr>
          <w:rFonts w:ascii="Palatino Linotype" w:eastAsia="Palatino Linotype" w:hAnsi="Palatino Linotype" w:cs="Palatino Linotype"/>
        </w:rPr>
        <w:t xml:space="preserve"> (CURP).</w:t>
      </w:r>
    </w:p>
    <w:p w:rsidR="001E5501" w:rsidRDefault="001E5501" w:rsidP="001E5501">
      <w:pPr>
        <w:spacing w:line="360" w:lineRule="auto"/>
        <w:ind w:right="51"/>
        <w:jc w:val="both"/>
        <w:rPr>
          <w:rFonts w:ascii="Palatino Linotype" w:eastAsia="Palatino Linotype" w:hAnsi="Palatino Linotype" w:cs="Palatino Linotype"/>
        </w:rPr>
      </w:pPr>
    </w:p>
    <w:p w:rsidR="001E5501" w:rsidRDefault="001E5501" w:rsidP="001E5501">
      <w:pPr>
        <w:spacing w:line="360" w:lineRule="auto"/>
        <w:ind w:right="50"/>
        <w:jc w:val="both"/>
        <w:rPr>
          <w:rFonts w:ascii="Palatino Linotype" w:eastAsia="Palatino Linotype" w:hAnsi="Palatino Linotype" w:cs="Palatino Linotype"/>
        </w:rPr>
      </w:pPr>
      <w:r>
        <w:rPr>
          <w:rFonts w:ascii="Palatino Linotype" w:eastAsia="Palatino Linotype" w:hAnsi="Palatino Linotype" w:cs="Palatino Linotype"/>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rsidR="001E5501" w:rsidRDefault="001E5501" w:rsidP="001E5501">
      <w:pPr>
        <w:spacing w:line="360" w:lineRule="auto"/>
        <w:ind w:right="50"/>
        <w:jc w:val="both"/>
        <w:rPr>
          <w:rFonts w:ascii="Palatino Linotype" w:eastAsia="Palatino Linotype" w:hAnsi="Palatino Linotype" w:cs="Palatino Linotype"/>
        </w:rPr>
      </w:pPr>
    </w:p>
    <w:p w:rsidR="001E5501" w:rsidRDefault="001E5501" w:rsidP="001E5501">
      <w:pPr>
        <w:spacing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t xml:space="preserve">En ese contexto, la clasificación de la información no opera con la simple supresión de datos que se haga en los documentos de que se trate o con la simple decisión que tome el Servidor Público Habilitado o el Responsable de la Unidad de Transparencia del Sujeto Obligado, sino que ello deberá realizarse en términos de lo que disponen los </w:t>
      </w:r>
      <w:r>
        <w:rPr>
          <w:rFonts w:ascii="Palatino Linotype" w:eastAsia="Palatino Linotype" w:hAnsi="Palatino Linotype" w:cs="Palatino Linotype"/>
        </w:rPr>
        <w:lastRenderedPageBreak/>
        <w:t>artículos 49 fracción VIII, 53, fracción X y 59, fracción V, de la Ley en consulta, cuyo sentido literal es el siguiente:</w:t>
      </w:r>
    </w:p>
    <w:p w:rsidR="001E5501" w:rsidRDefault="001E5501" w:rsidP="001E5501">
      <w:pPr>
        <w:spacing w:line="360" w:lineRule="auto"/>
        <w:ind w:right="51"/>
        <w:jc w:val="both"/>
        <w:rPr>
          <w:rFonts w:ascii="Palatino Linotype" w:eastAsia="Palatino Linotype" w:hAnsi="Palatino Linotype" w:cs="Palatino Linotype"/>
        </w:rPr>
      </w:pPr>
    </w:p>
    <w:p w:rsidR="001E5501" w:rsidRDefault="001E5501" w:rsidP="001E5501">
      <w:pPr>
        <w:ind w:left="992" w:right="1043"/>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49.</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Los Comités de Transparencia</w:t>
      </w:r>
      <w:r>
        <w:rPr>
          <w:rFonts w:ascii="Palatino Linotype" w:eastAsia="Palatino Linotype" w:hAnsi="Palatino Linotype" w:cs="Palatino Linotype"/>
          <w:i/>
          <w:sz w:val="22"/>
          <w:szCs w:val="22"/>
        </w:rPr>
        <w:t xml:space="preserve"> tendrán las siguientes atribuciones:</w:t>
      </w:r>
    </w:p>
    <w:p w:rsidR="001E5501" w:rsidRDefault="001E5501" w:rsidP="001E5501">
      <w:pPr>
        <w:ind w:left="992" w:right="1043"/>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VIII. Aprobar, modificar o revocar la clasificación de la información</w:t>
      </w:r>
      <w:r>
        <w:rPr>
          <w:rFonts w:ascii="Palatino Linotype" w:eastAsia="Palatino Linotype" w:hAnsi="Palatino Linotype" w:cs="Palatino Linotype"/>
          <w:i/>
          <w:sz w:val="22"/>
          <w:szCs w:val="22"/>
        </w:rPr>
        <w:t>…”</w:t>
      </w:r>
    </w:p>
    <w:p w:rsidR="001E5501" w:rsidRDefault="001E5501" w:rsidP="001E5501">
      <w:pPr>
        <w:ind w:left="992" w:right="1043"/>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53.</w:t>
      </w:r>
      <w:r>
        <w:rPr>
          <w:rFonts w:ascii="Palatino Linotype" w:eastAsia="Palatino Linotype" w:hAnsi="Palatino Linotype" w:cs="Palatino Linotype"/>
          <w:i/>
          <w:sz w:val="22"/>
          <w:szCs w:val="22"/>
        </w:rPr>
        <w:t xml:space="preserve"> Las </w:t>
      </w:r>
      <w:r>
        <w:rPr>
          <w:rFonts w:ascii="Palatino Linotype" w:eastAsia="Palatino Linotype" w:hAnsi="Palatino Linotype" w:cs="Palatino Linotype"/>
          <w:b/>
          <w:i/>
          <w:sz w:val="22"/>
          <w:szCs w:val="22"/>
        </w:rPr>
        <w:t>Unidades de Transparencia</w:t>
      </w:r>
      <w:r>
        <w:rPr>
          <w:rFonts w:ascii="Palatino Linotype" w:eastAsia="Palatino Linotype" w:hAnsi="Palatino Linotype" w:cs="Palatino Linotype"/>
          <w:i/>
          <w:sz w:val="22"/>
          <w:szCs w:val="22"/>
        </w:rPr>
        <w:t xml:space="preserve"> tendrán las siguientes </w:t>
      </w:r>
      <w:r>
        <w:rPr>
          <w:rFonts w:ascii="Palatino Linotype" w:eastAsia="Palatino Linotype" w:hAnsi="Palatino Linotype" w:cs="Palatino Linotype"/>
          <w:b/>
          <w:i/>
          <w:sz w:val="22"/>
          <w:szCs w:val="22"/>
        </w:rPr>
        <w:t>funciones</w:t>
      </w:r>
      <w:r>
        <w:rPr>
          <w:rFonts w:ascii="Palatino Linotype" w:eastAsia="Palatino Linotype" w:hAnsi="Palatino Linotype" w:cs="Palatino Linotype"/>
          <w:i/>
          <w:sz w:val="22"/>
          <w:szCs w:val="22"/>
        </w:rPr>
        <w:t>:</w:t>
      </w:r>
    </w:p>
    <w:p w:rsidR="001E5501" w:rsidRDefault="001E5501" w:rsidP="001E5501">
      <w:pPr>
        <w:ind w:left="992" w:right="1043"/>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 Presentar ante el Comité, el proyecto de clasificación de información</w:t>
      </w:r>
      <w:r>
        <w:rPr>
          <w:rFonts w:ascii="Palatino Linotype" w:eastAsia="Palatino Linotype" w:hAnsi="Palatino Linotype" w:cs="Palatino Linotype"/>
          <w:i/>
          <w:sz w:val="22"/>
          <w:szCs w:val="22"/>
        </w:rPr>
        <w:t xml:space="preserve">…” </w:t>
      </w:r>
    </w:p>
    <w:p w:rsidR="001E5501" w:rsidRDefault="001E5501" w:rsidP="001E5501">
      <w:pPr>
        <w:ind w:left="992" w:right="1043"/>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59.</w:t>
      </w:r>
      <w:r>
        <w:rPr>
          <w:rFonts w:ascii="Palatino Linotype" w:eastAsia="Palatino Linotype" w:hAnsi="Palatino Linotype" w:cs="Palatino Linotype"/>
          <w:i/>
          <w:sz w:val="22"/>
          <w:szCs w:val="22"/>
        </w:rPr>
        <w:t xml:space="preserve"> Los </w:t>
      </w:r>
      <w:r>
        <w:rPr>
          <w:rFonts w:ascii="Palatino Linotype" w:eastAsia="Palatino Linotype" w:hAnsi="Palatino Linotype" w:cs="Palatino Linotype"/>
          <w:b/>
          <w:i/>
          <w:sz w:val="22"/>
          <w:szCs w:val="22"/>
        </w:rPr>
        <w:t>servidores públicos habilitados</w:t>
      </w:r>
      <w:r>
        <w:rPr>
          <w:rFonts w:ascii="Palatino Linotype" w:eastAsia="Palatino Linotype" w:hAnsi="Palatino Linotype" w:cs="Palatino Linotype"/>
          <w:i/>
          <w:sz w:val="22"/>
          <w:szCs w:val="22"/>
        </w:rPr>
        <w:t xml:space="preserve"> tendrán las </w:t>
      </w:r>
      <w:r>
        <w:rPr>
          <w:rFonts w:ascii="Palatino Linotype" w:eastAsia="Palatino Linotype" w:hAnsi="Palatino Linotype" w:cs="Palatino Linotype"/>
          <w:b/>
          <w:i/>
          <w:sz w:val="22"/>
          <w:szCs w:val="22"/>
        </w:rPr>
        <w:t>funciones</w:t>
      </w:r>
      <w:r>
        <w:rPr>
          <w:rFonts w:ascii="Palatino Linotype" w:eastAsia="Palatino Linotype" w:hAnsi="Palatino Linotype" w:cs="Palatino Linotype"/>
          <w:i/>
          <w:sz w:val="22"/>
          <w:szCs w:val="22"/>
        </w:rPr>
        <w:t xml:space="preserve"> siguientes:</w:t>
      </w:r>
    </w:p>
    <w:p w:rsidR="001E5501" w:rsidRDefault="001E5501" w:rsidP="001E5501">
      <w:pPr>
        <w:ind w:left="992" w:right="1043"/>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V. Integrar y presentar al responsable de la Unidad de Transparencia la propuesta de clasificación de información</w:t>
      </w:r>
      <w:r>
        <w:rPr>
          <w:rFonts w:ascii="Palatino Linotype" w:eastAsia="Palatino Linotype" w:hAnsi="Palatino Linotype" w:cs="Palatino Linotype"/>
          <w:i/>
          <w:sz w:val="22"/>
          <w:szCs w:val="22"/>
        </w:rPr>
        <w:t>, la cual tendrá los fundamentos y argumentos en que se basa dicha propuesta…”(Sic)</w:t>
      </w:r>
    </w:p>
    <w:p w:rsidR="001E5501" w:rsidRDefault="001E5501" w:rsidP="001E5501">
      <w:pPr>
        <w:ind w:left="992" w:right="1043"/>
        <w:jc w:val="both"/>
        <w:rPr>
          <w:rFonts w:ascii="Palatino Linotype" w:eastAsia="Palatino Linotype" w:hAnsi="Palatino Linotype" w:cs="Palatino Linotype"/>
          <w:i/>
          <w:sz w:val="22"/>
          <w:szCs w:val="22"/>
        </w:rPr>
      </w:pPr>
    </w:p>
    <w:p w:rsidR="001E5501" w:rsidRDefault="001E5501" w:rsidP="001E5501">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Denotándose de dichos elementos normativos que el determinar la clasificación de la información es un trabajo en conjunto tanto de los Servidores Públicos Habilitados, de las Unidades de Transparencia y del Comité de Transparencia del </w:t>
      </w:r>
      <w:r>
        <w:rPr>
          <w:rFonts w:ascii="Palatino Linotype" w:eastAsia="Palatino Linotype" w:hAnsi="Palatino Linotype" w:cs="Palatino Linotype"/>
          <w:b/>
        </w:rPr>
        <w:t>SUJETO OBLIGADO</w:t>
      </w:r>
      <w:r>
        <w:rPr>
          <w:rFonts w:ascii="Palatino Linotype" w:eastAsia="Palatino Linotype" w:hAnsi="Palatino Linotype" w:cs="Palatino Linotype"/>
        </w:rPr>
        <w:t>,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rsidR="001E5501" w:rsidRDefault="001E5501" w:rsidP="001E5501">
      <w:pPr>
        <w:spacing w:line="360" w:lineRule="auto"/>
        <w:jc w:val="both"/>
        <w:rPr>
          <w:rFonts w:ascii="Palatino Linotype" w:eastAsia="Palatino Linotype" w:hAnsi="Palatino Linotype" w:cs="Palatino Linotype"/>
        </w:rPr>
      </w:pPr>
    </w:p>
    <w:p w:rsidR="001E5501" w:rsidRDefault="001E5501" w:rsidP="001E5501">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Para lo cual, a su vez en el caso de información de carácter confidencial, se debe atender a lo que señala el artículo 149 de la Ley de Transparencia Local vigente, que se lee como sigue:</w:t>
      </w:r>
    </w:p>
    <w:p w:rsidR="001E5501" w:rsidRDefault="001E5501" w:rsidP="001E5501">
      <w:pPr>
        <w:spacing w:line="360" w:lineRule="auto"/>
        <w:jc w:val="both"/>
        <w:rPr>
          <w:rFonts w:ascii="Palatino Linotype" w:eastAsia="Palatino Linotype" w:hAnsi="Palatino Linotype" w:cs="Palatino Linotype"/>
        </w:rPr>
      </w:pPr>
    </w:p>
    <w:p w:rsidR="001E5501" w:rsidRDefault="001E5501" w:rsidP="001E5501">
      <w:pPr>
        <w:spacing w:after="240"/>
        <w:ind w:left="993"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149.</w:t>
      </w:r>
      <w:r>
        <w:rPr>
          <w:rFonts w:ascii="Palatino Linotype" w:eastAsia="Palatino Linotype" w:hAnsi="Palatino Linotype" w:cs="Palatino Linotype"/>
          <w:i/>
          <w:sz w:val="22"/>
          <w:szCs w:val="22"/>
        </w:rPr>
        <w:t xml:space="preserve"> El </w:t>
      </w:r>
      <w:r>
        <w:rPr>
          <w:rFonts w:ascii="Palatino Linotype" w:eastAsia="Palatino Linotype" w:hAnsi="Palatino Linotype" w:cs="Palatino Linotype"/>
          <w:b/>
          <w:i/>
          <w:sz w:val="22"/>
          <w:szCs w:val="22"/>
        </w:rPr>
        <w:t>acuerdo que clasifique la información como confidencial</w:t>
      </w:r>
      <w:r>
        <w:rPr>
          <w:rFonts w:ascii="Palatino Linotype" w:eastAsia="Palatino Linotype" w:hAnsi="Palatino Linotype" w:cs="Palatino Linotype"/>
          <w:i/>
          <w:sz w:val="22"/>
          <w:szCs w:val="22"/>
        </w:rPr>
        <w:t xml:space="preserve"> deberá contener un razonamiento lógico en el que demuestre que la información se encuentra en alguna o algunas de las hipótesis previstas en la presente Ley.” (Sic)</w:t>
      </w:r>
    </w:p>
    <w:p w:rsidR="001E5501" w:rsidRDefault="001E5501" w:rsidP="001E5501">
      <w:pPr>
        <w:spacing w:before="240" w:line="360" w:lineRule="auto"/>
        <w:ind w:right="51"/>
        <w:jc w:val="both"/>
        <w:rPr>
          <w:rFonts w:ascii="Palatino Linotype" w:eastAsia="Palatino Linotype" w:hAnsi="Palatino Linotype" w:cs="Palatino Linotype"/>
        </w:rPr>
      </w:pPr>
    </w:p>
    <w:p w:rsidR="001E5501" w:rsidRDefault="001E5501" w:rsidP="001E5501">
      <w:pPr>
        <w:spacing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t xml:space="preserve">Es decir,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parte solicitante.</w:t>
      </w:r>
    </w:p>
    <w:p w:rsidR="001E5501" w:rsidRDefault="001E5501" w:rsidP="001E5501">
      <w:pPr>
        <w:spacing w:line="360" w:lineRule="auto"/>
        <w:ind w:right="51"/>
        <w:jc w:val="both"/>
        <w:rPr>
          <w:rFonts w:ascii="Palatino Linotype" w:eastAsia="Palatino Linotype" w:hAnsi="Palatino Linotype" w:cs="Palatino Linotype"/>
        </w:rPr>
      </w:pPr>
    </w:p>
    <w:p w:rsidR="001E5501" w:rsidRDefault="001E5501" w:rsidP="001E5501">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Al respecto, se destaca que la versión pública que elabore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debe cumplir con las formalidades exigidas en la Ley; es decir, resulta necesario que el Comité de Transparencia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emita el Acuerdo de Clasificación correspondiente debidamente fundado y motivado, que sustente la versión pública, el cual deberá cumplir cabalmente con las formalidades previstas en el artículo 137 de la Ley de Transparencia y Acceso a la Información Pública del Estado de México y Municipios, ya expuesto; así como con los numerales aplicables de los </w:t>
      </w:r>
      <w:r>
        <w:rPr>
          <w:rFonts w:ascii="Palatino Linotype" w:eastAsia="Palatino Linotype" w:hAnsi="Palatino Linotype" w:cs="Palatino Linotype"/>
          <w:b/>
        </w:rPr>
        <w:t xml:space="preserve">LINEAMIENTOS GENERALES EN MATERIA DE CLASIFICACIÓN Y </w:t>
      </w:r>
      <w:r>
        <w:rPr>
          <w:rFonts w:ascii="Palatino Linotype" w:eastAsia="Palatino Linotype" w:hAnsi="Palatino Linotype" w:cs="Palatino Linotype"/>
          <w:b/>
        </w:rPr>
        <w:lastRenderedPageBreak/>
        <w:t>DESCLASIFICACIÓN DE LA INFORMACIÓN, ASÍ COMO PARA LA ELABORACIÓN DE VERSIONES PÚBLICAS</w:t>
      </w:r>
      <w:r>
        <w:rPr>
          <w:rFonts w:ascii="Palatino Linotype" w:eastAsia="Palatino Linotype" w:hAnsi="Palatino Linotype" w:cs="Palatino Linotype"/>
        </w:rPr>
        <w:t>, publicados en el Diario Oficial de la Federación en fecha quince de abril del año dos mil dieciséis, mediante Acuerdo del Consejo Nacional del Sistema Nacional de Transparencia, Acceso a la Información Pública y Protección de Datos Personales, que señalan:</w:t>
      </w:r>
    </w:p>
    <w:p w:rsidR="001E5501" w:rsidRDefault="001E5501" w:rsidP="001E5501">
      <w:pPr>
        <w:spacing w:line="360" w:lineRule="auto"/>
        <w:jc w:val="both"/>
        <w:rPr>
          <w:rFonts w:ascii="Palatino Linotype" w:eastAsia="Palatino Linotype" w:hAnsi="Palatino Linotype" w:cs="Palatino Linotype"/>
        </w:rPr>
      </w:pPr>
    </w:p>
    <w:p w:rsidR="001E5501" w:rsidRDefault="001E5501" w:rsidP="001E5501">
      <w:pPr>
        <w:ind w:left="709" w:right="709"/>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“Lineamientos Generales en materia de Clasificación y Desclasificación de la Información, así como para la elaboración de Versiones Públicas</w:t>
      </w:r>
    </w:p>
    <w:p w:rsidR="001E5501" w:rsidRDefault="001E5501" w:rsidP="001E5501">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Segundo.-</w:t>
      </w:r>
      <w:r>
        <w:rPr>
          <w:rFonts w:ascii="Palatino Linotype" w:eastAsia="Palatino Linotype" w:hAnsi="Palatino Linotype" w:cs="Palatino Linotype"/>
          <w:i/>
          <w:sz w:val="22"/>
          <w:szCs w:val="22"/>
        </w:rPr>
        <w:t xml:space="preserve"> Para efectos de los presentes Lineamientos Generales, se entenderá por:</w:t>
      </w:r>
    </w:p>
    <w:p w:rsidR="001E5501" w:rsidRDefault="001E5501" w:rsidP="001E5501">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XVIII.</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Versión pública:</w:t>
      </w:r>
      <w:r>
        <w:rPr>
          <w:rFonts w:ascii="Palatino Linotype" w:eastAsia="Palatino Linotype" w:hAnsi="Palatino Linotype" w:cs="Palatino Linotype"/>
          <w:i/>
          <w:sz w:val="22"/>
          <w:szCs w:val="22"/>
        </w:rPr>
        <w:t xml:space="preserve"> El documento a partir del que se otorga acceso a la información, en el que se testan partes o secciones clasificadas, indicando el contenido de éstas de manera genérica, </w:t>
      </w:r>
      <w:r>
        <w:rPr>
          <w:rFonts w:ascii="Palatino Linotype" w:eastAsia="Palatino Linotype" w:hAnsi="Palatino Linotype" w:cs="Palatino Linotype"/>
          <w:b/>
          <w:i/>
          <w:sz w:val="22"/>
          <w:szCs w:val="22"/>
          <w:u w:val="single"/>
        </w:rPr>
        <w:t>fundando y motivando la</w:t>
      </w:r>
      <w:r>
        <w:rPr>
          <w:rFonts w:ascii="Palatino Linotype" w:eastAsia="Palatino Linotype" w:hAnsi="Palatino Linotype" w:cs="Palatino Linotype"/>
          <w:i/>
          <w:sz w:val="22"/>
          <w:szCs w:val="22"/>
        </w:rPr>
        <w:t xml:space="preserve"> reserva o </w:t>
      </w:r>
      <w:r>
        <w:rPr>
          <w:rFonts w:ascii="Palatino Linotype" w:eastAsia="Palatino Linotype" w:hAnsi="Palatino Linotype" w:cs="Palatino Linotype"/>
          <w:b/>
          <w:i/>
          <w:sz w:val="22"/>
          <w:szCs w:val="22"/>
          <w:u w:val="single"/>
        </w:rPr>
        <w:t>confidencialidad</w:t>
      </w:r>
      <w:r>
        <w:rPr>
          <w:rFonts w:ascii="Palatino Linotype" w:eastAsia="Palatino Linotype" w:hAnsi="Palatino Linotype" w:cs="Palatino Linotype"/>
          <w:i/>
          <w:sz w:val="22"/>
          <w:szCs w:val="22"/>
        </w:rPr>
        <w:t>, a través de la resolución que para tal efecto emita el Comité de Transparencia.</w:t>
      </w:r>
    </w:p>
    <w:p w:rsidR="001E5501" w:rsidRDefault="001E5501" w:rsidP="001E5501">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Cuarto.</w:t>
      </w:r>
      <w:r>
        <w:rPr>
          <w:rFonts w:ascii="Palatino Linotype" w:eastAsia="Palatino Linotype" w:hAnsi="Palatino Linotype" w:cs="Palatino Linotype"/>
          <w:i/>
          <w:sz w:val="22"/>
          <w:szCs w:val="22"/>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1E5501" w:rsidRDefault="001E5501" w:rsidP="001E5501">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sujetos obligados deberán aplicar, de manera estricta, las excepciones al derecho de acceso a la información y sólo podrán invocarlas cuando acrediten su procedencia.</w:t>
      </w:r>
    </w:p>
    <w:p w:rsidR="001E5501" w:rsidRDefault="001E5501" w:rsidP="001E5501">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Quinto.</w:t>
      </w:r>
      <w:r>
        <w:rPr>
          <w:rFonts w:ascii="Palatino Linotype" w:eastAsia="Palatino Linotype" w:hAnsi="Palatino Linotype" w:cs="Palatino Linotype"/>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1E5501" w:rsidRDefault="001E5501" w:rsidP="001E5501">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Sexto.</w:t>
      </w:r>
      <w:r>
        <w:rPr>
          <w:rFonts w:ascii="Palatino Linotype" w:eastAsia="Palatino Linotype" w:hAnsi="Palatino Linotype" w:cs="Palatino Linotype"/>
          <w:i/>
          <w:sz w:val="22"/>
          <w:szCs w:val="22"/>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rsidR="001E5501" w:rsidRDefault="001E5501" w:rsidP="001E5501">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La clasificación de información se realizará conforme a un análisis caso por caso, mediante la aplicación de la prueba de daño y de interés público.</w:t>
      </w:r>
    </w:p>
    <w:p w:rsidR="001E5501" w:rsidRDefault="001E5501" w:rsidP="001E5501">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Séptimo.</w:t>
      </w:r>
      <w:r>
        <w:rPr>
          <w:rFonts w:ascii="Palatino Linotype" w:eastAsia="Palatino Linotype" w:hAnsi="Palatino Linotype" w:cs="Palatino Linotype"/>
          <w:i/>
          <w:sz w:val="22"/>
          <w:szCs w:val="22"/>
        </w:rPr>
        <w:t xml:space="preserve"> La clasificación de la información se llevará a cabo en el momento en que:</w:t>
      </w:r>
    </w:p>
    <w:p w:rsidR="001E5501" w:rsidRDefault="001E5501" w:rsidP="001E5501">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lastRenderedPageBreak/>
        <w:t>I.</w:t>
      </w:r>
      <w:r>
        <w:rPr>
          <w:rFonts w:ascii="Palatino Linotype" w:eastAsia="Palatino Linotype" w:hAnsi="Palatino Linotype" w:cs="Palatino Linotype"/>
          <w:i/>
          <w:sz w:val="22"/>
          <w:szCs w:val="22"/>
        </w:rPr>
        <w:t xml:space="preserve"> Se reciba una solicitud de acceso a la información;</w:t>
      </w:r>
    </w:p>
    <w:p w:rsidR="001E5501" w:rsidRDefault="001E5501" w:rsidP="001E5501">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w:t>
      </w:r>
      <w:r>
        <w:rPr>
          <w:rFonts w:ascii="Palatino Linotype" w:eastAsia="Palatino Linotype" w:hAnsi="Palatino Linotype" w:cs="Palatino Linotype"/>
          <w:i/>
          <w:sz w:val="22"/>
          <w:szCs w:val="22"/>
        </w:rPr>
        <w:t xml:space="preserve"> Se determine mediante resolución de autoridad competente, o</w:t>
      </w:r>
    </w:p>
    <w:p w:rsidR="001E5501" w:rsidRDefault="001E5501" w:rsidP="001E5501">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III.</w:t>
      </w:r>
      <w:r>
        <w:rPr>
          <w:rFonts w:ascii="Palatino Linotype" w:eastAsia="Palatino Linotype" w:hAnsi="Palatino Linotype" w:cs="Palatino Linotype"/>
          <w:i/>
          <w:sz w:val="22"/>
          <w:szCs w:val="22"/>
        </w:rPr>
        <w:t xml:space="preserve"> Se generen versiones públicas para dar cumplimiento a las obligaciones de transparencia previstas en la Ley General, la Ley Federal y las correspondientes de las entidades federativas.</w:t>
      </w:r>
    </w:p>
    <w:p w:rsidR="001E5501" w:rsidRDefault="001E5501" w:rsidP="001E5501">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titulares de las áreas deberán revisar la clasificación al momento de la recepción de una solicitud de acceso a la información, para verificar si encuadra en una causal de reserva o de confidencialidad.</w:t>
      </w:r>
    </w:p>
    <w:p w:rsidR="001E5501" w:rsidRDefault="001E5501" w:rsidP="001E5501">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Octavo.</w:t>
      </w:r>
      <w:r>
        <w:rPr>
          <w:rFonts w:ascii="Palatino Linotype" w:eastAsia="Palatino Linotype" w:hAnsi="Palatino Linotype" w:cs="Palatino Linotype"/>
          <w:i/>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rsidR="001E5501" w:rsidRDefault="001E5501" w:rsidP="001E5501">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Para motivar la clasificación se deberán señalar las razones o circunstancias especiales que lo llevaron a concluir que el caso particular se ajusta al supuesto previsto por la norma legal invocada como fundamento.</w:t>
      </w:r>
    </w:p>
    <w:p w:rsidR="001E5501" w:rsidRDefault="001E5501" w:rsidP="001E5501">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caso de referirse a información reservada, la motivación de la clasificación también deberá comprender las circunstancias que justifican el establecimiento de determinado plazo de reserva.</w:t>
      </w:r>
    </w:p>
    <w:p w:rsidR="001E5501" w:rsidRDefault="001E5501" w:rsidP="001E5501">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Tratándose de información clasificada como confidencial respecto de la cual se haya determinado su conservación permanente por tener valor histórico, ésta conservará tal carácter de conformidad con la normativa aplicable en materia de archivos.</w:t>
      </w:r>
    </w:p>
    <w:p w:rsidR="001E5501" w:rsidRDefault="001E5501" w:rsidP="001E5501">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documentos contenidos en los archivos históricos y los identificados como históricos confidenciales no serán susceptibles de clasificación como reservados.</w:t>
      </w:r>
    </w:p>
    <w:p w:rsidR="001E5501" w:rsidRDefault="001E5501" w:rsidP="001E5501">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Noveno.</w:t>
      </w:r>
      <w:r>
        <w:rPr>
          <w:rFonts w:ascii="Palatino Linotype" w:eastAsia="Palatino Linotype" w:hAnsi="Palatino Linotype" w:cs="Palatino Linotype"/>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1E5501" w:rsidRDefault="001E5501" w:rsidP="001E5501">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Décimo.</w:t>
      </w:r>
      <w:r>
        <w:rPr>
          <w:rFonts w:ascii="Palatino Linotype" w:eastAsia="Palatino Linotype" w:hAnsi="Palatino Linotype" w:cs="Palatino Linotype"/>
          <w:i/>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1E5501" w:rsidRDefault="001E5501" w:rsidP="001E5501">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ausencia de los titulares de las áreas, la información será clasificada o desclasificada por la persona que lo supla, en términos de la normativa que rija la actuación del sujeto obligado.</w:t>
      </w:r>
    </w:p>
    <w:p w:rsidR="001E5501" w:rsidRDefault="001E5501" w:rsidP="001E5501">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Décimo primero.</w:t>
      </w:r>
      <w:r>
        <w:rPr>
          <w:rFonts w:ascii="Palatino Linotype" w:eastAsia="Palatino Linotype" w:hAnsi="Palatino Linotype" w:cs="Palatino Linotype"/>
          <w:i/>
          <w:sz w:val="22"/>
          <w:szCs w:val="22"/>
        </w:rPr>
        <w:t xml:space="preserve"> En el intercambio de información entre sujetos obligados para el ejercicio de sus atribuciones, los documentos que se encuentren clasificados deberán </w:t>
      </w:r>
      <w:r>
        <w:rPr>
          <w:rFonts w:ascii="Palatino Linotype" w:eastAsia="Palatino Linotype" w:hAnsi="Palatino Linotype" w:cs="Palatino Linotype"/>
          <w:i/>
          <w:sz w:val="22"/>
          <w:szCs w:val="22"/>
        </w:rPr>
        <w:lastRenderedPageBreak/>
        <w:t>llevar la leyenda correspondiente de conformidad con lo dispuesto en el Capítulo VIII de los presentes lineamientos.</w:t>
      </w:r>
    </w:p>
    <w:p w:rsidR="001E5501" w:rsidRDefault="001E5501" w:rsidP="001E5501">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1E5501" w:rsidRDefault="001E5501" w:rsidP="001E5501">
      <w:pPr>
        <w:ind w:left="709" w:right="709"/>
        <w:jc w:val="center"/>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CAPÍTULO VIII</w:t>
      </w:r>
    </w:p>
    <w:p w:rsidR="001E5501" w:rsidRDefault="001E5501" w:rsidP="001E5501">
      <w:pPr>
        <w:ind w:left="709" w:right="709"/>
        <w:jc w:val="center"/>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DE LA LEYENDA DE CLASIFICACIÓN</w:t>
      </w:r>
    </w:p>
    <w:p w:rsidR="001E5501" w:rsidRDefault="001E5501" w:rsidP="001E5501">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Quincuagésimo. </w:t>
      </w:r>
      <w:r>
        <w:rPr>
          <w:rFonts w:ascii="Palatino Linotype" w:eastAsia="Palatino Linotype" w:hAnsi="Palatino Linotype" w:cs="Palatino Linotype"/>
          <w:b/>
          <w:i/>
          <w:sz w:val="22"/>
          <w:szCs w:val="22"/>
          <w:u w:val="single"/>
        </w:rPr>
        <w:t>Los titulares de las áreas de los sujetos obligados podrán utilizar los formatos contenidos en el presente Capítulo como modelo</w:t>
      </w:r>
      <w:r>
        <w:rPr>
          <w:rFonts w:ascii="Palatino Linotype" w:eastAsia="Palatino Linotype" w:hAnsi="Palatino Linotype" w:cs="Palatino Linotype"/>
          <w:i/>
          <w:sz w:val="22"/>
          <w:szCs w:val="22"/>
        </w:rPr>
        <w:t xml:space="preserve"> para señalar la clasificación de documentos o expedientes, sin perjuicio de que establezcan los propios.</w:t>
      </w:r>
    </w:p>
    <w:p w:rsidR="001E5501" w:rsidRDefault="001E5501" w:rsidP="001E5501">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1E5501" w:rsidRDefault="001E5501" w:rsidP="001E5501">
      <w:pPr>
        <w:spacing w:after="160"/>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Quincuagésimo tercero. </w:t>
      </w:r>
      <w:r>
        <w:rPr>
          <w:rFonts w:ascii="Palatino Linotype" w:eastAsia="Palatino Linotype" w:hAnsi="Palatino Linotype" w:cs="Palatino Linotype"/>
          <w:b/>
          <w:i/>
          <w:sz w:val="22"/>
          <w:szCs w:val="22"/>
          <w:u w:val="single"/>
        </w:rPr>
        <w:t>El formato para señalar la clasificación parcial de un documento</w:t>
      </w:r>
      <w:r>
        <w:rPr>
          <w:rFonts w:ascii="Palatino Linotype" w:eastAsia="Palatino Linotype" w:hAnsi="Palatino Linotype" w:cs="Palatino Linotype"/>
          <w:i/>
          <w:sz w:val="22"/>
          <w:szCs w:val="22"/>
        </w:rPr>
        <w:t>, es el siguiente:</w:t>
      </w:r>
    </w:p>
    <w:tbl>
      <w:tblPr>
        <w:tblW w:w="76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59"/>
        <w:gridCol w:w="1990"/>
        <w:gridCol w:w="4531"/>
      </w:tblGrid>
      <w:tr w:rsidR="001E5501" w:rsidTr="00237105">
        <w:trPr>
          <w:jc w:val="center"/>
        </w:trPr>
        <w:tc>
          <w:tcPr>
            <w:tcW w:w="1159" w:type="dxa"/>
            <w:tcBorders>
              <w:top w:val="nil"/>
              <w:left w:val="nil"/>
              <w:bottom w:val="single" w:sz="4" w:space="0" w:color="000000"/>
              <w:right w:val="single" w:sz="4" w:space="0" w:color="000000"/>
            </w:tcBorders>
          </w:tcPr>
          <w:p w:rsidR="001E5501" w:rsidRDefault="001E5501" w:rsidP="00237105">
            <w:pPr>
              <w:jc w:val="both"/>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1E5501" w:rsidRDefault="001E5501" w:rsidP="00237105">
            <w:pPr>
              <w:jc w:val="center"/>
              <w:rPr>
                <w:rFonts w:ascii="Palatino Linotype" w:eastAsia="Palatino Linotype" w:hAnsi="Palatino Linotype" w:cs="Palatino Linotype"/>
                <w:b/>
                <w:i/>
              </w:rPr>
            </w:pPr>
            <w:r>
              <w:rPr>
                <w:rFonts w:ascii="Palatino Linotype" w:eastAsia="Palatino Linotype" w:hAnsi="Palatino Linotype" w:cs="Palatino Linotype"/>
                <w:b/>
                <w:i/>
              </w:rPr>
              <w:t>Concepto</w:t>
            </w:r>
          </w:p>
        </w:tc>
        <w:tc>
          <w:tcPr>
            <w:tcW w:w="4531" w:type="dxa"/>
            <w:tcBorders>
              <w:top w:val="single" w:sz="4" w:space="0" w:color="000000"/>
              <w:left w:val="single" w:sz="4" w:space="0" w:color="000000"/>
              <w:bottom w:val="single" w:sz="4" w:space="0" w:color="000000"/>
              <w:right w:val="single" w:sz="4" w:space="0" w:color="000000"/>
            </w:tcBorders>
          </w:tcPr>
          <w:p w:rsidR="001E5501" w:rsidRDefault="001E5501" w:rsidP="00237105">
            <w:pPr>
              <w:jc w:val="center"/>
              <w:rPr>
                <w:rFonts w:ascii="Palatino Linotype" w:eastAsia="Palatino Linotype" w:hAnsi="Palatino Linotype" w:cs="Palatino Linotype"/>
                <w:b/>
                <w:i/>
              </w:rPr>
            </w:pPr>
            <w:r>
              <w:rPr>
                <w:rFonts w:ascii="Palatino Linotype" w:eastAsia="Palatino Linotype" w:hAnsi="Palatino Linotype" w:cs="Palatino Linotype"/>
                <w:b/>
                <w:i/>
              </w:rPr>
              <w:t>Dónde:</w:t>
            </w:r>
          </w:p>
        </w:tc>
      </w:tr>
      <w:tr w:rsidR="001E5501" w:rsidTr="00237105">
        <w:trPr>
          <w:jc w:val="center"/>
        </w:trPr>
        <w:tc>
          <w:tcPr>
            <w:tcW w:w="1159" w:type="dxa"/>
            <w:vMerge w:val="restart"/>
            <w:tcBorders>
              <w:top w:val="single" w:sz="4" w:space="0" w:color="000000"/>
              <w:left w:val="single" w:sz="4" w:space="0" w:color="000000"/>
              <w:bottom w:val="single" w:sz="4" w:space="0" w:color="000000"/>
              <w:right w:val="single" w:sz="4" w:space="0" w:color="000000"/>
            </w:tcBorders>
            <w:vAlign w:val="center"/>
          </w:tcPr>
          <w:p w:rsidR="001E5501" w:rsidRDefault="001E5501" w:rsidP="00237105">
            <w:pPr>
              <w:jc w:val="center"/>
              <w:rPr>
                <w:rFonts w:ascii="Palatino Linotype" w:eastAsia="Palatino Linotype" w:hAnsi="Palatino Linotype" w:cs="Palatino Linotype"/>
                <w:b/>
                <w:i/>
              </w:rPr>
            </w:pPr>
            <w:r>
              <w:rPr>
                <w:rFonts w:ascii="Palatino Linotype" w:eastAsia="Palatino Linotype" w:hAnsi="Palatino Linotype" w:cs="Palatino Linotype"/>
                <w:b/>
                <w:i/>
              </w:rPr>
              <w:t>Sello oficial o logotipo del sujeto obligado</w:t>
            </w:r>
          </w:p>
        </w:tc>
        <w:tc>
          <w:tcPr>
            <w:tcW w:w="1990" w:type="dxa"/>
            <w:tcBorders>
              <w:top w:val="single" w:sz="4" w:space="0" w:color="000000"/>
              <w:left w:val="single" w:sz="4" w:space="0" w:color="000000"/>
              <w:bottom w:val="single" w:sz="4" w:space="0" w:color="000000"/>
              <w:right w:val="single" w:sz="4" w:space="0" w:color="000000"/>
            </w:tcBorders>
          </w:tcPr>
          <w:p w:rsidR="001E5501" w:rsidRDefault="001E5501" w:rsidP="00237105">
            <w:pPr>
              <w:jc w:val="center"/>
              <w:rPr>
                <w:rFonts w:ascii="Palatino Linotype" w:eastAsia="Palatino Linotype" w:hAnsi="Palatino Linotype" w:cs="Palatino Linotype"/>
                <w:i/>
              </w:rPr>
            </w:pPr>
            <w:r>
              <w:rPr>
                <w:rFonts w:ascii="Palatino Linotype" w:eastAsia="Palatino Linotype" w:hAnsi="Palatino Linotype" w:cs="Palatino Linotype"/>
                <w:i/>
              </w:rPr>
              <w:t>Fecha de clasificación</w:t>
            </w:r>
          </w:p>
        </w:tc>
        <w:tc>
          <w:tcPr>
            <w:tcW w:w="4531" w:type="dxa"/>
            <w:tcBorders>
              <w:top w:val="single" w:sz="4" w:space="0" w:color="000000"/>
              <w:left w:val="single" w:sz="4" w:space="0" w:color="000000"/>
              <w:bottom w:val="single" w:sz="4" w:space="0" w:color="000000"/>
              <w:right w:val="single" w:sz="4" w:space="0" w:color="000000"/>
            </w:tcBorders>
          </w:tcPr>
          <w:p w:rsidR="001E5501" w:rsidRDefault="001E5501" w:rsidP="00237105">
            <w:pPr>
              <w:jc w:val="both"/>
              <w:rPr>
                <w:rFonts w:ascii="Palatino Linotype" w:eastAsia="Palatino Linotype" w:hAnsi="Palatino Linotype" w:cs="Palatino Linotype"/>
                <w:i/>
              </w:rPr>
            </w:pPr>
            <w:r>
              <w:rPr>
                <w:rFonts w:ascii="Palatino Linotype" w:eastAsia="Palatino Linotype" w:hAnsi="Palatino Linotype" w:cs="Palatino Linotype"/>
                <w:i/>
              </w:rPr>
              <w:t>Se anotará la fecha en la que el Comité de Transparencia confirmó la clasificación del documento, en su caso.</w:t>
            </w:r>
          </w:p>
        </w:tc>
      </w:tr>
      <w:tr w:rsidR="001E5501" w:rsidTr="00237105">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1E5501" w:rsidRDefault="001E5501" w:rsidP="00237105">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1E5501" w:rsidRDefault="001E5501" w:rsidP="00237105">
            <w:pPr>
              <w:jc w:val="center"/>
              <w:rPr>
                <w:rFonts w:ascii="Palatino Linotype" w:eastAsia="Palatino Linotype" w:hAnsi="Palatino Linotype" w:cs="Palatino Linotype"/>
                <w:i/>
              </w:rPr>
            </w:pPr>
            <w:r>
              <w:rPr>
                <w:rFonts w:ascii="Palatino Linotype" w:eastAsia="Palatino Linotype" w:hAnsi="Palatino Linotype" w:cs="Palatino Linotype"/>
                <w:i/>
              </w:rPr>
              <w:t>Área</w:t>
            </w:r>
          </w:p>
        </w:tc>
        <w:tc>
          <w:tcPr>
            <w:tcW w:w="4531" w:type="dxa"/>
            <w:tcBorders>
              <w:top w:val="single" w:sz="4" w:space="0" w:color="000000"/>
              <w:left w:val="single" w:sz="4" w:space="0" w:color="000000"/>
              <w:bottom w:val="single" w:sz="4" w:space="0" w:color="000000"/>
              <w:right w:val="single" w:sz="4" w:space="0" w:color="000000"/>
            </w:tcBorders>
          </w:tcPr>
          <w:p w:rsidR="001E5501" w:rsidRDefault="001E5501" w:rsidP="00237105">
            <w:pPr>
              <w:jc w:val="both"/>
              <w:rPr>
                <w:rFonts w:ascii="Palatino Linotype" w:eastAsia="Palatino Linotype" w:hAnsi="Palatino Linotype" w:cs="Palatino Linotype"/>
                <w:i/>
              </w:rPr>
            </w:pPr>
            <w:r>
              <w:rPr>
                <w:rFonts w:ascii="Palatino Linotype" w:eastAsia="Palatino Linotype" w:hAnsi="Palatino Linotype" w:cs="Palatino Linotype"/>
                <w:i/>
              </w:rPr>
              <w:t>Se señalará el nombre del área del cual es titular quien clasifica.</w:t>
            </w:r>
          </w:p>
        </w:tc>
      </w:tr>
      <w:tr w:rsidR="001E5501" w:rsidTr="00237105">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1E5501" w:rsidRDefault="001E5501" w:rsidP="00237105">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1E5501" w:rsidRDefault="001E5501" w:rsidP="00237105">
            <w:pPr>
              <w:jc w:val="center"/>
              <w:rPr>
                <w:rFonts w:ascii="Palatino Linotype" w:eastAsia="Palatino Linotype" w:hAnsi="Palatino Linotype" w:cs="Palatino Linotype"/>
                <w:i/>
              </w:rPr>
            </w:pPr>
            <w:r>
              <w:rPr>
                <w:rFonts w:ascii="Palatino Linotype" w:eastAsia="Palatino Linotype" w:hAnsi="Palatino Linotype" w:cs="Palatino Linotype"/>
                <w:i/>
              </w:rPr>
              <w:t>Información reservada</w:t>
            </w:r>
          </w:p>
        </w:tc>
        <w:tc>
          <w:tcPr>
            <w:tcW w:w="4531" w:type="dxa"/>
            <w:tcBorders>
              <w:top w:val="single" w:sz="4" w:space="0" w:color="000000"/>
              <w:left w:val="single" w:sz="4" w:space="0" w:color="000000"/>
              <w:bottom w:val="single" w:sz="4" w:space="0" w:color="000000"/>
              <w:right w:val="single" w:sz="4" w:space="0" w:color="000000"/>
            </w:tcBorders>
          </w:tcPr>
          <w:p w:rsidR="001E5501" w:rsidRDefault="001E5501" w:rsidP="00237105">
            <w:pPr>
              <w:jc w:val="both"/>
              <w:rPr>
                <w:rFonts w:ascii="Palatino Linotype" w:eastAsia="Palatino Linotype" w:hAnsi="Palatino Linotype" w:cs="Palatino Linotype"/>
                <w:i/>
              </w:rPr>
            </w:pPr>
            <w:r>
              <w:rPr>
                <w:rFonts w:ascii="Palatino Linotype" w:eastAsia="Palatino Linotype" w:hAnsi="Palatino Linotype" w:cs="Palatino Linotype"/>
                <w:i/>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r>
      <w:tr w:rsidR="001E5501" w:rsidTr="00237105">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1E5501" w:rsidRDefault="001E5501" w:rsidP="00237105">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1E5501" w:rsidRDefault="001E5501" w:rsidP="00237105">
            <w:pPr>
              <w:jc w:val="center"/>
              <w:rPr>
                <w:rFonts w:ascii="Palatino Linotype" w:eastAsia="Palatino Linotype" w:hAnsi="Palatino Linotype" w:cs="Palatino Linotype"/>
                <w:i/>
              </w:rPr>
            </w:pPr>
            <w:r>
              <w:rPr>
                <w:rFonts w:ascii="Palatino Linotype" w:eastAsia="Palatino Linotype" w:hAnsi="Palatino Linotype" w:cs="Palatino Linotype"/>
                <w:i/>
              </w:rPr>
              <w:t>Periodo de reserva</w:t>
            </w:r>
          </w:p>
        </w:tc>
        <w:tc>
          <w:tcPr>
            <w:tcW w:w="4531" w:type="dxa"/>
            <w:tcBorders>
              <w:top w:val="single" w:sz="4" w:space="0" w:color="000000"/>
              <w:left w:val="single" w:sz="4" w:space="0" w:color="000000"/>
              <w:bottom w:val="single" w:sz="4" w:space="0" w:color="000000"/>
              <w:right w:val="single" w:sz="4" w:space="0" w:color="000000"/>
            </w:tcBorders>
          </w:tcPr>
          <w:p w:rsidR="001E5501" w:rsidRDefault="001E5501" w:rsidP="00237105">
            <w:pPr>
              <w:jc w:val="both"/>
              <w:rPr>
                <w:rFonts w:ascii="Palatino Linotype" w:eastAsia="Palatino Linotype" w:hAnsi="Palatino Linotype" w:cs="Palatino Linotype"/>
                <w:i/>
              </w:rPr>
            </w:pPr>
            <w:r>
              <w:rPr>
                <w:rFonts w:ascii="Palatino Linotype" w:eastAsia="Palatino Linotype" w:hAnsi="Palatino Linotype" w:cs="Palatino Linotype"/>
                <w:i/>
              </w:rPr>
              <w:t>Se anotará el número de años o meses por los que se mantendrá el documento o las partes del mismo como reservado.</w:t>
            </w:r>
          </w:p>
        </w:tc>
      </w:tr>
      <w:tr w:rsidR="001E5501" w:rsidTr="00237105">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1E5501" w:rsidRDefault="001E5501" w:rsidP="00237105">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1E5501" w:rsidRDefault="001E5501" w:rsidP="00237105">
            <w:pPr>
              <w:jc w:val="center"/>
              <w:rPr>
                <w:rFonts w:ascii="Palatino Linotype" w:eastAsia="Palatino Linotype" w:hAnsi="Palatino Linotype" w:cs="Palatino Linotype"/>
                <w:i/>
              </w:rPr>
            </w:pPr>
            <w:r>
              <w:rPr>
                <w:rFonts w:ascii="Palatino Linotype" w:eastAsia="Palatino Linotype" w:hAnsi="Palatino Linotype" w:cs="Palatino Linotype"/>
                <w:i/>
              </w:rPr>
              <w:t>Fundamento legal</w:t>
            </w:r>
          </w:p>
        </w:tc>
        <w:tc>
          <w:tcPr>
            <w:tcW w:w="4531" w:type="dxa"/>
            <w:tcBorders>
              <w:top w:val="single" w:sz="4" w:space="0" w:color="000000"/>
              <w:left w:val="single" w:sz="4" w:space="0" w:color="000000"/>
              <w:bottom w:val="single" w:sz="4" w:space="0" w:color="000000"/>
              <w:right w:val="single" w:sz="4" w:space="0" w:color="000000"/>
            </w:tcBorders>
          </w:tcPr>
          <w:p w:rsidR="001E5501" w:rsidRDefault="001E5501" w:rsidP="00237105">
            <w:pPr>
              <w:jc w:val="both"/>
              <w:rPr>
                <w:rFonts w:ascii="Palatino Linotype" w:eastAsia="Palatino Linotype" w:hAnsi="Palatino Linotype" w:cs="Palatino Linotype"/>
                <w:i/>
              </w:rPr>
            </w:pPr>
            <w:r>
              <w:rPr>
                <w:rFonts w:ascii="Palatino Linotype" w:eastAsia="Palatino Linotype" w:hAnsi="Palatino Linotype" w:cs="Palatino Linotype"/>
                <w:i/>
              </w:rPr>
              <w:t>Se señalará el nombre del ordenamiento, el o los artículos, fracción(es), párrafo(s) con base en los cuales se sustente la reserva.</w:t>
            </w:r>
          </w:p>
        </w:tc>
      </w:tr>
      <w:tr w:rsidR="001E5501" w:rsidTr="00237105">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1E5501" w:rsidRDefault="001E5501" w:rsidP="00237105">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1E5501" w:rsidRDefault="001E5501" w:rsidP="00237105">
            <w:pPr>
              <w:jc w:val="center"/>
              <w:rPr>
                <w:rFonts w:ascii="Palatino Linotype" w:eastAsia="Palatino Linotype" w:hAnsi="Palatino Linotype" w:cs="Palatino Linotype"/>
                <w:i/>
              </w:rPr>
            </w:pPr>
            <w:r>
              <w:rPr>
                <w:rFonts w:ascii="Palatino Linotype" w:eastAsia="Palatino Linotype" w:hAnsi="Palatino Linotype" w:cs="Palatino Linotype"/>
                <w:i/>
              </w:rPr>
              <w:t>Ampliación del periodo de reserva</w:t>
            </w:r>
          </w:p>
        </w:tc>
        <w:tc>
          <w:tcPr>
            <w:tcW w:w="4531" w:type="dxa"/>
            <w:tcBorders>
              <w:top w:val="single" w:sz="4" w:space="0" w:color="000000"/>
              <w:left w:val="single" w:sz="4" w:space="0" w:color="000000"/>
              <w:bottom w:val="single" w:sz="4" w:space="0" w:color="000000"/>
              <w:right w:val="single" w:sz="4" w:space="0" w:color="000000"/>
            </w:tcBorders>
          </w:tcPr>
          <w:p w:rsidR="001E5501" w:rsidRDefault="001E5501" w:rsidP="00237105">
            <w:pPr>
              <w:jc w:val="both"/>
              <w:rPr>
                <w:rFonts w:ascii="Palatino Linotype" w:eastAsia="Palatino Linotype" w:hAnsi="Palatino Linotype" w:cs="Palatino Linotype"/>
                <w:i/>
              </w:rPr>
            </w:pPr>
            <w:r>
              <w:rPr>
                <w:rFonts w:ascii="Palatino Linotype" w:eastAsia="Palatino Linotype" w:hAnsi="Palatino Linotype" w:cs="Palatino Linotype"/>
                <w:i/>
              </w:rPr>
              <w:t>En caso de haber solicitado la ampliación del periodo de reserva originalmente establecido, se deberá anotar el número de años o meses por los que se amplía la reserva.</w:t>
            </w:r>
          </w:p>
        </w:tc>
      </w:tr>
      <w:tr w:rsidR="001E5501" w:rsidTr="00237105">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1E5501" w:rsidRDefault="001E5501" w:rsidP="00237105">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1E5501" w:rsidRDefault="001E5501" w:rsidP="00237105">
            <w:pPr>
              <w:jc w:val="center"/>
              <w:rPr>
                <w:rFonts w:ascii="Palatino Linotype" w:eastAsia="Palatino Linotype" w:hAnsi="Palatino Linotype" w:cs="Palatino Linotype"/>
                <w:i/>
              </w:rPr>
            </w:pPr>
            <w:r>
              <w:rPr>
                <w:rFonts w:ascii="Palatino Linotype" w:eastAsia="Palatino Linotype" w:hAnsi="Palatino Linotype" w:cs="Palatino Linotype"/>
                <w:i/>
              </w:rPr>
              <w:t>Confidencial</w:t>
            </w:r>
          </w:p>
        </w:tc>
        <w:tc>
          <w:tcPr>
            <w:tcW w:w="4531" w:type="dxa"/>
            <w:tcBorders>
              <w:top w:val="single" w:sz="4" w:space="0" w:color="000000"/>
              <w:left w:val="single" w:sz="4" w:space="0" w:color="000000"/>
              <w:bottom w:val="single" w:sz="4" w:space="0" w:color="000000"/>
              <w:right w:val="single" w:sz="4" w:space="0" w:color="000000"/>
            </w:tcBorders>
          </w:tcPr>
          <w:p w:rsidR="001E5501" w:rsidRDefault="001E5501" w:rsidP="00237105">
            <w:pPr>
              <w:jc w:val="both"/>
              <w:rPr>
                <w:rFonts w:ascii="Palatino Linotype" w:eastAsia="Palatino Linotype" w:hAnsi="Palatino Linotype" w:cs="Palatino Linotype"/>
                <w:i/>
              </w:rPr>
            </w:pPr>
            <w:r>
              <w:rPr>
                <w:rFonts w:ascii="Palatino Linotype" w:eastAsia="Palatino Linotype" w:hAnsi="Palatino Linotype" w:cs="Palatino Linotype"/>
                <w:i/>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r>
      <w:tr w:rsidR="001E5501" w:rsidTr="00237105">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1E5501" w:rsidRDefault="001E5501" w:rsidP="00237105">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1E5501" w:rsidRDefault="001E5501" w:rsidP="00237105">
            <w:pPr>
              <w:jc w:val="center"/>
              <w:rPr>
                <w:rFonts w:ascii="Palatino Linotype" w:eastAsia="Palatino Linotype" w:hAnsi="Palatino Linotype" w:cs="Palatino Linotype"/>
                <w:i/>
              </w:rPr>
            </w:pPr>
            <w:r>
              <w:rPr>
                <w:rFonts w:ascii="Palatino Linotype" w:eastAsia="Palatino Linotype" w:hAnsi="Palatino Linotype" w:cs="Palatino Linotype"/>
                <w:i/>
              </w:rPr>
              <w:t>Fundamento legal</w:t>
            </w:r>
          </w:p>
        </w:tc>
        <w:tc>
          <w:tcPr>
            <w:tcW w:w="4531" w:type="dxa"/>
            <w:tcBorders>
              <w:top w:val="single" w:sz="4" w:space="0" w:color="000000"/>
              <w:left w:val="single" w:sz="4" w:space="0" w:color="000000"/>
              <w:bottom w:val="single" w:sz="4" w:space="0" w:color="000000"/>
              <w:right w:val="single" w:sz="4" w:space="0" w:color="000000"/>
            </w:tcBorders>
          </w:tcPr>
          <w:p w:rsidR="001E5501" w:rsidRDefault="001E5501" w:rsidP="00237105">
            <w:pPr>
              <w:jc w:val="both"/>
              <w:rPr>
                <w:rFonts w:ascii="Palatino Linotype" w:eastAsia="Palatino Linotype" w:hAnsi="Palatino Linotype" w:cs="Palatino Linotype"/>
                <w:i/>
              </w:rPr>
            </w:pPr>
            <w:r>
              <w:rPr>
                <w:rFonts w:ascii="Palatino Linotype" w:eastAsia="Palatino Linotype" w:hAnsi="Palatino Linotype" w:cs="Palatino Linotype"/>
                <w:i/>
              </w:rPr>
              <w:t>Se señalará el nombre del ordenamiento, el o los artículos, fracción(es), párrafo(s) con base en los cuales se sustente la confidencialidad.</w:t>
            </w:r>
          </w:p>
        </w:tc>
      </w:tr>
      <w:tr w:rsidR="001E5501" w:rsidTr="00237105">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1E5501" w:rsidRDefault="001E5501" w:rsidP="00237105">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1E5501" w:rsidRDefault="001E5501" w:rsidP="00237105">
            <w:pPr>
              <w:jc w:val="center"/>
              <w:rPr>
                <w:rFonts w:ascii="Palatino Linotype" w:eastAsia="Palatino Linotype" w:hAnsi="Palatino Linotype" w:cs="Palatino Linotype"/>
                <w:i/>
              </w:rPr>
            </w:pPr>
            <w:r>
              <w:rPr>
                <w:rFonts w:ascii="Palatino Linotype" w:eastAsia="Palatino Linotype" w:hAnsi="Palatino Linotype" w:cs="Palatino Linotype"/>
                <w:i/>
              </w:rPr>
              <w:t>Rúbrica del titular del área</w:t>
            </w:r>
          </w:p>
        </w:tc>
        <w:tc>
          <w:tcPr>
            <w:tcW w:w="4531" w:type="dxa"/>
            <w:tcBorders>
              <w:top w:val="single" w:sz="4" w:space="0" w:color="000000"/>
              <w:left w:val="single" w:sz="4" w:space="0" w:color="000000"/>
              <w:bottom w:val="single" w:sz="4" w:space="0" w:color="000000"/>
              <w:right w:val="single" w:sz="4" w:space="0" w:color="000000"/>
            </w:tcBorders>
          </w:tcPr>
          <w:p w:rsidR="001E5501" w:rsidRDefault="001E5501" w:rsidP="00237105">
            <w:pPr>
              <w:jc w:val="both"/>
              <w:rPr>
                <w:rFonts w:ascii="Palatino Linotype" w:eastAsia="Palatino Linotype" w:hAnsi="Palatino Linotype" w:cs="Palatino Linotype"/>
                <w:i/>
              </w:rPr>
            </w:pPr>
            <w:r>
              <w:rPr>
                <w:rFonts w:ascii="Palatino Linotype" w:eastAsia="Palatino Linotype" w:hAnsi="Palatino Linotype" w:cs="Palatino Linotype"/>
                <w:i/>
              </w:rPr>
              <w:t>Rúbrica autógrafa de quien clasifica.</w:t>
            </w:r>
          </w:p>
        </w:tc>
      </w:tr>
      <w:tr w:rsidR="001E5501" w:rsidTr="00237105">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1E5501" w:rsidRDefault="001E5501" w:rsidP="00237105">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1E5501" w:rsidRDefault="001E5501" w:rsidP="00237105">
            <w:pPr>
              <w:jc w:val="center"/>
              <w:rPr>
                <w:rFonts w:ascii="Palatino Linotype" w:eastAsia="Palatino Linotype" w:hAnsi="Palatino Linotype" w:cs="Palatino Linotype"/>
                <w:i/>
              </w:rPr>
            </w:pPr>
            <w:r>
              <w:rPr>
                <w:rFonts w:ascii="Palatino Linotype" w:eastAsia="Palatino Linotype" w:hAnsi="Palatino Linotype" w:cs="Palatino Linotype"/>
                <w:i/>
              </w:rPr>
              <w:t>Fecha de desclasificación</w:t>
            </w:r>
          </w:p>
        </w:tc>
        <w:tc>
          <w:tcPr>
            <w:tcW w:w="4531" w:type="dxa"/>
            <w:tcBorders>
              <w:top w:val="single" w:sz="4" w:space="0" w:color="000000"/>
              <w:left w:val="single" w:sz="4" w:space="0" w:color="000000"/>
              <w:bottom w:val="single" w:sz="4" w:space="0" w:color="000000"/>
              <w:right w:val="single" w:sz="4" w:space="0" w:color="000000"/>
            </w:tcBorders>
          </w:tcPr>
          <w:p w:rsidR="001E5501" w:rsidRDefault="001E5501" w:rsidP="00237105">
            <w:pPr>
              <w:jc w:val="both"/>
              <w:rPr>
                <w:rFonts w:ascii="Palatino Linotype" w:eastAsia="Palatino Linotype" w:hAnsi="Palatino Linotype" w:cs="Palatino Linotype"/>
                <w:i/>
              </w:rPr>
            </w:pPr>
            <w:r>
              <w:rPr>
                <w:rFonts w:ascii="Palatino Linotype" w:eastAsia="Palatino Linotype" w:hAnsi="Palatino Linotype" w:cs="Palatino Linotype"/>
                <w:i/>
              </w:rPr>
              <w:t>Se anotará la fecha en que se desclasifica el documento.</w:t>
            </w:r>
          </w:p>
        </w:tc>
      </w:tr>
      <w:tr w:rsidR="001E5501" w:rsidTr="00237105">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1E5501" w:rsidRDefault="001E5501" w:rsidP="00237105">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1E5501" w:rsidRDefault="001E5501" w:rsidP="00237105">
            <w:pPr>
              <w:jc w:val="center"/>
              <w:rPr>
                <w:rFonts w:ascii="Palatino Linotype" w:eastAsia="Palatino Linotype" w:hAnsi="Palatino Linotype" w:cs="Palatino Linotype"/>
                <w:i/>
              </w:rPr>
            </w:pPr>
            <w:r>
              <w:rPr>
                <w:rFonts w:ascii="Palatino Linotype" w:eastAsia="Palatino Linotype" w:hAnsi="Palatino Linotype" w:cs="Palatino Linotype"/>
                <w:i/>
              </w:rPr>
              <w:t>Rúbrica y cargo del servidor público</w:t>
            </w:r>
          </w:p>
        </w:tc>
        <w:tc>
          <w:tcPr>
            <w:tcW w:w="4531" w:type="dxa"/>
            <w:tcBorders>
              <w:top w:val="single" w:sz="4" w:space="0" w:color="000000"/>
              <w:left w:val="single" w:sz="4" w:space="0" w:color="000000"/>
              <w:bottom w:val="single" w:sz="4" w:space="0" w:color="000000"/>
              <w:right w:val="single" w:sz="4" w:space="0" w:color="000000"/>
            </w:tcBorders>
            <w:vAlign w:val="center"/>
          </w:tcPr>
          <w:p w:rsidR="001E5501" w:rsidRDefault="001E5501" w:rsidP="00237105">
            <w:pPr>
              <w:rPr>
                <w:rFonts w:ascii="Palatino Linotype" w:eastAsia="Palatino Linotype" w:hAnsi="Palatino Linotype" w:cs="Palatino Linotype"/>
                <w:i/>
              </w:rPr>
            </w:pPr>
            <w:r>
              <w:rPr>
                <w:rFonts w:ascii="Palatino Linotype" w:eastAsia="Palatino Linotype" w:hAnsi="Palatino Linotype" w:cs="Palatino Linotype"/>
                <w:i/>
              </w:rPr>
              <w:t>Rúbrica autógrafa de quien desclasifica.</w:t>
            </w:r>
          </w:p>
        </w:tc>
      </w:tr>
    </w:tbl>
    <w:p w:rsidR="001E5501" w:rsidRDefault="001E5501" w:rsidP="001E5501">
      <w:pPr>
        <w:spacing w:before="240" w:line="360" w:lineRule="auto"/>
        <w:ind w:right="51"/>
        <w:jc w:val="both"/>
        <w:rPr>
          <w:rFonts w:ascii="Palatino Linotype" w:eastAsia="Palatino Linotype" w:hAnsi="Palatino Linotype" w:cs="Palatino Linotype"/>
        </w:rPr>
      </w:pPr>
    </w:p>
    <w:p w:rsidR="001E5501" w:rsidRDefault="001E5501" w:rsidP="001E5501">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Efectivamente, cuando se clasifica información como confidencial es importante someterlo al Comité de Transparencia, quien debe confirmar, modificar o revocar la clasificación.</w:t>
      </w:r>
    </w:p>
    <w:p w:rsidR="001E5501" w:rsidRDefault="001E5501" w:rsidP="001E5501">
      <w:pPr>
        <w:spacing w:line="360" w:lineRule="auto"/>
        <w:jc w:val="both"/>
        <w:rPr>
          <w:rFonts w:ascii="Palatino Linotype" w:eastAsia="Palatino Linotype" w:hAnsi="Palatino Linotype" w:cs="Palatino Linotype"/>
        </w:rPr>
      </w:pPr>
    </w:p>
    <w:p w:rsidR="001E5501" w:rsidRDefault="001E5501" w:rsidP="001E5501">
      <w:pPr>
        <w:shd w:val="clear" w:color="auto" w:fill="FFFFFF"/>
        <w:spacing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t xml:space="preserve">Por lo tanto, la entrega de documentos en su versión pública debe acompañarse necesariamente del Acuerdo del Comité de Transparencia que la sustente, en el que se expongan los fundamentos y razonamientos que llevaron al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a testar, suprimir o eliminar datos de dicho soporte documental, ya que no hacerlo implica que lo entregado no es legal ni formalmente una versión pública, sino más bien una documentación ilegible, incompleta o tachada; pues no señalar las razones </w:t>
      </w:r>
      <w:r>
        <w:rPr>
          <w:rFonts w:ascii="Palatino Linotype" w:eastAsia="Palatino Linotype" w:hAnsi="Palatino Linotype" w:cs="Palatino Linotype"/>
        </w:rPr>
        <w:lastRenderedPageBreak/>
        <w:t>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 por lo que el acuerdo respectivo, deberá hacerse del conocimiento de la recurrente.</w:t>
      </w:r>
    </w:p>
    <w:p w:rsidR="001E5501" w:rsidRDefault="001E5501" w:rsidP="001E5501">
      <w:pPr>
        <w:spacing w:line="360" w:lineRule="auto"/>
        <w:jc w:val="both"/>
        <w:rPr>
          <w:rFonts w:ascii="Palatino Linotype" w:eastAsia="Palatino Linotype" w:hAnsi="Palatino Linotype" w:cs="Palatino Linotype"/>
        </w:rPr>
      </w:pPr>
    </w:p>
    <w:p w:rsidR="001E5501" w:rsidRDefault="001E5501" w:rsidP="001E5501">
      <w:pPr>
        <w:spacing w:before="240" w:after="240" w:line="360" w:lineRule="auto"/>
        <w:contextualSpacing/>
        <w:jc w:val="both"/>
        <w:rPr>
          <w:rFonts w:ascii="Palatino Linotype" w:hAnsi="Palatino Linotype" w:cs="Arial"/>
        </w:rPr>
      </w:pPr>
      <w:r>
        <w:rPr>
          <w:rFonts w:ascii="Palatino Linotype" w:eastAsia="Palatino Linotype" w:hAnsi="Palatino Linotype" w:cs="Palatino Linotype"/>
        </w:rPr>
        <w:t>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w:t>
      </w:r>
    </w:p>
    <w:p w:rsidR="00B765E8" w:rsidRDefault="00B765E8">
      <w:pPr>
        <w:spacing w:line="360" w:lineRule="auto"/>
        <w:jc w:val="both"/>
        <w:rPr>
          <w:rFonts w:ascii="Palatino Linotype" w:eastAsia="Palatino Linotype" w:hAnsi="Palatino Linotype" w:cs="Palatino Linotype"/>
        </w:rPr>
      </w:pPr>
    </w:p>
    <w:p w:rsidR="001449BF" w:rsidRDefault="00616C37">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Así, con fundamento en lo prescrito en los artículos 5 párrafos trigésimo, trigésimo primero y trigésimo segundo de la Constitución Política del Estado Libre y Soberano de México; 2, fracción II; 29, 36 fracciones I y II; 176, 178, 181, 185 y 186 fracción II de la Ley de Transparencia y Acceso a la Información Pública del Estado de México y Municipios, este Pleno:</w:t>
      </w:r>
    </w:p>
    <w:p w:rsidR="001449BF" w:rsidRPr="00DB4CFD" w:rsidRDefault="00616C37" w:rsidP="00DB4CFD">
      <w:pPr>
        <w:pStyle w:val="Prrafodelista"/>
        <w:numPr>
          <w:ilvl w:val="0"/>
          <w:numId w:val="3"/>
        </w:numPr>
        <w:pBdr>
          <w:top w:val="nil"/>
          <w:left w:val="nil"/>
          <w:bottom w:val="nil"/>
          <w:right w:val="nil"/>
          <w:between w:val="nil"/>
        </w:pBdr>
        <w:spacing w:before="240" w:after="240" w:line="360" w:lineRule="auto"/>
        <w:jc w:val="center"/>
        <w:rPr>
          <w:rFonts w:ascii="Palatino Linotype" w:eastAsia="Palatino Linotype" w:hAnsi="Palatino Linotype" w:cs="Palatino Linotype"/>
          <w:b/>
          <w:color w:val="000000"/>
        </w:rPr>
      </w:pPr>
      <w:r w:rsidRPr="00DB4CFD">
        <w:rPr>
          <w:rFonts w:ascii="Palatino Linotype" w:eastAsia="Palatino Linotype" w:hAnsi="Palatino Linotype" w:cs="Palatino Linotype"/>
          <w:b/>
          <w:color w:val="000000"/>
        </w:rPr>
        <w:t>R E S U E L V E:</w:t>
      </w:r>
    </w:p>
    <w:p w:rsidR="00DB4CFD" w:rsidRDefault="00DB4CFD" w:rsidP="00DB4CFD">
      <w:pPr>
        <w:spacing w:after="240" w:line="360" w:lineRule="auto"/>
        <w:jc w:val="both"/>
        <w:rPr>
          <w:rFonts w:ascii="Palatino Linotype" w:eastAsia="Palatino Linotype" w:hAnsi="Palatino Linotype" w:cs="Palatino Linotype"/>
        </w:rPr>
      </w:pPr>
      <w:bookmarkStart w:id="1" w:name="_heading=h.30j0zll" w:colFirst="0" w:colLast="0"/>
      <w:bookmarkEnd w:id="1"/>
      <w:r>
        <w:rPr>
          <w:rFonts w:ascii="Palatino Linotype" w:eastAsia="Palatino Linotype" w:hAnsi="Palatino Linotype" w:cs="Palatino Linotype"/>
          <w:b/>
        </w:rPr>
        <w:t>Primero.</w:t>
      </w:r>
      <w:r>
        <w:rPr>
          <w:rFonts w:ascii="Palatino Linotype" w:eastAsia="Palatino Linotype" w:hAnsi="Palatino Linotype" w:cs="Palatino Linotype"/>
        </w:rPr>
        <w:t xml:space="preserve"> Resultan </w:t>
      </w:r>
      <w:r>
        <w:rPr>
          <w:rFonts w:ascii="Palatino Linotype" w:eastAsia="Palatino Linotype" w:hAnsi="Palatino Linotype" w:cs="Palatino Linotype"/>
          <w:b/>
        </w:rPr>
        <w:t>fundadas</w:t>
      </w:r>
      <w:r>
        <w:rPr>
          <w:rFonts w:ascii="Palatino Linotype" w:eastAsia="Palatino Linotype" w:hAnsi="Palatino Linotype" w:cs="Palatino Linotype"/>
        </w:rPr>
        <w:t xml:space="preserve"> las razones o motivos de la inconformidad planteadas por la </w:t>
      </w:r>
      <w:r>
        <w:rPr>
          <w:rFonts w:ascii="Palatino Linotype" w:eastAsia="Palatino Linotype" w:hAnsi="Palatino Linotype" w:cs="Palatino Linotype"/>
          <w:b/>
        </w:rPr>
        <w:t>RECURRENTE</w:t>
      </w:r>
      <w:r>
        <w:rPr>
          <w:rFonts w:ascii="Palatino Linotype" w:eastAsia="Palatino Linotype" w:hAnsi="Palatino Linotype" w:cs="Palatino Linotype"/>
          <w:b/>
          <w:i/>
        </w:rPr>
        <w:t xml:space="preserve"> </w:t>
      </w:r>
      <w:r>
        <w:rPr>
          <w:rFonts w:ascii="Palatino Linotype" w:eastAsia="Palatino Linotype" w:hAnsi="Palatino Linotype" w:cs="Palatino Linotype"/>
        </w:rPr>
        <w:t xml:space="preserve">en los recursos de revisión </w:t>
      </w:r>
      <w:r>
        <w:rPr>
          <w:rFonts w:ascii="Palatino Linotype" w:eastAsia="Palatino Linotype" w:hAnsi="Palatino Linotype" w:cs="Palatino Linotype"/>
          <w:b/>
        </w:rPr>
        <w:t>0</w:t>
      </w:r>
      <w:r w:rsidR="003E4484">
        <w:rPr>
          <w:rFonts w:ascii="Palatino Linotype" w:eastAsia="Palatino Linotype" w:hAnsi="Palatino Linotype" w:cs="Palatino Linotype"/>
          <w:b/>
        </w:rPr>
        <w:t>5599</w:t>
      </w:r>
      <w:r>
        <w:rPr>
          <w:rFonts w:ascii="Palatino Linotype" w:eastAsia="Palatino Linotype" w:hAnsi="Palatino Linotype" w:cs="Palatino Linotype"/>
          <w:b/>
        </w:rPr>
        <w:t>/INFOEM/IP/RR/2022</w:t>
      </w:r>
      <w:r w:rsidR="003E4484">
        <w:rPr>
          <w:rFonts w:ascii="Palatino Linotype" w:eastAsia="Palatino Linotype" w:hAnsi="Palatino Linotype" w:cs="Palatino Linotype"/>
          <w:b/>
        </w:rPr>
        <w:t xml:space="preserve"> y </w:t>
      </w:r>
      <w:r w:rsidR="003E4484">
        <w:rPr>
          <w:rFonts w:ascii="Palatino Linotype" w:eastAsia="Palatino Linotype" w:hAnsi="Palatino Linotype" w:cs="Palatino Linotype"/>
          <w:b/>
        </w:rPr>
        <w:lastRenderedPageBreak/>
        <w:t>05600/INFOEM/IP/RR/2022</w:t>
      </w:r>
      <w:r>
        <w:rPr>
          <w:rFonts w:ascii="Palatino Linotype" w:eastAsia="Palatino Linotype" w:hAnsi="Palatino Linotype" w:cs="Palatino Linotype"/>
        </w:rPr>
        <w:t xml:space="preserve">, en términos del Considerando </w:t>
      </w:r>
      <w:r>
        <w:rPr>
          <w:rFonts w:ascii="Palatino Linotype" w:eastAsia="Palatino Linotype" w:hAnsi="Palatino Linotype" w:cs="Palatino Linotype"/>
          <w:b/>
        </w:rPr>
        <w:t>CUARTO</w:t>
      </w:r>
      <w:r>
        <w:rPr>
          <w:rFonts w:ascii="Palatino Linotype" w:eastAsia="Palatino Linotype" w:hAnsi="Palatino Linotype" w:cs="Palatino Linotype"/>
        </w:rPr>
        <w:t xml:space="preserve"> de esta Resolución.</w:t>
      </w:r>
    </w:p>
    <w:p w:rsidR="00DB4CFD" w:rsidRDefault="00DB4CFD" w:rsidP="00DB4CFD">
      <w:pPr>
        <w:pBdr>
          <w:top w:val="nil"/>
          <w:left w:val="nil"/>
          <w:bottom w:val="nil"/>
          <w:right w:val="nil"/>
          <w:between w:val="nil"/>
        </w:pBdr>
        <w:spacing w:line="360" w:lineRule="auto"/>
        <w:jc w:val="both"/>
        <w:rPr>
          <w:rFonts w:ascii="Palatino Linotype" w:eastAsia="Palatino Linotype" w:hAnsi="Palatino Linotype" w:cs="Palatino Linotype"/>
          <w:color w:val="000000"/>
          <w:highlight w:val="white"/>
        </w:rPr>
      </w:pPr>
      <w:r>
        <w:rPr>
          <w:rFonts w:ascii="Palatino Linotype" w:eastAsia="Palatino Linotype" w:hAnsi="Palatino Linotype" w:cs="Palatino Linotype"/>
          <w:b/>
          <w:color w:val="000000"/>
          <w:highlight w:val="white"/>
        </w:rPr>
        <w:t xml:space="preserve">Segundo. Se ORDENA </w:t>
      </w:r>
      <w:r>
        <w:rPr>
          <w:rFonts w:ascii="Palatino Linotype" w:eastAsia="Palatino Linotype" w:hAnsi="Palatino Linotype" w:cs="Palatino Linotype"/>
          <w:color w:val="000000"/>
          <w:highlight w:val="white"/>
        </w:rPr>
        <w:t xml:space="preserve">al </w:t>
      </w:r>
      <w:r>
        <w:rPr>
          <w:rFonts w:ascii="Palatino Linotype" w:eastAsia="Palatino Linotype" w:hAnsi="Palatino Linotype" w:cs="Palatino Linotype"/>
          <w:b/>
          <w:color w:val="000000"/>
          <w:highlight w:val="white"/>
        </w:rPr>
        <w:t>SUJETO OBLIGADO</w:t>
      </w:r>
      <w:r>
        <w:rPr>
          <w:rFonts w:ascii="Palatino Linotype" w:eastAsia="Palatino Linotype" w:hAnsi="Palatino Linotype" w:cs="Palatino Linotype"/>
          <w:color w:val="000000"/>
          <w:highlight w:val="white"/>
        </w:rPr>
        <w:t xml:space="preserve"> en términos del Considerando Cuarto y Quinto de esta resolución, haga entrega vía SAIMEX, </w:t>
      </w:r>
      <w:r w:rsidRPr="005459E3">
        <w:rPr>
          <w:rFonts w:ascii="Palatino Linotype" w:eastAsia="Palatino Linotype" w:hAnsi="Palatino Linotype" w:cs="Palatino Linotype"/>
          <w:highlight w:val="white"/>
        </w:rPr>
        <w:t>de ser el caso en versión pública</w:t>
      </w:r>
      <w:r>
        <w:rPr>
          <w:rFonts w:ascii="Palatino Linotype" w:eastAsia="Palatino Linotype" w:hAnsi="Palatino Linotype" w:cs="Palatino Linotype"/>
          <w:color w:val="000000"/>
          <w:highlight w:val="white"/>
        </w:rPr>
        <w:t>, del documento o documentos en donde conste lo siguiente:</w:t>
      </w:r>
    </w:p>
    <w:p w:rsidR="005459E3" w:rsidRPr="00EE5105" w:rsidRDefault="005459E3" w:rsidP="00B558FB">
      <w:pPr>
        <w:pStyle w:val="Prrafodelista"/>
        <w:numPr>
          <w:ilvl w:val="0"/>
          <w:numId w:val="27"/>
        </w:numPr>
        <w:spacing w:before="240" w:line="360" w:lineRule="auto"/>
        <w:ind w:right="49"/>
        <w:jc w:val="both"/>
        <w:rPr>
          <w:rFonts w:ascii="Palatino Linotype" w:eastAsia="Palatino Linotype" w:hAnsi="Palatino Linotype" w:cs="Palatino Linotype"/>
        </w:rPr>
      </w:pPr>
      <w:r w:rsidRPr="00EE5105">
        <w:rPr>
          <w:rFonts w:ascii="Palatino Linotype" w:eastAsia="Palatino Linotype" w:hAnsi="Palatino Linotype" w:cs="Palatino Linotype"/>
          <w:color w:val="000000"/>
        </w:rPr>
        <w:t xml:space="preserve">La ficha curricular de la </w:t>
      </w:r>
      <w:r w:rsidRPr="00EE5105">
        <w:rPr>
          <w:rFonts w:ascii="Palatino Linotype" w:eastAsia="Palatino Linotype" w:hAnsi="Palatino Linotype" w:cs="Palatino Linotype"/>
        </w:rPr>
        <w:t>Directora de Administración y del Director del Instituto Municipal de Cultura Física y Deporte, vigente al siete de marzo del año dos mil veintidós.</w:t>
      </w:r>
    </w:p>
    <w:p w:rsidR="005459E3" w:rsidRPr="00EE5105" w:rsidRDefault="005459E3" w:rsidP="00B558FB">
      <w:pPr>
        <w:pStyle w:val="Prrafodelista"/>
        <w:numPr>
          <w:ilvl w:val="0"/>
          <w:numId w:val="27"/>
        </w:numPr>
        <w:spacing w:before="240" w:after="240" w:line="360" w:lineRule="auto"/>
        <w:ind w:right="49"/>
        <w:contextualSpacing/>
        <w:jc w:val="both"/>
        <w:rPr>
          <w:rFonts w:ascii="Palatino Linotype" w:eastAsia="Palatino Linotype" w:hAnsi="Palatino Linotype" w:cs="Palatino Linotype"/>
        </w:rPr>
      </w:pPr>
      <w:r w:rsidRPr="00EE5105">
        <w:rPr>
          <w:rFonts w:ascii="Palatino Linotype" w:eastAsia="Palatino Linotype" w:hAnsi="Palatino Linotype" w:cs="Palatino Linotype"/>
        </w:rPr>
        <w:t xml:space="preserve">El título o </w:t>
      </w:r>
      <w:r w:rsidR="00071D71">
        <w:rPr>
          <w:rFonts w:ascii="Palatino Linotype" w:eastAsia="Palatino Linotype" w:hAnsi="Palatino Linotype" w:cs="Palatino Linotype"/>
        </w:rPr>
        <w:t>documento que acredite el último grado</w:t>
      </w:r>
      <w:r w:rsidRPr="00EE5105">
        <w:rPr>
          <w:rFonts w:ascii="Palatino Linotype" w:eastAsia="Palatino Linotype" w:hAnsi="Palatino Linotype" w:cs="Palatino Linotype"/>
        </w:rPr>
        <w:t xml:space="preserve"> de estudios de la</w:t>
      </w:r>
      <w:r w:rsidRPr="00EE5105">
        <w:rPr>
          <w:rFonts w:ascii="Palatino Linotype" w:eastAsia="Palatino Linotype" w:hAnsi="Palatino Linotype" w:cs="Palatino Linotype"/>
          <w:b/>
        </w:rPr>
        <w:t xml:space="preserve"> </w:t>
      </w:r>
      <w:r w:rsidRPr="00EE5105">
        <w:rPr>
          <w:rFonts w:ascii="Palatino Linotype" w:eastAsia="Palatino Linotype" w:hAnsi="Palatino Linotype" w:cs="Palatino Linotype"/>
        </w:rPr>
        <w:t>Directora de Administración y del Director del Instituto Municipal de Cultura Física y Deporte, vigente al siete de marzo del año dos mil veintidós.</w:t>
      </w:r>
    </w:p>
    <w:p w:rsidR="005459E3" w:rsidRPr="00EE5105" w:rsidRDefault="005459E3" w:rsidP="00B558FB">
      <w:pPr>
        <w:pStyle w:val="Prrafodelista"/>
        <w:numPr>
          <w:ilvl w:val="0"/>
          <w:numId w:val="27"/>
        </w:numPr>
        <w:spacing w:before="240" w:after="240" w:line="360" w:lineRule="auto"/>
        <w:ind w:right="51"/>
        <w:contextualSpacing/>
        <w:jc w:val="both"/>
        <w:rPr>
          <w:rFonts w:ascii="Palatino Linotype" w:eastAsia="Palatino Linotype" w:hAnsi="Palatino Linotype" w:cs="Palatino Linotype"/>
        </w:rPr>
      </w:pPr>
      <w:r w:rsidRPr="00EE5105">
        <w:rPr>
          <w:rFonts w:ascii="Palatino Linotype" w:eastAsia="Palatino Linotype" w:hAnsi="Palatino Linotype" w:cs="Palatino Linotype"/>
        </w:rPr>
        <w:t xml:space="preserve">El perfil de puesto de la Directora de Administración, vigente al siete de marzo del año dos mil veintidós. </w:t>
      </w:r>
    </w:p>
    <w:p w:rsidR="005459E3" w:rsidRPr="00EE5105" w:rsidRDefault="005459E3" w:rsidP="00B558FB">
      <w:pPr>
        <w:pStyle w:val="Prrafodelista"/>
        <w:numPr>
          <w:ilvl w:val="0"/>
          <w:numId w:val="27"/>
        </w:numPr>
        <w:pBdr>
          <w:top w:val="nil"/>
          <w:left w:val="nil"/>
          <w:bottom w:val="nil"/>
          <w:right w:val="nil"/>
          <w:between w:val="nil"/>
        </w:pBdr>
        <w:spacing w:before="240" w:after="240" w:line="360" w:lineRule="auto"/>
        <w:ind w:right="51"/>
        <w:contextualSpacing/>
        <w:jc w:val="both"/>
        <w:rPr>
          <w:rFonts w:ascii="Palatino Linotype" w:eastAsia="Palatino Linotype" w:hAnsi="Palatino Linotype" w:cs="Palatino Linotype"/>
        </w:rPr>
      </w:pPr>
      <w:r w:rsidRPr="00EE5105">
        <w:rPr>
          <w:rFonts w:ascii="Palatino Linotype" w:eastAsia="Palatino Linotype" w:hAnsi="Palatino Linotype" w:cs="Palatino Linotype"/>
        </w:rPr>
        <w:t>Los recibos de nómina de la primera y segunda quincena de enero y la primera y segunda quincena de febrero, ambos meses del año 2022, de la Directora de Administración y del Director del Instituto Municipal de Cultura Física y Deporte.</w:t>
      </w:r>
    </w:p>
    <w:p w:rsidR="005459E3" w:rsidRPr="00EE5105" w:rsidRDefault="00071D71" w:rsidP="00B558FB">
      <w:pPr>
        <w:pStyle w:val="Prrafodelista"/>
        <w:numPr>
          <w:ilvl w:val="0"/>
          <w:numId w:val="27"/>
        </w:numPr>
        <w:pBdr>
          <w:top w:val="nil"/>
          <w:left w:val="nil"/>
          <w:bottom w:val="nil"/>
          <w:right w:val="nil"/>
          <w:between w:val="nil"/>
        </w:pBdr>
        <w:spacing w:before="240" w:after="240" w:line="360" w:lineRule="auto"/>
        <w:ind w:right="51"/>
        <w:contextualSpacing/>
        <w:jc w:val="both"/>
        <w:rPr>
          <w:rFonts w:ascii="Palatino Linotype" w:eastAsia="Palatino Linotype" w:hAnsi="Palatino Linotype" w:cs="Palatino Linotype"/>
          <w:color w:val="000000"/>
        </w:rPr>
      </w:pPr>
      <w:r>
        <w:rPr>
          <w:rFonts w:ascii="Palatino Linotype" w:eastAsia="Palatino Linotype" w:hAnsi="Palatino Linotype" w:cs="Palatino Linotype"/>
        </w:rPr>
        <w:t xml:space="preserve">Expediente laboral </w:t>
      </w:r>
      <w:r w:rsidR="005459E3" w:rsidRPr="00EE5105">
        <w:rPr>
          <w:rFonts w:ascii="Palatino Linotype" w:eastAsia="Palatino Linotype" w:hAnsi="Palatino Linotype" w:cs="Palatino Linotype"/>
        </w:rPr>
        <w:t>del Director del Instituto Municipal de Cultura Física y Deporte, vigente al siete de m</w:t>
      </w:r>
      <w:r w:rsidR="007E0DAB">
        <w:rPr>
          <w:rFonts w:ascii="Palatino Linotype" w:eastAsia="Palatino Linotype" w:hAnsi="Palatino Linotype" w:cs="Palatino Linotype"/>
        </w:rPr>
        <w:t xml:space="preserve">arzo del año dos mil veintidós, integrando de conformidad con lo dispuesto en el artículo </w:t>
      </w:r>
      <w:r w:rsidR="007E0DAB" w:rsidRPr="0053614D">
        <w:rPr>
          <w:rFonts w:ascii="Palatino Linotype" w:eastAsia="Palatino Linotype" w:hAnsi="Palatino Linotype" w:cs="Palatino Linotype"/>
          <w:i/>
          <w:color w:val="000000"/>
        </w:rPr>
        <w:t>32 de la Ley Orgánica Municipal del Estado de México</w:t>
      </w:r>
      <w:r w:rsidR="007E0DAB">
        <w:rPr>
          <w:rFonts w:ascii="Palatino Linotype" w:eastAsia="Palatino Linotype" w:hAnsi="Palatino Linotype" w:cs="Palatino Linotype"/>
          <w:i/>
          <w:color w:val="000000"/>
        </w:rPr>
        <w:t xml:space="preserve">. </w:t>
      </w:r>
    </w:p>
    <w:p w:rsidR="00F22FE7" w:rsidRDefault="007E0DAB" w:rsidP="00F22FE7">
      <w:pPr>
        <w:pStyle w:val="Prrafodelista"/>
        <w:numPr>
          <w:ilvl w:val="0"/>
          <w:numId w:val="27"/>
        </w:numPr>
        <w:pBdr>
          <w:top w:val="nil"/>
          <w:left w:val="nil"/>
          <w:bottom w:val="nil"/>
          <w:right w:val="nil"/>
          <w:between w:val="nil"/>
        </w:pBdr>
        <w:spacing w:before="240" w:after="240" w:line="360" w:lineRule="auto"/>
        <w:ind w:right="51"/>
        <w:contextualSpacing/>
        <w:jc w:val="both"/>
        <w:rPr>
          <w:rFonts w:ascii="Palatino Linotype" w:eastAsia="Palatino Linotype" w:hAnsi="Palatino Linotype" w:cs="Palatino Linotype"/>
        </w:rPr>
      </w:pPr>
      <w:r w:rsidRPr="00F22FE7">
        <w:rPr>
          <w:rFonts w:ascii="Palatino Linotype" w:hAnsi="Palatino Linotype" w:cs="Tahoma"/>
        </w:rPr>
        <w:t>R</w:t>
      </w:r>
      <w:r w:rsidR="005459E3" w:rsidRPr="00F22FE7">
        <w:rPr>
          <w:rFonts w:ascii="Palatino Linotype" w:hAnsi="Palatino Linotype" w:cs="Tahoma"/>
        </w:rPr>
        <w:t xml:space="preserve">ecibos de nómina </w:t>
      </w:r>
      <w:r w:rsidR="005459E3" w:rsidRPr="00F22FE7">
        <w:rPr>
          <w:rFonts w:ascii="Palatino Linotype" w:eastAsia="Palatino Linotype" w:hAnsi="Palatino Linotype" w:cs="Palatino Linotype"/>
        </w:rPr>
        <w:t xml:space="preserve">de la primera y segunda quincena del mes de diciembre del año 2021 y la primera y segunda quincena de los meses de enero y febrero del año 2022, </w:t>
      </w:r>
      <w:r w:rsidR="00F22FE7" w:rsidRPr="00F22FE7">
        <w:rPr>
          <w:rFonts w:ascii="Palatino Linotype" w:eastAsia="Palatino Linotype" w:hAnsi="Palatino Linotype" w:cs="Palatino Linotype"/>
        </w:rPr>
        <w:t>de Uriel R</w:t>
      </w:r>
      <w:r w:rsidR="00F22FE7">
        <w:rPr>
          <w:rFonts w:ascii="Palatino Linotype" w:eastAsia="Palatino Linotype" w:hAnsi="Palatino Linotype" w:cs="Palatino Linotype"/>
        </w:rPr>
        <w:t>oldan Zaldívar,</w:t>
      </w:r>
      <w:r w:rsidR="00F22FE7" w:rsidRPr="00F22FE7">
        <w:rPr>
          <w:rFonts w:ascii="Palatino Linotype" w:eastAsia="Palatino Linotype" w:hAnsi="Palatino Linotype" w:cs="Palatino Linotype"/>
        </w:rPr>
        <w:t xml:space="preserve"> Matilde Rosario Moreno C</w:t>
      </w:r>
      <w:r w:rsidR="00F22FE7">
        <w:rPr>
          <w:rFonts w:ascii="Palatino Linotype" w:eastAsia="Palatino Linotype" w:hAnsi="Palatino Linotype" w:cs="Palatino Linotype"/>
        </w:rPr>
        <w:t>orrea y</w:t>
      </w:r>
      <w:r w:rsidR="00F22FE7" w:rsidRPr="00F22FE7">
        <w:rPr>
          <w:rFonts w:ascii="Palatino Linotype" w:eastAsia="Palatino Linotype" w:hAnsi="Palatino Linotype" w:cs="Palatino Linotype"/>
        </w:rPr>
        <w:t xml:space="preserve"> Gerardo Gilberto Roldan Zaldívar</w:t>
      </w:r>
      <w:r w:rsidR="00F22FE7">
        <w:rPr>
          <w:rFonts w:ascii="Palatino Linotype" w:eastAsia="Palatino Linotype" w:hAnsi="Palatino Linotype" w:cs="Palatino Linotype"/>
        </w:rPr>
        <w:t>.</w:t>
      </w:r>
    </w:p>
    <w:p w:rsidR="007E0DAB" w:rsidRPr="00F22FE7" w:rsidRDefault="007E0DAB" w:rsidP="00F22FE7">
      <w:pPr>
        <w:pStyle w:val="Prrafodelista"/>
        <w:numPr>
          <w:ilvl w:val="0"/>
          <w:numId w:val="27"/>
        </w:numPr>
        <w:pBdr>
          <w:top w:val="nil"/>
          <w:left w:val="nil"/>
          <w:bottom w:val="nil"/>
          <w:right w:val="nil"/>
          <w:between w:val="nil"/>
        </w:pBdr>
        <w:spacing w:before="240" w:after="240" w:line="360" w:lineRule="auto"/>
        <w:ind w:right="51"/>
        <w:contextualSpacing/>
        <w:jc w:val="both"/>
        <w:rPr>
          <w:rFonts w:ascii="Palatino Linotype" w:eastAsia="Palatino Linotype" w:hAnsi="Palatino Linotype" w:cs="Palatino Linotype"/>
        </w:rPr>
      </w:pPr>
      <w:r w:rsidRPr="00F22FE7">
        <w:rPr>
          <w:rFonts w:ascii="Palatino Linotype" w:hAnsi="Palatino Linotype" w:cs="Tahoma"/>
        </w:rPr>
        <w:lastRenderedPageBreak/>
        <w:t>Con</w:t>
      </w:r>
      <w:r w:rsidR="00ED68A5" w:rsidRPr="00F22FE7">
        <w:rPr>
          <w:rFonts w:ascii="Palatino Linotype" w:hAnsi="Palatino Linotype" w:cs="Tahoma"/>
        </w:rPr>
        <w:t>stancias de cursos o capacitaciones recibidos por el</w:t>
      </w:r>
      <w:r w:rsidR="00ED68A5" w:rsidRPr="00F22FE7">
        <w:rPr>
          <w:rFonts w:ascii="Palatino Linotype" w:eastAsia="Palatino Linotype" w:hAnsi="Palatino Linotype" w:cs="Palatino Linotype"/>
        </w:rPr>
        <w:t xml:space="preserve"> Director del Instituto Municipal de Cultura Física y Deporte para desarrollo sus aptitudes profesionales y de ética.</w:t>
      </w:r>
    </w:p>
    <w:p w:rsidR="00ED68A5" w:rsidRPr="00ED68A5" w:rsidRDefault="00ED68A5" w:rsidP="00ED68A5">
      <w:pPr>
        <w:pStyle w:val="Prrafodelista"/>
        <w:rPr>
          <w:rFonts w:ascii="Palatino Linotype" w:eastAsia="Palatino Linotype" w:hAnsi="Palatino Linotype" w:cs="Palatino Linotype"/>
          <w:color w:val="FF0000"/>
          <w:highlight w:val="yellow"/>
        </w:rPr>
      </w:pPr>
    </w:p>
    <w:p w:rsidR="00EE5105" w:rsidRPr="0053614D" w:rsidRDefault="00DB4CFD" w:rsidP="00EE5105">
      <w:pPr>
        <w:pBdr>
          <w:top w:val="nil"/>
          <w:left w:val="nil"/>
          <w:bottom w:val="nil"/>
          <w:right w:val="nil"/>
          <w:between w:val="nil"/>
        </w:pBdr>
        <w:spacing w:before="240" w:after="240"/>
        <w:ind w:left="720" w:right="40"/>
        <w:contextualSpacing/>
        <w:jc w:val="both"/>
        <w:rPr>
          <w:rFonts w:ascii="Palatino Linotype" w:eastAsia="Palatino Linotype" w:hAnsi="Palatino Linotype" w:cs="Palatino Linotype"/>
          <w:i/>
          <w:color w:val="000000"/>
        </w:rPr>
      </w:pPr>
      <w:r w:rsidRPr="00A351A2">
        <w:rPr>
          <w:rFonts w:ascii="Palatino Linotype" w:eastAsia="Palatino Linotype" w:hAnsi="Palatino Linotype" w:cs="Palatino Linotype"/>
          <w:i/>
          <w:color w:val="000000"/>
        </w:rPr>
        <w:t>Para la entrega en versión pública, deberá emitir el Acuerdo del Comité de Transparencia en términos de la Ley de Transparencia y Acceso a la Información Pública del Estado de México y Municipios, en el que funde y motive las razones sobre los datos que se supriman o eliminen</w:t>
      </w:r>
      <w:r w:rsidR="003C4073">
        <w:rPr>
          <w:rFonts w:ascii="Palatino Linotype" w:eastAsia="Palatino Linotype" w:hAnsi="Palatino Linotype" w:cs="Palatino Linotype"/>
          <w:i/>
          <w:color w:val="000000"/>
        </w:rPr>
        <w:t xml:space="preserve"> de los documentos que se ordenan</w:t>
      </w:r>
      <w:r w:rsidRPr="00A351A2">
        <w:rPr>
          <w:rFonts w:ascii="Palatino Linotype" w:eastAsia="Palatino Linotype" w:hAnsi="Palatino Linotype" w:cs="Palatino Linotype"/>
          <w:i/>
          <w:color w:val="000000"/>
        </w:rPr>
        <w:t xml:space="preserve"> y </w:t>
      </w:r>
      <w:r w:rsidR="0053614D">
        <w:rPr>
          <w:rFonts w:ascii="Palatino Linotype" w:eastAsia="Palatino Linotype" w:hAnsi="Palatino Linotype" w:cs="Palatino Linotype"/>
          <w:i/>
          <w:color w:val="000000"/>
        </w:rPr>
        <w:t>de los</w:t>
      </w:r>
      <w:r w:rsidR="003C4073">
        <w:rPr>
          <w:rFonts w:ascii="Palatino Linotype" w:eastAsia="Palatino Linotype" w:hAnsi="Palatino Linotype" w:cs="Palatino Linotype"/>
          <w:i/>
          <w:color w:val="000000"/>
        </w:rPr>
        <w:t xml:space="preserve"> documentos</w:t>
      </w:r>
      <w:r w:rsidR="0053614D">
        <w:rPr>
          <w:rFonts w:ascii="Palatino Linotype" w:eastAsia="Palatino Linotype" w:hAnsi="Palatino Linotype" w:cs="Palatino Linotype"/>
          <w:i/>
          <w:color w:val="000000"/>
        </w:rPr>
        <w:t xml:space="preserve"> que se deban clasificar en su totalidad relacionados con la fracción I y VI </w:t>
      </w:r>
      <w:r w:rsidR="0053614D" w:rsidRPr="0053614D">
        <w:rPr>
          <w:rFonts w:ascii="Palatino Linotype" w:eastAsia="Palatino Linotype" w:hAnsi="Palatino Linotype" w:cs="Palatino Linotype"/>
          <w:i/>
          <w:color w:val="000000"/>
        </w:rPr>
        <w:t>del artículo 32 de la Ley Orgánica Municipal del Estado de México</w:t>
      </w:r>
      <w:r w:rsidR="0053614D">
        <w:rPr>
          <w:rFonts w:ascii="Palatino Linotype" w:eastAsia="Palatino Linotype" w:hAnsi="Palatino Linotype" w:cs="Palatino Linotype"/>
          <w:i/>
          <w:color w:val="000000"/>
        </w:rPr>
        <w:t xml:space="preserve">, los que se deberán poner </w:t>
      </w:r>
      <w:r w:rsidRPr="00A351A2">
        <w:rPr>
          <w:rFonts w:ascii="Palatino Linotype" w:eastAsia="Palatino Linotype" w:hAnsi="Palatino Linotype" w:cs="Palatino Linotype"/>
          <w:i/>
          <w:color w:val="000000"/>
        </w:rPr>
        <w:t>a disposición de la parte Recurrente</w:t>
      </w:r>
      <w:r w:rsidRPr="0053614D">
        <w:rPr>
          <w:rFonts w:ascii="Palatino Linotype" w:eastAsia="Palatino Linotype" w:hAnsi="Palatino Linotype" w:cs="Palatino Linotype"/>
          <w:i/>
          <w:color w:val="000000"/>
        </w:rPr>
        <w:t>.</w:t>
      </w:r>
    </w:p>
    <w:p w:rsidR="00EE5105" w:rsidRPr="0053614D" w:rsidRDefault="00EE5105" w:rsidP="00EE5105">
      <w:pPr>
        <w:pBdr>
          <w:top w:val="nil"/>
          <w:left w:val="nil"/>
          <w:bottom w:val="nil"/>
          <w:right w:val="nil"/>
          <w:between w:val="nil"/>
        </w:pBdr>
        <w:spacing w:before="240" w:after="240"/>
        <w:ind w:left="720" w:right="40"/>
        <w:contextualSpacing/>
        <w:jc w:val="both"/>
        <w:rPr>
          <w:rFonts w:ascii="Palatino Linotype" w:eastAsia="Palatino Linotype" w:hAnsi="Palatino Linotype" w:cs="Palatino Linotype"/>
          <w:i/>
          <w:color w:val="000000"/>
        </w:rPr>
      </w:pPr>
    </w:p>
    <w:p w:rsidR="00EE5105" w:rsidRDefault="00EE5105" w:rsidP="00EE5105">
      <w:pPr>
        <w:pBdr>
          <w:top w:val="nil"/>
          <w:left w:val="nil"/>
          <w:bottom w:val="nil"/>
          <w:right w:val="nil"/>
          <w:between w:val="nil"/>
        </w:pBdr>
        <w:spacing w:before="240" w:after="240"/>
        <w:ind w:left="720" w:right="40"/>
        <w:contextualSpacing/>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el supuesto que la información ordenada en el inciso “</w:t>
      </w:r>
      <w:r w:rsidRPr="00F22FE7">
        <w:rPr>
          <w:rFonts w:ascii="Palatino Linotype" w:eastAsia="Palatino Linotype" w:hAnsi="Palatino Linotype" w:cs="Palatino Linotype"/>
          <w:i/>
          <w:sz w:val="22"/>
          <w:szCs w:val="22"/>
        </w:rPr>
        <w:t>f</w:t>
      </w:r>
      <w:r w:rsidR="00422B95" w:rsidRPr="00F22FE7">
        <w:rPr>
          <w:rFonts w:ascii="Palatino Linotype" w:eastAsia="Palatino Linotype" w:hAnsi="Palatino Linotype" w:cs="Palatino Linotype"/>
          <w:i/>
          <w:sz w:val="22"/>
          <w:szCs w:val="22"/>
        </w:rPr>
        <w:t xml:space="preserve"> y </w:t>
      </w:r>
      <w:r w:rsidR="00F22FE7">
        <w:rPr>
          <w:rFonts w:ascii="Palatino Linotype" w:eastAsia="Palatino Linotype" w:hAnsi="Palatino Linotype" w:cs="Palatino Linotype"/>
          <w:i/>
          <w:sz w:val="22"/>
          <w:szCs w:val="22"/>
        </w:rPr>
        <w:t>“</w:t>
      </w:r>
      <w:r w:rsidR="00422B95" w:rsidRPr="00F22FE7">
        <w:rPr>
          <w:rFonts w:ascii="Palatino Linotype" w:eastAsia="Palatino Linotype" w:hAnsi="Palatino Linotype" w:cs="Palatino Linotype"/>
          <w:i/>
          <w:sz w:val="22"/>
          <w:szCs w:val="22"/>
        </w:rPr>
        <w:t>g</w:t>
      </w:r>
      <w:r w:rsidRPr="00F22FE7">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i/>
          <w:sz w:val="22"/>
          <w:szCs w:val="22"/>
        </w:rPr>
        <w:t xml:space="preserve">no obre en los archivos del </w:t>
      </w:r>
      <w:r>
        <w:rPr>
          <w:rFonts w:ascii="Palatino Linotype" w:eastAsia="Palatino Linotype" w:hAnsi="Palatino Linotype" w:cs="Palatino Linotype"/>
          <w:b/>
          <w:i/>
          <w:sz w:val="22"/>
          <w:szCs w:val="22"/>
        </w:rPr>
        <w:t>Sujeto Obligado</w:t>
      </w:r>
      <w:r>
        <w:rPr>
          <w:rFonts w:ascii="Palatino Linotype" w:eastAsia="Palatino Linotype" w:hAnsi="Palatino Linotype" w:cs="Palatino Linotype"/>
          <w:i/>
          <w:sz w:val="22"/>
          <w:szCs w:val="22"/>
        </w:rPr>
        <w:t xml:space="preserve"> bastará con que así lo haga del conocimiento de la parte </w:t>
      </w:r>
      <w:r>
        <w:rPr>
          <w:rFonts w:ascii="Palatino Linotype" w:eastAsia="Palatino Linotype" w:hAnsi="Palatino Linotype" w:cs="Palatino Linotype"/>
          <w:b/>
          <w:i/>
          <w:sz w:val="22"/>
          <w:szCs w:val="22"/>
        </w:rPr>
        <w:t>Recurrente de manera fundada y motivada en términos del segundo párrafo del artículo 19 de la Ley en la materia</w:t>
      </w:r>
      <w:r>
        <w:rPr>
          <w:rFonts w:ascii="Palatino Linotype" w:eastAsia="Palatino Linotype" w:hAnsi="Palatino Linotype" w:cs="Palatino Linotype"/>
          <w:i/>
          <w:sz w:val="22"/>
          <w:szCs w:val="22"/>
        </w:rPr>
        <w:t>, para tener por colmado el requerimiento de información.</w:t>
      </w:r>
    </w:p>
    <w:p w:rsidR="005D21BB" w:rsidRDefault="005D21BB" w:rsidP="005D21BB">
      <w:pPr>
        <w:pStyle w:val="Prrafodelista"/>
        <w:numPr>
          <w:ilvl w:val="0"/>
          <w:numId w:val="27"/>
        </w:numPr>
        <w:pBdr>
          <w:top w:val="nil"/>
          <w:left w:val="nil"/>
          <w:bottom w:val="nil"/>
          <w:right w:val="nil"/>
          <w:between w:val="nil"/>
        </w:pBdr>
        <w:spacing w:before="240" w:after="240" w:line="360" w:lineRule="auto"/>
        <w:ind w:right="51"/>
        <w:contextualSpacing/>
        <w:jc w:val="both"/>
        <w:rPr>
          <w:rFonts w:ascii="Palatino Linotype" w:eastAsia="Palatino Linotype" w:hAnsi="Palatino Linotype" w:cs="Palatino Linotype"/>
        </w:rPr>
      </w:pPr>
      <w:r>
        <w:rPr>
          <w:rFonts w:ascii="Palatino Linotype" w:eastAsia="Palatino Linotype" w:hAnsi="Palatino Linotype" w:cs="Palatino Linotype"/>
        </w:rPr>
        <w:t xml:space="preserve">El Acuerdo que emita el Comité de Transparencia mediante el que confirme la declaratoria de incompetencia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respecto de la </w:t>
      </w:r>
      <w:r w:rsidR="00422B95">
        <w:rPr>
          <w:rFonts w:ascii="Palatino Linotype" w:eastAsia="Palatino Linotype" w:hAnsi="Palatino Linotype" w:cs="Palatino Linotype"/>
        </w:rPr>
        <w:t xml:space="preserve">declaración </w:t>
      </w:r>
      <w:r w:rsidR="003C4073">
        <w:rPr>
          <w:rFonts w:ascii="Palatino Linotype" w:eastAsia="Palatino Linotype" w:hAnsi="Palatino Linotype" w:cs="Palatino Linotype"/>
        </w:rPr>
        <w:t>de intereses de la</w:t>
      </w:r>
      <w:r w:rsidRPr="00EE5105">
        <w:rPr>
          <w:rFonts w:ascii="Palatino Linotype" w:eastAsia="Palatino Linotype" w:hAnsi="Palatino Linotype" w:cs="Palatino Linotype"/>
        </w:rPr>
        <w:t xml:space="preserve"> Directora de Administración</w:t>
      </w:r>
      <w:r>
        <w:rPr>
          <w:rFonts w:ascii="Palatino Linotype" w:eastAsia="Palatino Linotype" w:hAnsi="Palatino Linotype" w:cs="Palatino Linotype"/>
        </w:rPr>
        <w:t>.</w:t>
      </w:r>
    </w:p>
    <w:p w:rsidR="00DB4CFD" w:rsidRDefault="00DB4CFD" w:rsidP="00DB4CFD">
      <w:pPr>
        <w:spacing w:line="360" w:lineRule="auto"/>
        <w:ind w:right="49"/>
        <w:jc w:val="both"/>
        <w:rPr>
          <w:rFonts w:ascii="Palatino Linotype" w:eastAsia="Palatino Linotype" w:hAnsi="Palatino Linotype" w:cs="Palatino Linotype"/>
          <w:highlight w:val="white"/>
        </w:rPr>
      </w:pPr>
      <w:r>
        <w:rPr>
          <w:rFonts w:ascii="Palatino Linotype" w:eastAsia="Palatino Linotype" w:hAnsi="Palatino Linotype" w:cs="Palatino Linotype"/>
          <w:b/>
          <w:highlight w:val="white"/>
        </w:rPr>
        <w:t>Tercero. Notifíquese</w:t>
      </w:r>
      <w:r>
        <w:rPr>
          <w:rFonts w:ascii="Palatino Linotype" w:eastAsia="Palatino Linotype" w:hAnsi="Palatino Linotype" w:cs="Palatino Linotype"/>
          <w:b/>
          <w:i/>
          <w:highlight w:val="white"/>
        </w:rPr>
        <w:t xml:space="preserve"> vía SAIMEX, </w:t>
      </w:r>
      <w:r>
        <w:rPr>
          <w:rFonts w:ascii="Palatino Linotype" w:eastAsia="Palatino Linotype" w:hAnsi="Palatino Linotype" w:cs="Palatino Linotype"/>
          <w:highlight w:val="white"/>
        </w:rPr>
        <w:t xml:space="preserve">al Responsable de la Unidad de Transparencia del </w:t>
      </w:r>
      <w:r>
        <w:rPr>
          <w:rFonts w:ascii="Palatino Linotype" w:eastAsia="Palatino Linotype" w:hAnsi="Palatino Linotype" w:cs="Palatino Linotype"/>
          <w:b/>
          <w:highlight w:val="white"/>
        </w:rPr>
        <w:t>SUJETO OBLIGADO</w:t>
      </w:r>
      <w:r>
        <w:rPr>
          <w:rFonts w:ascii="Palatino Linotype" w:eastAsia="Palatino Linotype" w:hAnsi="Palatino Linotype" w:cs="Palatino Linotype"/>
          <w:highlight w:val="white"/>
        </w:rPr>
        <w:t>, para que conforme al artículo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rsidR="00DB4CFD" w:rsidRDefault="00DB4CFD" w:rsidP="00DB4CFD">
      <w:pPr>
        <w:spacing w:line="360" w:lineRule="auto"/>
        <w:ind w:right="49"/>
        <w:jc w:val="both"/>
        <w:rPr>
          <w:rFonts w:ascii="Palatino Linotype" w:eastAsia="Palatino Linotype" w:hAnsi="Palatino Linotype" w:cs="Palatino Linotype"/>
          <w:highlight w:val="white"/>
        </w:rPr>
      </w:pPr>
    </w:p>
    <w:p w:rsidR="00DB4CFD" w:rsidRDefault="00DB4CFD" w:rsidP="00DB4CFD">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lastRenderedPageBreak/>
        <w:t>Cuarto.</w:t>
      </w:r>
      <w:r>
        <w:rPr>
          <w:rFonts w:ascii="Palatino Linotype" w:eastAsia="Palatino Linotype" w:hAnsi="Palatino Linotype" w:cs="Palatino Linotype"/>
          <w:b/>
          <w:sz w:val="28"/>
          <w:szCs w:val="28"/>
        </w:rPr>
        <w:t xml:space="preserve"> </w:t>
      </w:r>
      <w:r>
        <w:rPr>
          <w:rFonts w:ascii="Palatino Linotype" w:eastAsia="Palatino Linotype" w:hAnsi="Palatino Linotype" w:cs="Palatino Linotype"/>
          <w:b/>
        </w:rPr>
        <w:t xml:space="preserve">Notifíquese </w:t>
      </w:r>
      <w:r>
        <w:rPr>
          <w:rFonts w:ascii="Palatino Linotype" w:eastAsia="Palatino Linotype" w:hAnsi="Palatino Linotype" w:cs="Palatino Linotype"/>
          <w:b/>
          <w:i/>
          <w:highlight w:val="white"/>
        </w:rPr>
        <w:t>vía SAIMEX</w:t>
      </w:r>
      <w:r>
        <w:rPr>
          <w:rFonts w:ascii="Palatino Linotype" w:eastAsia="Palatino Linotype" w:hAnsi="Palatino Linotype" w:cs="Palatino Linotype"/>
        </w:rPr>
        <w:t xml:space="preserve">, al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la presente resolución, así como, que de conformidad con lo establecido en el artículo 196 de la Ley de Transparencia y Acceso a la Información Pública del Estado de México y Municipios, podrá impugnarla vía Juicio de Amparo en los términos de las leyes aplicables.</w:t>
      </w:r>
    </w:p>
    <w:p w:rsidR="00DB4CFD" w:rsidRDefault="00DB4CFD" w:rsidP="00DB4CFD">
      <w:pPr>
        <w:spacing w:line="360" w:lineRule="auto"/>
        <w:jc w:val="both"/>
        <w:rPr>
          <w:rFonts w:ascii="Palatino Linotype" w:eastAsia="Palatino Linotype" w:hAnsi="Palatino Linotype" w:cs="Palatino Linotype"/>
        </w:rPr>
      </w:pPr>
    </w:p>
    <w:p w:rsidR="00DB4CFD" w:rsidRDefault="00DB4CFD" w:rsidP="00DB4CFD">
      <w:pPr>
        <w:widowControl w:val="0"/>
        <w:tabs>
          <w:tab w:val="left" w:pos="1701"/>
        </w:tabs>
        <w:spacing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b/>
        </w:rPr>
        <w:t>Quinto.</w:t>
      </w:r>
      <w:r>
        <w:rPr>
          <w:rFonts w:ascii="Palatino Linotype" w:eastAsia="Palatino Linotype" w:hAnsi="Palatino Linotype" w:cs="Palatino Linotype"/>
        </w:rPr>
        <w:t xml:space="preserve"> </w:t>
      </w:r>
      <w:r>
        <w:rPr>
          <w:rFonts w:ascii="Palatino Linotype" w:eastAsia="Palatino Linotype" w:hAnsi="Palatino Linotype" w:cs="Palatino Linotype"/>
          <w:b/>
        </w:rPr>
        <w:t xml:space="preserve">Notifíquese </w:t>
      </w:r>
      <w:r>
        <w:rPr>
          <w:rFonts w:ascii="Palatino Linotype" w:eastAsia="Palatino Linotype" w:hAnsi="Palatino Linotype" w:cs="Palatino Linotype"/>
          <w:b/>
          <w:i/>
          <w:highlight w:val="white"/>
        </w:rPr>
        <w:t>vía SAIMEX</w:t>
      </w:r>
      <w:r>
        <w:rPr>
          <w:rFonts w:ascii="Palatino Linotype" w:eastAsia="Palatino Linotype" w:hAnsi="Palatino Linotype" w:cs="Palatino Linotype"/>
          <w:b/>
        </w:rPr>
        <w:t>, al</w:t>
      </w:r>
      <w:r>
        <w:rPr>
          <w:rFonts w:ascii="Palatino Linotype" w:eastAsia="Palatino Linotype" w:hAnsi="Palatino Linotype" w:cs="Palatino Linotype"/>
        </w:rPr>
        <w:t xml:space="preserve"> </w:t>
      </w:r>
      <w:r>
        <w:rPr>
          <w:rFonts w:ascii="Palatino Linotype" w:eastAsia="Palatino Linotype" w:hAnsi="Palatino Linotype" w:cs="Palatino Linotype"/>
          <w:b/>
        </w:rPr>
        <w:t xml:space="preserve">RECURRENTE </w:t>
      </w:r>
      <w:r>
        <w:rPr>
          <w:rFonts w:ascii="Palatino Linotype" w:eastAsia="Palatino Linotype" w:hAnsi="Palatino Linotype" w:cs="Palatino Linotype"/>
        </w:rPr>
        <w:t xml:space="preserve">que la respuesta que dé </w:t>
      </w:r>
      <w:r>
        <w:rPr>
          <w:rFonts w:ascii="Palatino Linotype" w:eastAsia="Palatino Linotype" w:hAnsi="Palatino Linotype" w:cs="Palatino Linotype"/>
          <w:b/>
        </w:rPr>
        <w:t>el SUJETO OBLIGADO</w:t>
      </w:r>
      <w:r>
        <w:rPr>
          <w:rFonts w:ascii="Palatino Linotype" w:eastAsia="Palatino Linotype" w:hAnsi="Palatino Linotype" w:cs="Palatino Linotype"/>
        </w:rPr>
        <w:t xml:space="preserve"> derivada de la presente resolución es susceptible de ser impugnada nuevamente, mediante recurso de revisión, ante el Instituto, en términos del artículo 179, último párrafo de la Ley de Transparencia y Acceso a la Información Pública del Estado de México y Municipios.</w:t>
      </w:r>
    </w:p>
    <w:p w:rsidR="00DB4CFD" w:rsidRDefault="00DB4CFD" w:rsidP="00DB4CFD">
      <w:pPr>
        <w:widowControl w:val="0"/>
        <w:tabs>
          <w:tab w:val="left" w:pos="1701"/>
        </w:tabs>
        <w:spacing w:line="360" w:lineRule="auto"/>
        <w:ind w:right="51"/>
        <w:jc w:val="both"/>
        <w:rPr>
          <w:rFonts w:ascii="Palatino Linotype" w:eastAsia="Palatino Linotype" w:hAnsi="Palatino Linotype" w:cs="Palatino Linotype"/>
        </w:rPr>
      </w:pPr>
    </w:p>
    <w:p w:rsidR="00DB4CFD" w:rsidRDefault="00DB4CFD" w:rsidP="00DB4CFD">
      <w:pPr>
        <w:widowControl w:val="0"/>
        <w:tabs>
          <w:tab w:val="left" w:pos="1701"/>
        </w:tabs>
        <w:spacing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b/>
        </w:rPr>
        <w:t>Sexto</w:t>
      </w:r>
      <w:r>
        <w:rPr>
          <w:rFonts w:ascii="Palatino Linotype" w:eastAsia="Palatino Linotype" w:hAnsi="Palatino Linotype" w:cs="Palatino Linotype"/>
        </w:rPr>
        <w:t xml:space="preserve">. Con fundamento en el artículo 198 de la Ley de Transparencia y Acceso a la Información Pública del Estado de México y Municipios, se apercibe al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que, en caso de negarse a cumplir la presente resolución o hacerlo de manera parcial se actuará de conformidad con lo previsto en los artículos 213, 214, 216 y 217 de dicha Ley.</w:t>
      </w:r>
    </w:p>
    <w:p w:rsidR="00DB4CFD" w:rsidRDefault="00DB4CFD" w:rsidP="00DB4CFD">
      <w:pPr>
        <w:widowControl w:val="0"/>
        <w:tabs>
          <w:tab w:val="left" w:pos="1701"/>
        </w:tabs>
        <w:spacing w:line="360" w:lineRule="auto"/>
        <w:ind w:right="51"/>
        <w:jc w:val="both"/>
        <w:rPr>
          <w:rFonts w:ascii="Palatino Linotype" w:eastAsia="Palatino Linotype" w:hAnsi="Palatino Linotype" w:cs="Palatino Linotype"/>
        </w:rPr>
      </w:pPr>
    </w:p>
    <w:p w:rsidR="00DB4CFD" w:rsidRDefault="00DB4CFD" w:rsidP="00DB4CFD">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Séptimo.</w:t>
      </w:r>
      <w:r>
        <w:rPr>
          <w:rFonts w:ascii="Palatino Linotype" w:eastAsia="Palatino Linotype" w:hAnsi="Palatino Linotype" w:cs="Palatino Linotype"/>
          <w:b/>
          <w:sz w:val="28"/>
          <w:szCs w:val="28"/>
        </w:rPr>
        <w:t xml:space="preserve"> </w:t>
      </w:r>
      <w:r>
        <w:rPr>
          <w:rFonts w:ascii="Palatino Linotype" w:eastAsia="Palatino Linotype" w:hAnsi="Palatino Linotype" w:cs="Palatino Linotype"/>
          <w:b/>
          <w:highlight w:val="white"/>
        </w:rPr>
        <w:t>Gírese</w:t>
      </w:r>
      <w:r>
        <w:rPr>
          <w:rFonts w:ascii="Palatino Linotype" w:eastAsia="Palatino Linotype" w:hAnsi="Palatino Linotype" w:cs="Palatino Linotype"/>
          <w:highlight w:val="white"/>
        </w:rPr>
        <w:t> oficio al Contralor y Órgano de Control y Vigilancia de esté Instituto para hacer de su conocimiento la presente resolución, a fin de que en ejercicio de sus atribuciones y de conformidad al artículo 190, de la Ley de Transparencia y Acceso a la Información Pública del Estado de México y Municipios, determine lo conducente, en términos de lo señalado por el Considerando Cuarto de la presente resolución.</w:t>
      </w:r>
    </w:p>
    <w:p w:rsidR="001449BF" w:rsidRDefault="003770E0">
      <w:pPr>
        <w:spacing w:before="240" w:after="240" w:line="360" w:lineRule="auto"/>
        <w:jc w:val="both"/>
        <w:rPr>
          <w:rFonts w:ascii="Palatino Linotype" w:eastAsia="Palatino Linotype" w:hAnsi="Palatino Linotype" w:cs="Palatino Linotype"/>
        </w:rPr>
        <w:sectPr w:rsidR="001449BF" w:rsidSect="00AF3770">
          <w:headerReference w:type="default" r:id="rId29"/>
          <w:footerReference w:type="default" r:id="rId30"/>
          <w:headerReference w:type="first" r:id="rId31"/>
          <w:footerReference w:type="first" r:id="rId32"/>
          <w:pgSz w:w="12240" w:h="15840"/>
          <w:pgMar w:top="2041" w:right="1467" w:bottom="1701" w:left="1701" w:header="709" w:footer="709" w:gutter="0"/>
          <w:pgNumType w:start="1"/>
          <w:cols w:space="720"/>
          <w:titlePg/>
        </w:sectPr>
      </w:pPr>
      <w:r>
        <w:rPr>
          <w:rFonts w:ascii="Palatino Linotype" w:eastAsia="Palatino Linotype" w:hAnsi="Palatino Linotype" w:cs="Palatino Linotype"/>
          <w:noProof/>
          <w:color w:val="222222"/>
          <w:lang w:val="es-MX" w:eastAsia="es-MX"/>
        </w:rPr>
        <w:lastRenderedPageBreak/>
        <mc:AlternateContent>
          <mc:Choice Requires="wps">
            <w:drawing>
              <wp:anchor distT="0" distB="0" distL="114300" distR="114300" simplePos="0" relativeHeight="251678720" behindDoc="0" locked="0" layoutInCell="1" allowOverlap="1">
                <wp:simplePos x="0" y="0"/>
                <wp:positionH relativeFrom="column">
                  <wp:posOffset>136415</wp:posOffset>
                </wp:positionH>
                <wp:positionV relativeFrom="paragraph">
                  <wp:posOffset>2890712</wp:posOffset>
                </wp:positionV>
                <wp:extent cx="5462546" cy="3991555"/>
                <wp:effectExtent l="0" t="0" r="24130" b="28575"/>
                <wp:wrapNone/>
                <wp:docPr id="5" name="Conector recto 5"/>
                <wp:cNvGraphicFramePr/>
                <a:graphic xmlns:a="http://schemas.openxmlformats.org/drawingml/2006/main">
                  <a:graphicData uri="http://schemas.microsoft.com/office/word/2010/wordprocessingShape">
                    <wps:wsp>
                      <wps:cNvCnPr/>
                      <wps:spPr>
                        <a:xfrm>
                          <a:off x="0" y="0"/>
                          <a:ext cx="5462546" cy="399155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9C24E77" id="Conector recto 5" o:spid="_x0000_s1026" style="position:absolute;z-index:251678720;visibility:visible;mso-wrap-style:square;mso-wrap-distance-left:9pt;mso-wrap-distance-top:0;mso-wrap-distance-right:9pt;mso-wrap-distance-bottom:0;mso-position-horizontal:absolute;mso-position-horizontal-relative:text;mso-position-vertical:absolute;mso-position-vertical-relative:text" from="10.75pt,227.6pt" to="440.85pt,54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" strokecolor="black [3200]" strokeweight=".5pt">
                <v:stroke joinstyle="miter"/>
              </v:line>
            </w:pict>
          </mc:Fallback>
        </mc:AlternateContent>
      </w:r>
      <w:r w:rsidR="00616C37">
        <w:rPr>
          <w:rFonts w:ascii="Palatino Linotype" w:eastAsia="Palatino Linotype" w:hAnsi="Palatino Linotype" w:cs="Palatino Linotype"/>
          <w:color w:val="222222"/>
          <w:highlight w:val="whit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Pr>
          <w:rFonts w:ascii="Palatino Linotype" w:eastAsia="Palatino Linotype" w:hAnsi="Palatino Linotype" w:cs="Palatino Linotype"/>
          <w:color w:val="222222"/>
          <w:highlight w:val="white"/>
        </w:rPr>
        <w:t>TRIGÉSIMA PRIMERA SESIÓN ORDINARIA CELEBRADA EL TREINTA Y UNO</w:t>
      </w:r>
      <w:r>
        <w:rPr>
          <w:rFonts w:ascii="Palatino Linotype" w:eastAsia="Palatino Linotype" w:hAnsi="Palatino Linotype" w:cs="Palatino Linotype"/>
        </w:rPr>
        <w:t xml:space="preserve"> DE AGOSTO DEL DOS </w:t>
      </w:r>
      <w:r w:rsidR="00616C37">
        <w:rPr>
          <w:rFonts w:ascii="Palatino Linotype" w:eastAsia="Palatino Linotype" w:hAnsi="Palatino Linotype" w:cs="Palatino Linotype"/>
        </w:rPr>
        <w:t>MIL VEINTIDÓS, ANTE EL SECRETARIO TÉCNICO DEL PLENO ALEXIS TAPIA RAMÍREZ.</w:t>
      </w:r>
    </w:p>
    <w:p w:rsidR="001449BF" w:rsidRDefault="001449BF">
      <w:pPr>
        <w:spacing w:before="240" w:after="240" w:line="360" w:lineRule="auto"/>
        <w:jc w:val="both"/>
        <w:rPr>
          <w:rFonts w:ascii="Palatino Linotype" w:eastAsia="Palatino Linotype" w:hAnsi="Palatino Linotype" w:cs="Palatino Linotype"/>
        </w:rPr>
      </w:pPr>
    </w:p>
    <w:sectPr w:rsidR="001449BF">
      <w:headerReference w:type="first" r:id="rId33"/>
      <w:pgSz w:w="12240" w:h="15840"/>
      <w:pgMar w:top="2041" w:right="1701" w:bottom="1701" w:left="1701" w:header="709" w:footer="709"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C4463" w:rsidRDefault="00BC4463">
      <w:r>
        <w:separator/>
      </w:r>
    </w:p>
  </w:endnote>
  <w:endnote w:type="continuationSeparator" w:id="0">
    <w:p w:rsidR="00BC4463" w:rsidRDefault="00BC44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028B" w:rsidRDefault="0039028B">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3F6323">
      <w:rPr>
        <w:rFonts w:ascii="Arial" w:eastAsia="Arial" w:hAnsi="Arial" w:cs="Arial"/>
        <w:b/>
        <w:noProof/>
        <w:color w:val="000000"/>
        <w:sz w:val="20"/>
        <w:szCs w:val="20"/>
      </w:rPr>
      <w:t>21</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3F6323">
      <w:rPr>
        <w:rFonts w:ascii="Arial" w:eastAsia="Arial" w:hAnsi="Arial" w:cs="Arial"/>
        <w:b/>
        <w:noProof/>
        <w:color w:val="000000"/>
        <w:sz w:val="20"/>
        <w:szCs w:val="20"/>
      </w:rPr>
      <w:t>108</w:t>
    </w:r>
    <w:r>
      <w:rPr>
        <w:rFonts w:ascii="Arial" w:eastAsia="Arial" w:hAnsi="Arial" w:cs="Arial"/>
        <w:b/>
        <w:color w:val="000000"/>
        <w:sz w:val="20"/>
        <w:szCs w:val="20"/>
      </w:rPr>
      <w:fldChar w:fldCharType="end"/>
    </w:r>
  </w:p>
  <w:p w:rsidR="0039028B" w:rsidRDefault="0039028B">
    <w:pPr>
      <w:pBdr>
        <w:top w:val="nil"/>
        <w:left w:val="nil"/>
        <w:bottom w:val="nil"/>
        <w:right w:val="nil"/>
        <w:between w:val="nil"/>
      </w:pBdr>
      <w:tabs>
        <w:tab w:val="center" w:pos="4252"/>
        <w:tab w:val="right" w:pos="8504"/>
      </w:tabs>
      <w:rPr>
        <w:color w:val="000000"/>
      </w:rPr>
    </w:pPr>
  </w:p>
  <w:p w:rsidR="0039028B" w:rsidRDefault="0039028B">
    <w:pPr>
      <w:pBdr>
        <w:top w:val="nil"/>
        <w:left w:val="nil"/>
        <w:bottom w:val="nil"/>
        <w:right w:val="nil"/>
        <w:between w:val="nil"/>
      </w:pBdr>
      <w:tabs>
        <w:tab w:val="center" w:pos="4252"/>
        <w:tab w:val="right" w:pos="8504"/>
      </w:tabs>
      <w:ind w:firstLine="708"/>
      <w:rPr>
        <w:rFonts w:ascii="Calibri" w:eastAsia="Calibri" w:hAnsi="Calibri" w:cs="Calibri"/>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028B" w:rsidRDefault="0039028B">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3F6323">
      <w:rPr>
        <w:rFonts w:ascii="Arial" w:eastAsia="Arial" w:hAnsi="Arial" w:cs="Arial"/>
        <w:b/>
        <w:noProof/>
        <w:color w:val="000000"/>
        <w:sz w:val="20"/>
        <w:szCs w:val="20"/>
      </w:rPr>
      <w:t>1</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3F6323">
      <w:rPr>
        <w:rFonts w:ascii="Arial" w:eastAsia="Arial" w:hAnsi="Arial" w:cs="Arial"/>
        <w:b/>
        <w:noProof/>
        <w:color w:val="000000"/>
        <w:sz w:val="20"/>
        <w:szCs w:val="20"/>
      </w:rPr>
      <w:t>108</w:t>
    </w:r>
    <w:r>
      <w:rPr>
        <w:rFonts w:ascii="Arial" w:eastAsia="Arial" w:hAnsi="Arial" w:cs="Arial"/>
        <w:b/>
        <w:color w:val="000000"/>
        <w:sz w:val="20"/>
        <w:szCs w:val="20"/>
      </w:rPr>
      <w:fldChar w:fldCharType="end"/>
    </w:r>
  </w:p>
  <w:p w:rsidR="0039028B" w:rsidRDefault="0039028B">
    <w:pPr>
      <w:pBdr>
        <w:top w:val="nil"/>
        <w:left w:val="nil"/>
        <w:bottom w:val="nil"/>
        <w:right w:val="nil"/>
        <w:between w:val="nil"/>
      </w:pBdr>
      <w:tabs>
        <w:tab w:val="center" w:pos="4252"/>
        <w:tab w:val="right" w:pos="8504"/>
      </w:tabs>
      <w:rPr>
        <w:rFonts w:ascii="Calibri" w:eastAsia="Calibri" w:hAnsi="Calibri" w:cs="Calibri"/>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C4463" w:rsidRDefault="00BC4463">
      <w:r>
        <w:separator/>
      </w:r>
    </w:p>
  </w:footnote>
  <w:footnote w:type="continuationSeparator" w:id="0">
    <w:p w:rsidR="00BC4463" w:rsidRDefault="00BC4463">
      <w:r>
        <w:continuationSeparator/>
      </w:r>
    </w:p>
  </w:footnote>
  <w:footnote w:id="1">
    <w:p w:rsidR="0039028B" w:rsidRDefault="0039028B" w:rsidP="00550A43">
      <w:pPr>
        <w:spacing w:before="240" w:after="240"/>
        <w:contextualSpacing/>
        <w:jc w:val="both"/>
        <w:rPr>
          <w:rFonts w:ascii="Palatino Linotype" w:eastAsia="Calibri" w:hAnsi="Palatino Linotype" w:cs="Arial"/>
          <w:sz w:val="16"/>
          <w:szCs w:val="16"/>
          <w:lang w:val="es-MX" w:eastAsia="en-US"/>
        </w:rPr>
      </w:pPr>
      <w:r>
        <w:rPr>
          <w:rStyle w:val="Refdenotaalpie"/>
        </w:rPr>
        <w:footnoteRef/>
      </w:r>
      <w:r w:rsidRPr="00FA5154">
        <w:rPr>
          <w:rFonts w:ascii="Palatino Linotype" w:eastAsia="Calibri" w:hAnsi="Palatino Linotype" w:cs="Arial"/>
          <w:sz w:val="16"/>
          <w:szCs w:val="16"/>
          <w:lang w:val="es-MX" w:eastAsia="en-US"/>
        </w:rPr>
        <w:t>“</w:t>
      </w:r>
      <w:r>
        <w:rPr>
          <w:rFonts w:ascii="Palatino Linotype" w:eastAsia="Calibri" w:hAnsi="Palatino Linotype" w:cs="Arial"/>
          <w:sz w:val="16"/>
          <w:szCs w:val="16"/>
          <w:lang w:val="es-MX" w:eastAsia="en-US"/>
        </w:rPr>
        <w:t>Artículo 178.</w:t>
      </w:r>
    </w:p>
    <w:p w:rsidR="0039028B" w:rsidRDefault="0039028B" w:rsidP="00550A43">
      <w:pPr>
        <w:spacing w:before="240" w:after="240"/>
        <w:contextualSpacing/>
        <w:jc w:val="both"/>
        <w:rPr>
          <w:rFonts w:ascii="Palatino Linotype" w:eastAsia="Calibri" w:hAnsi="Palatino Linotype" w:cs="Arial"/>
          <w:sz w:val="16"/>
          <w:szCs w:val="16"/>
          <w:lang w:val="es-MX" w:eastAsia="en-US"/>
        </w:rPr>
      </w:pPr>
      <w:r>
        <w:rPr>
          <w:rFonts w:ascii="Palatino Linotype" w:eastAsia="Calibri" w:hAnsi="Palatino Linotype" w:cs="Arial"/>
          <w:sz w:val="16"/>
          <w:szCs w:val="16"/>
          <w:lang w:val="es-MX" w:eastAsia="en-US"/>
        </w:rPr>
        <w:t>…</w:t>
      </w:r>
    </w:p>
    <w:p w:rsidR="0039028B" w:rsidRPr="00FA5154" w:rsidRDefault="0039028B" w:rsidP="00550A43">
      <w:pPr>
        <w:spacing w:before="240" w:after="240"/>
        <w:contextualSpacing/>
        <w:jc w:val="both"/>
        <w:rPr>
          <w:lang w:val="es-MX"/>
        </w:rPr>
      </w:pPr>
      <w:r w:rsidRPr="00F235C0">
        <w:rPr>
          <w:rFonts w:ascii="Palatino Linotype" w:eastAsia="Calibri" w:hAnsi="Palatino Linotype" w:cs="Arial"/>
          <w:sz w:val="16"/>
          <w:szCs w:val="16"/>
          <w:lang w:val="es-MX" w:eastAsia="en-US"/>
        </w:rPr>
        <w:t>A falta de respuesta del sujeto obligado, dentro de los plazos establecidos en esta Ley, a una solicitud de acceso a la información pública, el recurso podrá ser interpuesto en cualquier momento, acompañado con el documento que pruebe la fec</w:t>
      </w:r>
      <w:r>
        <w:rPr>
          <w:rFonts w:ascii="Palatino Linotype" w:eastAsia="Calibri" w:hAnsi="Palatino Linotype" w:cs="Arial"/>
          <w:sz w:val="16"/>
          <w:szCs w:val="16"/>
          <w:lang w:val="es-MX" w:eastAsia="en-US"/>
        </w:rPr>
        <w:t>ha en que presentó la solicitud…”(Sic)</w:t>
      </w:r>
    </w:p>
  </w:footnote>
  <w:footnote w:id="2">
    <w:p w:rsidR="0039028B" w:rsidRDefault="0039028B" w:rsidP="00550A43">
      <w:pPr>
        <w:pStyle w:val="Textonotapie"/>
        <w:contextualSpacing/>
      </w:pPr>
      <w:r>
        <w:rPr>
          <w:rStyle w:val="Refdenotaalpie"/>
        </w:rPr>
        <w:footnoteRef/>
      </w:r>
      <w:r>
        <w:t xml:space="preserve"> </w:t>
      </w:r>
      <w:r w:rsidRPr="00920C32">
        <w:rPr>
          <w:rFonts w:ascii="Palatino Linotype" w:hAnsi="Palatino Linotype"/>
          <w:sz w:val="16"/>
          <w:szCs w:val="16"/>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t xml:space="preserve"> (…)</w:t>
      </w:r>
    </w:p>
  </w:footnote>
  <w:footnote w:id="3">
    <w:p w:rsidR="0039028B" w:rsidRPr="00815CEB" w:rsidRDefault="0039028B" w:rsidP="00550A43">
      <w:pPr>
        <w:pStyle w:val="Textonotapie"/>
        <w:jc w:val="both"/>
        <w:rPr>
          <w:rFonts w:ascii="Palatino Linotype" w:hAnsi="Palatino Linotype"/>
          <w:sz w:val="16"/>
          <w:szCs w:val="16"/>
        </w:rPr>
      </w:pPr>
      <w:r w:rsidRPr="008D59A3">
        <w:rPr>
          <w:rStyle w:val="Refdenotaalpie"/>
          <w:rFonts w:ascii="Palatino Linotype" w:hAnsi="Palatino Linotype"/>
          <w:sz w:val="19"/>
          <w:szCs w:val="19"/>
        </w:rPr>
        <w:footnoteRef/>
      </w:r>
      <w:r w:rsidRPr="008D59A3">
        <w:rPr>
          <w:rFonts w:ascii="Palatino Linotype" w:hAnsi="Palatino Linotype"/>
          <w:sz w:val="19"/>
          <w:szCs w:val="19"/>
        </w:rPr>
        <w:t xml:space="preserve"> </w:t>
      </w:r>
      <w:r w:rsidRPr="00815CEB">
        <w:rPr>
          <w:rFonts w:ascii="Palatino Linotype" w:hAnsi="Palatino Linotype"/>
          <w:sz w:val="16"/>
          <w:szCs w:val="16"/>
        </w:rPr>
        <w:t>“Artículo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 w:id="4">
    <w:p w:rsidR="0039028B" w:rsidRDefault="0039028B" w:rsidP="00C94DE7">
      <w:pPr>
        <w:rPr>
          <w:rFonts w:ascii="Calibri" w:eastAsia="Calibri" w:hAnsi="Calibri" w:cs="Calibri"/>
          <w:sz w:val="20"/>
          <w:szCs w:val="20"/>
        </w:rPr>
      </w:pPr>
      <w:r>
        <w:rPr>
          <w:vertAlign w:val="superscript"/>
        </w:rPr>
        <w:footnoteRef/>
      </w:r>
      <w:r>
        <w:t xml:space="preserve"> </w:t>
      </w:r>
      <w:r>
        <w:rPr>
          <w:rFonts w:ascii="Palatino Linotype" w:eastAsia="Palatino Linotype" w:hAnsi="Palatino Linotype" w:cs="Palatino Linotype"/>
          <w:sz w:val="20"/>
          <w:szCs w:val="20"/>
        </w:rPr>
        <w:t>Certificación, disponible en http://ihaem.edomex.gob.mx/que_es la_certificacion.</w:t>
      </w:r>
    </w:p>
  </w:footnote>
  <w:footnote w:id="5">
    <w:p w:rsidR="0039028B" w:rsidRDefault="0039028B" w:rsidP="00403EAF">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Artículo 150 de la Ley de Transparencia y Acceso a la Información Pública del Estado de México y Municipios</w:t>
      </w:r>
    </w:p>
  </w:footnote>
  <w:footnote w:id="6">
    <w:p w:rsidR="0039028B" w:rsidRDefault="0039028B" w:rsidP="00403EAF">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Artículo 165, ibídem</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028B" w:rsidRDefault="0039028B">
    <w:pPr>
      <w:widowControl w:val="0"/>
      <w:pBdr>
        <w:top w:val="nil"/>
        <w:left w:val="nil"/>
        <w:bottom w:val="nil"/>
        <w:right w:val="nil"/>
        <w:between w:val="nil"/>
      </w:pBdr>
      <w:spacing w:line="276" w:lineRule="auto"/>
      <w:rPr>
        <w:rFonts w:ascii="Calibri" w:eastAsia="Calibri" w:hAnsi="Calibri" w:cs="Calibri"/>
        <w:color w:val="000000"/>
      </w:rPr>
    </w:pPr>
  </w:p>
  <w:tbl>
    <w:tblPr>
      <w:tblStyle w:val="a1"/>
      <w:tblW w:w="5528" w:type="dxa"/>
      <w:tblInd w:w="3261" w:type="dxa"/>
      <w:tblLayout w:type="fixed"/>
      <w:tblLook w:val="0400" w:firstRow="0" w:lastRow="0" w:firstColumn="0" w:lastColumn="0" w:noHBand="0" w:noVBand="1"/>
    </w:tblPr>
    <w:tblGrid>
      <w:gridCol w:w="2551"/>
      <w:gridCol w:w="2977"/>
    </w:tblGrid>
    <w:tr w:rsidR="0039028B">
      <w:tc>
        <w:tcPr>
          <w:tcW w:w="2551" w:type="dxa"/>
          <w:vAlign w:val="center"/>
        </w:tcPr>
        <w:p w:rsidR="0039028B" w:rsidRDefault="0039028B">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2977" w:type="dxa"/>
          <w:vAlign w:val="center"/>
        </w:tcPr>
        <w:p w:rsidR="0039028B" w:rsidRDefault="0039028B">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05599/INFOEM/IP/RR/2021 y acumulado.</w:t>
          </w:r>
        </w:p>
      </w:tc>
    </w:tr>
    <w:tr w:rsidR="0039028B">
      <w:trPr>
        <w:trHeight w:val="228"/>
      </w:trPr>
      <w:tc>
        <w:tcPr>
          <w:tcW w:w="2551" w:type="dxa"/>
          <w:vAlign w:val="center"/>
        </w:tcPr>
        <w:p w:rsidR="0039028B" w:rsidRDefault="0039028B">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2977" w:type="dxa"/>
          <w:vAlign w:val="center"/>
        </w:tcPr>
        <w:p w:rsidR="0039028B" w:rsidRDefault="0039028B">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Temascalcingo.</w:t>
          </w:r>
        </w:p>
      </w:tc>
    </w:tr>
    <w:tr w:rsidR="0039028B">
      <w:tc>
        <w:tcPr>
          <w:tcW w:w="2551" w:type="dxa"/>
          <w:vAlign w:val="center"/>
        </w:tcPr>
        <w:p w:rsidR="0039028B" w:rsidRDefault="0039028B">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2977" w:type="dxa"/>
          <w:vAlign w:val="center"/>
        </w:tcPr>
        <w:p w:rsidR="0039028B" w:rsidRDefault="0039028B">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rsidR="0039028B" w:rsidRDefault="0039028B">
    <w:pPr>
      <w:pBdr>
        <w:top w:val="nil"/>
        <w:left w:val="nil"/>
        <w:bottom w:val="nil"/>
        <w:right w:val="nil"/>
        <w:between w:val="nil"/>
      </w:pBdr>
      <w:tabs>
        <w:tab w:val="center" w:pos="4252"/>
        <w:tab w:val="right" w:pos="8504"/>
        <w:tab w:val="left" w:pos="2326"/>
      </w:tabs>
      <w:rPr>
        <w:rFonts w:ascii="Calibri" w:eastAsia="Calibri" w:hAnsi="Calibri" w:cs="Calibri"/>
        <w:color w:val="000000"/>
      </w:rPr>
    </w:pPr>
    <w:r>
      <w:rPr>
        <w:rFonts w:ascii="Calibri" w:eastAsia="Calibri" w:hAnsi="Calibri" w:cs="Calibri"/>
        <w:color w:val="000000"/>
      </w:rPr>
      <w:tab/>
    </w:r>
    <w:r>
      <w:rPr>
        <w:noProof/>
        <w:lang w:val="es-MX" w:eastAsia="es-MX"/>
      </w:rPr>
      <w:drawing>
        <wp:anchor distT="0" distB="0" distL="0" distR="0" simplePos="0" relativeHeight="251658240" behindDoc="1" locked="0" layoutInCell="1" hidden="0" allowOverlap="1">
          <wp:simplePos x="0" y="0"/>
          <wp:positionH relativeFrom="column">
            <wp:posOffset>-695770</wp:posOffset>
          </wp:positionH>
          <wp:positionV relativeFrom="paragraph">
            <wp:posOffset>-1200945</wp:posOffset>
          </wp:positionV>
          <wp:extent cx="7809876" cy="10165823"/>
          <wp:effectExtent l="0" t="0" r="0" b="0"/>
          <wp:wrapNone/>
          <wp:docPr id="1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028B" w:rsidRDefault="0039028B">
    <w:pPr>
      <w:pBdr>
        <w:top w:val="nil"/>
        <w:left w:val="nil"/>
        <w:bottom w:val="nil"/>
        <w:right w:val="nil"/>
        <w:between w:val="nil"/>
      </w:pBdr>
      <w:tabs>
        <w:tab w:val="center" w:pos="4252"/>
        <w:tab w:val="right" w:pos="8504"/>
      </w:tabs>
      <w:jc w:val="both"/>
      <w:rPr>
        <w:rFonts w:ascii="Calibri" w:eastAsia="Calibri" w:hAnsi="Calibri" w:cs="Calibri"/>
        <w:color w:val="000000"/>
      </w:rPr>
    </w:pPr>
    <w:r>
      <w:rPr>
        <w:noProof/>
        <w:lang w:val="es-MX" w:eastAsia="es-MX"/>
      </w:rPr>
      <w:drawing>
        <wp:anchor distT="0" distB="0" distL="0" distR="0" simplePos="0" relativeHeight="251659264" behindDoc="1" locked="0" layoutInCell="1" hidden="0" allowOverlap="1">
          <wp:simplePos x="0" y="0"/>
          <wp:positionH relativeFrom="column">
            <wp:posOffset>-846160</wp:posOffset>
          </wp:positionH>
          <wp:positionV relativeFrom="paragraph">
            <wp:posOffset>-171231</wp:posOffset>
          </wp:positionV>
          <wp:extent cx="7809876" cy="10165823"/>
          <wp:effectExtent l="0" t="0" r="0" b="0"/>
          <wp:wrapNone/>
          <wp:docPr id="1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0"/>
      <w:tblW w:w="5670" w:type="dxa"/>
      <w:tblInd w:w="3119" w:type="dxa"/>
      <w:tblLayout w:type="fixed"/>
      <w:tblLook w:val="0400" w:firstRow="0" w:lastRow="0" w:firstColumn="0" w:lastColumn="0" w:noHBand="0" w:noVBand="1"/>
    </w:tblPr>
    <w:tblGrid>
      <w:gridCol w:w="2551"/>
      <w:gridCol w:w="3119"/>
    </w:tblGrid>
    <w:tr w:rsidR="0039028B">
      <w:tc>
        <w:tcPr>
          <w:tcW w:w="2551" w:type="dxa"/>
          <w:vAlign w:val="center"/>
        </w:tcPr>
        <w:p w:rsidR="0039028B" w:rsidRDefault="0039028B">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vAlign w:val="center"/>
        </w:tcPr>
        <w:p w:rsidR="0039028B" w:rsidRDefault="0039028B">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05599/INFOEM/IP/RR/2022 y acumulado.</w:t>
          </w:r>
        </w:p>
      </w:tc>
    </w:tr>
    <w:tr w:rsidR="0039028B">
      <w:tc>
        <w:tcPr>
          <w:tcW w:w="2551" w:type="dxa"/>
          <w:vAlign w:val="center"/>
        </w:tcPr>
        <w:p w:rsidR="0039028B" w:rsidRDefault="0039028B">
          <w:pPr>
            <w:ind w:left="35" w:hanging="3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119" w:type="dxa"/>
          <w:vAlign w:val="center"/>
        </w:tcPr>
        <w:p w:rsidR="0039028B" w:rsidRDefault="003F6323">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XXXXX XXXXX XXXXXX XXXXX</w:t>
          </w:r>
        </w:p>
      </w:tc>
    </w:tr>
    <w:tr w:rsidR="0039028B">
      <w:trPr>
        <w:trHeight w:val="228"/>
      </w:trPr>
      <w:tc>
        <w:tcPr>
          <w:tcW w:w="2551" w:type="dxa"/>
          <w:vAlign w:val="center"/>
        </w:tcPr>
        <w:p w:rsidR="0039028B" w:rsidRDefault="0039028B">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9" w:type="dxa"/>
          <w:vAlign w:val="center"/>
        </w:tcPr>
        <w:p w:rsidR="0039028B" w:rsidRDefault="0039028B" w:rsidP="009C7C34">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Temascalcingo.</w:t>
          </w:r>
        </w:p>
      </w:tc>
    </w:tr>
    <w:tr w:rsidR="0039028B">
      <w:tc>
        <w:tcPr>
          <w:tcW w:w="2551" w:type="dxa"/>
          <w:vAlign w:val="center"/>
        </w:tcPr>
        <w:p w:rsidR="0039028B" w:rsidRDefault="0039028B">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9" w:type="dxa"/>
          <w:vAlign w:val="center"/>
        </w:tcPr>
        <w:p w:rsidR="0039028B" w:rsidRDefault="0039028B">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rsidR="0039028B" w:rsidRDefault="0039028B">
    <w:pPr>
      <w:pBdr>
        <w:top w:val="nil"/>
        <w:left w:val="nil"/>
        <w:bottom w:val="nil"/>
        <w:right w:val="nil"/>
        <w:between w:val="nil"/>
      </w:pBdr>
      <w:tabs>
        <w:tab w:val="center" w:pos="4252"/>
        <w:tab w:val="right" w:pos="8504"/>
      </w:tabs>
      <w:rPr>
        <w:rFonts w:ascii="Calibri" w:eastAsia="Calibri" w:hAnsi="Calibri" w:cs="Calibri"/>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028B" w:rsidRDefault="0039028B">
    <w:pPr>
      <w:pBdr>
        <w:top w:val="nil"/>
        <w:left w:val="nil"/>
        <w:bottom w:val="nil"/>
        <w:right w:val="nil"/>
        <w:between w:val="nil"/>
      </w:pBdr>
      <w:tabs>
        <w:tab w:val="center" w:pos="4252"/>
        <w:tab w:val="right" w:pos="8504"/>
      </w:tabs>
      <w:jc w:val="both"/>
      <w:rPr>
        <w:rFonts w:ascii="Calibri" w:eastAsia="Calibri" w:hAnsi="Calibri" w:cs="Calibri"/>
        <w:color w:val="000000"/>
      </w:rPr>
    </w:pPr>
  </w:p>
  <w:p w:rsidR="0039028B" w:rsidRDefault="0039028B">
    <w:pPr>
      <w:pBdr>
        <w:top w:val="nil"/>
        <w:left w:val="nil"/>
        <w:bottom w:val="nil"/>
        <w:right w:val="nil"/>
        <w:between w:val="nil"/>
      </w:pBdr>
      <w:tabs>
        <w:tab w:val="center" w:pos="4252"/>
        <w:tab w:val="right" w:pos="8504"/>
      </w:tabs>
      <w:rPr>
        <w:rFonts w:ascii="Calibri" w:eastAsia="Calibri" w:hAnsi="Calibri" w:cs="Calibri"/>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356D93"/>
    <w:multiLevelType w:val="hybridMultilevel"/>
    <w:tmpl w:val="0216743E"/>
    <w:lvl w:ilvl="0" w:tplc="0409000F">
      <w:start w:val="1"/>
      <w:numFmt w:val="decimal"/>
      <w:lvlText w:val="%1."/>
      <w:lvlJc w:val="left"/>
      <w:pPr>
        <w:ind w:left="1080" w:hanging="72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4406BC"/>
    <w:multiLevelType w:val="hybridMultilevel"/>
    <w:tmpl w:val="8982B43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BCE18AB"/>
    <w:multiLevelType w:val="multilevel"/>
    <w:tmpl w:val="05BE9020"/>
    <w:lvl w:ilvl="0">
      <w:start w:val="1"/>
      <w:numFmt w:val="decimal"/>
      <w:lvlText w:val="%1."/>
      <w:lvlJc w:val="left"/>
      <w:pPr>
        <w:ind w:left="1080" w:hanging="360"/>
      </w:pPr>
      <w:rPr>
        <w:color w:val="00000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 w15:restartNumberingAfterBreak="0">
    <w:nsid w:val="0F944118"/>
    <w:multiLevelType w:val="multilevel"/>
    <w:tmpl w:val="0DF27490"/>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0596BC5"/>
    <w:multiLevelType w:val="hybridMultilevel"/>
    <w:tmpl w:val="D9648128"/>
    <w:lvl w:ilvl="0" w:tplc="1C961696">
      <w:start w:val="1"/>
      <w:numFmt w:val="bullet"/>
      <w:lvlText w:val="-"/>
      <w:lvlJc w:val="left"/>
      <w:pPr>
        <w:ind w:left="720" w:hanging="360"/>
      </w:pPr>
      <w:rPr>
        <w:rFonts w:ascii="Palatino Linotype" w:eastAsia="Palatino Linotype" w:hAnsi="Palatino Linotype"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23F2165"/>
    <w:multiLevelType w:val="hybridMultilevel"/>
    <w:tmpl w:val="921A98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7A6671"/>
    <w:multiLevelType w:val="multilevel"/>
    <w:tmpl w:val="ADE6DF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4220AF8"/>
    <w:multiLevelType w:val="hybridMultilevel"/>
    <w:tmpl w:val="1D5EE914"/>
    <w:lvl w:ilvl="0" w:tplc="B4747604">
      <w:start w:val="1"/>
      <w:numFmt w:val="bullet"/>
      <w:lvlText w:val="-"/>
      <w:lvlJc w:val="left"/>
      <w:pPr>
        <w:ind w:left="720" w:hanging="360"/>
      </w:pPr>
      <w:rPr>
        <w:rFonts w:ascii="Palatino Linotype" w:eastAsia="Palatino Linotype" w:hAnsi="Palatino Linotype"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79F53E5"/>
    <w:multiLevelType w:val="hybridMultilevel"/>
    <w:tmpl w:val="5B925F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B1B1637"/>
    <w:multiLevelType w:val="multilevel"/>
    <w:tmpl w:val="ED00A788"/>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0" w15:restartNumberingAfterBreak="0">
    <w:nsid w:val="321755E0"/>
    <w:multiLevelType w:val="multilevel"/>
    <w:tmpl w:val="83BE75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33CF510F"/>
    <w:multiLevelType w:val="hybridMultilevel"/>
    <w:tmpl w:val="B9FEFB96"/>
    <w:lvl w:ilvl="0" w:tplc="32AA12F6">
      <w:start w:val="1"/>
      <w:numFmt w:val="bullet"/>
      <w:lvlText w:val="-"/>
      <w:lvlJc w:val="left"/>
      <w:pPr>
        <w:ind w:left="720" w:hanging="360"/>
      </w:pPr>
      <w:rPr>
        <w:rFonts w:ascii="Palatino Linotype" w:eastAsia="Palatino Linotype" w:hAnsi="Palatino Linotype"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3F915F3"/>
    <w:multiLevelType w:val="multilevel"/>
    <w:tmpl w:val="0DF27490"/>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34317490"/>
    <w:multiLevelType w:val="hybridMultilevel"/>
    <w:tmpl w:val="5ECC0B94"/>
    <w:lvl w:ilvl="0" w:tplc="7EE0C6EC">
      <w:start w:val="1"/>
      <w:numFmt w:val="decimal"/>
      <w:lvlText w:val="%1."/>
      <w:lvlJc w:val="left"/>
      <w:pPr>
        <w:ind w:left="0" w:firstLine="0"/>
      </w:pPr>
      <w:rPr>
        <w:rFonts w:ascii="Palatino Linotype" w:hAnsi="Palatino Linotype" w:hint="default"/>
        <w:b/>
        <w:i w:val="0"/>
        <w:sz w:val="24"/>
      </w:rPr>
    </w:lvl>
    <w:lvl w:ilvl="1" w:tplc="080A0017">
      <w:start w:val="1"/>
      <w:numFmt w:val="lowerLetter"/>
      <w:lvlText w:val="%2)"/>
      <w:lvlJc w:val="left"/>
      <w:pPr>
        <w:ind w:left="1440" w:hanging="360"/>
      </w:pPr>
      <w:rPr>
        <w:b/>
        <w:bCs/>
        <w:i w:val="0"/>
        <w:iCs w:val="0"/>
      </w:rPr>
    </w:lvl>
    <w:lvl w:ilvl="2" w:tplc="080A000B">
      <w:start w:val="1"/>
      <w:numFmt w:val="bullet"/>
      <w:lvlText w:val=""/>
      <w:lvlJc w:val="left"/>
      <w:pPr>
        <w:ind w:left="2340" w:hanging="360"/>
      </w:pPr>
      <w:rPr>
        <w:rFonts w:ascii="Wingdings" w:hAnsi="Wingdings" w:cs="Wingdings" w:hint="default"/>
        <w:strike w:val="0"/>
        <w:dstrike w:val="0"/>
        <w:u w:val="none"/>
        <w:effect w:val="none"/>
      </w:r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4" w15:restartNumberingAfterBreak="0">
    <w:nsid w:val="3A92315F"/>
    <w:multiLevelType w:val="multilevel"/>
    <w:tmpl w:val="99A83CD6"/>
    <w:lvl w:ilvl="0">
      <w:start w:val="1"/>
      <w:numFmt w:val="decimal"/>
      <w:lvlText w:val="%1."/>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449F3D7A"/>
    <w:multiLevelType w:val="hybridMultilevel"/>
    <w:tmpl w:val="0CA20CDE"/>
    <w:lvl w:ilvl="0" w:tplc="16426A2E">
      <w:start w:val="1"/>
      <w:numFmt w:val="lowerLetter"/>
      <w:lvlText w:val="%1)"/>
      <w:lvlJc w:val="left"/>
      <w:pPr>
        <w:ind w:left="720" w:hanging="360"/>
      </w:pPr>
      <w:rPr>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A2462AF"/>
    <w:multiLevelType w:val="hybridMultilevel"/>
    <w:tmpl w:val="B6264270"/>
    <w:lvl w:ilvl="0" w:tplc="332CAE48">
      <w:start w:val="7"/>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5AA10D7A"/>
    <w:multiLevelType w:val="multilevel"/>
    <w:tmpl w:val="481A7F5A"/>
    <w:lvl w:ilvl="0">
      <w:start w:val="1"/>
      <w:numFmt w:val="decimal"/>
      <w:lvlText w:val="%1."/>
      <w:lvlJc w:val="left"/>
      <w:pPr>
        <w:ind w:left="644" w:hanging="358"/>
      </w:pPr>
    </w:lvl>
    <w:lvl w:ilvl="1">
      <w:start w:val="1"/>
      <w:numFmt w:val="lowerLetter"/>
      <w:lvlText w:val="%2."/>
      <w:lvlJc w:val="left"/>
      <w:pPr>
        <w:ind w:left="1364" w:hanging="360"/>
      </w:pPr>
      <w:rPr>
        <w:sz w:val="14"/>
        <w:szCs w:val="14"/>
      </w:r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18" w15:restartNumberingAfterBreak="0">
    <w:nsid w:val="5C0451FF"/>
    <w:multiLevelType w:val="hybridMultilevel"/>
    <w:tmpl w:val="A65822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3EA48C9"/>
    <w:multiLevelType w:val="multilevel"/>
    <w:tmpl w:val="FFD42C9A"/>
    <w:lvl w:ilvl="0">
      <w:start w:val="1"/>
      <w:numFmt w:val="lowerLetter"/>
      <w:lvlText w:val="%1."/>
      <w:lvlJc w:val="left"/>
      <w:pPr>
        <w:ind w:left="1776" w:hanging="360"/>
      </w:pPr>
    </w:lvl>
    <w:lvl w:ilvl="1">
      <w:start w:val="1"/>
      <w:numFmt w:val="bullet"/>
      <w:lvlText w:val="o"/>
      <w:lvlJc w:val="left"/>
      <w:pPr>
        <w:ind w:left="2496" w:hanging="360"/>
      </w:pPr>
      <w:rPr>
        <w:rFonts w:ascii="Courier New" w:eastAsia="Courier New" w:hAnsi="Courier New" w:cs="Courier New"/>
      </w:rPr>
    </w:lvl>
    <w:lvl w:ilvl="2">
      <w:start w:val="1"/>
      <w:numFmt w:val="bullet"/>
      <w:lvlText w:val="▪"/>
      <w:lvlJc w:val="left"/>
      <w:pPr>
        <w:ind w:left="3216" w:hanging="360"/>
      </w:pPr>
      <w:rPr>
        <w:rFonts w:ascii="Noto Sans Symbols" w:eastAsia="Noto Sans Symbols" w:hAnsi="Noto Sans Symbols" w:cs="Noto Sans Symbols"/>
      </w:rPr>
    </w:lvl>
    <w:lvl w:ilvl="3">
      <w:start w:val="1"/>
      <w:numFmt w:val="bullet"/>
      <w:lvlText w:val="●"/>
      <w:lvlJc w:val="left"/>
      <w:pPr>
        <w:ind w:left="3936" w:hanging="360"/>
      </w:pPr>
      <w:rPr>
        <w:rFonts w:ascii="Noto Sans Symbols" w:eastAsia="Noto Sans Symbols" w:hAnsi="Noto Sans Symbols" w:cs="Noto Sans Symbols"/>
      </w:rPr>
    </w:lvl>
    <w:lvl w:ilvl="4">
      <w:start w:val="1"/>
      <w:numFmt w:val="bullet"/>
      <w:lvlText w:val="o"/>
      <w:lvlJc w:val="left"/>
      <w:pPr>
        <w:ind w:left="4656" w:hanging="360"/>
      </w:pPr>
      <w:rPr>
        <w:rFonts w:ascii="Courier New" w:eastAsia="Courier New" w:hAnsi="Courier New" w:cs="Courier New"/>
      </w:rPr>
    </w:lvl>
    <w:lvl w:ilvl="5">
      <w:start w:val="1"/>
      <w:numFmt w:val="bullet"/>
      <w:lvlText w:val="▪"/>
      <w:lvlJc w:val="left"/>
      <w:pPr>
        <w:ind w:left="5376" w:hanging="360"/>
      </w:pPr>
      <w:rPr>
        <w:rFonts w:ascii="Noto Sans Symbols" w:eastAsia="Noto Sans Symbols" w:hAnsi="Noto Sans Symbols" w:cs="Noto Sans Symbols"/>
      </w:rPr>
    </w:lvl>
    <w:lvl w:ilvl="6">
      <w:start w:val="1"/>
      <w:numFmt w:val="bullet"/>
      <w:lvlText w:val="●"/>
      <w:lvlJc w:val="left"/>
      <w:pPr>
        <w:ind w:left="6096" w:hanging="360"/>
      </w:pPr>
      <w:rPr>
        <w:rFonts w:ascii="Noto Sans Symbols" w:eastAsia="Noto Sans Symbols" w:hAnsi="Noto Sans Symbols" w:cs="Noto Sans Symbols"/>
      </w:rPr>
    </w:lvl>
    <w:lvl w:ilvl="7">
      <w:start w:val="1"/>
      <w:numFmt w:val="bullet"/>
      <w:lvlText w:val="o"/>
      <w:lvlJc w:val="left"/>
      <w:pPr>
        <w:ind w:left="6816" w:hanging="360"/>
      </w:pPr>
      <w:rPr>
        <w:rFonts w:ascii="Courier New" w:eastAsia="Courier New" w:hAnsi="Courier New" w:cs="Courier New"/>
      </w:rPr>
    </w:lvl>
    <w:lvl w:ilvl="8">
      <w:start w:val="1"/>
      <w:numFmt w:val="bullet"/>
      <w:lvlText w:val="▪"/>
      <w:lvlJc w:val="left"/>
      <w:pPr>
        <w:ind w:left="7536" w:hanging="360"/>
      </w:pPr>
      <w:rPr>
        <w:rFonts w:ascii="Noto Sans Symbols" w:eastAsia="Noto Sans Symbols" w:hAnsi="Noto Sans Symbols" w:cs="Noto Sans Symbols"/>
      </w:rPr>
    </w:lvl>
  </w:abstractNum>
  <w:abstractNum w:abstractNumId="20" w15:restartNumberingAfterBreak="0">
    <w:nsid w:val="64DB61B5"/>
    <w:multiLevelType w:val="hybridMultilevel"/>
    <w:tmpl w:val="1C7ACA34"/>
    <w:lvl w:ilvl="0" w:tplc="DE6C5B06">
      <w:start w:val="1"/>
      <w:numFmt w:val="upperRoman"/>
      <w:lvlText w:val="%1."/>
      <w:lvlJc w:val="left"/>
      <w:pPr>
        <w:ind w:left="1080" w:hanging="720"/>
      </w:pPr>
    </w:lvl>
    <w:lvl w:ilvl="1" w:tplc="E0E8D1C6">
      <w:start w:val="2"/>
      <w:numFmt w:val="bullet"/>
      <w:lvlText w:val="•"/>
      <w:lvlJc w:val="left"/>
      <w:pPr>
        <w:ind w:left="1440" w:hanging="360"/>
      </w:pPr>
      <w:rPr>
        <w:rFonts w:ascii="Palatino Linotype" w:eastAsia="Times New Roman" w:hAnsi="Palatino Linotype" w:cs="Tahoma" w:hint="default"/>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1" w15:restartNumberingAfterBreak="0">
    <w:nsid w:val="73A8548D"/>
    <w:multiLevelType w:val="multilevel"/>
    <w:tmpl w:val="D1F2CB3E"/>
    <w:lvl w:ilvl="0">
      <w:start w:val="1"/>
      <w:numFmt w:val="upperRoman"/>
      <w:lvlText w:val="%1."/>
      <w:lvlJc w:val="left"/>
      <w:pPr>
        <w:ind w:left="1571" w:hanging="720"/>
      </w:p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22" w15:restartNumberingAfterBreak="0">
    <w:nsid w:val="754E7BE5"/>
    <w:multiLevelType w:val="multilevel"/>
    <w:tmpl w:val="ADE832FE"/>
    <w:lvl w:ilvl="0">
      <w:start w:val="1"/>
      <w:numFmt w:val="decimal"/>
      <w:lvlText w:val="%1."/>
      <w:lvlJc w:val="left"/>
      <w:pPr>
        <w:ind w:left="644" w:hanging="358"/>
      </w:pPr>
      <w:rPr>
        <w:sz w:val="14"/>
        <w:szCs w:val="14"/>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23" w15:restartNumberingAfterBreak="0">
    <w:nsid w:val="78716C0E"/>
    <w:multiLevelType w:val="hybridMultilevel"/>
    <w:tmpl w:val="6AF0E5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D2A7C76"/>
    <w:multiLevelType w:val="multilevel"/>
    <w:tmpl w:val="11BA59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7E775D35"/>
    <w:multiLevelType w:val="hybridMultilevel"/>
    <w:tmpl w:val="220A19F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7FA10B0E"/>
    <w:multiLevelType w:val="hybridMultilevel"/>
    <w:tmpl w:val="9B16261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24"/>
  </w:num>
  <w:num w:numId="3">
    <w:abstractNumId w:val="3"/>
  </w:num>
  <w:num w:numId="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3"/>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0"/>
  </w:num>
  <w:num w:numId="8">
    <w:abstractNumId w:val="0"/>
  </w:num>
  <w:num w:numId="9">
    <w:abstractNumId w:val="7"/>
  </w:num>
  <w:num w:numId="10">
    <w:abstractNumId w:val="4"/>
  </w:num>
  <w:num w:numId="11">
    <w:abstractNumId w:val="11"/>
  </w:num>
  <w:num w:numId="12">
    <w:abstractNumId w:val="13"/>
  </w:num>
  <w:num w:numId="13">
    <w:abstractNumId w:val="25"/>
  </w:num>
  <w:num w:numId="14">
    <w:abstractNumId w:val="16"/>
  </w:num>
  <w:num w:numId="15">
    <w:abstractNumId w:val="23"/>
  </w:num>
  <w:num w:numId="16">
    <w:abstractNumId w:val="8"/>
  </w:num>
  <w:num w:numId="17">
    <w:abstractNumId w:val="5"/>
  </w:num>
  <w:num w:numId="18">
    <w:abstractNumId w:val="18"/>
  </w:num>
  <w:num w:numId="19">
    <w:abstractNumId w:val="21"/>
  </w:num>
  <w:num w:numId="20">
    <w:abstractNumId w:val="19"/>
  </w:num>
  <w:num w:numId="21">
    <w:abstractNumId w:val="10"/>
  </w:num>
  <w:num w:numId="22">
    <w:abstractNumId w:val="22"/>
  </w:num>
  <w:num w:numId="23">
    <w:abstractNumId w:val="17"/>
  </w:num>
  <w:num w:numId="24">
    <w:abstractNumId w:val="12"/>
  </w:num>
  <w:num w:numId="25">
    <w:abstractNumId w:val="14"/>
  </w:num>
  <w:num w:numId="26">
    <w:abstractNumId w:val="26"/>
  </w:num>
  <w:num w:numId="27">
    <w:abstractNumId w:val="15"/>
  </w:num>
  <w:num w:numId="28">
    <w:abstractNumId w:val="1"/>
  </w:num>
  <w:num w:numId="2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49BF"/>
    <w:rsid w:val="00035093"/>
    <w:rsid w:val="00056D9A"/>
    <w:rsid w:val="00065B6B"/>
    <w:rsid w:val="00071D71"/>
    <w:rsid w:val="00076A2B"/>
    <w:rsid w:val="0009676C"/>
    <w:rsid w:val="000A398F"/>
    <w:rsid w:val="000A6D6B"/>
    <w:rsid w:val="000D711D"/>
    <w:rsid w:val="001049B3"/>
    <w:rsid w:val="00126725"/>
    <w:rsid w:val="001449BF"/>
    <w:rsid w:val="0015776D"/>
    <w:rsid w:val="001E5501"/>
    <w:rsid w:val="00237105"/>
    <w:rsid w:val="0023716A"/>
    <w:rsid w:val="00243B51"/>
    <w:rsid w:val="00250C62"/>
    <w:rsid w:val="00292BEE"/>
    <w:rsid w:val="002A70B9"/>
    <w:rsid w:val="002B2A93"/>
    <w:rsid w:val="002B35BB"/>
    <w:rsid w:val="002C61A3"/>
    <w:rsid w:val="002E2F87"/>
    <w:rsid w:val="00311939"/>
    <w:rsid w:val="00333EDB"/>
    <w:rsid w:val="003615FC"/>
    <w:rsid w:val="0037055D"/>
    <w:rsid w:val="0037162B"/>
    <w:rsid w:val="003770E0"/>
    <w:rsid w:val="00387B64"/>
    <w:rsid w:val="0039028B"/>
    <w:rsid w:val="003B3B18"/>
    <w:rsid w:val="003C264B"/>
    <w:rsid w:val="003C4073"/>
    <w:rsid w:val="003E0D73"/>
    <w:rsid w:val="003E4484"/>
    <w:rsid w:val="003F6323"/>
    <w:rsid w:val="00403EAF"/>
    <w:rsid w:val="00407E82"/>
    <w:rsid w:val="00417ECD"/>
    <w:rsid w:val="00422B95"/>
    <w:rsid w:val="004360E2"/>
    <w:rsid w:val="00451D9E"/>
    <w:rsid w:val="00464DC4"/>
    <w:rsid w:val="0047093D"/>
    <w:rsid w:val="0047540A"/>
    <w:rsid w:val="004922AD"/>
    <w:rsid w:val="004A71D1"/>
    <w:rsid w:val="004B35AA"/>
    <w:rsid w:val="004C2263"/>
    <w:rsid w:val="004C30DE"/>
    <w:rsid w:val="004D6502"/>
    <w:rsid w:val="004F0385"/>
    <w:rsid w:val="0052237A"/>
    <w:rsid w:val="00522870"/>
    <w:rsid w:val="00525080"/>
    <w:rsid w:val="0053614D"/>
    <w:rsid w:val="005459E3"/>
    <w:rsid w:val="005477FC"/>
    <w:rsid w:val="00550A43"/>
    <w:rsid w:val="0058717C"/>
    <w:rsid w:val="005968DA"/>
    <w:rsid w:val="005C0167"/>
    <w:rsid w:val="005D21BB"/>
    <w:rsid w:val="005E1C3F"/>
    <w:rsid w:val="005E6958"/>
    <w:rsid w:val="005F695A"/>
    <w:rsid w:val="00607E41"/>
    <w:rsid w:val="00612F4B"/>
    <w:rsid w:val="00613237"/>
    <w:rsid w:val="00614A90"/>
    <w:rsid w:val="00616C37"/>
    <w:rsid w:val="006265A2"/>
    <w:rsid w:val="0064073C"/>
    <w:rsid w:val="0065037A"/>
    <w:rsid w:val="006A3C93"/>
    <w:rsid w:val="006B5DE4"/>
    <w:rsid w:val="00753FE4"/>
    <w:rsid w:val="0075616C"/>
    <w:rsid w:val="007959E3"/>
    <w:rsid w:val="007C77ED"/>
    <w:rsid w:val="007D0014"/>
    <w:rsid w:val="007D528C"/>
    <w:rsid w:val="007E0DAB"/>
    <w:rsid w:val="007E53ED"/>
    <w:rsid w:val="00817B52"/>
    <w:rsid w:val="00844830"/>
    <w:rsid w:val="00850213"/>
    <w:rsid w:val="008652B0"/>
    <w:rsid w:val="00890155"/>
    <w:rsid w:val="008F7E78"/>
    <w:rsid w:val="00952D0A"/>
    <w:rsid w:val="009539C4"/>
    <w:rsid w:val="00974E5F"/>
    <w:rsid w:val="009C78C4"/>
    <w:rsid w:val="009C7C34"/>
    <w:rsid w:val="009D1E8D"/>
    <w:rsid w:val="00A37B77"/>
    <w:rsid w:val="00A47C05"/>
    <w:rsid w:val="00A6601D"/>
    <w:rsid w:val="00A741A0"/>
    <w:rsid w:val="00AD6E10"/>
    <w:rsid w:val="00AF3770"/>
    <w:rsid w:val="00B03154"/>
    <w:rsid w:val="00B07BD2"/>
    <w:rsid w:val="00B340C0"/>
    <w:rsid w:val="00B3525E"/>
    <w:rsid w:val="00B558FB"/>
    <w:rsid w:val="00B67963"/>
    <w:rsid w:val="00B765E8"/>
    <w:rsid w:val="00BC4463"/>
    <w:rsid w:val="00BF3539"/>
    <w:rsid w:val="00C20A83"/>
    <w:rsid w:val="00C246A9"/>
    <w:rsid w:val="00C67D96"/>
    <w:rsid w:val="00C90035"/>
    <w:rsid w:val="00C9350B"/>
    <w:rsid w:val="00C94DE7"/>
    <w:rsid w:val="00CA28C1"/>
    <w:rsid w:val="00CC16E3"/>
    <w:rsid w:val="00CC6195"/>
    <w:rsid w:val="00CE5A1D"/>
    <w:rsid w:val="00CF382C"/>
    <w:rsid w:val="00D10F70"/>
    <w:rsid w:val="00D2689B"/>
    <w:rsid w:val="00D36C26"/>
    <w:rsid w:val="00D375C4"/>
    <w:rsid w:val="00D63367"/>
    <w:rsid w:val="00D656AA"/>
    <w:rsid w:val="00D77FDB"/>
    <w:rsid w:val="00D869D8"/>
    <w:rsid w:val="00D8769B"/>
    <w:rsid w:val="00DB4CFD"/>
    <w:rsid w:val="00DD61EF"/>
    <w:rsid w:val="00E019C3"/>
    <w:rsid w:val="00E158C7"/>
    <w:rsid w:val="00E34ABD"/>
    <w:rsid w:val="00E44131"/>
    <w:rsid w:val="00E50BE6"/>
    <w:rsid w:val="00E836FD"/>
    <w:rsid w:val="00E9006A"/>
    <w:rsid w:val="00E90816"/>
    <w:rsid w:val="00E9517F"/>
    <w:rsid w:val="00EA5D87"/>
    <w:rsid w:val="00EB5B84"/>
    <w:rsid w:val="00EC3B3B"/>
    <w:rsid w:val="00ED13F2"/>
    <w:rsid w:val="00ED68A5"/>
    <w:rsid w:val="00EE5105"/>
    <w:rsid w:val="00EF5D72"/>
    <w:rsid w:val="00F22FE7"/>
    <w:rsid w:val="00F30335"/>
    <w:rsid w:val="00FB0FBD"/>
    <w:rsid w:val="00FC65E3"/>
    <w:rsid w:val="00FD7709"/>
    <w:rsid w:val="00FF460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B5C93CC-9374-4E87-8865-96FB132DE7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C3C64"/>
    <w:rPr>
      <w:lang w:eastAsia="es-ES"/>
    </w:rPr>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link w:val="Ttulo3Car"/>
    <w:uiPriority w:val="9"/>
    <w:qFormat/>
    <w:rsid w:val="002D2EAC"/>
    <w:pPr>
      <w:spacing w:before="100" w:beforeAutospacing="1" w:after="100" w:afterAutospacing="1"/>
      <w:outlineLvl w:val="2"/>
    </w:pPr>
    <w:rPr>
      <w:b/>
      <w:bCs/>
      <w:sz w:val="27"/>
      <w:szCs w:val="27"/>
      <w:lang w:val="es-MX" w:eastAsia="es-MX"/>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paragraph" w:styleId="Encabezado">
    <w:name w:val="header"/>
    <w:basedOn w:val="Normal"/>
    <w:link w:val="EncabezadoCar"/>
    <w:uiPriority w:val="99"/>
    <w:unhideWhenUsed/>
    <w:rsid w:val="00AC3C64"/>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AC3C64"/>
    <w:rPr>
      <w:rFonts w:eastAsiaTheme="minorEastAsia"/>
      <w:sz w:val="24"/>
      <w:szCs w:val="24"/>
      <w:lang w:val="es-ES_tradnl" w:eastAsia="es-ES"/>
    </w:rPr>
  </w:style>
  <w:style w:type="paragraph" w:styleId="Piedepgina">
    <w:name w:val="footer"/>
    <w:basedOn w:val="Normal"/>
    <w:link w:val="PiedepginaCar"/>
    <w:uiPriority w:val="99"/>
    <w:unhideWhenUsed/>
    <w:rsid w:val="00AC3C64"/>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AC3C64"/>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C3C6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C3C64"/>
    <w:pPr>
      <w:ind w:left="708"/>
    </w:pPr>
    <w:rPr>
      <w:sz w:val="22"/>
      <w:szCs w:val="22"/>
      <w:lang w:eastAsia="en-US"/>
    </w:rPr>
  </w:style>
  <w:style w:type="table" w:styleId="Tablaconcuadrcula">
    <w:name w:val="Table Grid"/>
    <w:basedOn w:val="Tablanormal"/>
    <w:uiPriority w:val="59"/>
    <w:rsid w:val="00AC3C64"/>
    <w:rPr>
      <w:rFonts w:eastAsiaTheme="minorEastAsia"/>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Fuentedeprrafopredeter"/>
    <w:rsid w:val="00AC3C64"/>
  </w:style>
  <w:style w:type="character" w:customStyle="1" w:styleId="apple-converted-space">
    <w:name w:val="apple-converted-space"/>
    <w:basedOn w:val="Fuentedeprrafopredeter"/>
    <w:rsid w:val="00AC3C64"/>
  </w:style>
  <w:style w:type="paragraph" w:customStyle="1" w:styleId="paragraph">
    <w:name w:val="paragraph"/>
    <w:basedOn w:val="Normal"/>
    <w:rsid w:val="00AC3C64"/>
    <w:pPr>
      <w:spacing w:before="100" w:beforeAutospacing="1" w:after="100" w:afterAutospacing="1"/>
    </w:pPr>
    <w:rPr>
      <w:lang w:val="es-MX" w:eastAsia="es-MX"/>
    </w:rPr>
  </w:style>
  <w:style w:type="character" w:customStyle="1" w:styleId="eop">
    <w:name w:val="eop"/>
    <w:basedOn w:val="Fuentedeprrafopredeter"/>
    <w:rsid w:val="00AC3C64"/>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AC3C64"/>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qFormat/>
    <w:rsid w:val="00AC3C64"/>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AC3C64"/>
    <w:rPr>
      <w:vertAlign w:val="superscript"/>
    </w:rPr>
  </w:style>
  <w:style w:type="character" w:styleId="Hipervnculo">
    <w:name w:val="Hyperlink"/>
    <w:basedOn w:val="Fuentedeprrafopredeter"/>
    <w:uiPriority w:val="99"/>
    <w:unhideWhenUsed/>
    <w:rsid w:val="00AC3C64"/>
    <w:rPr>
      <w:color w:val="0563C1" w:themeColor="hyperlink"/>
      <w:u w:val="single"/>
    </w:rPr>
  </w:style>
  <w:style w:type="paragraph" w:styleId="NormalWeb">
    <w:name w:val="Normal (Web)"/>
    <w:basedOn w:val="Normal"/>
    <w:uiPriority w:val="99"/>
    <w:unhideWhenUsed/>
    <w:rsid w:val="00AC3C64"/>
    <w:pPr>
      <w:spacing w:before="100" w:beforeAutospacing="1" w:after="100" w:afterAutospacing="1"/>
    </w:pPr>
    <w:rPr>
      <w:lang w:val="es-MX" w:eastAsia="es-MX"/>
    </w:rPr>
  </w:style>
  <w:style w:type="character" w:customStyle="1" w:styleId="Ttulo3Car">
    <w:name w:val="Título 3 Car"/>
    <w:basedOn w:val="Fuentedeprrafopredeter"/>
    <w:link w:val="Ttulo3"/>
    <w:uiPriority w:val="9"/>
    <w:rsid w:val="002D2EAC"/>
    <w:rPr>
      <w:rFonts w:ascii="Times New Roman" w:eastAsia="Times New Roman" w:hAnsi="Times New Roman" w:cs="Times New Roman"/>
      <w:b/>
      <w:bCs/>
      <w:sz w:val="27"/>
      <w:szCs w:val="27"/>
      <w:lang w:eastAsia="es-MX"/>
    </w:rPr>
  </w:style>
  <w:style w:type="character" w:customStyle="1" w:styleId="titulorubro">
    <w:name w:val="titulorubro"/>
    <w:basedOn w:val="Fuentedeprrafopredeter"/>
    <w:rsid w:val="002D2EAC"/>
  </w:style>
  <w:style w:type="paragraph" w:styleId="Textoindependiente">
    <w:name w:val="Body Text"/>
    <w:basedOn w:val="Normal"/>
    <w:link w:val="TextoindependienteCar"/>
    <w:uiPriority w:val="1"/>
    <w:qFormat/>
    <w:rsid w:val="006F3C93"/>
    <w:pPr>
      <w:autoSpaceDE w:val="0"/>
      <w:autoSpaceDN w:val="0"/>
      <w:adjustRightInd w:val="0"/>
      <w:ind w:left="93"/>
    </w:pPr>
    <w:rPr>
      <w:rFonts w:eastAsiaTheme="minorHAnsi"/>
      <w:sz w:val="23"/>
      <w:szCs w:val="23"/>
      <w:lang w:val="es-MX" w:eastAsia="en-US"/>
    </w:rPr>
  </w:style>
  <w:style w:type="character" w:customStyle="1" w:styleId="TextoindependienteCar">
    <w:name w:val="Texto independiente Car"/>
    <w:basedOn w:val="Fuentedeprrafopredeter"/>
    <w:link w:val="Textoindependiente"/>
    <w:uiPriority w:val="1"/>
    <w:rsid w:val="006F3C93"/>
    <w:rPr>
      <w:rFonts w:ascii="Times New Roman" w:hAnsi="Times New Roman" w:cs="Times New Roman"/>
      <w:sz w:val="23"/>
      <w:szCs w:val="23"/>
    </w:rPr>
  </w:style>
  <w:style w:type="paragraph" w:styleId="Textodeglobo">
    <w:name w:val="Balloon Text"/>
    <w:basedOn w:val="Normal"/>
    <w:link w:val="TextodegloboCar"/>
    <w:uiPriority w:val="99"/>
    <w:semiHidden/>
    <w:unhideWhenUsed/>
    <w:rsid w:val="00A037B6"/>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037B6"/>
    <w:rPr>
      <w:rFonts w:ascii="Segoe UI" w:eastAsia="Times New Roman" w:hAnsi="Segoe UI" w:cs="Segoe UI"/>
      <w:sz w:val="18"/>
      <w:szCs w:val="18"/>
      <w:lang w:val="es-ES" w:eastAsia="es-ES"/>
    </w:rPr>
  </w:style>
  <w:style w:type="paragraph" w:customStyle="1" w:styleId="Pa1">
    <w:name w:val="Pa1"/>
    <w:basedOn w:val="Normal"/>
    <w:next w:val="Normal"/>
    <w:uiPriority w:val="99"/>
    <w:rsid w:val="0074718F"/>
    <w:pPr>
      <w:autoSpaceDE w:val="0"/>
      <w:autoSpaceDN w:val="0"/>
      <w:adjustRightInd w:val="0"/>
      <w:spacing w:line="191" w:lineRule="atLeast"/>
    </w:pPr>
    <w:rPr>
      <w:rFonts w:ascii="Helvetica" w:eastAsiaTheme="minorHAnsi" w:hAnsi="Helvetica" w:cs="Helvetica"/>
      <w:lang w:val="es-MX" w:eastAsia="en-US"/>
    </w:rPr>
  </w:style>
  <w:style w:type="paragraph" w:customStyle="1" w:styleId="Pa2">
    <w:name w:val="Pa2"/>
    <w:basedOn w:val="Normal"/>
    <w:next w:val="Normal"/>
    <w:uiPriority w:val="99"/>
    <w:rsid w:val="0074718F"/>
    <w:pPr>
      <w:autoSpaceDE w:val="0"/>
      <w:autoSpaceDN w:val="0"/>
      <w:adjustRightInd w:val="0"/>
      <w:spacing w:line="191" w:lineRule="atLeast"/>
    </w:pPr>
    <w:rPr>
      <w:rFonts w:ascii="Helvetica" w:eastAsiaTheme="minorHAnsi" w:hAnsi="Helvetica" w:cs="Helvetica"/>
      <w:lang w:val="es-MX" w:eastAsia="en-US"/>
    </w:rPr>
  </w:style>
  <w:style w:type="paragraph" w:customStyle="1" w:styleId="Pa3">
    <w:name w:val="Pa3"/>
    <w:basedOn w:val="Normal"/>
    <w:next w:val="Normal"/>
    <w:uiPriority w:val="99"/>
    <w:rsid w:val="0074718F"/>
    <w:pPr>
      <w:autoSpaceDE w:val="0"/>
      <w:autoSpaceDN w:val="0"/>
      <w:adjustRightInd w:val="0"/>
      <w:spacing w:line="191" w:lineRule="atLeast"/>
    </w:pPr>
    <w:rPr>
      <w:rFonts w:ascii="Helvetica" w:eastAsiaTheme="minorHAnsi" w:hAnsi="Helvetica" w:cs="Helvetica"/>
      <w:lang w:val="es-MX" w:eastAsia="en-US"/>
    </w:rPr>
  </w:style>
  <w:style w:type="paragraph" w:styleId="Sinespaciado">
    <w:name w:val="No Spacing"/>
    <w:aliases w:val="Francesa,INAI"/>
    <w:link w:val="SinespaciadoCar"/>
    <w:uiPriority w:val="1"/>
    <w:qFormat/>
    <w:rsid w:val="00CE2CFE"/>
  </w:style>
  <w:style w:type="character" w:customStyle="1" w:styleId="SinespaciadoCar">
    <w:name w:val="Sin espaciado Car"/>
    <w:aliases w:val="Francesa Car,INAI Car"/>
    <w:link w:val="Sinespaciado"/>
    <w:uiPriority w:val="1"/>
    <w:locked/>
    <w:rsid w:val="00CE2CFE"/>
  </w:style>
  <w:style w:type="table" w:styleId="Tabladelista1clara-nfasis1">
    <w:name w:val="List Table 1 Light Accent 1"/>
    <w:basedOn w:val="Tablanormal"/>
    <w:uiPriority w:val="46"/>
    <w:rsid w:val="00D30935"/>
    <w:rPr>
      <w:rFonts w:eastAsiaTheme="minorEastAsia"/>
      <w:lang w:val="es-ES_tradnl" w:eastAsia="es-ES"/>
    </w:r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08" w:type="dxa"/>
        <w:right w:w="108"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character" w:customStyle="1" w:styleId="TextonotapieCar1">
    <w:name w:val="Texto nota pie Car1"/>
    <w:aliases w:val="Footnote Text Char Char Char Char Char Car1,Footnote Text Char Char Char Char Car1,Footnote reference Car1,FA Fu Car1,Footnote Text Char Char Char Car1,Footnote Text Cha Car1,FA Fußnotentext Car1,FA Fu?notentext Car1,Ca Car,ADB Car"/>
    <w:uiPriority w:val="99"/>
    <w:rsid w:val="00550A43"/>
    <w:rPr>
      <w:rFonts w:ascii="Times New Roman" w:eastAsia="Times New Roman" w:hAnsi="Times New Roman"/>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9345271">
      <w:bodyDiv w:val="1"/>
      <w:marLeft w:val="0"/>
      <w:marRight w:val="0"/>
      <w:marTop w:val="0"/>
      <w:marBottom w:val="0"/>
      <w:divBdr>
        <w:top w:val="none" w:sz="0" w:space="0" w:color="auto"/>
        <w:left w:val="none" w:sz="0" w:space="0" w:color="auto"/>
        <w:bottom w:val="none" w:sz="0" w:space="0" w:color="auto"/>
        <w:right w:val="none" w:sz="0" w:space="0" w:color="auto"/>
      </w:divBdr>
    </w:div>
    <w:div w:id="164823933">
      <w:bodyDiv w:val="1"/>
      <w:marLeft w:val="0"/>
      <w:marRight w:val="0"/>
      <w:marTop w:val="0"/>
      <w:marBottom w:val="0"/>
      <w:divBdr>
        <w:top w:val="none" w:sz="0" w:space="0" w:color="auto"/>
        <w:left w:val="none" w:sz="0" w:space="0" w:color="auto"/>
        <w:bottom w:val="none" w:sz="0" w:space="0" w:color="auto"/>
        <w:right w:val="none" w:sz="0" w:space="0" w:color="auto"/>
      </w:divBdr>
    </w:div>
    <w:div w:id="167907018">
      <w:bodyDiv w:val="1"/>
      <w:marLeft w:val="0"/>
      <w:marRight w:val="0"/>
      <w:marTop w:val="0"/>
      <w:marBottom w:val="0"/>
      <w:divBdr>
        <w:top w:val="none" w:sz="0" w:space="0" w:color="auto"/>
        <w:left w:val="none" w:sz="0" w:space="0" w:color="auto"/>
        <w:bottom w:val="none" w:sz="0" w:space="0" w:color="auto"/>
        <w:right w:val="none" w:sz="0" w:space="0" w:color="auto"/>
      </w:divBdr>
    </w:div>
    <w:div w:id="360398235">
      <w:bodyDiv w:val="1"/>
      <w:marLeft w:val="0"/>
      <w:marRight w:val="0"/>
      <w:marTop w:val="0"/>
      <w:marBottom w:val="0"/>
      <w:divBdr>
        <w:top w:val="none" w:sz="0" w:space="0" w:color="auto"/>
        <w:left w:val="none" w:sz="0" w:space="0" w:color="auto"/>
        <w:bottom w:val="none" w:sz="0" w:space="0" w:color="auto"/>
        <w:right w:val="none" w:sz="0" w:space="0" w:color="auto"/>
      </w:divBdr>
    </w:div>
    <w:div w:id="645933739">
      <w:bodyDiv w:val="1"/>
      <w:marLeft w:val="0"/>
      <w:marRight w:val="0"/>
      <w:marTop w:val="0"/>
      <w:marBottom w:val="0"/>
      <w:divBdr>
        <w:top w:val="none" w:sz="0" w:space="0" w:color="auto"/>
        <w:left w:val="none" w:sz="0" w:space="0" w:color="auto"/>
        <w:bottom w:val="none" w:sz="0" w:space="0" w:color="auto"/>
        <w:right w:val="none" w:sz="0" w:space="0" w:color="auto"/>
      </w:divBdr>
    </w:div>
    <w:div w:id="699627474">
      <w:bodyDiv w:val="1"/>
      <w:marLeft w:val="0"/>
      <w:marRight w:val="0"/>
      <w:marTop w:val="0"/>
      <w:marBottom w:val="0"/>
      <w:divBdr>
        <w:top w:val="none" w:sz="0" w:space="0" w:color="auto"/>
        <w:left w:val="none" w:sz="0" w:space="0" w:color="auto"/>
        <w:bottom w:val="none" w:sz="0" w:space="0" w:color="auto"/>
        <w:right w:val="none" w:sz="0" w:space="0" w:color="auto"/>
      </w:divBdr>
      <w:divsChild>
        <w:div w:id="819541057">
          <w:marLeft w:val="0"/>
          <w:marRight w:val="0"/>
          <w:marTop w:val="0"/>
          <w:marBottom w:val="0"/>
          <w:divBdr>
            <w:top w:val="none" w:sz="0" w:space="0" w:color="auto"/>
            <w:left w:val="none" w:sz="0" w:space="0" w:color="auto"/>
            <w:bottom w:val="none" w:sz="0" w:space="0" w:color="auto"/>
            <w:right w:val="none" w:sz="0" w:space="0" w:color="auto"/>
          </w:divBdr>
          <w:divsChild>
            <w:div w:id="534003424">
              <w:marLeft w:val="-225"/>
              <w:marRight w:val="-225"/>
              <w:marTop w:val="0"/>
              <w:marBottom w:val="0"/>
              <w:divBdr>
                <w:top w:val="none" w:sz="0" w:space="0" w:color="auto"/>
                <w:left w:val="none" w:sz="0" w:space="0" w:color="auto"/>
                <w:bottom w:val="none" w:sz="0" w:space="0" w:color="auto"/>
                <w:right w:val="none" w:sz="0" w:space="0" w:color="auto"/>
              </w:divBdr>
            </w:div>
          </w:divsChild>
        </w:div>
        <w:div w:id="342635191">
          <w:marLeft w:val="0"/>
          <w:marRight w:val="0"/>
          <w:marTop w:val="0"/>
          <w:marBottom w:val="0"/>
          <w:divBdr>
            <w:top w:val="none" w:sz="0" w:space="0" w:color="auto"/>
            <w:left w:val="none" w:sz="0" w:space="0" w:color="auto"/>
            <w:bottom w:val="none" w:sz="0" w:space="0" w:color="auto"/>
            <w:right w:val="none" w:sz="0" w:space="0" w:color="auto"/>
          </w:divBdr>
          <w:divsChild>
            <w:div w:id="1756970386">
              <w:marLeft w:val="-225"/>
              <w:marRight w:val="-225"/>
              <w:marTop w:val="0"/>
              <w:marBottom w:val="0"/>
              <w:divBdr>
                <w:top w:val="none" w:sz="0" w:space="0" w:color="auto"/>
                <w:left w:val="none" w:sz="0" w:space="0" w:color="auto"/>
                <w:bottom w:val="none" w:sz="0" w:space="0" w:color="auto"/>
                <w:right w:val="none" w:sz="0" w:space="0" w:color="auto"/>
              </w:divBdr>
              <w:divsChild>
                <w:div w:id="1036125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6803494">
      <w:bodyDiv w:val="1"/>
      <w:marLeft w:val="0"/>
      <w:marRight w:val="0"/>
      <w:marTop w:val="0"/>
      <w:marBottom w:val="0"/>
      <w:divBdr>
        <w:top w:val="none" w:sz="0" w:space="0" w:color="auto"/>
        <w:left w:val="none" w:sz="0" w:space="0" w:color="auto"/>
        <w:bottom w:val="none" w:sz="0" w:space="0" w:color="auto"/>
        <w:right w:val="none" w:sz="0" w:space="0" w:color="auto"/>
      </w:divBdr>
    </w:div>
    <w:div w:id="1008479465">
      <w:bodyDiv w:val="1"/>
      <w:marLeft w:val="0"/>
      <w:marRight w:val="0"/>
      <w:marTop w:val="0"/>
      <w:marBottom w:val="0"/>
      <w:divBdr>
        <w:top w:val="none" w:sz="0" w:space="0" w:color="auto"/>
        <w:left w:val="none" w:sz="0" w:space="0" w:color="auto"/>
        <w:bottom w:val="none" w:sz="0" w:space="0" w:color="auto"/>
        <w:right w:val="none" w:sz="0" w:space="0" w:color="auto"/>
      </w:divBdr>
    </w:div>
    <w:div w:id="1070662969">
      <w:bodyDiv w:val="1"/>
      <w:marLeft w:val="0"/>
      <w:marRight w:val="0"/>
      <w:marTop w:val="0"/>
      <w:marBottom w:val="0"/>
      <w:divBdr>
        <w:top w:val="none" w:sz="0" w:space="0" w:color="auto"/>
        <w:left w:val="none" w:sz="0" w:space="0" w:color="auto"/>
        <w:bottom w:val="none" w:sz="0" w:space="0" w:color="auto"/>
        <w:right w:val="none" w:sz="0" w:space="0" w:color="auto"/>
      </w:divBdr>
    </w:div>
    <w:div w:id="1078987979">
      <w:bodyDiv w:val="1"/>
      <w:marLeft w:val="0"/>
      <w:marRight w:val="0"/>
      <w:marTop w:val="0"/>
      <w:marBottom w:val="0"/>
      <w:divBdr>
        <w:top w:val="none" w:sz="0" w:space="0" w:color="auto"/>
        <w:left w:val="none" w:sz="0" w:space="0" w:color="auto"/>
        <w:bottom w:val="none" w:sz="0" w:space="0" w:color="auto"/>
        <w:right w:val="none" w:sz="0" w:space="0" w:color="auto"/>
      </w:divBdr>
      <w:divsChild>
        <w:div w:id="2057120061">
          <w:marLeft w:val="0"/>
          <w:marRight w:val="0"/>
          <w:marTop w:val="0"/>
          <w:marBottom w:val="0"/>
          <w:divBdr>
            <w:top w:val="none" w:sz="0" w:space="0" w:color="auto"/>
            <w:left w:val="none" w:sz="0" w:space="0" w:color="auto"/>
            <w:bottom w:val="none" w:sz="0" w:space="0" w:color="auto"/>
            <w:right w:val="none" w:sz="0" w:space="0" w:color="auto"/>
          </w:divBdr>
        </w:div>
        <w:div w:id="792791132">
          <w:marLeft w:val="0"/>
          <w:marRight w:val="0"/>
          <w:marTop w:val="0"/>
          <w:marBottom w:val="0"/>
          <w:divBdr>
            <w:top w:val="none" w:sz="0" w:space="0" w:color="auto"/>
            <w:left w:val="none" w:sz="0" w:space="0" w:color="auto"/>
            <w:bottom w:val="none" w:sz="0" w:space="0" w:color="auto"/>
            <w:right w:val="none" w:sz="0" w:space="0" w:color="auto"/>
          </w:divBdr>
        </w:div>
      </w:divsChild>
    </w:div>
    <w:div w:id="1358627209">
      <w:bodyDiv w:val="1"/>
      <w:marLeft w:val="0"/>
      <w:marRight w:val="0"/>
      <w:marTop w:val="0"/>
      <w:marBottom w:val="0"/>
      <w:divBdr>
        <w:top w:val="none" w:sz="0" w:space="0" w:color="auto"/>
        <w:left w:val="none" w:sz="0" w:space="0" w:color="auto"/>
        <w:bottom w:val="none" w:sz="0" w:space="0" w:color="auto"/>
        <w:right w:val="none" w:sz="0" w:space="0" w:color="auto"/>
      </w:divBdr>
      <w:divsChild>
        <w:div w:id="1759717394">
          <w:marLeft w:val="0"/>
          <w:marRight w:val="0"/>
          <w:marTop w:val="0"/>
          <w:marBottom w:val="0"/>
          <w:divBdr>
            <w:top w:val="none" w:sz="0" w:space="0" w:color="auto"/>
            <w:left w:val="none" w:sz="0" w:space="0" w:color="auto"/>
            <w:bottom w:val="none" w:sz="0" w:space="0" w:color="auto"/>
            <w:right w:val="none" w:sz="0" w:space="0" w:color="auto"/>
          </w:divBdr>
          <w:divsChild>
            <w:div w:id="1022440050">
              <w:marLeft w:val="-225"/>
              <w:marRight w:val="-225"/>
              <w:marTop w:val="0"/>
              <w:marBottom w:val="0"/>
              <w:divBdr>
                <w:top w:val="none" w:sz="0" w:space="0" w:color="auto"/>
                <w:left w:val="none" w:sz="0" w:space="0" w:color="auto"/>
                <w:bottom w:val="none" w:sz="0" w:space="0" w:color="auto"/>
                <w:right w:val="none" w:sz="0" w:space="0" w:color="auto"/>
              </w:divBdr>
            </w:div>
          </w:divsChild>
        </w:div>
        <w:div w:id="1680161761">
          <w:marLeft w:val="0"/>
          <w:marRight w:val="0"/>
          <w:marTop w:val="0"/>
          <w:marBottom w:val="0"/>
          <w:divBdr>
            <w:top w:val="none" w:sz="0" w:space="0" w:color="auto"/>
            <w:left w:val="none" w:sz="0" w:space="0" w:color="auto"/>
            <w:bottom w:val="none" w:sz="0" w:space="0" w:color="auto"/>
            <w:right w:val="none" w:sz="0" w:space="0" w:color="auto"/>
          </w:divBdr>
          <w:divsChild>
            <w:div w:id="1679768643">
              <w:marLeft w:val="-225"/>
              <w:marRight w:val="-225"/>
              <w:marTop w:val="0"/>
              <w:marBottom w:val="0"/>
              <w:divBdr>
                <w:top w:val="none" w:sz="0" w:space="0" w:color="auto"/>
                <w:left w:val="none" w:sz="0" w:space="0" w:color="auto"/>
                <w:bottom w:val="none" w:sz="0" w:space="0" w:color="auto"/>
                <w:right w:val="none" w:sz="0" w:space="0" w:color="auto"/>
              </w:divBdr>
              <w:divsChild>
                <w:div w:id="1409352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4715583">
      <w:bodyDiv w:val="1"/>
      <w:marLeft w:val="0"/>
      <w:marRight w:val="0"/>
      <w:marTop w:val="0"/>
      <w:marBottom w:val="0"/>
      <w:divBdr>
        <w:top w:val="none" w:sz="0" w:space="0" w:color="auto"/>
        <w:left w:val="none" w:sz="0" w:space="0" w:color="auto"/>
        <w:bottom w:val="none" w:sz="0" w:space="0" w:color="auto"/>
        <w:right w:val="none" w:sz="0" w:space="0" w:color="auto"/>
      </w:divBdr>
      <w:divsChild>
        <w:div w:id="5522524">
          <w:marLeft w:val="0"/>
          <w:marRight w:val="0"/>
          <w:marTop w:val="0"/>
          <w:marBottom w:val="0"/>
          <w:divBdr>
            <w:top w:val="none" w:sz="0" w:space="0" w:color="auto"/>
            <w:left w:val="none" w:sz="0" w:space="0" w:color="auto"/>
            <w:bottom w:val="none" w:sz="0" w:space="0" w:color="auto"/>
            <w:right w:val="none" w:sz="0" w:space="0" w:color="auto"/>
          </w:divBdr>
        </w:div>
        <w:div w:id="369187498">
          <w:marLeft w:val="0"/>
          <w:marRight w:val="0"/>
          <w:marTop w:val="0"/>
          <w:marBottom w:val="0"/>
          <w:divBdr>
            <w:top w:val="none" w:sz="0" w:space="0" w:color="auto"/>
            <w:left w:val="none" w:sz="0" w:space="0" w:color="auto"/>
            <w:bottom w:val="none" w:sz="0" w:space="0" w:color="auto"/>
            <w:right w:val="none" w:sz="0" w:space="0" w:color="auto"/>
          </w:divBdr>
        </w:div>
        <w:div w:id="1604341737">
          <w:marLeft w:val="0"/>
          <w:marRight w:val="0"/>
          <w:marTop w:val="0"/>
          <w:marBottom w:val="0"/>
          <w:divBdr>
            <w:top w:val="none" w:sz="0" w:space="0" w:color="auto"/>
            <w:left w:val="none" w:sz="0" w:space="0" w:color="auto"/>
            <w:bottom w:val="none" w:sz="0" w:space="0" w:color="auto"/>
            <w:right w:val="none" w:sz="0" w:space="0" w:color="auto"/>
          </w:divBdr>
        </w:div>
        <w:div w:id="939609814">
          <w:marLeft w:val="0"/>
          <w:marRight w:val="0"/>
          <w:marTop w:val="0"/>
          <w:marBottom w:val="0"/>
          <w:divBdr>
            <w:top w:val="none" w:sz="0" w:space="0" w:color="auto"/>
            <w:left w:val="none" w:sz="0" w:space="0" w:color="auto"/>
            <w:bottom w:val="none" w:sz="0" w:space="0" w:color="auto"/>
            <w:right w:val="none" w:sz="0" w:space="0" w:color="auto"/>
          </w:divBdr>
        </w:div>
        <w:div w:id="423651702">
          <w:marLeft w:val="0"/>
          <w:marRight w:val="0"/>
          <w:marTop w:val="0"/>
          <w:marBottom w:val="0"/>
          <w:divBdr>
            <w:top w:val="none" w:sz="0" w:space="0" w:color="auto"/>
            <w:left w:val="none" w:sz="0" w:space="0" w:color="auto"/>
            <w:bottom w:val="none" w:sz="0" w:space="0" w:color="auto"/>
            <w:right w:val="none" w:sz="0" w:space="0" w:color="auto"/>
          </w:divBdr>
        </w:div>
        <w:div w:id="1831173474">
          <w:marLeft w:val="0"/>
          <w:marRight w:val="0"/>
          <w:marTop w:val="0"/>
          <w:marBottom w:val="0"/>
          <w:divBdr>
            <w:top w:val="none" w:sz="0" w:space="0" w:color="auto"/>
            <w:left w:val="none" w:sz="0" w:space="0" w:color="auto"/>
            <w:bottom w:val="none" w:sz="0" w:space="0" w:color="auto"/>
            <w:right w:val="none" w:sz="0" w:space="0" w:color="auto"/>
          </w:divBdr>
        </w:div>
      </w:divsChild>
    </w:div>
    <w:div w:id="1423838567">
      <w:bodyDiv w:val="1"/>
      <w:marLeft w:val="0"/>
      <w:marRight w:val="0"/>
      <w:marTop w:val="0"/>
      <w:marBottom w:val="0"/>
      <w:divBdr>
        <w:top w:val="none" w:sz="0" w:space="0" w:color="auto"/>
        <w:left w:val="none" w:sz="0" w:space="0" w:color="auto"/>
        <w:bottom w:val="none" w:sz="0" w:space="0" w:color="auto"/>
        <w:right w:val="none" w:sz="0" w:space="0" w:color="auto"/>
      </w:divBdr>
      <w:divsChild>
        <w:div w:id="1470054890">
          <w:marLeft w:val="0"/>
          <w:marRight w:val="0"/>
          <w:marTop w:val="0"/>
          <w:marBottom w:val="0"/>
          <w:divBdr>
            <w:top w:val="none" w:sz="0" w:space="0" w:color="auto"/>
            <w:left w:val="none" w:sz="0" w:space="0" w:color="auto"/>
            <w:bottom w:val="none" w:sz="0" w:space="0" w:color="auto"/>
            <w:right w:val="none" w:sz="0" w:space="0" w:color="auto"/>
          </w:divBdr>
        </w:div>
        <w:div w:id="1160195139">
          <w:marLeft w:val="0"/>
          <w:marRight w:val="0"/>
          <w:marTop w:val="0"/>
          <w:marBottom w:val="0"/>
          <w:divBdr>
            <w:top w:val="none" w:sz="0" w:space="0" w:color="auto"/>
            <w:left w:val="none" w:sz="0" w:space="0" w:color="auto"/>
            <w:bottom w:val="none" w:sz="0" w:space="0" w:color="auto"/>
            <w:right w:val="none" w:sz="0" w:space="0" w:color="auto"/>
          </w:divBdr>
        </w:div>
        <w:div w:id="194462019">
          <w:marLeft w:val="0"/>
          <w:marRight w:val="0"/>
          <w:marTop w:val="0"/>
          <w:marBottom w:val="0"/>
          <w:divBdr>
            <w:top w:val="none" w:sz="0" w:space="0" w:color="auto"/>
            <w:left w:val="none" w:sz="0" w:space="0" w:color="auto"/>
            <w:bottom w:val="none" w:sz="0" w:space="0" w:color="auto"/>
            <w:right w:val="none" w:sz="0" w:space="0" w:color="auto"/>
          </w:divBdr>
        </w:div>
      </w:divsChild>
    </w:div>
    <w:div w:id="2025665127">
      <w:bodyDiv w:val="1"/>
      <w:marLeft w:val="0"/>
      <w:marRight w:val="0"/>
      <w:marTop w:val="0"/>
      <w:marBottom w:val="0"/>
      <w:divBdr>
        <w:top w:val="none" w:sz="0" w:space="0" w:color="auto"/>
        <w:left w:val="none" w:sz="0" w:space="0" w:color="auto"/>
        <w:bottom w:val="none" w:sz="0" w:space="0" w:color="auto"/>
        <w:right w:val="none" w:sz="0" w:space="0" w:color="auto"/>
      </w:divBdr>
    </w:div>
    <w:div w:id="212372512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3.png"/><Relationship Id="rId3" Type="http://schemas.openxmlformats.org/officeDocument/2006/relationships/numbering" Target="numbering.xml"/><Relationship Id="rId21" Type="http://schemas.openxmlformats.org/officeDocument/2006/relationships/image" Target="media/image9.pn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s://saimex.org.mx/saimex/solicitud/downloadAttach/1410028.page" TargetMode="External"/><Relationship Id="rId17" Type="http://schemas.openxmlformats.org/officeDocument/2006/relationships/image" Target="media/image5.png"/><Relationship Id="rId25" Type="http://schemas.openxmlformats.org/officeDocument/2006/relationships/hyperlink" Target="https://docplayer.es/5455342-Nuevas-tecnologias-biometricas-instituto-nacional-de-ciencias-penales-procuraduria-general-de-la-republica-version-1-0.html" TargetMode="External"/><Relationship Id="rId33"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javascript:abrirAcuseRR('435617');" TargetMode="External"/><Relationship Id="rId24" Type="http://schemas.openxmlformats.org/officeDocument/2006/relationships/image" Target="media/image12.png"/><Relationship Id="rId32"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hyperlink" Target="https://www.ipomex.org.mx/recursos/ipo/files_ipo/2014/8/11/630bc7787b59af912a96a9e1bca1c770.pdf" TargetMode="External"/><Relationship Id="rId10" Type="http://schemas.openxmlformats.org/officeDocument/2006/relationships/hyperlink" Target="https://saimex.org.mx/saimex/solicitud/downloadAttach/1410043.page" TargetMode="External"/><Relationship Id="rId19" Type="http://schemas.openxmlformats.org/officeDocument/2006/relationships/image" Target="media/image7.png"/><Relationship Id="rId31" Type="http://schemas.openxmlformats.org/officeDocument/2006/relationships/header" Target="header2.xml"/><Relationship Id="rId4" Type="http://schemas.openxmlformats.org/officeDocument/2006/relationships/styles" Target="styles.xml"/><Relationship Id="rId9" Type="http://schemas.openxmlformats.org/officeDocument/2006/relationships/hyperlink" Target="javascript:abrirAcuseRR('435617');" TargetMode="Externa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4.png"/><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_rels/header2.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mD+XiagE0Z6A87eEEO5XPYXifEQ==">AMUW2mUz4ypLbLzWlELX4M2wROWBlCGJs/GsOgUla6gXfJ+DR+Du/gv8blsWTlD7xB0D9JUAXDsmqv0BCW/bc4MvU9PGCJCZ5dTJuBQw5kRvVEbb6LSneyi0vGgAveWQdvo4/zgrc4mA</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261C12DC-4144-456A-BEF9-98A31ECDFE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TotalTime>
  <Pages>108</Pages>
  <Words>26583</Words>
  <Characters>146210</Characters>
  <Application>Microsoft Office Word</Application>
  <DocSecurity>0</DocSecurity>
  <Lines>1218</Lines>
  <Paragraphs>344</Paragraphs>
  <ScaleCrop>false</ScaleCrop>
  <HeadingPairs>
    <vt:vector size="2" baseType="variant">
      <vt:variant>
        <vt:lpstr>Título</vt:lpstr>
      </vt:variant>
      <vt:variant>
        <vt:i4>1</vt:i4>
      </vt:variant>
    </vt:vector>
  </HeadingPairs>
  <TitlesOfParts>
    <vt:vector size="1" baseType="lpstr">
      <vt:lpstr/>
    </vt:vector>
  </TitlesOfParts>
  <Company>BC</Company>
  <LinksUpToDate>false</LinksUpToDate>
  <CharactersWithSpaces>172449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Jhancarlo</cp:lastModifiedBy>
  <cp:revision>8</cp:revision>
  <cp:lastPrinted>2022-08-22T17:14:00Z</cp:lastPrinted>
  <dcterms:created xsi:type="dcterms:W3CDTF">2022-08-25T16:48:00Z</dcterms:created>
  <dcterms:modified xsi:type="dcterms:W3CDTF">2022-09-06T21:32:00Z</dcterms:modified>
</cp:coreProperties>
</file>