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quince de junio de dos mil veintidós</w:t>
      </w:r>
      <w:r>
        <w:rPr>
          <w:rFonts w:ascii="Palatino Linotype" w:eastAsia="Palatino Linotype" w:hAnsi="Palatino Linotype" w:cs="Palatino Linotype"/>
        </w:rPr>
        <w:t xml:space="preserve">. </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03534/INFOEM/IP/RR/2022</w:t>
      </w:r>
      <w:r>
        <w:rPr>
          <w:rFonts w:ascii="Palatino Linotype" w:eastAsia="Palatino Linotype" w:hAnsi="Palatino Linotype" w:cs="Palatino Linotype"/>
        </w:rPr>
        <w:t xml:space="preserve">, interpuesto por </w:t>
      </w:r>
      <w:r w:rsidR="00840F4C" w:rsidRPr="00840F4C">
        <w:rPr>
          <w:rFonts w:ascii="Palatino Linotype" w:eastAsia="Palatino Linotype" w:hAnsi="Palatino Linotype" w:cs="Palatino Linotype"/>
          <w:b/>
        </w:rPr>
        <w:t xml:space="preserve">XXXXXX XXXXX </w:t>
      </w:r>
      <w:proofErr w:type="spellStart"/>
      <w:r w:rsidR="00840F4C" w:rsidRPr="00840F4C">
        <w:rPr>
          <w:rFonts w:ascii="Palatino Linotype" w:eastAsia="Palatino Linotype" w:hAnsi="Palatino Linotype" w:cs="Palatino Linotype"/>
          <w:b/>
        </w:rPr>
        <w:t>XXXXX</w:t>
      </w:r>
      <w:proofErr w:type="spellEnd"/>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A3151A" w:rsidRDefault="00855188">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once de febrero de dos mil veintidós,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00480/TOLUCA/IP/2022, </w:t>
      </w:r>
      <w:r>
        <w:rPr>
          <w:rFonts w:ascii="Palatino Linotype" w:eastAsia="Palatino Linotype" w:hAnsi="Palatino Linotype" w:cs="Palatino Linotype"/>
        </w:rPr>
        <w:t xml:space="preserve">mediante la cual requirió la información siguiente: </w:t>
      </w:r>
    </w:p>
    <w:p w:rsidR="00A3151A" w:rsidRDefault="00855188">
      <w:pPr>
        <w:spacing w:before="240" w:after="240" w:line="276" w:lineRule="auto"/>
        <w:ind w:left="851" w:right="902"/>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“En la 7ª Sesión de Cabildo se reafirmó el compromiso de pagar los adeudos referentes a aguinaldos, primas vacacionales y quincenas pendientes. </w:t>
      </w:r>
      <w:r>
        <w:rPr>
          <w:rFonts w:ascii="Palatino Linotype" w:eastAsia="Palatino Linotype" w:hAnsi="Palatino Linotype" w:cs="Palatino Linotype"/>
          <w:b/>
          <w:i/>
          <w:sz w:val="22"/>
          <w:szCs w:val="22"/>
        </w:rPr>
        <w:t xml:space="preserve">Quiero saber </w:t>
      </w:r>
      <w:proofErr w:type="spellStart"/>
      <w:r>
        <w:rPr>
          <w:rFonts w:ascii="Palatino Linotype" w:eastAsia="Palatino Linotype" w:hAnsi="Palatino Linotype" w:cs="Palatino Linotype"/>
          <w:b/>
          <w:i/>
          <w:sz w:val="22"/>
          <w:szCs w:val="22"/>
        </w:rPr>
        <w:t>cuando</w:t>
      </w:r>
      <w:proofErr w:type="spellEnd"/>
      <w:r>
        <w:rPr>
          <w:rFonts w:ascii="Palatino Linotype" w:eastAsia="Palatino Linotype" w:hAnsi="Palatino Linotype" w:cs="Palatino Linotype"/>
          <w:b/>
          <w:i/>
          <w:sz w:val="22"/>
          <w:szCs w:val="22"/>
        </w:rPr>
        <w:t xml:space="preserve"> se pagaran esos adeudos</w:t>
      </w:r>
      <w:proofErr w:type="gramStart"/>
      <w:r>
        <w:rPr>
          <w:rFonts w:ascii="Palatino Linotype" w:eastAsia="Palatino Linotype" w:hAnsi="Palatino Linotype" w:cs="Palatino Linotype"/>
          <w:b/>
          <w:i/>
          <w:sz w:val="22"/>
          <w:szCs w:val="22"/>
        </w:rPr>
        <w:t>??</w:t>
      </w:r>
      <w:proofErr w:type="gramEnd"/>
      <w:r>
        <w:rPr>
          <w:rFonts w:ascii="Palatino Linotype" w:eastAsia="Palatino Linotype" w:hAnsi="Palatino Linotype" w:cs="Palatino Linotype"/>
          <w:b/>
          <w:i/>
          <w:sz w:val="22"/>
          <w:szCs w:val="22"/>
        </w:rPr>
        <w:t xml:space="preserve"> </w:t>
      </w:r>
      <w:proofErr w:type="gramStart"/>
      <w:r>
        <w:rPr>
          <w:rFonts w:ascii="Palatino Linotype" w:eastAsia="Palatino Linotype" w:hAnsi="Palatino Linotype" w:cs="Palatino Linotype"/>
          <w:b/>
          <w:i/>
          <w:sz w:val="22"/>
          <w:szCs w:val="22"/>
        </w:rPr>
        <w:t>se</w:t>
      </w:r>
      <w:proofErr w:type="gramEnd"/>
      <w:r>
        <w:rPr>
          <w:rFonts w:ascii="Palatino Linotype" w:eastAsia="Palatino Linotype" w:hAnsi="Palatino Linotype" w:cs="Palatino Linotype"/>
          <w:b/>
          <w:i/>
          <w:sz w:val="22"/>
          <w:szCs w:val="22"/>
        </w:rPr>
        <w:t xml:space="preserve"> les pagaran a todos los servidores públicos de base y de confianza que no se les pago?? </w:t>
      </w:r>
      <w:proofErr w:type="gramStart"/>
      <w:r>
        <w:rPr>
          <w:rFonts w:ascii="Palatino Linotype" w:eastAsia="Palatino Linotype" w:hAnsi="Palatino Linotype" w:cs="Palatino Linotype"/>
          <w:b/>
          <w:i/>
          <w:sz w:val="22"/>
          <w:szCs w:val="22"/>
        </w:rPr>
        <w:t>a</w:t>
      </w:r>
      <w:proofErr w:type="gramEnd"/>
      <w:r>
        <w:rPr>
          <w:rFonts w:ascii="Palatino Linotype" w:eastAsia="Palatino Linotype" w:hAnsi="Palatino Linotype" w:cs="Palatino Linotype"/>
          <w:b/>
          <w:i/>
          <w:sz w:val="22"/>
          <w:szCs w:val="22"/>
        </w:rPr>
        <w:t xml:space="preserve"> </w:t>
      </w:r>
      <w:proofErr w:type="spellStart"/>
      <w:r>
        <w:rPr>
          <w:rFonts w:ascii="Palatino Linotype" w:eastAsia="Palatino Linotype" w:hAnsi="Palatino Linotype" w:cs="Palatino Linotype"/>
          <w:b/>
          <w:i/>
          <w:sz w:val="22"/>
          <w:szCs w:val="22"/>
        </w:rPr>
        <w:t>cuanto</w:t>
      </w:r>
      <w:proofErr w:type="spellEnd"/>
      <w:r>
        <w:rPr>
          <w:rFonts w:ascii="Palatino Linotype" w:eastAsia="Palatino Linotype" w:hAnsi="Palatino Linotype" w:cs="Palatino Linotype"/>
          <w:b/>
          <w:i/>
          <w:sz w:val="22"/>
          <w:szCs w:val="22"/>
        </w:rPr>
        <w:t xml:space="preserve"> asciende ese adeudo?? </w:t>
      </w:r>
      <w:proofErr w:type="gramStart"/>
      <w:r>
        <w:rPr>
          <w:rFonts w:ascii="Palatino Linotype" w:eastAsia="Palatino Linotype" w:hAnsi="Palatino Linotype" w:cs="Palatino Linotype"/>
          <w:b/>
          <w:i/>
          <w:sz w:val="22"/>
          <w:szCs w:val="22"/>
        </w:rPr>
        <w:t>cuantas</w:t>
      </w:r>
      <w:proofErr w:type="gramEnd"/>
      <w:r>
        <w:rPr>
          <w:rFonts w:ascii="Palatino Linotype" w:eastAsia="Palatino Linotype" w:hAnsi="Palatino Linotype" w:cs="Palatino Linotype"/>
          <w:b/>
          <w:i/>
          <w:sz w:val="22"/>
          <w:szCs w:val="22"/>
        </w:rPr>
        <w:t xml:space="preserve"> demandas por falta de ese pago están en proceso?</w:t>
      </w:r>
      <w:r>
        <w:rPr>
          <w:rFonts w:ascii="Palatino Linotype" w:eastAsia="Palatino Linotype" w:hAnsi="Palatino Linotype" w:cs="Palatino Linotype"/>
          <w:i/>
          <w:sz w:val="22"/>
          <w:szCs w:val="22"/>
        </w:rPr>
        <w:t>” (Sic) (Énfasis añadido)</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A3151A" w:rsidRDefault="0085518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siete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A3151A" w:rsidRDefault="00855188">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3151A" w:rsidRDefault="00855188">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00480/TOLUCA/IP/2022, me permito adjuntar al presente la respuesta correspondiente. Sin más por el momento, le envío un cordial saludo.</w:t>
      </w:r>
    </w:p>
    <w:p w:rsidR="00A3151A" w:rsidRDefault="00855188">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A3151A" w:rsidRDefault="00855188">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 (Sic)</w:t>
      </w:r>
    </w:p>
    <w:p w:rsidR="00A3151A" w:rsidRDefault="00855188">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p>
    <w:p w:rsidR="00A3151A" w:rsidRDefault="00855188">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 “</w:t>
      </w:r>
      <w:proofErr w:type="spellStart"/>
      <w:r>
        <w:rPr>
          <w:rFonts w:ascii="Palatino Linotype" w:eastAsia="Palatino Linotype" w:hAnsi="Palatino Linotype" w:cs="Palatino Linotype"/>
          <w:b/>
          <w:i/>
          <w:sz w:val="22"/>
          <w:szCs w:val="22"/>
        </w:rPr>
        <w:t>Saimex</w:t>
      </w:r>
      <w:proofErr w:type="spellEnd"/>
      <w:r>
        <w:rPr>
          <w:rFonts w:ascii="Palatino Linotype" w:eastAsia="Palatino Linotype" w:hAnsi="Palatino Linotype" w:cs="Palatino Linotype"/>
          <w:b/>
          <w:i/>
          <w:sz w:val="22"/>
          <w:szCs w:val="22"/>
        </w:rPr>
        <w:t xml:space="preserve"> 00480.pdf”: </w:t>
      </w:r>
      <w:r>
        <w:rPr>
          <w:rFonts w:ascii="Palatino Linotype" w:eastAsia="Palatino Linotype" w:hAnsi="Palatino Linotype" w:cs="Palatino Linotype"/>
        </w:rPr>
        <w:t xml:space="preserve">Documento electrónico de tres fojas, el cual contiene pronunciamientos del Consejero Jurídico y Tesorero Municipal, los cuales medularmente versan de la siguiente manera:  </w:t>
      </w:r>
    </w:p>
    <w:p w:rsidR="00A3151A" w:rsidRDefault="00840F4C">
      <w:pPr>
        <w:spacing w:before="240" w:after="240" w:line="360"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200650" cy="6467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6467475"/>
                    </a:xfrm>
                    <a:prstGeom prst="rect">
                      <a:avLst/>
                    </a:prstGeom>
                    <a:noFill/>
                    <a:ln>
                      <a:noFill/>
                    </a:ln>
                  </pic:spPr>
                </pic:pic>
              </a:graphicData>
            </a:graphic>
          </wp:inline>
        </w:drawing>
      </w:r>
      <w:bookmarkStart w:id="1" w:name="_GoBack"/>
      <w:bookmarkEnd w:id="1"/>
    </w:p>
    <w:p w:rsidR="00A3151A" w:rsidRDefault="00A3151A">
      <w:pPr>
        <w:spacing w:before="240" w:after="240" w:line="360" w:lineRule="auto"/>
        <w:ind w:left="567" w:right="900"/>
        <w:jc w:val="both"/>
        <w:rPr>
          <w:rFonts w:ascii="Palatino Linotype" w:eastAsia="Palatino Linotype" w:hAnsi="Palatino Linotype" w:cs="Palatino Linotype"/>
          <w:sz w:val="22"/>
          <w:szCs w:val="22"/>
        </w:rPr>
      </w:pPr>
    </w:p>
    <w:p w:rsidR="00A3151A" w:rsidRDefault="00855188">
      <w:pPr>
        <w:spacing w:before="240" w:after="240" w:line="360" w:lineRule="auto"/>
        <w:ind w:right="49"/>
        <w:jc w:val="both"/>
      </w:pPr>
      <w:r>
        <w:object w:dxaOrig="8505" w:dyaOrig="10485" w14:anchorId="1AA71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524.25pt" o:ole="">
            <v:imagedata r:id="rId9" o:title=""/>
          </v:shape>
          <o:OLEObject Type="Embed" ProgID="PBrush" ShapeID="_x0000_i1025" DrawAspect="Content" ObjectID="_1718634386" r:id="rId10"/>
        </w:object>
      </w:r>
    </w:p>
    <w:p w:rsidR="00A3151A" w:rsidRDefault="00A3151A">
      <w:pPr>
        <w:spacing w:before="240" w:after="240" w:line="360" w:lineRule="auto"/>
        <w:ind w:right="49"/>
        <w:jc w:val="both"/>
      </w:pPr>
    </w:p>
    <w:p w:rsidR="00A3151A" w:rsidRDefault="00A3151A">
      <w:pPr>
        <w:spacing w:before="240" w:after="240" w:line="360" w:lineRule="auto"/>
        <w:ind w:right="49"/>
        <w:jc w:val="both"/>
      </w:pPr>
    </w:p>
    <w:p w:rsidR="00A3151A" w:rsidRDefault="00855188">
      <w:pPr>
        <w:spacing w:before="240" w:after="240" w:line="360" w:lineRule="auto"/>
        <w:ind w:right="49"/>
        <w:jc w:val="both"/>
        <w:rPr>
          <w:rFonts w:ascii="Palatino Linotype" w:eastAsia="Palatino Linotype" w:hAnsi="Palatino Linotype" w:cs="Palatino Linotype"/>
          <w:b/>
        </w:rPr>
      </w:pPr>
      <w:r>
        <w:object w:dxaOrig="8835" w:dyaOrig="6660" w14:anchorId="6F89A1B3">
          <v:shape id="_x0000_i1026" type="#_x0000_t75" style="width:441.75pt;height:333pt" o:ole="">
            <v:imagedata r:id="rId11" o:title=""/>
          </v:shape>
          <o:OLEObject Type="Embed" ProgID="PBrush" ShapeID="_x0000_i1026" DrawAspect="Content" ObjectID="_1718634387" r:id="rId12"/>
        </w:object>
      </w: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ocho de marzo de dos mil veintidós,</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A3151A" w:rsidRDefault="00855188">
      <w:pPr>
        <w:numPr>
          <w:ilvl w:val="0"/>
          <w:numId w:val="1"/>
        </w:numPr>
        <w:pBdr>
          <w:top w:val="nil"/>
          <w:left w:val="nil"/>
          <w:bottom w:val="nil"/>
          <w:right w:val="nil"/>
          <w:between w:val="nil"/>
        </w:pBdr>
        <w:tabs>
          <w:tab w:val="left" w:pos="2745"/>
        </w:tabs>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b/>
          <w:color w:val="000000"/>
        </w:rPr>
        <w:tab/>
      </w:r>
    </w:p>
    <w:p w:rsidR="00A3151A" w:rsidRDefault="00855188">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EMITIDA” (Sic)</w:t>
      </w:r>
    </w:p>
    <w:p w:rsidR="00A3151A" w:rsidRDefault="0085518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Razones o motivos de inconformidad</w:t>
      </w:r>
      <w:r>
        <w:rPr>
          <w:rFonts w:ascii="Palatino Linotype" w:eastAsia="Palatino Linotype" w:hAnsi="Palatino Linotype" w:cs="Palatino Linotype"/>
          <w:color w:val="000000"/>
        </w:rPr>
        <w:t>:</w:t>
      </w:r>
    </w:p>
    <w:p w:rsidR="00A3151A" w:rsidRDefault="00855188">
      <w:pPr>
        <w:ind w:left="567"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NO ME ENTREGARON LOS OFICIOS DE RESPUESTA DE LAS AREAS A LAS QUE FUE TURNADA LA SOLICITUD, NO ME CONSTA QUE HAYAN CONTESTADO LO QUE LA TITULAR DE LA UNIDAD DE TRANSPARENCIA MANIFESTÓ. NO ENTIENDO PORQUE NO </w:t>
      </w:r>
      <w:r>
        <w:rPr>
          <w:rFonts w:ascii="Palatino Linotype" w:eastAsia="Palatino Linotype" w:hAnsi="Palatino Linotype" w:cs="Palatino Linotype"/>
          <w:b/>
          <w:i/>
          <w:sz w:val="22"/>
          <w:szCs w:val="22"/>
          <w:u w:val="single"/>
        </w:rPr>
        <w:lastRenderedPageBreak/>
        <w:t>ADJUNTAN LOS OFICIOS DE RESPUESTA DE LAS AREAS COMPETENTES PARA ATENDER LA SOLICITUD. CHEQUEN EL NUMERO DE RECURSOS QUE TIENEN ACTUALMENTE POR NO CONTESTAR BIEN Y POR NO ENTREGAR LA INFORMACION QUE ES PUBLICA. ES DEMASIADO DEFICIENTE EL ACTUAR DE LA TITULAR DE LA UNIDAD DE TRANSPARENCIA.</w:t>
      </w:r>
      <w:r>
        <w:rPr>
          <w:rFonts w:ascii="Palatino Linotype" w:eastAsia="Palatino Linotype" w:hAnsi="Palatino Linotype" w:cs="Palatino Linotype"/>
          <w:i/>
          <w:sz w:val="22"/>
          <w:szCs w:val="22"/>
        </w:rPr>
        <w:t>” (Sic) (Énfasis añadido)</w:t>
      </w:r>
    </w:p>
    <w:p w:rsidR="00A3151A" w:rsidRDefault="00855188">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once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A3151A" w:rsidRDefault="00855188">
      <w:pPr>
        <w:spacing w:after="240" w:line="360" w:lineRule="auto"/>
        <w:jc w:val="both"/>
        <w:rPr>
          <w:rFonts w:ascii="Palatino Linotype" w:eastAsia="Palatino Linotype" w:hAnsi="Palatino Linotype" w:cs="Palatino Linotype"/>
          <w:b/>
          <w:i/>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veintitrés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a través del SAIMEX, su informe justificado mediante el archivo digital denominado </w:t>
      </w:r>
      <w:r>
        <w:rPr>
          <w:rFonts w:ascii="Palatino Linotype" w:eastAsia="Palatino Linotype" w:hAnsi="Palatino Linotype" w:cs="Palatino Linotype"/>
          <w:b/>
          <w:i/>
        </w:rPr>
        <w:t xml:space="preserve">“Informe Justificado 03534_2022.pdf”, </w:t>
      </w:r>
      <w:r>
        <w:rPr>
          <w:rFonts w:ascii="Palatino Linotype" w:eastAsia="Palatino Linotype" w:hAnsi="Palatino Linotype" w:cs="Palatino Linotype"/>
        </w:rPr>
        <w:t>el cual consta de veinte fojas y ratifica en lo sustancial, la respuesta proporcionada en primera instancia.</w:t>
      </w:r>
    </w:p>
    <w:p w:rsidR="00A3151A" w:rsidRDefault="00A3151A">
      <w:pPr>
        <w:spacing w:after="240" w:line="360" w:lineRule="auto"/>
        <w:jc w:val="center"/>
        <w:rPr>
          <w:rFonts w:ascii="Palatino Linotype" w:eastAsia="Palatino Linotype" w:hAnsi="Palatino Linotype" w:cs="Palatino Linotype"/>
        </w:rPr>
      </w:pPr>
    </w:p>
    <w:p w:rsidR="00A3151A" w:rsidRDefault="0085518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una vez analizados, se hicieron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mediante acuerdo emitido por la Comisionada Ponente en fecha </w:t>
      </w:r>
      <w:r>
        <w:rPr>
          <w:rFonts w:ascii="Palatino Linotype" w:eastAsia="Palatino Linotype" w:hAnsi="Palatino Linotype" w:cs="Palatino Linotype"/>
          <w:b/>
        </w:rPr>
        <w:t>tres de junio de dos mil veintidós</w:t>
      </w:r>
      <w:r>
        <w:rPr>
          <w:rFonts w:ascii="Palatino Linotype" w:eastAsia="Palatino Linotype" w:hAnsi="Palatino Linotype" w:cs="Palatino Linotype"/>
        </w:rPr>
        <w:t>, a efecto de que manifestara lo que a su derecho estimara conveniente, sin embargo, fue omiso en ejercer dicha prerrogativa en el plazo establecido para tal efecto.</w:t>
      </w:r>
    </w:p>
    <w:p w:rsidR="00A3151A" w:rsidRDefault="00855188">
      <w:pPr>
        <w:spacing w:after="240" w:line="360" w:lineRule="auto"/>
        <w:jc w:val="both"/>
        <w:rPr>
          <w:rFonts w:ascii="Palatino Linotype" w:eastAsia="Palatino Linotype" w:hAnsi="Palatino Linotype" w:cs="Palatino Linotype"/>
        </w:rPr>
      </w:pPr>
      <w:r>
        <w:object w:dxaOrig="8835" w:dyaOrig="2085" w14:anchorId="2A28AFE4">
          <v:shape id="_x0000_i1027" type="#_x0000_t75" style="width:441.75pt;height:104.25pt" o:ole="">
            <v:imagedata r:id="rId13" o:title=""/>
          </v:shape>
          <o:OLEObject Type="Embed" ProgID="PBrush" ShapeID="_x0000_i1027" DrawAspect="Content" ObjectID="_1718634388" r:id="rId14"/>
        </w:objec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8476AA">
        <w:rPr>
          <w:rFonts w:ascii="Palatino Linotype" w:eastAsia="Palatino Linotype" w:hAnsi="Palatino Linotype" w:cs="Palatino Linotype"/>
          <w:b/>
        </w:rPr>
        <w:t>diez</w:t>
      </w:r>
      <w:r>
        <w:rPr>
          <w:rFonts w:ascii="Palatino Linotype" w:eastAsia="Palatino Linotype" w:hAnsi="Palatino Linotype" w:cs="Palatino Linotype"/>
          <w:b/>
        </w:rPr>
        <w:t xml:space="preserve"> de junio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A3151A" w:rsidRDefault="00855188">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A3151A" w:rsidRDefault="00A3151A">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A3151A" w:rsidRDefault="0085518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3151A" w:rsidRDefault="00855188">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A3151A" w:rsidRDefault="00855188">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3151A" w:rsidRDefault="0085518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w:t>
      </w:r>
      <w:r>
        <w:rPr>
          <w:rFonts w:ascii="Palatino Linotype" w:eastAsia="Palatino Linotype" w:hAnsi="Palatino Linotype" w:cs="Palatino Linotype"/>
        </w:rPr>
        <w:lastRenderedPageBreak/>
        <w:t xml:space="preserve">de los quince días hábiles siguientes a la fecha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siete de marzo de dos mil veintidós, </w:t>
      </w:r>
      <w:r>
        <w:rPr>
          <w:rFonts w:ascii="Palatino Linotype" w:eastAsia="Palatino Linotype" w:hAnsi="Palatino Linotype" w:cs="Palatino Linotype"/>
        </w:rPr>
        <w:t xml:space="preserve">mientras que el recurso de revisión interpuesto por la parte recurrente, se tuvo por presentado el día </w:t>
      </w:r>
      <w:r>
        <w:rPr>
          <w:rFonts w:ascii="Palatino Linotype" w:eastAsia="Palatino Linotype" w:hAnsi="Palatino Linotype" w:cs="Palatino Linotype"/>
          <w:b/>
        </w:rPr>
        <w:t>ocho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posterior en que tuvo conocimiento de la respuesta impugnada.</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Análisis de las causales de improcedencia y sobreseimiento del Recurso de Revisión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Este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rsidR="00A3151A" w:rsidRDefault="00855188">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“Improcedencia: </w:t>
      </w:r>
      <w:r>
        <w:rPr>
          <w:rFonts w:ascii="Palatino Linotype" w:eastAsia="Palatino Linotype" w:hAnsi="Palatino Linotype" w:cs="Palatino Linotype"/>
          <w:i/>
          <w:sz w:val="22"/>
          <w:szCs w:val="22"/>
        </w:rPr>
        <w:t>Sea que las partes la aleguen o no, debe examinarse previamente la procedencia del juicio de amparo, por ser cuestión de orden público en el juicio de garantías.”</w:t>
      </w:r>
    </w:p>
    <w:p w:rsidR="00A3151A" w:rsidRDefault="00855188">
      <w:pPr>
        <w:spacing w:before="240" w:after="240" w:line="360" w:lineRule="auto"/>
        <w:ind w:right="-1134"/>
        <w:jc w:val="both"/>
        <w:rPr>
          <w:rFonts w:ascii="Palatino Linotype" w:eastAsia="Palatino Linotype" w:hAnsi="Palatino Linotype" w:cs="Palatino Linotype"/>
        </w:rPr>
      </w:pPr>
      <w:r>
        <w:rPr>
          <w:rFonts w:ascii="Palatino Linotype" w:eastAsia="Palatino Linotype" w:hAnsi="Palatino Linotype" w:cs="Palatino Linotype"/>
        </w:rPr>
        <w:t>Por su parte los artículos 186, 191 y 192 de la Ley en cita, disponen lo siguiente:</w:t>
      </w:r>
    </w:p>
    <w:p w:rsidR="00A3151A" w:rsidRDefault="0085518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186. </w:t>
      </w:r>
      <w:r>
        <w:rPr>
          <w:rFonts w:ascii="Palatino Linotype" w:eastAsia="Palatino Linotype" w:hAnsi="Palatino Linotype" w:cs="Palatino Linotype"/>
          <w:i/>
          <w:sz w:val="22"/>
          <w:szCs w:val="22"/>
        </w:rPr>
        <w:t>Las resoluciones del Instituto podrán:</w:t>
      </w:r>
    </w:p>
    <w:p w:rsidR="00A3151A" w:rsidRDefault="00855188">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Desechar o sobreseer el recurso;</w:t>
      </w:r>
    </w:p>
    <w:p w:rsidR="00A3151A" w:rsidRDefault="00855188">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Confirmar la respuesta del sujeto obligado;</w:t>
      </w:r>
    </w:p>
    <w:p w:rsidR="00A3151A" w:rsidRDefault="00855188">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Revocar o modificar la respuesta del sujeto obligado; y</w:t>
      </w:r>
    </w:p>
    <w:p w:rsidR="00A3151A" w:rsidRDefault="00855188">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Ordenar la entrega de la información…”</w:t>
      </w:r>
    </w:p>
    <w:p w:rsidR="00A3151A" w:rsidRDefault="00A3151A">
      <w:pPr>
        <w:spacing w:before="120" w:after="120"/>
        <w:ind w:left="851" w:right="902"/>
        <w:jc w:val="both"/>
        <w:rPr>
          <w:rFonts w:ascii="Palatino Linotype" w:eastAsia="Palatino Linotype" w:hAnsi="Palatino Linotype" w:cs="Palatino Linotype"/>
          <w:b/>
          <w:i/>
          <w:sz w:val="22"/>
          <w:szCs w:val="22"/>
        </w:rPr>
      </w:pPr>
    </w:p>
    <w:p w:rsidR="00A3151A" w:rsidRDefault="0085518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191. </w:t>
      </w:r>
      <w:r>
        <w:rPr>
          <w:rFonts w:ascii="Palatino Linotype" w:eastAsia="Palatino Linotype" w:hAnsi="Palatino Linotype" w:cs="Palatino Linotype"/>
          <w:i/>
          <w:sz w:val="22"/>
          <w:szCs w:val="22"/>
        </w:rPr>
        <w:t>El recurso será desechado por improcedente cuando:</w:t>
      </w:r>
    </w:p>
    <w:p w:rsidR="00A3151A" w:rsidRDefault="00855188">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Sea extemporáneo por haber transcurrido el plazo establecido en la presente Ley, a partir de la respuesta;</w:t>
      </w:r>
    </w:p>
    <w:p w:rsidR="00A3151A" w:rsidRDefault="00855188">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rsidR="00A3151A" w:rsidRDefault="00855188">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No actualice alguno de los supuestos previstos en la presente Ley;</w:t>
      </w:r>
    </w:p>
    <w:p w:rsidR="00A3151A" w:rsidRDefault="00855188">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No se haya desahogado la prevención en los términos establecidos en la presente Ley;</w:t>
      </w:r>
    </w:p>
    <w:p w:rsidR="00A3151A" w:rsidRDefault="00855188">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Se impugne la veracidad de la información proporcionada</w:t>
      </w:r>
      <w:r>
        <w:rPr>
          <w:rFonts w:ascii="Palatino Linotype" w:eastAsia="Palatino Linotype" w:hAnsi="Palatino Linotype" w:cs="Palatino Linotype"/>
          <w:b/>
          <w:i/>
          <w:sz w:val="22"/>
          <w:szCs w:val="22"/>
        </w:rPr>
        <w:t>;</w:t>
      </w:r>
    </w:p>
    <w:p w:rsidR="00A3151A" w:rsidRDefault="00855188">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Se trate de una consulta, o trámite en específico; y</w:t>
      </w:r>
    </w:p>
    <w:p w:rsidR="00A3151A" w:rsidRDefault="00855188">
      <w:pPr>
        <w:tabs>
          <w:tab w:val="left" w:pos="1276"/>
        </w:tabs>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 El recurrente amplíe su solicitud en el recurso de revisión, únicamente respecto de los nuevos contenidos.”</w:t>
      </w:r>
    </w:p>
    <w:p w:rsidR="00A3151A" w:rsidRDefault="00A3151A">
      <w:pPr>
        <w:spacing w:before="120" w:after="120"/>
        <w:ind w:left="851" w:right="902"/>
        <w:jc w:val="both"/>
        <w:rPr>
          <w:rFonts w:ascii="Palatino Linotype" w:eastAsia="Palatino Linotype" w:hAnsi="Palatino Linotype" w:cs="Palatino Linotype"/>
          <w:b/>
          <w:i/>
          <w:sz w:val="22"/>
          <w:szCs w:val="22"/>
        </w:rPr>
      </w:pPr>
    </w:p>
    <w:p w:rsidR="00A3151A" w:rsidRDefault="0085518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A3151A" w:rsidRDefault="00855188">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El recurrente se desista expresamente del recurso;</w:t>
      </w:r>
    </w:p>
    <w:p w:rsidR="00A3151A" w:rsidRDefault="00855188">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El recurrente fallezca o, tratándose de personas jurídicas colectivas, se disuelva;</w:t>
      </w:r>
    </w:p>
    <w:p w:rsidR="00A3151A" w:rsidRDefault="00855188">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El sujeto obligado responsable del acto lo modifique o revoque de tal manera que el recurso de revisión quede sin materia;</w:t>
      </w:r>
    </w:p>
    <w:p w:rsidR="00A3151A" w:rsidRDefault="00855188">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Admitido el recurso de revisión, aparezca alguna causal de improcedencia en los términos de la presente Ley; y</w:t>
      </w:r>
    </w:p>
    <w:p w:rsidR="00A3151A" w:rsidRDefault="00855188">
      <w:pPr>
        <w:spacing w:before="120" w:after="120"/>
        <w:ind w:left="1134"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Cuando por cualquier motivo quede sin materia el recurso</w:t>
      </w:r>
      <w:r>
        <w:rPr>
          <w:rFonts w:ascii="Palatino Linotype" w:eastAsia="Palatino Linotype" w:hAnsi="Palatino Linotype" w:cs="Palatino Linotype"/>
          <w:sz w:val="22"/>
          <w:szCs w:val="22"/>
        </w:rPr>
        <w:t>.”</w:t>
      </w:r>
    </w:p>
    <w:p w:rsidR="00A3151A" w:rsidRDefault="0085518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el presente caso, en el análisis oficioso este Organismo Garante advierte que, una vez admitido el Recurso de Revisión y en su estudio a detalle, surgió una causal de improcedencia, prevista en el artículo 191 fracción VII de la Ley de Transparencia y Acceso a la Información Pública del Estado de México y Municipios</w:t>
      </w:r>
    </w:p>
    <w:p w:rsidR="00A3151A" w:rsidRDefault="0085518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Cobrando aplicación lo previsto en la fracción IV del artículo 192, en razón a que al haber sido el recurso y al actualizarse una causal de improcedencia, debe ser sobreseído. </w:t>
      </w:r>
    </w:p>
    <w:p w:rsidR="00A3151A" w:rsidRDefault="0085518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atención de lo anterior, se procede a analizar las cuestiones de hecho que dieron lugar a la improcedencia en concordancia con el apartado de causales de sobreseimiento.</w:t>
      </w:r>
    </w:p>
    <w:p w:rsidR="00A3151A" w:rsidRDefault="0085518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VII del artículo 191 de la misma Ley citado con antelación, por no existir elementos de procedencia, en virtud de que el mismo no actualiza alguno de los supuestos previstos en el  citado artículo 179, toda vez que la </w:t>
      </w:r>
      <w:r>
        <w:rPr>
          <w:rFonts w:ascii="Palatino Linotype" w:eastAsia="Palatino Linotype" w:hAnsi="Palatino Linotype" w:cs="Palatino Linotype"/>
          <w:b/>
        </w:rPr>
        <w:t>Recurrente</w:t>
      </w:r>
      <w:r>
        <w:rPr>
          <w:rFonts w:ascii="Palatino Linotype" w:eastAsia="Palatino Linotype" w:hAnsi="Palatino Linotype" w:cs="Palatino Linotype"/>
        </w:rPr>
        <w:t>, mediante el recurso de revisión, solicita le sea entregada información que no fue requerida a través de la solicitud primigenia.</w:t>
      </w:r>
    </w:p>
    <w:p w:rsidR="00A3151A" w:rsidRDefault="00855188">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imprescindible mencionar que, del análisis de la solicitud de información motivo del recurso de revisión que ahora se resuelve, se advierte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proporcione información consistente en lo siguiente:</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 decir de la particular, en la 7ª Sesión de Cabildo se reafirmó el compromiso de pagar los adeudos referentes a aguinaldos, primas vacacionales y quincenas pendientes, en consecuencia requiere saber: </w:t>
      </w:r>
    </w:p>
    <w:p w:rsidR="00A3151A" w:rsidRDefault="00855188">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¿Cuándo se pagarán esos adeudos?</w:t>
      </w:r>
    </w:p>
    <w:p w:rsidR="00A3151A" w:rsidRDefault="00855188">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¿Se les pagarán a todos los servidores públicos de base y de confianza que no se les pagó? </w:t>
      </w:r>
    </w:p>
    <w:p w:rsidR="00A3151A" w:rsidRDefault="00855188">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¿A cuánto asciende ese adeudo?</w:t>
      </w:r>
    </w:p>
    <w:p w:rsidR="00A3151A" w:rsidRDefault="00855188">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 ¿Cuantas demandas por falta de ese pago están en proceso?</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manifestó lo siguiente: </w:t>
      </w:r>
    </w:p>
    <w:p w:rsidR="00A3151A" w:rsidRDefault="00855188">
      <w:pPr>
        <w:numPr>
          <w:ilvl w:val="0"/>
          <w:numId w:val="2"/>
        </w:num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Consejería Jurídica cuenta con un registro de cero demandas notificadas sobre dicho tópico en particular. </w:t>
      </w:r>
    </w:p>
    <w:p w:rsidR="00A3151A" w:rsidRDefault="00855188">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Tesorero Municipal refirió que respecto de la primera pregunta, no se tiene una fecha definida de pago. </w:t>
      </w:r>
    </w:p>
    <w:p w:rsidR="00A3151A" w:rsidRDefault="00855188">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Sobre la segunda pregunta, refirió que las nóminas de referencia se encuentran registradas en cuentas de pasivo del mes de diciembre de 2021 y serán pagadas, una vez que la actual administración cuente con los recursos suficientes para cubrir ese gasto. </w:t>
      </w:r>
    </w:p>
    <w:p w:rsidR="00A3151A" w:rsidRDefault="00855188">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remitió la siguiente tabla del monto del adeudo, misma que se inserta a continuación: </w:t>
      </w:r>
    </w:p>
    <w:p w:rsidR="00A3151A" w:rsidRDefault="00855188">
      <w:pPr>
        <w:pBdr>
          <w:top w:val="nil"/>
          <w:left w:val="nil"/>
          <w:bottom w:val="nil"/>
          <w:right w:val="nil"/>
          <w:between w:val="nil"/>
        </w:pBdr>
        <w:spacing w:line="360" w:lineRule="auto"/>
        <w:ind w:right="49"/>
        <w:jc w:val="both"/>
        <w:rPr>
          <w:color w:val="000000"/>
        </w:rPr>
      </w:pPr>
      <w:r>
        <w:rPr>
          <w:color w:val="000000"/>
        </w:rPr>
        <w:object w:dxaOrig="8235" w:dyaOrig="3150" w14:anchorId="13FB3AAD">
          <v:shape id="_x0000_i1028" type="#_x0000_t75" style="width:411.75pt;height:157.5pt" o:ole="">
            <v:imagedata r:id="rId15" o:title=""/>
          </v:shape>
          <o:OLEObject Type="Embed" ProgID="PBrush" ShapeID="_x0000_i1028" DrawAspect="Content" ObjectID="_1718634389" r:id="rId16"/>
        </w:object>
      </w:r>
    </w:p>
    <w:p w:rsidR="00A3151A" w:rsidRDefault="00855188">
      <w:pPr>
        <w:pBdr>
          <w:top w:val="nil"/>
          <w:left w:val="nil"/>
          <w:bottom w:val="nil"/>
          <w:right w:val="nil"/>
          <w:between w:val="nil"/>
        </w:pBdr>
        <w:spacing w:after="240" w:line="360" w:lineRule="auto"/>
        <w:ind w:right="49"/>
        <w:jc w:val="both"/>
        <w:rPr>
          <w:color w:val="000000"/>
        </w:rPr>
      </w:pPr>
      <w:r>
        <w:rPr>
          <w:rFonts w:ascii="Palatino Linotype" w:eastAsia="Palatino Linotype" w:hAnsi="Palatino Linotype" w:cs="Palatino Linotype"/>
          <w:color w:val="000000"/>
        </w:rPr>
        <w:t xml:space="preserve">No obstante,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al presentar el recurso de revisión que nos ocupa, señaló como motivo de inconformidad lo siguiente: </w:t>
      </w:r>
      <w:r>
        <w:rPr>
          <w:rFonts w:ascii="Palatino Linotype" w:eastAsia="Palatino Linotype" w:hAnsi="Palatino Linotype" w:cs="Palatino Linotype"/>
          <w:b/>
          <w:i/>
          <w:color w:val="000000"/>
          <w:u w:val="single"/>
        </w:rPr>
        <w:t>“NO ME ENTREGARON LOS OFICIOS DE RESPUESTA DE LAS AREAS A LAS QUE FUE TURNADA LA SOLICITUD, NO ME CONSTA QUE HAYAN CONTESTADO LO QUE LA TITULAR DE LA UNIDAD DE TRANSPARENCIA MANIFESTÓ. NO ENTIENDO PORQUE NO ADJUNTAN LOS OFICIOS DE RESPUESTA DE LAS AREAS COMPETENTES PARA ATENDER LA SOLICITUD…”</w:t>
      </w:r>
      <w:r>
        <w:rPr>
          <w:rFonts w:ascii="Palatino Linotype" w:eastAsia="Palatino Linotype" w:hAnsi="Palatino Linotype" w:cs="Palatino Linotype"/>
          <w:i/>
          <w:color w:val="000000"/>
        </w:rPr>
        <w:t xml:space="preserve"> (Sic) (Énfasis añadido).</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no pasa desapercibido para este Organismo Garante que el particular no expresó motivo de inconformidad respecto de la información remitida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la respuesta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satisface la solicitud presentada.</w:t>
      </w:r>
    </w:p>
    <w:p w:rsidR="00A3151A" w:rsidRDefault="00855188">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éste no expresa Razón o Motivo de Inconformidad en contra de todos los rubros solicitados, dichos rubros deben declararse atendidos, pues se </w:t>
      </w:r>
      <w:r>
        <w:rPr>
          <w:rFonts w:ascii="Palatino Linotype" w:eastAsia="Palatino Linotype" w:hAnsi="Palatino Linotype" w:cs="Palatino Linotype"/>
        </w:rPr>
        <w:lastRenderedPageBreak/>
        <w:t>entiende que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A3151A" w:rsidRDefault="00855188">
      <w:pPr>
        <w:spacing w:before="240" w:after="36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se reitera, al no ser impugnada que la respuesta,  debe declararse consentida ante la falta de impugnación eficaz. </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A3151A" w:rsidRDefault="00855188">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mallCaps/>
          <w:sz w:val="22"/>
          <w:szCs w:val="22"/>
        </w:rPr>
        <w:t xml:space="preserve">“ACTOS CONSENTIDOS. SON LOS QUE NO SE IMPUGNAN MEDIANTE EL RECURSO IDÓNEO. </w:t>
      </w:r>
      <w:r>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3151A" w:rsidRDefault="00A3151A"/>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los oficios de respuesta de la Tesorería Municipal y la Consejería Jurídica, que no se entregaron como parte de la respuesta, cabe señalar </w:t>
      </w:r>
      <w:r>
        <w:rPr>
          <w:rFonts w:ascii="Palatino Linotype" w:eastAsia="Palatino Linotype" w:hAnsi="Palatino Linotype" w:cs="Palatino Linotype"/>
        </w:rPr>
        <w:lastRenderedPageBreak/>
        <w:t xml:space="preserve">que de la confronta a la solicitud de información y el acto impugnado y las razones o motivos de inconformidad, dichos documentos no fueron solicitados, como se desprende del antecedente marcado con el numeral 1 de la presente resolución, por lo que constituyen en su totalidad nuevos requerimientos de información, configurándose así lo que se conoce como </w:t>
      </w:r>
      <w:r>
        <w:rPr>
          <w:rFonts w:ascii="Palatino Linotype" w:eastAsia="Palatino Linotype" w:hAnsi="Palatino Linotype" w:cs="Palatino Linotype"/>
          <w:i/>
        </w:rPr>
        <w:t xml:space="preserve">plus </w:t>
      </w:r>
      <w:proofErr w:type="spellStart"/>
      <w:r>
        <w:rPr>
          <w:rFonts w:ascii="Palatino Linotype" w:eastAsia="Palatino Linotype" w:hAnsi="Palatino Linotype" w:cs="Palatino Linotype"/>
          <w:i/>
        </w:rPr>
        <w:t>petitio</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Pr>
          <w:rFonts w:ascii="Palatino Linotype" w:eastAsia="Palatino Linotype" w:hAnsi="Palatino Linotype" w:cs="Palatino Linotype"/>
          <w:b/>
          <w:u w:val="single"/>
        </w:rPr>
        <w:t xml:space="preserve">únicamente respecto de los nuevos contenidos; </w:t>
      </w:r>
      <w:r>
        <w:rPr>
          <w:rFonts w:ascii="Palatino Linotype" w:eastAsia="Palatino Linotype" w:hAnsi="Palatino Linotype" w:cs="Palatino Linotype"/>
        </w:rPr>
        <w:t xml:space="preserve">cuestión que tuvo lugar en el presente caso, pues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tenor, es posible determinar que para el caso que nos ocupa, la totalidad de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una vez formulada su solicitud inicial,</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los particulares no pueden modificarla o ampliarla a través de posteriores promociones o en el momento de ingresar su recurso de revisión; por tanto, la materia de las solicitudes </w:t>
      </w:r>
      <w:r>
        <w:rPr>
          <w:rFonts w:ascii="Palatino Linotype" w:eastAsia="Palatino Linotype" w:hAnsi="Palatino Linotype" w:cs="Palatino Linotype"/>
        </w:rPr>
        <w:lastRenderedPageBreak/>
        <w:t>de información se circunscribe a que se permita el acceso a los documentos inicialmente solicitados y en su caso a los aclarados o corregidos.</w:t>
      </w:r>
    </w:p>
    <w:p w:rsidR="00A3151A" w:rsidRDefault="0085518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A3151A" w:rsidRDefault="00855188">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sin contrariar lo anterior, es de señalar que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con la finalidad de garantizar el derecho humano de acceso a través la máxima publicidad de la información que obra en su poder, sin tener obligación de ello por las razones ya expuestas, en la etapa de manifestaciones acreditó de manera fehaciente que turnó la solicitud, a través del SAIMEX, a los  Servidores Públicos Habilitados, quienes de igual manera atendieron los requerimientos vía SAIMEX, como se observa a continuación:</w:t>
      </w:r>
    </w:p>
    <w:p w:rsidR="00A3151A" w:rsidRDefault="00855188">
      <w:pPr>
        <w:spacing w:before="240" w:after="240" w:line="360" w:lineRule="auto"/>
        <w:jc w:val="both"/>
      </w:pPr>
      <w:r>
        <w:object w:dxaOrig="9900" w:dyaOrig="1800" w14:anchorId="4B9385E4">
          <v:shape id="_x0000_i1029" type="#_x0000_t75" style="width:495pt;height:90pt" o:ole="">
            <v:imagedata r:id="rId17" o:title=""/>
          </v:shape>
          <o:OLEObject Type="Embed" ProgID="PBrush" ShapeID="_x0000_i1029" DrawAspect="Content" ObjectID="_1718634390" r:id="rId18"/>
        </w:object>
      </w:r>
      <w:r>
        <w:object w:dxaOrig="7365" w:dyaOrig="6180" w14:anchorId="218432C3">
          <v:shape id="_x0000_i1030" type="#_x0000_t75" style="width:368.25pt;height:309pt" o:ole="">
            <v:imagedata r:id="rId19" o:title=""/>
          </v:shape>
          <o:OLEObject Type="Embed" ProgID="PBrush" ShapeID="_x0000_i1030" DrawAspect="Content" ObjectID="_1718634391" r:id="rId20"/>
        </w:objec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76201</wp:posOffset>
                </wp:positionH>
                <wp:positionV relativeFrom="paragraph">
                  <wp:posOffset>431800</wp:posOffset>
                </wp:positionV>
                <wp:extent cx="6200775" cy="533400"/>
                <wp:effectExtent l="0" t="0" r="0" b="0"/>
                <wp:wrapNone/>
                <wp:docPr id="31" name="Rectángulo 31"/>
                <wp:cNvGraphicFramePr/>
                <a:graphic xmlns:a="http://schemas.openxmlformats.org/drawingml/2006/main">
                  <a:graphicData uri="http://schemas.microsoft.com/office/word/2010/wordprocessingShape">
                    <wps:wsp>
                      <wps:cNvSpPr/>
                      <wps:spPr>
                        <a:xfrm>
                          <a:off x="2264663" y="3532350"/>
                          <a:ext cx="6162675" cy="495300"/>
                        </a:xfrm>
                        <a:prstGeom prst="rect">
                          <a:avLst/>
                        </a:prstGeom>
                        <a:noFill/>
                        <a:ln w="38100" cap="flat" cmpd="sng">
                          <a:solidFill>
                            <a:srgbClr val="002060"/>
                          </a:solidFill>
                          <a:prstDash val="solid"/>
                          <a:round/>
                          <a:headEnd type="none" w="sm" len="sm"/>
                          <a:tailEnd type="none" w="sm" len="sm"/>
                        </a:ln>
                      </wps:spPr>
                      <wps:txbx>
                        <w:txbxContent>
                          <w:p w:rsidR="00A3151A" w:rsidRDefault="00A3151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431800</wp:posOffset>
                </wp:positionV>
                <wp:extent cx="6200775" cy="533400"/>
                <wp:effectExtent b="0" l="0" r="0" t="0"/>
                <wp:wrapNone/>
                <wp:docPr id="31"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6200775" cy="533400"/>
                        </a:xfrm>
                        <a:prstGeom prst="rect"/>
                        <a:ln/>
                      </pic:spPr>
                    </pic:pic>
                  </a:graphicData>
                </a:graphic>
              </wp:anchor>
            </w:drawing>
          </mc:Fallback>
        </mc:AlternateContent>
      </w:r>
    </w:p>
    <w:bookmarkStart w:id="5" w:name="_heading=h.17dp8vu" w:colFirst="0" w:colLast="0"/>
    <w:bookmarkEnd w:id="5"/>
    <w:p w:rsidR="00A3151A" w:rsidRDefault="00855188">
      <w:pPr>
        <w:spacing w:before="240" w:after="240" w:line="360" w:lineRule="auto"/>
        <w:jc w:val="both"/>
        <w:rPr>
          <w:rFonts w:ascii="Palatino Linotype" w:eastAsia="Palatino Linotype" w:hAnsi="Palatino Linotype" w:cs="Palatino Linotype"/>
        </w:rPr>
      </w:pPr>
      <w:r>
        <w:object w:dxaOrig="6795" w:dyaOrig="5505">
          <v:shape id="_x0000_i1031" type="#_x0000_t75" style="width:339.75pt;height:275.25pt" o:ole="">
            <v:imagedata r:id="rId24" o:title=""/>
          </v:shape>
          <o:OLEObject Type="Embed" ProgID="PBrush" ShapeID="_x0000_i1031" DrawAspect="Content" ObjectID="_1718634392" r:id="rId25"/>
        </w:objec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lo previo, es evidente que el motivo de inconformidad, materia del presente medio de impugnación, es improcedente, al garantizarse lo previsto en los artículos 4, 12 y 166 párrafo primero de la Ley de Transparencia en la Entidad, que son de la literalidad siguiente:</w:t>
      </w:r>
    </w:p>
    <w:p w:rsidR="00A3151A" w:rsidRDefault="00855188">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3151A" w:rsidRDefault="00855188">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w:t>
      </w:r>
      <w:r>
        <w:rPr>
          <w:rFonts w:ascii="Palatino Linotype" w:eastAsia="Palatino Linotype" w:hAnsi="Palatino Linotype" w:cs="Palatino Linotype"/>
          <w:i/>
          <w:sz w:val="22"/>
          <w:szCs w:val="22"/>
        </w:rPr>
        <w:lastRenderedPageBreak/>
        <w:t xml:space="preserve">de interés público, en los términos de las causas legítimas y estrictamente necesarias previstas por esta Ley. </w:t>
      </w:r>
    </w:p>
    <w:p w:rsidR="00A3151A" w:rsidRDefault="00855188">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A3151A" w:rsidRDefault="00855188">
      <w:pPr>
        <w:spacing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A3151A" w:rsidRDefault="00855188">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3151A" w:rsidRDefault="00855188">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3151A" w:rsidRDefault="00855188">
      <w:pPr>
        <w:spacing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A3151A" w:rsidRDefault="00855188">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La obligación de acceso a la información pública </w:t>
      </w:r>
      <w:r>
        <w:rPr>
          <w:rFonts w:ascii="Palatino Linotype" w:eastAsia="Palatino Linotype" w:hAnsi="Palatino Linotype" w:cs="Palatino Linotype"/>
          <w:b/>
          <w:i/>
          <w:sz w:val="22"/>
          <w:szCs w:val="22"/>
        </w:rPr>
        <w:t>se tendrá por cumplida cuando el solicitante tenga a su disposición la información requerida</w:t>
      </w:r>
      <w:r>
        <w:rPr>
          <w:rFonts w:ascii="Palatino Linotype" w:eastAsia="Palatino Linotype" w:hAnsi="Palatino Linotype" w:cs="Palatino Linotype"/>
          <w:i/>
          <w:sz w:val="22"/>
          <w:szCs w:val="22"/>
        </w:rPr>
        <w:t>, o cuando realice la consulta de la misma en el lugar en el que ésta se localice.”</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w:t>
      </w:r>
      <w:r>
        <w:rPr>
          <w:rFonts w:ascii="Palatino Linotype" w:eastAsia="Palatino Linotype" w:hAnsi="Palatino Linotype" w:cs="Palatino Linotype"/>
          <w:i/>
        </w:rPr>
        <w:t>sobreseer</w:t>
      </w:r>
      <w:r>
        <w:rPr>
          <w:rFonts w:ascii="Palatino Linotype" w:eastAsia="Palatino Linotype" w:hAnsi="Palatino Linotype" w:cs="Palatino Linotype"/>
        </w:rPr>
        <w:t xml:space="preserve"> el recurso de revisión materia de la presente resolución en términos del artículo 186 fracción I de la de la Ley de Transparencia y Acceso a la Información Pública del Estado de México y Municipios en relación directa con los artículos 191 fracción VII y 192 fracción IV de mismo ordenamiento legal, citados con anterioridad, pues se actualizó una causal de improcedencia; ya que en su formulación,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amplió la solicitud inicial y formuló nuevos requerimientos de información que corresponden a nuevos contenidos.</w:t>
      </w:r>
    </w:p>
    <w:p w:rsidR="00A3151A" w:rsidRDefault="0085518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con fundamento en lo prescrito en los artículos 5 párrafos trigésimo, trigésimo primero y trigésimo segundo de la Constitución Política del Estado Libre y Soberano </w:t>
      </w:r>
      <w:r>
        <w:rPr>
          <w:rFonts w:ascii="Palatino Linotype" w:eastAsia="Palatino Linotype" w:hAnsi="Palatino Linotype" w:cs="Palatino Linotype"/>
          <w:color w:val="000000"/>
        </w:rPr>
        <w:lastRenderedPageBreak/>
        <w:t>de México; 2, fracción II; 29, 36 fracciones I y II; 176, 178, 181, 185 y 186 fracción II de la Ley de Transparencia y Acceso a la Información Pública del Estado de México y Municipios, este Pleno:</w:t>
      </w:r>
    </w:p>
    <w:p w:rsidR="00A3151A" w:rsidRDefault="0085518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A3151A" w:rsidRDefault="00855188">
      <w:pPr>
        <w:spacing w:before="240" w:after="240" w:line="360" w:lineRule="auto"/>
        <w:jc w:val="both"/>
        <w:rPr>
          <w:rFonts w:ascii="Palatino Linotype" w:eastAsia="Palatino Linotype" w:hAnsi="Palatino Linotype" w:cs="Palatino Linotype"/>
          <w:b/>
        </w:rPr>
      </w:pPr>
      <w:bookmarkStart w:id="6" w:name="_heading=h.3dy6vkm" w:colFirst="0" w:colLast="0"/>
      <w:bookmarkEnd w:id="6"/>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por improcedente el recurso de revisión </w:t>
      </w:r>
      <w:r>
        <w:rPr>
          <w:rFonts w:ascii="Palatino Linotype" w:eastAsia="Palatino Linotype" w:hAnsi="Palatino Linotype" w:cs="Palatino Linotype"/>
          <w:b/>
        </w:rPr>
        <w:t>03534/INFOEM/IP/RR/2022</w:t>
      </w:r>
      <w:r>
        <w:rPr>
          <w:rFonts w:ascii="Palatino Linotype" w:eastAsia="Palatino Linotype" w:hAnsi="Palatino Linotype" w:cs="Palatino Linotype"/>
        </w:rPr>
        <w:t xml:space="preserve">, por actualizarse la causal de improcedencia establecida en la fracción VII del artículo 191, de la Ley de Transparencia y Acceso a la Información Pública del Estado de México y Municipios, en términos del Considerando </w:t>
      </w:r>
      <w:r>
        <w:rPr>
          <w:rFonts w:ascii="Palatino Linotype" w:eastAsia="Palatino Linotype" w:hAnsi="Palatino Linotype" w:cs="Palatino Linotype"/>
          <w:b/>
        </w:rPr>
        <w:t>Tercero</w:t>
      </w:r>
      <w:r>
        <w:rPr>
          <w:rFonts w:ascii="Palatino Linotype" w:eastAsia="Palatino Linotype" w:hAnsi="Palatino Linotype" w:cs="Palatino Linotype"/>
        </w:rPr>
        <w:t xml:space="preserve"> de la presente Resolución.</w:t>
      </w:r>
      <w:r>
        <w:rPr>
          <w:rFonts w:ascii="Palatino Linotype" w:eastAsia="Palatino Linotype" w:hAnsi="Palatino Linotype" w:cs="Palatino Linotype"/>
          <w:b/>
        </w:rPr>
        <w:t xml:space="preserve"> </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Notifíquese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la presente resolución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rsidR="00A3151A" w:rsidRDefault="00855188">
      <w:pPr>
        <w:tabs>
          <w:tab w:val="left" w:pos="8647"/>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w:t>
      </w:r>
      <w:r>
        <w:rPr>
          <w:rFonts w:ascii="Palatino Linotype" w:eastAsia="Palatino Linotype" w:hAnsi="Palatino Linotype" w:cs="Palatino Linotype"/>
        </w:rPr>
        <w:t>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A3151A" w:rsidRDefault="008551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 xml:space="preserve">MUNICIPIOS, CONFORMADO POR LOS COMISIONADOS JOSÉ MARTÍNEZ VILCHIS, MARÍA DEL ROSARIO MEJÍA AYALA, SHARON CRISTINA MORALES MARTÍNEZ, LUIS GUSTAVO PARRA NORIEGA Y GUADALUPE RAMÍREZ PEÑA; EN LA VIGÉSIMA SEGUNDA SESIÓN ORDINARIA CELEBRADA EL QUINCE DE JUNIO DE DOS MIL VEINTIDÓS, ANTE EL </w:t>
      </w:r>
      <w:r w:rsidR="008476AA">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1779905</wp:posOffset>
                </wp:positionV>
                <wp:extent cx="5238750" cy="60769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238750" cy="607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21AB2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140.15pt" to="418.2pt,6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" strokecolor="black [3040]"/>
            </w:pict>
          </mc:Fallback>
        </mc:AlternateContent>
      </w:r>
      <w:r>
        <w:rPr>
          <w:rFonts w:ascii="Palatino Linotype" w:eastAsia="Palatino Linotype" w:hAnsi="Palatino Linotype" w:cs="Palatino Linotype"/>
        </w:rPr>
        <w:t>SECRETARIO TÉCNICO DEL PLENO ALEXIS TAPIA RAMÍREZ.</w:t>
      </w: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855188">
      <w:pPr>
        <w:rPr>
          <w:rFonts w:ascii="Palatino Linotype" w:eastAsia="Palatino Linotype" w:hAnsi="Palatino Linotype" w:cs="Palatino Linotype"/>
        </w:rPr>
      </w:pPr>
      <w:r>
        <w:br w:type="page"/>
      </w: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p w:rsidR="00A3151A" w:rsidRDefault="00A3151A">
      <w:pPr>
        <w:spacing w:line="360" w:lineRule="auto"/>
        <w:jc w:val="both"/>
        <w:rPr>
          <w:rFonts w:ascii="Palatino Linotype" w:eastAsia="Palatino Linotype" w:hAnsi="Palatino Linotype" w:cs="Palatino Linotype"/>
        </w:rPr>
      </w:pPr>
    </w:p>
    <w:sectPr w:rsidR="00A3151A">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C9B" w:rsidRDefault="009A4C9B">
      <w:r>
        <w:separator/>
      </w:r>
    </w:p>
  </w:endnote>
  <w:endnote w:type="continuationSeparator" w:id="0">
    <w:p w:rsidR="009A4C9B" w:rsidRDefault="009A4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altName w:val="Noto Serif"/>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51A" w:rsidRDefault="0085518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40F4C">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40F4C">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rsidR="00A3151A" w:rsidRDefault="00A3151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51A" w:rsidRDefault="0085518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40F4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40F4C">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rsidR="00A3151A" w:rsidRDefault="00A3151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C9B" w:rsidRDefault="009A4C9B">
      <w:r>
        <w:separator/>
      </w:r>
    </w:p>
  </w:footnote>
  <w:footnote w:type="continuationSeparator" w:id="0">
    <w:p w:rsidR="009A4C9B" w:rsidRDefault="009A4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51A" w:rsidRDefault="0085518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A3151A">
      <w:tc>
        <w:tcPr>
          <w:tcW w:w="2489" w:type="dxa"/>
          <w:shd w:val="clear" w:color="auto" w:fill="auto"/>
        </w:tcPr>
        <w:p w:rsidR="00A3151A" w:rsidRDefault="008551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A3151A" w:rsidRDefault="0085518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03534/INFOEM/IP/RR/2022</w:t>
          </w:r>
        </w:p>
      </w:tc>
    </w:tr>
    <w:tr w:rsidR="00A3151A">
      <w:trPr>
        <w:trHeight w:val="228"/>
      </w:trPr>
      <w:tc>
        <w:tcPr>
          <w:tcW w:w="2489" w:type="dxa"/>
          <w:shd w:val="clear" w:color="auto" w:fill="auto"/>
          <w:vAlign w:val="center"/>
        </w:tcPr>
        <w:p w:rsidR="00A3151A" w:rsidRDefault="008551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A3151A" w:rsidRDefault="0085518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A3151A">
      <w:tc>
        <w:tcPr>
          <w:tcW w:w="2489" w:type="dxa"/>
          <w:shd w:val="clear" w:color="auto" w:fill="auto"/>
          <w:vAlign w:val="center"/>
        </w:tcPr>
        <w:p w:rsidR="00A3151A" w:rsidRDefault="0085518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A3151A" w:rsidRDefault="0085518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3151A" w:rsidRDefault="0085518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51A" w:rsidRDefault="00A3151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A3151A">
      <w:tc>
        <w:tcPr>
          <w:tcW w:w="2551" w:type="dxa"/>
          <w:shd w:val="clear" w:color="auto" w:fill="auto"/>
          <w:vAlign w:val="center"/>
        </w:tcPr>
        <w:p w:rsidR="00A3151A" w:rsidRDefault="008551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A3151A" w:rsidRDefault="0085518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03534/INFOEM/IP/RR/2022</w:t>
          </w:r>
        </w:p>
      </w:tc>
    </w:tr>
    <w:tr w:rsidR="00A3151A">
      <w:trPr>
        <w:trHeight w:val="130"/>
      </w:trPr>
      <w:tc>
        <w:tcPr>
          <w:tcW w:w="2551" w:type="dxa"/>
          <w:shd w:val="clear" w:color="auto" w:fill="auto"/>
          <w:vAlign w:val="center"/>
        </w:tcPr>
        <w:p w:rsidR="00A3151A" w:rsidRDefault="008551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A3151A" w:rsidRDefault="00840F4C">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w:t>
          </w:r>
        </w:p>
      </w:tc>
    </w:tr>
    <w:tr w:rsidR="00A3151A">
      <w:trPr>
        <w:trHeight w:val="228"/>
      </w:trPr>
      <w:tc>
        <w:tcPr>
          <w:tcW w:w="2551" w:type="dxa"/>
          <w:shd w:val="clear" w:color="auto" w:fill="auto"/>
          <w:vAlign w:val="center"/>
        </w:tcPr>
        <w:p w:rsidR="00A3151A" w:rsidRDefault="008551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A3151A" w:rsidRDefault="0085518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A3151A">
      <w:tc>
        <w:tcPr>
          <w:tcW w:w="2551" w:type="dxa"/>
          <w:shd w:val="clear" w:color="auto" w:fill="auto"/>
          <w:vAlign w:val="center"/>
        </w:tcPr>
        <w:p w:rsidR="00A3151A" w:rsidRDefault="008551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A3151A" w:rsidRDefault="0085518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3151A" w:rsidRDefault="0085518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EB5B66"/>
    <w:multiLevelType w:val="multilevel"/>
    <w:tmpl w:val="34448B7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4E1981"/>
    <w:multiLevelType w:val="multilevel"/>
    <w:tmpl w:val="5FE418D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51A"/>
    <w:rsid w:val="00351057"/>
    <w:rsid w:val="00840F4C"/>
    <w:rsid w:val="008476AA"/>
    <w:rsid w:val="00855188"/>
    <w:rsid w:val="008B1BB2"/>
    <w:rsid w:val="009A4C9B"/>
    <w:rsid w:val="00A315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ECA365-604B-4660-9A5B-20BA076AA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unoRvDmUt/zF3jNsdf4+HMigsA==">AMUW2mX+6PNy063Cqk+WckyBSJXWvIJ5bDpHaZcQU6uth3Ox9bTUllxFB8bCEkiTkFUG5PTTGG7GtlPTNqAIw1xYY9iuEP0YOgFw6ypPBkiv/qUYmDScCRAsPDN4+RUMcRYpn8GzX2AWJjS89EB96NA/SnoW4llPA1c4HyJ6D1gqhBqmEC6e9CnGhtp2h6+shm4QZ9kJq/g+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3850</Words>
  <Characters>21178</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dcterms:created xsi:type="dcterms:W3CDTF">2022-06-16T01:06:00Z</dcterms:created>
  <dcterms:modified xsi:type="dcterms:W3CDTF">2022-07-06T22:40:00Z</dcterms:modified>
</cp:coreProperties>
</file>