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27F0" w14:textId="05C8F8B3"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54161">
        <w:rPr>
          <w:rFonts w:ascii="Palatino Linotype" w:hAnsi="Palatino Linotype" w:cs="Tahoma"/>
          <w:bCs/>
          <w:sz w:val="22"/>
          <w:szCs w:val="22"/>
        </w:rPr>
        <w:t>treinta y uno</w:t>
      </w:r>
      <w:r w:rsidR="007D2BD0">
        <w:rPr>
          <w:rFonts w:ascii="Palatino Linotype" w:hAnsi="Palatino Linotype" w:cs="Tahoma"/>
          <w:bCs/>
          <w:sz w:val="22"/>
          <w:szCs w:val="22"/>
        </w:rPr>
        <w:t xml:space="preserve"> de </w:t>
      </w:r>
      <w:r w:rsidR="00F54161">
        <w:rPr>
          <w:rFonts w:ascii="Palatino Linotype" w:hAnsi="Palatino Linotype" w:cs="Tahoma"/>
          <w:bCs/>
          <w:sz w:val="22"/>
          <w:szCs w:val="22"/>
        </w:rPr>
        <w:t>agosto</w:t>
      </w:r>
      <w:r w:rsidR="00F86B39">
        <w:rPr>
          <w:rFonts w:ascii="Palatino Linotype" w:hAnsi="Palatino Linotype" w:cs="Tahoma"/>
          <w:bCs/>
          <w:sz w:val="22"/>
          <w:szCs w:val="22"/>
        </w:rPr>
        <w:t xml:space="preserve"> </w:t>
      </w:r>
      <w:r w:rsidRPr="000B7ED7">
        <w:rPr>
          <w:rFonts w:ascii="Palatino Linotype" w:hAnsi="Palatino Linotype" w:cs="Tahoma"/>
          <w:bCs/>
          <w:sz w:val="22"/>
          <w:szCs w:val="22"/>
        </w:rPr>
        <w:t>de dos mil veinti</w:t>
      </w:r>
      <w:r w:rsidR="00C43D9A">
        <w:rPr>
          <w:rFonts w:ascii="Palatino Linotype" w:hAnsi="Palatino Linotype" w:cs="Tahoma"/>
          <w:bCs/>
          <w:sz w:val="22"/>
          <w:szCs w:val="22"/>
        </w:rPr>
        <w:t>dós</w:t>
      </w:r>
      <w:r w:rsidRPr="000B7ED7">
        <w:rPr>
          <w:rFonts w:ascii="Palatino Linotype" w:hAnsi="Palatino Linotype" w:cs="Tahoma"/>
          <w:bCs/>
          <w:sz w:val="22"/>
          <w:szCs w:val="22"/>
        </w:rPr>
        <w:t xml:space="preserve">. </w:t>
      </w:r>
    </w:p>
    <w:p w14:paraId="6EA90397" w14:textId="77777777" w:rsidR="00836192" w:rsidRPr="000B7ED7" w:rsidRDefault="00836192" w:rsidP="00836192">
      <w:pPr>
        <w:spacing w:line="360" w:lineRule="auto"/>
        <w:rPr>
          <w:rFonts w:ascii="Palatino Linotype" w:hAnsi="Palatino Linotype" w:cs="Tahoma"/>
          <w:bCs/>
          <w:sz w:val="22"/>
          <w:szCs w:val="22"/>
        </w:rPr>
      </w:pPr>
    </w:p>
    <w:p w14:paraId="64FBBD27" w14:textId="08ABC10E" w:rsidR="00836192" w:rsidRPr="000B7ED7" w:rsidRDefault="00836192" w:rsidP="00836192">
      <w:pPr>
        <w:spacing w:line="360" w:lineRule="auto"/>
        <w:jc w:val="both"/>
        <w:rPr>
          <w:rFonts w:ascii="Palatino Linotype" w:hAnsi="Palatino Linotype" w:cs="Tahoma"/>
          <w:bCs/>
          <w:sz w:val="22"/>
          <w:szCs w:val="22"/>
        </w:rPr>
      </w:pPr>
      <w:r w:rsidRPr="000B7ED7">
        <w:rPr>
          <w:rFonts w:ascii="Palatino Linotype" w:hAnsi="Palatino Linotype" w:cs="Tahoma"/>
          <w:b/>
          <w:bCs/>
          <w:color w:val="0D0D0D" w:themeColor="text1" w:themeTint="F2"/>
          <w:sz w:val="22"/>
          <w:szCs w:val="22"/>
        </w:rPr>
        <w:t xml:space="preserve">VISTO </w:t>
      </w:r>
      <w:r w:rsidRPr="000B7ED7">
        <w:rPr>
          <w:rFonts w:ascii="Palatino Linotype" w:hAnsi="Palatino Linotype" w:cs="Tahoma"/>
          <w:bCs/>
          <w:color w:val="0D0D0D" w:themeColor="text1" w:themeTint="F2"/>
          <w:sz w:val="22"/>
          <w:szCs w:val="22"/>
        </w:rPr>
        <w:t xml:space="preserve">el expediente conformado con motivo del Recurso de Revisión </w:t>
      </w:r>
      <w:r w:rsidR="00F54161" w:rsidRPr="00F54161">
        <w:rPr>
          <w:rFonts w:ascii="Palatino Linotype" w:hAnsi="Palatino Linotype" w:cs="Tahoma"/>
          <w:bCs/>
          <w:color w:val="0D0D0D" w:themeColor="text1" w:themeTint="F2"/>
          <w:sz w:val="22"/>
          <w:szCs w:val="22"/>
        </w:rPr>
        <w:t>06541/INFOEM/IP/RR/2022</w:t>
      </w:r>
      <w:r w:rsidRPr="000B7ED7">
        <w:rPr>
          <w:rFonts w:ascii="Palatino Linotype" w:hAnsi="Palatino Linotype" w:cs="Tahoma"/>
          <w:bCs/>
          <w:color w:val="0D0D0D" w:themeColor="text1" w:themeTint="F2"/>
          <w:sz w:val="22"/>
          <w:szCs w:val="22"/>
        </w:rPr>
        <w:t xml:space="preserve">, interpuestos por </w:t>
      </w:r>
      <w:r w:rsidR="00C43D9A">
        <w:rPr>
          <w:rFonts w:ascii="Palatino Linotype" w:hAnsi="Palatino Linotype" w:cs="Tahoma"/>
          <w:bCs/>
          <w:color w:val="0D0D0D" w:themeColor="text1" w:themeTint="F2"/>
          <w:sz w:val="22"/>
          <w:szCs w:val="22"/>
        </w:rPr>
        <w:t>el Recurrente o Particular</w:t>
      </w:r>
      <w:r w:rsidRPr="000B7ED7">
        <w:rPr>
          <w:rFonts w:ascii="Palatino Linotype" w:hAnsi="Palatino Linotype" w:cs="Tahoma"/>
          <w:bCs/>
          <w:color w:val="0D0D0D" w:themeColor="text1" w:themeTint="F2"/>
          <w:sz w:val="22"/>
          <w:szCs w:val="22"/>
        </w:rPr>
        <w:t xml:space="preserve">, en contra de la respuesta del Sujeto Obligado, </w:t>
      </w:r>
      <w:r w:rsidR="00F54161" w:rsidRPr="00F54161">
        <w:rPr>
          <w:rFonts w:ascii="Palatino Linotype" w:hAnsi="Palatino Linotype" w:cs="Tahoma"/>
          <w:color w:val="0D0D0D" w:themeColor="text1" w:themeTint="F2"/>
          <w:sz w:val="22"/>
          <w:szCs w:val="22"/>
        </w:rPr>
        <w:t>Ayuntamiento de Santo Tomas</w:t>
      </w:r>
      <w:r w:rsidRPr="000B7ED7">
        <w:rPr>
          <w:rFonts w:ascii="Palatino Linotype" w:hAnsi="Palatino Linotype" w:cs="Tahoma"/>
          <w:bCs/>
          <w:color w:val="0D0D0D" w:themeColor="text1" w:themeTint="F2"/>
          <w:sz w:val="22"/>
          <w:szCs w:val="22"/>
        </w:rPr>
        <w:t xml:space="preserve">, a la solicitud de acceso a la información pública </w:t>
      </w:r>
      <w:r w:rsidR="00F54161" w:rsidRPr="00F54161">
        <w:rPr>
          <w:rFonts w:ascii="Palatino Linotype" w:hAnsi="Palatino Linotype" w:cs="Tahoma"/>
          <w:bCs/>
          <w:color w:val="0D0D0D" w:themeColor="text1" w:themeTint="F2"/>
          <w:sz w:val="22"/>
          <w:szCs w:val="22"/>
        </w:rPr>
        <w:t>00040/SANTOTOM/IP/2022</w:t>
      </w:r>
      <w:r w:rsidRPr="000B7ED7">
        <w:rPr>
          <w:rFonts w:ascii="Palatino Linotype" w:hAnsi="Palatino Linotype" w:cs="Tahoma"/>
          <w:bCs/>
          <w:color w:val="0D0D0D" w:themeColor="text1" w:themeTint="F2"/>
          <w:sz w:val="22"/>
          <w:szCs w:val="22"/>
        </w:rPr>
        <w:t>, se emite la presente Resolución, con base en los Antecedentes y C</w:t>
      </w:r>
      <w:r w:rsidRPr="000B7ED7">
        <w:rPr>
          <w:rFonts w:ascii="Palatino Linotype" w:hAnsi="Palatino Linotype" w:cs="Tahoma"/>
          <w:bCs/>
          <w:sz w:val="22"/>
          <w:szCs w:val="22"/>
        </w:rPr>
        <w:t>onsiderandos que a continuación se exponen:</w:t>
      </w:r>
    </w:p>
    <w:p w14:paraId="28946067" w14:textId="77777777" w:rsidR="00836192" w:rsidRPr="000B7ED7" w:rsidRDefault="00836192" w:rsidP="00836192">
      <w:pPr>
        <w:spacing w:line="360" w:lineRule="auto"/>
        <w:rPr>
          <w:rFonts w:ascii="Palatino Linotype" w:hAnsi="Palatino Linotype" w:cs="Tahoma"/>
          <w:sz w:val="22"/>
          <w:szCs w:val="22"/>
        </w:rPr>
      </w:pPr>
    </w:p>
    <w:p w14:paraId="5F432416" w14:textId="77777777" w:rsidR="00836192" w:rsidRPr="000B7ED7" w:rsidRDefault="00836192" w:rsidP="00836192">
      <w:pPr>
        <w:tabs>
          <w:tab w:val="center" w:pos="4522"/>
          <w:tab w:val="left" w:pos="7245"/>
        </w:tabs>
        <w:spacing w:line="360" w:lineRule="auto"/>
        <w:jc w:val="center"/>
        <w:rPr>
          <w:rFonts w:ascii="Palatino Linotype" w:hAnsi="Palatino Linotype" w:cs="Tahoma"/>
          <w:b/>
          <w:sz w:val="22"/>
          <w:szCs w:val="22"/>
        </w:rPr>
      </w:pPr>
      <w:r w:rsidRPr="000B7ED7">
        <w:rPr>
          <w:rFonts w:ascii="Palatino Linotype" w:hAnsi="Palatino Linotype" w:cs="Tahoma"/>
          <w:b/>
          <w:sz w:val="22"/>
          <w:szCs w:val="22"/>
        </w:rPr>
        <w:t>A N T E C E D E N T E S:</w:t>
      </w:r>
    </w:p>
    <w:p w14:paraId="2DCC4393"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szCs w:val="22"/>
        </w:rPr>
      </w:pPr>
    </w:p>
    <w:p w14:paraId="1049213E"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b/>
          <w:szCs w:val="22"/>
        </w:rPr>
        <w:t xml:space="preserve">I. Presentación de la solicitud de información. </w:t>
      </w:r>
    </w:p>
    <w:p w14:paraId="608CFBE6"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szCs w:val="22"/>
        </w:rPr>
      </w:pPr>
    </w:p>
    <w:p w14:paraId="1BA87F1F" w14:textId="1118F4D4" w:rsidR="00836192" w:rsidRPr="000B7ED7" w:rsidRDefault="00836192" w:rsidP="00836192">
      <w:pPr>
        <w:pStyle w:val="Prrafodelista"/>
        <w:tabs>
          <w:tab w:val="left" w:pos="567"/>
        </w:tabs>
        <w:spacing w:line="360" w:lineRule="auto"/>
        <w:ind w:left="0"/>
        <w:jc w:val="both"/>
        <w:rPr>
          <w:rFonts w:ascii="Palatino Linotype" w:hAnsi="Palatino Linotype" w:cs="Tahoma"/>
          <w:b/>
          <w:szCs w:val="22"/>
        </w:rPr>
      </w:pPr>
      <w:r w:rsidRPr="000B7ED7">
        <w:rPr>
          <w:rFonts w:ascii="Palatino Linotype" w:hAnsi="Palatino Linotype" w:cs="Tahoma"/>
          <w:szCs w:val="22"/>
        </w:rPr>
        <w:t xml:space="preserve">Con fecha </w:t>
      </w:r>
      <w:r w:rsidR="00F86B39">
        <w:rPr>
          <w:rFonts w:ascii="Palatino Linotype" w:hAnsi="Palatino Linotype" w:cs="Tahoma"/>
          <w:szCs w:val="22"/>
        </w:rPr>
        <w:t>die</w:t>
      </w:r>
      <w:r w:rsidR="00F54161">
        <w:rPr>
          <w:rFonts w:ascii="Palatino Linotype" w:hAnsi="Palatino Linotype" w:cs="Tahoma"/>
          <w:szCs w:val="22"/>
        </w:rPr>
        <w:t>ciocho</w:t>
      </w:r>
      <w:r w:rsidR="0086262C" w:rsidRPr="000B7ED7">
        <w:rPr>
          <w:rFonts w:ascii="Palatino Linotype" w:hAnsi="Palatino Linotype" w:cs="Tahoma"/>
          <w:szCs w:val="22"/>
        </w:rPr>
        <w:t xml:space="preserve"> de </w:t>
      </w:r>
      <w:r w:rsidR="00F54161">
        <w:rPr>
          <w:rFonts w:ascii="Palatino Linotype" w:hAnsi="Palatino Linotype" w:cs="Tahoma"/>
          <w:szCs w:val="22"/>
        </w:rPr>
        <w:t>abril</w:t>
      </w:r>
      <w:r w:rsidRPr="000B7ED7">
        <w:rPr>
          <w:rFonts w:ascii="Palatino Linotype" w:hAnsi="Palatino Linotype" w:cs="Tahoma"/>
          <w:szCs w:val="22"/>
        </w:rPr>
        <w:t xml:space="preserve"> de dos mil veinti</w:t>
      </w:r>
      <w:r w:rsidR="00C43D9A">
        <w:rPr>
          <w:rFonts w:ascii="Palatino Linotype" w:hAnsi="Palatino Linotype" w:cs="Tahoma"/>
          <w:szCs w:val="22"/>
        </w:rPr>
        <w:t>dós</w:t>
      </w:r>
      <w:r w:rsidRPr="000B7ED7">
        <w:rPr>
          <w:rFonts w:ascii="Palatino Linotype" w:hAnsi="Palatino Linotype" w:cs="Tahoma"/>
          <w:szCs w:val="22"/>
        </w:rPr>
        <w:t xml:space="preserve">, </w:t>
      </w:r>
      <w:r w:rsidR="00755B38">
        <w:rPr>
          <w:rFonts w:ascii="Palatino Linotype" w:hAnsi="Palatino Linotype" w:cs="Tahoma"/>
          <w:szCs w:val="22"/>
        </w:rPr>
        <w:t>se tuvo por presentada</w:t>
      </w:r>
      <w:r w:rsidRPr="000B7ED7">
        <w:rPr>
          <w:rFonts w:ascii="Palatino Linotype" w:hAnsi="Palatino Linotype" w:cs="Tahoma"/>
          <w:szCs w:val="22"/>
        </w:rPr>
        <w:t xml:space="preserve"> una solicitud de acceso a la información pública</w:t>
      </w:r>
      <w:r w:rsidR="00755B38">
        <w:rPr>
          <w:rFonts w:ascii="Palatino Linotype" w:hAnsi="Palatino Linotype" w:cs="Tahoma"/>
          <w:szCs w:val="22"/>
        </w:rPr>
        <w:t xml:space="preserve"> realizada por el Particular</w:t>
      </w:r>
      <w:r w:rsidRPr="000B7ED7">
        <w:rPr>
          <w:rFonts w:ascii="Palatino Linotype" w:hAnsi="Palatino Linotype" w:cs="Tahoma"/>
          <w:szCs w:val="22"/>
        </w:rPr>
        <w:t xml:space="preserve">, a través del Sistema de Acceso a la Información Mexiquense </w:t>
      </w:r>
      <w:r w:rsidRPr="000B7ED7">
        <w:rPr>
          <w:rFonts w:ascii="Palatino Linotype" w:hAnsi="Palatino Linotype" w:cs="Tahoma"/>
          <w:szCs w:val="22"/>
          <w:lang w:val="es-ES"/>
        </w:rPr>
        <w:t>(SAIMEX)</w:t>
      </w:r>
      <w:r w:rsidRPr="000B7ED7">
        <w:rPr>
          <w:rFonts w:ascii="Palatino Linotype" w:hAnsi="Palatino Linotype" w:cs="Tahoma"/>
          <w:szCs w:val="22"/>
        </w:rPr>
        <w:t xml:space="preserve">, ante </w:t>
      </w:r>
      <w:r w:rsidR="00C43D9A">
        <w:rPr>
          <w:rFonts w:ascii="Palatino Linotype" w:hAnsi="Palatino Linotype" w:cs="Tahoma"/>
          <w:szCs w:val="22"/>
        </w:rPr>
        <w:t>el</w:t>
      </w:r>
      <w:r w:rsidR="0086262C" w:rsidRPr="000B7ED7">
        <w:rPr>
          <w:rFonts w:ascii="Palatino Linotype" w:hAnsi="Palatino Linotype" w:cs="Tahoma"/>
          <w:szCs w:val="22"/>
        </w:rPr>
        <w:t xml:space="preserve"> </w:t>
      </w:r>
      <w:r w:rsidR="00F86B39" w:rsidRPr="00F86B39">
        <w:rPr>
          <w:rFonts w:ascii="Palatino Linotype" w:hAnsi="Palatino Linotype" w:cs="Tahoma"/>
          <w:szCs w:val="22"/>
        </w:rPr>
        <w:t>Ayuntamiento de Metepec</w:t>
      </w:r>
      <w:r w:rsidRPr="000B7ED7">
        <w:rPr>
          <w:rFonts w:ascii="Palatino Linotype" w:hAnsi="Palatino Linotype" w:cs="Tahoma"/>
          <w:b/>
          <w:szCs w:val="22"/>
        </w:rPr>
        <w:t xml:space="preserve">, </w:t>
      </w:r>
      <w:r w:rsidR="00877872" w:rsidRPr="00877872">
        <w:rPr>
          <w:rFonts w:ascii="Palatino Linotype" w:hAnsi="Palatino Linotype" w:cs="Tahoma"/>
          <w:b/>
          <w:szCs w:val="22"/>
        </w:rPr>
        <w:t xml:space="preserve">ya que si bien, se registró el </w:t>
      </w:r>
      <w:r w:rsidR="00877872">
        <w:rPr>
          <w:rFonts w:ascii="Palatino Linotype" w:hAnsi="Palatino Linotype" w:cs="Tahoma"/>
          <w:b/>
          <w:szCs w:val="22"/>
        </w:rPr>
        <w:t>nueve</w:t>
      </w:r>
      <w:r w:rsidR="00877872" w:rsidRPr="00877872">
        <w:rPr>
          <w:rFonts w:ascii="Palatino Linotype" w:hAnsi="Palatino Linotype" w:cs="Tahoma"/>
          <w:b/>
          <w:szCs w:val="22"/>
        </w:rPr>
        <w:t xml:space="preserve"> de dicho mes y año,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presentado el día hábil subsecuente; </w:t>
      </w:r>
      <w:r w:rsidRPr="000B7ED7">
        <w:rPr>
          <w:rFonts w:ascii="Palatino Linotype" w:hAnsi="Palatino Linotype" w:cs="Tahoma"/>
          <w:szCs w:val="22"/>
        </w:rPr>
        <w:t>en los siguientes términos:</w:t>
      </w:r>
    </w:p>
    <w:p w14:paraId="2A219690" w14:textId="7AD2886C" w:rsidR="00836192" w:rsidRDefault="00836192" w:rsidP="00836192">
      <w:pPr>
        <w:pStyle w:val="Prrafodelista"/>
        <w:tabs>
          <w:tab w:val="left" w:pos="567"/>
        </w:tabs>
        <w:spacing w:line="360" w:lineRule="auto"/>
        <w:ind w:left="0"/>
        <w:jc w:val="both"/>
        <w:rPr>
          <w:rFonts w:ascii="Palatino Linotype" w:hAnsi="Palatino Linotype" w:cs="Tahoma"/>
          <w:szCs w:val="22"/>
        </w:rPr>
      </w:pPr>
    </w:p>
    <w:p w14:paraId="79C89257" w14:textId="77777777" w:rsidR="00755B38" w:rsidRPr="000B7ED7" w:rsidRDefault="00755B38" w:rsidP="00836192">
      <w:pPr>
        <w:pStyle w:val="Prrafodelista"/>
        <w:tabs>
          <w:tab w:val="left" w:pos="567"/>
        </w:tabs>
        <w:spacing w:line="360" w:lineRule="auto"/>
        <w:ind w:left="0"/>
        <w:jc w:val="both"/>
        <w:rPr>
          <w:rFonts w:ascii="Palatino Linotype" w:hAnsi="Palatino Linotype" w:cs="Tahoma"/>
          <w:szCs w:val="22"/>
        </w:rPr>
      </w:pPr>
    </w:p>
    <w:p w14:paraId="432445B6" w14:textId="689E8398" w:rsidR="00877872" w:rsidRPr="00877872" w:rsidRDefault="0086262C" w:rsidP="00877872">
      <w:pPr>
        <w:tabs>
          <w:tab w:val="left" w:pos="4667"/>
        </w:tabs>
        <w:spacing w:line="360" w:lineRule="auto"/>
        <w:ind w:left="567" w:right="567"/>
        <w:jc w:val="both"/>
        <w:rPr>
          <w:rFonts w:ascii="Palatino Linotype" w:hAnsi="Palatino Linotype" w:cs="Tahoma"/>
          <w:b/>
          <w:bCs/>
          <w:i/>
        </w:rPr>
      </w:pPr>
      <w:r w:rsidRPr="000B7ED7">
        <w:rPr>
          <w:rFonts w:ascii="Palatino Linotype" w:hAnsi="Palatino Linotype" w:cs="Tahoma"/>
          <w:b/>
          <w:bCs/>
          <w:i/>
        </w:rPr>
        <w:lastRenderedPageBreak/>
        <w:t>“</w:t>
      </w:r>
      <w:r w:rsidR="00836192" w:rsidRPr="000B7ED7">
        <w:rPr>
          <w:rFonts w:ascii="Palatino Linotype" w:hAnsi="Palatino Linotype" w:cs="Tahoma"/>
          <w:b/>
          <w:bCs/>
          <w:i/>
        </w:rPr>
        <w:t>DESCRIPCIÓN CLARA Y PRECISA DE LA INFORMACIÓN SOLICITADA</w:t>
      </w:r>
    </w:p>
    <w:p w14:paraId="5BF45220" w14:textId="61933D2B" w:rsidR="00836192" w:rsidRPr="000B7ED7" w:rsidRDefault="00877872" w:rsidP="00877872">
      <w:pPr>
        <w:tabs>
          <w:tab w:val="left" w:pos="4667"/>
        </w:tabs>
        <w:spacing w:line="360" w:lineRule="auto"/>
        <w:ind w:left="567" w:right="567"/>
        <w:jc w:val="both"/>
        <w:rPr>
          <w:rFonts w:ascii="Palatino Linotype" w:hAnsi="Palatino Linotype" w:cs="Tahoma"/>
          <w:bCs/>
          <w:i/>
        </w:rPr>
      </w:pPr>
      <w:r w:rsidRPr="00877872">
        <w:rPr>
          <w:rFonts w:ascii="Palatino Linotype" w:hAnsi="Palatino Linotype" w:cs="Tahoma"/>
          <w:bCs/>
          <w:i/>
        </w:rPr>
        <w:t>Me podrías proporcionar la declaración patrimonial de la presidenta y el cabildo realizada en el 2021</w:t>
      </w:r>
      <w:r w:rsidR="0086262C" w:rsidRPr="000B7ED7">
        <w:rPr>
          <w:rFonts w:ascii="Palatino Linotype" w:hAnsi="Palatino Linotype" w:cs="Tahoma"/>
          <w:bCs/>
          <w:i/>
        </w:rPr>
        <w:t>”</w:t>
      </w:r>
      <w:r w:rsidR="00CF6D4F">
        <w:rPr>
          <w:rFonts w:ascii="Palatino Linotype" w:hAnsi="Palatino Linotype" w:cs="Tahoma"/>
          <w:bCs/>
          <w:i/>
        </w:rPr>
        <w:t xml:space="preserve"> </w:t>
      </w:r>
      <w:r w:rsidR="00836192" w:rsidRPr="000B7ED7">
        <w:rPr>
          <w:rFonts w:ascii="Palatino Linotype" w:hAnsi="Palatino Linotype" w:cs="Tahoma"/>
          <w:bCs/>
          <w:i/>
        </w:rPr>
        <w:t>(Sic)</w:t>
      </w:r>
    </w:p>
    <w:p w14:paraId="46FF76E2" w14:textId="77777777" w:rsidR="00836192" w:rsidRPr="000B7ED7" w:rsidRDefault="00836192" w:rsidP="00836192">
      <w:pPr>
        <w:tabs>
          <w:tab w:val="left" w:pos="4667"/>
        </w:tabs>
        <w:spacing w:line="360" w:lineRule="auto"/>
        <w:ind w:left="567" w:right="567"/>
        <w:jc w:val="both"/>
        <w:rPr>
          <w:rFonts w:ascii="Palatino Linotype" w:hAnsi="Palatino Linotype" w:cs="Tahoma"/>
          <w:bCs/>
          <w:i/>
        </w:rPr>
      </w:pPr>
    </w:p>
    <w:p w14:paraId="51808D19" w14:textId="6107408E" w:rsidR="00836192" w:rsidRPr="000B7ED7" w:rsidRDefault="007D2BD0" w:rsidP="00836192">
      <w:pPr>
        <w:tabs>
          <w:tab w:val="left" w:pos="4667"/>
        </w:tabs>
        <w:spacing w:line="360" w:lineRule="auto"/>
        <w:ind w:left="567" w:right="567"/>
        <w:jc w:val="both"/>
        <w:rPr>
          <w:rFonts w:ascii="Palatino Linotype" w:hAnsi="Palatino Linotype" w:cs="Tahoma"/>
          <w:bCs/>
          <w:i/>
        </w:rPr>
      </w:pPr>
      <w:r>
        <w:rPr>
          <w:rFonts w:ascii="Palatino Linotype" w:hAnsi="Palatino Linotype" w:cs="Tahoma"/>
          <w:b/>
          <w:bCs/>
          <w:i/>
        </w:rPr>
        <w:t>“</w:t>
      </w:r>
      <w:r w:rsidR="00836192" w:rsidRPr="000B7ED7">
        <w:rPr>
          <w:rFonts w:ascii="Palatino Linotype" w:hAnsi="Palatino Linotype" w:cs="Tahoma"/>
          <w:b/>
          <w:bCs/>
          <w:i/>
        </w:rPr>
        <w:t>MODALIDAD DE ENTREGA</w:t>
      </w:r>
    </w:p>
    <w:p w14:paraId="4BB1DF7C" w14:textId="51851A88" w:rsidR="00836192" w:rsidRPr="000B7ED7" w:rsidRDefault="00836192" w:rsidP="00836192">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Cs/>
          <w:i/>
        </w:rPr>
        <w:t>A través del SAIMEX</w:t>
      </w:r>
      <w:r w:rsidR="007D2BD0">
        <w:rPr>
          <w:rFonts w:ascii="Palatino Linotype" w:hAnsi="Palatino Linotype" w:cs="Tahoma"/>
          <w:bCs/>
          <w:i/>
        </w:rPr>
        <w:t>”</w:t>
      </w:r>
    </w:p>
    <w:p w14:paraId="67FD01F9" w14:textId="77777777" w:rsidR="005864BF" w:rsidRPr="005864BF" w:rsidRDefault="005864BF" w:rsidP="005864BF">
      <w:pPr>
        <w:tabs>
          <w:tab w:val="left" w:pos="4667"/>
        </w:tabs>
        <w:spacing w:line="360" w:lineRule="auto"/>
        <w:ind w:right="567"/>
        <w:jc w:val="both"/>
        <w:rPr>
          <w:rFonts w:ascii="Palatino Linotype" w:hAnsi="Palatino Linotype" w:cs="Tahoma"/>
          <w:b/>
          <w:bCs/>
          <w:sz w:val="22"/>
          <w:szCs w:val="24"/>
        </w:rPr>
      </w:pPr>
    </w:p>
    <w:p w14:paraId="70419A07" w14:textId="242B4A6B" w:rsidR="005864BF" w:rsidRPr="005864BF" w:rsidRDefault="005864BF" w:rsidP="005864BF">
      <w:pPr>
        <w:tabs>
          <w:tab w:val="left" w:pos="4667"/>
        </w:tabs>
        <w:spacing w:line="360" w:lineRule="auto"/>
        <w:ind w:right="567"/>
        <w:jc w:val="both"/>
        <w:rPr>
          <w:rFonts w:ascii="Palatino Linotype" w:hAnsi="Palatino Linotype" w:cs="Tahoma"/>
          <w:b/>
          <w:bCs/>
          <w:sz w:val="22"/>
          <w:szCs w:val="24"/>
        </w:rPr>
      </w:pPr>
      <w:r w:rsidRPr="005864BF">
        <w:rPr>
          <w:rFonts w:ascii="Palatino Linotype" w:hAnsi="Palatino Linotype" w:cs="Tahoma"/>
          <w:b/>
          <w:bCs/>
          <w:sz w:val="22"/>
          <w:szCs w:val="24"/>
        </w:rPr>
        <w:t xml:space="preserve">II. </w:t>
      </w:r>
      <w:r w:rsidRPr="005864BF">
        <w:rPr>
          <w:rFonts w:ascii="Palatino Linotype" w:hAnsi="Palatino Linotype" w:cs="Tahoma"/>
          <w:b/>
          <w:sz w:val="22"/>
          <w:szCs w:val="24"/>
        </w:rPr>
        <w:t>Respuesta</w:t>
      </w:r>
      <w:r w:rsidRPr="005864BF">
        <w:rPr>
          <w:rFonts w:ascii="Palatino Linotype" w:hAnsi="Palatino Linotype" w:cs="Tahoma"/>
          <w:b/>
          <w:bCs/>
          <w:sz w:val="22"/>
          <w:szCs w:val="24"/>
        </w:rPr>
        <w:t xml:space="preserve"> del Sujeto Obligado.</w:t>
      </w:r>
    </w:p>
    <w:p w14:paraId="41C1F271"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bCs/>
          <w:szCs w:val="22"/>
        </w:rPr>
      </w:pPr>
    </w:p>
    <w:p w14:paraId="75479242" w14:textId="40D2E35F" w:rsidR="0086262C" w:rsidRPr="000B7ED7" w:rsidRDefault="0086262C" w:rsidP="00836192">
      <w:pPr>
        <w:pStyle w:val="Prrafodelista"/>
        <w:tabs>
          <w:tab w:val="left" w:pos="567"/>
        </w:tabs>
        <w:spacing w:line="360" w:lineRule="auto"/>
        <w:ind w:left="0"/>
        <w:jc w:val="both"/>
        <w:rPr>
          <w:rFonts w:ascii="Palatino Linotype" w:hAnsi="Palatino Linotype" w:cs="Tahoma"/>
          <w:szCs w:val="22"/>
        </w:rPr>
      </w:pPr>
      <w:r w:rsidRPr="000B7ED7">
        <w:rPr>
          <w:rFonts w:ascii="Palatino Linotype" w:hAnsi="Palatino Linotype" w:cs="Tahoma"/>
          <w:bCs/>
          <w:szCs w:val="22"/>
        </w:rPr>
        <w:t xml:space="preserve">El </w:t>
      </w:r>
      <w:r w:rsidR="00877872">
        <w:rPr>
          <w:rFonts w:ascii="Palatino Linotype" w:hAnsi="Palatino Linotype" w:cs="Tahoma"/>
          <w:bCs/>
          <w:szCs w:val="22"/>
        </w:rPr>
        <w:t>veintiuno</w:t>
      </w:r>
      <w:r w:rsidRPr="000B7ED7">
        <w:rPr>
          <w:rFonts w:ascii="Palatino Linotype" w:hAnsi="Palatino Linotype" w:cs="Tahoma"/>
          <w:bCs/>
          <w:szCs w:val="22"/>
        </w:rPr>
        <w:t xml:space="preserve"> de </w:t>
      </w:r>
      <w:r w:rsidR="00877872">
        <w:rPr>
          <w:rFonts w:ascii="Palatino Linotype" w:hAnsi="Palatino Linotype" w:cs="Tahoma"/>
          <w:bCs/>
          <w:szCs w:val="22"/>
        </w:rPr>
        <w:t>abril</w:t>
      </w:r>
      <w:r w:rsidR="00C43D9A">
        <w:rPr>
          <w:rFonts w:ascii="Palatino Linotype" w:hAnsi="Palatino Linotype" w:cs="Tahoma"/>
          <w:bCs/>
          <w:szCs w:val="22"/>
        </w:rPr>
        <w:t xml:space="preserve"> </w:t>
      </w:r>
      <w:r w:rsidR="00836192" w:rsidRPr="000B7ED7">
        <w:rPr>
          <w:rFonts w:ascii="Palatino Linotype" w:hAnsi="Palatino Linotype" w:cs="Tahoma"/>
          <w:bCs/>
          <w:szCs w:val="22"/>
        </w:rPr>
        <w:t>de dos mil veinti</w:t>
      </w:r>
      <w:r w:rsidR="00C43D9A">
        <w:rPr>
          <w:rFonts w:ascii="Palatino Linotype" w:hAnsi="Palatino Linotype" w:cs="Tahoma"/>
          <w:bCs/>
          <w:szCs w:val="22"/>
        </w:rPr>
        <w:t>dós</w:t>
      </w:r>
      <w:r w:rsidR="00836192" w:rsidRPr="000B7ED7">
        <w:rPr>
          <w:rFonts w:ascii="Palatino Linotype" w:hAnsi="Palatino Linotype" w:cs="Tahoma"/>
          <w:bCs/>
          <w:szCs w:val="22"/>
        </w:rPr>
        <w:t>,</w:t>
      </w:r>
      <w:r w:rsidR="00836192" w:rsidRPr="000B7ED7">
        <w:rPr>
          <w:rFonts w:ascii="Palatino Linotype" w:hAnsi="Palatino Linotype" w:cs="Tahoma"/>
          <w:szCs w:val="22"/>
        </w:rPr>
        <w:t xml:space="preserve"> </w:t>
      </w:r>
      <w:r w:rsidR="00C43D9A">
        <w:rPr>
          <w:rFonts w:ascii="Palatino Linotype" w:hAnsi="Palatino Linotype" w:cs="Tahoma"/>
          <w:szCs w:val="22"/>
        </w:rPr>
        <w:t xml:space="preserve">el </w:t>
      </w:r>
      <w:r w:rsidR="00EA7CDF" w:rsidRPr="00EA7CDF">
        <w:rPr>
          <w:rFonts w:ascii="Palatino Linotype" w:hAnsi="Palatino Linotype" w:cs="Tahoma"/>
          <w:szCs w:val="22"/>
        </w:rPr>
        <w:t>Ayuntamiento de Santo Tomas</w:t>
      </w:r>
      <w:r w:rsidR="00836192" w:rsidRPr="000B7ED7">
        <w:rPr>
          <w:rFonts w:ascii="Palatino Linotype" w:hAnsi="Palatino Linotype" w:cs="Tahoma"/>
          <w:szCs w:val="22"/>
        </w:rPr>
        <w:t xml:space="preserve"> notificó al Solicitante, mediante el Sistema de Acceso a la Información Mexiquense (SAIMEX), la respuesta a la solicitud de acceso a la</w:t>
      </w:r>
      <w:r w:rsidRPr="000B7ED7">
        <w:rPr>
          <w:rFonts w:ascii="Palatino Linotype" w:hAnsi="Palatino Linotype" w:cs="Tahoma"/>
          <w:szCs w:val="22"/>
        </w:rPr>
        <w:t xml:space="preserve"> </w:t>
      </w:r>
      <w:r w:rsidR="00836192" w:rsidRPr="000B7ED7">
        <w:rPr>
          <w:rFonts w:ascii="Palatino Linotype" w:hAnsi="Palatino Linotype" w:cs="Tahoma"/>
          <w:szCs w:val="22"/>
        </w:rPr>
        <w:t xml:space="preserve">información, </w:t>
      </w:r>
      <w:r w:rsidR="00755B38">
        <w:rPr>
          <w:rFonts w:ascii="Palatino Linotype" w:hAnsi="Palatino Linotype" w:cs="Tahoma"/>
          <w:szCs w:val="22"/>
        </w:rPr>
        <w:t>por medio</w:t>
      </w:r>
      <w:r w:rsidRPr="000B7ED7">
        <w:rPr>
          <w:rFonts w:ascii="Palatino Linotype" w:hAnsi="Palatino Linotype" w:cs="Tahoma"/>
          <w:szCs w:val="22"/>
        </w:rPr>
        <w:t xml:space="preserve"> del oficio número </w:t>
      </w:r>
      <w:r w:rsidR="00590D0A">
        <w:rPr>
          <w:rFonts w:ascii="Palatino Linotype" w:hAnsi="Palatino Linotype" w:cs="Tahoma"/>
          <w:szCs w:val="22"/>
        </w:rPr>
        <w:t>ST/PM/UT/</w:t>
      </w:r>
      <w:r w:rsidR="00590D0A" w:rsidRPr="00F54161">
        <w:rPr>
          <w:rFonts w:ascii="Palatino Linotype" w:eastAsia="Calibri" w:hAnsi="Palatino Linotype" w:cs="Tahoma"/>
          <w:bCs/>
          <w:szCs w:val="22"/>
          <w:lang w:eastAsia="en-US"/>
        </w:rPr>
        <w:t>1</w:t>
      </w:r>
      <w:r w:rsidR="00590D0A">
        <w:rPr>
          <w:rFonts w:ascii="Palatino Linotype" w:hAnsi="Palatino Linotype" w:cs="Tahoma"/>
          <w:szCs w:val="22"/>
        </w:rPr>
        <w:t>03/2022</w:t>
      </w:r>
      <w:r w:rsidRPr="000B7ED7">
        <w:rPr>
          <w:rFonts w:ascii="Palatino Linotype" w:hAnsi="Palatino Linotype" w:cs="Tahoma"/>
          <w:szCs w:val="22"/>
        </w:rPr>
        <w:t xml:space="preserve">, del </w:t>
      </w:r>
      <w:r w:rsidR="00590D0A">
        <w:rPr>
          <w:rFonts w:ascii="Palatino Linotype" w:hAnsi="Palatino Linotype" w:cs="Tahoma"/>
          <w:szCs w:val="22"/>
        </w:rPr>
        <w:t xml:space="preserve">veinte </w:t>
      </w:r>
      <w:r w:rsidR="00F86B39">
        <w:rPr>
          <w:rFonts w:ascii="Palatino Linotype" w:hAnsi="Palatino Linotype" w:cs="Tahoma"/>
          <w:szCs w:val="22"/>
        </w:rPr>
        <w:t>del mimo mes y año</w:t>
      </w:r>
      <w:r w:rsidRPr="000B7ED7">
        <w:rPr>
          <w:rFonts w:ascii="Palatino Linotype" w:hAnsi="Palatino Linotype" w:cs="Tahoma"/>
          <w:szCs w:val="22"/>
        </w:rPr>
        <w:t xml:space="preserve">, suscrito por </w:t>
      </w:r>
      <w:r w:rsidR="002F4964">
        <w:rPr>
          <w:rFonts w:ascii="Palatino Linotype" w:hAnsi="Palatino Linotype" w:cs="Tahoma"/>
          <w:szCs w:val="22"/>
        </w:rPr>
        <w:t xml:space="preserve">el </w:t>
      </w:r>
      <w:r w:rsidR="00590D0A">
        <w:rPr>
          <w:rFonts w:ascii="Palatino Linotype" w:hAnsi="Palatino Linotype" w:cs="Tahoma"/>
          <w:szCs w:val="22"/>
        </w:rPr>
        <w:t>Titular de la Unidad de Transparencia</w:t>
      </w:r>
      <w:r w:rsidR="007D2BD0">
        <w:rPr>
          <w:rFonts w:ascii="Palatino Linotype" w:hAnsi="Palatino Linotype" w:cs="Tahoma"/>
          <w:szCs w:val="22"/>
        </w:rPr>
        <w:t xml:space="preserve"> y dirigido al </w:t>
      </w:r>
      <w:r w:rsidR="00590D0A">
        <w:rPr>
          <w:rFonts w:ascii="Palatino Linotype" w:hAnsi="Palatino Linotype" w:cs="Tahoma"/>
          <w:szCs w:val="22"/>
        </w:rPr>
        <w:t>Solicitante</w:t>
      </w:r>
      <w:r w:rsidR="00F70958">
        <w:rPr>
          <w:rFonts w:ascii="Palatino Linotype" w:hAnsi="Palatino Linotype" w:cs="Tahoma"/>
          <w:szCs w:val="22"/>
        </w:rPr>
        <w:t>,</w:t>
      </w:r>
      <w:r w:rsidRPr="000B7ED7">
        <w:rPr>
          <w:rFonts w:ascii="Palatino Linotype" w:hAnsi="Palatino Linotype" w:cs="Tahoma"/>
          <w:szCs w:val="22"/>
        </w:rPr>
        <w:t xml:space="preserve"> por medio del cual manifiesta y expone: </w:t>
      </w:r>
    </w:p>
    <w:p w14:paraId="170E655A" w14:textId="1E52E73E" w:rsidR="0086262C" w:rsidRPr="000B7ED7" w:rsidRDefault="0086262C" w:rsidP="00D618BD">
      <w:pPr>
        <w:pStyle w:val="Prrafodelista"/>
        <w:tabs>
          <w:tab w:val="left" w:pos="567"/>
        </w:tabs>
        <w:ind w:left="0"/>
        <w:jc w:val="both"/>
        <w:rPr>
          <w:rFonts w:ascii="Palatino Linotype" w:hAnsi="Palatino Linotype" w:cs="Tahoma"/>
          <w:szCs w:val="22"/>
        </w:rPr>
      </w:pPr>
    </w:p>
    <w:p w14:paraId="6D7DFC2E" w14:textId="0A23571F" w:rsidR="0086262C" w:rsidRPr="000B7ED7" w:rsidRDefault="0086262C" w:rsidP="008B0751">
      <w:pPr>
        <w:pStyle w:val="Prrafodelista"/>
        <w:tabs>
          <w:tab w:val="left" w:pos="567"/>
        </w:tabs>
        <w:spacing w:line="360" w:lineRule="auto"/>
        <w:ind w:left="567" w:right="567"/>
        <w:jc w:val="both"/>
        <w:rPr>
          <w:rFonts w:ascii="Palatino Linotype" w:hAnsi="Palatino Linotype" w:cs="Tahoma"/>
          <w:i/>
          <w:iCs/>
          <w:sz w:val="20"/>
          <w:szCs w:val="20"/>
        </w:rPr>
      </w:pPr>
      <w:r w:rsidRPr="000B7ED7">
        <w:rPr>
          <w:rFonts w:ascii="Palatino Linotype" w:hAnsi="Palatino Linotype" w:cs="Tahoma"/>
          <w:i/>
          <w:iCs/>
          <w:sz w:val="20"/>
          <w:szCs w:val="20"/>
        </w:rPr>
        <w:t>“…</w:t>
      </w:r>
    </w:p>
    <w:p w14:paraId="70985F0C" w14:textId="6177FFAE" w:rsidR="00366F72" w:rsidRPr="00366F72" w:rsidRDefault="00366F72" w:rsidP="00366F72">
      <w:pPr>
        <w:pStyle w:val="Prrafodelista"/>
        <w:tabs>
          <w:tab w:val="left" w:pos="567"/>
        </w:tabs>
        <w:spacing w:line="360" w:lineRule="auto"/>
        <w:ind w:left="567" w:right="567"/>
        <w:jc w:val="both"/>
        <w:rPr>
          <w:rFonts w:ascii="Palatino Linotype" w:hAnsi="Palatino Linotype" w:cs="Tahoma"/>
          <w:i/>
          <w:iCs/>
          <w:sz w:val="20"/>
          <w:szCs w:val="20"/>
        </w:rPr>
      </w:pPr>
      <w:r w:rsidRPr="00366F72">
        <w:rPr>
          <w:rFonts w:ascii="Palatino Linotype" w:hAnsi="Palatino Linotype" w:cs="Tahoma"/>
          <w:i/>
          <w:iCs/>
          <w:sz w:val="20"/>
          <w:szCs w:val="20"/>
        </w:rPr>
        <w:t xml:space="preserve">Con fundamento en lo dispuesto por los </w:t>
      </w:r>
      <w:r w:rsidR="00590D0A" w:rsidRPr="00366F72">
        <w:rPr>
          <w:rFonts w:ascii="Palatino Linotype" w:hAnsi="Palatino Linotype" w:cs="Tahoma"/>
          <w:i/>
          <w:iCs/>
          <w:sz w:val="20"/>
          <w:szCs w:val="20"/>
        </w:rPr>
        <w:t>artículos</w:t>
      </w:r>
      <w:r w:rsidRPr="00366F72">
        <w:rPr>
          <w:rFonts w:ascii="Palatino Linotype" w:hAnsi="Palatino Linotype" w:cs="Tahoma"/>
          <w:i/>
          <w:iCs/>
          <w:sz w:val="20"/>
          <w:szCs w:val="20"/>
        </w:rPr>
        <w:t xml:space="preserve"> 12 segundo párrafo, 23 fracción IV, 24 tercer párrafo, 162 y 167 de la Ley de Transparencia y Acceso a la Información Pública del Estado de México y Municipios, hago de su conocimiento que, el Ayuntamiento de Santo Tomás, de acuerdo con su Band</w:t>
      </w:r>
      <w:r w:rsidR="00590D0A">
        <w:rPr>
          <w:rFonts w:ascii="Palatino Linotype" w:hAnsi="Palatino Linotype" w:cs="Tahoma"/>
          <w:i/>
          <w:iCs/>
          <w:sz w:val="20"/>
          <w:szCs w:val="20"/>
        </w:rPr>
        <w:t>o</w:t>
      </w:r>
      <w:r w:rsidRPr="00366F72">
        <w:rPr>
          <w:rFonts w:ascii="Palatino Linotype" w:hAnsi="Palatino Linotype" w:cs="Tahoma"/>
          <w:i/>
          <w:iCs/>
          <w:sz w:val="20"/>
          <w:szCs w:val="20"/>
        </w:rPr>
        <w:t xml:space="preserve"> Municipal 2022 y demás normatividad, no establece atribuciones en lo referente al control y registro de declaraciones patrimoniales, ya que es una información generada directamente por los servidores públicos y requisitada de</w:t>
      </w:r>
      <w:r w:rsidRPr="00366F72">
        <w:t xml:space="preserve"> </w:t>
      </w:r>
      <w:r w:rsidRPr="00366F72">
        <w:rPr>
          <w:rFonts w:ascii="Palatino Linotype" w:hAnsi="Palatino Linotype" w:cs="Tahoma"/>
          <w:i/>
          <w:iCs/>
          <w:sz w:val="20"/>
          <w:szCs w:val="20"/>
        </w:rPr>
        <w:t xml:space="preserve">manera personal través del sistema DECLARANET, con el siguiente link a </w:t>
      </w:r>
      <w:hyperlink r:id="rId8" w:history="1">
        <w:r w:rsidRPr="00433C02">
          <w:rPr>
            <w:rStyle w:val="Hipervnculo"/>
            <w:rFonts w:ascii="Palatino Linotype" w:hAnsi="Palatino Linotype" w:cs="Tahoma"/>
            <w:i/>
            <w:iCs/>
            <w:sz w:val="20"/>
            <w:szCs w:val="20"/>
          </w:rPr>
          <w:t>https://dedaranet.secogem.gob.mx/</w:t>
        </w:r>
      </w:hyperlink>
      <w:r>
        <w:rPr>
          <w:rFonts w:ascii="Palatino Linotype" w:hAnsi="Palatino Linotype" w:cs="Tahoma"/>
          <w:i/>
          <w:iCs/>
          <w:sz w:val="20"/>
          <w:szCs w:val="20"/>
        </w:rPr>
        <w:t xml:space="preserve"> </w:t>
      </w:r>
      <w:r w:rsidRPr="00366F72">
        <w:rPr>
          <w:rFonts w:ascii="Palatino Linotype" w:hAnsi="Palatino Linotype" w:cs="Tahoma"/>
          <w:i/>
          <w:iCs/>
          <w:sz w:val="20"/>
          <w:szCs w:val="20"/>
        </w:rPr>
        <w:t>por lo tanto no es posible atender su requerimiento.</w:t>
      </w:r>
    </w:p>
    <w:p w14:paraId="2083454C" w14:textId="77777777" w:rsidR="00366F72" w:rsidRPr="00366F72" w:rsidRDefault="00366F72" w:rsidP="00366F72">
      <w:pPr>
        <w:pStyle w:val="Prrafodelista"/>
        <w:tabs>
          <w:tab w:val="left" w:pos="567"/>
        </w:tabs>
        <w:spacing w:line="360" w:lineRule="auto"/>
        <w:ind w:left="567" w:right="567"/>
        <w:jc w:val="both"/>
        <w:rPr>
          <w:rFonts w:ascii="Palatino Linotype" w:hAnsi="Palatino Linotype" w:cs="Tahoma"/>
          <w:i/>
          <w:iCs/>
          <w:sz w:val="20"/>
          <w:szCs w:val="20"/>
        </w:rPr>
      </w:pPr>
    </w:p>
    <w:p w14:paraId="67064ADA" w14:textId="3C2B62E2" w:rsidR="00366F72" w:rsidRPr="00366F72" w:rsidRDefault="00366F72" w:rsidP="00366F72">
      <w:pPr>
        <w:pStyle w:val="Prrafodelista"/>
        <w:tabs>
          <w:tab w:val="left" w:pos="567"/>
        </w:tabs>
        <w:spacing w:line="360" w:lineRule="auto"/>
        <w:ind w:left="567" w:right="567"/>
        <w:jc w:val="both"/>
        <w:rPr>
          <w:rFonts w:ascii="Palatino Linotype" w:hAnsi="Palatino Linotype" w:cs="Tahoma"/>
          <w:i/>
          <w:iCs/>
          <w:sz w:val="20"/>
          <w:szCs w:val="20"/>
        </w:rPr>
      </w:pPr>
      <w:r w:rsidRPr="00366F72">
        <w:rPr>
          <w:rFonts w:ascii="Palatino Linotype" w:hAnsi="Palatino Linotype" w:cs="Tahoma"/>
          <w:i/>
          <w:iCs/>
          <w:sz w:val="20"/>
          <w:szCs w:val="20"/>
        </w:rPr>
        <w:t>Por otra parte bajo el principio de máxima publicidad, sugiero respetuosamente, dirija su solicitud a la Secretaría de la Contraloría del Estado de México, quien de acuerdo a lo establecido en el artículo 38 b</w:t>
      </w:r>
      <w:r w:rsidR="00E950B4">
        <w:rPr>
          <w:rFonts w:ascii="Palatino Linotype" w:hAnsi="Palatino Linotype" w:cs="Tahoma"/>
          <w:i/>
          <w:iCs/>
          <w:sz w:val="20"/>
          <w:szCs w:val="20"/>
        </w:rPr>
        <w:t>i</w:t>
      </w:r>
      <w:r w:rsidRPr="00366F72">
        <w:rPr>
          <w:rFonts w:ascii="Palatino Linotype" w:hAnsi="Palatino Linotype" w:cs="Tahoma"/>
          <w:i/>
          <w:iCs/>
          <w:sz w:val="20"/>
          <w:szCs w:val="20"/>
        </w:rPr>
        <w:t xml:space="preserve">s, fracción XVII de la Ley Orgánica de la Administración Pública del Estado de México, establece que es la encargada de recibir y registrar la declaración de situación </w:t>
      </w:r>
      <w:r w:rsidRPr="00366F72">
        <w:rPr>
          <w:rFonts w:ascii="Palatino Linotype" w:hAnsi="Palatino Linotype" w:cs="Tahoma"/>
          <w:i/>
          <w:iCs/>
          <w:sz w:val="20"/>
          <w:szCs w:val="20"/>
        </w:rPr>
        <w:lastRenderedPageBreak/>
        <w:t>patrimonial, de intereses y la presentación de la constancia de declaración fiscal y es sujeto obligado en términos del artículo 23 fracción, de la Ley de Transparencia antes mencionada y atenderá su petición en el ámbito de su competencia</w:t>
      </w:r>
      <w:r w:rsidR="00E950B4">
        <w:rPr>
          <w:rFonts w:ascii="Palatino Linotype" w:hAnsi="Palatino Linotype" w:cs="Tahoma"/>
          <w:i/>
          <w:iCs/>
          <w:sz w:val="20"/>
          <w:szCs w:val="20"/>
        </w:rPr>
        <w:t>.</w:t>
      </w:r>
    </w:p>
    <w:p w14:paraId="777269A7" w14:textId="77777777" w:rsidR="00366F72" w:rsidRPr="00366F72" w:rsidRDefault="00366F72" w:rsidP="00366F72">
      <w:pPr>
        <w:pStyle w:val="Prrafodelista"/>
        <w:tabs>
          <w:tab w:val="left" w:pos="567"/>
        </w:tabs>
        <w:spacing w:line="360" w:lineRule="auto"/>
        <w:ind w:left="567" w:right="567"/>
        <w:jc w:val="both"/>
        <w:rPr>
          <w:rFonts w:ascii="Palatino Linotype" w:hAnsi="Palatino Linotype" w:cs="Tahoma"/>
          <w:i/>
          <w:iCs/>
          <w:sz w:val="20"/>
          <w:szCs w:val="20"/>
        </w:rPr>
      </w:pPr>
    </w:p>
    <w:p w14:paraId="4D6CDFD8" w14:textId="77777777" w:rsidR="00E950B4" w:rsidRDefault="00366F72" w:rsidP="00366F72">
      <w:pPr>
        <w:pStyle w:val="Prrafodelista"/>
        <w:tabs>
          <w:tab w:val="left" w:pos="567"/>
        </w:tabs>
        <w:spacing w:line="360" w:lineRule="auto"/>
        <w:ind w:left="567" w:right="567"/>
        <w:jc w:val="both"/>
        <w:rPr>
          <w:rFonts w:ascii="Palatino Linotype" w:hAnsi="Palatino Linotype" w:cs="Tahoma"/>
          <w:i/>
          <w:iCs/>
          <w:sz w:val="20"/>
          <w:szCs w:val="20"/>
        </w:rPr>
      </w:pPr>
      <w:r w:rsidRPr="00366F72">
        <w:rPr>
          <w:rFonts w:ascii="Palatino Linotype" w:hAnsi="Palatino Linotype" w:cs="Tahoma"/>
          <w:i/>
          <w:iCs/>
          <w:sz w:val="20"/>
          <w:szCs w:val="20"/>
        </w:rPr>
        <w:t>En caso de ser de su interés, puede acudir a las oficinas de dicha dependencia, ubicadas en Robert Bosch esq. Primero de Mayo Número 1731, Colonia Zona Industrial, C.P. 50071, Toluca de Lerdo Estado de México o dirigir su solicitud a través del Sistema de Acceso a la Información Mexiquense (SAIMEX) y de la Plataforma Nacional de Transparencia (PNT).</w:t>
      </w:r>
    </w:p>
    <w:p w14:paraId="204CAC43" w14:textId="5F4A5B54" w:rsidR="008B0751" w:rsidRPr="000B7ED7" w:rsidRDefault="00E950B4" w:rsidP="00366F72">
      <w:pPr>
        <w:pStyle w:val="Prrafodelista"/>
        <w:tabs>
          <w:tab w:val="left" w:pos="567"/>
        </w:tabs>
        <w:spacing w:line="360" w:lineRule="auto"/>
        <w:ind w:left="567" w:right="567"/>
        <w:jc w:val="both"/>
        <w:rPr>
          <w:rFonts w:ascii="Palatino Linotype" w:hAnsi="Palatino Linotype" w:cs="Tahoma"/>
          <w:i/>
          <w:iCs/>
          <w:sz w:val="20"/>
          <w:szCs w:val="20"/>
        </w:rPr>
      </w:pPr>
      <w:r>
        <w:rPr>
          <w:rFonts w:ascii="Palatino Linotype" w:hAnsi="Palatino Linotype" w:cs="Tahoma"/>
          <w:i/>
          <w:iCs/>
          <w:sz w:val="20"/>
          <w:szCs w:val="20"/>
        </w:rPr>
        <w:t>…</w:t>
      </w:r>
      <w:r w:rsidR="008B0751" w:rsidRPr="000B7ED7">
        <w:rPr>
          <w:rFonts w:ascii="Palatino Linotype" w:hAnsi="Palatino Linotype" w:cs="Tahoma"/>
          <w:i/>
          <w:iCs/>
          <w:sz w:val="20"/>
          <w:szCs w:val="20"/>
        </w:rPr>
        <w:t xml:space="preserve">(Sic) </w:t>
      </w:r>
    </w:p>
    <w:p w14:paraId="5C4A0E2C" w14:textId="77777777" w:rsidR="00836192" w:rsidRPr="000B7ED7" w:rsidRDefault="00836192" w:rsidP="00836192">
      <w:pPr>
        <w:pStyle w:val="Prrafodelista"/>
        <w:tabs>
          <w:tab w:val="left" w:pos="567"/>
        </w:tabs>
        <w:spacing w:line="360" w:lineRule="auto"/>
        <w:ind w:left="0"/>
        <w:jc w:val="both"/>
        <w:rPr>
          <w:rFonts w:ascii="Palatino Linotype" w:hAnsi="Palatino Linotype" w:cs="Tahoma"/>
          <w:szCs w:val="22"/>
        </w:rPr>
      </w:pPr>
    </w:p>
    <w:p w14:paraId="200EA5F2" w14:textId="431C0F25" w:rsidR="00836192" w:rsidRPr="000B7ED7" w:rsidRDefault="00836192" w:rsidP="00836192">
      <w:pPr>
        <w:autoSpaceDE w:val="0"/>
        <w:autoSpaceDN w:val="0"/>
        <w:adjustRightInd w:val="0"/>
        <w:spacing w:line="360" w:lineRule="auto"/>
        <w:jc w:val="both"/>
        <w:rPr>
          <w:rFonts w:ascii="Palatino Linotype" w:hAnsi="Palatino Linotype" w:cs="Tahoma"/>
          <w:b/>
          <w:sz w:val="22"/>
          <w:szCs w:val="22"/>
        </w:rPr>
      </w:pPr>
      <w:r w:rsidRPr="000B7ED7">
        <w:rPr>
          <w:rFonts w:ascii="Palatino Linotype" w:hAnsi="Palatino Linotype" w:cs="Tahoma"/>
          <w:b/>
          <w:sz w:val="22"/>
          <w:szCs w:val="22"/>
        </w:rPr>
        <w:t>I</w:t>
      </w:r>
      <w:r w:rsidR="00B312A0" w:rsidRPr="000B7ED7">
        <w:rPr>
          <w:rFonts w:ascii="Palatino Linotype" w:hAnsi="Palatino Linotype" w:cs="Tahoma"/>
          <w:b/>
          <w:sz w:val="22"/>
          <w:szCs w:val="22"/>
        </w:rPr>
        <w:t>II</w:t>
      </w:r>
      <w:r w:rsidRPr="000B7ED7">
        <w:rPr>
          <w:rFonts w:ascii="Palatino Linotype" w:hAnsi="Palatino Linotype" w:cs="Tahoma"/>
          <w:b/>
          <w:sz w:val="22"/>
          <w:szCs w:val="22"/>
        </w:rPr>
        <w:t>. Interposición del Recurso de Revisión.</w:t>
      </w:r>
    </w:p>
    <w:p w14:paraId="6D010755"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rPr>
      </w:pPr>
    </w:p>
    <w:p w14:paraId="5B834096" w14:textId="685CAA33" w:rsidR="00836192" w:rsidRPr="000B7ED7" w:rsidRDefault="00836192" w:rsidP="00836192">
      <w:pPr>
        <w:autoSpaceDE w:val="0"/>
        <w:autoSpaceDN w:val="0"/>
        <w:adjustRightInd w:val="0"/>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fecha </w:t>
      </w:r>
      <w:r w:rsidR="004042A4">
        <w:rPr>
          <w:rFonts w:ascii="Palatino Linotype" w:hAnsi="Palatino Linotype" w:cs="Tahoma"/>
          <w:sz w:val="22"/>
          <w:szCs w:val="22"/>
        </w:rPr>
        <w:t>veinti</w:t>
      </w:r>
      <w:r w:rsidR="003F4A60">
        <w:rPr>
          <w:rFonts w:ascii="Palatino Linotype" w:hAnsi="Palatino Linotype" w:cs="Tahoma"/>
          <w:sz w:val="22"/>
          <w:szCs w:val="22"/>
        </w:rPr>
        <w:t>dós</w:t>
      </w:r>
      <w:r w:rsidR="004042A4">
        <w:rPr>
          <w:rFonts w:ascii="Palatino Linotype" w:hAnsi="Palatino Linotype" w:cs="Tahoma"/>
          <w:sz w:val="22"/>
          <w:szCs w:val="22"/>
        </w:rPr>
        <w:t xml:space="preserve"> </w:t>
      </w:r>
      <w:r w:rsidR="00A828B7">
        <w:rPr>
          <w:rFonts w:ascii="Palatino Linotype" w:hAnsi="Palatino Linotype" w:cs="Tahoma"/>
          <w:sz w:val="22"/>
          <w:szCs w:val="22"/>
        </w:rPr>
        <w:t>de</w:t>
      </w:r>
      <w:r w:rsidR="007B7A1E" w:rsidRPr="000B7ED7">
        <w:rPr>
          <w:rFonts w:ascii="Palatino Linotype" w:hAnsi="Palatino Linotype" w:cs="Tahoma"/>
          <w:sz w:val="22"/>
          <w:szCs w:val="22"/>
        </w:rPr>
        <w:t xml:space="preserve"> </w:t>
      </w:r>
      <w:r w:rsidR="003F4A60">
        <w:rPr>
          <w:rFonts w:ascii="Palatino Linotype" w:hAnsi="Palatino Linotype" w:cs="Tahoma"/>
          <w:sz w:val="22"/>
          <w:szCs w:val="22"/>
        </w:rPr>
        <w:t>abril</w:t>
      </w:r>
      <w:r w:rsidRPr="000B7ED7">
        <w:rPr>
          <w:rFonts w:ascii="Palatino Linotype" w:hAnsi="Palatino Linotype" w:cs="Tahoma"/>
          <w:sz w:val="22"/>
          <w:szCs w:val="22"/>
        </w:rPr>
        <w:t xml:space="preserve"> de dos mil veinti</w:t>
      </w:r>
      <w:r w:rsidR="00A828B7">
        <w:rPr>
          <w:rFonts w:ascii="Palatino Linotype" w:hAnsi="Palatino Linotype" w:cs="Tahoma"/>
          <w:sz w:val="22"/>
          <w:szCs w:val="22"/>
        </w:rPr>
        <w:t>dós</w:t>
      </w:r>
      <w:r w:rsidRPr="000B7ED7">
        <w:rPr>
          <w:rFonts w:ascii="Palatino Linotype" w:hAnsi="Palatino Linotype" w:cs="Tahoma"/>
          <w:sz w:val="22"/>
          <w:szCs w:val="22"/>
        </w:rPr>
        <w:t xml:space="preserve">, se recibió en este </w:t>
      </w:r>
      <w:r w:rsidRPr="000B7ED7">
        <w:rPr>
          <w:rFonts w:ascii="Palatino Linotype" w:eastAsia="Calibri" w:hAnsi="Palatino Linotype" w:cs="Tahoma"/>
          <w:sz w:val="22"/>
          <w:szCs w:val="22"/>
          <w:lang w:eastAsia="en-US"/>
        </w:rPr>
        <w:t xml:space="preserve">Instituto, a través del </w:t>
      </w:r>
      <w:r w:rsidRPr="000B7ED7">
        <w:rPr>
          <w:rFonts w:ascii="Palatino Linotype" w:hAnsi="Palatino Linotype" w:cs="Tahoma"/>
          <w:sz w:val="22"/>
          <w:szCs w:val="22"/>
          <w:lang w:val="es-ES"/>
        </w:rPr>
        <w:t>Sistema de Acceso a la Información Mexiquense (SAIMEX)</w:t>
      </w:r>
      <w:r w:rsidRPr="000B7ED7">
        <w:rPr>
          <w:rFonts w:ascii="Palatino Linotype" w:hAnsi="Palatino Linotype" w:cs="Tahoma"/>
          <w:sz w:val="22"/>
          <w:szCs w:val="22"/>
        </w:rPr>
        <w:t>, el Recurso de Revisión interpuesto por la parte Recurrente, en contra de la respuesta del Sujeto Obligado, en los siguientes términos:</w:t>
      </w:r>
    </w:p>
    <w:p w14:paraId="5551AC4F" w14:textId="77777777" w:rsidR="00836192" w:rsidRPr="000B7ED7" w:rsidRDefault="00836192" w:rsidP="00836192">
      <w:pPr>
        <w:widowControl w:val="0"/>
        <w:autoSpaceDE w:val="0"/>
        <w:autoSpaceDN w:val="0"/>
        <w:adjustRightInd w:val="0"/>
        <w:spacing w:line="360" w:lineRule="auto"/>
        <w:jc w:val="both"/>
        <w:rPr>
          <w:rFonts w:ascii="Palatino Linotype" w:hAnsi="Palatino Linotype" w:cs="Tahoma"/>
          <w:sz w:val="22"/>
          <w:szCs w:val="22"/>
        </w:rPr>
      </w:pPr>
    </w:p>
    <w:p w14:paraId="394C292B" w14:textId="682997FC" w:rsidR="00836192" w:rsidRPr="000B7ED7" w:rsidRDefault="00D41CFA" w:rsidP="00836192">
      <w:pPr>
        <w:tabs>
          <w:tab w:val="left" w:pos="4667"/>
        </w:tabs>
        <w:spacing w:line="360" w:lineRule="auto"/>
        <w:ind w:left="567" w:right="567"/>
        <w:jc w:val="both"/>
        <w:rPr>
          <w:rFonts w:ascii="Palatino Linotype" w:hAnsi="Palatino Linotype" w:cs="Tahoma"/>
          <w:bCs/>
          <w:i/>
        </w:rPr>
      </w:pPr>
      <w:r w:rsidRPr="000B7ED7">
        <w:rPr>
          <w:rFonts w:ascii="Palatino Linotype" w:hAnsi="Palatino Linotype" w:cs="Tahoma"/>
          <w:b/>
          <w:bCs/>
          <w:i/>
        </w:rPr>
        <w:t>“</w:t>
      </w:r>
      <w:r w:rsidR="00836192" w:rsidRPr="000B7ED7">
        <w:rPr>
          <w:rFonts w:ascii="Palatino Linotype" w:hAnsi="Palatino Linotype" w:cs="Tahoma"/>
          <w:b/>
          <w:bCs/>
          <w:i/>
        </w:rPr>
        <w:t>ACTO IMPUGNADO</w:t>
      </w:r>
    </w:p>
    <w:p w14:paraId="39D421A0" w14:textId="79378A2A" w:rsidR="00836192" w:rsidRPr="000B7ED7" w:rsidRDefault="003F4A60" w:rsidP="00836192">
      <w:pPr>
        <w:autoSpaceDE w:val="0"/>
        <w:autoSpaceDN w:val="0"/>
        <w:adjustRightInd w:val="0"/>
        <w:spacing w:line="360" w:lineRule="auto"/>
        <w:ind w:left="567" w:right="567"/>
        <w:jc w:val="both"/>
        <w:rPr>
          <w:rFonts w:ascii="Palatino Linotype" w:hAnsi="Palatino Linotype" w:cs="Tahoma"/>
          <w:i/>
        </w:rPr>
      </w:pPr>
      <w:r w:rsidRPr="003F4A60">
        <w:rPr>
          <w:rFonts w:ascii="Palatino Linotype" w:hAnsi="Palatino Linotype" w:cs="Tahoma"/>
          <w:i/>
        </w:rPr>
        <w:t>No me proporcionaron la información solicitada</w:t>
      </w:r>
      <w:r w:rsidR="00D41CFA" w:rsidRPr="000B7ED7">
        <w:rPr>
          <w:rFonts w:ascii="Palatino Linotype" w:hAnsi="Palatino Linotype" w:cs="Tahoma"/>
          <w:i/>
        </w:rPr>
        <w:t xml:space="preserve">” </w:t>
      </w:r>
      <w:r w:rsidR="00836192" w:rsidRPr="000B7ED7">
        <w:rPr>
          <w:rFonts w:ascii="Palatino Linotype" w:hAnsi="Palatino Linotype" w:cs="Tahoma"/>
          <w:i/>
        </w:rPr>
        <w:t>(Sic.)</w:t>
      </w:r>
    </w:p>
    <w:p w14:paraId="1A1ACA26" w14:textId="77777777" w:rsidR="00836192" w:rsidRPr="000B7ED7" w:rsidRDefault="00836192" w:rsidP="00836192">
      <w:pPr>
        <w:autoSpaceDE w:val="0"/>
        <w:autoSpaceDN w:val="0"/>
        <w:adjustRightInd w:val="0"/>
        <w:spacing w:line="360" w:lineRule="auto"/>
        <w:ind w:right="567"/>
        <w:jc w:val="both"/>
        <w:rPr>
          <w:rFonts w:ascii="Palatino Linotype" w:hAnsi="Palatino Linotype" w:cs="Tahoma"/>
          <w:i/>
        </w:rPr>
      </w:pPr>
    </w:p>
    <w:p w14:paraId="10C9D12D" w14:textId="237A5F6B" w:rsidR="00836192" w:rsidRPr="000B7ED7" w:rsidRDefault="00AB0CC4" w:rsidP="00836192">
      <w:pPr>
        <w:autoSpaceDE w:val="0"/>
        <w:autoSpaceDN w:val="0"/>
        <w:adjustRightInd w:val="0"/>
        <w:spacing w:line="360" w:lineRule="auto"/>
        <w:ind w:left="567" w:right="567"/>
        <w:jc w:val="both"/>
        <w:rPr>
          <w:rFonts w:ascii="Palatino Linotype" w:hAnsi="Palatino Linotype" w:cs="Tahoma"/>
          <w:b/>
          <w:i/>
        </w:rPr>
      </w:pPr>
      <w:r w:rsidRPr="000B7ED7">
        <w:rPr>
          <w:rFonts w:ascii="Palatino Linotype" w:hAnsi="Palatino Linotype" w:cs="Tahoma"/>
          <w:b/>
          <w:i/>
        </w:rPr>
        <w:t>“</w:t>
      </w:r>
      <w:r w:rsidR="00836192" w:rsidRPr="000B7ED7">
        <w:rPr>
          <w:rFonts w:ascii="Palatino Linotype" w:hAnsi="Palatino Linotype" w:cs="Tahoma"/>
          <w:b/>
          <w:i/>
        </w:rPr>
        <w:t>RAZONES O MOTIVOS DE LA INCONFORMIDAD</w:t>
      </w:r>
    </w:p>
    <w:p w14:paraId="296A55C2" w14:textId="07075A3F" w:rsidR="00836192" w:rsidRPr="000B7ED7" w:rsidRDefault="003F4A60" w:rsidP="00836192">
      <w:pPr>
        <w:autoSpaceDE w:val="0"/>
        <w:autoSpaceDN w:val="0"/>
        <w:adjustRightInd w:val="0"/>
        <w:spacing w:line="360" w:lineRule="auto"/>
        <w:ind w:left="567" w:right="567"/>
        <w:jc w:val="both"/>
        <w:rPr>
          <w:rFonts w:ascii="Palatino Linotype" w:hAnsi="Palatino Linotype" w:cs="Tahoma"/>
          <w:i/>
        </w:rPr>
      </w:pPr>
      <w:r w:rsidRPr="003F4A60">
        <w:rPr>
          <w:rFonts w:ascii="Palatino Linotype" w:hAnsi="Palatino Linotype" w:cs="Tahoma"/>
          <w:i/>
        </w:rPr>
        <w:t>No recibí la información solicitada</w:t>
      </w:r>
      <w:r w:rsidR="00AB0CC4" w:rsidRPr="000B7ED7">
        <w:rPr>
          <w:rFonts w:ascii="Palatino Linotype" w:hAnsi="Palatino Linotype" w:cs="Tahoma"/>
          <w:i/>
        </w:rPr>
        <w:t xml:space="preserve">” </w:t>
      </w:r>
      <w:r w:rsidR="00836192" w:rsidRPr="000B7ED7">
        <w:rPr>
          <w:rFonts w:ascii="Palatino Linotype" w:hAnsi="Palatino Linotype" w:cs="Tahoma"/>
          <w:i/>
        </w:rPr>
        <w:t xml:space="preserve">(Sic) </w:t>
      </w:r>
    </w:p>
    <w:p w14:paraId="6F68C5F8" w14:textId="77777777" w:rsidR="00836192" w:rsidRPr="000B7ED7" w:rsidRDefault="00836192" w:rsidP="00836192">
      <w:pPr>
        <w:spacing w:line="360" w:lineRule="auto"/>
        <w:jc w:val="both"/>
        <w:rPr>
          <w:rFonts w:ascii="Palatino Linotype" w:hAnsi="Palatino Linotype" w:cs="Tahoma"/>
          <w:b/>
          <w:sz w:val="22"/>
          <w:szCs w:val="22"/>
        </w:rPr>
      </w:pPr>
    </w:p>
    <w:p w14:paraId="262CD250" w14:textId="77777777" w:rsidR="00836192" w:rsidRPr="000B7ED7" w:rsidRDefault="00836192" w:rsidP="00836192">
      <w:pPr>
        <w:spacing w:line="360" w:lineRule="auto"/>
        <w:jc w:val="both"/>
        <w:rPr>
          <w:rFonts w:ascii="Palatino Linotype" w:eastAsia="Batang" w:hAnsi="Palatino Linotype" w:cs="Tahoma"/>
          <w:b/>
          <w:bCs/>
          <w:sz w:val="22"/>
          <w:szCs w:val="22"/>
        </w:rPr>
      </w:pPr>
      <w:r w:rsidRPr="000B7ED7">
        <w:rPr>
          <w:rFonts w:ascii="Palatino Linotype" w:hAnsi="Palatino Linotype" w:cs="Tahoma"/>
          <w:b/>
          <w:sz w:val="22"/>
          <w:szCs w:val="22"/>
        </w:rPr>
        <w:t xml:space="preserve">IV. </w:t>
      </w:r>
      <w:r w:rsidRPr="000B7ED7">
        <w:rPr>
          <w:rFonts w:ascii="Palatino Linotype" w:eastAsia="Batang" w:hAnsi="Palatino Linotype" w:cs="Tahoma"/>
          <w:b/>
          <w:bCs/>
          <w:sz w:val="22"/>
          <w:szCs w:val="22"/>
        </w:rPr>
        <w:t xml:space="preserve">Trámite del </w:t>
      </w:r>
      <w:r w:rsidRPr="000B7ED7">
        <w:rPr>
          <w:rFonts w:ascii="Palatino Linotype" w:hAnsi="Palatino Linotype" w:cs="Tahoma"/>
          <w:b/>
          <w:sz w:val="22"/>
          <w:szCs w:val="22"/>
        </w:rPr>
        <w:t xml:space="preserve">Recurso de Revisión </w:t>
      </w:r>
      <w:r w:rsidRPr="000B7ED7">
        <w:rPr>
          <w:rFonts w:ascii="Palatino Linotype" w:eastAsia="Batang" w:hAnsi="Palatino Linotype" w:cs="Tahoma"/>
          <w:b/>
          <w:bCs/>
          <w:sz w:val="22"/>
          <w:szCs w:val="22"/>
        </w:rPr>
        <w:t>ante este Instituto.</w:t>
      </w:r>
    </w:p>
    <w:p w14:paraId="208D12AB" w14:textId="77777777" w:rsidR="00836192" w:rsidRPr="000B7ED7" w:rsidRDefault="00836192" w:rsidP="00836192">
      <w:pPr>
        <w:spacing w:line="360" w:lineRule="auto"/>
        <w:jc w:val="both"/>
        <w:rPr>
          <w:rFonts w:ascii="Palatino Linotype" w:eastAsia="Batang" w:hAnsi="Palatino Linotype" w:cs="Tahoma"/>
          <w:b/>
          <w:bCs/>
          <w:sz w:val="22"/>
          <w:szCs w:val="22"/>
        </w:rPr>
      </w:pPr>
    </w:p>
    <w:p w14:paraId="5F11E829" w14:textId="51DC1BD7" w:rsidR="00836192" w:rsidRPr="000B7ED7" w:rsidRDefault="00836192" w:rsidP="00836192">
      <w:pPr>
        <w:spacing w:line="360" w:lineRule="auto"/>
        <w:jc w:val="both"/>
        <w:rPr>
          <w:rFonts w:ascii="Palatino Linotype" w:eastAsia="Batang" w:hAnsi="Palatino Linotype" w:cs="Tahoma"/>
          <w:bCs/>
          <w:sz w:val="22"/>
          <w:szCs w:val="22"/>
        </w:rPr>
      </w:pPr>
      <w:r w:rsidRPr="000B7ED7">
        <w:rPr>
          <w:rFonts w:ascii="Palatino Linotype" w:hAnsi="Palatino Linotype"/>
          <w:b/>
          <w:bCs/>
          <w:sz w:val="22"/>
          <w:szCs w:val="22"/>
        </w:rPr>
        <w:t xml:space="preserve">a) Turno del Recurso de Revisión. </w:t>
      </w:r>
      <w:r w:rsidRPr="000B7ED7">
        <w:rPr>
          <w:rFonts w:ascii="Palatino Linotype" w:eastAsia="Batang" w:hAnsi="Palatino Linotype" w:cs="Tahoma"/>
          <w:bCs/>
          <w:sz w:val="22"/>
          <w:szCs w:val="22"/>
          <w:lang w:val="es-ES_tradnl"/>
        </w:rPr>
        <w:t xml:space="preserve">El </w:t>
      </w:r>
      <w:r w:rsidR="00F70958">
        <w:rPr>
          <w:rFonts w:ascii="Palatino Linotype" w:hAnsi="Palatino Linotype" w:cs="Tahoma"/>
          <w:sz w:val="22"/>
          <w:szCs w:val="22"/>
        </w:rPr>
        <w:t>veinti</w:t>
      </w:r>
      <w:r w:rsidR="003F4A60">
        <w:rPr>
          <w:rFonts w:ascii="Palatino Linotype" w:hAnsi="Palatino Linotype" w:cs="Tahoma"/>
          <w:sz w:val="22"/>
          <w:szCs w:val="22"/>
        </w:rPr>
        <w:t>dós</w:t>
      </w:r>
      <w:r w:rsidR="00A828B7" w:rsidRPr="00A828B7">
        <w:rPr>
          <w:rFonts w:ascii="Palatino Linotype" w:hAnsi="Palatino Linotype" w:cs="Tahoma"/>
          <w:sz w:val="22"/>
          <w:szCs w:val="22"/>
        </w:rPr>
        <w:t xml:space="preserve"> de </w:t>
      </w:r>
      <w:r w:rsidR="003F4A60">
        <w:rPr>
          <w:rFonts w:ascii="Palatino Linotype" w:hAnsi="Palatino Linotype" w:cs="Tahoma"/>
          <w:sz w:val="22"/>
          <w:szCs w:val="22"/>
        </w:rPr>
        <w:t>abril</w:t>
      </w:r>
      <w:r w:rsidR="00A828B7" w:rsidRPr="00A828B7">
        <w:rPr>
          <w:rFonts w:ascii="Palatino Linotype" w:hAnsi="Palatino Linotype" w:cs="Tahoma"/>
          <w:sz w:val="22"/>
          <w:szCs w:val="22"/>
        </w:rPr>
        <w:t xml:space="preserve"> de dos mil veintidós</w:t>
      </w:r>
      <w:r w:rsidRPr="000B7ED7">
        <w:rPr>
          <w:rFonts w:ascii="Palatino Linotype" w:eastAsia="Batang" w:hAnsi="Palatino Linotype" w:cs="Tahoma"/>
          <w:bCs/>
          <w:sz w:val="22"/>
          <w:szCs w:val="22"/>
          <w:lang w:val="es-ES_tradnl"/>
        </w:rPr>
        <w:t xml:space="preserve">, el Sistema de Acceso a la Información Mexiquense (SAIMEX), asignó el número de expediente </w:t>
      </w:r>
      <w:r w:rsidR="003F4A60" w:rsidRPr="003F4A60">
        <w:rPr>
          <w:rFonts w:ascii="Palatino Linotype" w:eastAsia="Batang" w:hAnsi="Palatino Linotype" w:cs="Tahoma"/>
          <w:b/>
          <w:sz w:val="22"/>
          <w:szCs w:val="22"/>
          <w:lang w:val="es-ES_tradnl"/>
        </w:rPr>
        <w:t>06541/INFOEM/IP/RR/2022</w:t>
      </w:r>
      <w:r w:rsidRPr="000B7ED7">
        <w:rPr>
          <w:rFonts w:ascii="Palatino Linotype" w:eastAsia="Batang" w:hAnsi="Palatino Linotype" w:cs="Tahoma"/>
          <w:bCs/>
          <w:sz w:val="22"/>
          <w:szCs w:val="22"/>
          <w:lang w:val="es-ES_tradnl"/>
        </w:rPr>
        <w:t xml:space="preserve">, al medio de impugnación que nos ocupa, con base en el </w:t>
      </w:r>
      <w:r w:rsidRPr="000B7ED7">
        <w:rPr>
          <w:rFonts w:ascii="Palatino Linotype" w:eastAsia="Batang" w:hAnsi="Palatino Linotype" w:cs="Tahoma"/>
          <w:bCs/>
          <w:sz w:val="22"/>
          <w:szCs w:val="22"/>
          <w:lang w:val="es-ES_tradnl"/>
        </w:rPr>
        <w:lastRenderedPageBreak/>
        <w:t>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D045605" w14:textId="77777777" w:rsidR="00836192" w:rsidRPr="000B7ED7" w:rsidRDefault="00836192" w:rsidP="00836192">
      <w:pPr>
        <w:spacing w:line="360" w:lineRule="auto"/>
        <w:jc w:val="both"/>
        <w:rPr>
          <w:rFonts w:ascii="Palatino Linotype" w:eastAsia="Batang" w:hAnsi="Palatino Linotype" w:cs="Tahoma"/>
          <w:b/>
          <w:bCs/>
          <w:sz w:val="22"/>
          <w:szCs w:val="22"/>
        </w:rPr>
      </w:pPr>
    </w:p>
    <w:p w14:paraId="3A64D196" w14:textId="7B6073C7" w:rsidR="00836192" w:rsidRPr="000B7ED7" w:rsidRDefault="00836192" w:rsidP="00836192">
      <w:pPr>
        <w:spacing w:line="360" w:lineRule="auto"/>
        <w:jc w:val="both"/>
        <w:rPr>
          <w:rFonts w:ascii="Palatino Linotype" w:eastAsia="Batang" w:hAnsi="Palatino Linotype" w:cs="Tahoma"/>
          <w:bCs/>
          <w:sz w:val="22"/>
          <w:szCs w:val="22"/>
          <w:lang w:val="es-ES_tradnl"/>
        </w:rPr>
      </w:pPr>
      <w:r w:rsidRPr="000B7ED7">
        <w:rPr>
          <w:rFonts w:ascii="Palatino Linotype" w:eastAsia="Batang" w:hAnsi="Palatino Linotype" w:cs="Tahoma"/>
          <w:b/>
          <w:bCs/>
          <w:sz w:val="22"/>
          <w:szCs w:val="22"/>
        </w:rPr>
        <w:t xml:space="preserve">b) Admisión de los </w:t>
      </w:r>
      <w:r w:rsidRPr="000B7ED7">
        <w:rPr>
          <w:rFonts w:ascii="Palatino Linotype" w:hAnsi="Palatino Linotype" w:cs="Tahoma"/>
          <w:b/>
          <w:sz w:val="22"/>
          <w:szCs w:val="22"/>
        </w:rPr>
        <w:t>Recursos de Revisión</w:t>
      </w:r>
      <w:r w:rsidRPr="000B7ED7">
        <w:rPr>
          <w:rFonts w:ascii="Palatino Linotype" w:eastAsia="Batang" w:hAnsi="Palatino Linotype" w:cs="Tahoma"/>
          <w:b/>
          <w:bCs/>
          <w:sz w:val="22"/>
          <w:szCs w:val="22"/>
          <w:lang w:val="es-ES_tradnl"/>
        </w:rPr>
        <w:t xml:space="preserve">. </w:t>
      </w:r>
      <w:r w:rsidRPr="000B7ED7">
        <w:rPr>
          <w:rFonts w:ascii="Palatino Linotype" w:eastAsia="Batang" w:hAnsi="Palatino Linotype" w:cs="Tahoma"/>
          <w:bCs/>
          <w:sz w:val="22"/>
          <w:szCs w:val="22"/>
          <w:lang w:val="es-ES_tradnl"/>
        </w:rPr>
        <w:t xml:space="preserve">El </w:t>
      </w:r>
      <w:r w:rsidR="003F4A60">
        <w:rPr>
          <w:rFonts w:ascii="Palatino Linotype" w:eastAsia="Batang" w:hAnsi="Palatino Linotype" w:cs="Tahoma"/>
          <w:bCs/>
          <w:sz w:val="22"/>
          <w:szCs w:val="22"/>
          <w:lang w:val="es-ES_tradnl"/>
        </w:rPr>
        <w:t>veintisiete</w:t>
      </w:r>
      <w:r w:rsidR="006046B1" w:rsidRPr="000B7ED7">
        <w:rPr>
          <w:rFonts w:ascii="Palatino Linotype" w:eastAsia="Batang" w:hAnsi="Palatino Linotype" w:cs="Tahoma"/>
          <w:bCs/>
          <w:sz w:val="22"/>
          <w:szCs w:val="22"/>
          <w:lang w:val="es-ES_tradnl"/>
        </w:rPr>
        <w:t xml:space="preserve"> de </w:t>
      </w:r>
      <w:r w:rsidR="00274919">
        <w:rPr>
          <w:rFonts w:ascii="Palatino Linotype" w:eastAsia="Batang" w:hAnsi="Palatino Linotype" w:cs="Tahoma"/>
          <w:bCs/>
          <w:sz w:val="22"/>
          <w:szCs w:val="22"/>
          <w:lang w:val="es-ES_tradnl"/>
        </w:rPr>
        <w:t>abril</w:t>
      </w:r>
      <w:r w:rsidRPr="000B7ED7">
        <w:rPr>
          <w:rFonts w:ascii="Palatino Linotype" w:eastAsia="Batang" w:hAnsi="Palatino Linotype" w:cs="Tahoma"/>
          <w:bCs/>
          <w:sz w:val="22"/>
          <w:szCs w:val="22"/>
          <w:lang w:val="es-ES_tradnl"/>
        </w:rPr>
        <w:t xml:space="preserve"> de dos mil veinti</w:t>
      </w:r>
      <w:r w:rsidR="00A828B7">
        <w:rPr>
          <w:rFonts w:ascii="Palatino Linotype" w:eastAsia="Batang" w:hAnsi="Palatino Linotype" w:cs="Tahoma"/>
          <w:bCs/>
          <w:sz w:val="22"/>
          <w:szCs w:val="22"/>
          <w:lang w:val="es-ES_tradnl"/>
        </w:rPr>
        <w:t>dós</w:t>
      </w:r>
      <w:r w:rsidRPr="000B7ED7">
        <w:rPr>
          <w:rFonts w:ascii="Palatino Linotype" w:eastAsia="Batang"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F70958">
        <w:rPr>
          <w:rFonts w:ascii="Palatino Linotype" w:eastAsia="Batang" w:hAnsi="Palatino Linotype" w:cs="Tahoma"/>
          <w:bCs/>
          <w:sz w:val="22"/>
          <w:szCs w:val="22"/>
          <w:lang w:val="es-ES_tradnl"/>
        </w:rPr>
        <w:t>siete</w:t>
      </w:r>
      <w:r w:rsidR="00A828B7">
        <w:rPr>
          <w:rFonts w:ascii="Palatino Linotype" w:eastAsia="Batang" w:hAnsi="Palatino Linotype" w:cs="Tahoma"/>
          <w:bCs/>
          <w:sz w:val="22"/>
          <w:szCs w:val="22"/>
          <w:lang w:val="es-ES_tradnl"/>
        </w:rPr>
        <w:t xml:space="preserve"> del mismo mes y año</w:t>
      </w:r>
      <w:r w:rsidRPr="000B7ED7">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48C9442E" w14:textId="77777777" w:rsidR="00836192" w:rsidRPr="000B7ED7" w:rsidRDefault="00836192" w:rsidP="00836192">
      <w:pPr>
        <w:spacing w:line="360" w:lineRule="auto"/>
        <w:jc w:val="both"/>
        <w:rPr>
          <w:rFonts w:ascii="Palatino Linotype" w:hAnsi="Palatino Linotype" w:cs="Tahoma"/>
          <w:bCs/>
          <w:sz w:val="22"/>
          <w:szCs w:val="22"/>
        </w:rPr>
      </w:pPr>
    </w:p>
    <w:p w14:paraId="0D904B3B" w14:textId="6285E539" w:rsidR="00937375" w:rsidRPr="00937375" w:rsidRDefault="00937375" w:rsidP="00937375">
      <w:pPr>
        <w:spacing w:line="360" w:lineRule="auto"/>
        <w:jc w:val="both"/>
        <w:rPr>
          <w:rFonts w:ascii="Palatino Linotype" w:eastAsiaTheme="minorHAnsi" w:hAnsi="Palatino Linotype" w:cstheme="minorBidi"/>
          <w:color w:val="000000" w:themeColor="text1"/>
          <w:sz w:val="22"/>
          <w:szCs w:val="22"/>
          <w:lang w:eastAsia="en-US"/>
        </w:rPr>
      </w:pPr>
      <w:r w:rsidRPr="00937375">
        <w:rPr>
          <w:rFonts w:ascii="Palatino Linotype" w:eastAsiaTheme="minorHAnsi" w:hAnsi="Palatino Linotype" w:cs="Tahoma"/>
          <w:b/>
          <w:color w:val="000000" w:themeColor="text1"/>
          <w:sz w:val="22"/>
          <w:szCs w:val="22"/>
          <w:lang w:eastAsia="en-US"/>
        </w:rPr>
        <w:t xml:space="preserve">c) </w:t>
      </w:r>
      <w:r w:rsidRPr="00937375">
        <w:rPr>
          <w:rFonts w:ascii="Palatino Linotype" w:eastAsiaTheme="minorHAnsi" w:hAnsi="Palatino Linotype" w:cs="Tahoma"/>
          <w:b/>
          <w:bCs/>
          <w:iCs/>
          <w:color w:val="000000" w:themeColor="text1"/>
          <w:sz w:val="22"/>
          <w:szCs w:val="22"/>
          <w:lang w:val="es-ES" w:eastAsia="en-US"/>
        </w:rPr>
        <w:t>Informe Justificado.</w:t>
      </w:r>
      <w:r w:rsidRPr="00937375">
        <w:rPr>
          <w:rFonts w:ascii="Palatino Linotype" w:eastAsiaTheme="minorHAnsi" w:hAnsi="Palatino Linotype" w:cs="Tahoma"/>
          <w:bCs/>
          <w:iCs/>
          <w:color w:val="000000" w:themeColor="text1"/>
          <w:sz w:val="22"/>
          <w:szCs w:val="22"/>
          <w:lang w:val="es-ES" w:eastAsia="en-US"/>
        </w:rPr>
        <w:t xml:space="preserve"> El </w:t>
      </w:r>
      <w:r w:rsidR="00274919">
        <w:rPr>
          <w:rFonts w:ascii="Palatino Linotype" w:eastAsiaTheme="minorHAnsi" w:hAnsi="Palatino Linotype" w:cs="Tahoma"/>
          <w:bCs/>
          <w:iCs/>
          <w:color w:val="000000" w:themeColor="text1"/>
          <w:sz w:val="22"/>
          <w:szCs w:val="22"/>
          <w:lang w:val="es-ES" w:eastAsia="en-US"/>
        </w:rPr>
        <w:t>once</w:t>
      </w:r>
      <w:r w:rsidRPr="00937375">
        <w:rPr>
          <w:rFonts w:ascii="Palatino Linotype" w:eastAsiaTheme="minorHAnsi" w:hAnsi="Palatino Linotype" w:cs="Tahoma"/>
          <w:bCs/>
          <w:iCs/>
          <w:color w:val="000000" w:themeColor="text1"/>
          <w:sz w:val="22"/>
          <w:szCs w:val="22"/>
          <w:lang w:val="es-ES" w:eastAsia="en-US"/>
        </w:rPr>
        <w:t xml:space="preserve"> de </w:t>
      </w:r>
      <w:r w:rsidR="00274919">
        <w:rPr>
          <w:rFonts w:ascii="Palatino Linotype" w:eastAsiaTheme="minorHAnsi" w:hAnsi="Palatino Linotype" w:cs="Tahoma"/>
          <w:bCs/>
          <w:iCs/>
          <w:color w:val="000000" w:themeColor="text1"/>
          <w:sz w:val="22"/>
          <w:szCs w:val="22"/>
          <w:lang w:val="es-ES" w:eastAsia="en-US"/>
        </w:rPr>
        <w:t>mayo</w:t>
      </w:r>
      <w:r w:rsidRPr="00937375">
        <w:rPr>
          <w:rFonts w:ascii="Palatino Linotype" w:eastAsiaTheme="minorHAnsi" w:hAnsi="Palatino Linotype" w:cs="Tahoma"/>
          <w:bCs/>
          <w:iCs/>
          <w:color w:val="000000" w:themeColor="text1"/>
          <w:sz w:val="22"/>
          <w:szCs w:val="22"/>
          <w:lang w:val="es-ES" w:eastAsia="en-US"/>
        </w:rPr>
        <w:t xml:space="preserve"> de dos mil veintidós, se recibió, a través de Sistema de Acceso a la Información Mexiquense (SAIMEX), el Informe Justificado del Sujeto Obligado, mediante </w:t>
      </w:r>
      <w:r w:rsidR="00274919">
        <w:rPr>
          <w:rFonts w:ascii="Palatino Linotype" w:eastAsiaTheme="minorHAnsi" w:hAnsi="Palatino Linotype" w:cs="Tahoma"/>
          <w:bCs/>
          <w:iCs/>
          <w:color w:val="000000" w:themeColor="text1"/>
          <w:sz w:val="22"/>
          <w:szCs w:val="22"/>
          <w:lang w:val="es-ES" w:eastAsia="en-US"/>
        </w:rPr>
        <w:t>un</w:t>
      </w:r>
      <w:r w:rsidRPr="00937375">
        <w:rPr>
          <w:rFonts w:ascii="Palatino Linotype" w:eastAsiaTheme="minorHAnsi" w:hAnsi="Palatino Linotype" w:cs="Tahoma"/>
          <w:bCs/>
          <w:iCs/>
          <w:color w:val="000000" w:themeColor="text1"/>
          <w:sz w:val="22"/>
          <w:szCs w:val="22"/>
          <w:lang w:val="es-ES" w:eastAsia="en-US"/>
        </w:rPr>
        <w:t xml:space="preserve"> oficio </w:t>
      </w:r>
      <w:r w:rsidR="00274919">
        <w:rPr>
          <w:rFonts w:ascii="Palatino Linotype" w:eastAsiaTheme="minorHAnsi" w:hAnsi="Palatino Linotype" w:cstheme="minorBidi"/>
          <w:color w:val="000000" w:themeColor="text1"/>
          <w:sz w:val="22"/>
          <w:szCs w:val="22"/>
          <w:lang w:eastAsia="en-US"/>
        </w:rPr>
        <w:t>sin número</w:t>
      </w:r>
      <w:r w:rsidR="00586904">
        <w:rPr>
          <w:rFonts w:ascii="Palatino Linotype" w:eastAsiaTheme="minorHAnsi" w:hAnsi="Palatino Linotype" w:cstheme="minorBidi"/>
          <w:color w:val="000000" w:themeColor="text1"/>
          <w:sz w:val="22"/>
          <w:szCs w:val="22"/>
          <w:lang w:eastAsia="en-US"/>
        </w:rPr>
        <w:t xml:space="preserve">, del nueve de mayo de dos mil </w:t>
      </w:r>
      <w:proofErr w:type="spellStart"/>
      <w:r w:rsidR="00586904">
        <w:rPr>
          <w:rFonts w:ascii="Palatino Linotype" w:eastAsiaTheme="minorHAnsi" w:hAnsi="Palatino Linotype" w:cstheme="minorBidi"/>
          <w:color w:val="000000" w:themeColor="text1"/>
          <w:sz w:val="22"/>
          <w:szCs w:val="22"/>
          <w:lang w:eastAsia="en-US"/>
        </w:rPr>
        <w:t>vientidós</w:t>
      </w:r>
      <w:proofErr w:type="spellEnd"/>
      <w:r w:rsidRPr="00937375">
        <w:rPr>
          <w:rFonts w:ascii="Palatino Linotype" w:eastAsiaTheme="minorHAnsi" w:hAnsi="Palatino Linotype" w:cstheme="minorBidi"/>
          <w:color w:val="000000" w:themeColor="text1"/>
          <w:sz w:val="22"/>
          <w:szCs w:val="22"/>
          <w:lang w:eastAsia="en-US"/>
        </w:rPr>
        <w:t>, suscrito por la Titular de la Unidad de Transparencia y dirigido al Comisionado Ponente, por medio del cual ratifica su respuesta y precisa lo siguiente:</w:t>
      </w:r>
    </w:p>
    <w:p w14:paraId="73A2BF6B" w14:textId="77777777" w:rsidR="00937375" w:rsidRPr="00937375" w:rsidRDefault="00937375" w:rsidP="00937375">
      <w:pPr>
        <w:spacing w:line="360" w:lineRule="auto"/>
        <w:jc w:val="both"/>
        <w:rPr>
          <w:rFonts w:ascii="Palatino Linotype" w:eastAsiaTheme="minorHAnsi" w:hAnsi="Palatino Linotype" w:cstheme="minorBidi"/>
          <w:color w:val="000000" w:themeColor="text1"/>
          <w:sz w:val="22"/>
          <w:szCs w:val="22"/>
          <w:lang w:eastAsia="en-US"/>
        </w:rPr>
      </w:pPr>
    </w:p>
    <w:p w14:paraId="4596536C" w14:textId="77777777" w:rsidR="00937375" w:rsidRPr="00937375" w:rsidRDefault="00937375" w:rsidP="00937375">
      <w:pPr>
        <w:spacing w:line="360" w:lineRule="auto"/>
        <w:ind w:left="567" w:right="567"/>
        <w:jc w:val="both"/>
        <w:rPr>
          <w:rFonts w:ascii="Palatino Linotype" w:eastAsiaTheme="minorHAnsi" w:hAnsi="Palatino Linotype" w:cstheme="minorBidi"/>
          <w:i/>
          <w:iCs/>
          <w:color w:val="000000" w:themeColor="text1"/>
          <w:lang w:eastAsia="en-US"/>
        </w:rPr>
      </w:pPr>
      <w:r w:rsidRPr="00937375">
        <w:rPr>
          <w:rFonts w:ascii="Palatino Linotype" w:eastAsiaTheme="minorHAnsi" w:hAnsi="Palatino Linotype" w:cstheme="minorBidi"/>
          <w:i/>
          <w:iCs/>
          <w:color w:val="000000" w:themeColor="text1"/>
          <w:lang w:eastAsia="en-US"/>
        </w:rPr>
        <w:t>“…</w:t>
      </w:r>
    </w:p>
    <w:p w14:paraId="330B3146" w14:textId="36188314" w:rsidR="00937375" w:rsidRPr="00937375" w:rsidRDefault="002C2674" w:rsidP="00937375">
      <w:pPr>
        <w:spacing w:line="360" w:lineRule="auto"/>
        <w:ind w:left="567" w:right="567"/>
        <w:jc w:val="both"/>
        <w:rPr>
          <w:rFonts w:ascii="Palatino Linotype" w:eastAsiaTheme="minorHAnsi" w:hAnsi="Palatino Linotype" w:cstheme="minorBidi"/>
          <w:i/>
          <w:iCs/>
          <w:color w:val="000000" w:themeColor="text1"/>
          <w:lang w:eastAsia="en-US"/>
        </w:rPr>
      </w:pPr>
      <w:r w:rsidRPr="00586904">
        <w:rPr>
          <w:rFonts w:ascii="Palatino Linotype" w:eastAsiaTheme="minorHAnsi" w:hAnsi="Palatino Linotype" w:cstheme="minorBidi"/>
          <w:b/>
          <w:bCs/>
          <w:i/>
          <w:iCs/>
          <w:color w:val="000000" w:themeColor="text1"/>
          <w:lang w:eastAsia="en-US"/>
        </w:rPr>
        <w:t>SEGUNDO:</w:t>
      </w:r>
      <w:r>
        <w:rPr>
          <w:rFonts w:ascii="Palatino Linotype" w:eastAsiaTheme="minorHAnsi" w:hAnsi="Palatino Linotype" w:cstheme="minorBidi"/>
          <w:i/>
          <w:iCs/>
          <w:color w:val="000000" w:themeColor="text1"/>
          <w:lang w:eastAsia="en-US"/>
        </w:rPr>
        <w:t xml:space="preserve"> Se resuelva a favor de este Ayuntamiento y se declare el sobreseimiento del presente recurso de revisión o en su caso se confirme la respuesta objeto del presente recurso de revisión, de acuerdo con las facultades </w:t>
      </w:r>
      <w:r w:rsidR="00586904">
        <w:rPr>
          <w:rFonts w:ascii="Palatino Linotype" w:eastAsiaTheme="minorHAnsi" w:hAnsi="Palatino Linotype" w:cstheme="minorBidi"/>
          <w:i/>
          <w:iCs/>
          <w:color w:val="000000" w:themeColor="text1"/>
          <w:lang w:eastAsia="en-US"/>
        </w:rPr>
        <w:t xml:space="preserve">que la Ley de Transparencia y Acceso a la Información Pública del Estado de México y Municipios, le otorga al Ayuntamiento de Santo Tomás, como sujeto obligado, tal y como se indica en el cuerpo de este escrito. </w:t>
      </w:r>
    </w:p>
    <w:p w14:paraId="4F6E1881" w14:textId="3F6A0AE1" w:rsidR="00937375" w:rsidRDefault="00937375" w:rsidP="00937375">
      <w:pPr>
        <w:spacing w:line="360" w:lineRule="auto"/>
        <w:ind w:left="567" w:right="567"/>
        <w:jc w:val="both"/>
        <w:rPr>
          <w:rFonts w:ascii="Palatino Linotype" w:eastAsiaTheme="minorHAnsi" w:hAnsi="Palatino Linotype" w:cstheme="minorBidi"/>
          <w:i/>
          <w:iCs/>
          <w:color w:val="000000" w:themeColor="text1"/>
          <w:lang w:eastAsia="en-US"/>
        </w:rPr>
      </w:pPr>
      <w:r w:rsidRPr="00937375">
        <w:rPr>
          <w:rFonts w:ascii="Palatino Linotype" w:eastAsiaTheme="minorHAnsi" w:hAnsi="Palatino Linotype" w:cstheme="minorBidi"/>
          <w:i/>
          <w:iCs/>
          <w:color w:val="000000" w:themeColor="text1"/>
          <w:lang w:eastAsia="en-US"/>
        </w:rPr>
        <w:t>…”</w:t>
      </w:r>
    </w:p>
    <w:p w14:paraId="62301ED2" w14:textId="47D56E05" w:rsidR="00937375" w:rsidRDefault="00937375" w:rsidP="00586904">
      <w:pPr>
        <w:spacing w:line="360" w:lineRule="auto"/>
        <w:ind w:right="567"/>
        <w:jc w:val="both"/>
        <w:rPr>
          <w:rFonts w:ascii="Palatino Linotype" w:eastAsiaTheme="minorHAnsi" w:hAnsi="Palatino Linotype" w:cs="Tahoma"/>
          <w:bCs/>
          <w:color w:val="000000" w:themeColor="text1"/>
          <w:lang w:val="es-ES" w:eastAsia="en-US"/>
        </w:rPr>
      </w:pPr>
    </w:p>
    <w:p w14:paraId="61EA7F2B" w14:textId="560722BE" w:rsidR="00586904" w:rsidRDefault="00586904" w:rsidP="00755B38">
      <w:pPr>
        <w:spacing w:line="360" w:lineRule="auto"/>
        <w:jc w:val="both"/>
        <w:rPr>
          <w:rFonts w:ascii="Palatino Linotype" w:eastAsiaTheme="minorHAnsi" w:hAnsi="Palatino Linotype" w:cs="Tahoma"/>
          <w:bCs/>
          <w:color w:val="000000" w:themeColor="text1"/>
          <w:sz w:val="22"/>
          <w:szCs w:val="22"/>
          <w:lang w:val="es-ES" w:eastAsia="en-US"/>
        </w:rPr>
      </w:pPr>
      <w:r w:rsidRPr="00586904">
        <w:rPr>
          <w:rFonts w:ascii="Palatino Linotype" w:eastAsiaTheme="minorHAnsi" w:hAnsi="Palatino Linotype" w:cs="Tahoma"/>
          <w:bCs/>
          <w:color w:val="000000" w:themeColor="text1"/>
          <w:sz w:val="22"/>
          <w:szCs w:val="22"/>
          <w:lang w:val="es-ES" w:eastAsia="en-US"/>
        </w:rPr>
        <w:lastRenderedPageBreak/>
        <w:t>El Sujeto Obligado adjuntó</w:t>
      </w:r>
      <w:r>
        <w:rPr>
          <w:rFonts w:ascii="Palatino Linotype" w:eastAsiaTheme="minorHAnsi" w:hAnsi="Palatino Linotype" w:cs="Tahoma"/>
          <w:bCs/>
          <w:color w:val="000000" w:themeColor="text1"/>
          <w:sz w:val="22"/>
          <w:szCs w:val="22"/>
          <w:lang w:val="es-ES" w:eastAsia="en-US"/>
        </w:rPr>
        <w:t xml:space="preserve"> la digitalización del </w:t>
      </w:r>
      <w:r w:rsidR="00A10576">
        <w:rPr>
          <w:rFonts w:ascii="Palatino Linotype" w:eastAsiaTheme="minorHAnsi" w:hAnsi="Palatino Linotype" w:cs="Tahoma"/>
          <w:bCs/>
          <w:color w:val="000000" w:themeColor="text1"/>
          <w:sz w:val="22"/>
          <w:szCs w:val="22"/>
          <w:lang w:val="es-ES" w:eastAsia="en-US"/>
        </w:rPr>
        <w:t>Acta de la Segunda Sesión Extraordinaria celebrada el dos de mayo de dos mil veintidós, por medio de la cual se a</w:t>
      </w:r>
      <w:r w:rsidR="002C42E8">
        <w:rPr>
          <w:rFonts w:ascii="Palatino Linotype" w:eastAsiaTheme="minorHAnsi" w:hAnsi="Palatino Linotype" w:cs="Tahoma"/>
          <w:bCs/>
          <w:color w:val="000000" w:themeColor="text1"/>
          <w:sz w:val="22"/>
          <w:szCs w:val="22"/>
          <w:lang w:val="es-ES" w:eastAsia="en-US"/>
        </w:rPr>
        <w:t xml:space="preserve">prueba la notoria incompetencia, a través del Acuerdo CT-ST/02/EXT/03/2022. </w:t>
      </w:r>
    </w:p>
    <w:p w14:paraId="1B8F34CC" w14:textId="77777777" w:rsidR="002C42E8" w:rsidRPr="00937375" w:rsidRDefault="002C42E8" w:rsidP="00586904">
      <w:pPr>
        <w:spacing w:line="360" w:lineRule="auto"/>
        <w:ind w:right="567"/>
        <w:jc w:val="both"/>
        <w:rPr>
          <w:rFonts w:ascii="Palatino Linotype" w:eastAsiaTheme="minorHAnsi" w:hAnsi="Palatino Linotype" w:cs="Tahoma"/>
          <w:bCs/>
          <w:color w:val="000000" w:themeColor="text1"/>
          <w:sz w:val="22"/>
          <w:szCs w:val="22"/>
          <w:lang w:val="es-ES" w:eastAsia="en-US"/>
        </w:rPr>
      </w:pPr>
    </w:p>
    <w:p w14:paraId="1ED98365" w14:textId="6C4B5E59" w:rsidR="00937375" w:rsidRPr="00937375" w:rsidRDefault="004D6299" w:rsidP="00E24695">
      <w:pPr>
        <w:spacing w:line="360" w:lineRule="auto"/>
        <w:jc w:val="both"/>
        <w:rPr>
          <w:rFonts w:ascii="Palatino Linotype" w:eastAsia="Palatino Linotype" w:hAnsi="Palatino Linotype" w:cs="Palatino Linotype"/>
          <w:color w:val="000000" w:themeColor="text1"/>
          <w:sz w:val="22"/>
          <w:szCs w:val="22"/>
          <w:lang w:val="es-ES" w:eastAsia="en-US"/>
        </w:rPr>
      </w:pPr>
      <w:r>
        <w:rPr>
          <w:rFonts w:ascii="Palatino Linotype" w:hAnsi="Palatino Linotype" w:cs="Tahoma"/>
          <w:b/>
          <w:sz w:val="22"/>
          <w:szCs w:val="22"/>
        </w:rPr>
        <w:t>d</w:t>
      </w:r>
      <w:r w:rsidRPr="002F21F7">
        <w:rPr>
          <w:rFonts w:ascii="Palatino Linotype" w:hAnsi="Palatino Linotype" w:cs="Tahoma"/>
          <w:b/>
          <w:sz w:val="22"/>
          <w:szCs w:val="22"/>
        </w:rPr>
        <w:t>) Ampliación de plazo para resolver.</w:t>
      </w:r>
      <w:r w:rsidRPr="002F21F7">
        <w:rPr>
          <w:rFonts w:ascii="Palatino Linotype" w:hAnsi="Palatino Linotype" w:cs="Tahoma"/>
          <w:bCs/>
          <w:sz w:val="22"/>
          <w:szCs w:val="22"/>
        </w:rPr>
        <w:t xml:space="preserve"> </w:t>
      </w:r>
      <w:r w:rsidR="00937375" w:rsidRPr="00937375">
        <w:rPr>
          <w:rFonts w:ascii="Palatino Linotype" w:eastAsia="Palatino Linotype" w:hAnsi="Palatino Linotype" w:cs="Palatino Linotype"/>
          <w:color w:val="000000" w:themeColor="text1"/>
          <w:sz w:val="22"/>
          <w:szCs w:val="22"/>
          <w:lang w:val="es-ES" w:eastAsia="en-US"/>
        </w:rPr>
        <w:t xml:space="preserve">El </w:t>
      </w:r>
      <w:r w:rsidR="00E24695">
        <w:rPr>
          <w:rFonts w:ascii="Palatino Linotype" w:eastAsia="Palatino Linotype" w:hAnsi="Palatino Linotype" w:cs="Palatino Linotype"/>
          <w:color w:val="000000" w:themeColor="text1"/>
          <w:sz w:val="22"/>
          <w:szCs w:val="22"/>
          <w:lang w:val="es-ES" w:eastAsia="en-US"/>
        </w:rPr>
        <w:t>ocho</w:t>
      </w:r>
      <w:r w:rsidR="00937375" w:rsidRPr="00937375">
        <w:rPr>
          <w:rFonts w:ascii="Palatino Linotype" w:eastAsia="Palatino Linotype" w:hAnsi="Palatino Linotype" w:cs="Palatino Linotype"/>
          <w:color w:val="000000" w:themeColor="text1"/>
          <w:sz w:val="22"/>
          <w:szCs w:val="22"/>
          <w:lang w:val="es-ES" w:eastAsia="en-US"/>
        </w:rPr>
        <w:t xml:space="preserve"> de ju</w:t>
      </w:r>
      <w:r w:rsidR="00E24695">
        <w:rPr>
          <w:rFonts w:ascii="Palatino Linotype" w:eastAsia="Palatino Linotype" w:hAnsi="Palatino Linotype" w:cs="Palatino Linotype"/>
          <w:color w:val="000000" w:themeColor="text1"/>
          <w:sz w:val="22"/>
          <w:szCs w:val="22"/>
          <w:lang w:val="es-ES" w:eastAsia="en-US"/>
        </w:rPr>
        <w:t>n</w:t>
      </w:r>
      <w:r w:rsidR="00937375" w:rsidRPr="00937375">
        <w:rPr>
          <w:rFonts w:ascii="Palatino Linotype" w:eastAsia="Palatino Linotype" w:hAnsi="Palatino Linotype" w:cs="Palatino Linotype"/>
          <w:color w:val="000000" w:themeColor="text1"/>
          <w:sz w:val="22"/>
          <w:szCs w:val="22"/>
          <w:lang w:val="es-ES" w:eastAsia="en-US"/>
        </w:rPr>
        <w:t>io de dos mil veintidós,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14:paraId="19927BEE"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val="es-ES" w:eastAsia="en-US"/>
        </w:rPr>
      </w:pPr>
    </w:p>
    <w:p w14:paraId="23A922D1"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A97F19"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437DAD63"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771777F"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67021661"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 xml:space="preserve">Así, en términos de lo que establecen los artículos 8.1 y 25 de la Convención Americana sobre Derechos Humanos, los recursos deben ser sencillos y resolverse en el menor tiempo </w:t>
      </w:r>
      <w:r w:rsidRPr="00937375">
        <w:rPr>
          <w:rFonts w:ascii="Palatino Linotype" w:eastAsia="Palatino Linotype" w:hAnsi="Palatino Linotype" w:cs="Palatino Linotype"/>
          <w:color w:val="000000" w:themeColor="text1"/>
          <w:sz w:val="22"/>
          <w:szCs w:val="22"/>
          <w:lang w:eastAsia="en-US"/>
        </w:rPr>
        <w:lastRenderedPageBreak/>
        <w:t>posible, tomando en consideración la dilación total del procedimiento; esto es, en un plazo razonable.</w:t>
      </w:r>
    </w:p>
    <w:p w14:paraId="56217FDF"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5E3378C8"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AD8AA3"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57AC8454"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105D60C3"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6955CEF0" w14:textId="77777777" w:rsidR="00937375" w:rsidRPr="00937375" w:rsidRDefault="00937375" w:rsidP="00937375">
      <w:pPr>
        <w:numPr>
          <w:ilvl w:val="0"/>
          <w:numId w:val="23"/>
        </w:numPr>
        <w:spacing w:after="160" w:line="360" w:lineRule="auto"/>
        <w:contextualSpacing/>
        <w:jc w:val="both"/>
        <w:rPr>
          <w:rFonts w:ascii="Palatino Linotype" w:eastAsia="Palatino Linotype" w:hAnsi="Palatino Linotype" w:cs="Palatino Linotype"/>
          <w:color w:val="000000" w:themeColor="text1"/>
          <w:sz w:val="22"/>
          <w:szCs w:val="28"/>
        </w:rPr>
      </w:pPr>
      <w:r w:rsidRPr="00937375">
        <w:rPr>
          <w:rFonts w:ascii="Palatino Linotype" w:eastAsia="Palatino Linotype" w:hAnsi="Palatino Linotype" w:cs="Palatino Linotype"/>
          <w:b/>
          <w:bCs/>
          <w:color w:val="000000" w:themeColor="text1"/>
          <w:sz w:val="22"/>
          <w:szCs w:val="28"/>
        </w:rPr>
        <w:t>Complejidad del asunto:</w:t>
      </w:r>
      <w:r w:rsidRPr="00937375">
        <w:rPr>
          <w:rFonts w:ascii="Palatino Linotype" w:eastAsia="Palatino Linotype" w:hAnsi="Palatino Linotype" w:cs="Palatino Linotype"/>
          <w:color w:val="000000" w:themeColor="text1"/>
          <w:sz w:val="22"/>
          <w:szCs w:val="28"/>
        </w:rPr>
        <w:t xml:space="preserve"> La complejidad de la prueba, la pluralidad de sujetos procesales, el tiempo transcurrido, las características y contexto del recurso.</w:t>
      </w:r>
    </w:p>
    <w:p w14:paraId="1BF0AC93" w14:textId="77777777" w:rsidR="00937375" w:rsidRPr="00937375" w:rsidRDefault="00937375" w:rsidP="00937375">
      <w:pPr>
        <w:spacing w:line="360" w:lineRule="auto"/>
        <w:ind w:left="720"/>
        <w:contextualSpacing/>
        <w:jc w:val="both"/>
        <w:rPr>
          <w:rFonts w:ascii="Palatino Linotype" w:eastAsia="Palatino Linotype" w:hAnsi="Palatino Linotype" w:cs="Palatino Linotype"/>
          <w:color w:val="000000" w:themeColor="text1"/>
          <w:sz w:val="22"/>
          <w:szCs w:val="28"/>
        </w:rPr>
      </w:pPr>
    </w:p>
    <w:p w14:paraId="7B193FA4" w14:textId="77777777" w:rsidR="00937375" w:rsidRPr="00937375" w:rsidRDefault="00937375" w:rsidP="00937375">
      <w:pPr>
        <w:numPr>
          <w:ilvl w:val="0"/>
          <w:numId w:val="23"/>
        </w:numPr>
        <w:spacing w:after="160" w:line="360" w:lineRule="auto"/>
        <w:contextualSpacing/>
        <w:jc w:val="both"/>
        <w:rPr>
          <w:rFonts w:ascii="Palatino Linotype" w:eastAsia="Palatino Linotype" w:hAnsi="Palatino Linotype" w:cs="Palatino Linotype"/>
          <w:color w:val="000000" w:themeColor="text1"/>
          <w:sz w:val="22"/>
          <w:szCs w:val="28"/>
        </w:rPr>
      </w:pPr>
      <w:r w:rsidRPr="00937375">
        <w:rPr>
          <w:rFonts w:ascii="Palatino Linotype" w:eastAsia="Palatino Linotype" w:hAnsi="Palatino Linotype" w:cs="Palatino Linotype"/>
          <w:b/>
          <w:bCs/>
          <w:color w:val="000000" w:themeColor="text1"/>
          <w:sz w:val="22"/>
          <w:szCs w:val="28"/>
        </w:rPr>
        <w:t>Actividad Procesal del interesado:</w:t>
      </w:r>
      <w:r w:rsidRPr="00937375">
        <w:rPr>
          <w:rFonts w:ascii="Palatino Linotype" w:eastAsia="Palatino Linotype" w:hAnsi="Palatino Linotype" w:cs="Palatino Linotype"/>
          <w:color w:val="000000" w:themeColor="text1"/>
          <w:sz w:val="22"/>
          <w:szCs w:val="28"/>
        </w:rPr>
        <w:t xml:space="preserve"> Acciones u omisiones del interesado.</w:t>
      </w:r>
    </w:p>
    <w:p w14:paraId="12AB7848" w14:textId="77777777" w:rsidR="00937375" w:rsidRPr="00937375" w:rsidRDefault="00937375" w:rsidP="00937375">
      <w:pPr>
        <w:spacing w:line="360" w:lineRule="auto"/>
        <w:ind w:left="720"/>
        <w:contextualSpacing/>
        <w:jc w:val="both"/>
        <w:rPr>
          <w:rFonts w:ascii="Palatino Linotype" w:eastAsia="Palatino Linotype" w:hAnsi="Palatino Linotype" w:cs="Palatino Linotype"/>
          <w:color w:val="000000" w:themeColor="text1"/>
          <w:sz w:val="22"/>
          <w:szCs w:val="28"/>
        </w:rPr>
      </w:pPr>
    </w:p>
    <w:p w14:paraId="573225D1" w14:textId="77777777" w:rsidR="00937375" w:rsidRPr="00937375" w:rsidRDefault="00937375" w:rsidP="00937375">
      <w:pPr>
        <w:numPr>
          <w:ilvl w:val="0"/>
          <w:numId w:val="23"/>
        </w:numPr>
        <w:spacing w:after="160" w:line="360" w:lineRule="auto"/>
        <w:contextualSpacing/>
        <w:jc w:val="both"/>
        <w:rPr>
          <w:rFonts w:ascii="Palatino Linotype" w:eastAsia="Palatino Linotype" w:hAnsi="Palatino Linotype" w:cs="Palatino Linotype"/>
          <w:color w:val="000000" w:themeColor="text1"/>
          <w:sz w:val="22"/>
          <w:szCs w:val="28"/>
        </w:rPr>
      </w:pPr>
      <w:r w:rsidRPr="00937375">
        <w:rPr>
          <w:rFonts w:ascii="Palatino Linotype" w:eastAsia="Palatino Linotype" w:hAnsi="Palatino Linotype" w:cs="Palatino Linotype"/>
          <w:b/>
          <w:bCs/>
          <w:color w:val="000000" w:themeColor="text1"/>
          <w:sz w:val="22"/>
          <w:szCs w:val="28"/>
        </w:rPr>
        <w:t>Conducta de la Autoridad:</w:t>
      </w:r>
      <w:r w:rsidRPr="00937375">
        <w:rPr>
          <w:rFonts w:ascii="Palatino Linotype" w:eastAsia="Palatino Linotype" w:hAnsi="Palatino Linotype" w:cs="Palatino Linotype"/>
          <w:color w:val="000000" w:themeColor="text1"/>
          <w:sz w:val="22"/>
          <w:szCs w:val="28"/>
        </w:rPr>
        <w:t xml:space="preserve"> Las Acciones u omisiones realizadas en el procedimiento. Así como si la autoridad actuó con la debida diligencia.</w:t>
      </w:r>
    </w:p>
    <w:p w14:paraId="39E19D97" w14:textId="77777777" w:rsidR="00937375" w:rsidRPr="00937375" w:rsidRDefault="00937375" w:rsidP="00937375">
      <w:pPr>
        <w:spacing w:line="360" w:lineRule="auto"/>
        <w:ind w:left="720"/>
        <w:contextualSpacing/>
        <w:jc w:val="both"/>
        <w:rPr>
          <w:rFonts w:ascii="Palatino Linotype" w:eastAsia="Palatino Linotype" w:hAnsi="Palatino Linotype" w:cs="Palatino Linotype"/>
          <w:color w:val="000000" w:themeColor="text1"/>
          <w:sz w:val="22"/>
          <w:szCs w:val="28"/>
        </w:rPr>
      </w:pPr>
    </w:p>
    <w:p w14:paraId="1F677B74" w14:textId="77777777" w:rsidR="00937375" w:rsidRPr="00937375" w:rsidRDefault="00937375" w:rsidP="00937375">
      <w:pPr>
        <w:numPr>
          <w:ilvl w:val="0"/>
          <w:numId w:val="23"/>
        </w:numPr>
        <w:spacing w:after="160" w:line="360" w:lineRule="auto"/>
        <w:contextualSpacing/>
        <w:jc w:val="both"/>
        <w:rPr>
          <w:rFonts w:ascii="Palatino Linotype" w:eastAsia="Palatino Linotype" w:hAnsi="Palatino Linotype" w:cs="Palatino Linotype"/>
          <w:color w:val="000000" w:themeColor="text1"/>
          <w:sz w:val="22"/>
          <w:szCs w:val="28"/>
        </w:rPr>
      </w:pPr>
      <w:r w:rsidRPr="00937375">
        <w:rPr>
          <w:rFonts w:ascii="Palatino Linotype" w:eastAsia="Palatino Linotype" w:hAnsi="Palatino Linotype" w:cs="Palatino Linotype"/>
          <w:b/>
          <w:bCs/>
          <w:color w:val="000000" w:themeColor="text1"/>
          <w:sz w:val="22"/>
          <w:szCs w:val="28"/>
        </w:rPr>
        <w:t xml:space="preserve">La afectación generada en la situación jurídica de la persona involucrada en el proceso: </w:t>
      </w:r>
      <w:r w:rsidRPr="00937375">
        <w:rPr>
          <w:rFonts w:ascii="Palatino Linotype" w:eastAsia="Palatino Linotype" w:hAnsi="Palatino Linotype" w:cs="Palatino Linotype"/>
          <w:color w:val="000000" w:themeColor="text1"/>
          <w:sz w:val="22"/>
          <w:szCs w:val="28"/>
        </w:rPr>
        <w:t>Violación a sus derechos humanos.</w:t>
      </w:r>
    </w:p>
    <w:p w14:paraId="5FF7E38F"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43E1DDA9"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937375">
        <w:rPr>
          <w:rFonts w:ascii="Palatino Linotype" w:eastAsia="Palatino Linotype" w:hAnsi="Palatino Linotype" w:cs="Palatino Linotype"/>
          <w:color w:val="000000" w:themeColor="text1"/>
          <w:sz w:val="22"/>
          <w:szCs w:val="22"/>
          <w:lang w:eastAsia="en-US"/>
        </w:rPr>
        <w:lastRenderedPageBreak/>
        <w:t>concluirse que es una excluyente de responsabilidad en relación con la actuación del funcionario, como ha acontecido en el caso que nos ocupa.</w:t>
      </w:r>
    </w:p>
    <w:p w14:paraId="4B0167C6"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0FF6E66F"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Argumento que encuentra sustento en la jurisprudencia P./J. 32/92 emitida por el Pleno de la Suprema Corte de Justicia de la Nación de rubro “</w:t>
      </w:r>
      <w:r w:rsidRPr="00937375">
        <w:rPr>
          <w:rFonts w:ascii="Palatino Linotype" w:eastAsia="Palatino Linotype" w:hAnsi="Palatino Linotype" w:cs="Palatino Linotype"/>
          <w:b/>
          <w:bCs/>
          <w:color w:val="000000" w:themeColor="text1"/>
          <w:sz w:val="22"/>
          <w:szCs w:val="22"/>
          <w:lang w:eastAsia="en-US"/>
        </w:rPr>
        <w:t>TÉRMINOS PROCESALES. PARA DETERMINAR SI UN FUNCIONARIO JUDICIAL ACTUÓ INDEBIDAMENTE POR NO RESPETARLOS SE DEBE ATENDER AL PRESUPUESTO QUE CONSIDERÓ EL LEGISLADOR AL FIJARLOS Y LAS CARACTERÍSTICAS DEL CASO</w:t>
      </w:r>
      <w:r w:rsidRPr="00937375">
        <w:rPr>
          <w:rFonts w:ascii="Palatino Linotype" w:eastAsia="Palatino Linotype" w:hAnsi="Palatino Linotype" w:cs="Palatino Linotype"/>
          <w:color w:val="000000" w:themeColor="text1"/>
          <w:sz w:val="22"/>
          <w:szCs w:val="22"/>
          <w:lang w:eastAsia="en-US"/>
        </w:rPr>
        <w:t>.”, visible en la Gaceta del Seminario Judicial de la Federación con el registro digital 205635.</w:t>
      </w:r>
    </w:p>
    <w:p w14:paraId="0DF2D917"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387EF3A4"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559B76"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643A099B"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Al respecto, también son de considerar los criterios sostenidos por el Cuarto Tribunal Colegiado en Materia Administrativa del Primer Circuito, cuyos rubros y datos de identificación son los siguientes:</w:t>
      </w:r>
    </w:p>
    <w:p w14:paraId="218F765F"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17BCE60B"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w:t>
      </w:r>
      <w:r w:rsidRPr="00937375">
        <w:rPr>
          <w:rFonts w:ascii="Palatino Linotype" w:eastAsia="Palatino Linotype" w:hAnsi="Palatino Linotype" w:cs="Palatino Linotype"/>
          <w:b/>
          <w:bCs/>
          <w:color w:val="000000" w:themeColor="text1"/>
          <w:sz w:val="22"/>
          <w:szCs w:val="22"/>
          <w:lang w:eastAsia="en-US"/>
        </w:rPr>
        <w:t>PLAZO RAZONABLE PARA RESOLVER. DIMENSIÓN Y EFECTOS DE ESTE CONCEPTO CUANDO SE ADUCE EXCESIVA CARGA DE TRABAJO</w:t>
      </w:r>
      <w:r w:rsidRPr="00937375">
        <w:rPr>
          <w:rFonts w:ascii="Palatino Linotype" w:eastAsia="Palatino Linotype" w:hAnsi="Palatino Linotype" w:cs="Palatino Linotype"/>
          <w:color w:val="000000" w:themeColor="text1"/>
          <w:sz w:val="22"/>
          <w:szCs w:val="22"/>
          <w:lang w:eastAsia="en-US"/>
        </w:rPr>
        <w:t>.” consultable en el Seminario Judicial de la Federación y su gaceta, con el registro digital 2002351.</w:t>
      </w:r>
    </w:p>
    <w:p w14:paraId="44D1EB12"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4433D86C"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w:t>
      </w:r>
      <w:r w:rsidRPr="00937375">
        <w:rPr>
          <w:rFonts w:ascii="Palatino Linotype" w:eastAsia="Palatino Linotype" w:hAnsi="Palatino Linotype" w:cs="Palatino Linotype"/>
          <w:b/>
          <w:bCs/>
          <w:color w:val="000000" w:themeColor="text1"/>
          <w:sz w:val="22"/>
          <w:szCs w:val="22"/>
          <w:lang w:eastAsia="en-US"/>
        </w:rPr>
        <w:t>PLAZO RAZONABLE PARA RESOLVER. CONCEPTO Y ELEMENTOS QUE LO INTEGRAN A LA LUZ DEL DERECHO INTERNACIONAL DE LOS DERECHOS HUMANOS</w:t>
      </w:r>
      <w:r w:rsidRPr="00937375">
        <w:rPr>
          <w:rFonts w:ascii="Palatino Linotype" w:eastAsia="Palatino Linotype" w:hAnsi="Palatino Linotype" w:cs="Palatino Linotype"/>
          <w:color w:val="000000" w:themeColor="text1"/>
          <w:sz w:val="22"/>
          <w:szCs w:val="22"/>
          <w:lang w:eastAsia="en-US"/>
        </w:rPr>
        <w:t>.”, visible en el Seminario Judicial de la Federación y su gaceta, con el registro digital 2002350.</w:t>
      </w:r>
    </w:p>
    <w:p w14:paraId="14027AA2"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p>
    <w:p w14:paraId="3E2752B2" w14:textId="77777777" w:rsidR="00937375" w:rsidRPr="00937375" w:rsidRDefault="00937375" w:rsidP="00937375">
      <w:pPr>
        <w:spacing w:line="360" w:lineRule="auto"/>
        <w:jc w:val="both"/>
        <w:rPr>
          <w:rFonts w:ascii="Palatino Linotype" w:eastAsia="Palatino Linotype" w:hAnsi="Palatino Linotype" w:cs="Palatino Linotype"/>
          <w:color w:val="000000" w:themeColor="text1"/>
          <w:sz w:val="22"/>
          <w:szCs w:val="22"/>
          <w:lang w:eastAsia="en-US"/>
        </w:rPr>
      </w:pPr>
      <w:r w:rsidRPr="00937375">
        <w:rPr>
          <w:rFonts w:ascii="Palatino Linotype" w:eastAsia="Palatino Linotype" w:hAnsi="Palatino Linotype" w:cs="Palatino Linotype"/>
          <w:color w:val="000000" w:themeColor="text1"/>
          <w:sz w:val="22"/>
          <w:szCs w:val="22"/>
          <w:lang w:eastAsia="en-US"/>
        </w:rPr>
        <w:t>Por ello, este organismo garante comprometido con la tutela de los derechos humanos confiados señala que este exceso del plazo legal para resolver el presente asunto, resulta de carácter excepcional.</w:t>
      </w:r>
    </w:p>
    <w:p w14:paraId="4D9F875F" w14:textId="059C5933" w:rsidR="00836192" w:rsidRDefault="00836192" w:rsidP="00D86214">
      <w:pPr>
        <w:spacing w:line="360" w:lineRule="auto"/>
        <w:jc w:val="both"/>
        <w:rPr>
          <w:rFonts w:ascii="Palatino Linotype" w:hAnsi="Palatino Linotype" w:cs="Tahoma"/>
          <w:bCs/>
          <w:sz w:val="22"/>
          <w:szCs w:val="22"/>
        </w:rPr>
      </w:pPr>
    </w:p>
    <w:p w14:paraId="316D4A74" w14:textId="597A2674" w:rsidR="00937375" w:rsidRPr="00937375" w:rsidRDefault="00937375" w:rsidP="00937375">
      <w:pPr>
        <w:widowControl w:val="0"/>
        <w:spacing w:line="360" w:lineRule="auto"/>
        <w:jc w:val="both"/>
        <w:rPr>
          <w:rFonts w:ascii="Palatino Linotype" w:hAnsi="Palatino Linotype"/>
          <w:bCs/>
          <w:sz w:val="22"/>
          <w:szCs w:val="22"/>
          <w:lang w:val="es-ES_tradnl"/>
        </w:rPr>
      </w:pPr>
      <w:r w:rsidRPr="00937375">
        <w:rPr>
          <w:rFonts w:ascii="Palatino Linotype" w:eastAsiaTheme="minorHAnsi" w:hAnsi="Palatino Linotype" w:cs="Tahoma"/>
          <w:b/>
          <w:bCs/>
          <w:color w:val="000000" w:themeColor="text1"/>
          <w:sz w:val="22"/>
          <w:szCs w:val="22"/>
          <w:lang w:eastAsia="en-US"/>
        </w:rPr>
        <w:t xml:space="preserve">d) </w:t>
      </w:r>
      <w:r w:rsidRPr="00937375">
        <w:rPr>
          <w:rFonts w:ascii="Palatino Linotype" w:hAnsi="Palatino Linotype"/>
          <w:b/>
          <w:sz w:val="22"/>
          <w:szCs w:val="22"/>
          <w:lang w:val="es-ES_tradnl"/>
        </w:rPr>
        <w:t>Vista del Informe Justificado.</w:t>
      </w:r>
      <w:r w:rsidRPr="00937375">
        <w:rPr>
          <w:rFonts w:ascii="Palatino Linotype" w:hAnsi="Palatino Linotype"/>
          <w:bCs/>
          <w:sz w:val="22"/>
          <w:szCs w:val="22"/>
          <w:lang w:val="es-ES_tradnl"/>
        </w:rPr>
        <w:t xml:space="preserve"> El </w:t>
      </w:r>
      <w:r w:rsidR="00E24695">
        <w:rPr>
          <w:rFonts w:ascii="Palatino Linotype" w:hAnsi="Palatino Linotype"/>
          <w:bCs/>
          <w:sz w:val="22"/>
          <w:szCs w:val="22"/>
          <w:lang w:val="es-ES_tradnl"/>
        </w:rPr>
        <w:t>veinti</w:t>
      </w:r>
      <w:r w:rsidR="00E24695" w:rsidRPr="00937375">
        <w:rPr>
          <w:rFonts w:ascii="Palatino Linotype" w:hAnsi="Palatino Linotype"/>
          <w:bCs/>
          <w:sz w:val="22"/>
          <w:szCs w:val="22"/>
          <w:lang w:val="es-ES_tradnl"/>
        </w:rPr>
        <w:t>trés</w:t>
      </w:r>
      <w:r w:rsidRPr="00937375">
        <w:rPr>
          <w:rFonts w:ascii="Palatino Linotype" w:hAnsi="Palatino Linotype"/>
          <w:bCs/>
          <w:sz w:val="22"/>
          <w:szCs w:val="22"/>
          <w:lang w:val="es-ES_tradnl"/>
        </w:rPr>
        <w:t xml:space="preserve"> de agosto de dos mil veintidós, se dictó acuerdo mediante el cual se puso a la vista del Particular el Informe Justificado, entregado por el Sujeto Obligado, para robustecer su respuesta inicial, el cual fue notificado a las partes el mismo día a través del Sistema de Acceso a la Información Mexiquense (SAIMEX). </w:t>
      </w:r>
      <w:r w:rsidRPr="00937375">
        <w:rPr>
          <w:rFonts w:ascii="Palatino Linotype" w:hAnsi="Palatino Linotype"/>
          <w:b/>
          <w:sz w:val="22"/>
          <w:szCs w:val="22"/>
          <w:lang w:val="es-ES_tradnl"/>
        </w:rPr>
        <w:t>Cabe señalar que el Recurrente fue omiso en realizar alguna manifestación que a su derecho conviniera y asistiera.</w:t>
      </w:r>
      <w:r w:rsidRPr="00937375">
        <w:rPr>
          <w:rFonts w:ascii="Palatino Linotype" w:hAnsi="Palatino Linotype"/>
          <w:bCs/>
          <w:sz w:val="22"/>
          <w:szCs w:val="22"/>
          <w:lang w:val="es-ES_tradnl"/>
        </w:rPr>
        <w:t xml:space="preserve"> </w:t>
      </w:r>
    </w:p>
    <w:p w14:paraId="61477C3C" w14:textId="77777777" w:rsidR="005864BF" w:rsidRPr="00D86214" w:rsidRDefault="005864BF" w:rsidP="00D86214">
      <w:pPr>
        <w:spacing w:line="360" w:lineRule="auto"/>
        <w:jc w:val="both"/>
        <w:rPr>
          <w:rFonts w:ascii="Palatino Linotype" w:hAnsi="Palatino Linotype" w:cs="Tahoma"/>
          <w:bCs/>
          <w:sz w:val="22"/>
          <w:szCs w:val="22"/>
        </w:rPr>
      </w:pPr>
    </w:p>
    <w:p w14:paraId="7C191B6E" w14:textId="276A855B" w:rsidR="00836192" w:rsidRPr="000B7ED7" w:rsidRDefault="004D6299" w:rsidP="00836192">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e</w:t>
      </w:r>
      <w:r w:rsidR="00836192" w:rsidRPr="000B7ED7">
        <w:rPr>
          <w:rFonts w:ascii="Palatino Linotype" w:hAnsi="Palatino Linotype" w:cs="Tahoma"/>
          <w:b/>
          <w:sz w:val="22"/>
          <w:szCs w:val="22"/>
        </w:rPr>
        <w:t>) Cierre de instrucción.</w:t>
      </w:r>
      <w:r w:rsidR="00836192" w:rsidRPr="000B7ED7">
        <w:rPr>
          <w:rFonts w:ascii="Palatino Linotype" w:hAnsi="Palatino Linotype" w:cs="Tahoma"/>
          <w:sz w:val="22"/>
          <w:szCs w:val="22"/>
        </w:rPr>
        <w:t xml:space="preserve"> El </w:t>
      </w:r>
      <w:r w:rsidR="00D86214" w:rsidRPr="00D86214">
        <w:rPr>
          <w:rFonts w:ascii="Palatino Linotype" w:hAnsi="Palatino Linotype" w:cs="Tahoma"/>
          <w:sz w:val="22"/>
          <w:szCs w:val="22"/>
        </w:rPr>
        <w:t>veinti</w:t>
      </w:r>
      <w:r w:rsidR="00E24695">
        <w:rPr>
          <w:rFonts w:ascii="Palatino Linotype" w:hAnsi="Palatino Linotype" w:cs="Tahoma"/>
          <w:sz w:val="22"/>
          <w:szCs w:val="22"/>
        </w:rPr>
        <w:t>nueve</w:t>
      </w:r>
      <w:r w:rsidR="00D86214" w:rsidRPr="00D86214">
        <w:rPr>
          <w:rFonts w:ascii="Palatino Linotype" w:hAnsi="Palatino Linotype" w:cs="Tahoma"/>
          <w:sz w:val="22"/>
          <w:szCs w:val="22"/>
        </w:rPr>
        <w:t xml:space="preserve"> de a</w:t>
      </w:r>
      <w:r w:rsidR="00E24695">
        <w:rPr>
          <w:rFonts w:ascii="Palatino Linotype" w:hAnsi="Palatino Linotype" w:cs="Tahoma"/>
          <w:sz w:val="22"/>
          <w:szCs w:val="22"/>
        </w:rPr>
        <w:t>gosto</w:t>
      </w:r>
      <w:r w:rsidR="00D86214" w:rsidRPr="00D86214">
        <w:rPr>
          <w:rFonts w:ascii="Palatino Linotype" w:hAnsi="Palatino Linotype" w:cs="Tahoma"/>
          <w:sz w:val="22"/>
          <w:szCs w:val="22"/>
        </w:rPr>
        <w:t xml:space="preserve"> de dos mil veintidós</w:t>
      </w:r>
      <w:r w:rsidR="00836192" w:rsidRPr="000B7ED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836192" w:rsidRPr="000B7ED7">
        <w:rPr>
          <w:rFonts w:ascii="Palatino Linotype" w:hAnsi="Palatino Linotype" w:cs="Tahoma"/>
          <w:sz w:val="22"/>
          <w:szCs w:val="22"/>
          <w:lang w:val="es-ES"/>
        </w:rPr>
        <w:t>Sistema de Acceso a la Información Mexiquense (SAIMEX)</w:t>
      </w:r>
      <w:r w:rsidR="00836192" w:rsidRPr="000B7ED7">
        <w:rPr>
          <w:rFonts w:ascii="Palatino Linotype" w:hAnsi="Palatino Linotype" w:cs="Tahoma"/>
          <w:sz w:val="22"/>
          <w:szCs w:val="22"/>
        </w:rPr>
        <w:t>.</w:t>
      </w:r>
    </w:p>
    <w:p w14:paraId="6A3E3595"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p>
    <w:p w14:paraId="6F9A813F" w14:textId="77777777" w:rsidR="00836192" w:rsidRPr="000B7ED7" w:rsidRDefault="00836192" w:rsidP="00836192">
      <w:pPr>
        <w:spacing w:line="360" w:lineRule="auto"/>
        <w:jc w:val="both"/>
        <w:rPr>
          <w:rFonts w:ascii="Palatino Linotype" w:hAnsi="Palatino Linotype" w:cs="Tahoma"/>
          <w:color w:val="000000"/>
          <w:sz w:val="22"/>
          <w:szCs w:val="22"/>
        </w:rPr>
      </w:pPr>
      <w:r w:rsidRPr="000B7ED7">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14:paraId="155D5237" w14:textId="77777777" w:rsidR="00836192" w:rsidRPr="000B7ED7" w:rsidRDefault="00836192" w:rsidP="00836192">
      <w:pPr>
        <w:spacing w:line="360" w:lineRule="auto"/>
        <w:jc w:val="center"/>
        <w:rPr>
          <w:rFonts w:ascii="Palatino Linotype" w:hAnsi="Palatino Linotype" w:cs="Tahoma"/>
          <w:b/>
          <w:sz w:val="22"/>
          <w:szCs w:val="22"/>
        </w:rPr>
      </w:pPr>
    </w:p>
    <w:p w14:paraId="3827B311" w14:textId="77777777" w:rsidR="00836192" w:rsidRPr="000B7ED7" w:rsidRDefault="00836192" w:rsidP="00836192">
      <w:pPr>
        <w:spacing w:line="360" w:lineRule="auto"/>
        <w:jc w:val="center"/>
        <w:rPr>
          <w:rFonts w:ascii="Palatino Linotype" w:hAnsi="Palatino Linotype" w:cs="Tahoma"/>
          <w:b/>
          <w:sz w:val="22"/>
          <w:szCs w:val="22"/>
          <w:lang w:val="es-ES"/>
        </w:rPr>
      </w:pPr>
      <w:r w:rsidRPr="000B7ED7">
        <w:rPr>
          <w:rFonts w:ascii="Palatino Linotype" w:hAnsi="Palatino Linotype" w:cs="Tahoma"/>
          <w:b/>
          <w:sz w:val="22"/>
          <w:szCs w:val="22"/>
          <w:lang w:val="es-ES"/>
        </w:rPr>
        <w:t>C O N S I D E R A N D O S:</w:t>
      </w:r>
    </w:p>
    <w:p w14:paraId="660D57A9" w14:textId="77777777" w:rsidR="00836192" w:rsidRPr="000B7ED7" w:rsidRDefault="00836192" w:rsidP="00836192">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28E8C8FC"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r w:rsidRPr="000B7ED7">
        <w:rPr>
          <w:rFonts w:ascii="Palatino Linotype" w:eastAsia="Calibri" w:hAnsi="Palatino Linotype" w:cs="Tahoma"/>
          <w:b/>
          <w:color w:val="000000"/>
          <w:sz w:val="22"/>
          <w:szCs w:val="22"/>
          <w:lang w:val="es-ES" w:eastAsia="es-MX"/>
        </w:rPr>
        <w:t>PRIMERO</w:t>
      </w:r>
      <w:r w:rsidRPr="000B7ED7">
        <w:rPr>
          <w:rFonts w:ascii="Palatino Linotype" w:eastAsia="Calibri" w:hAnsi="Palatino Linotype" w:cs="Tahoma"/>
          <w:color w:val="000000"/>
          <w:sz w:val="22"/>
          <w:szCs w:val="22"/>
          <w:lang w:val="es-ES" w:eastAsia="es-MX"/>
        </w:rPr>
        <w:t xml:space="preserve">. </w:t>
      </w:r>
      <w:r w:rsidRPr="000B7ED7">
        <w:rPr>
          <w:rFonts w:ascii="Palatino Linotype" w:hAnsi="Palatino Linotype" w:cs="Tahoma"/>
          <w:b/>
          <w:sz w:val="22"/>
          <w:szCs w:val="22"/>
          <w:lang w:val="es-ES"/>
        </w:rPr>
        <w:t>Competencia.</w:t>
      </w:r>
    </w:p>
    <w:p w14:paraId="0573362E" w14:textId="77777777" w:rsidR="00836192" w:rsidRPr="000B7ED7" w:rsidRDefault="00836192" w:rsidP="00836192">
      <w:pPr>
        <w:autoSpaceDE w:val="0"/>
        <w:autoSpaceDN w:val="0"/>
        <w:adjustRightInd w:val="0"/>
        <w:spacing w:line="360" w:lineRule="auto"/>
        <w:jc w:val="both"/>
        <w:rPr>
          <w:rFonts w:ascii="Palatino Linotype" w:hAnsi="Palatino Linotype" w:cs="Tahoma"/>
          <w:b/>
          <w:sz w:val="22"/>
          <w:szCs w:val="22"/>
          <w:lang w:val="es-ES"/>
        </w:rPr>
      </w:pPr>
    </w:p>
    <w:p w14:paraId="2FF232E4" w14:textId="27C0371D" w:rsidR="00836192" w:rsidRPr="000B7ED7" w:rsidRDefault="00836192" w:rsidP="00836192">
      <w:pPr>
        <w:spacing w:line="360" w:lineRule="auto"/>
        <w:jc w:val="both"/>
        <w:rPr>
          <w:rFonts w:ascii="Palatino Linotype" w:hAnsi="Palatino Linotype" w:cs="Tahoma"/>
          <w:bCs/>
          <w:sz w:val="22"/>
          <w:szCs w:val="22"/>
        </w:rPr>
      </w:pPr>
      <w:bookmarkStart w:id="0" w:name="_Hlk63334754"/>
      <w:r w:rsidRPr="000B7ED7">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94135">
        <w:rPr>
          <w:rFonts w:ascii="Palatino Linotype" w:hAnsi="Palatino Linotype" w:cs="Tahoma"/>
          <w:bCs/>
          <w:sz w:val="22"/>
          <w:szCs w:val="22"/>
        </w:rPr>
        <w:t>trigésimo, trigésimo primero y trigésimo segundo</w:t>
      </w:r>
      <w:r w:rsidRPr="000B7ED7">
        <w:rPr>
          <w:rFonts w:ascii="Palatino Linotype" w:hAnsi="Palatino Linotype" w:cs="Tahoma"/>
          <w:bCs/>
          <w:sz w:val="22"/>
          <w:szCs w:val="22"/>
        </w:rPr>
        <w:t>,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0B7ED7">
        <w:rPr>
          <w:rFonts w:ascii="Palatino Linotype" w:hAnsi="Palatino Linotype"/>
          <w:bCs/>
          <w:sz w:val="22"/>
          <w:szCs w:val="22"/>
        </w:rPr>
        <w:t xml:space="preserve"> 7°, </w:t>
      </w:r>
      <w:r w:rsidRPr="000B7ED7">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14:paraId="799726CC" w14:textId="77777777" w:rsidR="00836192" w:rsidRPr="000B7ED7" w:rsidRDefault="00836192" w:rsidP="00836192">
      <w:pPr>
        <w:spacing w:line="360" w:lineRule="auto"/>
        <w:jc w:val="both"/>
        <w:rPr>
          <w:rFonts w:ascii="Palatino Linotype" w:hAnsi="Palatino Linotype" w:cs="Tahoma"/>
          <w:sz w:val="22"/>
          <w:szCs w:val="22"/>
          <w:shd w:val="clear" w:color="auto" w:fill="FFFFFF"/>
        </w:rPr>
      </w:pPr>
    </w:p>
    <w:p w14:paraId="36B85560"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eastAsia="Calibri" w:hAnsi="Palatino Linotype" w:cs="Tahoma"/>
          <w:b/>
          <w:color w:val="000000"/>
          <w:sz w:val="22"/>
          <w:szCs w:val="28"/>
          <w:lang w:val="es-ES" w:eastAsia="es-MX"/>
        </w:rPr>
        <w:t>SEGUNDO</w:t>
      </w:r>
      <w:r w:rsidRPr="000B7ED7">
        <w:rPr>
          <w:rFonts w:ascii="Palatino Linotype" w:eastAsia="Calibri" w:hAnsi="Palatino Linotype" w:cs="Tahoma"/>
          <w:color w:val="000000"/>
          <w:sz w:val="22"/>
          <w:szCs w:val="28"/>
          <w:lang w:val="es-ES" w:eastAsia="es-MX"/>
        </w:rPr>
        <w:t xml:space="preserve">. </w:t>
      </w:r>
      <w:r w:rsidRPr="000B7ED7">
        <w:rPr>
          <w:rFonts w:ascii="Palatino Linotype" w:hAnsi="Palatino Linotype" w:cs="Tahoma"/>
          <w:b/>
          <w:sz w:val="22"/>
          <w:szCs w:val="28"/>
          <w:lang w:val="es-ES"/>
        </w:rPr>
        <w:t>Causales de improcedencia y sobreseimiento.</w:t>
      </w:r>
      <w:r w:rsidRPr="000B7ED7">
        <w:rPr>
          <w:rFonts w:ascii="Palatino Linotype" w:hAnsi="Palatino Linotype" w:cs="Tahoma"/>
          <w:sz w:val="22"/>
          <w:szCs w:val="28"/>
          <w:lang w:val="es-ES"/>
        </w:rPr>
        <w:t xml:space="preserve"> </w:t>
      </w:r>
    </w:p>
    <w:p w14:paraId="58B001B1"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p>
    <w:p w14:paraId="733DB784"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r w:rsidRPr="000B7ED7">
        <w:rPr>
          <w:rFonts w:ascii="Palatino Linotype" w:hAnsi="Palatino Linotype" w:cs="Tahoma"/>
          <w:sz w:val="22"/>
          <w:szCs w:val="28"/>
          <w:lang w:val="es-ES"/>
        </w:rPr>
        <w:t xml:space="preserve">De las constancias que forma parte del Recurso de Revisión que se analiza, se advierte que previo al estudio del fondo de la </w:t>
      </w:r>
      <w:r w:rsidRPr="000B7ED7">
        <w:rPr>
          <w:rFonts w:ascii="Palatino Linotype" w:hAnsi="Palatino Linotype" w:cs="Tahoma"/>
          <w:i/>
          <w:sz w:val="22"/>
          <w:szCs w:val="28"/>
          <w:lang w:val="es-ES"/>
        </w:rPr>
        <w:t>litis</w:t>
      </w:r>
      <w:r w:rsidRPr="000B7ED7">
        <w:rPr>
          <w:rFonts w:ascii="Palatino Linotype" w:hAnsi="Palatino Linotype" w:cs="Tahoma"/>
          <w:sz w:val="22"/>
          <w:szCs w:val="28"/>
          <w:lang w:val="es-ES"/>
        </w:rPr>
        <w:t>, es necesario estudiar las causales de improcedencia y sobreseimiento que se adviertan, para determinar lo que en Derecho proceda.</w:t>
      </w:r>
    </w:p>
    <w:p w14:paraId="21B64974" w14:textId="77777777" w:rsidR="00836192" w:rsidRPr="000B7ED7" w:rsidRDefault="00836192" w:rsidP="00836192">
      <w:pPr>
        <w:autoSpaceDE w:val="0"/>
        <w:autoSpaceDN w:val="0"/>
        <w:adjustRightInd w:val="0"/>
        <w:spacing w:line="360" w:lineRule="auto"/>
        <w:jc w:val="both"/>
        <w:rPr>
          <w:rFonts w:ascii="Palatino Linotype" w:hAnsi="Palatino Linotype" w:cs="Tahoma"/>
          <w:sz w:val="22"/>
          <w:szCs w:val="28"/>
          <w:lang w:val="es-ES"/>
        </w:rPr>
      </w:pPr>
    </w:p>
    <w:p w14:paraId="692C9C6A" w14:textId="77777777" w:rsidR="00836192" w:rsidRPr="000B7ED7" w:rsidRDefault="00836192" w:rsidP="00836192">
      <w:pPr>
        <w:spacing w:line="360" w:lineRule="auto"/>
        <w:jc w:val="both"/>
        <w:rPr>
          <w:rFonts w:ascii="Palatino Linotype" w:hAnsi="Palatino Linotype"/>
          <w:b/>
          <w:sz w:val="22"/>
          <w:szCs w:val="22"/>
          <w:lang w:val="es-ES"/>
        </w:rPr>
      </w:pPr>
      <w:r w:rsidRPr="000B7ED7">
        <w:rPr>
          <w:rFonts w:ascii="Palatino Linotype" w:hAnsi="Palatino Linotype"/>
          <w:b/>
          <w:sz w:val="22"/>
          <w:szCs w:val="22"/>
          <w:lang w:val="es-ES"/>
        </w:rPr>
        <w:t>Causales de improcedencia</w:t>
      </w:r>
    </w:p>
    <w:p w14:paraId="6F796DF7" w14:textId="77777777" w:rsidR="00836192" w:rsidRPr="000B7ED7" w:rsidRDefault="00836192" w:rsidP="00836192">
      <w:pPr>
        <w:spacing w:line="360" w:lineRule="auto"/>
        <w:jc w:val="both"/>
        <w:rPr>
          <w:rFonts w:ascii="Palatino Linotype" w:hAnsi="Palatino Linotype"/>
          <w:sz w:val="22"/>
          <w:szCs w:val="22"/>
        </w:rPr>
      </w:pPr>
    </w:p>
    <w:p w14:paraId="207C864F" w14:textId="77777777" w:rsidR="00836192" w:rsidRPr="000B7ED7" w:rsidRDefault="00836192" w:rsidP="00836192">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43935A0" w14:textId="77777777" w:rsidR="00836192" w:rsidRPr="000B7ED7" w:rsidRDefault="00836192" w:rsidP="00836192">
      <w:pPr>
        <w:spacing w:line="360" w:lineRule="auto"/>
        <w:jc w:val="both"/>
        <w:rPr>
          <w:rFonts w:ascii="Palatino Linotype" w:hAnsi="Palatino Linotype" w:cs="Tahoma"/>
          <w:bCs/>
          <w:color w:val="000000"/>
          <w:sz w:val="22"/>
          <w:szCs w:val="22"/>
        </w:rPr>
      </w:pPr>
    </w:p>
    <w:p w14:paraId="01CB2C6C" w14:textId="50DE4530" w:rsidR="00836192" w:rsidRPr="000B7ED7" w:rsidRDefault="00836192" w:rsidP="00836192">
      <w:pPr>
        <w:spacing w:line="360" w:lineRule="auto"/>
        <w:jc w:val="both"/>
        <w:rPr>
          <w:rFonts w:ascii="Palatino Linotype" w:hAnsi="Palatino Linotype" w:cs="Tahoma"/>
          <w:bCs/>
          <w:color w:val="000000"/>
          <w:sz w:val="22"/>
          <w:szCs w:val="22"/>
        </w:rPr>
      </w:pPr>
      <w:r w:rsidRPr="000B7ED7">
        <w:rPr>
          <w:rFonts w:ascii="Palatino Linotype" w:hAnsi="Palatino Linotype" w:cs="Tahoma"/>
          <w:bCs/>
          <w:color w:val="000000"/>
          <w:sz w:val="22"/>
          <w:szCs w:val="22"/>
        </w:rPr>
        <w:t xml:space="preserve">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161E09">
        <w:rPr>
          <w:rFonts w:ascii="Palatino Linotype" w:hAnsi="Palatino Linotype" w:cs="Tahoma"/>
          <w:bCs/>
          <w:color w:val="000000"/>
          <w:sz w:val="22"/>
          <w:szCs w:val="22"/>
        </w:rPr>
        <w:t>el</w:t>
      </w:r>
      <w:r w:rsidRPr="000B7ED7">
        <w:rPr>
          <w:rFonts w:ascii="Palatino Linotype" w:hAnsi="Palatino Linotype" w:cs="Tahoma"/>
          <w:bCs/>
          <w:color w:val="000000"/>
          <w:sz w:val="22"/>
          <w:szCs w:val="22"/>
        </w:rPr>
        <w:t xml:space="preserve"> Recurrente ante otra instancia; no existió prevención alguna; la veracidad de la respuesta no formó parte del agravio; ni se realizó una ampliación a los alcances del requerimiento informativo.</w:t>
      </w:r>
    </w:p>
    <w:p w14:paraId="6A73D0EC" w14:textId="77777777" w:rsidR="00836192" w:rsidRPr="000B7ED7" w:rsidRDefault="00836192" w:rsidP="00836192">
      <w:pPr>
        <w:spacing w:line="360" w:lineRule="auto"/>
        <w:jc w:val="both"/>
        <w:rPr>
          <w:rFonts w:ascii="Palatino Linotype" w:hAnsi="Palatino Linotype"/>
          <w:color w:val="222222"/>
          <w:sz w:val="22"/>
          <w:szCs w:val="22"/>
          <w:lang w:val="es-ES"/>
        </w:rPr>
      </w:pPr>
    </w:p>
    <w:p w14:paraId="7822D596" w14:textId="45888079" w:rsidR="00836192" w:rsidRPr="000B7ED7" w:rsidRDefault="00836192" w:rsidP="00836192">
      <w:pPr>
        <w:widowControl w:val="0"/>
        <w:spacing w:line="360" w:lineRule="auto"/>
        <w:jc w:val="both"/>
        <w:rPr>
          <w:rFonts w:ascii="Palatino Linotype" w:hAnsi="Palatino Linotype" w:cs="Tahoma"/>
          <w:sz w:val="22"/>
          <w:szCs w:val="22"/>
          <w:lang w:val="es-ES"/>
        </w:rPr>
      </w:pPr>
      <w:r w:rsidRPr="000B7ED7">
        <w:rPr>
          <w:rFonts w:ascii="Palatino Linotype" w:hAnsi="Palatino Linotype" w:cs="Tahoma"/>
          <w:sz w:val="22"/>
          <w:szCs w:val="22"/>
        </w:rPr>
        <w:t>Asimismo, se actualiza la causal de procedencia del Recurso de Revisión señalada en el artículo 179, fracci</w:t>
      </w:r>
      <w:r w:rsidR="00161E09">
        <w:rPr>
          <w:rFonts w:ascii="Palatino Linotype" w:hAnsi="Palatino Linotype" w:cs="Tahoma"/>
          <w:sz w:val="22"/>
          <w:szCs w:val="22"/>
        </w:rPr>
        <w:t>ón</w:t>
      </w:r>
      <w:r w:rsidRPr="000B7ED7">
        <w:rPr>
          <w:rFonts w:ascii="Palatino Linotype" w:hAnsi="Palatino Linotype" w:cs="Tahoma"/>
          <w:sz w:val="22"/>
          <w:szCs w:val="22"/>
        </w:rPr>
        <w:t xml:space="preserve"> </w:t>
      </w:r>
      <w:r w:rsidR="00E4656C">
        <w:rPr>
          <w:rFonts w:ascii="Palatino Linotype" w:hAnsi="Palatino Linotype" w:cs="Tahoma"/>
          <w:sz w:val="22"/>
          <w:szCs w:val="22"/>
        </w:rPr>
        <w:t>IV</w:t>
      </w:r>
      <w:r w:rsidRPr="000B7ED7">
        <w:rPr>
          <w:rFonts w:ascii="Palatino Linotype" w:hAnsi="Palatino Linotype" w:cs="Tahoma"/>
          <w:sz w:val="22"/>
          <w:szCs w:val="22"/>
        </w:rPr>
        <w:t xml:space="preserve">, de la Ley en cita, </w:t>
      </w:r>
      <w:r w:rsidRPr="000B7ED7">
        <w:rPr>
          <w:rFonts w:ascii="Palatino Linotype" w:eastAsia="Calibri" w:hAnsi="Palatino Linotype" w:cs="Tahoma"/>
          <w:color w:val="000000"/>
          <w:sz w:val="22"/>
          <w:szCs w:val="22"/>
          <w:lang w:eastAsia="es-MX"/>
        </w:rPr>
        <w:t xml:space="preserve">pues </w:t>
      </w:r>
      <w:r w:rsidR="00161E09">
        <w:rPr>
          <w:rFonts w:ascii="Palatino Linotype" w:eastAsia="Calibri" w:hAnsi="Palatino Linotype" w:cs="Tahoma"/>
          <w:color w:val="000000"/>
          <w:sz w:val="22"/>
          <w:szCs w:val="22"/>
          <w:lang w:eastAsia="es-MX"/>
        </w:rPr>
        <w:t>el</w:t>
      </w:r>
      <w:r w:rsidRPr="000B7ED7">
        <w:rPr>
          <w:rFonts w:ascii="Palatino Linotype" w:eastAsia="Calibri" w:hAnsi="Palatino Linotype" w:cs="Tahoma"/>
          <w:color w:val="000000"/>
          <w:sz w:val="22"/>
          <w:szCs w:val="22"/>
          <w:lang w:eastAsia="es-MX"/>
        </w:rPr>
        <w:t xml:space="preserve"> Recurrente se inconformó </w:t>
      </w:r>
      <w:r w:rsidR="00E4656C">
        <w:rPr>
          <w:rFonts w:ascii="Palatino Linotype" w:hAnsi="Palatino Linotype" w:cs="Tahoma"/>
          <w:sz w:val="22"/>
          <w:szCs w:val="22"/>
          <w:lang w:val="es-ES"/>
        </w:rPr>
        <w:t>con la incompetencia manifestada por el Sujeto Obligado.</w:t>
      </w:r>
    </w:p>
    <w:p w14:paraId="6B68C2E4" w14:textId="77777777" w:rsidR="00836192" w:rsidRPr="000B7ED7" w:rsidRDefault="00836192" w:rsidP="00836192">
      <w:pPr>
        <w:spacing w:line="360" w:lineRule="auto"/>
        <w:jc w:val="both"/>
        <w:rPr>
          <w:rFonts w:ascii="Palatino Linotype" w:hAnsi="Palatino Linotype" w:cs="Tahoma"/>
          <w:bCs/>
          <w:sz w:val="22"/>
          <w:szCs w:val="22"/>
          <w:lang w:val="es-ES"/>
        </w:rPr>
      </w:pPr>
    </w:p>
    <w:p w14:paraId="2D099825" w14:textId="77777777" w:rsidR="00836192" w:rsidRPr="000B7ED7" w:rsidRDefault="00836192" w:rsidP="00836192">
      <w:pPr>
        <w:spacing w:line="360" w:lineRule="auto"/>
        <w:jc w:val="both"/>
        <w:rPr>
          <w:rFonts w:ascii="Palatino Linotype" w:hAnsi="Palatino Linotype" w:cs="Tahoma"/>
          <w:bCs/>
          <w:color w:val="0D0D0D" w:themeColor="text1" w:themeTint="F2"/>
          <w:sz w:val="22"/>
          <w:szCs w:val="22"/>
        </w:rPr>
      </w:pPr>
      <w:r w:rsidRPr="000B7ED7">
        <w:rPr>
          <w:rFonts w:ascii="Palatino Linotype" w:hAnsi="Palatino Linotype" w:cs="Tahoma"/>
          <w:b/>
          <w:bCs/>
          <w:color w:val="0D0D0D" w:themeColor="text1" w:themeTint="F2"/>
          <w:sz w:val="22"/>
          <w:szCs w:val="22"/>
        </w:rPr>
        <w:t>Causales de sobreseimiento.</w:t>
      </w:r>
    </w:p>
    <w:p w14:paraId="68A19E27"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p>
    <w:p w14:paraId="1B3D3DEC"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ser de previo y especial pronunciamiento, este Instituto analiza si se actualiza alguna causal de sobreseimiento.</w:t>
      </w:r>
    </w:p>
    <w:p w14:paraId="177D54F6"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p>
    <w:p w14:paraId="3E312D1F"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F9CCA3C" w14:textId="77777777" w:rsidR="00993A49" w:rsidRPr="00993A49" w:rsidRDefault="00993A49" w:rsidP="00993A49">
      <w:pPr>
        <w:spacing w:line="360" w:lineRule="auto"/>
        <w:jc w:val="both"/>
        <w:rPr>
          <w:rFonts w:ascii="Palatino Linotype" w:hAnsi="Palatino Linotype" w:cs="Tahoma"/>
          <w:color w:val="0D0D0D" w:themeColor="text1" w:themeTint="F2"/>
          <w:sz w:val="22"/>
          <w:szCs w:val="22"/>
        </w:rPr>
      </w:pPr>
    </w:p>
    <w:p w14:paraId="1CA5BCE1" w14:textId="6008E597" w:rsidR="00836192" w:rsidRDefault="00993A49" w:rsidP="00993A49">
      <w:pPr>
        <w:spacing w:line="360" w:lineRule="auto"/>
        <w:jc w:val="both"/>
        <w:rPr>
          <w:rFonts w:ascii="Palatino Linotype" w:hAnsi="Palatino Linotype" w:cs="Tahoma"/>
          <w:color w:val="0D0D0D" w:themeColor="text1" w:themeTint="F2"/>
          <w:sz w:val="22"/>
          <w:szCs w:val="22"/>
        </w:rPr>
      </w:pPr>
      <w:r w:rsidRPr="00993A49">
        <w:rPr>
          <w:rFonts w:ascii="Palatino Linotype" w:hAnsi="Palatino Linotype" w:cs="Tahoma"/>
          <w:color w:val="0D0D0D" w:themeColor="text1" w:themeTint="F2"/>
          <w:sz w:val="22"/>
          <w:szCs w:val="22"/>
        </w:rPr>
        <w:t>Por tales motivos, se considera procedente entrar al fondo del presente asunto</w:t>
      </w:r>
    </w:p>
    <w:p w14:paraId="505CAE77" w14:textId="77777777" w:rsidR="00993A49" w:rsidRPr="000B7ED7" w:rsidRDefault="00993A49" w:rsidP="00993A49">
      <w:pPr>
        <w:spacing w:line="360" w:lineRule="auto"/>
        <w:jc w:val="both"/>
        <w:rPr>
          <w:rFonts w:ascii="Palatino Linotype" w:hAnsi="Palatino Linotype" w:cs="Tahoma"/>
          <w:sz w:val="22"/>
          <w:szCs w:val="22"/>
          <w:lang w:val="es-ES"/>
        </w:rPr>
      </w:pPr>
    </w:p>
    <w:p w14:paraId="1D4BC467" w14:textId="575CB069" w:rsidR="00836192" w:rsidRDefault="00836192" w:rsidP="00836192">
      <w:pPr>
        <w:tabs>
          <w:tab w:val="left" w:pos="4962"/>
        </w:tabs>
        <w:spacing w:line="360" w:lineRule="auto"/>
        <w:jc w:val="both"/>
        <w:rPr>
          <w:rFonts w:ascii="Palatino Linotype" w:eastAsia="Calibri" w:hAnsi="Palatino Linotype" w:cs="Tahoma"/>
          <w:b/>
          <w:iCs/>
          <w:sz w:val="22"/>
          <w:szCs w:val="22"/>
          <w:lang w:val="es-ES" w:eastAsia="es-ES_tradnl"/>
        </w:rPr>
      </w:pPr>
      <w:r w:rsidRPr="000B7ED7">
        <w:rPr>
          <w:rFonts w:ascii="Palatino Linotype" w:eastAsia="Calibri" w:hAnsi="Palatino Linotype" w:cs="Tahoma"/>
          <w:b/>
          <w:iCs/>
          <w:sz w:val="22"/>
          <w:szCs w:val="22"/>
          <w:lang w:val="es-ES" w:eastAsia="es-ES_tradnl"/>
        </w:rPr>
        <w:t xml:space="preserve">TERCERO. Determinación de la Controversia. </w:t>
      </w:r>
    </w:p>
    <w:p w14:paraId="19E88589" w14:textId="77777777" w:rsidR="00E22CD8" w:rsidRPr="000B7ED7" w:rsidRDefault="00E22CD8" w:rsidP="00836192">
      <w:pPr>
        <w:tabs>
          <w:tab w:val="left" w:pos="4962"/>
        </w:tabs>
        <w:spacing w:line="360" w:lineRule="auto"/>
        <w:jc w:val="both"/>
        <w:rPr>
          <w:rFonts w:ascii="Palatino Linotype" w:eastAsia="Calibri" w:hAnsi="Palatino Linotype" w:cs="Tahoma"/>
          <w:b/>
          <w:iCs/>
          <w:sz w:val="22"/>
          <w:szCs w:val="22"/>
          <w:lang w:val="es-ES" w:eastAsia="es-ES_tradnl"/>
        </w:rPr>
      </w:pPr>
    </w:p>
    <w:p w14:paraId="6EDC4173" w14:textId="49C1872A" w:rsidR="00E4656C" w:rsidRDefault="00E438B3" w:rsidP="0044419C">
      <w:pPr>
        <w:spacing w:line="360" w:lineRule="auto"/>
        <w:jc w:val="both"/>
        <w:rPr>
          <w:rFonts w:ascii="Palatino Linotype" w:hAnsi="Palatino Linotype" w:cs="Tahoma"/>
          <w:sz w:val="22"/>
          <w:szCs w:val="22"/>
        </w:rPr>
      </w:pPr>
      <w:r w:rsidRPr="000B7ED7">
        <w:rPr>
          <w:rFonts w:ascii="Palatino Linotype" w:hAnsi="Palatino Linotype" w:cs="Tahoma"/>
          <w:sz w:val="22"/>
          <w:szCs w:val="22"/>
        </w:rPr>
        <w:t>Con el objetivo de ilustrar la controversia planteada</w:t>
      </w:r>
      <w:r w:rsidR="006F29FC" w:rsidRPr="000B7ED7">
        <w:rPr>
          <w:rFonts w:ascii="Palatino Linotype" w:hAnsi="Palatino Linotype" w:cs="Tahoma"/>
          <w:sz w:val="22"/>
          <w:szCs w:val="22"/>
        </w:rPr>
        <w:t xml:space="preserve">, resulta conveniente precisar, que una vez realizado el estudio de </w:t>
      </w:r>
      <w:r w:rsidR="00361539" w:rsidRPr="000B7ED7">
        <w:rPr>
          <w:rFonts w:ascii="Palatino Linotype" w:hAnsi="Palatino Linotype" w:cs="Tahoma"/>
          <w:sz w:val="22"/>
          <w:szCs w:val="22"/>
        </w:rPr>
        <w:t xml:space="preserve">las </w:t>
      </w:r>
      <w:r w:rsidR="00121F26" w:rsidRPr="000B7ED7">
        <w:rPr>
          <w:rFonts w:ascii="Palatino Linotype" w:hAnsi="Palatino Linotype" w:cs="Tahoma"/>
          <w:sz w:val="22"/>
          <w:szCs w:val="22"/>
        </w:rPr>
        <w:t xml:space="preserve">constancias </w:t>
      </w:r>
      <w:r w:rsidR="00E82D16" w:rsidRPr="000B7ED7">
        <w:rPr>
          <w:rFonts w:ascii="Palatino Linotype" w:hAnsi="Palatino Linotype" w:cs="Tahoma"/>
          <w:sz w:val="22"/>
          <w:szCs w:val="22"/>
        </w:rPr>
        <w:t xml:space="preserve">que integran el expediente </w:t>
      </w:r>
      <w:r w:rsidR="00DE25AA" w:rsidRPr="000B7ED7">
        <w:rPr>
          <w:rFonts w:ascii="Palatino Linotype" w:hAnsi="Palatino Linotype" w:cs="Tahoma"/>
          <w:sz w:val="22"/>
          <w:szCs w:val="22"/>
        </w:rPr>
        <w:t xml:space="preserve">en el que se actúa, se desprende que el Particular </w:t>
      </w:r>
      <w:r w:rsidR="009D0B60" w:rsidRPr="000B7ED7">
        <w:rPr>
          <w:rFonts w:ascii="Palatino Linotype" w:hAnsi="Palatino Linotype" w:cs="Tahoma"/>
          <w:sz w:val="22"/>
          <w:szCs w:val="22"/>
        </w:rPr>
        <w:t>requirió</w:t>
      </w:r>
      <w:r w:rsidR="0030752D" w:rsidRPr="000B7ED7">
        <w:rPr>
          <w:rFonts w:ascii="Palatino Linotype" w:hAnsi="Palatino Linotype" w:cs="Tahoma"/>
          <w:sz w:val="22"/>
          <w:szCs w:val="22"/>
        </w:rPr>
        <w:t xml:space="preserve"> </w:t>
      </w:r>
      <w:r w:rsidR="00A1187B">
        <w:rPr>
          <w:rFonts w:ascii="Palatino Linotype" w:hAnsi="Palatino Linotype" w:cs="Tahoma"/>
          <w:sz w:val="22"/>
          <w:szCs w:val="22"/>
        </w:rPr>
        <w:t xml:space="preserve">la declaración patrimonial </w:t>
      </w:r>
      <w:r w:rsidR="00E4656C">
        <w:rPr>
          <w:rFonts w:ascii="Palatino Linotype" w:hAnsi="Palatino Linotype" w:cs="Tahoma"/>
          <w:sz w:val="22"/>
          <w:szCs w:val="22"/>
        </w:rPr>
        <w:t xml:space="preserve">realizada por los miembros del Cabildo, durante el dos </w:t>
      </w:r>
      <w:proofErr w:type="gramStart"/>
      <w:r w:rsidR="00E4656C">
        <w:rPr>
          <w:rFonts w:ascii="Palatino Linotype" w:hAnsi="Palatino Linotype" w:cs="Tahoma"/>
          <w:sz w:val="22"/>
          <w:szCs w:val="22"/>
        </w:rPr>
        <w:t>mil veintiuno</w:t>
      </w:r>
      <w:proofErr w:type="gramEnd"/>
      <w:r w:rsidR="00E4656C">
        <w:rPr>
          <w:rFonts w:ascii="Palatino Linotype" w:hAnsi="Palatino Linotype" w:cs="Tahoma"/>
          <w:sz w:val="22"/>
          <w:szCs w:val="22"/>
        </w:rPr>
        <w:t>.</w:t>
      </w:r>
    </w:p>
    <w:p w14:paraId="158601D5" w14:textId="77777777" w:rsidR="00E4656C" w:rsidRDefault="00E4656C" w:rsidP="0044419C">
      <w:pPr>
        <w:spacing w:line="360" w:lineRule="auto"/>
        <w:jc w:val="both"/>
        <w:rPr>
          <w:rFonts w:ascii="Palatino Linotype" w:hAnsi="Palatino Linotype" w:cs="Tahoma"/>
          <w:sz w:val="22"/>
          <w:szCs w:val="22"/>
        </w:rPr>
      </w:pPr>
    </w:p>
    <w:p w14:paraId="454C3BFF" w14:textId="6DBC6306" w:rsidR="0012296F" w:rsidRDefault="00130F94" w:rsidP="00AE38E0">
      <w:pPr>
        <w:spacing w:line="360" w:lineRule="auto"/>
        <w:jc w:val="both"/>
        <w:rPr>
          <w:rFonts w:ascii="Palatino Linotype" w:eastAsia="Calibri" w:hAnsi="Palatino Linotype" w:cs="Tahoma"/>
          <w:bCs/>
          <w:iCs/>
          <w:color w:val="000000"/>
          <w:sz w:val="22"/>
          <w:szCs w:val="22"/>
          <w:lang w:val="es-ES_tradnl" w:eastAsia="en-US"/>
        </w:rPr>
      </w:pPr>
      <w:r w:rsidRPr="0044419C">
        <w:rPr>
          <w:rFonts w:ascii="Palatino Linotype" w:hAnsi="Palatino Linotype"/>
          <w:sz w:val="22"/>
          <w:szCs w:val="22"/>
        </w:rPr>
        <w:t>En respuesta, el Sujeto Obligado</w:t>
      </w:r>
      <w:r w:rsidR="00504814">
        <w:rPr>
          <w:rFonts w:ascii="Palatino Linotype" w:hAnsi="Palatino Linotype"/>
          <w:sz w:val="22"/>
          <w:szCs w:val="22"/>
        </w:rPr>
        <w:t>,</w:t>
      </w:r>
      <w:r w:rsidRPr="0044419C">
        <w:rPr>
          <w:rFonts w:ascii="Palatino Linotype" w:hAnsi="Palatino Linotype"/>
          <w:sz w:val="22"/>
          <w:szCs w:val="22"/>
        </w:rPr>
        <w:t xml:space="preserve"> precisó</w:t>
      </w:r>
      <w:r w:rsidR="00C10FE7">
        <w:rPr>
          <w:rFonts w:ascii="Palatino Linotype" w:hAnsi="Palatino Linotype"/>
          <w:sz w:val="22"/>
          <w:szCs w:val="22"/>
        </w:rPr>
        <w:t xml:space="preserve"> </w:t>
      </w:r>
      <w:r w:rsidRPr="0044419C">
        <w:rPr>
          <w:rFonts w:ascii="Palatino Linotype" w:hAnsi="Palatino Linotype"/>
          <w:sz w:val="22"/>
          <w:szCs w:val="22"/>
        </w:rPr>
        <w:t>que</w:t>
      </w:r>
      <w:r w:rsidR="00E4656C">
        <w:rPr>
          <w:rFonts w:ascii="Palatino Linotype" w:hAnsi="Palatino Linotype"/>
          <w:sz w:val="22"/>
          <w:szCs w:val="22"/>
        </w:rPr>
        <w:t xml:space="preserve"> carecía de</w:t>
      </w:r>
      <w:r w:rsidRPr="0044419C">
        <w:rPr>
          <w:rFonts w:ascii="Palatino Linotype" w:hAnsi="Palatino Linotype"/>
          <w:sz w:val="22"/>
          <w:szCs w:val="22"/>
        </w:rPr>
        <w:t xml:space="preserve"> </w:t>
      </w:r>
      <w:r w:rsidR="00C10FE7">
        <w:rPr>
          <w:rFonts w:ascii="Palatino Linotype" w:hAnsi="Palatino Linotype"/>
          <w:sz w:val="22"/>
          <w:szCs w:val="22"/>
        </w:rPr>
        <w:t xml:space="preserve"> atribuciones para el control y registro de las declaraciones patrimoniales, ya que es información generada a través del sistema DECLARANET</w:t>
      </w:r>
      <w:r w:rsidR="00E4656C">
        <w:rPr>
          <w:rFonts w:ascii="Palatino Linotype" w:hAnsi="Palatino Linotype"/>
          <w:sz w:val="22"/>
          <w:szCs w:val="22"/>
        </w:rPr>
        <w:t xml:space="preserve">, por lo que orientó </w:t>
      </w:r>
      <w:r w:rsidR="00C10FE7">
        <w:rPr>
          <w:rFonts w:ascii="Palatino Linotype" w:hAnsi="Palatino Linotype"/>
          <w:sz w:val="22"/>
          <w:szCs w:val="22"/>
        </w:rPr>
        <w:t xml:space="preserve">al </w:t>
      </w:r>
      <w:r w:rsidR="00E4656C">
        <w:rPr>
          <w:rFonts w:ascii="Palatino Linotype" w:hAnsi="Palatino Linotype"/>
          <w:sz w:val="22"/>
          <w:szCs w:val="22"/>
        </w:rPr>
        <w:t>P</w:t>
      </w:r>
      <w:r w:rsidR="00C10FE7">
        <w:rPr>
          <w:rFonts w:ascii="Palatino Linotype" w:hAnsi="Palatino Linotype"/>
          <w:sz w:val="22"/>
          <w:szCs w:val="22"/>
        </w:rPr>
        <w:t>articular a dirigir su solicitud ante la Secretaría de la Contraloría del Estado de México</w:t>
      </w:r>
      <w:r w:rsidRPr="0044419C">
        <w:rPr>
          <w:rFonts w:ascii="Palatino Linotype" w:hAnsi="Palatino Linotype"/>
          <w:sz w:val="22"/>
          <w:szCs w:val="22"/>
        </w:rPr>
        <w:t xml:space="preserve">; ante dicha circunstancia, la parte Recurrente se inconformó </w:t>
      </w:r>
      <w:r w:rsidR="00E4656C">
        <w:rPr>
          <w:rFonts w:ascii="Palatino Linotype" w:hAnsi="Palatino Linotype"/>
          <w:sz w:val="22"/>
          <w:szCs w:val="22"/>
        </w:rPr>
        <w:t>con la incompetencia manifestada, al señalar que no le entregaban lo solicitado</w:t>
      </w:r>
      <w:r w:rsidR="00281696">
        <w:rPr>
          <w:rFonts w:ascii="Palatino Linotype" w:hAnsi="Palatino Linotype"/>
          <w:sz w:val="22"/>
          <w:szCs w:val="22"/>
        </w:rPr>
        <w:t xml:space="preserve">, </w:t>
      </w:r>
      <w:r w:rsidR="00281696">
        <w:rPr>
          <w:rFonts w:ascii="Palatino Linotype" w:eastAsiaTheme="minorHAnsi" w:hAnsi="Palatino Linotype" w:cs="Tahoma"/>
          <w:bCs/>
          <w:iCs/>
          <w:color w:val="000000" w:themeColor="text1"/>
          <w:sz w:val="22"/>
          <w:szCs w:val="22"/>
          <w:lang w:val="es-ES" w:eastAsia="en-US"/>
        </w:rPr>
        <w:t>lo cual actualiza el supuesto previsto en el artículo 179, fracción I</w:t>
      </w:r>
      <w:r w:rsidR="00E4656C">
        <w:rPr>
          <w:rFonts w:ascii="Palatino Linotype" w:eastAsiaTheme="minorHAnsi" w:hAnsi="Palatino Linotype" w:cs="Tahoma"/>
          <w:bCs/>
          <w:iCs/>
          <w:color w:val="000000" w:themeColor="text1"/>
          <w:sz w:val="22"/>
          <w:szCs w:val="22"/>
          <w:lang w:val="es-ES" w:eastAsia="en-US"/>
        </w:rPr>
        <w:t>V</w:t>
      </w:r>
      <w:r w:rsidR="00281696">
        <w:rPr>
          <w:rFonts w:ascii="Palatino Linotype" w:eastAsiaTheme="minorHAnsi" w:hAnsi="Palatino Linotype" w:cs="Tahoma"/>
          <w:bCs/>
          <w:iCs/>
          <w:color w:val="000000" w:themeColor="text1"/>
          <w:sz w:val="22"/>
          <w:szCs w:val="22"/>
          <w:lang w:val="es-ES" w:eastAsia="en-US"/>
        </w:rPr>
        <w:t>, de la Ley de Transparencia y Acceso a la Información Pública del Estado de México y Municipios</w:t>
      </w:r>
      <w:r w:rsidR="00E4656C">
        <w:rPr>
          <w:rFonts w:ascii="Palatino Linotype" w:eastAsiaTheme="minorHAnsi" w:hAnsi="Palatino Linotype" w:cs="Tahoma"/>
          <w:bCs/>
          <w:iCs/>
          <w:color w:val="000000" w:themeColor="text1"/>
          <w:sz w:val="22"/>
          <w:szCs w:val="22"/>
          <w:shd w:val="clear" w:color="auto" w:fill="FFFFFF"/>
          <w:lang w:eastAsia="en-US"/>
        </w:rPr>
        <w:t>.</w:t>
      </w:r>
      <w:r w:rsidR="00281696">
        <w:rPr>
          <w:rFonts w:ascii="Palatino Linotype" w:eastAsia="Calibri" w:hAnsi="Palatino Linotype" w:cs="Tahoma"/>
          <w:bCs/>
          <w:iCs/>
          <w:color w:val="000000"/>
          <w:sz w:val="22"/>
          <w:szCs w:val="22"/>
          <w:lang w:val="es-ES_tradnl" w:eastAsia="en-US"/>
        </w:rPr>
        <w:t xml:space="preserve"> </w:t>
      </w:r>
    </w:p>
    <w:p w14:paraId="43A0DD95" w14:textId="77777777" w:rsidR="0012296F" w:rsidRDefault="0012296F" w:rsidP="00AE38E0">
      <w:pPr>
        <w:spacing w:line="360" w:lineRule="auto"/>
        <w:jc w:val="both"/>
        <w:rPr>
          <w:rFonts w:ascii="Palatino Linotype" w:eastAsia="Calibri" w:hAnsi="Palatino Linotype" w:cs="Tahoma"/>
          <w:bCs/>
          <w:iCs/>
          <w:color w:val="000000"/>
          <w:sz w:val="22"/>
          <w:szCs w:val="22"/>
          <w:lang w:val="es-ES_tradnl" w:eastAsia="en-US"/>
        </w:rPr>
      </w:pPr>
    </w:p>
    <w:p w14:paraId="30F65E8F" w14:textId="77777777" w:rsidR="0012296F" w:rsidRPr="0012296F" w:rsidRDefault="00281696" w:rsidP="0012296F">
      <w:pPr>
        <w:spacing w:line="360" w:lineRule="auto"/>
        <w:jc w:val="both"/>
        <w:rPr>
          <w:rFonts w:ascii="Palatino Linotype" w:eastAsiaTheme="minorHAnsi" w:hAnsi="Palatino Linotype" w:cs="Tahoma"/>
          <w:color w:val="000000" w:themeColor="text1"/>
          <w:sz w:val="22"/>
          <w:szCs w:val="22"/>
          <w:lang w:val="es-ES" w:eastAsia="en-US"/>
        </w:rPr>
      </w:pPr>
      <w:r>
        <w:rPr>
          <w:rFonts w:ascii="Palatino Linotype" w:eastAsiaTheme="minorHAnsi" w:hAnsi="Palatino Linotype" w:cs="Tahoma"/>
          <w:color w:val="000000" w:themeColor="text1"/>
          <w:sz w:val="22"/>
          <w:szCs w:val="22"/>
          <w:lang w:val="es-ES" w:eastAsia="en-US"/>
        </w:rPr>
        <w:t xml:space="preserve">Así las cosas, una vez admitido y notificado los Recursos de Revisión a las partes, </w:t>
      </w:r>
      <w:r w:rsidR="0012296F" w:rsidRPr="0012296F">
        <w:rPr>
          <w:rFonts w:ascii="Palatino Linotype" w:eastAsiaTheme="minorHAnsi" w:hAnsi="Palatino Linotype" w:cs="Tahoma"/>
          <w:color w:val="000000" w:themeColor="text1"/>
          <w:sz w:val="22"/>
          <w:szCs w:val="22"/>
          <w:lang w:val="es-ES" w:eastAsia="en-US"/>
        </w:rPr>
        <w:t>el Sujeto</w:t>
      </w:r>
    </w:p>
    <w:p w14:paraId="568C868C" w14:textId="5A4031E0" w:rsidR="00281696" w:rsidRDefault="0012296F" w:rsidP="0012296F">
      <w:pPr>
        <w:spacing w:line="360" w:lineRule="auto"/>
        <w:jc w:val="both"/>
        <w:rPr>
          <w:rFonts w:ascii="Palatino Linotype" w:hAnsi="Palatino Linotype"/>
          <w:sz w:val="22"/>
          <w:szCs w:val="22"/>
        </w:rPr>
      </w:pPr>
      <w:r w:rsidRPr="0012296F">
        <w:rPr>
          <w:rFonts w:ascii="Palatino Linotype" w:eastAsiaTheme="minorHAnsi" w:hAnsi="Palatino Linotype" w:cs="Tahoma"/>
          <w:color w:val="000000" w:themeColor="text1"/>
          <w:sz w:val="22"/>
          <w:szCs w:val="22"/>
          <w:lang w:val="es-ES" w:eastAsia="en-US"/>
        </w:rPr>
        <w:lastRenderedPageBreak/>
        <w:t>Obligado mediante Informe Justificado ratificó su respuesta</w:t>
      </w:r>
      <w:r>
        <w:rPr>
          <w:rFonts w:ascii="Palatino Linotype" w:eastAsiaTheme="minorHAnsi" w:hAnsi="Palatino Linotype" w:cs="Tahoma"/>
          <w:color w:val="000000" w:themeColor="text1"/>
          <w:sz w:val="22"/>
          <w:szCs w:val="22"/>
          <w:lang w:val="es-ES" w:eastAsia="en-US"/>
        </w:rPr>
        <w:t xml:space="preserve"> y remitió el </w:t>
      </w:r>
      <w:r w:rsidRPr="0012296F">
        <w:rPr>
          <w:rFonts w:ascii="Palatino Linotype" w:eastAsiaTheme="minorHAnsi" w:hAnsi="Palatino Linotype" w:cs="Tahoma"/>
          <w:color w:val="000000" w:themeColor="text1"/>
          <w:sz w:val="22"/>
          <w:szCs w:val="22"/>
          <w:lang w:val="es-ES" w:eastAsia="en-US"/>
        </w:rPr>
        <w:t>Acta de la Segunda Sesión Extraordinaria</w:t>
      </w:r>
      <w:r>
        <w:rPr>
          <w:rFonts w:ascii="Palatino Linotype" w:eastAsiaTheme="minorHAnsi" w:hAnsi="Palatino Linotype" w:cs="Tahoma"/>
          <w:color w:val="000000" w:themeColor="text1"/>
          <w:sz w:val="22"/>
          <w:szCs w:val="22"/>
          <w:lang w:val="es-ES" w:eastAsia="en-US"/>
        </w:rPr>
        <w:t xml:space="preserve">, por medio </w:t>
      </w:r>
      <w:r w:rsidRPr="0012296F">
        <w:rPr>
          <w:rFonts w:ascii="Palatino Linotype" w:eastAsiaTheme="minorHAnsi" w:hAnsi="Palatino Linotype" w:cs="Tahoma"/>
          <w:color w:val="000000" w:themeColor="text1"/>
          <w:sz w:val="22"/>
          <w:szCs w:val="22"/>
          <w:lang w:val="es-ES" w:eastAsia="en-US"/>
        </w:rPr>
        <w:t>de la cual se aprueba la notoria incompetencia, a través del Acuerdo CT-ST/02/EXT/03/2022.</w:t>
      </w:r>
    </w:p>
    <w:p w14:paraId="51C4D1F4" w14:textId="77777777" w:rsidR="00AE38E0" w:rsidRPr="000B7ED7" w:rsidRDefault="00AE38E0" w:rsidP="00AE38E0">
      <w:pPr>
        <w:spacing w:line="360" w:lineRule="auto"/>
        <w:jc w:val="both"/>
        <w:rPr>
          <w:rFonts w:ascii="Palatino Linotype" w:hAnsi="Palatino Linotype" w:cs="Tahoma"/>
          <w:iCs/>
          <w:sz w:val="22"/>
          <w:szCs w:val="22"/>
          <w:shd w:val="clear" w:color="auto" w:fill="FFFFFF"/>
          <w:lang w:val="es-ES"/>
        </w:rPr>
      </w:pPr>
    </w:p>
    <w:p w14:paraId="06B761E6" w14:textId="53738453" w:rsidR="00AE38E0" w:rsidRPr="000B7ED7" w:rsidRDefault="00AE38E0" w:rsidP="00213A5A">
      <w:pPr>
        <w:spacing w:line="360" w:lineRule="auto"/>
        <w:jc w:val="both"/>
        <w:rPr>
          <w:rFonts w:ascii="Palatino Linotype" w:hAnsi="Palatino Linotype"/>
          <w:sz w:val="22"/>
          <w:szCs w:val="22"/>
        </w:rPr>
      </w:pPr>
      <w:r w:rsidRPr="000B7ED7">
        <w:rPr>
          <w:rFonts w:ascii="Palatino Linotype" w:hAnsi="Palatino Linotype"/>
          <w:sz w:val="22"/>
          <w:szCs w:val="22"/>
        </w:rPr>
        <w:t xml:space="preserve">Lo anterior, se desprende de las documentales que obran en el expediente de referencia, materia de la presente resolución, consistentes en: la solicitud de acceso a la información; la respuesta proporcionada por </w:t>
      </w:r>
      <w:r w:rsidR="00651A66">
        <w:rPr>
          <w:rFonts w:ascii="Palatino Linotype" w:hAnsi="Palatino Linotype"/>
          <w:sz w:val="22"/>
          <w:szCs w:val="22"/>
        </w:rPr>
        <w:t>el</w:t>
      </w:r>
      <w:r w:rsidRPr="000B7ED7">
        <w:rPr>
          <w:rFonts w:ascii="Palatino Linotype" w:hAnsi="Palatino Linotype"/>
          <w:sz w:val="22"/>
          <w:szCs w:val="22"/>
        </w:rPr>
        <w:t xml:space="preserve"> </w:t>
      </w:r>
      <w:r w:rsidR="0012296F" w:rsidRPr="0012296F">
        <w:rPr>
          <w:rFonts w:ascii="Palatino Linotype" w:hAnsi="Palatino Linotype"/>
          <w:sz w:val="22"/>
          <w:szCs w:val="22"/>
        </w:rPr>
        <w:t>Ayuntamiento de Santo Tomas</w:t>
      </w:r>
      <w:r w:rsidR="0012296F">
        <w:rPr>
          <w:rFonts w:ascii="Palatino Linotype" w:hAnsi="Palatino Linotype"/>
          <w:sz w:val="22"/>
          <w:szCs w:val="22"/>
        </w:rPr>
        <w:t xml:space="preserve">, </w:t>
      </w:r>
      <w:r w:rsidRPr="000B7ED7">
        <w:rPr>
          <w:rFonts w:ascii="Palatino Linotype" w:hAnsi="Palatino Linotype"/>
          <w:sz w:val="22"/>
          <w:szCs w:val="22"/>
        </w:rPr>
        <w:t>el escrito recursal</w:t>
      </w:r>
      <w:r w:rsidR="0012296F">
        <w:rPr>
          <w:rFonts w:ascii="Palatino Linotype" w:hAnsi="Palatino Linotype"/>
          <w:sz w:val="22"/>
          <w:szCs w:val="22"/>
        </w:rPr>
        <w:t xml:space="preserve"> y el informe justificado</w:t>
      </w:r>
      <w:r w:rsidRPr="000B7ED7">
        <w:rPr>
          <w:rFonts w:ascii="Palatino Linotype" w:hAnsi="Palatino Linotype"/>
          <w:sz w:val="22"/>
          <w:szCs w:val="22"/>
        </w:rPr>
        <w:t xml:space="preserve">; instrumentales que se toman en cuenta a efecto de resolver el presente medio de impugnación, conforme a lo dispuesto por el artículo 185, fracción IV, de la Ley de Transparencia y Acceso a la Información Pública del Estado de México y Municipios. </w:t>
      </w:r>
    </w:p>
    <w:p w14:paraId="1AADC65C" w14:textId="77777777" w:rsidR="00836192" w:rsidRPr="000B7ED7" w:rsidRDefault="00836192" w:rsidP="00836192">
      <w:pPr>
        <w:spacing w:line="360" w:lineRule="auto"/>
        <w:jc w:val="both"/>
        <w:rPr>
          <w:rFonts w:ascii="Palatino Linotype" w:hAnsi="Palatino Linotype" w:cs="Tahoma"/>
          <w:sz w:val="22"/>
          <w:szCs w:val="22"/>
        </w:rPr>
      </w:pPr>
    </w:p>
    <w:p w14:paraId="179F8367" w14:textId="68BC9A7B" w:rsidR="00836192" w:rsidRDefault="00836192" w:rsidP="00836192">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CUARTO. Marco normativo aplicable en materia de transparencia y acceso a la información pública.</w:t>
      </w:r>
    </w:p>
    <w:p w14:paraId="267F57E5" w14:textId="77777777" w:rsidR="00B86CB4" w:rsidRPr="000B7ED7" w:rsidRDefault="00B86CB4" w:rsidP="00836192">
      <w:pPr>
        <w:spacing w:line="360" w:lineRule="auto"/>
        <w:jc w:val="both"/>
        <w:rPr>
          <w:rFonts w:ascii="Palatino Linotype" w:hAnsi="Palatino Linotype" w:cs="Tahoma"/>
          <w:b/>
          <w:sz w:val="22"/>
          <w:szCs w:val="22"/>
        </w:rPr>
      </w:pPr>
    </w:p>
    <w:p w14:paraId="2F768BB5"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1DA7465" w14:textId="77777777" w:rsidR="00836192" w:rsidRPr="000B7ED7" w:rsidRDefault="00836192" w:rsidP="00836192">
      <w:pPr>
        <w:spacing w:line="360" w:lineRule="auto"/>
        <w:jc w:val="both"/>
        <w:rPr>
          <w:rFonts w:ascii="Palatino Linotype" w:hAnsi="Palatino Linotype" w:cs="Tahoma"/>
          <w:sz w:val="22"/>
          <w:szCs w:val="22"/>
        </w:rPr>
      </w:pPr>
    </w:p>
    <w:p w14:paraId="64B03822"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La Ley General de Transparencia y Acceso a la Información Pública, publicada en el Diario Oficial de la Federación el cuatro de mayo de dos mil quince, dispone en su artículo 70, la información que se considera corresponde a las Obligaciones de Transparencia, la cual debe estar disponible para cualquier persona de manera permanente y actualizada.</w:t>
      </w:r>
    </w:p>
    <w:p w14:paraId="57664A7D" w14:textId="77777777" w:rsidR="00836192" w:rsidRPr="000B7ED7" w:rsidRDefault="00836192" w:rsidP="00836192">
      <w:pPr>
        <w:spacing w:line="360" w:lineRule="auto"/>
        <w:jc w:val="both"/>
        <w:rPr>
          <w:rFonts w:ascii="Palatino Linotype" w:hAnsi="Palatino Linotype" w:cs="Tahoma"/>
          <w:sz w:val="22"/>
          <w:szCs w:val="22"/>
        </w:rPr>
      </w:pPr>
    </w:p>
    <w:p w14:paraId="0A448AF5"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0B7ED7">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0293A1EA" w14:textId="77777777" w:rsidR="00836192" w:rsidRPr="000B7ED7" w:rsidRDefault="00836192" w:rsidP="00836192">
      <w:pPr>
        <w:spacing w:line="360" w:lineRule="auto"/>
        <w:jc w:val="both"/>
        <w:rPr>
          <w:rFonts w:ascii="Palatino Linotype" w:hAnsi="Palatino Linotype" w:cs="Tahoma"/>
          <w:sz w:val="22"/>
          <w:szCs w:val="22"/>
        </w:rPr>
      </w:pPr>
    </w:p>
    <w:p w14:paraId="74B7375E"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3D3F52E" w14:textId="77777777" w:rsidR="00836192" w:rsidRPr="000B7ED7" w:rsidRDefault="00836192" w:rsidP="00836192">
      <w:pPr>
        <w:spacing w:line="360" w:lineRule="auto"/>
        <w:jc w:val="both"/>
        <w:rPr>
          <w:rFonts w:ascii="Palatino Linotype" w:hAnsi="Palatino Linotype" w:cs="Tahoma"/>
          <w:sz w:val="22"/>
          <w:szCs w:val="22"/>
        </w:rPr>
      </w:pPr>
    </w:p>
    <w:p w14:paraId="6571C2FF"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12, que, quienes generen, recopilen, administren, manejen, procesen, archiven o conserven información pública serán responsables de la misma.</w:t>
      </w:r>
    </w:p>
    <w:p w14:paraId="58528FF2" w14:textId="77777777" w:rsidR="00836192" w:rsidRPr="000B7ED7" w:rsidRDefault="00836192" w:rsidP="00836192">
      <w:pPr>
        <w:spacing w:line="360" w:lineRule="auto"/>
        <w:jc w:val="both"/>
        <w:rPr>
          <w:rFonts w:ascii="Palatino Linotype" w:hAnsi="Palatino Linotype" w:cs="Tahoma"/>
          <w:sz w:val="22"/>
          <w:szCs w:val="22"/>
        </w:rPr>
      </w:pPr>
    </w:p>
    <w:p w14:paraId="7269128C" w14:textId="77777777" w:rsidR="00836192" w:rsidRPr="000B7ED7"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75AD9B0" w14:textId="77777777" w:rsidR="00130F94" w:rsidRPr="000B7ED7" w:rsidRDefault="00130F94" w:rsidP="00836192">
      <w:pPr>
        <w:spacing w:line="360" w:lineRule="auto"/>
        <w:jc w:val="both"/>
        <w:rPr>
          <w:rFonts w:ascii="Palatino Linotype" w:hAnsi="Palatino Linotype" w:cs="Tahoma"/>
          <w:sz w:val="22"/>
          <w:szCs w:val="22"/>
        </w:rPr>
      </w:pPr>
    </w:p>
    <w:p w14:paraId="574A1EEF" w14:textId="6B682CE2" w:rsidR="00836192" w:rsidRDefault="00836192" w:rsidP="00836192">
      <w:pPr>
        <w:spacing w:line="360" w:lineRule="auto"/>
        <w:jc w:val="both"/>
        <w:rPr>
          <w:rFonts w:ascii="Palatino Linotype" w:hAnsi="Palatino Linotype" w:cs="Tahoma"/>
          <w:sz w:val="22"/>
          <w:szCs w:val="22"/>
        </w:rPr>
      </w:pPr>
      <w:r w:rsidRPr="000B7ED7">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68EB9DD" w14:textId="7C7D0C27" w:rsidR="007B1E8E" w:rsidRDefault="007B1E8E" w:rsidP="00836192">
      <w:pPr>
        <w:spacing w:line="360" w:lineRule="auto"/>
        <w:jc w:val="both"/>
        <w:rPr>
          <w:rFonts w:ascii="Palatino Linotype" w:hAnsi="Palatino Linotype" w:cs="Tahoma"/>
          <w:sz w:val="22"/>
          <w:szCs w:val="22"/>
        </w:rPr>
      </w:pPr>
    </w:p>
    <w:p w14:paraId="756248AF" w14:textId="77777777" w:rsidR="00022C39" w:rsidRPr="00022C39" w:rsidRDefault="00022C39" w:rsidP="00022C39">
      <w:pPr>
        <w:spacing w:line="360" w:lineRule="auto"/>
        <w:jc w:val="both"/>
        <w:rPr>
          <w:rFonts w:ascii="Palatino Linotype" w:hAnsi="Palatino Linotype" w:cs="Tahoma"/>
          <w:sz w:val="22"/>
          <w:szCs w:val="22"/>
        </w:rPr>
      </w:pPr>
      <w:r w:rsidRPr="00022C39">
        <w:rPr>
          <w:rFonts w:ascii="Palatino Linotype" w:hAnsi="Palatino Linotype" w:cs="Tahoma"/>
          <w:sz w:val="22"/>
          <w:szCs w:val="22"/>
        </w:rPr>
        <w:t>El artículo 92, fracción XIII, señala que es una obligación común de transparencia para los</w:t>
      </w:r>
    </w:p>
    <w:p w14:paraId="568B4514" w14:textId="77777777" w:rsidR="00022C39" w:rsidRPr="00022C39" w:rsidRDefault="00022C39" w:rsidP="00022C39">
      <w:pPr>
        <w:spacing w:line="360" w:lineRule="auto"/>
        <w:jc w:val="both"/>
        <w:rPr>
          <w:rFonts w:ascii="Palatino Linotype" w:hAnsi="Palatino Linotype" w:cs="Tahoma"/>
          <w:sz w:val="22"/>
          <w:szCs w:val="22"/>
        </w:rPr>
      </w:pPr>
      <w:r w:rsidRPr="00022C39">
        <w:rPr>
          <w:rFonts w:ascii="Palatino Linotype" w:hAnsi="Palatino Linotype" w:cs="Tahoma"/>
          <w:sz w:val="22"/>
          <w:szCs w:val="22"/>
        </w:rPr>
        <w:t>sujetos obligados, proporcionar la versión pública de las declaraciones patrimoniales y de</w:t>
      </w:r>
    </w:p>
    <w:p w14:paraId="254B19D8" w14:textId="67229ED3" w:rsidR="00836192" w:rsidRDefault="00022C39" w:rsidP="00022C39">
      <w:pPr>
        <w:spacing w:line="360" w:lineRule="auto"/>
        <w:jc w:val="both"/>
        <w:rPr>
          <w:rFonts w:ascii="Palatino Linotype" w:hAnsi="Palatino Linotype" w:cs="Tahoma"/>
          <w:sz w:val="22"/>
          <w:szCs w:val="22"/>
        </w:rPr>
      </w:pPr>
      <w:r w:rsidRPr="00022C39">
        <w:rPr>
          <w:rFonts w:ascii="Palatino Linotype" w:hAnsi="Palatino Linotype" w:cs="Tahoma"/>
          <w:sz w:val="22"/>
          <w:szCs w:val="22"/>
        </w:rPr>
        <w:t>intereses de los servidores públicos.</w:t>
      </w:r>
    </w:p>
    <w:p w14:paraId="3633FCD7" w14:textId="77777777" w:rsidR="00022C39" w:rsidRPr="000B7ED7" w:rsidRDefault="00022C39" w:rsidP="00022C39">
      <w:pPr>
        <w:spacing w:line="360" w:lineRule="auto"/>
        <w:jc w:val="both"/>
        <w:rPr>
          <w:rFonts w:ascii="Palatino Linotype" w:hAnsi="Palatino Linotype" w:cs="Tahoma"/>
          <w:iCs/>
          <w:sz w:val="22"/>
          <w:szCs w:val="22"/>
        </w:rPr>
      </w:pPr>
    </w:p>
    <w:p w14:paraId="4D2B2D8A" w14:textId="77777777" w:rsidR="00836192" w:rsidRPr="000B7ED7" w:rsidRDefault="00836192" w:rsidP="00836192">
      <w:pPr>
        <w:spacing w:line="360" w:lineRule="auto"/>
        <w:jc w:val="both"/>
        <w:rPr>
          <w:rFonts w:ascii="Palatino Linotype" w:hAnsi="Palatino Linotype" w:cs="Tahoma"/>
          <w:b/>
          <w:sz w:val="22"/>
          <w:szCs w:val="22"/>
        </w:rPr>
      </w:pPr>
      <w:r w:rsidRPr="000B7ED7">
        <w:rPr>
          <w:rFonts w:ascii="Palatino Linotype" w:hAnsi="Palatino Linotype" w:cs="Tahoma"/>
          <w:b/>
          <w:sz w:val="22"/>
          <w:szCs w:val="22"/>
        </w:rPr>
        <w:t>QUINTO. Estudio de Fondo.</w:t>
      </w:r>
    </w:p>
    <w:p w14:paraId="0C7ED835" w14:textId="77777777" w:rsidR="00836192" w:rsidRPr="000B7ED7" w:rsidRDefault="00836192" w:rsidP="00836192">
      <w:pPr>
        <w:spacing w:line="360" w:lineRule="auto"/>
        <w:jc w:val="both"/>
        <w:rPr>
          <w:rFonts w:ascii="Palatino Linotype" w:hAnsi="Palatino Linotype" w:cs="Tahoma"/>
          <w:sz w:val="22"/>
          <w:szCs w:val="22"/>
        </w:rPr>
      </w:pPr>
    </w:p>
    <w:p w14:paraId="4FA0CCED" w14:textId="21C75804" w:rsidR="002747DD" w:rsidRDefault="002747DD" w:rsidP="003D3706">
      <w:pPr>
        <w:spacing w:line="360" w:lineRule="auto"/>
        <w:jc w:val="both"/>
        <w:rPr>
          <w:rFonts w:ascii="Palatino Linotype" w:hAnsi="Palatino Linotype"/>
          <w:sz w:val="22"/>
          <w:szCs w:val="22"/>
        </w:rPr>
      </w:pPr>
      <w:r w:rsidRPr="002747DD">
        <w:rPr>
          <w:rFonts w:ascii="Palatino Linotype" w:hAnsi="Palatino Linotype"/>
          <w:sz w:val="22"/>
          <w:szCs w:val="22"/>
        </w:rPr>
        <w:t xml:space="preserve">Expuestas las posturas de las partes, se procede al análisis del agravio hecho valer por la ahora Recurrente, concerniente </w:t>
      </w:r>
      <w:r w:rsidR="003D3706" w:rsidRPr="003D3706">
        <w:rPr>
          <w:rFonts w:ascii="Palatino Linotype" w:hAnsi="Palatino Linotype"/>
          <w:sz w:val="22"/>
          <w:szCs w:val="22"/>
        </w:rPr>
        <w:t xml:space="preserve">a la </w:t>
      </w:r>
      <w:r w:rsidR="00E4656C">
        <w:rPr>
          <w:rFonts w:ascii="Palatino Linotype" w:hAnsi="Palatino Linotype"/>
          <w:sz w:val="22"/>
          <w:szCs w:val="22"/>
        </w:rPr>
        <w:t>incompetencia manifestada por el Sujeto Obligado</w:t>
      </w:r>
      <w:r w:rsidR="003D3706" w:rsidRPr="003D3706">
        <w:rPr>
          <w:rFonts w:ascii="Palatino Linotype" w:hAnsi="Palatino Linotype"/>
          <w:sz w:val="22"/>
          <w:szCs w:val="22"/>
        </w:rPr>
        <w:t xml:space="preserve">; para </w:t>
      </w:r>
      <w:r w:rsidR="003D3706" w:rsidRPr="003D3706">
        <w:rPr>
          <w:rFonts w:ascii="Palatino Linotype" w:hAnsi="Palatino Linotype"/>
          <w:sz w:val="22"/>
          <w:szCs w:val="22"/>
        </w:rPr>
        <w:lastRenderedPageBreak/>
        <w:t>lo</w:t>
      </w:r>
      <w:r w:rsidR="003D3706">
        <w:rPr>
          <w:rFonts w:ascii="Palatino Linotype" w:hAnsi="Palatino Linotype"/>
          <w:sz w:val="22"/>
          <w:szCs w:val="22"/>
        </w:rPr>
        <w:t xml:space="preserve"> </w:t>
      </w:r>
      <w:r w:rsidR="003D3706" w:rsidRPr="003D3706">
        <w:rPr>
          <w:rFonts w:ascii="Palatino Linotype" w:hAnsi="Palatino Linotype"/>
          <w:sz w:val="22"/>
          <w:szCs w:val="22"/>
        </w:rPr>
        <w:t>cual, en un principio es necesario aclarar que la pretensión del ahora Recurrente es obtener, las</w:t>
      </w:r>
      <w:r w:rsidR="003D3706">
        <w:rPr>
          <w:rFonts w:ascii="Palatino Linotype" w:hAnsi="Palatino Linotype"/>
          <w:sz w:val="22"/>
          <w:szCs w:val="22"/>
        </w:rPr>
        <w:t xml:space="preserve"> </w:t>
      </w:r>
      <w:r w:rsidR="003D3706" w:rsidRPr="003D3706">
        <w:rPr>
          <w:rFonts w:ascii="Palatino Linotype" w:hAnsi="Palatino Linotype"/>
          <w:sz w:val="22"/>
          <w:szCs w:val="22"/>
        </w:rPr>
        <w:t xml:space="preserve">declaraciones patrimoniales </w:t>
      </w:r>
      <w:r w:rsidR="003D3706">
        <w:rPr>
          <w:rFonts w:ascii="Palatino Linotype" w:hAnsi="Palatino Linotype"/>
          <w:sz w:val="22"/>
          <w:szCs w:val="22"/>
        </w:rPr>
        <w:t>realizadas</w:t>
      </w:r>
      <w:r w:rsidR="003D3706" w:rsidRPr="003D3706">
        <w:rPr>
          <w:rFonts w:ascii="Palatino Linotype" w:hAnsi="Palatino Linotype"/>
          <w:sz w:val="22"/>
          <w:szCs w:val="22"/>
        </w:rPr>
        <w:t xml:space="preserve"> </w:t>
      </w:r>
      <w:r w:rsidR="001F3838">
        <w:rPr>
          <w:rFonts w:ascii="Palatino Linotype" w:hAnsi="Palatino Linotype"/>
          <w:sz w:val="22"/>
          <w:szCs w:val="22"/>
        </w:rPr>
        <w:t xml:space="preserve">por los miembros del Cabildo, durante el dos </w:t>
      </w:r>
      <w:proofErr w:type="gramStart"/>
      <w:r w:rsidR="001F3838">
        <w:rPr>
          <w:rFonts w:ascii="Palatino Linotype" w:hAnsi="Palatino Linotype"/>
          <w:sz w:val="22"/>
          <w:szCs w:val="22"/>
        </w:rPr>
        <w:t>mil</w:t>
      </w:r>
      <w:r w:rsidR="00CE6FBD">
        <w:rPr>
          <w:rFonts w:ascii="Palatino Linotype" w:hAnsi="Palatino Linotype"/>
          <w:sz w:val="22"/>
          <w:szCs w:val="22"/>
        </w:rPr>
        <w:t xml:space="preserve"> </w:t>
      </w:r>
      <w:r w:rsidR="001F3838">
        <w:rPr>
          <w:rFonts w:ascii="Palatino Linotype" w:hAnsi="Palatino Linotype"/>
          <w:sz w:val="22"/>
          <w:szCs w:val="22"/>
        </w:rPr>
        <w:t>veintiuno</w:t>
      </w:r>
      <w:proofErr w:type="gramEnd"/>
      <w:r w:rsidR="001F3838">
        <w:rPr>
          <w:rFonts w:ascii="Palatino Linotype" w:hAnsi="Palatino Linotype"/>
          <w:sz w:val="22"/>
          <w:szCs w:val="22"/>
        </w:rPr>
        <w:t>.</w:t>
      </w:r>
    </w:p>
    <w:p w14:paraId="5B8DB107" w14:textId="77777777" w:rsidR="001F3838" w:rsidRPr="003D3706" w:rsidRDefault="001F3838" w:rsidP="003D3706">
      <w:pPr>
        <w:spacing w:line="360" w:lineRule="auto"/>
        <w:jc w:val="both"/>
        <w:rPr>
          <w:rFonts w:ascii="Palatino Linotype" w:hAnsi="Palatino Linotype"/>
          <w:sz w:val="22"/>
          <w:szCs w:val="22"/>
        </w:rPr>
      </w:pPr>
    </w:p>
    <w:p w14:paraId="66E27CA2" w14:textId="674210BD" w:rsidR="002747DD" w:rsidRDefault="002747DD" w:rsidP="002747DD">
      <w:pPr>
        <w:spacing w:line="360" w:lineRule="auto"/>
        <w:ind w:right="-28"/>
        <w:contextualSpacing/>
        <w:jc w:val="both"/>
        <w:rPr>
          <w:rFonts w:ascii="Palatino Linotype" w:hAnsi="Palatino Linotype" w:cs="Tahoma"/>
          <w:sz w:val="22"/>
          <w:szCs w:val="22"/>
        </w:rPr>
      </w:pPr>
      <w:r>
        <w:rPr>
          <w:rFonts w:ascii="Palatino Linotype" w:hAnsi="Palatino Linotype" w:cs="Tahoma"/>
          <w:sz w:val="22"/>
          <w:szCs w:val="22"/>
        </w:rPr>
        <w:t xml:space="preserve">En ese contexto, </w:t>
      </w:r>
      <w:r w:rsidR="00CE6FBD">
        <w:rPr>
          <w:rFonts w:ascii="Palatino Linotype" w:hAnsi="Palatino Linotype" w:cs="Tahoma"/>
          <w:sz w:val="22"/>
          <w:szCs w:val="22"/>
        </w:rPr>
        <w:t>tanto en respuesta, como Informe Justificado,</w:t>
      </w:r>
      <w:r w:rsidR="0025140F">
        <w:rPr>
          <w:rFonts w:ascii="Palatino Linotype" w:hAnsi="Palatino Linotype" w:cs="Tahoma"/>
          <w:sz w:val="22"/>
          <w:szCs w:val="22"/>
        </w:rPr>
        <w:t xml:space="preserve"> el Sujeto Obligado manifestó </w:t>
      </w:r>
      <w:r w:rsidR="00CE6FBD">
        <w:rPr>
          <w:rFonts w:ascii="Palatino Linotype" w:hAnsi="Palatino Linotype" w:cs="Tahoma"/>
          <w:sz w:val="22"/>
          <w:szCs w:val="22"/>
        </w:rPr>
        <w:t>que era incompetente para conocer de lo peticionado</w:t>
      </w:r>
      <w:r w:rsidR="00BA0249">
        <w:rPr>
          <w:rFonts w:ascii="Palatino Linotype" w:hAnsi="Palatino Linotype" w:cs="Tahoma"/>
          <w:sz w:val="22"/>
          <w:szCs w:val="22"/>
        </w:rPr>
        <w:t xml:space="preserve">, toda vez que </w:t>
      </w:r>
      <w:r w:rsidR="00CE6FBD">
        <w:rPr>
          <w:rFonts w:ascii="Palatino Linotype" w:hAnsi="Palatino Linotype" w:cs="Tahoma"/>
          <w:sz w:val="22"/>
          <w:szCs w:val="22"/>
        </w:rPr>
        <w:t>las declaraciones se generaban,</w:t>
      </w:r>
      <w:r w:rsidR="00BA0249">
        <w:rPr>
          <w:rFonts w:ascii="Palatino Linotype" w:hAnsi="Palatino Linotype" w:cs="Tahoma"/>
          <w:sz w:val="22"/>
          <w:szCs w:val="22"/>
        </w:rPr>
        <w:t xml:space="preserve"> a través del sistema </w:t>
      </w:r>
      <w:proofErr w:type="spellStart"/>
      <w:r w:rsidR="00CE6FBD" w:rsidRPr="00CE6FBD">
        <w:rPr>
          <w:rFonts w:ascii="Palatino Linotype" w:hAnsi="Palatino Linotype" w:cs="Tahoma"/>
          <w:sz w:val="22"/>
          <w:szCs w:val="22"/>
        </w:rPr>
        <w:t>Decl@ranet</w:t>
      </w:r>
      <w:proofErr w:type="spellEnd"/>
      <w:r w:rsidR="00CE6FBD">
        <w:rPr>
          <w:rFonts w:ascii="Palatino Linotype" w:hAnsi="Palatino Linotype" w:cs="Tahoma"/>
          <w:sz w:val="22"/>
          <w:szCs w:val="22"/>
        </w:rPr>
        <w:t xml:space="preserve">, por lo que orientó </w:t>
      </w:r>
      <w:r w:rsidR="0025140F">
        <w:rPr>
          <w:rFonts w:ascii="Palatino Linotype" w:hAnsi="Palatino Linotype" w:cs="Tahoma"/>
          <w:sz w:val="22"/>
          <w:szCs w:val="22"/>
        </w:rPr>
        <w:t xml:space="preserve">al Particular a dirigir su solicitud de información </w:t>
      </w:r>
      <w:r w:rsidR="00BA0249">
        <w:rPr>
          <w:rFonts w:ascii="Palatino Linotype" w:hAnsi="Palatino Linotype" w:cs="Tahoma"/>
          <w:sz w:val="22"/>
          <w:szCs w:val="22"/>
        </w:rPr>
        <w:t xml:space="preserve">a la Secretaría de la Contraloría del Estado de México, que es la encargada de recibir y registrar la declaración de situación patrimonial. </w:t>
      </w:r>
    </w:p>
    <w:p w14:paraId="389F1769" w14:textId="4A51DCE7" w:rsidR="00BA0249" w:rsidRDefault="00BA0249" w:rsidP="002747DD">
      <w:pPr>
        <w:spacing w:line="360" w:lineRule="auto"/>
        <w:ind w:right="-28"/>
        <w:contextualSpacing/>
        <w:jc w:val="both"/>
        <w:rPr>
          <w:rFonts w:ascii="Palatino Linotype" w:hAnsi="Palatino Linotype" w:cs="Tahoma"/>
          <w:sz w:val="22"/>
          <w:szCs w:val="22"/>
        </w:rPr>
      </w:pPr>
    </w:p>
    <w:p w14:paraId="610EA6E7" w14:textId="65CD3CF9" w:rsidR="00BA0249" w:rsidRPr="00BA0249" w:rsidRDefault="00BA0249" w:rsidP="00BA0249">
      <w:pPr>
        <w:spacing w:line="360" w:lineRule="auto"/>
        <w:jc w:val="both"/>
        <w:rPr>
          <w:rFonts w:ascii="Palatino Linotype" w:hAnsi="Palatino Linotype" w:cs="Tahoma"/>
          <w:bCs/>
          <w:sz w:val="22"/>
          <w:szCs w:val="22"/>
        </w:rPr>
      </w:pPr>
      <w:r>
        <w:rPr>
          <w:rFonts w:ascii="Palatino Linotype" w:hAnsi="Palatino Linotype" w:cs="Tahoma"/>
          <w:bCs/>
          <w:sz w:val="22"/>
          <w:szCs w:val="22"/>
        </w:rPr>
        <w:t>Sobre dicha situación</w:t>
      </w:r>
      <w:r w:rsidRPr="00BA0249">
        <w:rPr>
          <w:rFonts w:ascii="Palatino Linotype" w:hAnsi="Palatino Linotype" w:cs="Tahoma"/>
          <w:bCs/>
          <w:sz w:val="22"/>
          <w:szCs w:val="22"/>
        </w:rPr>
        <w:t xml:space="preserve">, </w:t>
      </w:r>
      <w:r>
        <w:rPr>
          <w:rFonts w:ascii="Palatino Linotype" w:hAnsi="Palatino Linotype" w:cs="Tahoma"/>
          <w:bCs/>
          <w:sz w:val="22"/>
          <w:szCs w:val="22"/>
        </w:rPr>
        <w:t>cabe</w:t>
      </w:r>
      <w:r w:rsidR="001F3838">
        <w:rPr>
          <w:rFonts w:ascii="Palatino Linotype" w:hAnsi="Palatino Linotype" w:cs="Tahoma"/>
          <w:bCs/>
          <w:sz w:val="22"/>
          <w:szCs w:val="22"/>
        </w:rPr>
        <w:t xml:space="preserve"> </w:t>
      </w:r>
      <w:r w:rsidRPr="00BA0249">
        <w:rPr>
          <w:rFonts w:ascii="Palatino Linotype" w:hAnsi="Palatino Linotype" w:cs="Tahoma"/>
          <w:bCs/>
          <w:sz w:val="22"/>
          <w:szCs w:val="22"/>
        </w:rPr>
        <w:t>señalar que este Instituto, no tiene atribuciones para pronunciarse sobre la veracidad de la información, inclusive la proporcionada en Informe Justificado; apoya lo anterior, el Criterio histórico 31/10, emitido por el Pleno del entonces Instituto Federal de Acceso a la Información y Protección de Datos, que a continuación se cita:</w:t>
      </w:r>
    </w:p>
    <w:p w14:paraId="0A25E0A9" w14:textId="77777777" w:rsidR="00BA0249" w:rsidRPr="00BA0249" w:rsidRDefault="00BA0249" w:rsidP="00BA0249">
      <w:pPr>
        <w:spacing w:line="360" w:lineRule="auto"/>
        <w:jc w:val="both"/>
        <w:rPr>
          <w:rFonts w:ascii="Palatino Linotype" w:hAnsi="Palatino Linotype" w:cs="Tahoma"/>
          <w:bCs/>
          <w:sz w:val="22"/>
          <w:szCs w:val="22"/>
        </w:rPr>
      </w:pPr>
    </w:p>
    <w:p w14:paraId="6A2866B8" w14:textId="77777777" w:rsidR="00BA0249" w:rsidRPr="00BA0249" w:rsidRDefault="00BA0249" w:rsidP="00BA0249">
      <w:pPr>
        <w:spacing w:line="360" w:lineRule="auto"/>
        <w:ind w:left="567" w:right="567"/>
        <w:jc w:val="both"/>
        <w:rPr>
          <w:rFonts w:ascii="Palatino Linotype" w:hAnsi="Palatino Linotype" w:cs="Tahoma"/>
          <w:bCs/>
          <w:i/>
        </w:rPr>
      </w:pPr>
      <w:r w:rsidRPr="00BA0249">
        <w:rPr>
          <w:rFonts w:ascii="Palatino Linotype" w:hAnsi="Palatino Linotype" w:cs="Tahoma"/>
          <w:b/>
          <w:bCs/>
          <w:i/>
        </w:rPr>
        <w:t xml:space="preserve">“El Instituto Federal de Acceso a la Información y Protección de Datos </w:t>
      </w:r>
      <w:r w:rsidRPr="00BA0249">
        <w:rPr>
          <w:rFonts w:ascii="Palatino Linotype" w:hAnsi="Palatino Linotype" w:cs="Tahoma"/>
          <w:b/>
          <w:bCs/>
          <w:i/>
          <w:u w:val="single"/>
        </w:rPr>
        <w:t xml:space="preserve">no cuenta con facultades para pronunciarse respecto de la veracidad de los documentos proporcionados por los sujetos obligados. </w:t>
      </w:r>
      <w:r w:rsidRPr="00BA0249">
        <w:rPr>
          <w:rFonts w:ascii="Palatino Linotype" w:hAnsi="Palatino Linotype" w:cs="Tahoma"/>
          <w:bCs/>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AEA0D82" w14:textId="101510EB" w:rsidR="00917F65" w:rsidRDefault="00917F65" w:rsidP="00871DE3">
      <w:pPr>
        <w:spacing w:line="360" w:lineRule="auto"/>
        <w:jc w:val="both"/>
        <w:rPr>
          <w:rFonts w:ascii="Palatino Linotype" w:hAnsi="Palatino Linotype"/>
          <w:iCs/>
          <w:sz w:val="22"/>
        </w:rPr>
      </w:pPr>
    </w:p>
    <w:p w14:paraId="48A170EC" w14:textId="5A937771" w:rsidR="00275A69" w:rsidRPr="00275A69" w:rsidRDefault="00917F65" w:rsidP="00275A69">
      <w:pPr>
        <w:spacing w:line="360" w:lineRule="auto"/>
        <w:jc w:val="both"/>
        <w:rPr>
          <w:rFonts w:ascii="Palatino Linotype" w:hAnsi="Palatino Linotype"/>
          <w:iCs/>
          <w:sz w:val="22"/>
        </w:rPr>
      </w:pPr>
      <w:r>
        <w:rPr>
          <w:rFonts w:ascii="Palatino Linotype" w:hAnsi="Palatino Linotype"/>
          <w:iCs/>
          <w:sz w:val="22"/>
        </w:rPr>
        <w:t xml:space="preserve">Conforme a lo anterior, </w:t>
      </w:r>
      <w:r w:rsidR="00275A69">
        <w:rPr>
          <w:rFonts w:ascii="Palatino Linotype" w:hAnsi="Palatino Linotype"/>
          <w:iCs/>
          <w:sz w:val="22"/>
        </w:rPr>
        <w:t xml:space="preserve">se logra observar, que el Ayuntamiento de Santo Tomás aludió a que era incompetente </w:t>
      </w:r>
      <w:r w:rsidR="00275A69" w:rsidRPr="00275A69">
        <w:rPr>
          <w:rFonts w:ascii="Palatino Linotype" w:hAnsi="Palatino Linotype"/>
          <w:iCs/>
          <w:sz w:val="22"/>
        </w:rPr>
        <w:t>para conocer de lo peticionado, pues las declaraciones patrimoniales o</w:t>
      </w:r>
      <w:r w:rsidR="00275A69">
        <w:rPr>
          <w:rFonts w:ascii="Palatino Linotype" w:hAnsi="Palatino Linotype"/>
          <w:iCs/>
          <w:sz w:val="22"/>
        </w:rPr>
        <w:t xml:space="preserve"> </w:t>
      </w:r>
      <w:r w:rsidR="00275A69" w:rsidRPr="00275A69">
        <w:rPr>
          <w:rFonts w:ascii="Palatino Linotype" w:hAnsi="Palatino Linotype"/>
          <w:iCs/>
          <w:sz w:val="22"/>
        </w:rPr>
        <w:t>manifestación de bienes, eran presentadas por los servidores públicos directamente en el</w:t>
      </w:r>
    </w:p>
    <w:p w14:paraId="1336AEF0" w14:textId="6C891779" w:rsidR="00917F65" w:rsidRDefault="00275A69" w:rsidP="00275A69">
      <w:pPr>
        <w:spacing w:line="360" w:lineRule="auto"/>
        <w:jc w:val="both"/>
        <w:rPr>
          <w:rFonts w:ascii="Palatino Linotype" w:hAnsi="Palatino Linotype"/>
          <w:iCs/>
          <w:sz w:val="22"/>
        </w:rPr>
      </w:pPr>
      <w:r w:rsidRPr="00275A69">
        <w:rPr>
          <w:rFonts w:ascii="Palatino Linotype" w:hAnsi="Palatino Linotype"/>
          <w:iCs/>
          <w:sz w:val="22"/>
        </w:rPr>
        <w:t xml:space="preserve">sistema </w:t>
      </w:r>
      <w:proofErr w:type="spellStart"/>
      <w:r w:rsidRPr="000D7EB2">
        <w:rPr>
          <w:rFonts w:ascii="Palatino Linotype" w:hAnsi="Palatino Linotype"/>
          <w:b/>
          <w:bCs/>
          <w:iCs/>
          <w:sz w:val="22"/>
        </w:rPr>
        <w:t>Decl@ranet</w:t>
      </w:r>
      <w:proofErr w:type="spellEnd"/>
      <w:r w:rsidR="00CE6FBD">
        <w:rPr>
          <w:rFonts w:ascii="Palatino Linotype" w:hAnsi="Palatino Linotype"/>
          <w:b/>
          <w:bCs/>
          <w:iCs/>
          <w:sz w:val="22"/>
        </w:rPr>
        <w:t>,</w:t>
      </w:r>
      <w:r w:rsidRPr="00275A69">
        <w:rPr>
          <w:rFonts w:ascii="Palatino Linotype" w:hAnsi="Palatino Linotype"/>
          <w:iCs/>
          <w:sz w:val="22"/>
        </w:rPr>
        <w:t xml:space="preserve"> que administraba la Secretaría de la Contraloría del Estado de México; por</w:t>
      </w:r>
      <w:r>
        <w:rPr>
          <w:rFonts w:ascii="Palatino Linotype" w:hAnsi="Palatino Linotype"/>
          <w:iCs/>
          <w:sz w:val="22"/>
        </w:rPr>
        <w:t xml:space="preserve"> </w:t>
      </w:r>
      <w:r w:rsidRPr="00275A69">
        <w:rPr>
          <w:rFonts w:ascii="Palatino Linotype" w:hAnsi="Palatino Linotype"/>
          <w:iCs/>
          <w:sz w:val="22"/>
        </w:rPr>
        <w:t>lo que, se procede analizar dicha situación.</w:t>
      </w:r>
    </w:p>
    <w:p w14:paraId="1A182588" w14:textId="2B648EBA" w:rsidR="00917F65" w:rsidRDefault="00917F65" w:rsidP="00871DE3">
      <w:pPr>
        <w:spacing w:line="360" w:lineRule="auto"/>
        <w:jc w:val="both"/>
        <w:rPr>
          <w:rFonts w:ascii="Palatino Linotype" w:hAnsi="Palatino Linotype"/>
          <w:iCs/>
          <w:sz w:val="22"/>
        </w:rPr>
      </w:pPr>
    </w:p>
    <w:p w14:paraId="33A75A29" w14:textId="77777777" w:rsidR="00275A69" w:rsidRPr="00A44354" w:rsidRDefault="00275A69" w:rsidP="00275A69">
      <w:pPr>
        <w:spacing w:line="360" w:lineRule="auto"/>
        <w:jc w:val="both"/>
        <w:rPr>
          <w:rFonts w:ascii="Palatino Linotype" w:hAnsi="Palatino Linotype" w:cs="Tahoma"/>
          <w:b/>
          <w:sz w:val="22"/>
          <w:szCs w:val="22"/>
        </w:rPr>
      </w:pPr>
      <w:r w:rsidRPr="00A44354">
        <w:rPr>
          <w:rFonts w:ascii="Palatino Linotype" w:hAnsi="Palatino Linotype" w:cs="Tahoma"/>
          <w:sz w:val="22"/>
          <w:szCs w:val="22"/>
        </w:rPr>
        <w:t xml:space="preserve">Al respecto, de 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A44354">
        <w:rPr>
          <w:rFonts w:ascii="Palatino Linotype" w:hAnsi="Palatino Linotype" w:cs="Tahoma"/>
          <w:b/>
          <w:sz w:val="22"/>
          <w:szCs w:val="22"/>
        </w:rPr>
        <w:t>cuando la misma no sea competencia del sujeto obligado ante el cual se formule la solicitud de acceso.</w:t>
      </w:r>
    </w:p>
    <w:p w14:paraId="363AB741" w14:textId="77777777" w:rsidR="00275A69" w:rsidRPr="00A44354" w:rsidRDefault="00275A69" w:rsidP="00275A69">
      <w:pPr>
        <w:spacing w:line="360" w:lineRule="auto"/>
        <w:jc w:val="both"/>
        <w:rPr>
          <w:rFonts w:ascii="Palatino Linotype" w:hAnsi="Palatino Linotype" w:cs="Tahoma"/>
          <w:sz w:val="22"/>
          <w:szCs w:val="22"/>
        </w:rPr>
      </w:pPr>
    </w:p>
    <w:p w14:paraId="059502B9" w14:textId="77777777" w:rsidR="00275A69" w:rsidRPr="00A44354" w:rsidRDefault="00275A69" w:rsidP="00275A69">
      <w:pPr>
        <w:spacing w:line="360" w:lineRule="auto"/>
        <w:jc w:val="both"/>
        <w:rPr>
          <w:rFonts w:ascii="Palatino Linotype" w:hAnsi="Palatino Linotype" w:cs="Tahoma"/>
          <w:sz w:val="22"/>
          <w:szCs w:val="22"/>
        </w:rPr>
      </w:pPr>
      <w:r w:rsidRPr="00A44354">
        <w:rPr>
          <w:rFonts w:ascii="Palatino Linotype" w:hAnsi="Palatino Linotype" w:cs="Tahoma"/>
          <w:sz w:val="22"/>
          <w:szCs w:val="22"/>
        </w:rPr>
        <w:t xml:space="preserve">Asimismo, que los Comités de Transparencia tienen entre sus atribuciones confirmar, modificar o revocar la </w:t>
      </w:r>
      <w:r w:rsidRPr="00A44354">
        <w:rPr>
          <w:rFonts w:ascii="Palatino Linotype" w:hAnsi="Palatino Linotype" w:cs="Tahoma"/>
          <w:b/>
          <w:sz w:val="22"/>
          <w:szCs w:val="22"/>
        </w:rPr>
        <w:t>declaración de incompetencia</w:t>
      </w:r>
      <w:r w:rsidRPr="00A44354">
        <w:rPr>
          <w:rFonts w:ascii="Palatino Linotype" w:hAnsi="Palatino Linotype" w:cs="Tahoma"/>
          <w:sz w:val="22"/>
          <w:szCs w:val="22"/>
        </w:rPr>
        <w:t xml:space="preserve"> que realicen los titulares de las unidades administrativas.</w:t>
      </w:r>
    </w:p>
    <w:p w14:paraId="409618F9" w14:textId="77777777" w:rsidR="00275A69" w:rsidRPr="00A44354" w:rsidRDefault="00275A69" w:rsidP="00275A69">
      <w:pPr>
        <w:spacing w:line="360" w:lineRule="auto"/>
        <w:jc w:val="both"/>
        <w:rPr>
          <w:rFonts w:ascii="Palatino Linotype" w:hAnsi="Palatino Linotype" w:cs="Tahoma"/>
          <w:sz w:val="22"/>
          <w:szCs w:val="22"/>
        </w:rPr>
      </w:pPr>
    </w:p>
    <w:p w14:paraId="5948D0E9" w14:textId="77777777" w:rsidR="00275A69" w:rsidRPr="00275A69" w:rsidRDefault="00275A69" w:rsidP="00275A69">
      <w:pPr>
        <w:spacing w:line="360" w:lineRule="auto"/>
        <w:jc w:val="both"/>
        <w:rPr>
          <w:rFonts w:ascii="Palatino Linotype" w:hAnsi="Palatino Linotype" w:cs="Tahoma"/>
          <w:b/>
          <w:bCs/>
          <w:sz w:val="22"/>
          <w:szCs w:val="22"/>
        </w:rPr>
      </w:pPr>
      <w:r w:rsidRPr="00A44354">
        <w:rPr>
          <w:rFonts w:ascii="Palatino Linotype" w:hAnsi="Palatino Linotype" w:cs="Tahoma"/>
          <w:sz w:val="22"/>
          <w:szCs w:val="22"/>
        </w:rPr>
        <w:t xml:space="preserve">Asimismo, cuando las Unidades de Transparencia determinen </w:t>
      </w:r>
      <w:r w:rsidRPr="00A44354">
        <w:rPr>
          <w:rFonts w:ascii="Palatino Linotype" w:hAnsi="Palatino Linotype" w:cs="Tahoma"/>
          <w:b/>
          <w:sz w:val="22"/>
          <w:szCs w:val="22"/>
        </w:rPr>
        <w:t>la notoria incompetencia</w:t>
      </w:r>
      <w:r w:rsidRPr="00A44354">
        <w:rPr>
          <w:rFonts w:ascii="Palatino Linotype" w:hAnsi="Palatino Linotype" w:cs="Tahoma"/>
          <w:sz w:val="22"/>
          <w:szCs w:val="22"/>
        </w:rPr>
        <w:t xml:space="preserve"> por parte de los sujetos obligados deberán comunicar al solicitante la misma </w:t>
      </w:r>
      <w:r w:rsidRPr="00275A69">
        <w:rPr>
          <w:rFonts w:ascii="Palatino Linotype" w:hAnsi="Palatino Linotype" w:cs="Tahoma"/>
          <w:b/>
          <w:bCs/>
          <w:sz w:val="22"/>
          <w:szCs w:val="22"/>
        </w:rPr>
        <w:t>dentro de los tres días posteriores a la recepción de la solicitud.</w:t>
      </w:r>
    </w:p>
    <w:p w14:paraId="59836D49" w14:textId="77777777" w:rsidR="00275A69" w:rsidRPr="00275A69" w:rsidRDefault="00275A69" w:rsidP="00275A69">
      <w:pPr>
        <w:spacing w:line="360" w:lineRule="auto"/>
        <w:jc w:val="both"/>
        <w:rPr>
          <w:rFonts w:ascii="Palatino Linotype" w:hAnsi="Palatino Linotype" w:cs="Tahoma"/>
          <w:b/>
          <w:bCs/>
          <w:sz w:val="22"/>
          <w:szCs w:val="22"/>
        </w:rPr>
      </w:pPr>
    </w:p>
    <w:p w14:paraId="22045FEA" w14:textId="77777777" w:rsidR="00275A69" w:rsidRPr="00A44354" w:rsidRDefault="00275A69" w:rsidP="00275A69">
      <w:pPr>
        <w:spacing w:line="360" w:lineRule="auto"/>
        <w:jc w:val="both"/>
        <w:rPr>
          <w:rFonts w:ascii="Palatino Linotype" w:hAnsi="Palatino Linotype" w:cs="Arial"/>
          <w:bCs/>
          <w:sz w:val="22"/>
          <w:szCs w:val="22"/>
        </w:rPr>
      </w:pPr>
      <w:r w:rsidRPr="00A44354">
        <w:rPr>
          <w:rFonts w:ascii="Palatino Linotype" w:hAnsi="Palatino Linotype" w:cs="Tahoma"/>
          <w:sz w:val="22"/>
          <w:szCs w:val="22"/>
        </w:rPr>
        <w:t>Como se logra observar, si bien la Ley de la materia, prevé el supuesto de incompetencia para que los sujetos obligados den atención a solitudes de información, también lo es, que no se precisa en que consiste dicho concepto; sobre dicha situación</w:t>
      </w:r>
      <w:r w:rsidRPr="00A44354">
        <w:rPr>
          <w:rFonts w:ascii="Palatino Linotype" w:hAnsi="Palatino Linotype" w:cs="Tahoma"/>
          <w:sz w:val="22"/>
          <w:szCs w:val="22"/>
          <w:lang w:val="es-ES_tradnl"/>
        </w:rPr>
        <w:t>,</w:t>
      </w:r>
      <w:r w:rsidRPr="00A44354">
        <w:rPr>
          <w:rFonts w:ascii="Palatino Linotype" w:hAnsi="Palatino Linotype" w:cs="Arial"/>
          <w:sz w:val="22"/>
          <w:szCs w:val="22"/>
        </w:rPr>
        <w:t xml:space="preserve"> </w:t>
      </w:r>
      <w:r w:rsidRPr="00A44354">
        <w:rPr>
          <w:rFonts w:ascii="Palatino Linotype" w:hAnsi="Palatino Linotype" w:cs="Arial"/>
          <w:bCs/>
          <w:sz w:val="22"/>
          <w:szCs w:val="22"/>
        </w:rPr>
        <w:t>según Cabanellas, Guillermo (1993), en el “Diccionario Jurídico Elemental” (p. 32 y 161), precisó los siguientes conceptos:</w:t>
      </w:r>
    </w:p>
    <w:p w14:paraId="1CE0580C" w14:textId="77777777" w:rsidR="00275A69" w:rsidRPr="00A44354" w:rsidRDefault="00275A69" w:rsidP="00275A69">
      <w:pPr>
        <w:spacing w:line="360" w:lineRule="auto"/>
        <w:jc w:val="both"/>
        <w:rPr>
          <w:rFonts w:ascii="Palatino Linotype" w:hAnsi="Palatino Linotype" w:cs="Arial"/>
          <w:bCs/>
          <w:sz w:val="22"/>
          <w:szCs w:val="22"/>
        </w:rPr>
      </w:pPr>
    </w:p>
    <w:p w14:paraId="659E7523" w14:textId="77777777" w:rsidR="00275A69" w:rsidRPr="00A44354" w:rsidRDefault="00275A69" w:rsidP="00275A69">
      <w:pPr>
        <w:numPr>
          <w:ilvl w:val="0"/>
          <w:numId w:val="12"/>
        </w:numPr>
        <w:spacing w:line="360" w:lineRule="auto"/>
        <w:contextualSpacing/>
        <w:jc w:val="both"/>
        <w:rPr>
          <w:rFonts w:ascii="Palatino Linotype" w:hAnsi="Palatino Linotype" w:cs="Arial"/>
          <w:bCs/>
          <w:sz w:val="22"/>
          <w:szCs w:val="22"/>
        </w:rPr>
      </w:pPr>
      <w:r w:rsidRPr="00A44354">
        <w:rPr>
          <w:rFonts w:ascii="Palatino Linotype" w:hAnsi="Palatino Linotype" w:cs="Arial"/>
          <w:b/>
          <w:bCs/>
          <w:sz w:val="22"/>
          <w:szCs w:val="22"/>
        </w:rPr>
        <w:t xml:space="preserve">Competencia: </w:t>
      </w:r>
      <w:r w:rsidRPr="00A44354">
        <w:rPr>
          <w:rFonts w:ascii="Palatino Linotype" w:hAnsi="Palatino Linotype" w:cs="Arial"/>
          <w:bCs/>
          <w:sz w:val="22"/>
          <w:szCs w:val="22"/>
        </w:rPr>
        <w:t>La capacidad de una autoridad para conocer sobre una materia o asunto.</w:t>
      </w:r>
    </w:p>
    <w:p w14:paraId="0B00A313" w14:textId="77777777" w:rsidR="00275A69" w:rsidRPr="00A44354" w:rsidRDefault="00275A69" w:rsidP="00275A69">
      <w:pPr>
        <w:spacing w:line="360" w:lineRule="auto"/>
        <w:ind w:left="780"/>
        <w:contextualSpacing/>
        <w:jc w:val="both"/>
        <w:rPr>
          <w:rFonts w:ascii="Palatino Linotype" w:hAnsi="Palatino Linotype" w:cs="Arial"/>
          <w:bCs/>
          <w:sz w:val="22"/>
          <w:szCs w:val="22"/>
        </w:rPr>
      </w:pPr>
    </w:p>
    <w:p w14:paraId="327CBDD6" w14:textId="77777777" w:rsidR="00275A69" w:rsidRPr="00A44354" w:rsidRDefault="00275A69" w:rsidP="00275A69">
      <w:pPr>
        <w:numPr>
          <w:ilvl w:val="0"/>
          <w:numId w:val="12"/>
        </w:numPr>
        <w:spacing w:line="360" w:lineRule="auto"/>
        <w:contextualSpacing/>
        <w:jc w:val="both"/>
        <w:rPr>
          <w:rFonts w:ascii="Palatino Linotype" w:hAnsi="Palatino Linotype" w:cs="Arial"/>
          <w:bCs/>
          <w:sz w:val="22"/>
          <w:szCs w:val="22"/>
        </w:rPr>
      </w:pPr>
      <w:r w:rsidRPr="00A44354">
        <w:rPr>
          <w:rFonts w:ascii="Palatino Linotype" w:hAnsi="Palatino Linotype" w:cs="Arial"/>
          <w:b/>
          <w:bCs/>
          <w:sz w:val="22"/>
          <w:szCs w:val="22"/>
        </w:rPr>
        <w:t>Incompetencia:</w:t>
      </w:r>
      <w:r w:rsidRPr="00A44354">
        <w:rPr>
          <w:rFonts w:ascii="Palatino Linotype" w:hAnsi="Palatino Linotype" w:cs="Arial"/>
          <w:bCs/>
          <w:sz w:val="22"/>
          <w:szCs w:val="22"/>
        </w:rPr>
        <w:t xml:space="preserve"> Falta de Competencia.</w:t>
      </w:r>
    </w:p>
    <w:p w14:paraId="768B7B7A" w14:textId="77777777" w:rsidR="00275A69" w:rsidRPr="00A44354" w:rsidRDefault="00275A69" w:rsidP="00275A69">
      <w:pPr>
        <w:spacing w:line="360" w:lineRule="auto"/>
        <w:jc w:val="both"/>
        <w:rPr>
          <w:rFonts w:ascii="Palatino Linotype" w:hAnsi="Palatino Linotype" w:cs="Arial"/>
          <w:sz w:val="22"/>
          <w:szCs w:val="22"/>
        </w:rPr>
      </w:pPr>
    </w:p>
    <w:p w14:paraId="600CF520" w14:textId="77777777" w:rsidR="00275A69" w:rsidRPr="00A44354" w:rsidRDefault="00275A69" w:rsidP="00275A69">
      <w:pPr>
        <w:spacing w:line="360" w:lineRule="auto"/>
        <w:jc w:val="both"/>
        <w:rPr>
          <w:rFonts w:ascii="Palatino Linotype" w:hAnsi="Palatino Linotype" w:cs="Tahoma"/>
          <w:sz w:val="22"/>
          <w:szCs w:val="22"/>
        </w:rPr>
      </w:pPr>
      <w:r w:rsidRPr="00A44354">
        <w:rPr>
          <w:rFonts w:ascii="Palatino Linotype" w:hAnsi="Palatino Linotype" w:cs="Tahoma"/>
          <w:sz w:val="22"/>
          <w:szCs w:val="22"/>
          <w:lang w:val="es-ES_tradnl"/>
        </w:rPr>
        <w:t xml:space="preserve">Por lo que, </w:t>
      </w:r>
      <w:r w:rsidRPr="00A44354">
        <w:rPr>
          <w:rFonts w:ascii="Palatino Linotype" w:hAnsi="Palatino Linotype" w:cs="Tahoma"/>
          <w:b/>
          <w:sz w:val="22"/>
          <w:szCs w:val="22"/>
          <w:lang w:val="es-ES_tradnl"/>
        </w:rPr>
        <w:t>la incompetencia</w:t>
      </w:r>
      <w:r w:rsidRPr="00A44354">
        <w:rPr>
          <w:rFonts w:ascii="Palatino Linotype" w:hAnsi="Palatino Linotype" w:cs="Tahoma"/>
          <w:sz w:val="22"/>
          <w:szCs w:val="22"/>
          <w:lang w:val="es-ES_tradnl"/>
        </w:rPr>
        <w:t>, radica en la incapacidad de una autoridad para conocer de un tema o asunto; en el mismo sentido, conviene traer a cuenta tesis</w:t>
      </w:r>
      <w:r w:rsidRPr="00A44354">
        <w:rPr>
          <w:rFonts w:ascii="Palatino Linotype" w:hAnsi="Palatino Linotype" w:cs="Tahoma"/>
          <w:sz w:val="22"/>
          <w:szCs w:val="22"/>
        </w:rPr>
        <w:t xml:space="preserve"> aislada número III.2o.P.11 K, publicada en el Semanario Judicial de la Federación y su Gaceta, Novena Época, Tomo XV, </w:t>
      </w:r>
      <w:proofErr w:type="gramStart"/>
      <w:r w:rsidRPr="00A44354">
        <w:rPr>
          <w:rFonts w:ascii="Palatino Linotype" w:hAnsi="Palatino Linotype" w:cs="Tahoma"/>
          <w:sz w:val="22"/>
          <w:szCs w:val="22"/>
        </w:rPr>
        <w:t>Mayo</w:t>
      </w:r>
      <w:proofErr w:type="gramEnd"/>
      <w:r w:rsidRPr="00A44354">
        <w:rPr>
          <w:rFonts w:ascii="Palatino Linotype" w:hAnsi="Palatino Linotype" w:cs="Tahoma"/>
          <w:sz w:val="22"/>
          <w:szCs w:val="22"/>
        </w:rPr>
        <w:t xml:space="preserve"> de 2002, Pág. 1243, ya que precisa lo siguiente: </w:t>
      </w:r>
    </w:p>
    <w:p w14:paraId="6C24A590" w14:textId="77777777" w:rsidR="00275A69" w:rsidRPr="00A44354" w:rsidRDefault="00275A69" w:rsidP="00275A69">
      <w:pPr>
        <w:spacing w:line="360" w:lineRule="auto"/>
        <w:jc w:val="both"/>
        <w:rPr>
          <w:rFonts w:ascii="Palatino Linotype" w:hAnsi="Palatino Linotype" w:cs="Tahoma"/>
          <w:sz w:val="22"/>
          <w:szCs w:val="22"/>
          <w:lang w:val="es-ES_tradnl"/>
        </w:rPr>
      </w:pPr>
    </w:p>
    <w:p w14:paraId="27FD24C5" w14:textId="38D1A2EE" w:rsidR="00275A69" w:rsidRPr="00275A69" w:rsidRDefault="00275A69" w:rsidP="00275A69">
      <w:pPr>
        <w:spacing w:line="360" w:lineRule="auto"/>
        <w:ind w:left="567" w:right="567"/>
        <w:jc w:val="both"/>
        <w:rPr>
          <w:rFonts w:ascii="Palatino Linotype" w:hAnsi="Palatino Linotype" w:cs="Tahoma"/>
          <w:i/>
          <w:lang w:val="es-ES_tradnl"/>
        </w:rPr>
      </w:pPr>
      <w:r w:rsidRPr="00A44354">
        <w:rPr>
          <w:rFonts w:ascii="Palatino Linotype" w:hAnsi="Palatino Linotype" w:cs="Tahoma"/>
          <w:b/>
          <w:bCs/>
          <w:i/>
          <w:lang w:val="es-ES_tradnl"/>
        </w:rPr>
        <w:t xml:space="preserve">“LEGITIMACIÓN DE FUNCIONARIOS PÚBLICOS. LOS TRIBUNALES DE AMPARO, POR ESTAR VINCULADOS CON EL CONCEPTO DE COMPETENCIA A QUE SE REFIERE EL ARTÍCULO 16 CONSTITUCIONAL, NO PUEDEN CONOCER DE AQUÉLLA. </w:t>
      </w:r>
      <w:r w:rsidRPr="00A44354">
        <w:rPr>
          <w:rFonts w:ascii="Palatino Linotype" w:hAnsi="Palatino Linotype" w:cs="Tahoma"/>
          <w:i/>
          <w:lang w:val="es-ES_tradnl"/>
        </w:rPr>
        <w:t>El artículo</w:t>
      </w:r>
      <w:r w:rsidRPr="00275A69">
        <w:rPr>
          <w:rFonts w:ascii="Palatino Linotype" w:hAnsi="Palatino Linotype" w:cs="Tahoma"/>
          <w:i/>
          <w:color w:val="000000" w:themeColor="text1"/>
          <w:lang w:val="es-ES_tradnl"/>
        </w:rPr>
        <w:t> </w:t>
      </w:r>
      <w:hyperlink r:id="rId9" w:history="1">
        <w:r w:rsidRPr="00275A69">
          <w:rPr>
            <w:rFonts w:ascii="Palatino Linotype" w:hAnsi="Palatino Linotype" w:cs="Tahoma"/>
            <w:i/>
            <w:color w:val="000000" w:themeColor="text1"/>
            <w:lang w:val="es-ES_tradnl"/>
          </w:rPr>
          <w:t>16 constitucional</w:t>
        </w:r>
      </w:hyperlink>
      <w:r w:rsidRPr="00A44354">
        <w:rPr>
          <w:rFonts w:ascii="Palatino Linotype" w:hAnsi="Palatino Linotype" w:cs="Tahoma"/>
          <w:i/>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652362A" w14:textId="77777777" w:rsidR="00CE6FBD" w:rsidRDefault="00CE6FBD" w:rsidP="00275A69">
      <w:pPr>
        <w:spacing w:line="360" w:lineRule="auto"/>
        <w:jc w:val="both"/>
        <w:rPr>
          <w:rFonts w:ascii="Palatino Linotype" w:hAnsi="Palatino Linotype" w:cs="Tahoma"/>
          <w:sz w:val="22"/>
          <w:szCs w:val="22"/>
          <w:lang w:val="es-ES_tradnl"/>
        </w:rPr>
      </w:pPr>
    </w:p>
    <w:p w14:paraId="3578713C" w14:textId="62565D9D" w:rsidR="00275A69" w:rsidRPr="00A44354" w:rsidRDefault="00275A69" w:rsidP="00275A69">
      <w:pPr>
        <w:spacing w:line="360" w:lineRule="auto"/>
        <w:jc w:val="both"/>
        <w:rPr>
          <w:rFonts w:ascii="Palatino Linotype" w:hAnsi="Palatino Linotype" w:cs="Tahoma"/>
          <w:sz w:val="22"/>
          <w:szCs w:val="22"/>
        </w:rPr>
      </w:pPr>
      <w:r w:rsidRPr="00A44354">
        <w:rPr>
          <w:rFonts w:ascii="Palatino Linotype" w:hAnsi="Palatino Linotype" w:cs="Tahoma"/>
          <w:sz w:val="22"/>
          <w:szCs w:val="22"/>
          <w:lang w:val="es-ES_tradnl"/>
        </w:rPr>
        <w:t xml:space="preserve">De la misma manera, resulta necesario traer a colación, el </w:t>
      </w:r>
      <w:r w:rsidRPr="00A44354">
        <w:rPr>
          <w:rFonts w:ascii="Palatino Linotype" w:hAnsi="Palatino Linotype" w:cs="Tahoma"/>
          <w:sz w:val="22"/>
          <w:szCs w:val="22"/>
          <w:lang w:val="es-ES"/>
        </w:rPr>
        <w:t xml:space="preserve">Criterio 13/17, </w:t>
      </w:r>
      <w:r w:rsidRPr="00A44354">
        <w:rPr>
          <w:rFonts w:ascii="Palatino Linotype" w:hAnsi="Palatino Linotype" w:cs="Tahoma"/>
          <w:sz w:val="22"/>
          <w:szCs w:val="22"/>
        </w:rPr>
        <w:t xml:space="preserve">emitido por el Instituto Nacional de Transparencia, Acceso a la Información y Protección de Datos Personales, que dispone lo siguiente: </w:t>
      </w:r>
    </w:p>
    <w:p w14:paraId="689CD234" w14:textId="77777777" w:rsidR="00275A69" w:rsidRPr="00A44354" w:rsidRDefault="00275A69" w:rsidP="00275A69">
      <w:pPr>
        <w:spacing w:line="360" w:lineRule="auto"/>
        <w:jc w:val="both"/>
        <w:rPr>
          <w:rFonts w:ascii="Palatino Linotype" w:hAnsi="Palatino Linotype" w:cs="Tahoma"/>
          <w:sz w:val="22"/>
          <w:szCs w:val="22"/>
        </w:rPr>
      </w:pPr>
    </w:p>
    <w:p w14:paraId="6338F2B3" w14:textId="77777777" w:rsidR="00275A69" w:rsidRPr="00A44354" w:rsidRDefault="00275A69" w:rsidP="00275A69">
      <w:pPr>
        <w:spacing w:line="360" w:lineRule="auto"/>
        <w:ind w:left="567" w:right="567"/>
        <w:jc w:val="both"/>
        <w:rPr>
          <w:rFonts w:ascii="Palatino Linotype" w:hAnsi="Palatino Linotype" w:cs="Tahoma"/>
          <w:i/>
        </w:rPr>
      </w:pPr>
      <w:r w:rsidRPr="00A44354">
        <w:rPr>
          <w:rFonts w:ascii="Palatino Linotype" w:hAnsi="Palatino Linotype" w:cs="Tahoma"/>
          <w:i/>
        </w:rPr>
        <w:lastRenderedPageBreak/>
        <w:t>“</w:t>
      </w:r>
      <w:r w:rsidRPr="00A44354">
        <w:rPr>
          <w:rFonts w:ascii="Palatino Linotype" w:hAnsi="Palatino Linotype" w:cs="Tahoma"/>
          <w:b/>
          <w:bCs/>
          <w:i/>
        </w:rPr>
        <w:t xml:space="preserve">Incompetencia. </w:t>
      </w:r>
      <w:r w:rsidRPr="00A44354">
        <w:rPr>
          <w:rFonts w:ascii="Palatino Linotype" w:hAnsi="Palatino Linotype" w:cs="Tahoma"/>
          <w:i/>
        </w:rPr>
        <w:t>La incompetencia implica la ausencia de atribuciones del sujeto obligado para poseer la información solicitada; es decir, se trata de una cuestión de derecho, en tanto que no existan facultades para contar con lo requerido; por lo que la incompetencia es una cualidad atribuida al sujeto obligado que la declara.”</w:t>
      </w:r>
    </w:p>
    <w:p w14:paraId="1AC3A6C1" w14:textId="77777777" w:rsidR="00275A69" w:rsidRPr="00A44354" w:rsidRDefault="00275A69" w:rsidP="00275A69">
      <w:pPr>
        <w:spacing w:line="360" w:lineRule="auto"/>
        <w:jc w:val="both"/>
        <w:rPr>
          <w:rFonts w:ascii="Palatino Linotype" w:hAnsi="Palatino Linotype" w:cs="Tahoma"/>
          <w:sz w:val="22"/>
          <w:szCs w:val="22"/>
          <w:lang w:val="es-ES_tradnl"/>
        </w:rPr>
      </w:pPr>
    </w:p>
    <w:p w14:paraId="5EE0F8E7" w14:textId="0680E5B1" w:rsidR="00275A69" w:rsidRPr="00A44354" w:rsidRDefault="00275A69" w:rsidP="00275A69">
      <w:pPr>
        <w:spacing w:line="360" w:lineRule="auto"/>
        <w:jc w:val="both"/>
        <w:rPr>
          <w:rFonts w:ascii="Palatino Linotype" w:hAnsi="Palatino Linotype" w:cs="Tahoma"/>
          <w:sz w:val="22"/>
          <w:szCs w:val="22"/>
          <w:lang w:val="es-ES_tradnl"/>
        </w:rPr>
      </w:pPr>
      <w:r w:rsidRPr="00A44354">
        <w:rPr>
          <w:rFonts w:ascii="Palatino Linotype" w:hAnsi="Palatino Linotype" w:cs="Tahoma"/>
          <w:sz w:val="22"/>
          <w:szCs w:val="22"/>
          <w:lang w:val="es-ES_tradnl"/>
        </w:rPr>
        <w:t xml:space="preserve">En tal virtud, la </w:t>
      </w:r>
      <w:r w:rsidRPr="00A44354">
        <w:rPr>
          <w:rFonts w:ascii="Palatino Linotype" w:hAnsi="Palatino Linotype" w:cs="Tahoma"/>
          <w:b/>
          <w:sz w:val="22"/>
          <w:szCs w:val="22"/>
          <w:lang w:val="es-ES_tradnl"/>
        </w:rPr>
        <w:t xml:space="preserve">incompetencia </w:t>
      </w:r>
      <w:r w:rsidRPr="00A44354">
        <w:rPr>
          <w:rFonts w:ascii="Palatino Linotype" w:hAnsi="Palatino Linotype" w:cs="Tahoma"/>
          <w:sz w:val="22"/>
          <w:szCs w:val="22"/>
          <w:lang w:val="es-ES_tradnl"/>
        </w:rPr>
        <w:t xml:space="preserve">implica </w:t>
      </w:r>
      <w:r w:rsidR="0077039D" w:rsidRPr="00A44354">
        <w:rPr>
          <w:rFonts w:ascii="Palatino Linotype" w:hAnsi="Palatino Linotype" w:cs="Tahoma"/>
          <w:sz w:val="22"/>
          <w:szCs w:val="22"/>
          <w:lang w:val="es-ES_tradnl"/>
        </w:rPr>
        <w:t>que,</w:t>
      </w:r>
      <w:r w:rsidRPr="00A44354">
        <w:rPr>
          <w:rFonts w:ascii="Palatino Linotype" w:hAnsi="Palatino Linotype" w:cs="Tahoma"/>
          <w:sz w:val="22"/>
          <w:szCs w:val="22"/>
          <w:lang w:val="es-ES_tradnl"/>
        </w:rPr>
        <w:t xml:space="preserve"> de conformidad con las atribuciones conferidas al Sujeto Obligado, no habría razón por la cual éste deba contar con la información solicitada, en cuyo caso, tendría que orientar al particular para que acuda a la instancia competente.</w:t>
      </w:r>
    </w:p>
    <w:p w14:paraId="77B997FF" w14:textId="77777777" w:rsidR="00275A69" w:rsidRPr="00A44354" w:rsidRDefault="00275A69" w:rsidP="00275A69">
      <w:pPr>
        <w:spacing w:line="360" w:lineRule="auto"/>
        <w:jc w:val="both"/>
        <w:rPr>
          <w:rFonts w:ascii="Palatino Linotype" w:hAnsi="Palatino Linotype" w:cs="Tahoma"/>
          <w:sz w:val="22"/>
          <w:szCs w:val="22"/>
          <w:lang w:val="es-ES_tradnl"/>
        </w:rPr>
      </w:pPr>
    </w:p>
    <w:p w14:paraId="260908ED" w14:textId="77777777" w:rsidR="00275A69" w:rsidRPr="00A44354" w:rsidRDefault="00275A69" w:rsidP="00275A69">
      <w:pPr>
        <w:spacing w:line="360" w:lineRule="auto"/>
        <w:jc w:val="both"/>
        <w:rPr>
          <w:rFonts w:ascii="Palatino Linotype" w:hAnsi="Palatino Linotype" w:cs="Tahoma"/>
          <w:sz w:val="22"/>
          <w:szCs w:val="22"/>
          <w:lang w:val="es-ES_tradnl"/>
        </w:rPr>
      </w:pPr>
      <w:r w:rsidRPr="00FB0455">
        <w:rPr>
          <w:rFonts w:ascii="Palatino Linotype" w:hAnsi="Palatino Linotype" w:cs="Tahoma"/>
          <w:sz w:val="22"/>
          <w:szCs w:val="22"/>
          <w:lang w:val="es-ES_tradnl"/>
        </w:rPr>
        <w:t>En otro orden de ideas, dicho</w:t>
      </w:r>
      <w:r w:rsidRPr="00A44354">
        <w:rPr>
          <w:rFonts w:ascii="Palatino Linotype" w:hAnsi="Palatino Linotype" w:cs="Tahoma"/>
          <w:sz w:val="22"/>
          <w:szCs w:val="22"/>
          <w:lang w:val="es-ES_tradnl"/>
        </w:rPr>
        <w:t xml:space="preserve"> concepto refiere a la ausencia de atribuciones por parte de los Entes sujetos a las Leyes de Transparencia, para contar con la información que se requiere, es decir, se trata de una situación que se dilucida a partir de las facultades atribuidas a éste.</w:t>
      </w:r>
    </w:p>
    <w:p w14:paraId="43A8262B" w14:textId="77777777" w:rsidR="00275A69" w:rsidRDefault="00275A69" w:rsidP="00275A69">
      <w:pPr>
        <w:spacing w:line="360" w:lineRule="auto"/>
        <w:ind w:right="-93"/>
        <w:jc w:val="both"/>
        <w:rPr>
          <w:rFonts w:ascii="Palatino Linotype" w:hAnsi="Palatino Linotype" w:cs="Tahoma"/>
          <w:sz w:val="22"/>
          <w:szCs w:val="22"/>
          <w:lang w:val="es-ES"/>
        </w:rPr>
      </w:pPr>
    </w:p>
    <w:p w14:paraId="24CD10B2" w14:textId="71EF0BB5" w:rsidR="00275A69" w:rsidRDefault="00275A69" w:rsidP="00275A69">
      <w:pPr>
        <w:spacing w:line="360" w:lineRule="auto"/>
        <w:ind w:right="-93"/>
        <w:jc w:val="both"/>
        <w:rPr>
          <w:rFonts w:ascii="Palatino Linotype" w:hAnsi="Palatino Linotype" w:cs="Tahoma"/>
          <w:sz w:val="22"/>
          <w:szCs w:val="22"/>
        </w:rPr>
      </w:pPr>
      <w:r w:rsidRPr="000D7EB2">
        <w:rPr>
          <w:rFonts w:ascii="Palatino Linotype" w:hAnsi="Palatino Linotype" w:cs="Tahoma"/>
          <w:sz w:val="22"/>
          <w:szCs w:val="22"/>
        </w:rPr>
        <w:t>Por tanto, a continuación,</w:t>
      </w:r>
      <w:r w:rsidRPr="00D36A60">
        <w:rPr>
          <w:rFonts w:ascii="Palatino Linotype" w:hAnsi="Palatino Linotype" w:cs="Tahoma"/>
          <w:sz w:val="22"/>
          <w:szCs w:val="22"/>
        </w:rPr>
        <w:t xml:space="preserve"> se analiza si en la especie, el Ente Recurrido cuenta con atribuciones para conocer sobre la información requerida;</w:t>
      </w:r>
      <w:r w:rsidRPr="00D44651">
        <w:rPr>
          <w:rFonts w:ascii="Palatino Linotype" w:hAnsi="Palatino Linotype" w:cs="Tahoma"/>
          <w:sz w:val="22"/>
          <w:szCs w:val="22"/>
        </w:rPr>
        <w:t xml:space="preserve"> para ello, es necesario traer a colación, </w:t>
      </w:r>
      <w:r w:rsidR="00FB0455">
        <w:rPr>
          <w:rFonts w:ascii="Palatino Linotype" w:hAnsi="Palatino Linotype" w:cs="Tahoma"/>
          <w:sz w:val="22"/>
          <w:szCs w:val="22"/>
        </w:rPr>
        <w:t xml:space="preserve">los </w:t>
      </w:r>
      <w:r>
        <w:rPr>
          <w:rFonts w:ascii="Palatino Linotype" w:hAnsi="Palatino Linotype" w:cs="Tahoma"/>
          <w:sz w:val="22"/>
          <w:szCs w:val="22"/>
        </w:rPr>
        <w:t>artículo</w:t>
      </w:r>
      <w:r w:rsidR="00FB0455">
        <w:rPr>
          <w:rFonts w:ascii="Palatino Linotype" w:hAnsi="Palatino Linotype" w:cs="Tahoma"/>
          <w:sz w:val="22"/>
          <w:szCs w:val="22"/>
        </w:rPr>
        <w:t>s 32, numeral 4 y</w:t>
      </w:r>
      <w:r>
        <w:rPr>
          <w:rFonts w:ascii="Palatino Linotype" w:hAnsi="Palatino Linotype" w:cs="Tahoma"/>
          <w:sz w:val="22"/>
          <w:szCs w:val="22"/>
        </w:rPr>
        <w:t xml:space="preserve"> </w:t>
      </w:r>
      <w:r w:rsidR="00FB0455">
        <w:rPr>
          <w:rFonts w:ascii="Palatino Linotype" w:hAnsi="Palatino Linotype" w:cs="Tahoma"/>
          <w:sz w:val="22"/>
          <w:szCs w:val="22"/>
        </w:rPr>
        <w:t>4</w:t>
      </w:r>
      <w:r>
        <w:rPr>
          <w:rFonts w:ascii="Palatino Linotype" w:hAnsi="Palatino Linotype" w:cs="Tahoma"/>
          <w:sz w:val="22"/>
          <w:szCs w:val="22"/>
        </w:rPr>
        <w:t>8, fracci</w:t>
      </w:r>
      <w:r w:rsidR="00FB0455">
        <w:rPr>
          <w:rFonts w:ascii="Palatino Linotype" w:hAnsi="Palatino Linotype" w:cs="Tahoma"/>
          <w:sz w:val="22"/>
          <w:szCs w:val="22"/>
        </w:rPr>
        <w:t>ones</w:t>
      </w:r>
      <w:r>
        <w:rPr>
          <w:rFonts w:ascii="Palatino Linotype" w:hAnsi="Palatino Linotype" w:cs="Tahoma"/>
          <w:sz w:val="22"/>
          <w:szCs w:val="22"/>
        </w:rPr>
        <w:t xml:space="preserve"> </w:t>
      </w:r>
      <w:r w:rsidR="00FB0455">
        <w:rPr>
          <w:rFonts w:ascii="Palatino Linotype" w:hAnsi="Palatino Linotype" w:cs="Tahoma"/>
          <w:sz w:val="22"/>
          <w:szCs w:val="22"/>
        </w:rPr>
        <w:t>XIX, XXII y XXIII</w:t>
      </w:r>
      <w:r>
        <w:rPr>
          <w:rFonts w:ascii="Palatino Linotype" w:hAnsi="Palatino Linotype" w:cs="Tahoma"/>
          <w:sz w:val="22"/>
          <w:szCs w:val="22"/>
        </w:rPr>
        <w:t xml:space="preserve"> del </w:t>
      </w:r>
      <w:r w:rsidR="00FB0455">
        <w:rPr>
          <w:rFonts w:ascii="Palatino Linotype" w:hAnsi="Palatino Linotype" w:cs="Tahoma"/>
          <w:sz w:val="22"/>
          <w:szCs w:val="22"/>
        </w:rPr>
        <w:t xml:space="preserve">Bando Municipal, dos mil </w:t>
      </w:r>
      <w:r w:rsidR="0077039D">
        <w:rPr>
          <w:rFonts w:ascii="Palatino Linotype" w:hAnsi="Palatino Linotype" w:cs="Tahoma"/>
          <w:sz w:val="22"/>
          <w:szCs w:val="22"/>
        </w:rPr>
        <w:t>veintidós</w:t>
      </w:r>
      <w:r w:rsidR="00FB0455">
        <w:rPr>
          <w:rFonts w:ascii="Palatino Linotype" w:hAnsi="Palatino Linotype" w:cs="Tahoma"/>
          <w:sz w:val="22"/>
          <w:szCs w:val="22"/>
        </w:rPr>
        <w:t>, del Ayuntamiento de Santo Tomás</w:t>
      </w:r>
      <w:r>
        <w:rPr>
          <w:rFonts w:ascii="Palatino Linotype" w:hAnsi="Palatino Linotype" w:cs="Tahoma"/>
          <w:sz w:val="22"/>
          <w:szCs w:val="22"/>
        </w:rPr>
        <w:t xml:space="preserve">, establece que el Sujeto Obligado cuenta con </w:t>
      </w:r>
      <w:r w:rsidR="00FB0455">
        <w:rPr>
          <w:rFonts w:ascii="Palatino Linotype" w:hAnsi="Palatino Linotype" w:cs="Tahoma"/>
          <w:sz w:val="22"/>
          <w:szCs w:val="22"/>
        </w:rPr>
        <w:t>una</w:t>
      </w:r>
      <w:r>
        <w:rPr>
          <w:rFonts w:ascii="Palatino Linotype" w:hAnsi="Palatino Linotype" w:cs="Tahoma"/>
          <w:sz w:val="22"/>
          <w:szCs w:val="22"/>
        </w:rPr>
        <w:t xml:space="preserve"> </w:t>
      </w:r>
      <w:r w:rsidR="00FB0455">
        <w:rPr>
          <w:rFonts w:ascii="Palatino Linotype" w:hAnsi="Palatino Linotype" w:cs="Tahoma"/>
          <w:sz w:val="22"/>
          <w:szCs w:val="22"/>
        </w:rPr>
        <w:t>Contraloría Municipal</w:t>
      </w:r>
      <w:r>
        <w:rPr>
          <w:rFonts w:ascii="Palatino Linotype" w:hAnsi="Palatino Linotype" w:cs="Tahoma"/>
          <w:sz w:val="22"/>
          <w:szCs w:val="22"/>
        </w:rPr>
        <w:t xml:space="preserve">, </w:t>
      </w:r>
      <w:r w:rsidR="00C9586A">
        <w:rPr>
          <w:rFonts w:ascii="Palatino Linotype" w:hAnsi="Palatino Linotype" w:cs="Tahoma"/>
          <w:sz w:val="22"/>
          <w:szCs w:val="22"/>
        </w:rPr>
        <w:t>que tiene entre otras atribuciones, las</w:t>
      </w:r>
      <w:r w:rsidR="00D36A60">
        <w:rPr>
          <w:rFonts w:ascii="Palatino Linotype" w:hAnsi="Palatino Linotype" w:cs="Tahoma"/>
          <w:sz w:val="22"/>
          <w:szCs w:val="22"/>
        </w:rPr>
        <w:t xml:space="preserve"> siguiente</w:t>
      </w:r>
      <w:r w:rsidR="00C9586A">
        <w:rPr>
          <w:rFonts w:ascii="Palatino Linotype" w:hAnsi="Palatino Linotype" w:cs="Tahoma"/>
          <w:sz w:val="22"/>
          <w:szCs w:val="22"/>
        </w:rPr>
        <w:t>s</w:t>
      </w:r>
      <w:r w:rsidR="00D36A60">
        <w:rPr>
          <w:rFonts w:ascii="Palatino Linotype" w:hAnsi="Palatino Linotype" w:cs="Tahoma"/>
          <w:sz w:val="22"/>
          <w:szCs w:val="22"/>
        </w:rPr>
        <w:t xml:space="preserve">: </w:t>
      </w:r>
    </w:p>
    <w:p w14:paraId="43BF734E" w14:textId="77777777" w:rsidR="00D36A60" w:rsidRDefault="00D36A60" w:rsidP="00275A69">
      <w:pPr>
        <w:spacing w:line="360" w:lineRule="auto"/>
        <w:ind w:right="-93"/>
        <w:jc w:val="both"/>
        <w:rPr>
          <w:rFonts w:ascii="Palatino Linotype" w:hAnsi="Palatino Linotype" w:cs="Tahoma"/>
          <w:sz w:val="22"/>
          <w:szCs w:val="22"/>
        </w:rPr>
      </w:pPr>
    </w:p>
    <w:p w14:paraId="5AB0689E" w14:textId="0378E10E" w:rsidR="00D36A60" w:rsidRDefault="00C9586A" w:rsidP="00D36A60">
      <w:pPr>
        <w:pStyle w:val="Prrafodelista"/>
        <w:numPr>
          <w:ilvl w:val="0"/>
          <w:numId w:val="24"/>
        </w:numPr>
        <w:spacing w:line="360" w:lineRule="auto"/>
        <w:ind w:right="-93"/>
        <w:jc w:val="both"/>
        <w:rPr>
          <w:rFonts w:ascii="Palatino Linotype" w:hAnsi="Palatino Linotype" w:cs="Tahoma"/>
          <w:szCs w:val="22"/>
        </w:rPr>
      </w:pPr>
      <w:r>
        <w:rPr>
          <w:rFonts w:ascii="Palatino Linotype" w:hAnsi="Palatino Linotype" w:cs="Tahoma"/>
          <w:szCs w:val="22"/>
        </w:rPr>
        <w:t>Realizar las acciones correspondientes en el sistema de altas, bajas y anualidad para la presentación de manifestación de bienes;</w:t>
      </w:r>
    </w:p>
    <w:p w14:paraId="4F5E8DC2" w14:textId="77777777" w:rsidR="00E4341A" w:rsidRDefault="00E4341A" w:rsidP="00E4341A">
      <w:pPr>
        <w:pStyle w:val="Prrafodelista"/>
        <w:spacing w:line="360" w:lineRule="auto"/>
        <w:ind w:right="-93"/>
        <w:jc w:val="both"/>
        <w:rPr>
          <w:rFonts w:ascii="Palatino Linotype" w:hAnsi="Palatino Linotype" w:cs="Tahoma"/>
          <w:szCs w:val="22"/>
        </w:rPr>
      </w:pPr>
    </w:p>
    <w:p w14:paraId="6E6AFBB8" w14:textId="3642879F" w:rsidR="00C9586A" w:rsidRDefault="00C9586A" w:rsidP="00D36A60">
      <w:pPr>
        <w:pStyle w:val="Prrafodelista"/>
        <w:numPr>
          <w:ilvl w:val="0"/>
          <w:numId w:val="24"/>
        </w:numPr>
        <w:spacing w:line="360" w:lineRule="auto"/>
        <w:ind w:right="-93"/>
        <w:jc w:val="both"/>
        <w:rPr>
          <w:rFonts w:ascii="Palatino Linotype" w:hAnsi="Palatino Linotype" w:cs="Tahoma"/>
          <w:szCs w:val="22"/>
        </w:rPr>
      </w:pPr>
      <w:r>
        <w:rPr>
          <w:rFonts w:ascii="Palatino Linotype" w:hAnsi="Palatino Linotype" w:cs="Tahoma"/>
          <w:szCs w:val="22"/>
        </w:rPr>
        <w:t xml:space="preserve">Coordinarse con la Secretaría </w:t>
      </w:r>
      <w:r w:rsidR="00A4060C">
        <w:rPr>
          <w:rFonts w:ascii="Palatino Linotype" w:hAnsi="Palatino Linotype" w:cs="Tahoma"/>
          <w:szCs w:val="22"/>
        </w:rPr>
        <w:t>de la Contraloría del Gobierno del Estado, para el cumplimiento de la responsabilidad asignada;</w:t>
      </w:r>
      <w:r w:rsidR="005164C7">
        <w:rPr>
          <w:rFonts w:ascii="Palatino Linotype" w:hAnsi="Palatino Linotype" w:cs="Tahoma"/>
          <w:szCs w:val="22"/>
        </w:rPr>
        <w:t xml:space="preserve"> y</w:t>
      </w:r>
    </w:p>
    <w:p w14:paraId="3159A2B9" w14:textId="77777777" w:rsidR="005164C7" w:rsidRDefault="005164C7" w:rsidP="005164C7">
      <w:pPr>
        <w:pStyle w:val="Prrafodelista"/>
        <w:spacing w:line="360" w:lineRule="auto"/>
        <w:ind w:right="-93"/>
        <w:jc w:val="both"/>
        <w:rPr>
          <w:rFonts w:ascii="Palatino Linotype" w:hAnsi="Palatino Linotype" w:cs="Tahoma"/>
          <w:szCs w:val="22"/>
        </w:rPr>
      </w:pPr>
    </w:p>
    <w:p w14:paraId="6D6FEC71" w14:textId="2FC95807" w:rsidR="00A4060C" w:rsidRPr="00D36A60" w:rsidRDefault="005164C7" w:rsidP="00D36A60">
      <w:pPr>
        <w:pStyle w:val="Prrafodelista"/>
        <w:numPr>
          <w:ilvl w:val="0"/>
          <w:numId w:val="24"/>
        </w:numPr>
        <w:spacing w:line="360" w:lineRule="auto"/>
        <w:ind w:right="-93"/>
        <w:jc w:val="both"/>
        <w:rPr>
          <w:rFonts w:ascii="Palatino Linotype" w:hAnsi="Palatino Linotype" w:cs="Tahoma"/>
          <w:szCs w:val="22"/>
        </w:rPr>
      </w:pPr>
      <w:r>
        <w:rPr>
          <w:rFonts w:ascii="Palatino Linotype" w:hAnsi="Palatino Linotype" w:cs="Tahoma"/>
          <w:szCs w:val="22"/>
        </w:rPr>
        <w:lastRenderedPageBreak/>
        <w:t>Verificar que los servidores públicos municipales cumplan con la obligación de presentar la manifestación de bienes.</w:t>
      </w:r>
    </w:p>
    <w:p w14:paraId="2A5DE88B" w14:textId="56C46361" w:rsidR="00A61B02" w:rsidRDefault="00A61B02" w:rsidP="00CF2A60">
      <w:pPr>
        <w:spacing w:line="360" w:lineRule="auto"/>
        <w:rPr>
          <w:rFonts w:ascii="Palatino Linotype" w:eastAsia="Calibri" w:hAnsi="Palatino Linotype" w:cs="Tahoma"/>
          <w:bCs/>
          <w:color w:val="000000" w:themeColor="text1"/>
          <w:sz w:val="22"/>
          <w:szCs w:val="22"/>
          <w:lang w:eastAsia="en-US"/>
        </w:rPr>
      </w:pPr>
    </w:p>
    <w:p w14:paraId="472567B7" w14:textId="303A0818" w:rsidR="005164C7" w:rsidRDefault="005164C7" w:rsidP="00925AC8">
      <w:pPr>
        <w:spacing w:line="360" w:lineRule="auto"/>
        <w:jc w:val="both"/>
        <w:rPr>
          <w:rFonts w:ascii="Palatino Linotype" w:eastAsia="Calibri" w:hAnsi="Palatino Linotype" w:cs="Tahoma"/>
          <w:bCs/>
          <w:color w:val="000000" w:themeColor="text1"/>
          <w:sz w:val="22"/>
          <w:szCs w:val="22"/>
          <w:lang w:eastAsia="en-US"/>
        </w:rPr>
      </w:pPr>
      <w:r w:rsidRPr="005164C7">
        <w:rPr>
          <w:rFonts w:ascii="Palatino Linotype" w:eastAsia="Calibri" w:hAnsi="Palatino Linotype" w:cs="Tahoma"/>
          <w:bCs/>
          <w:color w:val="000000" w:themeColor="text1"/>
          <w:sz w:val="22"/>
          <w:szCs w:val="22"/>
          <w:lang w:eastAsia="en-US"/>
        </w:rPr>
        <w:t>Sin embargo, no se localizó ninguna atribución para poder recibir, recabar o analizar las</w:t>
      </w:r>
      <w:r w:rsidR="00925AC8">
        <w:rPr>
          <w:rFonts w:ascii="Palatino Linotype" w:eastAsia="Calibri" w:hAnsi="Palatino Linotype" w:cs="Tahoma"/>
          <w:bCs/>
          <w:color w:val="000000" w:themeColor="text1"/>
          <w:sz w:val="22"/>
          <w:szCs w:val="22"/>
          <w:lang w:eastAsia="en-US"/>
        </w:rPr>
        <w:t xml:space="preserve"> </w:t>
      </w:r>
      <w:r w:rsidRPr="005164C7">
        <w:rPr>
          <w:rFonts w:ascii="Palatino Linotype" w:eastAsia="Calibri" w:hAnsi="Palatino Linotype" w:cs="Tahoma"/>
          <w:bCs/>
          <w:color w:val="000000" w:themeColor="text1"/>
          <w:sz w:val="22"/>
          <w:szCs w:val="22"/>
          <w:lang w:eastAsia="en-US"/>
        </w:rPr>
        <w:t>declaraciones patrimoniales presentadas por los servidores públicos; por lo que, en</w:t>
      </w:r>
      <w:r w:rsidR="00925AC8">
        <w:rPr>
          <w:rFonts w:ascii="Palatino Linotype" w:eastAsia="Calibri" w:hAnsi="Palatino Linotype" w:cs="Tahoma"/>
          <w:bCs/>
          <w:color w:val="000000" w:themeColor="text1"/>
          <w:sz w:val="22"/>
          <w:szCs w:val="22"/>
          <w:lang w:eastAsia="en-US"/>
        </w:rPr>
        <w:t xml:space="preserve"> </w:t>
      </w:r>
      <w:r w:rsidRPr="005164C7">
        <w:rPr>
          <w:rFonts w:ascii="Palatino Linotype" w:eastAsia="Calibri" w:hAnsi="Palatino Linotype" w:cs="Tahoma"/>
          <w:bCs/>
          <w:color w:val="000000" w:themeColor="text1"/>
          <w:sz w:val="22"/>
          <w:szCs w:val="22"/>
          <w:lang w:eastAsia="en-US"/>
        </w:rPr>
        <w:t>primera</w:t>
      </w:r>
      <w:r w:rsidR="00925AC8">
        <w:rPr>
          <w:rFonts w:ascii="Palatino Linotype" w:eastAsia="Calibri" w:hAnsi="Palatino Linotype" w:cs="Tahoma"/>
          <w:bCs/>
          <w:color w:val="000000" w:themeColor="text1"/>
          <w:sz w:val="22"/>
          <w:szCs w:val="22"/>
          <w:lang w:eastAsia="en-US"/>
        </w:rPr>
        <w:t xml:space="preserve"> </w:t>
      </w:r>
      <w:r w:rsidRPr="005164C7">
        <w:rPr>
          <w:rFonts w:ascii="Palatino Linotype" w:eastAsia="Calibri" w:hAnsi="Palatino Linotype" w:cs="Tahoma"/>
          <w:bCs/>
          <w:color w:val="000000" w:themeColor="text1"/>
          <w:sz w:val="22"/>
          <w:szCs w:val="22"/>
          <w:lang w:eastAsia="en-US"/>
        </w:rPr>
        <w:t>instancia carece de atribuciones para conocer de la información peticionada.</w:t>
      </w:r>
    </w:p>
    <w:p w14:paraId="3D554847" w14:textId="0BC2912E" w:rsidR="00925AC8" w:rsidRDefault="00925AC8" w:rsidP="00925AC8">
      <w:pPr>
        <w:spacing w:line="360" w:lineRule="auto"/>
        <w:jc w:val="both"/>
        <w:rPr>
          <w:rFonts w:ascii="Palatino Linotype" w:eastAsia="Calibri" w:hAnsi="Palatino Linotype" w:cs="Tahoma"/>
          <w:bCs/>
          <w:color w:val="000000" w:themeColor="text1"/>
          <w:sz w:val="22"/>
          <w:szCs w:val="22"/>
          <w:lang w:eastAsia="en-US"/>
        </w:rPr>
      </w:pPr>
    </w:p>
    <w:p w14:paraId="42484CD4" w14:textId="37A8DFCD" w:rsidR="00925AC8" w:rsidRDefault="00925AC8" w:rsidP="00925AC8">
      <w:pPr>
        <w:spacing w:line="360" w:lineRule="auto"/>
        <w:jc w:val="both"/>
        <w:rPr>
          <w:rFonts w:ascii="Palatino Linotype" w:eastAsia="Calibri" w:hAnsi="Palatino Linotype" w:cs="Tahoma"/>
          <w:bCs/>
          <w:color w:val="000000" w:themeColor="text1"/>
          <w:sz w:val="22"/>
          <w:szCs w:val="22"/>
          <w:lang w:eastAsia="en-US"/>
        </w:rPr>
      </w:pPr>
      <w:r w:rsidRPr="00925AC8">
        <w:rPr>
          <w:rFonts w:ascii="Palatino Linotype" w:eastAsia="Calibri" w:hAnsi="Palatino Linotype" w:cs="Tahoma"/>
          <w:bCs/>
          <w:color w:val="000000" w:themeColor="text1"/>
          <w:sz w:val="22"/>
          <w:szCs w:val="22"/>
          <w:lang w:eastAsia="en-US"/>
        </w:rPr>
        <w:t>Lo anterior, toma relevancia, pues conforme a la página oficial de la Secretaría de la Contraloría,</w:t>
      </w:r>
      <w:r>
        <w:rPr>
          <w:rFonts w:ascii="Palatino Linotype" w:eastAsia="Calibri" w:hAnsi="Palatino Linotype" w:cs="Tahoma"/>
          <w:bCs/>
          <w:color w:val="000000" w:themeColor="text1"/>
          <w:sz w:val="22"/>
          <w:szCs w:val="22"/>
          <w:lang w:eastAsia="en-US"/>
        </w:rPr>
        <w:t xml:space="preserve"> </w:t>
      </w:r>
      <w:r w:rsidRPr="00925AC8">
        <w:rPr>
          <w:rFonts w:ascii="Palatino Linotype" w:eastAsia="Calibri" w:hAnsi="Palatino Linotype" w:cs="Tahoma"/>
          <w:bCs/>
          <w:color w:val="000000" w:themeColor="text1"/>
          <w:sz w:val="22"/>
          <w:szCs w:val="22"/>
          <w:lang w:eastAsia="en-US"/>
        </w:rPr>
        <w:t>en el apartado de Declaración Patrimonial y de Intereses (consultada en la liga electrónica</w:t>
      </w:r>
      <w:r>
        <w:rPr>
          <w:rFonts w:ascii="Palatino Linotype" w:eastAsia="Calibri" w:hAnsi="Palatino Linotype" w:cs="Tahoma"/>
          <w:bCs/>
          <w:color w:val="000000" w:themeColor="text1"/>
          <w:sz w:val="22"/>
          <w:szCs w:val="22"/>
          <w:lang w:eastAsia="en-US"/>
        </w:rPr>
        <w:t xml:space="preserve"> </w:t>
      </w:r>
      <w:hyperlink r:id="rId10" w:history="1">
        <w:r w:rsidRPr="0087166C">
          <w:rPr>
            <w:rStyle w:val="Hipervnculo"/>
            <w:rFonts w:ascii="Palatino Linotype" w:eastAsia="Calibri" w:hAnsi="Palatino Linotype" w:cs="Tahoma"/>
            <w:bCs/>
            <w:sz w:val="22"/>
            <w:szCs w:val="22"/>
            <w:lang w:eastAsia="en-US"/>
          </w:rPr>
          <w:t>https://portal.secogem.gob.mx/declaranet</w:t>
        </w:r>
      </w:hyperlink>
      <w:r w:rsidRPr="00925AC8">
        <w:rPr>
          <w:rFonts w:ascii="Palatino Linotype" w:eastAsia="Calibri" w:hAnsi="Palatino Linotype" w:cs="Tahoma"/>
          <w:bCs/>
          <w:color w:val="000000" w:themeColor="text1"/>
          <w:sz w:val="22"/>
          <w:szCs w:val="22"/>
          <w:lang w:eastAsia="en-US"/>
        </w:rPr>
        <w:t>,</w:t>
      </w:r>
      <w:r>
        <w:rPr>
          <w:rFonts w:ascii="Palatino Linotype" w:eastAsia="Calibri" w:hAnsi="Palatino Linotype" w:cs="Tahoma"/>
          <w:bCs/>
          <w:color w:val="000000" w:themeColor="text1"/>
          <w:sz w:val="22"/>
          <w:szCs w:val="22"/>
          <w:lang w:eastAsia="en-US"/>
        </w:rPr>
        <w:t xml:space="preserve"> </w:t>
      </w:r>
      <w:r w:rsidRPr="00925AC8">
        <w:rPr>
          <w:rFonts w:ascii="Palatino Linotype" w:eastAsia="Calibri" w:hAnsi="Palatino Linotype" w:cs="Tahoma"/>
          <w:bCs/>
          <w:color w:val="000000" w:themeColor="text1"/>
          <w:sz w:val="22"/>
          <w:szCs w:val="22"/>
          <w:lang w:eastAsia="en-US"/>
        </w:rPr>
        <w:t xml:space="preserve">el </w:t>
      </w:r>
      <w:r>
        <w:rPr>
          <w:rFonts w:ascii="Palatino Linotype" w:eastAsia="Calibri" w:hAnsi="Palatino Linotype" w:cs="Tahoma"/>
          <w:bCs/>
          <w:color w:val="000000" w:themeColor="text1"/>
          <w:sz w:val="22"/>
          <w:szCs w:val="22"/>
          <w:lang w:eastAsia="en-US"/>
        </w:rPr>
        <w:t>diecinueve</w:t>
      </w:r>
      <w:r w:rsidRPr="00925AC8">
        <w:rPr>
          <w:rFonts w:ascii="Palatino Linotype" w:eastAsia="Calibri" w:hAnsi="Palatino Linotype" w:cs="Tahoma"/>
          <w:bCs/>
          <w:color w:val="000000" w:themeColor="text1"/>
          <w:sz w:val="22"/>
          <w:szCs w:val="22"/>
          <w:lang w:eastAsia="en-US"/>
        </w:rPr>
        <w:t xml:space="preserve"> de </w:t>
      </w:r>
      <w:r>
        <w:rPr>
          <w:rFonts w:ascii="Palatino Linotype" w:eastAsia="Calibri" w:hAnsi="Palatino Linotype" w:cs="Tahoma"/>
          <w:bCs/>
          <w:color w:val="000000" w:themeColor="text1"/>
          <w:sz w:val="22"/>
          <w:szCs w:val="22"/>
          <w:lang w:eastAsia="en-US"/>
        </w:rPr>
        <w:t>agosto</w:t>
      </w:r>
      <w:r w:rsidRPr="00925AC8">
        <w:rPr>
          <w:rFonts w:ascii="Palatino Linotype" w:eastAsia="Calibri" w:hAnsi="Palatino Linotype" w:cs="Tahoma"/>
          <w:bCs/>
          <w:color w:val="000000" w:themeColor="text1"/>
          <w:sz w:val="22"/>
          <w:szCs w:val="22"/>
          <w:lang w:eastAsia="en-US"/>
        </w:rPr>
        <w:t xml:space="preserve"> de dos mil veinti</w:t>
      </w:r>
      <w:r>
        <w:rPr>
          <w:rFonts w:ascii="Palatino Linotype" w:eastAsia="Calibri" w:hAnsi="Palatino Linotype" w:cs="Tahoma"/>
          <w:bCs/>
          <w:color w:val="000000" w:themeColor="text1"/>
          <w:sz w:val="22"/>
          <w:szCs w:val="22"/>
          <w:lang w:eastAsia="en-US"/>
        </w:rPr>
        <w:t>dós</w:t>
      </w:r>
      <w:r w:rsidRPr="00925AC8">
        <w:rPr>
          <w:rFonts w:ascii="Palatino Linotype" w:eastAsia="Calibri" w:hAnsi="Palatino Linotype" w:cs="Tahoma"/>
          <w:bCs/>
          <w:color w:val="000000" w:themeColor="text1"/>
          <w:sz w:val="22"/>
          <w:szCs w:val="22"/>
          <w:lang w:eastAsia="en-US"/>
        </w:rPr>
        <w:t>, a las</w:t>
      </w:r>
      <w:r>
        <w:rPr>
          <w:rFonts w:ascii="Palatino Linotype" w:eastAsia="Calibri" w:hAnsi="Palatino Linotype" w:cs="Tahoma"/>
          <w:bCs/>
          <w:color w:val="000000" w:themeColor="text1"/>
          <w:sz w:val="22"/>
          <w:szCs w:val="22"/>
          <w:lang w:eastAsia="en-US"/>
        </w:rPr>
        <w:t xml:space="preserve"> </w:t>
      </w:r>
      <w:r w:rsidRPr="00925AC8">
        <w:rPr>
          <w:rFonts w:ascii="Palatino Linotype" w:eastAsia="Calibri" w:hAnsi="Palatino Linotype" w:cs="Tahoma"/>
          <w:bCs/>
          <w:color w:val="000000" w:themeColor="text1"/>
          <w:sz w:val="22"/>
          <w:szCs w:val="22"/>
          <w:lang w:eastAsia="en-US"/>
        </w:rPr>
        <w:t xml:space="preserve">trece horas) precisa que dicha dependencia ofrece el portal </w:t>
      </w:r>
      <w:proofErr w:type="spellStart"/>
      <w:r w:rsidRPr="00925AC8">
        <w:rPr>
          <w:rFonts w:ascii="Palatino Linotype" w:eastAsia="Calibri" w:hAnsi="Palatino Linotype" w:cs="Tahoma"/>
          <w:b/>
          <w:color w:val="000000" w:themeColor="text1"/>
          <w:sz w:val="22"/>
          <w:szCs w:val="22"/>
          <w:lang w:eastAsia="en-US"/>
        </w:rPr>
        <w:t>Decl@ranet</w:t>
      </w:r>
      <w:proofErr w:type="spellEnd"/>
      <w:r w:rsidRPr="00925AC8">
        <w:rPr>
          <w:rFonts w:ascii="Palatino Linotype" w:eastAsia="Calibri" w:hAnsi="Palatino Linotype" w:cs="Tahoma"/>
          <w:bCs/>
          <w:color w:val="000000" w:themeColor="text1"/>
          <w:sz w:val="22"/>
          <w:szCs w:val="22"/>
          <w:lang w:eastAsia="en-US"/>
        </w:rPr>
        <w:t>, con la finalidad de</w:t>
      </w:r>
      <w:r>
        <w:rPr>
          <w:rFonts w:ascii="Palatino Linotype" w:eastAsia="Calibri" w:hAnsi="Palatino Linotype" w:cs="Tahoma"/>
          <w:bCs/>
          <w:color w:val="000000" w:themeColor="text1"/>
          <w:sz w:val="22"/>
          <w:szCs w:val="22"/>
          <w:lang w:eastAsia="en-US"/>
        </w:rPr>
        <w:t xml:space="preserve"> </w:t>
      </w:r>
      <w:r w:rsidRPr="00925AC8">
        <w:rPr>
          <w:rFonts w:ascii="Palatino Linotype" w:eastAsia="Calibri" w:hAnsi="Palatino Linotype" w:cs="Tahoma"/>
          <w:bCs/>
          <w:color w:val="000000" w:themeColor="text1"/>
          <w:sz w:val="22"/>
          <w:szCs w:val="22"/>
          <w:lang w:eastAsia="en-US"/>
        </w:rPr>
        <w:t>facilitar a los servidores públicos del Estado de México, presenten su Declaración de Situación</w:t>
      </w:r>
      <w:r>
        <w:rPr>
          <w:rFonts w:ascii="Palatino Linotype" w:eastAsia="Calibri" w:hAnsi="Palatino Linotype" w:cs="Tahoma"/>
          <w:bCs/>
          <w:color w:val="000000" w:themeColor="text1"/>
          <w:sz w:val="22"/>
          <w:szCs w:val="22"/>
          <w:lang w:eastAsia="en-US"/>
        </w:rPr>
        <w:t xml:space="preserve"> </w:t>
      </w:r>
      <w:r w:rsidRPr="00925AC8">
        <w:rPr>
          <w:rFonts w:ascii="Palatino Linotype" w:eastAsia="Calibri" w:hAnsi="Palatino Linotype" w:cs="Tahoma"/>
          <w:bCs/>
          <w:color w:val="000000" w:themeColor="text1"/>
          <w:sz w:val="22"/>
          <w:szCs w:val="22"/>
          <w:lang w:eastAsia="en-US"/>
        </w:rPr>
        <w:t>Patrimonial, Declaración de Intereses o Posible Conflicto de Intereses y presentación de</w:t>
      </w:r>
      <w:r>
        <w:rPr>
          <w:rFonts w:ascii="Palatino Linotype" w:eastAsia="Calibri" w:hAnsi="Palatino Linotype" w:cs="Tahoma"/>
          <w:bCs/>
          <w:color w:val="000000" w:themeColor="text1"/>
          <w:sz w:val="22"/>
          <w:szCs w:val="22"/>
          <w:lang w:eastAsia="en-US"/>
        </w:rPr>
        <w:t xml:space="preserve"> </w:t>
      </w:r>
      <w:r w:rsidRPr="00925AC8">
        <w:rPr>
          <w:rFonts w:ascii="Palatino Linotype" w:eastAsia="Calibri" w:hAnsi="Palatino Linotype" w:cs="Tahoma"/>
          <w:bCs/>
          <w:color w:val="000000" w:themeColor="text1"/>
          <w:sz w:val="22"/>
          <w:szCs w:val="22"/>
          <w:lang w:eastAsia="en-US"/>
        </w:rPr>
        <w:t>Constancia de Declaración Fiscal.</w:t>
      </w:r>
      <w:r w:rsidRPr="00925AC8">
        <w:rPr>
          <w:rFonts w:ascii="Palatino Linotype" w:eastAsia="Calibri" w:hAnsi="Palatino Linotype" w:cs="Tahoma"/>
          <w:bCs/>
          <w:color w:val="000000" w:themeColor="text1"/>
          <w:sz w:val="22"/>
          <w:szCs w:val="22"/>
          <w:lang w:eastAsia="en-US"/>
        </w:rPr>
        <w:cr/>
      </w:r>
    </w:p>
    <w:p w14:paraId="649E7BFC" w14:textId="0F91527C" w:rsidR="00925AC8" w:rsidRDefault="00925AC8" w:rsidP="00925AC8">
      <w:pPr>
        <w:spacing w:line="360" w:lineRule="auto"/>
        <w:jc w:val="both"/>
        <w:rPr>
          <w:rFonts w:ascii="Palatino Linotype" w:eastAsia="Calibri" w:hAnsi="Palatino Linotype" w:cs="Tahoma"/>
          <w:bCs/>
          <w:color w:val="000000" w:themeColor="text1"/>
          <w:sz w:val="22"/>
          <w:szCs w:val="22"/>
          <w:lang w:eastAsia="en-US"/>
        </w:rPr>
      </w:pPr>
      <w:r w:rsidRPr="00925AC8">
        <w:rPr>
          <w:rFonts w:ascii="Palatino Linotype" w:eastAsia="Calibri" w:hAnsi="Palatino Linotype" w:cs="Tahoma"/>
          <w:bCs/>
          <w:color w:val="000000" w:themeColor="text1"/>
          <w:sz w:val="22"/>
          <w:szCs w:val="22"/>
          <w:lang w:eastAsia="en-US"/>
        </w:rPr>
        <w:t xml:space="preserve">Además, que el díptico denominado “Sistema </w:t>
      </w:r>
      <w:proofErr w:type="spellStart"/>
      <w:r w:rsidRPr="00925AC8">
        <w:rPr>
          <w:rFonts w:ascii="Palatino Linotype" w:eastAsia="Calibri" w:hAnsi="Palatino Linotype" w:cs="Tahoma"/>
          <w:bCs/>
          <w:color w:val="000000" w:themeColor="text1"/>
          <w:sz w:val="22"/>
          <w:szCs w:val="22"/>
          <w:lang w:eastAsia="en-US"/>
        </w:rPr>
        <w:t>Declaranet</w:t>
      </w:r>
      <w:proofErr w:type="spellEnd"/>
      <w:r w:rsidRPr="00925AC8">
        <w:rPr>
          <w:rFonts w:ascii="Palatino Linotype" w:eastAsia="Calibri" w:hAnsi="Palatino Linotype" w:cs="Tahoma"/>
          <w:bCs/>
          <w:color w:val="000000" w:themeColor="text1"/>
          <w:sz w:val="22"/>
          <w:szCs w:val="22"/>
          <w:lang w:eastAsia="en-US"/>
        </w:rPr>
        <w:t>” (consultado el día previamente</w:t>
      </w:r>
      <w:r>
        <w:rPr>
          <w:rFonts w:ascii="Palatino Linotype" w:eastAsia="Calibri" w:hAnsi="Palatino Linotype" w:cs="Tahoma"/>
          <w:bCs/>
          <w:color w:val="000000" w:themeColor="text1"/>
          <w:sz w:val="22"/>
          <w:szCs w:val="22"/>
          <w:lang w:eastAsia="en-US"/>
        </w:rPr>
        <w:t xml:space="preserve"> </w:t>
      </w:r>
      <w:r w:rsidRPr="00925AC8">
        <w:rPr>
          <w:rFonts w:ascii="Palatino Linotype" w:eastAsia="Calibri" w:hAnsi="Palatino Linotype" w:cs="Tahoma"/>
          <w:bCs/>
          <w:color w:val="000000" w:themeColor="text1"/>
          <w:sz w:val="22"/>
          <w:szCs w:val="22"/>
          <w:lang w:eastAsia="en-US"/>
        </w:rPr>
        <w:t xml:space="preserve">referido, en la liga </w:t>
      </w:r>
      <w:hyperlink r:id="rId11" w:history="1">
        <w:r w:rsidRPr="0087166C">
          <w:rPr>
            <w:rStyle w:val="Hipervnculo"/>
            <w:rFonts w:ascii="Palatino Linotype" w:eastAsia="Calibri" w:hAnsi="Palatino Linotype" w:cs="Tahoma"/>
            <w:bCs/>
            <w:sz w:val="22"/>
            <w:szCs w:val="22"/>
            <w:lang w:eastAsia="en-US"/>
          </w:rPr>
          <w:t>http://www.edomex.gob.mx/sites/edomex.gob.mx/files/files/39.pdf</w:t>
        </w:r>
      </w:hyperlink>
      <w:r w:rsidRPr="00925AC8">
        <w:rPr>
          <w:rFonts w:ascii="Palatino Linotype" w:eastAsia="Calibri" w:hAnsi="Palatino Linotype" w:cs="Tahoma"/>
          <w:bCs/>
          <w:color w:val="000000" w:themeColor="text1"/>
          <w:sz w:val="22"/>
          <w:szCs w:val="22"/>
          <w:lang w:eastAsia="en-US"/>
        </w:rPr>
        <w:t>),</w:t>
      </w:r>
      <w:r>
        <w:rPr>
          <w:rFonts w:ascii="Palatino Linotype" w:eastAsia="Calibri" w:hAnsi="Palatino Linotype" w:cs="Tahoma"/>
          <w:bCs/>
          <w:color w:val="000000" w:themeColor="text1"/>
          <w:sz w:val="22"/>
          <w:szCs w:val="22"/>
          <w:lang w:eastAsia="en-US"/>
        </w:rPr>
        <w:t xml:space="preserve"> </w:t>
      </w:r>
      <w:r w:rsidRPr="00925AC8">
        <w:rPr>
          <w:rFonts w:ascii="Palatino Linotype" w:eastAsia="Calibri" w:hAnsi="Palatino Linotype" w:cs="Tahoma"/>
          <w:bCs/>
          <w:color w:val="000000" w:themeColor="text1"/>
          <w:sz w:val="22"/>
          <w:szCs w:val="22"/>
          <w:lang w:eastAsia="en-US"/>
        </w:rPr>
        <w:t xml:space="preserve">precisa que dicho sistema es administrado por la </w:t>
      </w:r>
      <w:r w:rsidRPr="00925AC8">
        <w:rPr>
          <w:rFonts w:ascii="Palatino Linotype" w:eastAsia="Calibri" w:hAnsi="Palatino Linotype" w:cs="Tahoma"/>
          <w:b/>
          <w:color w:val="000000" w:themeColor="text1"/>
          <w:sz w:val="22"/>
          <w:szCs w:val="22"/>
          <w:lang w:eastAsia="en-US"/>
        </w:rPr>
        <w:t>Secretaría de la Contraloría</w:t>
      </w:r>
      <w:r w:rsidRPr="00925AC8">
        <w:rPr>
          <w:rFonts w:ascii="Palatino Linotype" w:eastAsia="Calibri" w:hAnsi="Palatino Linotype" w:cs="Tahoma"/>
          <w:bCs/>
          <w:color w:val="000000" w:themeColor="text1"/>
          <w:sz w:val="22"/>
          <w:szCs w:val="22"/>
          <w:lang w:eastAsia="en-US"/>
        </w:rPr>
        <w:t>, y cuyo fin es los</w:t>
      </w:r>
      <w:r>
        <w:rPr>
          <w:rFonts w:ascii="Palatino Linotype" w:eastAsia="Calibri" w:hAnsi="Palatino Linotype" w:cs="Tahoma"/>
          <w:bCs/>
          <w:color w:val="000000" w:themeColor="text1"/>
          <w:sz w:val="22"/>
          <w:szCs w:val="22"/>
          <w:lang w:eastAsia="en-US"/>
        </w:rPr>
        <w:t xml:space="preserve"> </w:t>
      </w:r>
      <w:r w:rsidRPr="00925AC8">
        <w:rPr>
          <w:rFonts w:ascii="Palatino Linotype" w:eastAsia="Calibri" w:hAnsi="Palatino Linotype" w:cs="Tahoma"/>
          <w:bCs/>
          <w:color w:val="000000" w:themeColor="text1"/>
          <w:sz w:val="22"/>
          <w:szCs w:val="22"/>
          <w:lang w:eastAsia="en-US"/>
        </w:rPr>
        <w:t>servidores públicos del Poder Ejecutivo y los ciento veinticinco Ayuntamientos, presenten su</w:t>
      </w:r>
      <w:r>
        <w:rPr>
          <w:rFonts w:ascii="Palatino Linotype" w:eastAsia="Calibri" w:hAnsi="Palatino Linotype" w:cs="Tahoma"/>
          <w:bCs/>
          <w:color w:val="000000" w:themeColor="text1"/>
          <w:sz w:val="22"/>
          <w:szCs w:val="22"/>
          <w:lang w:eastAsia="en-US"/>
        </w:rPr>
        <w:t xml:space="preserve"> </w:t>
      </w:r>
      <w:r w:rsidRPr="00925AC8">
        <w:rPr>
          <w:rFonts w:ascii="Palatino Linotype" w:eastAsia="Calibri" w:hAnsi="Palatino Linotype" w:cs="Tahoma"/>
          <w:bCs/>
          <w:color w:val="000000" w:themeColor="text1"/>
          <w:sz w:val="22"/>
          <w:szCs w:val="22"/>
          <w:lang w:eastAsia="en-US"/>
        </w:rPr>
        <w:t>Manifestación de Bienes o Declaración Patrimonial.</w:t>
      </w:r>
    </w:p>
    <w:p w14:paraId="5516087B" w14:textId="495041AE" w:rsidR="004C23F8" w:rsidRDefault="004C23F8" w:rsidP="00925AC8">
      <w:pPr>
        <w:spacing w:line="360" w:lineRule="auto"/>
        <w:jc w:val="both"/>
        <w:rPr>
          <w:rFonts w:ascii="Palatino Linotype" w:eastAsia="Calibri" w:hAnsi="Palatino Linotype" w:cs="Tahoma"/>
          <w:bCs/>
          <w:color w:val="000000" w:themeColor="text1"/>
          <w:sz w:val="22"/>
          <w:szCs w:val="22"/>
          <w:lang w:eastAsia="en-US"/>
        </w:rPr>
      </w:pPr>
    </w:p>
    <w:p w14:paraId="26F406F6" w14:textId="5A47699F" w:rsidR="004C23F8" w:rsidRPr="004C23F8" w:rsidRDefault="004C23F8" w:rsidP="004C23F8">
      <w:pPr>
        <w:spacing w:line="360" w:lineRule="auto"/>
        <w:jc w:val="both"/>
        <w:rPr>
          <w:rFonts w:ascii="Palatino Linotype" w:eastAsia="Calibri" w:hAnsi="Palatino Linotype" w:cs="Tahoma"/>
          <w:bCs/>
          <w:color w:val="000000" w:themeColor="text1"/>
          <w:sz w:val="22"/>
          <w:szCs w:val="22"/>
          <w:lang w:eastAsia="en-US"/>
        </w:rPr>
      </w:pPr>
      <w:r w:rsidRPr="004C23F8">
        <w:rPr>
          <w:rFonts w:ascii="Palatino Linotype" w:eastAsia="Calibri" w:hAnsi="Palatino Linotype" w:cs="Tahoma"/>
          <w:bCs/>
          <w:color w:val="000000" w:themeColor="text1"/>
          <w:sz w:val="22"/>
          <w:szCs w:val="22"/>
          <w:lang w:eastAsia="en-US"/>
        </w:rPr>
        <w:t xml:space="preserve">Como se logra observar, el </w:t>
      </w:r>
      <w:r w:rsidRPr="00E4341A">
        <w:rPr>
          <w:rFonts w:ascii="Palatino Linotype" w:eastAsia="Calibri" w:hAnsi="Palatino Linotype" w:cs="Tahoma"/>
          <w:bCs/>
          <w:color w:val="000000" w:themeColor="text1"/>
          <w:sz w:val="22"/>
          <w:szCs w:val="22"/>
          <w:lang w:eastAsia="en-US"/>
        </w:rPr>
        <w:t xml:space="preserve">Sistema </w:t>
      </w:r>
      <w:proofErr w:type="spellStart"/>
      <w:r w:rsidRPr="00E4341A">
        <w:rPr>
          <w:rFonts w:ascii="Palatino Linotype" w:eastAsia="Calibri" w:hAnsi="Palatino Linotype" w:cs="Tahoma"/>
          <w:bCs/>
          <w:color w:val="000000" w:themeColor="text1"/>
          <w:sz w:val="22"/>
          <w:szCs w:val="22"/>
          <w:lang w:eastAsia="en-US"/>
        </w:rPr>
        <w:t>Decl@ranet</w:t>
      </w:r>
      <w:proofErr w:type="spellEnd"/>
      <w:r w:rsidRPr="004C23F8">
        <w:rPr>
          <w:rFonts w:ascii="Palatino Linotype" w:eastAsia="Calibri" w:hAnsi="Palatino Linotype" w:cs="Tahoma"/>
          <w:bCs/>
          <w:color w:val="000000" w:themeColor="text1"/>
          <w:sz w:val="22"/>
          <w:szCs w:val="22"/>
          <w:lang w:eastAsia="en-US"/>
        </w:rPr>
        <w:t>, es administrado y operado únicamente por la</w:t>
      </w:r>
      <w:r>
        <w:rPr>
          <w:rFonts w:ascii="Palatino Linotype" w:eastAsia="Calibri" w:hAnsi="Palatino Linotype" w:cs="Tahoma"/>
          <w:bCs/>
          <w:color w:val="000000" w:themeColor="text1"/>
          <w:sz w:val="22"/>
          <w:szCs w:val="22"/>
          <w:lang w:eastAsia="en-US"/>
        </w:rPr>
        <w:t xml:space="preserve"> </w:t>
      </w:r>
      <w:r w:rsidRPr="004C23F8">
        <w:rPr>
          <w:rFonts w:ascii="Palatino Linotype" w:eastAsia="Calibri" w:hAnsi="Palatino Linotype" w:cs="Tahoma"/>
          <w:bCs/>
          <w:color w:val="000000" w:themeColor="text1"/>
          <w:sz w:val="22"/>
          <w:szCs w:val="22"/>
          <w:lang w:eastAsia="en-US"/>
        </w:rPr>
        <w:t>Secretaría de la Contraloría, por lo que, es la única dependencia que tiene acceso a las</w:t>
      </w:r>
      <w:r>
        <w:rPr>
          <w:rFonts w:ascii="Palatino Linotype" w:eastAsia="Calibri" w:hAnsi="Palatino Linotype" w:cs="Tahoma"/>
          <w:bCs/>
          <w:color w:val="000000" w:themeColor="text1"/>
          <w:sz w:val="22"/>
          <w:szCs w:val="22"/>
          <w:lang w:eastAsia="en-US"/>
        </w:rPr>
        <w:t xml:space="preserve"> </w:t>
      </w:r>
      <w:r w:rsidRPr="004C23F8">
        <w:rPr>
          <w:rFonts w:ascii="Palatino Linotype" w:eastAsia="Calibri" w:hAnsi="Palatino Linotype" w:cs="Tahoma"/>
          <w:bCs/>
          <w:color w:val="000000" w:themeColor="text1"/>
          <w:sz w:val="22"/>
          <w:szCs w:val="22"/>
          <w:lang w:eastAsia="en-US"/>
        </w:rPr>
        <w:t>declaraciones presentadas por dicha plataforma; situación que se robustece con el Manual</w:t>
      </w:r>
    </w:p>
    <w:p w14:paraId="26F498BD" w14:textId="0B086B2D" w:rsidR="004C23F8" w:rsidRPr="004C23F8" w:rsidRDefault="004C23F8" w:rsidP="004C23F8">
      <w:pPr>
        <w:spacing w:line="360" w:lineRule="auto"/>
        <w:jc w:val="both"/>
        <w:rPr>
          <w:rFonts w:ascii="Palatino Linotype" w:eastAsia="Calibri" w:hAnsi="Palatino Linotype" w:cs="Tahoma"/>
          <w:b/>
          <w:color w:val="000000" w:themeColor="text1"/>
          <w:sz w:val="22"/>
          <w:szCs w:val="22"/>
          <w:lang w:eastAsia="en-US"/>
        </w:rPr>
      </w:pPr>
      <w:r w:rsidRPr="004C23F8">
        <w:rPr>
          <w:rFonts w:ascii="Palatino Linotype" w:eastAsia="Calibri" w:hAnsi="Palatino Linotype" w:cs="Tahoma"/>
          <w:bCs/>
          <w:color w:val="000000" w:themeColor="text1"/>
          <w:sz w:val="22"/>
          <w:szCs w:val="22"/>
          <w:lang w:eastAsia="en-US"/>
        </w:rPr>
        <w:t xml:space="preserve">General de Organización de la </w:t>
      </w:r>
      <w:r w:rsidRPr="004C23F8">
        <w:rPr>
          <w:rFonts w:ascii="Palatino Linotype" w:eastAsia="Calibri" w:hAnsi="Palatino Linotype" w:cs="Tahoma"/>
          <w:b/>
          <w:color w:val="000000" w:themeColor="text1"/>
          <w:sz w:val="22"/>
          <w:szCs w:val="22"/>
          <w:lang w:eastAsia="en-US"/>
        </w:rPr>
        <w:t>Secretaría de la Contraloría</w:t>
      </w:r>
      <w:r w:rsidRPr="004C23F8">
        <w:rPr>
          <w:rFonts w:ascii="Palatino Linotype" w:eastAsia="Calibri" w:hAnsi="Palatino Linotype" w:cs="Tahoma"/>
          <w:bCs/>
          <w:color w:val="000000" w:themeColor="text1"/>
          <w:sz w:val="22"/>
          <w:szCs w:val="22"/>
          <w:lang w:eastAsia="en-US"/>
        </w:rPr>
        <w:t>, que precisa que dicha dependencia</w:t>
      </w:r>
      <w:r>
        <w:rPr>
          <w:rFonts w:ascii="Palatino Linotype" w:eastAsia="Calibri" w:hAnsi="Palatino Linotype" w:cs="Tahoma"/>
          <w:bCs/>
          <w:color w:val="000000" w:themeColor="text1"/>
          <w:sz w:val="22"/>
          <w:szCs w:val="22"/>
          <w:lang w:eastAsia="en-US"/>
        </w:rPr>
        <w:t xml:space="preserve"> </w:t>
      </w:r>
      <w:r w:rsidRPr="004C23F8">
        <w:rPr>
          <w:rFonts w:ascii="Palatino Linotype" w:eastAsia="Calibri" w:hAnsi="Palatino Linotype" w:cs="Tahoma"/>
          <w:bCs/>
          <w:color w:val="000000" w:themeColor="text1"/>
          <w:sz w:val="22"/>
          <w:szCs w:val="22"/>
          <w:lang w:eastAsia="en-US"/>
        </w:rPr>
        <w:t>cuenta con diversas unidades administrativas para el ejercicio de sus funciones, entre las cuales</w:t>
      </w:r>
      <w:r>
        <w:rPr>
          <w:rFonts w:ascii="Palatino Linotype" w:eastAsia="Calibri" w:hAnsi="Palatino Linotype" w:cs="Tahoma"/>
          <w:bCs/>
          <w:color w:val="000000" w:themeColor="text1"/>
          <w:sz w:val="22"/>
          <w:szCs w:val="22"/>
          <w:lang w:eastAsia="en-US"/>
        </w:rPr>
        <w:t xml:space="preserve"> </w:t>
      </w:r>
      <w:r w:rsidRPr="004C23F8">
        <w:rPr>
          <w:rFonts w:ascii="Palatino Linotype" w:eastAsia="Calibri" w:hAnsi="Palatino Linotype" w:cs="Tahoma"/>
          <w:bCs/>
          <w:color w:val="000000" w:themeColor="text1"/>
          <w:sz w:val="22"/>
          <w:szCs w:val="22"/>
          <w:lang w:eastAsia="en-US"/>
        </w:rPr>
        <w:t xml:space="preserve">se encuentra la </w:t>
      </w:r>
      <w:r w:rsidRPr="004C23F8">
        <w:rPr>
          <w:rFonts w:ascii="Palatino Linotype" w:eastAsia="Calibri" w:hAnsi="Palatino Linotype" w:cs="Tahoma"/>
          <w:b/>
          <w:color w:val="000000" w:themeColor="text1"/>
          <w:sz w:val="22"/>
          <w:szCs w:val="22"/>
          <w:lang w:eastAsia="en-US"/>
        </w:rPr>
        <w:t xml:space="preserve">Dirección de Registro de Declaraciones y de </w:t>
      </w:r>
      <w:r w:rsidRPr="004C23F8">
        <w:rPr>
          <w:rFonts w:ascii="Palatino Linotype" w:eastAsia="Calibri" w:hAnsi="Palatino Linotype" w:cs="Tahoma"/>
          <w:b/>
          <w:color w:val="000000" w:themeColor="text1"/>
          <w:sz w:val="22"/>
          <w:szCs w:val="22"/>
          <w:lang w:eastAsia="en-US"/>
        </w:rPr>
        <w:lastRenderedPageBreak/>
        <w:t>Sanciones, encargada de realizar la recepción, registro y resguardo de las declaraciones de situación patrimonial de los servidores públicos de las Administraciones Públicas Estatal y Municipal.</w:t>
      </w:r>
    </w:p>
    <w:p w14:paraId="5D0463B4" w14:textId="0C71DFBD" w:rsidR="004C23F8" w:rsidRDefault="004C23F8" w:rsidP="004C23F8">
      <w:pPr>
        <w:spacing w:line="360" w:lineRule="auto"/>
        <w:jc w:val="both"/>
        <w:rPr>
          <w:rFonts w:ascii="Palatino Linotype" w:eastAsia="Calibri" w:hAnsi="Palatino Linotype" w:cs="Tahoma"/>
          <w:bCs/>
          <w:color w:val="000000" w:themeColor="text1"/>
          <w:sz w:val="22"/>
          <w:szCs w:val="22"/>
          <w:lang w:eastAsia="en-US"/>
        </w:rPr>
      </w:pPr>
    </w:p>
    <w:p w14:paraId="728A5A3D" w14:textId="20AE5842" w:rsidR="003B4D47" w:rsidRDefault="003B4D47" w:rsidP="003B4D47">
      <w:pPr>
        <w:spacing w:line="360" w:lineRule="auto"/>
        <w:jc w:val="both"/>
        <w:rPr>
          <w:rFonts w:ascii="Palatino Linotype" w:hAnsi="Palatino Linotype" w:cs="Tahoma"/>
          <w:bCs/>
          <w:iCs/>
          <w:sz w:val="22"/>
          <w:szCs w:val="22"/>
        </w:rPr>
      </w:pPr>
      <w:r w:rsidRPr="00BD0552">
        <w:rPr>
          <w:rFonts w:ascii="Palatino Linotype" w:hAnsi="Palatino Linotype" w:cs="Tahoma"/>
          <w:bCs/>
          <w:iCs/>
          <w:sz w:val="22"/>
          <w:szCs w:val="22"/>
        </w:rPr>
        <w:t xml:space="preserve">Conforme a lo anterior, se logra vislumbrar </w:t>
      </w:r>
      <w:r w:rsidR="00E4341A">
        <w:rPr>
          <w:rFonts w:ascii="Palatino Linotype" w:hAnsi="Palatino Linotype" w:cs="Tahoma"/>
          <w:bCs/>
          <w:iCs/>
          <w:sz w:val="22"/>
          <w:szCs w:val="22"/>
        </w:rPr>
        <w:t>que el Sujeto Obligado es notoriamente incompetente</w:t>
      </w:r>
      <w:r w:rsidRPr="00BD0552">
        <w:rPr>
          <w:rFonts w:ascii="Palatino Linotype" w:hAnsi="Palatino Linotype" w:cs="Tahoma"/>
          <w:b/>
          <w:bCs/>
          <w:iCs/>
          <w:sz w:val="22"/>
          <w:szCs w:val="22"/>
        </w:rPr>
        <w:t xml:space="preserve"> </w:t>
      </w:r>
      <w:r w:rsidRPr="00BD0552">
        <w:rPr>
          <w:rFonts w:ascii="Palatino Linotype" w:hAnsi="Palatino Linotype" w:cs="Tahoma"/>
          <w:bCs/>
          <w:iCs/>
          <w:sz w:val="22"/>
          <w:szCs w:val="22"/>
        </w:rPr>
        <w:t>para conocer de la información requerida, pues el encargado de recibir, registrar y resguardarlas declaraciones patrimoniales de los Ayuntamientos, incluyendo al Sujeto Obligado, es únicamente la Secretaría de la Contraloría</w:t>
      </w:r>
      <w:r w:rsidR="00E4341A">
        <w:rPr>
          <w:rFonts w:ascii="Palatino Linotype" w:hAnsi="Palatino Linotype" w:cs="Tahoma"/>
          <w:bCs/>
          <w:iCs/>
          <w:sz w:val="22"/>
          <w:szCs w:val="22"/>
        </w:rPr>
        <w:t xml:space="preserve">. Situación que se robustece con el Acuerdo </w:t>
      </w:r>
      <w:r w:rsidR="00E4341A">
        <w:rPr>
          <w:rFonts w:ascii="Palatino Linotype" w:eastAsiaTheme="minorHAnsi" w:hAnsi="Palatino Linotype" w:cs="Tahoma"/>
          <w:bCs/>
          <w:color w:val="000000" w:themeColor="text1"/>
          <w:sz w:val="22"/>
          <w:szCs w:val="22"/>
          <w:lang w:val="es-ES" w:eastAsia="en-US"/>
        </w:rPr>
        <w:t>CT-ST/02/EXT/03/2022</w:t>
      </w:r>
      <w:r w:rsidR="00E4341A">
        <w:rPr>
          <w:rFonts w:ascii="Palatino Linotype" w:eastAsiaTheme="minorHAnsi" w:hAnsi="Palatino Linotype" w:cs="Tahoma"/>
          <w:bCs/>
          <w:color w:val="000000" w:themeColor="text1"/>
          <w:sz w:val="22"/>
          <w:szCs w:val="22"/>
          <w:lang w:val="es-ES" w:eastAsia="en-US"/>
        </w:rPr>
        <w:t>, mediante el cual el Comité de Transparencia, confirma la incompetencia aludida.</w:t>
      </w:r>
    </w:p>
    <w:p w14:paraId="096CF0D9" w14:textId="3360702D" w:rsidR="00AD49A5" w:rsidRDefault="00AD49A5" w:rsidP="00AD49A5">
      <w:pPr>
        <w:spacing w:line="360" w:lineRule="auto"/>
        <w:jc w:val="both"/>
        <w:rPr>
          <w:rFonts w:ascii="Palatino Linotype" w:eastAsia="Calibri" w:hAnsi="Palatino Linotype" w:cs="Tahoma"/>
          <w:bCs/>
          <w:color w:val="000000" w:themeColor="text1"/>
          <w:sz w:val="22"/>
          <w:szCs w:val="22"/>
          <w:lang w:eastAsia="en-US"/>
        </w:rPr>
      </w:pPr>
    </w:p>
    <w:p w14:paraId="49272225" w14:textId="77777777" w:rsidR="00E4341A" w:rsidRPr="00E4341A" w:rsidRDefault="00E4341A" w:rsidP="00E4341A">
      <w:pPr>
        <w:spacing w:line="360" w:lineRule="auto"/>
        <w:jc w:val="both"/>
        <w:rPr>
          <w:rFonts w:ascii="Palatino Linotype" w:hAnsi="Palatino Linotype" w:cs="Tahoma"/>
          <w:bCs/>
          <w:iCs/>
          <w:sz w:val="22"/>
          <w:szCs w:val="22"/>
        </w:rPr>
      </w:pPr>
      <w:r w:rsidRPr="00E4341A">
        <w:rPr>
          <w:rFonts w:ascii="Palatino Linotype" w:hAnsi="Palatino Linotype" w:cs="Tahoma"/>
          <w:bCs/>
          <w:iCs/>
          <w:sz w:val="22"/>
          <w:szCs w:val="22"/>
        </w:rPr>
        <w:t>En ese orden de ideas, es de recordar que el primer párrafo del artículo 167 de la Ley de Transparencia y Acceso a la Información Pública del Estado de México y Municipios, establece que cuando las unidades de transparencia determinen la notoria incompetencia deben realizar lo siguiente:</w:t>
      </w:r>
    </w:p>
    <w:p w14:paraId="7D55D275" w14:textId="77777777" w:rsidR="00E4341A" w:rsidRPr="00E4341A" w:rsidRDefault="00E4341A" w:rsidP="00E4341A">
      <w:pPr>
        <w:spacing w:line="360" w:lineRule="auto"/>
        <w:jc w:val="both"/>
        <w:rPr>
          <w:rFonts w:ascii="Palatino Linotype" w:hAnsi="Palatino Linotype" w:cs="Tahoma"/>
          <w:bCs/>
          <w:iCs/>
          <w:sz w:val="22"/>
          <w:szCs w:val="22"/>
        </w:rPr>
      </w:pPr>
    </w:p>
    <w:p w14:paraId="6077DDB8" w14:textId="77777777" w:rsidR="00E4341A" w:rsidRPr="00E4341A" w:rsidRDefault="00E4341A" w:rsidP="00E4341A">
      <w:pPr>
        <w:numPr>
          <w:ilvl w:val="0"/>
          <w:numId w:val="25"/>
        </w:numPr>
        <w:spacing w:line="360" w:lineRule="auto"/>
        <w:jc w:val="both"/>
        <w:rPr>
          <w:rFonts w:ascii="Palatino Linotype" w:hAnsi="Palatino Linotype" w:cs="Tahoma"/>
          <w:bCs/>
          <w:iCs/>
          <w:sz w:val="22"/>
          <w:szCs w:val="22"/>
        </w:rPr>
      </w:pPr>
      <w:r w:rsidRPr="00E4341A">
        <w:rPr>
          <w:rFonts w:ascii="Palatino Linotype" w:hAnsi="Palatino Linotype" w:cs="Tahoma"/>
          <w:bCs/>
          <w:iCs/>
          <w:sz w:val="22"/>
          <w:szCs w:val="22"/>
        </w:rPr>
        <w:t>Hacerlo del conocimiento del Particular, dentro de los tres días hábiles, posteriores a la presentación de la solicitud de información, y</w:t>
      </w:r>
    </w:p>
    <w:p w14:paraId="7181C890" w14:textId="77777777" w:rsidR="00E4341A" w:rsidRPr="00E4341A" w:rsidRDefault="00E4341A" w:rsidP="00E4341A">
      <w:pPr>
        <w:spacing w:line="360" w:lineRule="auto"/>
        <w:jc w:val="both"/>
        <w:rPr>
          <w:rFonts w:ascii="Palatino Linotype" w:hAnsi="Palatino Linotype" w:cs="Tahoma"/>
          <w:bCs/>
          <w:iCs/>
          <w:sz w:val="22"/>
          <w:szCs w:val="22"/>
        </w:rPr>
      </w:pPr>
    </w:p>
    <w:p w14:paraId="1AF82BA9" w14:textId="77777777" w:rsidR="00E4341A" w:rsidRPr="00E4341A" w:rsidRDefault="00E4341A" w:rsidP="00E4341A">
      <w:pPr>
        <w:numPr>
          <w:ilvl w:val="0"/>
          <w:numId w:val="25"/>
        </w:numPr>
        <w:spacing w:line="360" w:lineRule="auto"/>
        <w:jc w:val="both"/>
        <w:rPr>
          <w:rFonts w:ascii="Palatino Linotype" w:hAnsi="Palatino Linotype" w:cs="Tahoma"/>
          <w:bCs/>
          <w:iCs/>
          <w:sz w:val="22"/>
          <w:szCs w:val="22"/>
        </w:rPr>
      </w:pPr>
      <w:r w:rsidRPr="00E4341A">
        <w:rPr>
          <w:rFonts w:ascii="Palatino Linotype" w:hAnsi="Palatino Linotype" w:cs="Tahoma"/>
          <w:bCs/>
          <w:iCs/>
          <w:sz w:val="22"/>
          <w:szCs w:val="22"/>
        </w:rPr>
        <w:t>En caso de conocer el Sujeto Obligado competente, orientarlo a presentar la solicitud ante el mismo.</w:t>
      </w:r>
    </w:p>
    <w:p w14:paraId="3DAFA2E0" w14:textId="77777777" w:rsidR="00E4341A" w:rsidRPr="00E4341A" w:rsidRDefault="00E4341A" w:rsidP="00E4341A">
      <w:pPr>
        <w:spacing w:line="360" w:lineRule="auto"/>
        <w:jc w:val="both"/>
        <w:rPr>
          <w:rFonts w:ascii="Palatino Linotype" w:hAnsi="Palatino Linotype" w:cs="Tahoma"/>
          <w:bCs/>
          <w:iCs/>
          <w:sz w:val="22"/>
          <w:szCs w:val="22"/>
        </w:rPr>
      </w:pPr>
    </w:p>
    <w:p w14:paraId="160832DC" w14:textId="16C697B6" w:rsidR="00E4341A" w:rsidRPr="00E4341A" w:rsidRDefault="00E4341A" w:rsidP="00E4341A">
      <w:pPr>
        <w:spacing w:line="360" w:lineRule="auto"/>
        <w:jc w:val="both"/>
        <w:rPr>
          <w:rFonts w:ascii="Palatino Linotype" w:hAnsi="Palatino Linotype" w:cs="Tahoma"/>
          <w:bCs/>
          <w:iCs/>
          <w:sz w:val="22"/>
          <w:szCs w:val="22"/>
        </w:rPr>
      </w:pPr>
      <w:r w:rsidRPr="00E4341A">
        <w:rPr>
          <w:rFonts w:ascii="Palatino Linotype" w:hAnsi="Palatino Linotype" w:cs="Tahoma"/>
          <w:bCs/>
          <w:iCs/>
          <w:sz w:val="22"/>
          <w:szCs w:val="22"/>
        </w:rPr>
        <w:t>En el presente caso, de la revisión de las constancias del expediente electrónico, localizado en el Sistema de Acceso a la Información Mexiquense (SAIMEX), se advierte que el Ente Recurrido, cumplió con los dos parámetros previamente establecidos, pues dio contestación dentro de los tres días hábiles posteriores a la presentación del requerimiento</w:t>
      </w:r>
      <w:r w:rsidRPr="00E4341A">
        <w:rPr>
          <w:rFonts w:ascii="Palatino Linotype" w:hAnsi="Palatino Linotype" w:cs="Tahoma"/>
          <w:bCs/>
          <w:iCs/>
          <w:sz w:val="22"/>
          <w:szCs w:val="22"/>
          <w:lang w:val="es-ES"/>
        </w:rPr>
        <w:t xml:space="preserve">, además, de </w:t>
      </w:r>
      <w:r w:rsidRPr="00E4341A">
        <w:rPr>
          <w:rFonts w:ascii="Palatino Linotype" w:hAnsi="Palatino Linotype" w:cs="Tahoma"/>
          <w:bCs/>
          <w:iCs/>
          <w:sz w:val="22"/>
          <w:szCs w:val="22"/>
          <w:lang w:val="es-ES"/>
        </w:rPr>
        <w:lastRenderedPageBreak/>
        <w:t xml:space="preserve">que orientó al Solicitante, a presentar la solicitud ante </w:t>
      </w:r>
      <w:r w:rsidR="003B1674">
        <w:rPr>
          <w:rFonts w:ascii="Palatino Linotype" w:hAnsi="Palatino Linotype" w:cs="Tahoma"/>
          <w:bCs/>
          <w:iCs/>
          <w:sz w:val="22"/>
          <w:szCs w:val="22"/>
          <w:lang w:val="es-ES"/>
        </w:rPr>
        <w:t>la Secretaría de la Contraloría del Estado de México</w:t>
      </w:r>
      <w:r w:rsidRPr="00E4341A">
        <w:rPr>
          <w:rFonts w:ascii="Palatino Linotype" w:hAnsi="Palatino Linotype" w:cs="Tahoma"/>
          <w:bCs/>
          <w:iCs/>
          <w:sz w:val="22"/>
          <w:szCs w:val="22"/>
          <w:lang w:val="es-ES"/>
        </w:rPr>
        <w:t>.</w:t>
      </w:r>
    </w:p>
    <w:p w14:paraId="5393E056" w14:textId="77777777" w:rsidR="00E4341A" w:rsidRPr="00E4341A" w:rsidRDefault="00E4341A" w:rsidP="00E4341A">
      <w:pPr>
        <w:spacing w:line="360" w:lineRule="auto"/>
        <w:jc w:val="both"/>
        <w:rPr>
          <w:rFonts w:ascii="Palatino Linotype" w:hAnsi="Palatino Linotype" w:cs="Tahoma"/>
          <w:bCs/>
          <w:iCs/>
          <w:sz w:val="22"/>
          <w:szCs w:val="22"/>
          <w:lang w:val="es-ES"/>
        </w:rPr>
      </w:pPr>
    </w:p>
    <w:p w14:paraId="6B1228D8" w14:textId="7F2371F6" w:rsidR="00E4341A" w:rsidRPr="00E4341A" w:rsidRDefault="00E4341A" w:rsidP="00E4341A">
      <w:pPr>
        <w:spacing w:line="360" w:lineRule="auto"/>
        <w:jc w:val="both"/>
        <w:rPr>
          <w:rFonts w:ascii="Palatino Linotype" w:hAnsi="Palatino Linotype" w:cs="Tahoma"/>
          <w:bCs/>
          <w:iCs/>
          <w:sz w:val="22"/>
          <w:szCs w:val="22"/>
          <w:lang w:val="es-ES"/>
        </w:rPr>
      </w:pPr>
      <w:r w:rsidRPr="00E4341A">
        <w:rPr>
          <w:rFonts w:ascii="Palatino Linotype" w:hAnsi="Palatino Linotype" w:cs="Tahoma"/>
          <w:bCs/>
          <w:iCs/>
          <w:sz w:val="22"/>
          <w:szCs w:val="22"/>
          <w:lang w:val="es-ES"/>
        </w:rPr>
        <w:t xml:space="preserve">Conforme a lo expuesto, se considera que el Sujeto Obligado fue congruente con su respuesta, al señalar que carecía de atribuciones para conocer de lo peticionado, tan es así que siguió el procedimiento establecido en el primer párrafo del artículo 167 de la Ley de Transparencia y Acceso a la Información Pública del Estado de México y Municipios; por lo que, se concluye que </w:t>
      </w:r>
      <w:r w:rsidR="003B1674">
        <w:rPr>
          <w:rFonts w:ascii="Palatino Linotype" w:hAnsi="Palatino Linotype" w:cs="Tahoma"/>
          <w:bCs/>
          <w:iCs/>
          <w:sz w:val="22"/>
          <w:szCs w:val="22"/>
          <w:lang w:val="es-ES"/>
        </w:rPr>
        <w:t>el Ayuntamiento de Santo Tomas</w:t>
      </w:r>
      <w:r w:rsidRPr="00E4341A">
        <w:rPr>
          <w:rFonts w:ascii="Palatino Linotype" w:hAnsi="Palatino Linotype" w:cs="Tahoma"/>
          <w:bCs/>
          <w:iCs/>
          <w:sz w:val="22"/>
          <w:szCs w:val="22"/>
          <w:lang w:val="es-ES"/>
        </w:rPr>
        <w:t xml:space="preserve">, es </w:t>
      </w:r>
      <w:r w:rsidRPr="00E4341A">
        <w:rPr>
          <w:rFonts w:ascii="Palatino Linotype" w:hAnsi="Palatino Linotype" w:cs="Tahoma"/>
          <w:b/>
          <w:bCs/>
          <w:iCs/>
          <w:sz w:val="22"/>
          <w:szCs w:val="22"/>
          <w:lang w:val="es-ES"/>
        </w:rPr>
        <w:t>notoriamente incompetente</w:t>
      </w:r>
      <w:r w:rsidRPr="00E4341A">
        <w:rPr>
          <w:rFonts w:ascii="Palatino Linotype" w:hAnsi="Palatino Linotype" w:cs="Tahoma"/>
          <w:bCs/>
          <w:iCs/>
          <w:sz w:val="22"/>
          <w:szCs w:val="22"/>
          <w:lang w:val="es-ES"/>
        </w:rPr>
        <w:t xml:space="preserve"> para conocer de la solicitud de información</w:t>
      </w:r>
      <w:r w:rsidRPr="00E4341A">
        <w:rPr>
          <w:rFonts w:ascii="Palatino Linotype" w:hAnsi="Palatino Linotype" w:cs="Tahoma"/>
          <w:bCs/>
          <w:iCs/>
          <w:sz w:val="22"/>
          <w:szCs w:val="22"/>
        </w:rPr>
        <w:t xml:space="preserve">, y, por lo tanto, el </w:t>
      </w:r>
      <w:r w:rsidRPr="00E4341A">
        <w:rPr>
          <w:rFonts w:ascii="Palatino Linotype" w:hAnsi="Palatino Linotype" w:cs="Tahoma"/>
          <w:bCs/>
          <w:iCs/>
          <w:sz w:val="22"/>
          <w:szCs w:val="22"/>
          <w:lang w:val="es-ES"/>
        </w:rPr>
        <w:t xml:space="preserve">agravio del Recurrente deviene de </w:t>
      </w:r>
      <w:r w:rsidRPr="00E4341A">
        <w:rPr>
          <w:rFonts w:ascii="Palatino Linotype" w:hAnsi="Palatino Linotype" w:cs="Tahoma"/>
          <w:b/>
          <w:bCs/>
          <w:iCs/>
          <w:sz w:val="22"/>
          <w:szCs w:val="22"/>
          <w:lang w:val="es-ES"/>
        </w:rPr>
        <w:t>INFUNDADO.</w:t>
      </w:r>
      <w:r w:rsidRPr="00E4341A">
        <w:rPr>
          <w:rFonts w:ascii="Palatino Linotype" w:hAnsi="Palatino Linotype" w:cs="Tahoma"/>
          <w:bCs/>
          <w:iCs/>
          <w:sz w:val="22"/>
          <w:szCs w:val="22"/>
          <w:lang w:val="es-ES"/>
        </w:rPr>
        <w:t xml:space="preserve"> </w:t>
      </w:r>
    </w:p>
    <w:p w14:paraId="04C8CCDC" w14:textId="77777777" w:rsidR="004C23F8" w:rsidRPr="000B7ED7" w:rsidRDefault="004C23F8" w:rsidP="004C23F8">
      <w:pPr>
        <w:spacing w:line="360" w:lineRule="auto"/>
        <w:jc w:val="both"/>
        <w:rPr>
          <w:rFonts w:ascii="Palatino Linotype" w:eastAsia="Calibri" w:hAnsi="Palatino Linotype" w:cs="Tahoma"/>
          <w:bCs/>
          <w:color w:val="000000" w:themeColor="text1"/>
          <w:sz w:val="22"/>
          <w:szCs w:val="22"/>
          <w:lang w:eastAsia="en-US"/>
        </w:rPr>
      </w:pPr>
    </w:p>
    <w:p w14:paraId="0BFA051C" w14:textId="77777777" w:rsidR="00CF2A60" w:rsidRPr="000B7ED7" w:rsidRDefault="00CF2A60" w:rsidP="00CF2A60">
      <w:pPr>
        <w:spacing w:line="360" w:lineRule="auto"/>
        <w:jc w:val="both"/>
        <w:rPr>
          <w:rFonts w:ascii="Palatino Linotype" w:eastAsia="Calibri" w:hAnsi="Palatino Linotype" w:cs="Tahoma"/>
          <w:b/>
          <w:sz w:val="22"/>
          <w:szCs w:val="22"/>
          <w:lang w:eastAsia="en-US"/>
        </w:rPr>
      </w:pPr>
      <w:r w:rsidRPr="000B7ED7">
        <w:rPr>
          <w:rFonts w:ascii="Palatino Linotype" w:eastAsia="Calibri" w:hAnsi="Palatino Linotype" w:cs="Tahoma"/>
          <w:b/>
          <w:sz w:val="22"/>
          <w:szCs w:val="22"/>
          <w:lang w:eastAsia="en-US"/>
        </w:rPr>
        <w:t xml:space="preserve">SEXTO. Decisión. </w:t>
      </w:r>
    </w:p>
    <w:p w14:paraId="11A2C581" w14:textId="77777777" w:rsidR="00CF2A60" w:rsidRPr="000B7ED7" w:rsidRDefault="00CF2A60" w:rsidP="00CF2A60">
      <w:pPr>
        <w:spacing w:line="360" w:lineRule="auto"/>
        <w:jc w:val="both"/>
        <w:rPr>
          <w:rFonts w:ascii="Palatino Linotype" w:eastAsia="Calibri" w:hAnsi="Palatino Linotype" w:cs="Tahoma"/>
          <w:b/>
          <w:sz w:val="22"/>
          <w:szCs w:val="22"/>
          <w:lang w:eastAsia="en-US"/>
        </w:rPr>
      </w:pPr>
    </w:p>
    <w:p w14:paraId="2C7FAE57" w14:textId="6C963D92" w:rsidR="00CF2A60" w:rsidRPr="000B7ED7" w:rsidRDefault="00CF2A60" w:rsidP="00CF2A60">
      <w:pPr>
        <w:spacing w:line="360" w:lineRule="auto"/>
        <w:jc w:val="both"/>
        <w:rPr>
          <w:rFonts w:ascii="Palatino Linotype" w:hAnsi="Palatino Linotype" w:cs="Tahoma"/>
          <w:sz w:val="22"/>
          <w:szCs w:val="22"/>
        </w:rPr>
      </w:pPr>
      <w:r w:rsidRPr="000B7ED7">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0B7ED7">
        <w:rPr>
          <w:rFonts w:ascii="Palatino Linotype" w:hAnsi="Palatino Linotype" w:cs="Tahoma"/>
          <w:b/>
          <w:sz w:val="22"/>
          <w:szCs w:val="22"/>
        </w:rPr>
        <w:t xml:space="preserve">CONFIRMAR </w:t>
      </w:r>
      <w:r w:rsidR="00D9643B">
        <w:rPr>
          <w:rFonts w:ascii="Palatino Linotype" w:hAnsi="Palatino Linotype" w:cs="Tahoma"/>
          <w:sz w:val="22"/>
          <w:szCs w:val="22"/>
        </w:rPr>
        <w:t>la respuesta otorgada</w:t>
      </w:r>
      <w:r w:rsidRPr="000B7ED7">
        <w:rPr>
          <w:rFonts w:ascii="Palatino Linotype" w:hAnsi="Palatino Linotype" w:cs="Tahoma"/>
          <w:sz w:val="22"/>
          <w:szCs w:val="22"/>
        </w:rPr>
        <w:t xml:space="preserve"> por el Sujeto Obligado. </w:t>
      </w:r>
    </w:p>
    <w:p w14:paraId="39500409" w14:textId="77777777" w:rsidR="00CF2A60" w:rsidRPr="000B7ED7" w:rsidRDefault="00CF2A60" w:rsidP="00CF2A60">
      <w:pPr>
        <w:tabs>
          <w:tab w:val="left" w:pos="4962"/>
        </w:tabs>
        <w:spacing w:line="360" w:lineRule="auto"/>
        <w:jc w:val="both"/>
        <w:rPr>
          <w:rFonts w:ascii="Palatino Linotype" w:hAnsi="Palatino Linotype" w:cs="Tahoma"/>
          <w:szCs w:val="22"/>
        </w:rPr>
      </w:pPr>
    </w:p>
    <w:p w14:paraId="4DB79906" w14:textId="77777777" w:rsidR="00CF2A60" w:rsidRPr="000B7ED7" w:rsidRDefault="00CF2A60" w:rsidP="00CF2A60">
      <w:pPr>
        <w:spacing w:line="360" w:lineRule="auto"/>
        <w:jc w:val="both"/>
        <w:rPr>
          <w:rFonts w:ascii="Palatino Linotype" w:eastAsia="Calibri" w:hAnsi="Palatino Linotype" w:cs="Tahoma"/>
          <w:b/>
          <w:bCs/>
          <w:sz w:val="22"/>
          <w:szCs w:val="22"/>
          <w:lang w:eastAsia="en-US"/>
        </w:rPr>
      </w:pPr>
      <w:r w:rsidRPr="000B7ED7">
        <w:rPr>
          <w:rFonts w:ascii="Palatino Linotype" w:eastAsia="Calibri" w:hAnsi="Palatino Linotype" w:cs="Tahoma"/>
          <w:b/>
          <w:bCs/>
          <w:sz w:val="22"/>
          <w:szCs w:val="22"/>
          <w:lang w:eastAsia="en-US"/>
        </w:rPr>
        <w:t>Términos de la Resolución para conocimiento del Particular.</w:t>
      </w:r>
    </w:p>
    <w:p w14:paraId="17764729" w14:textId="77777777" w:rsidR="00CF2A60" w:rsidRPr="000B7ED7" w:rsidRDefault="00CF2A60" w:rsidP="00CF2A60">
      <w:pPr>
        <w:spacing w:line="360" w:lineRule="auto"/>
        <w:jc w:val="both"/>
        <w:rPr>
          <w:rFonts w:ascii="Palatino Linotype" w:eastAsia="Calibri" w:hAnsi="Palatino Linotype" w:cs="Tahoma"/>
          <w:b/>
          <w:bCs/>
          <w:sz w:val="22"/>
          <w:szCs w:val="22"/>
          <w:lang w:eastAsia="en-US"/>
        </w:rPr>
      </w:pPr>
    </w:p>
    <w:p w14:paraId="73BF4602" w14:textId="26991E8C" w:rsidR="0071724E" w:rsidRDefault="003B1674" w:rsidP="006B5DC1">
      <w:pPr>
        <w:widowControl w:val="0"/>
        <w:spacing w:line="360" w:lineRule="auto"/>
        <w:jc w:val="both"/>
        <w:rPr>
          <w:rFonts w:ascii="Palatino Linotype" w:eastAsia="Calibri" w:hAnsi="Palatino Linotype" w:cs="Tahoma"/>
          <w:bCs/>
          <w:iCs/>
          <w:color w:val="000000"/>
          <w:sz w:val="22"/>
          <w:szCs w:val="22"/>
          <w:lang w:eastAsia="en-US"/>
        </w:rPr>
      </w:pPr>
      <w:r w:rsidRPr="00282B6B">
        <w:rPr>
          <w:rFonts w:ascii="Palatino Linotype" w:eastAsia="Calibri" w:hAnsi="Palatino Linotype" w:cs="Tahoma"/>
          <w:bCs/>
          <w:iCs/>
          <w:color w:val="000000"/>
          <w:sz w:val="22"/>
          <w:szCs w:val="22"/>
          <w:lang w:eastAsia="en-US"/>
        </w:rPr>
        <w:t>Se le hace del conocimiento al Particular, que, en el presente caso, no se le da la razón pues el Sujeto Obligado es incompetente para conocer sobre el requerimiento de información, aunado a que realizó una orientación correcta al Solicitante.</w:t>
      </w:r>
    </w:p>
    <w:p w14:paraId="5B35B8D3" w14:textId="77777777" w:rsidR="003B1674" w:rsidRDefault="003B1674" w:rsidP="006B5DC1">
      <w:pPr>
        <w:widowControl w:val="0"/>
        <w:spacing w:line="360" w:lineRule="auto"/>
        <w:jc w:val="both"/>
        <w:rPr>
          <w:rFonts w:ascii="Palatino Linotype" w:eastAsia="Calibri" w:hAnsi="Palatino Linotype" w:cs="Tahoma"/>
          <w:bCs/>
          <w:iCs/>
          <w:color w:val="000000" w:themeColor="text1"/>
          <w:sz w:val="22"/>
          <w:szCs w:val="22"/>
          <w:lang w:val="es-ES" w:eastAsia="en-US"/>
        </w:rPr>
      </w:pPr>
    </w:p>
    <w:p w14:paraId="062568B0" w14:textId="483934EF" w:rsidR="001B6873" w:rsidRPr="006208B0" w:rsidRDefault="001B6873" w:rsidP="006208B0">
      <w:pPr>
        <w:autoSpaceDE w:val="0"/>
        <w:autoSpaceDN w:val="0"/>
        <w:adjustRightInd w:val="0"/>
        <w:spacing w:line="360" w:lineRule="auto"/>
        <w:jc w:val="both"/>
        <w:rPr>
          <w:rFonts w:ascii="Palatino Linotype" w:eastAsia="Calibri" w:hAnsi="Palatino Linotype" w:cs="Tahoma"/>
          <w:bCs/>
          <w:iCs/>
          <w:sz w:val="22"/>
          <w:szCs w:val="22"/>
          <w:lang w:val="es-ES_tradnl" w:eastAsia="en-US"/>
        </w:rPr>
      </w:pPr>
      <w:r>
        <w:rPr>
          <w:rFonts w:ascii="Palatino Linotype" w:eastAsia="Calibri" w:hAnsi="Palatino Linotype" w:cs="Tahoma"/>
          <w:bCs/>
          <w:iCs/>
          <w:sz w:val="22"/>
          <w:szCs w:val="22"/>
          <w:lang w:val="es-ES_tradnl" w:eastAsia="en-US"/>
        </w:rPr>
        <w:t>La labor del Instituto, es apoyar a la población a acceder a la información pública y garantizar la protección de los datos personales.</w:t>
      </w:r>
    </w:p>
    <w:p w14:paraId="4CF6F24F" w14:textId="77777777" w:rsidR="001B6873" w:rsidRPr="000B7ED7" w:rsidRDefault="001B6873" w:rsidP="00836192">
      <w:pPr>
        <w:spacing w:line="360" w:lineRule="auto"/>
        <w:jc w:val="both"/>
        <w:rPr>
          <w:rFonts w:ascii="Palatino Linotype" w:eastAsia="Calibri" w:hAnsi="Palatino Linotype" w:cs="Tahoma"/>
          <w:sz w:val="22"/>
          <w:szCs w:val="22"/>
        </w:rPr>
      </w:pPr>
    </w:p>
    <w:p w14:paraId="41B0E345" w14:textId="77777777" w:rsidR="00836192" w:rsidRPr="000B7ED7" w:rsidRDefault="00836192" w:rsidP="00836192">
      <w:pPr>
        <w:spacing w:line="360" w:lineRule="auto"/>
        <w:jc w:val="both"/>
        <w:rPr>
          <w:rFonts w:ascii="Palatino Linotype" w:eastAsia="Calibri" w:hAnsi="Palatino Linotype" w:cs="Tahoma"/>
          <w:bCs/>
          <w:sz w:val="22"/>
          <w:szCs w:val="22"/>
          <w:lang w:eastAsia="en-US"/>
        </w:rPr>
      </w:pPr>
      <w:r w:rsidRPr="000B7ED7">
        <w:rPr>
          <w:rFonts w:ascii="Palatino Linotype" w:eastAsia="Calibri" w:hAnsi="Palatino Linotype" w:cs="Tahoma"/>
          <w:bCs/>
          <w:sz w:val="22"/>
          <w:szCs w:val="22"/>
          <w:lang w:eastAsia="en-US"/>
        </w:rPr>
        <w:t>Por lo expuesto y fundado, este Pleno:</w:t>
      </w:r>
    </w:p>
    <w:p w14:paraId="0C0D077D" w14:textId="77777777" w:rsidR="001B6873" w:rsidRPr="000B7ED7" w:rsidRDefault="001B6873" w:rsidP="006208B0">
      <w:pPr>
        <w:spacing w:line="360" w:lineRule="auto"/>
        <w:ind w:right="-91"/>
        <w:rPr>
          <w:rFonts w:ascii="Palatino Linotype" w:eastAsia="Calibri" w:hAnsi="Palatino Linotype" w:cs="Tahoma"/>
          <w:b/>
          <w:bCs/>
          <w:sz w:val="22"/>
          <w:szCs w:val="22"/>
          <w:lang w:eastAsia="en-US"/>
        </w:rPr>
      </w:pPr>
    </w:p>
    <w:p w14:paraId="28C17053" w14:textId="6E630B3C" w:rsidR="00AE5D0C" w:rsidRPr="000B7ED7" w:rsidRDefault="00836192" w:rsidP="00AE5D0C">
      <w:pPr>
        <w:spacing w:line="360" w:lineRule="auto"/>
        <w:ind w:right="-91"/>
        <w:jc w:val="center"/>
        <w:rPr>
          <w:rFonts w:ascii="Palatino Linotype" w:eastAsia="Calibri" w:hAnsi="Palatino Linotype" w:cs="Tahoma"/>
          <w:b/>
          <w:bCs/>
          <w:sz w:val="22"/>
          <w:szCs w:val="22"/>
          <w:lang w:eastAsia="en-US"/>
        </w:rPr>
      </w:pPr>
      <w:r w:rsidRPr="000B7ED7">
        <w:rPr>
          <w:rFonts w:ascii="Palatino Linotype" w:eastAsia="Calibri" w:hAnsi="Palatino Linotype" w:cs="Tahoma"/>
          <w:b/>
          <w:bCs/>
          <w:sz w:val="22"/>
          <w:szCs w:val="22"/>
          <w:lang w:eastAsia="en-US"/>
        </w:rPr>
        <w:t>R E S U E L V E:</w:t>
      </w:r>
    </w:p>
    <w:p w14:paraId="68B2FCFF" w14:textId="77777777" w:rsidR="00AE5D0C" w:rsidRPr="000B7ED7" w:rsidRDefault="00AE5D0C" w:rsidP="00AE5D0C">
      <w:pPr>
        <w:spacing w:line="360" w:lineRule="auto"/>
        <w:ind w:right="-91"/>
        <w:jc w:val="center"/>
        <w:rPr>
          <w:rFonts w:ascii="Palatino Linotype" w:eastAsia="Calibri" w:hAnsi="Palatino Linotype" w:cs="Tahoma"/>
          <w:b/>
          <w:bCs/>
          <w:sz w:val="22"/>
          <w:szCs w:val="22"/>
          <w:lang w:eastAsia="en-US"/>
        </w:rPr>
      </w:pPr>
    </w:p>
    <w:p w14:paraId="1FFEF460" w14:textId="3614EC3F" w:rsidR="00AE5D0C" w:rsidRPr="000B7ED7" w:rsidRDefault="00AE5D0C" w:rsidP="00AE5D0C">
      <w:pPr>
        <w:spacing w:line="360" w:lineRule="auto"/>
        <w:contextualSpacing/>
        <w:jc w:val="both"/>
        <w:rPr>
          <w:rFonts w:ascii="Palatino Linotype" w:eastAsia="Calibri" w:hAnsi="Palatino Linotype" w:cs="Tahoma"/>
          <w:iCs/>
          <w:sz w:val="22"/>
          <w:szCs w:val="22"/>
          <w:lang w:eastAsia="en-US"/>
        </w:rPr>
      </w:pPr>
      <w:r w:rsidRPr="000B7ED7">
        <w:rPr>
          <w:rFonts w:ascii="Palatino Linotype" w:eastAsia="Calibri" w:hAnsi="Palatino Linotype" w:cs="Tahoma"/>
          <w:b/>
          <w:bCs/>
          <w:iCs/>
          <w:sz w:val="22"/>
          <w:szCs w:val="22"/>
          <w:lang w:eastAsia="en-US"/>
        </w:rPr>
        <w:t xml:space="preserve">PRIMERO. </w:t>
      </w:r>
      <w:r w:rsidRPr="000B7ED7">
        <w:rPr>
          <w:rFonts w:ascii="Palatino Linotype" w:eastAsia="Calibri" w:hAnsi="Palatino Linotype" w:cs="Tahoma"/>
          <w:bCs/>
          <w:iCs/>
          <w:sz w:val="22"/>
          <w:szCs w:val="22"/>
          <w:lang w:eastAsia="en-US"/>
        </w:rPr>
        <w:t xml:space="preserve">Se </w:t>
      </w:r>
      <w:r w:rsidRPr="000B7ED7">
        <w:rPr>
          <w:rFonts w:ascii="Palatino Linotype" w:eastAsia="Calibri" w:hAnsi="Palatino Linotype" w:cs="Tahoma"/>
          <w:b/>
          <w:bCs/>
          <w:iCs/>
          <w:sz w:val="22"/>
          <w:szCs w:val="22"/>
          <w:lang w:eastAsia="en-US"/>
        </w:rPr>
        <w:t>CONFIR</w:t>
      </w:r>
      <w:r w:rsidR="00B64B2F" w:rsidRPr="000B7ED7">
        <w:rPr>
          <w:rFonts w:ascii="Palatino Linotype" w:eastAsia="Calibri" w:hAnsi="Palatino Linotype" w:cs="Tahoma"/>
          <w:b/>
          <w:bCs/>
          <w:iCs/>
          <w:sz w:val="22"/>
          <w:szCs w:val="22"/>
          <w:lang w:eastAsia="en-US"/>
        </w:rPr>
        <w:t xml:space="preserve">MA </w:t>
      </w:r>
      <w:r w:rsidR="00B64B2F" w:rsidRPr="000B7ED7">
        <w:rPr>
          <w:rFonts w:ascii="Palatino Linotype" w:eastAsia="Calibri" w:hAnsi="Palatino Linotype" w:cs="Tahoma"/>
          <w:iCs/>
          <w:sz w:val="22"/>
          <w:szCs w:val="22"/>
          <w:lang w:eastAsia="en-US"/>
        </w:rPr>
        <w:t xml:space="preserve">la respuesta </w:t>
      </w:r>
      <w:r w:rsidR="000C6A5E" w:rsidRPr="000B7ED7">
        <w:rPr>
          <w:rFonts w:ascii="Palatino Linotype" w:eastAsia="Calibri" w:hAnsi="Palatino Linotype" w:cs="Tahoma"/>
          <w:iCs/>
          <w:sz w:val="22"/>
          <w:szCs w:val="22"/>
          <w:lang w:eastAsia="en-US"/>
        </w:rPr>
        <w:t xml:space="preserve">entregada por el Sujeto Obligado a la solicitud de acceso a la información </w:t>
      </w:r>
      <w:r w:rsidR="008D0BE8" w:rsidRPr="008D0BE8">
        <w:rPr>
          <w:rFonts w:ascii="Palatino Linotype" w:hAnsi="Palatino Linotype" w:cs="Tahoma"/>
          <w:bCs/>
          <w:color w:val="0D0D0D" w:themeColor="text1" w:themeTint="F2"/>
          <w:sz w:val="22"/>
          <w:szCs w:val="22"/>
        </w:rPr>
        <w:t>00040/SANTOTOM/IP/2022</w:t>
      </w:r>
      <w:r w:rsidR="0024466A" w:rsidRPr="000B7ED7">
        <w:rPr>
          <w:rFonts w:ascii="Palatino Linotype" w:hAnsi="Palatino Linotype" w:cs="Tahoma"/>
          <w:bCs/>
          <w:color w:val="0D0D0D" w:themeColor="text1" w:themeTint="F2"/>
          <w:sz w:val="22"/>
          <w:szCs w:val="22"/>
        </w:rPr>
        <w:t xml:space="preserve">, </w:t>
      </w:r>
      <w:r w:rsidRPr="000B7ED7">
        <w:rPr>
          <w:rFonts w:ascii="Palatino Linotype" w:eastAsia="Calibri" w:hAnsi="Palatino Linotype" w:cs="Tahoma"/>
          <w:bCs/>
          <w:iCs/>
          <w:sz w:val="22"/>
          <w:szCs w:val="22"/>
          <w:lang w:eastAsia="en-US"/>
        </w:rPr>
        <w:t xml:space="preserve">por resultar </w:t>
      </w:r>
      <w:r w:rsidR="006B5DC1" w:rsidRPr="006B5DC1">
        <w:rPr>
          <w:rFonts w:ascii="Palatino Linotype" w:eastAsia="Calibri" w:hAnsi="Palatino Linotype" w:cs="Tahoma"/>
          <w:b/>
          <w:bCs/>
          <w:iCs/>
          <w:sz w:val="22"/>
          <w:szCs w:val="22"/>
          <w:lang w:eastAsia="en-US"/>
        </w:rPr>
        <w:t>INFUNDADAS</w:t>
      </w:r>
      <w:r w:rsidRPr="000B7ED7">
        <w:rPr>
          <w:rFonts w:ascii="Palatino Linotype" w:eastAsia="Calibri" w:hAnsi="Palatino Linotype" w:cs="Tahoma"/>
          <w:bCs/>
          <w:iCs/>
          <w:sz w:val="22"/>
          <w:szCs w:val="22"/>
          <w:lang w:eastAsia="en-US"/>
        </w:rPr>
        <w:t xml:space="preserve"> las razones o motivos de inconformidad hechos valer por el Recurrente, en términos de los Considerandos </w:t>
      </w:r>
      <w:r w:rsidRPr="00BE6B4C">
        <w:rPr>
          <w:rFonts w:ascii="Palatino Linotype" w:eastAsia="Calibri" w:hAnsi="Palatino Linotype" w:cs="Tahoma"/>
          <w:iCs/>
          <w:sz w:val="22"/>
          <w:szCs w:val="22"/>
          <w:lang w:eastAsia="en-US"/>
        </w:rPr>
        <w:t>QUINTO y SEXTO</w:t>
      </w:r>
      <w:r w:rsidRPr="000B7ED7">
        <w:rPr>
          <w:rFonts w:ascii="Palatino Linotype" w:eastAsia="Calibri" w:hAnsi="Palatino Linotype" w:cs="Tahoma"/>
          <w:b/>
          <w:bCs/>
          <w:iCs/>
          <w:sz w:val="22"/>
          <w:szCs w:val="22"/>
          <w:lang w:eastAsia="en-US"/>
        </w:rPr>
        <w:t xml:space="preserve"> </w:t>
      </w:r>
      <w:r w:rsidRPr="000B7ED7">
        <w:rPr>
          <w:rFonts w:ascii="Palatino Linotype" w:eastAsia="Calibri" w:hAnsi="Palatino Linotype" w:cs="Tahoma"/>
          <w:bCs/>
          <w:iCs/>
          <w:sz w:val="22"/>
          <w:szCs w:val="22"/>
          <w:lang w:eastAsia="en-US"/>
        </w:rPr>
        <w:t>de esta Resolución.</w:t>
      </w:r>
    </w:p>
    <w:p w14:paraId="12F1C0A6" w14:textId="77777777" w:rsidR="00AE5D0C" w:rsidRPr="000B7ED7" w:rsidRDefault="00AE5D0C" w:rsidP="00AE5D0C">
      <w:pPr>
        <w:spacing w:line="360" w:lineRule="auto"/>
        <w:contextualSpacing/>
        <w:jc w:val="both"/>
        <w:rPr>
          <w:rFonts w:ascii="Palatino Linotype" w:eastAsia="Calibri" w:hAnsi="Palatino Linotype" w:cs="Tahoma"/>
          <w:bCs/>
          <w:iCs/>
          <w:sz w:val="22"/>
          <w:szCs w:val="22"/>
          <w:lang w:eastAsia="en-US"/>
        </w:rPr>
      </w:pPr>
    </w:p>
    <w:p w14:paraId="5F785581" w14:textId="77777777" w:rsidR="00AE5D0C" w:rsidRPr="000B7ED7" w:rsidRDefault="00AE5D0C" w:rsidP="00AE5D0C">
      <w:pPr>
        <w:spacing w:line="360" w:lineRule="auto"/>
        <w:contextualSpacing/>
        <w:jc w:val="both"/>
        <w:rPr>
          <w:rFonts w:ascii="Palatino Linotype" w:eastAsia="Calibri" w:hAnsi="Palatino Linotype" w:cs="Tahoma"/>
          <w:bCs/>
          <w:i/>
          <w:iCs/>
          <w:sz w:val="22"/>
          <w:szCs w:val="22"/>
          <w:lang w:eastAsia="en-US"/>
        </w:rPr>
      </w:pPr>
      <w:r w:rsidRPr="000B7ED7">
        <w:rPr>
          <w:rFonts w:ascii="Palatino Linotype" w:eastAsia="Calibri" w:hAnsi="Palatino Linotype" w:cs="Tahoma"/>
          <w:b/>
          <w:bCs/>
          <w:iCs/>
          <w:sz w:val="22"/>
          <w:szCs w:val="22"/>
          <w:lang w:eastAsia="en-US"/>
        </w:rPr>
        <w:t xml:space="preserve">SEGUNDO. NOTIFÍQUESE </w:t>
      </w:r>
      <w:r w:rsidRPr="000B7ED7">
        <w:rPr>
          <w:rFonts w:ascii="Palatino Linotype" w:eastAsia="Calibri" w:hAnsi="Palatino Linotype" w:cs="Tahoma"/>
          <w:bCs/>
          <w:iCs/>
          <w:sz w:val="22"/>
          <w:szCs w:val="22"/>
          <w:lang w:eastAsia="en-US"/>
        </w:rPr>
        <w:t>la presente resolución al Titular de la Unidad de Transparencia del Sujeto Obligado.</w:t>
      </w:r>
    </w:p>
    <w:p w14:paraId="26750E5B" w14:textId="77777777" w:rsidR="00AE5D0C" w:rsidRPr="000B7ED7" w:rsidRDefault="00AE5D0C" w:rsidP="00AE5D0C">
      <w:pPr>
        <w:spacing w:line="360" w:lineRule="auto"/>
        <w:contextualSpacing/>
        <w:jc w:val="both"/>
        <w:rPr>
          <w:rFonts w:ascii="Palatino Linotype" w:eastAsia="Calibri" w:hAnsi="Palatino Linotype" w:cs="Tahoma"/>
          <w:bCs/>
          <w:iCs/>
          <w:sz w:val="22"/>
          <w:szCs w:val="22"/>
          <w:lang w:eastAsia="en-US"/>
        </w:rPr>
      </w:pPr>
    </w:p>
    <w:p w14:paraId="73B48063" w14:textId="77777777" w:rsidR="00AE5D0C" w:rsidRPr="000B7ED7" w:rsidRDefault="00AE5D0C" w:rsidP="00AE5D0C">
      <w:pPr>
        <w:spacing w:line="360" w:lineRule="auto"/>
        <w:contextualSpacing/>
        <w:jc w:val="both"/>
        <w:rPr>
          <w:rFonts w:ascii="Palatino Linotype" w:eastAsia="Calibri" w:hAnsi="Palatino Linotype" w:cs="Tahoma"/>
          <w:bCs/>
          <w:iCs/>
          <w:sz w:val="22"/>
          <w:szCs w:val="22"/>
          <w:lang w:eastAsia="en-US"/>
        </w:rPr>
      </w:pPr>
      <w:r w:rsidRPr="000B7ED7">
        <w:rPr>
          <w:rFonts w:ascii="Palatino Linotype" w:eastAsia="Calibri" w:hAnsi="Palatino Linotype" w:cs="Tahoma"/>
          <w:b/>
          <w:bCs/>
          <w:iCs/>
          <w:sz w:val="22"/>
          <w:szCs w:val="22"/>
          <w:lang w:eastAsia="en-US"/>
        </w:rPr>
        <w:t>TERCERO. NOTIFÍQUESE</w:t>
      </w:r>
      <w:r w:rsidRPr="000B7ED7">
        <w:rPr>
          <w:rFonts w:ascii="Palatino Linotype" w:eastAsia="Calibri" w:hAnsi="Palatino Linotype" w:cs="Tahoma"/>
          <w:bCs/>
          <w:iCs/>
          <w:sz w:val="22"/>
          <w:szCs w:val="22"/>
          <w:lang w:eastAsia="en-U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244A856" w14:textId="77777777" w:rsidR="00836192" w:rsidRPr="000B7ED7" w:rsidRDefault="00836192" w:rsidP="00836192">
      <w:pPr>
        <w:spacing w:line="360" w:lineRule="auto"/>
        <w:jc w:val="both"/>
        <w:rPr>
          <w:rFonts w:ascii="Palatino Linotype" w:hAnsi="Palatino Linotype" w:cs="Arial"/>
          <w:b/>
          <w:bCs/>
          <w:color w:val="000000" w:themeColor="text1"/>
          <w:sz w:val="22"/>
          <w:szCs w:val="22"/>
        </w:rPr>
      </w:pPr>
    </w:p>
    <w:p w14:paraId="0E4C7770" w14:textId="5484C60D" w:rsidR="00E749CF" w:rsidRDefault="006B5DC1" w:rsidP="006B5DC1">
      <w:pPr>
        <w:spacing w:line="360" w:lineRule="auto"/>
        <w:ind w:right="-93"/>
        <w:jc w:val="both"/>
      </w:pPr>
      <w:r w:rsidRPr="006B5DC1">
        <w:rPr>
          <w:rFonts w:ascii="Palatino Linotype" w:eastAsia="Calibri" w:hAnsi="Palatino Linotype" w:cs="Tahoma"/>
          <w:bCs/>
          <w:sz w:val="22"/>
          <w:szCs w:val="22"/>
          <w:lang w:eastAsia="en-US"/>
        </w:rPr>
        <w:t>ASÍ LO RESUELVE, POR </w:t>
      </w:r>
      <w:r w:rsidRPr="006B5DC1">
        <w:rPr>
          <w:rFonts w:ascii="Palatino Linotype" w:eastAsia="Calibri" w:hAnsi="Palatino Linotype" w:cs="Tahoma"/>
          <w:b/>
          <w:bCs/>
          <w:sz w:val="22"/>
          <w:szCs w:val="22"/>
          <w:lang w:eastAsia="en-US"/>
        </w:rPr>
        <w:t>UNANIMIDAD</w:t>
      </w:r>
      <w:r w:rsidRPr="006B5DC1">
        <w:rPr>
          <w:rFonts w:ascii="Palatino Linotype" w:eastAsia="Calibri" w:hAnsi="Palatino Linotype" w:cs="Tahoma"/>
          <w:bCs/>
          <w:sz w:val="22"/>
          <w:szCs w:val="22"/>
          <w:lang w:eastAsia="en-U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D0BE8">
        <w:rPr>
          <w:rFonts w:ascii="Palatino Linotype" w:eastAsia="Calibri" w:hAnsi="Palatino Linotype" w:cs="Tahoma"/>
          <w:bCs/>
          <w:sz w:val="22"/>
          <w:szCs w:val="22"/>
          <w:lang w:eastAsia="en-US"/>
        </w:rPr>
        <w:t>TRIGÉSIMA</w:t>
      </w:r>
      <w:r w:rsidR="003B1674">
        <w:rPr>
          <w:rFonts w:ascii="Palatino Linotype" w:eastAsia="Calibri" w:hAnsi="Palatino Linotype" w:cs="Tahoma"/>
          <w:bCs/>
          <w:sz w:val="22"/>
          <w:szCs w:val="22"/>
          <w:lang w:eastAsia="en-US"/>
        </w:rPr>
        <w:t xml:space="preserve"> PRIMERA</w:t>
      </w:r>
      <w:r w:rsidRPr="006B5DC1">
        <w:rPr>
          <w:rFonts w:ascii="Palatino Linotype" w:eastAsia="Calibri" w:hAnsi="Palatino Linotype" w:cs="Tahoma"/>
          <w:bCs/>
          <w:sz w:val="22"/>
          <w:szCs w:val="22"/>
          <w:lang w:eastAsia="en-US"/>
        </w:rPr>
        <w:t xml:space="preserve"> SESIÓN ORDINARIA, CELEBRADA EL </w:t>
      </w:r>
      <w:r w:rsidR="003E046E">
        <w:rPr>
          <w:rFonts w:ascii="Palatino Linotype" w:eastAsia="Calibri" w:hAnsi="Palatino Linotype" w:cs="Tahoma"/>
          <w:bCs/>
          <w:sz w:val="22"/>
          <w:szCs w:val="22"/>
          <w:lang w:eastAsia="en-US"/>
        </w:rPr>
        <w:t>TREINTA Y UNO</w:t>
      </w:r>
      <w:r w:rsidRPr="006B5DC1">
        <w:rPr>
          <w:rFonts w:ascii="Palatino Linotype" w:eastAsia="Calibri" w:hAnsi="Palatino Linotype" w:cs="Tahoma"/>
          <w:bCs/>
          <w:sz w:val="22"/>
          <w:szCs w:val="22"/>
          <w:lang w:eastAsia="en-US"/>
        </w:rPr>
        <w:t xml:space="preserve"> DE </w:t>
      </w:r>
      <w:r w:rsidR="003E046E">
        <w:rPr>
          <w:rFonts w:ascii="Palatino Linotype" w:eastAsia="Calibri" w:hAnsi="Palatino Linotype" w:cs="Tahoma"/>
          <w:bCs/>
          <w:sz w:val="22"/>
          <w:szCs w:val="22"/>
          <w:lang w:eastAsia="en-US"/>
        </w:rPr>
        <w:t>AGOSTO</w:t>
      </w:r>
      <w:r w:rsidRPr="006B5DC1">
        <w:rPr>
          <w:rFonts w:ascii="Palatino Linotype" w:eastAsia="Calibri" w:hAnsi="Palatino Linotype" w:cs="Tahoma"/>
          <w:bCs/>
          <w:sz w:val="22"/>
          <w:szCs w:val="22"/>
          <w:lang w:eastAsia="en-US"/>
        </w:rPr>
        <w:t xml:space="preserve"> DE DOS MIL VEINTI</w:t>
      </w:r>
      <w:r w:rsidR="007B1E8E">
        <w:rPr>
          <w:rFonts w:ascii="Palatino Linotype" w:eastAsia="Calibri" w:hAnsi="Palatino Linotype" w:cs="Tahoma"/>
          <w:bCs/>
          <w:sz w:val="22"/>
          <w:szCs w:val="22"/>
          <w:lang w:eastAsia="en-US"/>
        </w:rPr>
        <w:t>DÓS</w:t>
      </w:r>
      <w:r w:rsidRPr="006B5DC1">
        <w:rPr>
          <w:rFonts w:ascii="Palatino Linotype" w:eastAsia="Calibri" w:hAnsi="Palatino Linotype" w:cs="Tahoma"/>
          <w:bCs/>
          <w:sz w:val="22"/>
          <w:szCs w:val="22"/>
          <w:lang w:eastAsia="en-US"/>
        </w:rPr>
        <w:t>, ANTE EL SECRETARIO TÉCNICO DEL PLENO, ALEXIS TAPIA RAMÍREZ.</w:t>
      </w:r>
      <w:r w:rsidR="00836192">
        <w:rPr>
          <w:rFonts w:ascii="Palatino Linotype" w:eastAsia="Calibri" w:hAnsi="Palatino Linotype" w:cs="Tahoma"/>
          <w:b/>
          <w:bCs/>
          <w:sz w:val="22"/>
          <w:szCs w:val="22"/>
          <w:lang w:eastAsia="en-US"/>
        </w:rPr>
        <w:br w:type="page"/>
      </w:r>
    </w:p>
    <w:sectPr w:rsidR="00E749CF" w:rsidSect="00C519FA">
      <w:headerReference w:type="even" r:id="rId12"/>
      <w:headerReference w:type="default" r:id="rId13"/>
      <w:footerReference w:type="even" r:id="rId14"/>
      <w:footerReference w:type="default" r:id="rId15"/>
      <w:headerReference w:type="first" r:id="rId16"/>
      <w:footerReference w:type="first" r:id="rId1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DEBC3" w14:textId="77777777" w:rsidR="000A58EE" w:rsidRDefault="000A58EE" w:rsidP="0095634C">
      <w:r>
        <w:separator/>
      </w:r>
    </w:p>
  </w:endnote>
  <w:endnote w:type="continuationSeparator" w:id="0">
    <w:p w14:paraId="1E26E49F" w14:textId="77777777" w:rsidR="000A58EE" w:rsidRDefault="000A58EE" w:rsidP="0095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965779"/>
      <w:docPartObj>
        <w:docPartGallery w:val="Page Numbers (Bottom of Page)"/>
        <w:docPartUnique/>
      </w:docPartObj>
    </w:sdtPr>
    <w:sdtContent>
      <w:sdt>
        <w:sdtPr>
          <w:id w:val="40187052"/>
          <w:docPartObj>
            <w:docPartGallery w:val="Page Numbers (Top of Page)"/>
            <w:docPartUnique/>
          </w:docPartObj>
        </w:sdtPr>
        <w:sdtContent>
          <w:p w14:paraId="5F8E97D8" w14:textId="77777777" w:rsidR="00AA25BA" w:rsidRDefault="00D3713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Pr="00AA25BA">
              <w:rPr>
                <w:rFonts w:ascii="Palatino Linotype" w:hAnsi="Palatino Linotype"/>
                <w:b/>
                <w:bCs/>
                <w:sz w:val="22"/>
                <w:szCs w:val="22"/>
                <w:lang w:val="es-ES"/>
              </w:rPr>
              <w:t>2</w:t>
            </w:r>
            <w:r w:rsidRPr="00AA25BA">
              <w:rPr>
                <w:rFonts w:ascii="Palatino Linotype" w:hAnsi="Palatino Linotype"/>
                <w:b/>
                <w:bCs/>
                <w:sz w:val="22"/>
                <w:szCs w:val="22"/>
              </w:rPr>
              <w:fldChar w:fldCharType="end"/>
            </w:r>
          </w:p>
        </w:sdtContent>
      </w:sdt>
    </w:sdtContent>
  </w:sdt>
  <w:p w14:paraId="7C6413FB" w14:textId="77777777" w:rsidR="00AA25BA"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76908"/>
      <w:docPartObj>
        <w:docPartGallery w:val="Page Numbers (Bottom of Page)"/>
        <w:docPartUnique/>
      </w:docPartObj>
    </w:sdtPr>
    <w:sdtContent>
      <w:sdt>
        <w:sdtPr>
          <w:id w:val="736206068"/>
          <w:docPartObj>
            <w:docPartGallery w:val="Page Numbers (Top of Page)"/>
            <w:docPartUnique/>
          </w:docPartObj>
        </w:sdtPr>
        <w:sdtContent>
          <w:p w14:paraId="3613C1FE" w14:textId="77777777" w:rsidR="00AA25BA" w:rsidRDefault="00D37132">
            <w:pPr>
              <w:pStyle w:val="Piedepgina"/>
              <w:jc w:val="right"/>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22</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14:paraId="2F0605D7" w14:textId="77777777" w:rsidR="00AA25BA" w:rsidRDefault="0000000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2"/>
        <w:szCs w:val="22"/>
      </w:rPr>
      <w:id w:val="-974364972"/>
      <w:docPartObj>
        <w:docPartGallery w:val="Page Numbers (Bottom of Page)"/>
        <w:docPartUnique/>
      </w:docPartObj>
    </w:sdtPr>
    <w:sdtContent>
      <w:sdt>
        <w:sdtPr>
          <w:rPr>
            <w:rFonts w:ascii="Palatino Linotype" w:hAnsi="Palatino Linotype"/>
            <w:sz w:val="22"/>
            <w:szCs w:val="22"/>
          </w:rPr>
          <w:id w:val="-1769616900"/>
          <w:docPartObj>
            <w:docPartGallery w:val="Page Numbers (Top of Page)"/>
            <w:docPartUnique/>
          </w:docPartObj>
        </w:sdtPr>
        <w:sdtContent>
          <w:p w14:paraId="76DDF1F7" w14:textId="77777777" w:rsidR="00AA25BA" w:rsidRPr="00AA25BA" w:rsidRDefault="00D37132">
            <w:pPr>
              <w:pStyle w:val="Piedepgina"/>
              <w:jc w:val="right"/>
              <w:rPr>
                <w:rFonts w:ascii="Palatino Linotype" w:hAnsi="Palatino Linotype"/>
                <w:sz w:val="22"/>
                <w:szCs w:val="22"/>
              </w:rPr>
            </w:pPr>
            <w:r w:rsidRPr="00AA25BA">
              <w:rPr>
                <w:rFonts w:ascii="Palatino Linotype" w:hAnsi="Palatino Linotype"/>
                <w:sz w:val="22"/>
                <w:szCs w:val="22"/>
                <w:lang w:val="es-ES"/>
              </w:rPr>
              <w:t xml:space="preserve">Página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PAGE</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1</w:t>
            </w:r>
            <w:r w:rsidRPr="00AA25BA">
              <w:rPr>
                <w:rFonts w:ascii="Palatino Linotype" w:hAnsi="Palatino Linotype"/>
                <w:b/>
                <w:bCs/>
                <w:sz w:val="22"/>
                <w:szCs w:val="22"/>
              </w:rPr>
              <w:fldChar w:fldCharType="end"/>
            </w:r>
            <w:r w:rsidRPr="00AA25BA">
              <w:rPr>
                <w:rFonts w:ascii="Palatino Linotype" w:hAnsi="Palatino Linotype"/>
                <w:sz w:val="22"/>
                <w:szCs w:val="22"/>
                <w:lang w:val="es-ES"/>
              </w:rPr>
              <w:t xml:space="preserve"> de </w:t>
            </w:r>
            <w:r w:rsidRPr="00AA25BA">
              <w:rPr>
                <w:rFonts w:ascii="Palatino Linotype" w:hAnsi="Palatino Linotype"/>
                <w:b/>
                <w:bCs/>
                <w:sz w:val="22"/>
                <w:szCs w:val="22"/>
              </w:rPr>
              <w:fldChar w:fldCharType="begin"/>
            </w:r>
            <w:r w:rsidRPr="00AA25BA">
              <w:rPr>
                <w:rFonts w:ascii="Palatino Linotype" w:hAnsi="Palatino Linotype"/>
                <w:b/>
                <w:bCs/>
                <w:sz w:val="22"/>
                <w:szCs w:val="22"/>
              </w:rPr>
              <w:instrText>NUMPAGES</w:instrText>
            </w:r>
            <w:r w:rsidRPr="00AA25BA">
              <w:rPr>
                <w:rFonts w:ascii="Palatino Linotype" w:hAnsi="Palatino Linotype"/>
                <w:b/>
                <w:bCs/>
                <w:sz w:val="22"/>
                <w:szCs w:val="22"/>
              </w:rPr>
              <w:fldChar w:fldCharType="separate"/>
            </w:r>
            <w:r w:rsidR="006B5DC1">
              <w:rPr>
                <w:rFonts w:ascii="Palatino Linotype" w:hAnsi="Palatino Linotype"/>
                <w:b/>
                <w:bCs/>
                <w:noProof/>
                <w:sz w:val="22"/>
                <w:szCs w:val="22"/>
              </w:rPr>
              <w:t>23</w:t>
            </w:r>
            <w:r w:rsidRPr="00AA25BA">
              <w:rPr>
                <w:rFonts w:ascii="Palatino Linotype" w:hAnsi="Palatino Linotype"/>
                <w:b/>
                <w:bCs/>
                <w:sz w:val="22"/>
                <w:szCs w:val="22"/>
              </w:rPr>
              <w:fldChar w:fldCharType="end"/>
            </w:r>
          </w:p>
        </w:sdtContent>
      </w:sdt>
    </w:sdtContent>
  </w:sdt>
  <w:p w14:paraId="3B988A6A" w14:textId="77777777" w:rsidR="00AA25BA"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789A1" w14:textId="77777777" w:rsidR="000A58EE" w:rsidRDefault="000A58EE" w:rsidP="0095634C">
      <w:r>
        <w:separator/>
      </w:r>
    </w:p>
  </w:footnote>
  <w:footnote w:type="continuationSeparator" w:id="0">
    <w:p w14:paraId="3501001F" w14:textId="77777777" w:rsidR="000A58EE" w:rsidRDefault="000A58EE" w:rsidP="00956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C519FA" w14:paraId="79D54291" w14:textId="77777777" w:rsidTr="00C519FA">
      <w:trPr>
        <w:trHeight w:val="1435"/>
      </w:trPr>
      <w:tc>
        <w:tcPr>
          <w:tcW w:w="2972" w:type="dxa"/>
        </w:tcPr>
        <w:p w14:paraId="09131A3E" w14:textId="77777777" w:rsidR="00C519FA" w:rsidRDefault="00000000" w:rsidP="00C519FA">
          <w:pPr>
            <w:tabs>
              <w:tab w:val="right" w:pos="4273"/>
            </w:tabs>
            <w:spacing w:line="256" w:lineRule="auto"/>
            <w:rPr>
              <w:rFonts w:ascii="Garamond" w:eastAsia="Calibri" w:hAnsi="Garamond"/>
              <w:sz w:val="22"/>
              <w:szCs w:val="22"/>
              <w:lang w:eastAsia="en-US"/>
            </w:rPr>
          </w:pPr>
        </w:p>
      </w:tc>
      <w:tc>
        <w:tcPr>
          <w:tcW w:w="6733" w:type="dxa"/>
          <w:hideMark/>
        </w:tcPr>
        <w:tbl>
          <w:tblPr>
            <w:tblStyle w:val="Tablaconcuadrcula"/>
            <w:tblW w:w="5535"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088"/>
          </w:tblGrid>
          <w:tr w:rsidR="004605AA" w14:paraId="3B03FB1C" w14:textId="77777777" w:rsidTr="005D2B6E">
            <w:trPr>
              <w:trHeight w:val="144"/>
            </w:trPr>
            <w:tc>
              <w:tcPr>
                <w:tcW w:w="2447" w:type="dxa"/>
                <w:hideMark/>
              </w:tcPr>
              <w:p w14:paraId="3CE26B04" w14:textId="77777777" w:rsidR="004605AA" w:rsidRPr="008A245E" w:rsidRDefault="00D37132" w:rsidP="004605A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3088" w:type="dxa"/>
                <w:hideMark/>
              </w:tcPr>
              <w:p w14:paraId="55305A45" w14:textId="77777777" w:rsidR="004605AA" w:rsidRPr="008A245E" w:rsidRDefault="00D37132" w:rsidP="004605AA">
                <w:pPr>
                  <w:tabs>
                    <w:tab w:val="right" w:pos="8838"/>
                  </w:tabs>
                  <w:ind w:left="-74" w:right="-105"/>
                  <w:jc w:val="both"/>
                  <w:rPr>
                    <w:rFonts w:ascii="Palatino Linotype" w:eastAsia="Calibri" w:hAnsi="Palatino Linotype" w:cs="Tahoma"/>
                    <w:bCs/>
                    <w:sz w:val="22"/>
                    <w:szCs w:val="22"/>
                    <w:lang w:eastAsia="en-US"/>
                  </w:rPr>
                </w:pPr>
                <w:r w:rsidRPr="008A245E">
                  <w:rPr>
                    <w:rFonts w:ascii="Palatino Linotype" w:eastAsia="Calibri" w:hAnsi="Palatino Linotype" w:cs="Tahoma"/>
                    <w:bCs/>
                    <w:sz w:val="22"/>
                    <w:szCs w:val="22"/>
                    <w:lang w:val="es-MX" w:eastAsia="en-US"/>
                  </w:rPr>
                  <w:t>02946/INFOEM/IP/RR/2021</w:t>
                </w:r>
              </w:p>
            </w:tc>
          </w:tr>
          <w:tr w:rsidR="004605AA" w14:paraId="15071BA1" w14:textId="77777777" w:rsidTr="005D2B6E">
            <w:trPr>
              <w:trHeight w:val="283"/>
            </w:trPr>
            <w:tc>
              <w:tcPr>
                <w:tcW w:w="2447" w:type="dxa"/>
                <w:hideMark/>
              </w:tcPr>
              <w:p w14:paraId="22C5262F" w14:textId="77777777" w:rsidR="004605AA" w:rsidRPr="008A245E" w:rsidRDefault="00D37132"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3088" w:type="dxa"/>
                <w:hideMark/>
              </w:tcPr>
              <w:p w14:paraId="005697B8" w14:textId="77777777" w:rsidR="004605AA" w:rsidRPr="008A245E" w:rsidRDefault="00D37132" w:rsidP="004605AA">
                <w:pPr>
                  <w:tabs>
                    <w:tab w:val="left" w:pos="2834"/>
                    <w:tab w:val="right" w:pos="8838"/>
                  </w:tabs>
                  <w:ind w:left="-74" w:right="-105"/>
                  <w:jc w:val="both"/>
                  <w:rPr>
                    <w:rFonts w:ascii="Palatino Linotype" w:eastAsia="Calibri" w:hAnsi="Palatino Linotype" w:cs="Tahoma"/>
                    <w:b/>
                    <w:sz w:val="22"/>
                    <w:szCs w:val="22"/>
                    <w:lang w:eastAsia="en-US"/>
                  </w:rPr>
                </w:pPr>
                <w:r w:rsidRPr="008A245E">
                  <w:rPr>
                    <w:rFonts w:ascii="Palatino Linotype" w:eastAsia="Calibri" w:hAnsi="Palatino Linotype" w:cs="Tahoma"/>
                    <w:sz w:val="22"/>
                    <w:szCs w:val="22"/>
                    <w:lang w:val="es-MX" w:eastAsia="en-US"/>
                  </w:rPr>
                  <w:t>Ayuntamiento de San Antonio la Isla</w:t>
                </w:r>
              </w:p>
            </w:tc>
          </w:tr>
          <w:tr w:rsidR="004605AA" w14:paraId="4E4D191A" w14:textId="77777777" w:rsidTr="005D2B6E">
            <w:trPr>
              <w:trHeight w:val="283"/>
            </w:trPr>
            <w:tc>
              <w:tcPr>
                <w:tcW w:w="2447" w:type="dxa"/>
                <w:hideMark/>
              </w:tcPr>
              <w:p w14:paraId="4CBBA24A" w14:textId="77777777" w:rsidR="004605AA" w:rsidRPr="008A245E" w:rsidRDefault="00D37132" w:rsidP="004605A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3088" w:type="dxa"/>
              </w:tcPr>
              <w:p w14:paraId="554DDEEF" w14:textId="77777777" w:rsidR="004605AA" w:rsidRPr="008A245E" w:rsidRDefault="00D37132" w:rsidP="004605AA">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p w14:paraId="276E5204" w14:textId="77777777" w:rsidR="004605AA" w:rsidRPr="008A245E" w:rsidRDefault="00000000" w:rsidP="004605AA">
                <w:pPr>
                  <w:tabs>
                    <w:tab w:val="right" w:pos="8838"/>
                  </w:tabs>
                  <w:ind w:left="-74" w:right="-105"/>
                  <w:jc w:val="both"/>
                  <w:rPr>
                    <w:rFonts w:ascii="Palatino Linotype" w:eastAsia="Calibri" w:hAnsi="Palatino Linotype" w:cs="Tahoma"/>
                    <w:b/>
                    <w:sz w:val="22"/>
                    <w:szCs w:val="22"/>
                    <w:lang w:eastAsia="en-US"/>
                  </w:rPr>
                </w:pPr>
              </w:p>
            </w:tc>
          </w:tr>
        </w:tbl>
        <w:p w14:paraId="7EC8D661" w14:textId="77777777" w:rsidR="00C519FA" w:rsidRDefault="00000000" w:rsidP="00C519FA">
          <w:pPr>
            <w:tabs>
              <w:tab w:val="right" w:pos="8838"/>
            </w:tabs>
            <w:spacing w:line="256" w:lineRule="auto"/>
            <w:ind w:left="-28"/>
            <w:jc w:val="both"/>
            <w:rPr>
              <w:rFonts w:ascii="Arial" w:eastAsia="Calibri" w:hAnsi="Arial" w:cs="Arial"/>
              <w:b/>
              <w:sz w:val="22"/>
              <w:szCs w:val="22"/>
              <w:lang w:eastAsia="en-US"/>
            </w:rPr>
          </w:pPr>
        </w:p>
      </w:tc>
    </w:tr>
  </w:tbl>
  <w:p w14:paraId="0567B448" w14:textId="61DE527E" w:rsidR="00C519FA" w:rsidRDefault="00836192">
    <w:pPr>
      <w:pStyle w:val="Encabezado"/>
    </w:pPr>
    <w:r>
      <w:rPr>
        <w:rFonts w:ascii="Garamond" w:eastAsia="Calibri" w:hAnsi="Garamond"/>
        <w:noProof/>
        <w:sz w:val="22"/>
        <w:szCs w:val="22"/>
        <w:lang w:eastAsia="es-MX"/>
      </w:rPr>
      <w:drawing>
        <wp:anchor distT="0" distB="0" distL="114300" distR="114300" simplePos="0" relativeHeight="251656704" behindDoc="1" locked="0" layoutInCell="0" allowOverlap="1" wp14:anchorId="00BE5D96" wp14:editId="7F04452A">
          <wp:simplePos x="0" y="0"/>
          <wp:positionH relativeFrom="margin">
            <wp:posOffset>-1381125</wp:posOffset>
          </wp:positionH>
          <wp:positionV relativeFrom="margin">
            <wp:posOffset>-1611630</wp:posOffset>
          </wp:positionV>
          <wp:extent cx="5612130" cy="7308215"/>
          <wp:effectExtent l="0" t="0" r="7620" b="698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130" cy="73082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5" w:type="dxa"/>
      <w:tblLayout w:type="fixed"/>
      <w:tblLook w:val="04A0" w:firstRow="1" w:lastRow="0" w:firstColumn="1" w:lastColumn="0" w:noHBand="0" w:noVBand="1"/>
    </w:tblPr>
    <w:tblGrid>
      <w:gridCol w:w="2972"/>
      <w:gridCol w:w="6733"/>
    </w:tblGrid>
    <w:tr w:rsidR="00C519FA" w14:paraId="6E062579" w14:textId="77777777" w:rsidTr="00C519FA">
      <w:trPr>
        <w:trHeight w:val="1435"/>
      </w:trPr>
      <w:tc>
        <w:tcPr>
          <w:tcW w:w="2972" w:type="dxa"/>
        </w:tcPr>
        <w:p w14:paraId="0B7A3F48" w14:textId="72A6E07E" w:rsidR="00C519FA" w:rsidRDefault="007D2BD0" w:rsidP="00C519FA">
          <w:pPr>
            <w:tabs>
              <w:tab w:val="right" w:pos="4273"/>
            </w:tabs>
            <w:spacing w:line="256" w:lineRule="auto"/>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2218FD0A" wp14:editId="7B52229C">
                <wp:simplePos x="0" y="0"/>
                <wp:positionH relativeFrom="margin">
                  <wp:posOffset>-1145540</wp:posOffset>
                </wp:positionH>
                <wp:positionV relativeFrom="margin">
                  <wp:posOffset>-396240</wp:posOffset>
                </wp:positionV>
                <wp:extent cx="7836195" cy="10204432"/>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6195" cy="10204432"/>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hideMark/>
        </w:tcPr>
        <w:p w14:paraId="749D89BF" w14:textId="77777777" w:rsidR="00755B38" w:rsidRDefault="00755B38"/>
        <w:tbl>
          <w:tblPr>
            <w:tblStyle w:val="Tablaconcuadrcula"/>
            <w:tblW w:w="5245" w:type="dxa"/>
            <w:tblInd w:w="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9"/>
            <w:gridCol w:w="2826"/>
          </w:tblGrid>
          <w:tr w:rsidR="00C519FA" w14:paraId="391D395B" w14:textId="77777777" w:rsidTr="00F54161">
            <w:trPr>
              <w:trHeight w:val="168"/>
            </w:trPr>
            <w:tc>
              <w:tcPr>
                <w:tcW w:w="2419" w:type="dxa"/>
                <w:hideMark/>
              </w:tcPr>
              <w:p w14:paraId="6BDA7469" w14:textId="77777777" w:rsidR="00C519FA" w:rsidRPr="008A245E" w:rsidRDefault="00D37132" w:rsidP="00C519FA">
                <w:pPr>
                  <w:tabs>
                    <w:tab w:val="right" w:pos="8838"/>
                  </w:tabs>
                  <w:ind w:left="-69"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Recurso de Revisión:</w:t>
                </w:r>
              </w:p>
            </w:tc>
            <w:tc>
              <w:tcPr>
                <w:tcW w:w="2826" w:type="dxa"/>
                <w:hideMark/>
              </w:tcPr>
              <w:p w14:paraId="36B0D662" w14:textId="1272F1D6" w:rsidR="00C519FA" w:rsidRPr="008A245E" w:rsidRDefault="00F54161" w:rsidP="00C519FA">
                <w:pPr>
                  <w:tabs>
                    <w:tab w:val="right" w:pos="8838"/>
                  </w:tabs>
                  <w:ind w:left="-74" w:right="-105"/>
                  <w:jc w:val="both"/>
                  <w:rPr>
                    <w:rFonts w:ascii="Palatino Linotype" w:eastAsia="Calibri" w:hAnsi="Palatino Linotype" w:cs="Tahoma"/>
                    <w:bCs/>
                    <w:sz w:val="22"/>
                    <w:szCs w:val="22"/>
                    <w:lang w:eastAsia="en-US"/>
                  </w:rPr>
                </w:pPr>
                <w:r w:rsidRPr="00F54161">
                  <w:rPr>
                    <w:rFonts w:ascii="Palatino Linotype" w:eastAsia="Calibri" w:hAnsi="Palatino Linotype" w:cs="Tahoma"/>
                    <w:bCs/>
                    <w:sz w:val="22"/>
                    <w:szCs w:val="22"/>
                    <w:lang w:val="es-MX" w:eastAsia="en-US"/>
                  </w:rPr>
                  <w:t>06541/INFOEM/IP/RR/2022</w:t>
                </w:r>
              </w:p>
            </w:tc>
          </w:tr>
          <w:tr w:rsidR="00C519FA" w14:paraId="15A802B1" w14:textId="77777777" w:rsidTr="00F54161">
            <w:trPr>
              <w:trHeight w:val="331"/>
            </w:trPr>
            <w:tc>
              <w:tcPr>
                <w:tcW w:w="2419" w:type="dxa"/>
                <w:hideMark/>
              </w:tcPr>
              <w:p w14:paraId="312E240A" w14:textId="77777777" w:rsidR="00C519FA" w:rsidRPr="008A245E" w:rsidRDefault="00D37132"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Sujeto Obligado:</w:t>
                </w:r>
              </w:p>
            </w:tc>
            <w:tc>
              <w:tcPr>
                <w:tcW w:w="2826" w:type="dxa"/>
                <w:hideMark/>
              </w:tcPr>
              <w:p w14:paraId="52294E27" w14:textId="57D80745" w:rsidR="00C519FA" w:rsidRPr="008A245E" w:rsidRDefault="00F54161" w:rsidP="00C519FA">
                <w:pPr>
                  <w:tabs>
                    <w:tab w:val="left" w:pos="2834"/>
                    <w:tab w:val="right" w:pos="8838"/>
                  </w:tabs>
                  <w:ind w:left="-74" w:right="-105"/>
                  <w:jc w:val="both"/>
                  <w:rPr>
                    <w:rFonts w:ascii="Palatino Linotype" w:eastAsia="Calibri" w:hAnsi="Palatino Linotype" w:cs="Tahoma"/>
                    <w:b/>
                    <w:sz w:val="22"/>
                    <w:szCs w:val="22"/>
                    <w:lang w:eastAsia="en-US"/>
                  </w:rPr>
                </w:pPr>
                <w:r w:rsidRPr="00F54161">
                  <w:rPr>
                    <w:rFonts w:ascii="Palatino Linotype" w:eastAsia="Calibri" w:hAnsi="Palatino Linotype" w:cs="Tahoma"/>
                    <w:sz w:val="22"/>
                    <w:szCs w:val="22"/>
                    <w:lang w:val="es-MX" w:eastAsia="en-US"/>
                  </w:rPr>
                  <w:t>Ayuntamiento de Santo Tomas</w:t>
                </w:r>
              </w:p>
            </w:tc>
          </w:tr>
          <w:tr w:rsidR="00C519FA" w14:paraId="445FEB22" w14:textId="77777777" w:rsidTr="00F54161">
            <w:trPr>
              <w:trHeight w:val="331"/>
            </w:trPr>
            <w:tc>
              <w:tcPr>
                <w:tcW w:w="2419" w:type="dxa"/>
                <w:hideMark/>
              </w:tcPr>
              <w:p w14:paraId="697BEF94" w14:textId="77777777" w:rsidR="00C519FA" w:rsidRPr="008A245E" w:rsidRDefault="00D37132" w:rsidP="00C519FA">
                <w:pPr>
                  <w:tabs>
                    <w:tab w:val="right" w:pos="8838"/>
                  </w:tabs>
                  <w:ind w:left="-74" w:right="-105"/>
                  <w:rPr>
                    <w:rFonts w:ascii="Palatino Linotype" w:eastAsia="Calibri" w:hAnsi="Palatino Linotype" w:cs="Tahoma"/>
                    <w:b/>
                    <w:sz w:val="22"/>
                    <w:szCs w:val="22"/>
                    <w:lang w:eastAsia="en-US"/>
                  </w:rPr>
                </w:pPr>
                <w:r w:rsidRPr="008A245E">
                  <w:rPr>
                    <w:rFonts w:ascii="Palatino Linotype" w:eastAsia="Calibri" w:hAnsi="Palatino Linotype" w:cs="Tahoma"/>
                    <w:b/>
                    <w:sz w:val="22"/>
                    <w:szCs w:val="22"/>
                    <w:lang w:eastAsia="en-US"/>
                  </w:rPr>
                  <w:t>Comisionado Ponente:</w:t>
                </w:r>
              </w:p>
            </w:tc>
            <w:tc>
              <w:tcPr>
                <w:tcW w:w="2826" w:type="dxa"/>
              </w:tcPr>
              <w:p w14:paraId="5032B53E" w14:textId="3D883E2B" w:rsidR="00C519FA" w:rsidRPr="007D2BD0" w:rsidRDefault="00D37132" w:rsidP="007D2BD0">
                <w:pPr>
                  <w:tabs>
                    <w:tab w:val="right" w:pos="8838"/>
                  </w:tabs>
                  <w:ind w:left="-74" w:right="-105"/>
                  <w:jc w:val="both"/>
                  <w:rPr>
                    <w:rFonts w:ascii="Palatino Linotype" w:eastAsia="Calibri" w:hAnsi="Palatino Linotype" w:cs="Tahoma"/>
                    <w:sz w:val="22"/>
                    <w:szCs w:val="22"/>
                    <w:lang w:eastAsia="en-US"/>
                  </w:rPr>
                </w:pPr>
                <w:r w:rsidRPr="008A245E">
                  <w:rPr>
                    <w:rFonts w:ascii="Palatino Linotype" w:eastAsia="Calibri" w:hAnsi="Palatino Linotype" w:cs="Tahoma"/>
                    <w:sz w:val="22"/>
                    <w:szCs w:val="22"/>
                    <w:lang w:eastAsia="en-US"/>
                  </w:rPr>
                  <w:t>Luis Gustavo Parra Noriega</w:t>
                </w:r>
              </w:p>
            </w:tc>
          </w:tr>
        </w:tbl>
        <w:p w14:paraId="2ECC4880" w14:textId="77777777" w:rsidR="00C519FA" w:rsidRDefault="00000000" w:rsidP="00C519FA">
          <w:pPr>
            <w:tabs>
              <w:tab w:val="right" w:pos="8838"/>
            </w:tabs>
            <w:spacing w:line="256" w:lineRule="auto"/>
            <w:ind w:left="-28"/>
            <w:jc w:val="both"/>
            <w:rPr>
              <w:rFonts w:ascii="Arial" w:eastAsia="Calibri" w:hAnsi="Arial" w:cs="Arial"/>
              <w:b/>
              <w:sz w:val="22"/>
              <w:szCs w:val="22"/>
              <w:lang w:eastAsia="en-US"/>
            </w:rPr>
          </w:pPr>
        </w:p>
      </w:tc>
    </w:tr>
  </w:tbl>
  <w:p w14:paraId="7CD87E07" w14:textId="34F6945F" w:rsidR="00C519FA" w:rsidRDefault="0000000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2" w:type="dxa"/>
      <w:tblLayout w:type="fixed"/>
      <w:tblLook w:val="04A0" w:firstRow="1" w:lastRow="0" w:firstColumn="1" w:lastColumn="0" w:noHBand="0" w:noVBand="1"/>
    </w:tblPr>
    <w:tblGrid>
      <w:gridCol w:w="3119"/>
      <w:gridCol w:w="6733"/>
    </w:tblGrid>
    <w:tr w:rsidR="00C519FA" w14:paraId="3DF2FA98" w14:textId="77777777" w:rsidTr="00B00F8E">
      <w:trPr>
        <w:trHeight w:val="1435"/>
      </w:trPr>
      <w:tc>
        <w:tcPr>
          <w:tcW w:w="3119" w:type="dxa"/>
        </w:tcPr>
        <w:p w14:paraId="41C68381" w14:textId="77777777" w:rsidR="00C519FA" w:rsidRDefault="00000000" w:rsidP="00C519FA">
          <w:pPr>
            <w:tabs>
              <w:tab w:val="right" w:pos="4273"/>
            </w:tabs>
            <w:spacing w:line="256" w:lineRule="auto"/>
            <w:rPr>
              <w:rFonts w:ascii="Garamond" w:eastAsia="Calibri" w:hAnsi="Garamond"/>
              <w:sz w:val="22"/>
              <w:szCs w:val="22"/>
              <w:lang w:eastAsia="en-US"/>
            </w:rPr>
          </w:pPr>
        </w:p>
      </w:tc>
      <w:tc>
        <w:tcPr>
          <w:tcW w:w="6733" w:type="dxa"/>
          <w:hideMark/>
        </w:tcPr>
        <w:p w14:paraId="5606C50C" w14:textId="77777777" w:rsidR="00B00F8E" w:rsidRDefault="00B00F8E"/>
        <w:tbl>
          <w:tblPr>
            <w:tblStyle w:val="Tablaconcuadrcula"/>
            <w:tblW w:w="5242" w:type="dxa"/>
            <w:tblInd w:w="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2795"/>
          </w:tblGrid>
          <w:tr w:rsidR="00C519FA" w:rsidRPr="0095634C" w14:paraId="37156598" w14:textId="77777777" w:rsidTr="00775120">
            <w:trPr>
              <w:trHeight w:val="144"/>
            </w:trPr>
            <w:tc>
              <w:tcPr>
                <w:tcW w:w="2447" w:type="dxa"/>
                <w:hideMark/>
              </w:tcPr>
              <w:p w14:paraId="77AFB3B7" w14:textId="77777777" w:rsidR="00C519FA" w:rsidRPr="0095634C" w:rsidRDefault="00D37132" w:rsidP="00C519FA">
                <w:pPr>
                  <w:tabs>
                    <w:tab w:val="right" w:pos="8838"/>
                  </w:tabs>
                  <w:ind w:left="-69"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Recurso de Revisión:</w:t>
                </w:r>
              </w:p>
            </w:tc>
            <w:tc>
              <w:tcPr>
                <w:tcW w:w="2795" w:type="dxa"/>
                <w:hideMark/>
              </w:tcPr>
              <w:p w14:paraId="2A8E7B1A" w14:textId="69DF5920" w:rsidR="00C519FA" w:rsidRPr="0095634C" w:rsidRDefault="00937375" w:rsidP="00C519FA">
                <w:pPr>
                  <w:tabs>
                    <w:tab w:val="right" w:pos="8838"/>
                  </w:tabs>
                  <w:ind w:left="-74" w:right="-105"/>
                  <w:jc w:val="both"/>
                  <w:rPr>
                    <w:rFonts w:ascii="Palatino Linotype" w:eastAsia="Calibri" w:hAnsi="Palatino Linotype" w:cs="Tahoma"/>
                    <w:sz w:val="22"/>
                    <w:szCs w:val="22"/>
                    <w:lang w:eastAsia="en-US"/>
                  </w:rPr>
                </w:pPr>
                <w:r w:rsidRPr="00937375">
                  <w:rPr>
                    <w:rFonts w:ascii="Palatino Linotype" w:eastAsia="Calibri" w:hAnsi="Palatino Linotype" w:cs="Tahoma"/>
                    <w:sz w:val="22"/>
                    <w:szCs w:val="22"/>
                    <w:lang w:val="es-MX" w:eastAsia="en-US"/>
                  </w:rPr>
                  <w:t>06541/INFOEM/IP/RR/2022</w:t>
                </w:r>
              </w:p>
            </w:tc>
          </w:tr>
          <w:tr w:rsidR="00C519FA" w:rsidRPr="0095634C" w14:paraId="7B581380" w14:textId="77777777" w:rsidTr="00775120">
            <w:trPr>
              <w:trHeight w:val="144"/>
            </w:trPr>
            <w:tc>
              <w:tcPr>
                <w:tcW w:w="2447" w:type="dxa"/>
                <w:hideMark/>
              </w:tcPr>
              <w:p w14:paraId="4AE74731"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Recurrente:</w:t>
                </w:r>
              </w:p>
            </w:tc>
            <w:tc>
              <w:tcPr>
                <w:tcW w:w="2795" w:type="dxa"/>
              </w:tcPr>
              <w:p w14:paraId="25A30DE0" w14:textId="6031015E" w:rsidR="00C519FA" w:rsidRPr="0095634C" w:rsidRDefault="00000000" w:rsidP="00C519FA">
                <w:pPr>
                  <w:tabs>
                    <w:tab w:val="left" w:pos="3122"/>
                    <w:tab w:val="right" w:pos="8838"/>
                  </w:tabs>
                  <w:ind w:left="-74" w:right="-105"/>
                  <w:jc w:val="both"/>
                  <w:rPr>
                    <w:rFonts w:ascii="Palatino Linotype" w:eastAsia="Calibri" w:hAnsi="Palatino Linotype" w:cs="Tahoma"/>
                    <w:sz w:val="22"/>
                    <w:szCs w:val="22"/>
                    <w:lang w:eastAsia="en-US"/>
                  </w:rPr>
                </w:pPr>
              </w:p>
            </w:tc>
          </w:tr>
          <w:tr w:rsidR="00C519FA" w:rsidRPr="0095634C" w14:paraId="290EEB68" w14:textId="77777777" w:rsidTr="00775120">
            <w:trPr>
              <w:trHeight w:val="283"/>
            </w:trPr>
            <w:tc>
              <w:tcPr>
                <w:tcW w:w="2447" w:type="dxa"/>
                <w:hideMark/>
              </w:tcPr>
              <w:p w14:paraId="7CF1207D"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Sujeto Obligado:</w:t>
                </w:r>
              </w:p>
            </w:tc>
            <w:tc>
              <w:tcPr>
                <w:tcW w:w="2795" w:type="dxa"/>
                <w:hideMark/>
              </w:tcPr>
              <w:p w14:paraId="49785984" w14:textId="1DA9D2D3" w:rsidR="00C519FA" w:rsidRPr="0095634C" w:rsidRDefault="00937375" w:rsidP="00C519FA">
                <w:pPr>
                  <w:tabs>
                    <w:tab w:val="left" w:pos="2834"/>
                    <w:tab w:val="right" w:pos="8838"/>
                  </w:tabs>
                  <w:ind w:left="-74" w:right="-105"/>
                  <w:jc w:val="both"/>
                  <w:rPr>
                    <w:rFonts w:ascii="Palatino Linotype" w:eastAsia="Calibri" w:hAnsi="Palatino Linotype" w:cs="Tahoma"/>
                    <w:sz w:val="22"/>
                    <w:szCs w:val="22"/>
                    <w:lang w:eastAsia="en-US"/>
                  </w:rPr>
                </w:pPr>
                <w:r w:rsidRPr="00937375">
                  <w:rPr>
                    <w:rFonts w:ascii="Palatino Linotype" w:eastAsia="Calibri" w:hAnsi="Palatino Linotype" w:cs="Tahoma"/>
                    <w:sz w:val="22"/>
                    <w:szCs w:val="22"/>
                    <w:lang w:val="es-MX" w:eastAsia="en-US"/>
                  </w:rPr>
                  <w:t>Ayuntamiento de Santo Tomas</w:t>
                </w:r>
              </w:p>
            </w:tc>
          </w:tr>
          <w:tr w:rsidR="00C519FA" w:rsidRPr="0095634C" w14:paraId="02379758" w14:textId="77777777" w:rsidTr="00775120">
            <w:trPr>
              <w:trHeight w:val="283"/>
            </w:trPr>
            <w:tc>
              <w:tcPr>
                <w:tcW w:w="2447" w:type="dxa"/>
                <w:hideMark/>
              </w:tcPr>
              <w:p w14:paraId="3C69AF13" w14:textId="77777777" w:rsidR="00C519FA" w:rsidRPr="0095634C" w:rsidRDefault="00D37132" w:rsidP="00C519FA">
                <w:pPr>
                  <w:tabs>
                    <w:tab w:val="right" w:pos="8838"/>
                  </w:tabs>
                  <w:ind w:left="-74" w:right="-105"/>
                  <w:rPr>
                    <w:rFonts w:ascii="Palatino Linotype" w:eastAsia="Calibri" w:hAnsi="Palatino Linotype" w:cs="Tahoma"/>
                    <w:b/>
                    <w:sz w:val="22"/>
                    <w:szCs w:val="22"/>
                    <w:lang w:eastAsia="en-US"/>
                  </w:rPr>
                </w:pPr>
                <w:r w:rsidRPr="0095634C">
                  <w:rPr>
                    <w:rFonts w:ascii="Palatino Linotype" w:eastAsia="Calibri" w:hAnsi="Palatino Linotype" w:cs="Tahoma"/>
                    <w:b/>
                    <w:sz w:val="22"/>
                    <w:szCs w:val="22"/>
                    <w:lang w:eastAsia="en-US"/>
                  </w:rPr>
                  <w:t>Comisionado Ponente:</w:t>
                </w:r>
              </w:p>
            </w:tc>
            <w:tc>
              <w:tcPr>
                <w:tcW w:w="2795" w:type="dxa"/>
              </w:tcPr>
              <w:p w14:paraId="4C4806BE" w14:textId="057529D5" w:rsidR="00C519FA" w:rsidRPr="00755B38" w:rsidRDefault="00D37132" w:rsidP="00755B38">
                <w:pPr>
                  <w:tabs>
                    <w:tab w:val="right" w:pos="8838"/>
                  </w:tabs>
                  <w:ind w:left="-74" w:right="-105"/>
                  <w:jc w:val="both"/>
                  <w:rPr>
                    <w:rFonts w:ascii="Palatino Linotype" w:eastAsia="Calibri" w:hAnsi="Palatino Linotype" w:cs="Tahoma"/>
                    <w:sz w:val="22"/>
                    <w:szCs w:val="22"/>
                    <w:lang w:eastAsia="en-US"/>
                  </w:rPr>
                </w:pPr>
                <w:r w:rsidRPr="0095634C">
                  <w:rPr>
                    <w:rFonts w:ascii="Palatino Linotype" w:eastAsia="Calibri" w:hAnsi="Palatino Linotype" w:cs="Tahoma"/>
                    <w:sz w:val="22"/>
                    <w:szCs w:val="22"/>
                    <w:lang w:eastAsia="en-US"/>
                  </w:rPr>
                  <w:t>Luis Gustavo Parra Noriega</w:t>
                </w:r>
              </w:p>
            </w:tc>
          </w:tr>
        </w:tbl>
        <w:p w14:paraId="29B5C929" w14:textId="77777777" w:rsidR="00C519FA" w:rsidRDefault="00000000" w:rsidP="00C519FA">
          <w:pPr>
            <w:tabs>
              <w:tab w:val="right" w:pos="8838"/>
            </w:tabs>
            <w:spacing w:line="256" w:lineRule="auto"/>
            <w:ind w:left="-28"/>
            <w:jc w:val="both"/>
            <w:rPr>
              <w:rFonts w:ascii="Arial" w:eastAsia="Calibri" w:hAnsi="Arial" w:cs="Arial"/>
              <w:b/>
              <w:sz w:val="22"/>
              <w:szCs w:val="22"/>
              <w:lang w:eastAsia="en-US"/>
            </w:rPr>
          </w:pPr>
        </w:p>
      </w:tc>
    </w:tr>
  </w:tbl>
  <w:p w14:paraId="2D847BC0" w14:textId="77777777" w:rsidR="00C519FA" w:rsidRDefault="00000000">
    <w:pPr>
      <w:pStyle w:val="Encabezado"/>
    </w:pPr>
    <w:r>
      <w:rPr>
        <w:rFonts w:ascii="Garamond" w:eastAsia="Calibri" w:hAnsi="Garamond"/>
        <w:noProof/>
        <w:sz w:val="22"/>
        <w:szCs w:val="22"/>
        <w:lang w:eastAsia="en-US"/>
      </w:rPr>
      <w:pict w14:anchorId="33B02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102.75pt;margin-top:-119.85pt;width:663.5pt;height:12in;z-index:-25165772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DC7849"/>
    <w:multiLevelType w:val="hybridMultilevel"/>
    <w:tmpl w:val="D5EE99A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1E345828"/>
    <w:multiLevelType w:val="hybridMultilevel"/>
    <w:tmpl w:val="704ED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32546DC5"/>
    <w:multiLevelType w:val="hybridMultilevel"/>
    <w:tmpl w:val="B8644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716E83"/>
    <w:multiLevelType w:val="hybridMultilevel"/>
    <w:tmpl w:val="F1448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FD6483"/>
    <w:multiLevelType w:val="hybridMultilevel"/>
    <w:tmpl w:val="9BB4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B5342B"/>
    <w:multiLevelType w:val="hybridMultilevel"/>
    <w:tmpl w:val="2CECA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B651E0F"/>
    <w:multiLevelType w:val="hybridMultilevel"/>
    <w:tmpl w:val="D5DC07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FE420D2"/>
    <w:multiLevelType w:val="hybridMultilevel"/>
    <w:tmpl w:val="C4B87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4" w15:restartNumberingAfterBreak="0">
    <w:nsid w:val="57017AF5"/>
    <w:multiLevelType w:val="hybridMultilevel"/>
    <w:tmpl w:val="9AEA926A"/>
    <w:lvl w:ilvl="0" w:tplc="8A988F1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97014E"/>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ECA45D3"/>
    <w:multiLevelType w:val="hybridMultilevel"/>
    <w:tmpl w:val="C4E06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A00AF4"/>
    <w:multiLevelType w:val="hybridMultilevel"/>
    <w:tmpl w:val="3B50DFA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2EE5368"/>
    <w:multiLevelType w:val="hybridMultilevel"/>
    <w:tmpl w:val="2506A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4982F1C"/>
    <w:multiLevelType w:val="hybridMultilevel"/>
    <w:tmpl w:val="D4F07F0A"/>
    <w:lvl w:ilvl="0" w:tplc="37ECDADE">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193A00"/>
    <w:multiLevelType w:val="hybridMultilevel"/>
    <w:tmpl w:val="8088485C"/>
    <w:lvl w:ilvl="0" w:tplc="0C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793740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3316774">
    <w:abstractNumId w:val="11"/>
  </w:num>
  <w:num w:numId="3" w16cid:durableId="1580481675">
    <w:abstractNumId w:val="1"/>
  </w:num>
  <w:num w:numId="4" w16cid:durableId="230510847">
    <w:abstractNumId w:val="10"/>
  </w:num>
  <w:num w:numId="5" w16cid:durableId="834880323">
    <w:abstractNumId w:val="9"/>
  </w:num>
  <w:num w:numId="6" w16cid:durableId="91171333">
    <w:abstractNumId w:val="4"/>
  </w:num>
  <w:num w:numId="7" w16cid:durableId="1261598622">
    <w:abstractNumId w:val="22"/>
  </w:num>
  <w:num w:numId="8" w16cid:durableId="1258177799">
    <w:abstractNumId w:val="0"/>
  </w:num>
  <w:num w:numId="9" w16cid:durableId="1719166770">
    <w:abstractNumId w:val="15"/>
  </w:num>
  <w:num w:numId="10" w16cid:durableId="1019817523">
    <w:abstractNumId w:val="16"/>
  </w:num>
  <w:num w:numId="11" w16cid:durableId="705058372">
    <w:abstractNumId w:val="3"/>
  </w:num>
  <w:num w:numId="12" w16cid:durableId="618688103">
    <w:abstractNumId w:val="13"/>
  </w:num>
  <w:num w:numId="13" w16cid:durableId="95297996">
    <w:abstractNumId w:val="19"/>
  </w:num>
  <w:num w:numId="14" w16cid:durableId="810904131">
    <w:abstractNumId w:val="6"/>
  </w:num>
  <w:num w:numId="15" w16cid:durableId="1973486444">
    <w:abstractNumId w:val="17"/>
  </w:num>
  <w:num w:numId="16" w16cid:durableId="975181575">
    <w:abstractNumId w:val="23"/>
  </w:num>
  <w:num w:numId="17" w16cid:durableId="589504888">
    <w:abstractNumId w:val="2"/>
  </w:num>
  <w:num w:numId="18" w16cid:durableId="1193764286">
    <w:abstractNumId w:val="14"/>
  </w:num>
  <w:num w:numId="19" w16cid:durableId="843396036">
    <w:abstractNumId w:val="5"/>
  </w:num>
  <w:num w:numId="20" w16cid:durableId="1776903816">
    <w:abstractNumId w:val="21"/>
  </w:num>
  <w:num w:numId="21" w16cid:durableId="374550206">
    <w:abstractNumId w:val="7"/>
  </w:num>
  <w:num w:numId="22" w16cid:durableId="8315995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06346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6451585">
    <w:abstractNumId w:val="12"/>
  </w:num>
  <w:num w:numId="25" w16cid:durableId="1731610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192"/>
    <w:rsid w:val="00007534"/>
    <w:rsid w:val="00022C39"/>
    <w:rsid w:val="00024273"/>
    <w:rsid w:val="00047219"/>
    <w:rsid w:val="000506E9"/>
    <w:rsid w:val="000565F2"/>
    <w:rsid w:val="000608EB"/>
    <w:rsid w:val="000626F3"/>
    <w:rsid w:val="00066610"/>
    <w:rsid w:val="000849BD"/>
    <w:rsid w:val="000A3F89"/>
    <w:rsid w:val="000A4F1B"/>
    <w:rsid w:val="000A58EE"/>
    <w:rsid w:val="000A6377"/>
    <w:rsid w:val="000B3087"/>
    <w:rsid w:val="000B7ED7"/>
    <w:rsid w:val="000C6A5E"/>
    <w:rsid w:val="000D42FE"/>
    <w:rsid w:val="000D77EA"/>
    <w:rsid w:val="000D7EB2"/>
    <w:rsid w:val="000E0240"/>
    <w:rsid w:val="000F2857"/>
    <w:rsid w:val="00104D7E"/>
    <w:rsid w:val="00121F26"/>
    <w:rsid w:val="0012296F"/>
    <w:rsid w:val="00130F94"/>
    <w:rsid w:val="0013794C"/>
    <w:rsid w:val="00141242"/>
    <w:rsid w:val="00160192"/>
    <w:rsid w:val="00160BED"/>
    <w:rsid w:val="00161E09"/>
    <w:rsid w:val="001A2DD6"/>
    <w:rsid w:val="001A6B7A"/>
    <w:rsid w:val="001A75F6"/>
    <w:rsid w:val="001B6873"/>
    <w:rsid w:val="001D7603"/>
    <w:rsid w:val="001F3838"/>
    <w:rsid w:val="001F4A4B"/>
    <w:rsid w:val="001F5C48"/>
    <w:rsid w:val="00211B95"/>
    <w:rsid w:val="00213A5A"/>
    <w:rsid w:val="00230F62"/>
    <w:rsid w:val="00231A8C"/>
    <w:rsid w:val="00235CE7"/>
    <w:rsid w:val="0024466A"/>
    <w:rsid w:val="002476E5"/>
    <w:rsid w:val="0025140F"/>
    <w:rsid w:val="00257CC5"/>
    <w:rsid w:val="002747DD"/>
    <w:rsid w:val="00274919"/>
    <w:rsid w:val="00275A69"/>
    <w:rsid w:val="00276C92"/>
    <w:rsid w:val="00281696"/>
    <w:rsid w:val="002907E0"/>
    <w:rsid w:val="002A1427"/>
    <w:rsid w:val="002A4913"/>
    <w:rsid w:val="002C2674"/>
    <w:rsid w:val="002C42E8"/>
    <w:rsid w:val="002D2338"/>
    <w:rsid w:val="002E75CA"/>
    <w:rsid w:val="002F4964"/>
    <w:rsid w:val="0030752D"/>
    <w:rsid w:val="00307A43"/>
    <w:rsid w:val="00310DE3"/>
    <w:rsid w:val="00316110"/>
    <w:rsid w:val="00351FB0"/>
    <w:rsid w:val="00361539"/>
    <w:rsid w:val="00366F72"/>
    <w:rsid w:val="00375D3D"/>
    <w:rsid w:val="00383E91"/>
    <w:rsid w:val="003843D7"/>
    <w:rsid w:val="00392421"/>
    <w:rsid w:val="00394135"/>
    <w:rsid w:val="00396CB6"/>
    <w:rsid w:val="003A1940"/>
    <w:rsid w:val="003A3252"/>
    <w:rsid w:val="003A3625"/>
    <w:rsid w:val="003B1674"/>
    <w:rsid w:val="003B4D47"/>
    <w:rsid w:val="003D0DA5"/>
    <w:rsid w:val="003D1134"/>
    <w:rsid w:val="003D1F3F"/>
    <w:rsid w:val="003D3706"/>
    <w:rsid w:val="003D4E7B"/>
    <w:rsid w:val="003D6308"/>
    <w:rsid w:val="003E046E"/>
    <w:rsid w:val="003E1986"/>
    <w:rsid w:val="003F04D2"/>
    <w:rsid w:val="003F4A60"/>
    <w:rsid w:val="0040040C"/>
    <w:rsid w:val="004042A4"/>
    <w:rsid w:val="00404C68"/>
    <w:rsid w:val="00410D13"/>
    <w:rsid w:val="00414E74"/>
    <w:rsid w:val="0042103F"/>
    <w:rsid w:val="00423962"/>
    <w:rsid w:val="004247F0"/>
    <w:rsid w:val="004255FE"/>
    <w:rsid w:val="004417B6"/>
    <w:rsid w:val="0044419C"/>
    <w:rsid w:val="00454419"/>
    <w:rsid w:val="00471953"/>
    <w:rsid w:val="004763E5"/>
    <w:rsid w:val="0048127C"/>
    <w:rsid w:val="004A0555"/>
    <w:rsid w:val="004A0BF6"/>
    <w:rsid w:val="004A6B19"/>
    <w:rsid w:val="004B218A"/>
    <w:rsid w:val="004B4916"/>
    <w:rsid w:val="004B5166"/>
    <w:rsid w:val="004C23F8"/>
    <w:rsid w:val="004C3562"/>
    <w:rsid w:val="004D6299"/>
    <w:rsid w:val="004E02C5"/>
    <w:rsid w:val="004F07FB"/>
    <w:rsid w:val="00502E9F"/>
    <w:rsid w:val="00504814"/>
    <w:rsid w:val="00507592"/>
    <w:rsid w:val="00514206"/>
    <w:rsid w:val="005164C7"/>
    <w:rsid w:val="0051795D"/>
    <w:rsid w:val="00522842"/>
    <w:rsid w:val="00523125"/>
    <w:rsid w:val="00530E2A"/>
    <w:rsid w:val="00534797"/>
    <w:rsid w:val="00545AC9"/>
    <w:rsid w:val="00546555"/>
    <w:rsid w:val="00557323"/>
    <w:rsid w:val="005626A1"/>
    <w:rsid w:val="005726A2"/>
    <w:rsid w:val="005864BF"/>
    <w:rsid w:val="00586904"/>
    <w:rsid w:val="00590D0A"/>
    <w:rsid w:val="005914CC"/>
    <w:rsid w:val="00596B4A"/>
    <w:rsid w:val="005A1F35"/>
    <w:rsid w:val="005A79E2"/>
    <w:rsid w:val="005C07B0"/>
    <w:rsid w:val="005D2E5D"/>
    <w:rsid w:val="005E073D"/>
    <w:rsid w:val="005E3569"/>
    <w:rsid w:val="005E4A8A"/>
    <w:rsid w:val="005E4EE4"/>
    <w:rsid w:val="006046B1"/>
    <w:rsid w:val="006157BB"/>
    <w:rsid w:val="006208B0"/>
    <w:rsid w:val="00621704"/>
    <w:rsid w:val="006248CB"/>
    <w:rsid w:val="00630EB5"/>
    <w:rsid w:val="00647F54"/>
    <w:rsid w:val="00650F54"/>
    <w:rsid w:val="00651A66"/>
    <w:rsid w:val="0066126D"/>
    <w:rsid w:val="00672ADC"/>
    <w:rsid w:val="00675A95"/>
    <w:rsid w:val="0069089F"/>
    <w:rsid w:val="006B5A03"/>
    <w:rsid w:val="006B5DC1"/>
    <w:rsid w:val="006C59AB"/>
    <w:rsid w:val="006D4281"/>
    <w:rsid w:val="006F1504"/>
    <w:rsid w:val="006F1A32"/>
    <w:rsid w:val="006F29FC"/>
    <w:rsid w:val="00713AA7"/>
    <w:rsid w:val="00715A13"/>
    <w:rsid w:val="0071724E"/>
    <w:rsid w:val="00746888"/>
    <w:rsid w:val="00755B38"/>
    <w:rsid w:val="007563E0"/>
    <w:rsid w:val="00765BA5"/>
    <w:rsid w:val="0077039D"/>
    <w:rsid w:val="00775120"/>
    <w:rsid w:val="007A7DE9"/>
    <w:rsid w:val="007B1E8E"/>
    <w:rsid w:val="007B4264"/>
    <w:rsid w:val="007B7200"/>
    <w:rsid w:val="007B7A1E"/>
    <w:rsid w:val="007D06F3"/>
    <w:rsid w:val="007D2BD0"/>
    <w:rsid w:val="007D3EE1"/>
    <w:rsid w:val="007E611F"/>
    <w:rsid w:val="007F5A69"/>
    <w:rsid w:val="007F7D7B"/>
    <w:rsid w:val="008110DA"/>
    <w:rsid w:val="00823065"/>
    <w:rsid w:val="00831399"/>
    <w:rsid w:val="00836192"/>
    <w:rsid w:val="00836CE5"/>
    <w:rsid w:val="008455E3"/>
    <w:rsid w:val="0086262C"/>
    <w:rsid w:val="00871DE3"/>
    <w:rsid w:val="00877872"/>
    <w:rsid w:val="008A30AE"/>
    <w:rsid w:val="008B0751"/>
    <w:rsid w:val="008B0ADF"/>
    <w:rsid w:val="008B5B2C"/>
    <w:rsid w:val="008D065B"/>
    <w:rsid w:val="008D0BE8"/>
    <w:rsid w:val="00901698"/>
    <w:rsid w:val="00917F65"/>
    <w:rsid w:val="00920B51"/>
    <w:rsid w:val="009219A8"/>
    <w:rsid w:val="009220A2"/>
    <w:rsid w:val="00925AC8"/>
    <w:rsid w:val="00926AED"/>
    <w:rsid w:val="00932E46"/>
    <w:rsid w:val="0093476C"/>
    <w:rsid w:val="00937375"/>
    <w:rsid w:val="00940F71"/>
    <w:rsid w:val="00942E82"/>
    <w:rsid w:val="009447E4"/>
    <w:rsid w:val="009473E5"/>
    <w:rsid w:val="00954786"/>
    <w:rsid w:val="0095634C"/>
    <w:rsid w:val="00971DE8"/>
    <w:rsid w:val="00985BD9"/>
    <w:rsid w:val="00987E45"/>
    <w:rsid w:val="009914FC"/>
    <w:rsid w:val="0099190D"/>
    <w:rsid w:val="00993A49"/>
    <w:rsid w:val="009A6A7F"/>
    <w:rsid w:val="009D0B60"/>
    <w:rsid w:val="009D0EAF"/>
    <w:rsid w:val="009E36CA"/>
    <w:rsid w:val="009E7D9C"/>
    <w:rsid w:val="009F3053"/>
    <w:rsid w:val="00A047C2"/>
    <w:rsid w:val="00A10051"/>
    <w:rsid w:val="00A10576"/>
    <w:rsid w:val="00A1187B"/>
    <w:rsid w:val="00A12F9C"/>
    <w:rsid w:val="00A264D5"/>
    <w:rsid w:val="00A317C4"/>
    <w:rsid w:val="00A4060C"/>
    <w:rsid w:val="00A6038A"/>
    <w:rsid w:val="00A61B02"/>
    <w:rsid w:val="00A828B7"/>
    <w:rsid w:val="00A84C18"/>
    <w:rsid w:val="00A8545A"/>
    <w:rsid w:val="00A8670F"/>
    <w:rsid w:val="00AB0CC4"/>
    <w:rsid w:val="00AB1859"/>
    <w:rsid w:val="00AB1DB6"/>
    <w:rsid w:val="00AD49A5"/>
    <w:rsid w:val="00AE38E0"/>
    <w:rsid w:val="00AE5D0C"/>
    <w:rsid w:val="00AE6491"/>
    <w:rsid w:val="00AF1BE3"/>
    <w:rsid w:val="00AF331C"/>
    <w:rsid w:val="00B00F8E"/>
    <w:rsid w:val="00B16987"/>
    <w:rsid w:val="00B204C6"/>
    <w:rsid w:val="00B312A0"/>
    <w:rsid w:val="00B350F7"/>
    <w:rsid w:val="00B5029F"/>
    <w:rsid w:val="00B51BBC"/>
    <w:rsid w:val="00B61001"/>
    <w:rsid w:val="00B62828"/>
    <w:rsid w:val="00B633C1"/>
    <w:rsid w:val="00B6391B"/>
    <w:rsid w:val="00B64B2F"/>
    <w:rsid w:val="00B725E2"/>
    <w:rsid w:val="00B86CB4"/>
    <w:rsid w:val="00BA0249"/>
    <w:rsid w:val="00BB3D12"/>
    <w:rsid w:val="00BB6DA1"/>
    <w:rsid w:val="00BC1956"/>
    <w:rsid w:val="00BD0552"/>
    <w:rsid w:val="00BD402D"/>
    <w:rsid w:val="00BE3FD4"/>
    <w:rsid w:val="00BE6B4C"/>
    <w:rsid w:val="00BF1A54"/>
    <w:rsid w:val="00BF2061"/>
    <w:rsid w:val="00BF2B49"/>
    <w:rsid w:val="00C108A7"/>
    <w:rsid w:val="00C10FE7"/>
    <w:rsid w:val="00C43D9A"/>
    <w:rsid w:val="00C45523"/>
    <w:rsid w:val="00C54A2A"/>
    <w:rsid w:val="00C550BF"/>
    <w:rsid w:val="00C63B22"/>
    <w:rsid w:val="00C80901"/>
    <w:rsid w:val="00C9586A"/>
    <w:rsid w:val="00CA3066"/>
    <w:rsid w:val="00CB7549"/>
    <w:rsid w:val="00CC409B"/>
    <w:rsid w:val="00CD4DB4"/>
    <w:rsid w:val="00CD7D3C"/>
    <w:rsid w:val="00CE6FBD"/>
    <w:rsid w:val="00CF2A60"/>
    <w:rsid w:val="00CF6D4F"/>
    <w:rsid w:val="00D06AB1"/>
    <w:rsid w:val="00D251D1"/>
    <w:rsid w:val="00D33435"/>
    <w:rsid w:val="00D33CDC"/>
    <w:rsid w:val="00D36A60"/>
    <w:rsid w:val="00D37132"/>
    <w:rsid w:val="00D41CFA"/>
    <w:rsid w:val="00D42E58"/>
    <w:rsid w:val="00D4637F"/>
    <w:rsid w:val="00D618BD"/>
    <w:rsid w:val="00D772FA"/>
    <w:rsid w:val="00D86214"/>
    <w:rsid w:val="00D9643B"/>
    <w:rsid w:val="00DA15E4"/>
    <w:rsid w:val="00DB299F"/>
    <w:rsid w:val="00DB3B13"/>
    <w:rsid w:val="00DC23F9"/>
    <w:rsid w:val="00DD5B01"/>
    <w:rsid w:val="00DD6F15"/>
    <w:rsid w:val="00DE25AA"/>
    <w:rsid w:val="00DF4C52"/>
    <w:rsid w:val="00E03B6C"/>
    <w:rsid w:val="00E102F7"/>
    <w:rsid w:val="00E10784"/>
    <w:rsid w:val="00E12FF2"/>
    <w:rsid w:val="00E22CD8"/>
    <w:rsid w:val="00E24695"/>
    <w:rsid w:val="00E40B0B"/>
    <w:rsid w:val="00E40D83"/>
    <w:rsid w:val="00E4176B"/>
    <w:rsid w:val="00E4341A"/>
    <w:rsid w:val="00E438B3"/>
    <w:rsid w:val="00E4516B"/>
    <w:rsid w:val="00E4656C"/>
    <w:rsid w:val="00E66FD9"/>
    <w:rsid w:val="00E749CF"/>
    <w:rsid w:val="00E82D16"/>
    <w:rsid w:val="00E87C5B"/>
    <w:rsid w:val="00E950B4"/>
    <w:rsid w:val="00EA7CDF"/>
    <w:rsid w:val="00EE1986"/>
    <w:rsid w:val="00EE21F3"/>
    <w:rsid w:val="00F17764"/>
    <w:rsid w:val="00F245A5"/>
    <w:rsid w:val="00F316A7"/>
    <w:rsid w:val="00F50AD9"/>
    <w:rsid w:val="00F52199"/>
    <w:rsid w:val="00F54161"/>
    <w:rsid w:val="00F55277"/>
    <w:rsid w:val="00F56BE6"/>
    <w:rsid w:val="00F57945"/>
    <w:rsid w:val="00F63667"/>
    <w:rsid w:val="00F642A7"/>
    <w:rsid w:val="00F67994"/>
    <w:rsid w:val="00F70958"/>
    <w:rsid w:val="00F83F45"/>
    <w:rsid w:val="00F8437C"/>
    <w:rsid w:val="00F846C1"/>
    <w:rsid w:val="00F86B39"/>
    <w:rsid w:val="00F95318"/>
    <w:rsid w:val="00FA2832"/>
    <w:rsid w:val="00FB0455"/>
    <w:rsid w:val="00FB4630"/>
    <w:rsid w:val="00FD238F"/>
    <w:rsid w:val="00FD3144"/>
    <w:rsid w:val="00FD6DF3"/>
    <w:rsid w:val="00FE0D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BB918"/>
  <w15:chartTrackingRefBased/>
  <w15:docId w15:val="{105D70A6-AB9E-4A59-B6CD-3CB4F1394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19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aliases w:val="Hipervínculo1,Hipervínculo11,Hipervínculo12,Hipervínculo13,Hipervínculo14,Hipervínculo15"/>
    <w:basedOn w:val="Fuentedeprrafopredeter"/>
    <w:uiPriority w:val="99"/>
    <w:unhideWhenUsed/>
    <w:qFormat/>
    <w:rsid w:val="00836192"/>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836192"/>
    <w:rPr>
      <w:rFonts w:ascii="Century Gothic" w:eastAsia="Times New Roman" w:hAnsi="Century Gothic"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6192"/>
    <w:pPr>
      <w:ind w:left="720"/>
      <w:contextualSpacing/>
    </w:pPr>
    <w:rPr>
      <w:rFonts w:ascii="Century Gothic" w:hAnsi="Century Gothic"/>
      <w:sz w:val="22"/>
      <w:szCs w:val="24"/>
    </w:rPr>
  </w:style>
  <w:style w:type="table" w:styleId="Tablaconcuadrcula">
    <w:name w:val="Table Grid"/>
    <w:basedOn w:val="Tablanormal"/>
    <w:uiPriority w:val="39"/>
    <w:rsid w:val="00836192"/>
    <w:pPr>
      <w:spacing w:after="0" w:line="240" w:lineRule="auto"/>
    </w:pPr>
    <w:rPr>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36192"/>
    <w:pPr>
      <w:tabs>
        <w:tab w:val="center" w:pos="4419"/>
        <w:tab w:val="right" w:pos="8838"/>
      </w:tabs>
    </w:pPr>
  </w:style>
  <w:style w:type="character" w:customStyle="1" w:styleId="EncabezadoCar">
    <w:name w:val="Encabezado Car"/>
    <w:basedOn w:val="Fuentedeprrafopredeter"/>
    <w:link w:val="Encabezado"/>
    <w:uiPriority w:val="99"/>
    <w:rsid w:val="0083619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36192"/>
    <w:pPr>
      <w:tabs>
        <w:tab w:val="center" w:pos="4419"/>
        <w:tab w:val="right" w:pos="8838"/>
      </w:tabs>
    </w:pPr>
  </w:style>
  <w:style w:type="character" w:customStyle="1" w:styleId="PiedepginaCar">
    <w:name w:val="Pie de página Car"/>
    <w:basedOn w:val="Fuentedeprrafopredeter"/>
    <w:link w:val="Piedepgina"/>
    <w:uiPriority w:val="99"/>
    <w:rsid w:val="00836192"/>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836192"/>
    <w:pPr>
      <w:spacing w:after="160" w:line="259" w:lineRule="auto"/>
      <w:jc w:val="both"/>
    </w:pPr>
    <w:rPr>
      <w:rFonts w:eastAsiaTheme="minorHAnsi"/>
      <w:color w:val="000000" w:themeColor="text1"/>
      <w:sz w:val="24"/>
      <w:szCs w:val="24"/>
      <w:lang w:eastAsia="en-US"/>
    </w:rPr>
  </w:style>
  <w:style w:type="character" w:styleId="Hipervnculovisitado">
    <w:name w:val="FollowedHyperlink"/>
    <w:basedOn w:val="Fuentedeprrafopredeter"/>
    <w:uiPriority w:val="99"/>
    <w:semiHidden/>
    <w:unhideWhenUsed/>
    <w:rsid w:val="00504814"/>
    <w:rPr>
      <w:color w:val="954F72" w:themeColor="followedHyperlink"/>
      <w:u w:val="single"/>
    </w:rPr>
  </w:style>
  <w:style w:type="character" w:styleId="Mencinsinresolver">
    <w:name w:val="Unresolved Mention"/>
    <w:basedOn w:val="Fuentedeprrafopredeter"/>
    <w:uiPriority w:val="99"/>
    <w:semiHidden/>
    <w:unhideWhenUsed/>
    <w:rsid w:val="00410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3145">
      <w:bodyDiv w:val="1"/>
      <w:marLeft w:val="0"/>
      <w:marRight w:val="0"/>
      <w:marTop w:val="0"/>
      <w:marBottom w:val="0"/>
      <w:divBdr>
        <w:top w:val="none" w:sz="0" w:space="0" w:color="auto"/>
        <w:left w:val="none" w:sz="0" w:space="0" w:color="auto"/>
        <w:bottom w:val="none" w:sz="0" w:space="0" w:color="auto"/>
        <w:right w:val="none" w:sz="0" w:space="0" w:color="auto"/>
      </w:divBdr>
    </w:div>
    <w:div w:id="136841091">
      <w:bodyDiv w:val="1"/>
      <w:marLeft w:val="0"/>
      <w:marRight w:val="0"/>
      <w:marTop w:val="0"/>
      <w:marBottom w:val="0"/>
      <w:divBdr>
        <w:top w:val="none" w:sz="0" w:space="0" w:color="auto"/>
        <w:left w:val="none" w:sz="0" w:space="0" w:color="auto"/>
        <w:bottom w:val="none" w:sz="0" w:space="0" w:color="auto"/>
        <w:right w:val="none" w:sz="0" w:space="0" w:color="auto"/>
      </w:divBdr>
    </w:div>
    <w:div w:id="438645319">
      <w:bodyDiv w:val="1"/>
      <w:marLeft w:val="0"/>
      <w:marRight w:val="0"/>
      <w:marTop w:val="0"/>
      <w:marBottom w:val="0"/>
      <w:divBdr>
        <w:top w:val="none" w:sz="0" w:space="0" w:color="auto"/>
        <w:left w:val="none" w:sz="0" w:space="0" w:color="auto"/>
        <w:bottom w:val="none" w:sz="0" w:space="0" w:color="auto"/>
        <w:right w:val="none" w:sz="0" w:space="0" w:color="auto"/>
      </w:divBdr>
    </w:div>
    <w:div w:id="459805247">
      <w:bodyDiv w:val="1"/>
      <w:marLeft w:val="0"/>
      <w:marRight w:val="0"/>
      <w:marTop w:val="0"/>
      <w:marBottom w:val="0"/>
      <w:divBdr>
        <w:top w:val="none" w:sz="0" w:space="0" w:color="auto"/>
        <w:left w:val="none" w:sz="0" w:space="0" w:color="auto"/>
        <w:bottom w:val="none" w:sz="0" w:space="0" w:color="auto"/>
        <w:right w:val="none" w:sz="0" w:space="0" w:color="auto"/>
      </w:divBdr>
    </w:div>
    <w:div w:id="960183657">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507597338">
      <w:bodyDiv w:val="1"/>
      <w:marLeft w:val="0"/>
      <w:marRight w:val="0"/>
      <w:marTop w:val="0"/>
      <w:marBottom w:val="0"/>
      <w:divBdr>
        <w:top w:val="none" w:sz="0" w:space="0" w:color="auto"/>
        <w:left w:val="none" w:sz="0" w:space="0" w:color="auto"/>
        <w:bottom w:val="none" w:sz="0" w:space="0" w:color="auto"/>
        <w:right w:val="none" w:sz="0" w:space="0" w:color="auto"/>
      </w:divBdr>
    </w:div>
    <w:div w:id="1674913033">
      <w:bodyDiv w:val="1"/>
      <w:marLeft w:val="0"/>
      <w:marRight w:val="0"/>
      <w:marTop w:val="0"/>
      <w:marBottom w:val="0"/>
      <w:divBdr>
        <w:top w:val="none" w:sz="0" w:space="0" w:color="auto"/>
        <w:left w:val="none" w:sz="0" w:space="0" w:color="auto"/>
        <w:bottom w:val="none" w:sz="0" w:space="0" w:color="auto"/>
        <w:right w:val="none" w:sz="0" w:space="0" w:color="auto"/>
      </w:divBdr>
    </w:div>
    <w:div w:id="1682782398">
      <w:bodyDiv w:val="1"/>
      <w:marLeft w:val="0"/>
      <w:marRight w:val="0"/>
      <w:marTop w:val="0"/>
      <w:marBottom w:val="0"/>
      <w:divBdr>
        <w:top w:val="none" w:sz="0" w:space="0" w:color="auto"/>
        <w:left w:val="none" w:sz="0" w:space="0" w:color="auto"/>
        <w:bottom w:val="none" w:sz="0" w:space="0" w:color="auto"/>
        <w:right w:val="none" w:sz="0" w:space="0" w:color="auto"/>
      </w:divBdr>
    </w:div>
    <w:div w:id="1851484890">
      <w:bodyDiv w:val="1"/>
      <w:marLeft w:val="0"/>
      <w:marRight w:val="0"/>
      <w:marTop w:val="0"/>
      <w:marBottom w:val="0"/>
      <w:divBdr>
        <w:top w:val="none" w:sz="0" w:space="0" w:color="auto"/>
        <w:left w:val="none" w:sz="0" w:space="0" w:color="auto"/>
        <w:bottom w:val="none" w:sz="0" w:space="0" w:color="auto"/>
        <w:right w:val="none" w:sz="0" w:space="0" w:color="auto"/>
      </w:divBdr>
    </w:div>
    <w:div w:id="1913391181">
      <w:bodyDiv w:val="1"/>
      <w:marLeft w:val="0"/>
      <w:marRight w:val="0"/>
      <w:marTop w:val="0"/>
      <w:marBottom w:val="0"/>
      <w:divBdr>
        <w:top w:val="none" w:sz="0" w:space="0" w:color="auto"/>
        <w:left w:val="none" w:sz="0" w:space="0" w:color="auto"/>
        <w:bottom w:val="none" w:sz="0" w:space="0" w:color="auto"/>
        <w:right w:val="none" w:sz="0" w:space="0" w:color="auto"/>
      </w:divBdr>
    </w:div>
    <w:div w:id="1984313276">
      <w:bodyDiv w:val="1"/>
      <w:marLeft w:val="0"/>
      <w:marRight w:val="0"/>
      <w:marTop w:val="0"/>
      <w:marBottom w:val="0"/>
      <w:divBdr>
        <w:top w:val="none" w:sz="0" w:space="0" w:color="auto"/>
        <w:left w:val="none" w:sz="0" w:space="0" w:color="auto"/>
        <w:bottom w:val="none" w:sz="0" w:space="0" w:color="auto"/>
        <w:right w:val="none" w:sz="0" w:space="0" w:color="auto"/>
      </w:divBdr>
    </w:div>
    <w:div w:id="211335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daranet.secogem.gob.m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omex.gob.mx/sites/edomex.gob.mx/files/files/39.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ortal.secogem.gob.mx/declara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86E34-583C-491D-B897-FA4EF2302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5323</Words>
  <Characters>29281</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José Fernando Lobato Rodríguez</cp:lastModifiedBy>
  <cp:revision>2</cp:revision>
  <dcterms:created xsi:type="dcterms:W3CDTF">2022-08-24T16:30:00Z</dcterms:created>
  <dcterms:modified xsi:type="dcterms:W3CDTF">2022-08-24T16:30:00Z</dcterms:modified>
</cp:coreProperties>
</file>