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w:t>
      </w:r>
      <w:r w:rsidR="009056A3">
        <w:rPr>
          <w:rFonts w:ascii="Palatino Linotype" w:eastAsia="Palatino Linotype" w:hAnsi="Palatino Linotype" w:cs="Palatino Linotype"/>
          <w:color w:val="000000"/>
          <w:sz w:val="24"/>
          <w:szCs w:val="24"/>
        </w:rPr>
        <w:t xml:space="preserve"> diecisiete de agosto</w:t>
      </w:r>
      <w:r>
        <w:rPr>
          <w:rFonts w:ascii="Palatino Linotype" w:eastAsia="Palatino Linotype" w:hAnsi="Palatino Linotype" w:cs="Palatino Linotype"/>
          <w:color w:val="000000"/>
          <w:sz w:val="24"/>
          <w:szCs w:val="24"/>
        </w:rPr>
        <w:t xml:space="preserve"> de dos mil veintidós.</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w:t>
      </w:r>
      <w:r w:rsidR="00CE181A">
        <w:rPr>
          <w:rFonts w:ascii="Palatino Linotype" w:eastAsia="Palatino Linotype" w:hAnsi="Palatino Linotype" w:cs="Palatino Linotype"/>
          <w:b/>
          <w:color w:val="000000"/>
          <w:sz w:val="24"/>
          <w:szCs w:val="24"/>
        </w:rPr>
        <w:t>10460</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00290E46">
        <w:rPr>
          <w:rFonts w:ascii="Palatino Linotype" w:eastAsia="Palatino Linotype" w:hAnsi="Palatino Linotype" w:cs="Palatino Linotype"/>
          <w:b/>
          <w:color w:val="000000"/>
          <w:sz w:val="24"/>
          <w:szCs w:val="24"/>
        </w:rPr>
        <w:t>XXXXXXXXXXXXXXXXXX</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Pr="00560A25">
        <w:rPr>
          <w:rFonts w:ascii="Palatino Linotype" w:hAnsi="Palatino Linotype" w:cs="Arial"/>
          <w:b/>
          <w:sz w:val="24"/>
          <w:szCs w:val="24"/>
        </w:rPr>
        <w:t>Ayuntamiento de Metepec</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65CF" w:rsidRDefault="00AB65CF" w:rsidP="00AB65CF">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AB65CF" w:rsidRPr="00B54BC7"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CE181A">
        <w:rPr>
          <w:rFonts w:ascii="Palatino Linotype" w:eastAsia="Palatino Linotype" w:hAnsi="Palatino Linotype" w:cs="Palatino Linotype"/>
          <w:color w:val="000000"/>
          <w:sz w:val="24"/>
          <w:szCs w:val="24"/>
        </w:rPr>
        <w:t xml:space="preserve">veintinueve de abril </w:t>
      </w:r>
      <w:r>
        <w:rPr>
          <w:rFonts w:ascii="Palatino Linotype" w:eastAsia="Palatino Linotype" w:hAnsi="Palatino Linotype" w:cs="Palatino Linotype"/>
          <w:color w:val="000000"/>
          <w:sz w:val="24"/>
          <w:szCs w:val="24"/>
        </w:rPr>
        <w:t xml:space="preserve">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00CE181A" w:rsidRPr="00CE181A">
        <w:rPr>
          <w:rFonts w:ascii="Palatino Linotype" w:eastAsia="Palatino Linotype" w:hAnsi="Palatino Linotype" w:cs="Palatino Linotype"/>
          <w:b/>
          <w:bCs/>
          <w:color w:val="000000"/>
          <w:sz w:val="24"/>
          <w:szCs w:val="24"/>
        </w:rPr>
        <w:t>03349/METEPEC/IP/2022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65CF" w:rsidRDefault="00AB65CF" w:rsidP="00AB65C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E181A" w:rsidRPr="00CE181A">
        <w:rPr>
          <w:rFonts w:ascii="Palatino Linotype" w:eastAsia="Palatino Linotype" w:hAnsi="Palatino Linotype" w:cs="Palatino Linotype"/>
          <w:i/>
          <w:color w:val="000000"/>
        </w:rPr>
        <w:t xml:space="preserve">Muy buenos días, vengo a presentar ante usted una denuncia ciudadana, en pleno ejercicio de mis derechos y oriundo del municipio de Metepec, me encuentro sumamente preocupado por una construcción de alto impacto contando con un terreno de 9561 metros cuadrados y construcción 4688.00 que se encuentra en boulevard José María Morelos y Pavón s/n, antes Av. CODAGEM s/n, Pueblo de San Lorenzo Coacalco, el Municipio de Metepec, esta construcción es un Colegio denominado Árbol de la Vida, contando con una matriculo 120 alumnos aproximadamente, dicha construcción no cuenta con dictámenes y/o evaluaciones ni licencias tanto del municipio como del estado. Por lo anterior solicito: Solicito Investigar y me informe si el Colegio denominado Árbol de la Vida ubicado en boulevard José María </w:t>
      </w:r>
      <w:r w:rsidR="00CE181A" w:rsidRPr="00CE181A">
        <w:rPr>
          <w:rFonts w:ascii="Palatino Linotype" w:eastAsia="Palatino Linotype" w:hAnsi="Palatino Linotype" w:cs="Palatino Linotype"/>
          <w:i/>
          <w:color w:val="000000"/>
        </w:rPr>
        <w:lastRenderedPageBreak/>
        <w:t>Morelos y Pavón s/n, antes Av. CODAGEM s/n, Pueblo de San Lorenzo Coacalco, el Municipio de Metepec, cuenta con todos los elementos administrativos y autorizaciones (dictámenes y/o evaluaciones) necesarios para su funcionamiento. Dado que la escuela se encuentra en total irregularidad en construcción me gustaría saber el Ayuntamiento mediante sus direcciones correspondientemente realizan visitas de supervisión a la escuelas, dado que la misma se encentra en remodelación sin autorización correspondientes de la autoridad municipal y estatal, por lo que ante tales faltas me gustaría saber si se estaría ante la violaciones graves a los derechos humanos a la legalidad, a la seguridad jurídica, a la vida, a la verdad y al interés superior de la niñez, en agravio de los alumnos y personal del colegio denominado Árbol de la Vida, por estar en peligro su vida. Solicito se realice y se informe visita de verificación al Colegio denominado Árbol de la Vida ubicado en boulevard José María Morelos y Pavón s/n, antes Av. CODAGEM s/n, Pueblo de San Lorenzo Coacalco, el Municipio de Metepec, por no contar con las autorizaciones, dictámenes y/o evaluaciones correspondientes Solicito se promuevan las acciones que conforme a derecho procedan la regularización de la escuela y de ser posible su clausura. Como ciudadano tengo el temor que derivada de las irregularidades en la que se encuentra el Colegio denominado Árbol de la Vida ubicado en boulevard José María Morelos y Pavón s/n, antes Av. CODAGEM s/n, Pueblo de San Lorenzo Coacalco, el Municipio de Metepec, colapse dando como resultado posibles afectaciones a menos de edad.</w:t>
      </w:r>
      <w:r>
        <w:rPr>
          <w:rFonts w:ascii="Palatino Linotype" w:eastAsia="Palatino Linotype" w:hAnsi="Palatino Linotype" w:cs="Palatino Linotype"/>
          <w:i/>
          <w:color w:val="000000"/>
        </w:rPr>
        <w:t>” (Sic)</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E181A" w:rsidRDefault="00CE181A"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Se </w:t>
      </w:r>
      <w:r w:rsidR="00FC7D10">
        <w:rPr>
          <w:rFonts w:ascii="Palatino Linotype" w:eastAsia="Palatino Linotype" w:hAnsi="Palatino Linotype" w:cs="Palatino Linotype"/>
          <w:color w:val="000000"/>
          <w:sz w:val="24"/>
          <w:szCs w:val="24"/>
        </w:rPr>
        <w:t>hace constar que el Particular</w:t>
      </w:r>
      <w:r>
        <w:rPr>
          <w:rFonts w:ascii="Palatino Linotype" w:eastAsia="Palatino Linotype" w:hAnsi="Palatino Linotype" w:cs="Palatino Linotype"/>
          <w:color w:val="000000"/>
          <w:sz w:val="24"/>
          <w:szCs w:val="24"/>
        </w:rPr>
        <w:t xml:space="preserve"> al momento de ingresar la solicitud de información adjuntó el documento electrónico denominado “</w:t>
      </w:r>
      <w:r w:rsidRPr="00CE181A">
        <w:rPr>
          <w:rFonts w:ascii="Palatino Linotype" w:eastAsia="Palatino Linotype" w:hAnsi="Palatino Linotype" w:cs="Palatino Linotype"/>
          <w:color w:val="000000"/>
          <w:sz w:val="24"/>
          <w:szCs w:val="24"/>
        </w:rPr>
        <w:t>árbol de la vida.pdf</w:t>
      </w:r>
      <w:r>
        <w:rPr>
          <w:rFonts w:ascii="Palatino Linotype" w:eastAsia="Palatino Linotype" w:hAnsi="Palatino Linotype" w:cs="Palatino Linotype"/>
          <w:color w:val="000000"/>
          <w:sz w:val="24"/>
          <w:szCs w:val="24"/>
        </w:rPr>
        <w:t>”, el cual contiene 4 (cuatro) imágenes de tipo fotográfico de un inmueble.</w:t>
      </w:r>
    </w:p>
    <w:p w:rsidR="00CE181A" w:rsidRDefault="00CE181A"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65CF" w:rsidRDefault="00AB65CF" w:rsidP="00AB65CF">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SEGUNDO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De las constancias que integran el expediente virtual, se observa que, en fecha </w:t>
      </w:r>
      <w:r w:rsidR="00CE181A">
        <w:rPr>
          <w:rFonts w:ascii="Palatino Linotype" w:eastAsiaTheme="minorHAnsi" w:hAnsi="Palatino Linotype" w:cs="Arial"/>
          <w:sz w:val="24"/>
          <w:szCs w:val="24"/>
          <w:lang w:eastAsia="en-US"/>
        </w:rPr>
        <w:t xml:space="preserve">veintitrés de mayo </w:t>
      </w:r>
      <w:r w:rsidRPr="00560A25">
        <w:rPr>
          <w:rFonts w:ascii="Palatino Linotype" w:eastAsiaTheme="minorHAnsi" w:hAnsi="Palatino Linotype" w:cs="Arial"/>
          <w:sz w:val="24"/>
          <w:szCs w:val="24"/>
          <w:lang w:eastAsia="en-US"/>
        </w:rPr>
        <w:t xml:space="preserve">de dos mil veintidós, 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notificó al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el documento denominado “</w:t>
      </w:r>
      <w:r w:rsidR="00CE181A" w:rsidRPr="00CE181A">
        <w:rPr>
          <w:rFonts w:ascii="Palatino Linotype" w:eastAsiaTheme="minorHAnsi" w:hAnsi="Palatino Linotype" w:cs="Arial"/>
          <w:sz w:val="24"/>
          <w:szCs w:val="24"/>
          <w:lang w:eastAsia="en-US"/>
        </w:rPr>
        <w:t>Acta 1ra. Ordinaria.pdf</w:t>
      </w:r>
      <w:r w:rsidRPr="00560A25">
        <w:rPr>
          <w:rFonts w:ascii="Palatino Linotype" w:eastAsiaTheme="minorHAnsi" w:hAnsi="Palatino Linotype" w:cs="Arial"/>
          <w:sz w:val="24"/>
          <w:szCs w:val="24"/>
          <w:lang w:eastAsia="en-US"/>
        </w:rPr>
        <w:t>”, consistente en el Acta</w:t>
      </w:r>
      <w:r>
        <w:rPr>
          <w:rFonts w:ascii="Palatino Linotype" w:eastAsiaTheme="minorHAnsi" w:hAnsi="Palatino Linotype" w:cs="Arial"/>
          <w:sz w:val="24"/>
          <w:szCs w:val="24"/>
          <w:lang w:eastAsia="en-US"/>
        </w:rPr>
        <w:t xml:space="preserve"> No.</w:t>
      </w:r>
      <w:r w:rsidRPr="00560A25">
        <w:rPr>
          <w:rFonts w:ascii="Palatino Linotype" w:eastAsiaTheme="minorHAnsi" w:hAnsi="Palatino Linotype" w:cs="Arial"/>
          <w:sz w:val="24"/>
          <w:szCs w:val="24"/>
          <w:lang w:eastAsia="en-US"/>
        </w:rPr>
        <w:t xml:space="preserve"> CT/MET/</w:t>
      </w:r>
      <w:r w:rsidR="00FC7D10">
        <w:rPr>
          <w:rFonts w:ascii="Palatino Linotype" w:eastAsiaTheme="minorHAnsi" w:hAnsi="Palatino Linotype" w:cs="Arial"/>
          <w:sz w:val="24"/>
          <w:szCs w:val="24"/>
          <w:lang w:eastAsia="en-US"/>
        </w:rPr>
        <w:t>ORD</w:t>
      </w:r>
      <w:r>
        <w:rPr>
          <w:rFonts w:ascii="Palatino Linotype" w:eastAsiaTheme="minorHAnsi" w:hAnsi="Palatino Linotype" w:cs="Arial"/>
          <w:sz w:val="24"/>
          <w:szCs w:val="24"/>
          <w:lang w:eastAsia="en-US"/>
        </w:rPr>
        <w:t>-00</w:t>
      </w:r>
      <w:r w:rsidR="00FC7D10">
        <w:rPr>
          <w:rFonts w:ascii="Palatino Linotype" w:eastAsiaTheme="minorHAnsi" w:hAnsi="Palatino Linotype" w:cs="Arial"/>
          <w:sz w:val="24"/>
          <w:szCs w:val="24"/>
          <w:lang w:eastAsia="en-US"/>
        </w:rPr>
        <w:t>1</w:t>
      </w:r>
      <w:r w:rsidRPr="00560A25">
        <w:rPr>
          <w:rFonts w:ascii="Palatino Linotype" w:eastAsiaTheme="minorHAnsi" w:hAnsi="Palatino Linotype" w:cs="Arial"/>
          <w:sz w:val="24"/>
          <w:szCs w:val="24"/>
          <w:lang w:eastAsia="en-US"/>
        </w:rPr>
        <w:t>/2022 de la</w:t>
      </w:r>
      <w:r w:rsidR="00FC7D10">
        <w:rPr>
          <w:rFonts w:ascii="Palatino Linotype" w:eastAsiaTheme="minorHAnsi" w:hAnsi="Palatino Linotype" w:cs="Arial"/>
          <w:sz w:val="24"/>
          <w:szCs w:val="24"/>
          <w:lang w:eastAsia="en-US"/>
        </w:rPr>
        <w:t xml:space="preserve"> Primera</w:t>
      </w:r>
      <w:r w:rsidRPr="00560A25">
        <w:rPr>
          <w:rFonts w:ascii="Palatino Linotype" w:eastAsiaTheme="minorHAnsi" w:hAnsi="Palatino Linotype" w:cs="Arial"/>
          <w:sz w:val="24"/>
          <w:szCs w:val="24"/>
          <w:lang w:eastAsia="en-US"/>
        </w:rPr>
        <w:t xml:space="preserve"> Sesión </w:t>
      </w:r>
      <w:r w:rsidR="00FC7D10">
        <w:rPr>
          <w:rFonts w:ascii="Palatino Linotype" w:eastAsiaTheme="minorHAnsi" w:hAnsi="Palatino Linotype" w:cs="Arial"/>
          <w:sz w:val="24"/>
          <w:szCs w:val="24"/>
          <w:lang w:eastAsia="en-US"/>
        </w:rPr>
        <w:t>Ordinaria</w:t>
      </w:r>
      <w:r w:rsidRPr="00560A25">
        <w:rPr>
          <w:rFonts w:ascii="Palatino Linotype" w:eastAsiaTheme="minorHAnsi" w:hAnsi="Palatino Linotype" w:cs="Arial"/>
          <w:sz w:val="24"/>
          <w:szCs w:val="24"/>
          <w:lang w:eastAsia="en-US"/>
        </w:rPr>
        <w:t xml:space="preserve"> de su Comité de </w:t>
      </w:r>
      <w:r w:rsidRPr="00560A25">
        <w:rPr>
          <w:rFonts w:ascii="Palatino Linotype" w:eastAsiaTheme="minorHAnsi" w:hAnsi="Palatino Linotype" w:cs="Arial"/>
          <w:sz w:val="24"/>
          <w:szCs w:val="24"/>
          <w:lang w:eastAsia="en-US"/>
        </w:rPr>
        <w:lastRenderedPageBreak/>
        <w:t xml:space="preserve">Transparencia, de fecha </w:t>
      </w:r>
      <w:r w:rsidR="00FC7D10">
        <w:rPr>
          <w:rFonts w:ascii="Palatino Linotype" w:eastAsiaTheme="minorHAnsi" w:hAnsi="Palatino Linotype" w:cs="Arial"/>
          <w:sz w:val="24"/>
          <w:szCs w:val="24"/>
          <w:lang w:eastAsia="en-US"/>
        </w:rPr>
        <w:t xml:space="preserve">tres de mayo </w:t>
      </w:r>
      <w:r w:rsidRPr="00560A25">
        <w:rPr>
          <w:rFonts w:ascii="Palatino Linotype" w:eastAsiaTheme="minorHAnsi" w:hAnsi="Palatino Linotype" w:cs="Arial"/>
          <w:sz w:val="24"/>
          <w:szCs w:val="24"/>
          <w:lang w:eastAsia="en-US"/>
        </w:rPr>
        <w:t xml:space="preserve">de dos mil veintidós, a través de la cual aprobó </w:t>
      </w:r>
      <w:r>
        <w:rPr>
          <w:rFonts w:ascii="Palatino Linotype" w:eastAsiaTheme="minorHAnsi" w:hAnsi="Palatino Linotype" w:cs="Arial"/>
          <w:sz w:val="24"/>
          <w:szCs w:val="24"/>
          <w:lang w:eastAsia="en-US"/>
        </w:rPr>
        <w:t>la aprobación como información confidencial y emisión de la versión pública de diversas solicitudes</w:t>
      </w:r>
      <w:r w:rsidR="00FC7D10">
        <w:rPr>
          <w:rFonts w:ascii="Palatino Linotype" w:eastAsiaTheme="minorHAnsi" w:hAnsi="Palatino Linotype" w:cs="Arial"/>
          <w:sz w:val="24"/>
          <w:szCs w:val="24"/>
          <w:lang w:eastAsia="en-US"/>
        </w:rPr>
        <w:t xml:space="preserve">, así como la prórroga para dar contestación a las solicitudes de información con folios de 03222/METEPEC/IP/2022 a la </w:t>
      </w:r>
      <w:r w:rsidR="00FC7D10" w:rsidRPr="00FC7D10">
        <w:rPr>
          <w:rFonts w:ascii="Palatino Linotype" w:eastAsiaTheme="minorHAnsi" w:hAnsi="Palatino Linotype" w:cs="Arial"/>
          <w:b/>
          <w:sz w:val="24"/>
          <w:szCs w:val="24"/>
          <w:lang w:eastAsia="en-US"/>
        </w:rPr>
        <w:t>03349/METEPEC/IP/2022</w:t>
      </w:r>
      <w:r w:rsidR="00FC7D10">
        <w:rPr>
          <w:rFonts w:ascii="Palatino Linotype" w:eastAsiaTheme="minorHAnsi" w:hAnsi="Palatino Linotype" w:cs="Arial"/>
          <w:sz w:val="24"/>
          <w:szCs w:val="24"/>
          <w:lang w:eastAsia="en-US"/>
        </w:rPr>
        <w:t>, esta última correspondiente a la solicitud de información origen del recurso de revisión en que se emite la presente resolución.</w:t>
      </w:r>
    </w:p>
    <w:p w:rsidR="00AB65CF" w:rsidRDefault="00AB65CF" w:rsidP="00AB65CF">
      <w:pPr>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spacing w:after="0" w:line="360" w:lineRule="auto"/>
        <w:jc w:val="both"/>
        <w:rPr>
          <w:rFonts w:ascii="Palatino Linotype" w:eastAsiaTheme="minorHAnsi" w:hAnsi="Palatino Linotype" w:cs="Arial"/>
          <w:b/>
          <w:sz w:val="24"/>
          <w:szCs w:val="24"/>
          <w:lang w:eastAsia="en-US"/>
        </w:rPr>
      </w:pPr>
    </w:p>
    <w:p w:rsidR="00FC7D10" w:rsidRDefault="00AB65CF" w:rsidP="00FC7D10">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8"/>
          <w:lang w:eastAsia="en-US"/>
        </w:rPr>
        <w:t xml:space="preserve">TERCERO. </w:t>
      </w:r>
      <w:r w:rsidRPr="00560A25">
        <w:rPr>
          <w:rFonts w:ascii="Palatino Linotype" w:eastAsiaTheme="minorHAnsi" w:hAnsi="Palatino Linotype" w:cs="Arial"/>
          <w:sz w:val="24"/>
          <w:szCs w:val="24"/>
          <w:lang w:eastAsia="en-US"/>
        </w:rPr>
        <w:t xml:space="preserve">Una vez transcurridos tanto el término normal como el término ampliado para dar respuesta a la solicitud de información de mérito, con base en las constancias contenidas en el expediente virtual del </w:t>
      </w:r>
      <w:r w:rsidRPr="00560A25">
        <w:rPr>
          <w:rFonts w:ascii="Palatino Linotype" w:eastAsiaTheme="minorHAnsi" w:hAnsi="Palatino Linotype" w:cs="Arial"/>
          <w:b/>
          <w:sz w:val="24"/>
          <w:szCs w:val="24"/>
          <w:lang w:eastAsia="en-US"/>
        </w:rPr>
        <w:t>SAIMEX,</w:t>
      </w:r>
      <w:r w:rsidRPr="00560A25">
        <w:rPr>
          <w:rFonts w:ascii="Palatino Linotype" w:eastAsiaTheme="minorHAnsi" w:hAnsi="Palatino Linotype" w:cs="Arial"/>
          <w:sz w:val="24"/>
          <w:szCs w:val="24"/>
          <w:lang w:eastAsia="en-US"/>
        </w:rPr>
        <w:t xml:space="preserve"> se aprecia que el</w:t>
      </w:r>
      <w:r w:rsidRPr="00560A25">
        <w:rPr>
          <w:rFonts w:ascii="Palatino Linotype" w:eastAsiaTheme="minorHAnsi" w:hAnsi="Palatino Linotype" w:cs="Arial"/>
          <w:b/>
          <w:sz w:val="24"/>
          <w:szCs w:val="24"/>
          <w:lang w:eastAsia="en-US"/>
        </w:rPr>
        <w:t xml:space="preserve"> Sujeto Obligado</w:t>
      </w:r>
      <w:r w:rsidRPr="00560A25">
        <w:rPr>
          <w:rFonts w:ascii="Palatino Linotype" w:eastAsiaTheme="minorHAnsi" w:hAnsi="Palatino Linotype" w:cs="Arial"/>
          <w:sz w:val="24"/>
          <w:szCs w:val="24"/>
          <w:lang w:eastAsia="en-US"/>
        </w:rPr>
        <w:t xml:space="preserve"> no dio </w:t>
      </w:r>
      <w:r w:rsidR="00FC7D10">
        <w:rPr>
          <w:rFonts w:ascii="Palatino Linotype" w:eastAsiaTheme="minorHAnsi" w:hAnsi="Palatino Linotype" w:cs="Arial"/>
          <w:sz w:val="24"/>
          <w:szCs w:val="24"/>
          <w:lang w:eastAsia="en-US"/>
        </w:rPr>
        <w:t>respuesta a la solicitud de información.</w:t>
      </w:r>
    </w:p>
    <w:p w:rsidR="00FC7D10" w:rsidRDefault="00FC7D10" w:rsidP="00FC7D10">
      <w:pPr>
        <w:spacing w:after="0" w:line="360" w:lineRule="auto"/>
        <w:jc w:val="both"/>
        <w:rPr>
          <w:rFonts w:ascii="Palatino Linotype" w:eastAsiaTheme="minorHAnsi" w:hAnsi="Palatino Linotype" w:cs="Arial"/>
          <w:sz w:val="24"/>
          <w:szCs w:val="24"/>
          <w:lang w:eastAsia="en-US"/>
        </w:rPr>
      </w:pPr>
    </w:p>
    <w:p w:rsidR="00AB65CF" w:rsidRPr="00560A25" w:rsidRDefault="00FC7D10" w:rsidP="00FC7D10">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 </w:t>
      </w:r>
    </w:p>
    <w:p w:rsidR="00AB65CF" w:rsidRPr="00560A25" w:rsidRDefault="00AB65CF" w:rsidP="00AB65CF">
      <w:pPr>
        <w:spacing w:after="0" w:line="360" w:lineRule="auto"/>
        <w:jc w:val="both"/>
        <w:rPr>
          <w:rFonts w:ascii="Palatino Linotype" w:eastAsiaTheme="minorHAnsi" w:hAnsi="Palatino Linotype" w:cs="Arial"/>
          <w:sz w:val="24"/>
          <w:szCs w:val="24"/>
          <w:lang w:eastAsia="en-US"/>
        </w:rPr>
      </w:pPr>
      <w:r w:rsidRPr="00560A25">
        <w:rPr>
          <w:rFonts w:ascii="Palatino Linotype" w:eastAsia="Times New Roman" w:hAnsi="Palatino Linotype" w:cs="Arial"/>
          <w:b/>
          <w:sz w:val="28"/>
          <w:lang w:eastAsia="es-ES"/>
        </w:rPr>
        <w:t>CUARTO</w:t>
      </w:r>
      <w:r w:rsidRPr="00560A25">
        <w:rPr>
          <w:rFonts w:ascii="Palatino Linotype" w:eastAsiaTheme="minorHAnsi" w:hAnsi="Palatino Linotype" w:cs="Arial"/>
          <w:sz w:val="24"/>
          <w:szCs w:val="24"/>
          <w:lang w:eastAsia="en-US"/>
        </w:rPr>
        <w:t xml:space="preserve">. Inconforme ante la falta de respuesta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en fecha </w:t>
      </w:r>
      <w:r w:rsidR="00FC7D10">
        <w:rPr>
          <w:rFonts w:ascii="Palatino Linotype" w:eastAsiaTheme="minorHAnsi" w:hAnsi="Palatino Linotype" w:cs="Arial"/>
          <w:sz w:val="24"/>
          <w:szCs w:val="24"/>
          <w:lang w:eastAsia="en-US"/>
        </w:rPr>
        <w:t xml:space="preserve">dos de junio </w:t>
      </w:r>
      <w:r w:rsidRPr="00560A25">
        <w:rPr>
          <w:rFonts w:ascii="Palatino Linotype" w:eastAsiaTheme="minorHAnsi" w:hAnsi="Palatino Linotype" w:cs="Arial"/>
          <w:sz w:val="24"/>
          <w:szCs w:val="24"/>
          <w:lang w:eastAsia="en-US"/>
        </w:rPr>
        <w:t>de dos mil veintidós, interpuso recurso de revisión, que fue registrado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en el sistema electrónico con número de expediente </w:t>
      </w:r>
      <w:r w:rsidRPr="00560A25">
        <w:rPr>
          <w:rFonts w:ascii="Palatino Linotype" w:eastAsiaTheme="minorHAnsi" w:hAnsi="Palatino Linotype" w:cs="Arial"/>
          <w:b/>
          <w:bCs/>
          <w:sz w:val="24"/>
          <w:szCs w:val="24"/>
        </w:rPr>
        <w:t>0</w:t>
      </w:r>
      <w:r w:rsidR="00FC7D10">
        <w:rPr>
          <w:rFonts w:ascii="Palatino Linotype" w:eastAsiaTheme="minorHAnsi" w:hAnsi="Palatino Linotype" w:cs="Arial"/>
          <w:b/>
          <w:bCs/>
          <w:sz w:val="24"/>
          <w:szCs w:val="24"/>
        </w:rPr>
        <w:t>10460</w:t>
      </w:r>
      <w:r w:rsidRPr="00560A25">
        <w:rPr>
          <w:rFonts w:ascii="Palatino Linotype" w:eastAsiaTheme="minorHAnsi" w:hAnsi="Palatino Linotype" w:cs="Arial"/>
          <w:b/>
          <w:bCs/>
          <w:sz w:val="24"/>
          <w:szCs w:val="24"/>
        </w:rPr>
        <w:t>/INFOEM/IP/RR/2022</w:t>
      </w:r>
      <w:r w:rsidRPr="00560A25">
        <w:rPr>
          <w:rFonts w:ascii="Palatino Linotype" w:eastAsiaTheme="minorHAnsi" w:hAnsi="Palatino Linotype" w:cs="Arial"/>
          <w:sz w:val="24"/>
          <w:szCs w:val="24"/>
          <w:lang w:eastAsia="en-US"/>
        </w:rPr>
        <w:t>, aduciendo como acto impugnado y razones o motivos de inconformidad, los siguientes:</w:t>
      </w:r>
    </w:p>
    <w:p w:rsidR="00AB65CF" w:rsidRPr="00560A25" w:rsidRDefault="00AB65CF" w:rsidP="00AB65CF">
      <w:pPr>
        <w:spacing w:after="0" w:line="360" w:lineRule="auto"/>
        <w:jc w:val="both"/>
        <w:rPr>
          <w:rFonts w:ascii="Palatino Linotype" w:eastAsiaTheme="minorHAnsi" w:hAnsi="Palatino Linotype" w:cs="Arial"/>
          <w:b/>
          <w:sz w:val="24"/>
          <w:szCs w:val="24"/>
          <w:lang w:eastAsia="en-US"/>
        </w:rPr>
      </w:pPr>
    </w:p>
    <w:p w:rsidR="00AB65CF" w:rsidRDefault="00AB65CF" w:rsidP="00AB65CF">
      <w:pPr>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b/>
          <w:sz w:val="24"/>
          <w:szCs w:val="24"/>
          <w:lang w:val="es-ES" w:eastAsia="es-ES"/>
        </w:rPr>
        <w:t>Acto Impugnado:</w:t>
      </w:r>
    </w:p>
    <w:p w:rsidR="00FC7D10" w:rsidRPr="00FC7D10" w:rsidRDefault="00FC7D10" w:rsidP="00AB65CF">
      <w:pPr>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spacing w:after="0" w:line="240" w:lineRule="auto"/>
        <w:ind w:left="567" w:right="567"/>
        <w:jc w:val="both"/>
        <w:rPr>
          <w:rFonts w:ascii="Palatino Linotype" w:eastAsiaTheme="minorHAnsi" w:hAnsi="Palatino Linotype" w:cstheme="minorBidi"/>
          <w:i/>
          <w:color w:val="000000"/>
          <w:lang w:eastAsia="en-US"/>
        </w:rPr>
      </w:pPr>
      <w:r w:rsidRPr="00560A25">
        <w:rPr>
          <w:rFonts w:ascii="Palatino Linotype" w:eastAsiaTheme="minorHAnsi" w:hAnsi="Palatino Linotype" w:cs="Arial"/>
          <w:i/>
          <w:lang w:eastAsia="en-US"/>
        </w:rPr>
        <w:lastRenderedPageBreak/>
        <w:t>“</w:t>
      </w:r>
      <w:r w:rsidR="00FC7D10" w:rsidRPr="00FC7D10">
        <w:rPr>
          <w:rFonts w:ascii="Palatino Linotype" w:eastAsiaTheme="minorHAnsi" w:hAnsi="Palatino Linotype" w:cstheme="minorBidi"/>
          <w:i/>
          <w:color w:val="000000"/>
          <w:lang w:eastAsia="en-US"/>
        </w:rPr>
        <w:t>no me han dado respuesta a mis solicitud de información, siendo que se acordó por cabildo una ampliación de siete días y aun así no me han dado respuesta respondido (Folio 03349/METEPEC/IP/2022)</w:t>
      </w:r>
      <w:r w:rsidRPr="00560A25">
        <w:rPr>
          <w:rFonts w:ascii="Palatino Linotype" w:eastAsiaTheme="minorHAnsi" w:hAnsi="Palatino Linotype" w:cstheme="minorBidi"/>
          <w:i/>
          <w:color w:val="000000"/>
          <w:lang w:eastAsia="en-US"/>
        </w:rPr>
        <w:t>” (sic)</w:t>
      </w:r>
    </w:p>
    <w:p w:rsidR="00AB65CF" w:rsidRPr="00560A25" w:rsidRDefault="00AB65CF" w:rsidP="00AB65CF">
      <w:pPr>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spacing w:after="0" w:line="360" w:lineRule="auto"/>
        <w:jc w:val="both"/>
        <w:rPr>
          <w:rFonts w:ascii="Palatino Linotype" w:eastAsiaTheme="minorHAnsi" w:hAnsi="Palatino Linotype" w:cs="Arial"/>
          <w:sz w:val="28"/>
          <w:szCs w:val="24"/>
          <w:lang w:eastAsia="en-US"/>
        </w:rPr>
      </w:pPr>
      <w:r w:rsidRPr="00560A25">
        <w:rPr>
          <w:rFonts w:ascii="Palatino Linotype" w:eastAsiaTheme="minorHAnsi" w:hAnsi="Palatino Linotype" w:cs="Arial"/>
          <w:b/>
          <w:sz w:val="24"/>
          <w:lang w:eastAsia="en-US"/>
        </w:rPr>
        <w:t>Razones o motivos de inconformidad:</w:t>
      </w:r>
    </w:p>
    <w:p w:rsidR="00AB65CF" w:rsidRPr="00560A25" w:rsidRDefault="00AB65CF" w:rsidP="00AB65CF">
      <w:pPr>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00FC7D10" w:rsidRPr="00FC7D10">
        <w:rPr>
          <w:rFonts w:ascii="Palatino Linotype" w:eastAsiaTheme="minorHAnsi" w:hAnsi="Palatino Linotype" w:cs="Arial"/>
          <w:i/>
          <w:szCs w:val="24"/>
          <w:lang w:eastAsia="en-US"/>
        </w:rPr>
        <w:t>falta de respuesta</w:t>
      </w:r>
      <w:r>
        <w:rPr>
          <w:rFonts w:ascii="Palatino Linotype" w:eastAsiaTheme="minorHAnsi" w:hAnsi="Palatino Linotype" w:cs="Arial"/>
          <w:i/>
          <w:szCs w:val="24"/>
          <w:lang w:eastAsia="en-US"/>
        </w:rPr>
        <w:t>”</w:t>
      </w:r>
    </w:p>
    <w:p w:rsidR="00AB65CF" w:rsidRDefault="00AB65CF" w:rsidP="00AB65CF">
      <w:pPr>
        <w:spacing w:after="0" w:line="360" w:lineRule="auto"/>
        <w:jc w:val="both"/>
        <w:rPr>
          <w:rFonts w:ascii="Palatino Linotype" w:eastAsiaTheme="minorHAnsi" w:hAnsi="Palatino Linotype" w:cs="Arial"/>
          <w:sz w:val="24"/>
          <w:szCs w:val="24"/>
          <w:lang w:eastAsia="en-US"/>
        </w:rPr>
      </w:pPr>
    </w:p>
    <w:p w:rsidR="00FC7D10" w:rsidRDefault="00FC7D10" w:rsidP="00FC7D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Se hace constar que, el ahora </w:t>
      </w:r>
      <w:r w:rsidRPr="00FC7D10">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al momento de interponer el recurso de revisión, adjuntó el documento electrónico denominado “</w:t>
      </w:r>
      <w:r w:rsidRPr="00FC7D10">
        <w:rPr>
          <w:rFonts w:ascii="Palatino Linotype" w:eastAsia="Palatino Linotype" w:hAnsi="Palatino Linotype" w:cs="Palatino Linotype"/>
          <w:color w:val="000000"/>
          <w:sz w:val="24"/>
          <w:szCs w:val="24"/>
        </w:rPr>
        <w:t>Acta 1ra. Ordinaria (3).</w:t>
      </w:r>
      <w:proofErr w:type="spellStart"/>
      <w:r w:rsidRPr="00FC7D10">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xml:space="preserve">”, consistente en el acta de prórroga, mediante el cual el </w:t>
      </w:r>
      <w:r w:rsidRPr="00FC7D10">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notifico la ampliación del plazo ordinario para dar respuesta.</w:t>
      </w:r>
    </w:p>
    <w:p w:rsidR="00FC7D10" w:rsidRDefault="00FC7D10" w:rsidP="00AB65CF">
      <w:pPr>
        <w:spacing w:after="0" w:line="360" w:lineRule="auto"/>
        <w:jc w:val="both"/>
        <w:rPr>
          <w:rFonts w:ascii="Palatino Linotype" w:eastAsiaTheme="minorHAnsi" w:hAnsi="Palatino Linotype" w:cs="Arial"/>
          <w:sz w:val="24"/>
          <w:szCs w:val="24"/>
          <w:lang w:eastAsia="en-US"/>
        </w:rPr>
      </w:pPr>
    </w:p>
    <w:p w:rsidR="00FC7D10" w:rsidRPr="00560A25" w:rsidRDefault="00FC7D10" w:rsidP="00AB65CF">
      <w:pPr>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spacing w:after="0" w:line="360" w:lineRule="auto"/>
        <w:ind w:right="49"/>
        <w:jc w:val="both"/>
        <w:rPr>
          <w:rFonts w:ascii="Palatino Linotype" w:eastAsia="Times New Roman" w:hAnsi="Palatino Linotype" w:cs="Arial"/>
          <w:sz w:val="24"/>
          <w:szCs w:val="24"/>
          <w:lang w:val="es-ES_tradnl" w:eastAsia="es-ES"/>
        </w:rPr>
      </w:pPr>
      <w:r w:rsidRPr="00560A25">
        <w:rPr>
          <w:rFonts w:ascii="Palatino Linotype" w:eastAsia="Times New Roman" w:hAnsi="Palatino Linotype" w:cs="Arial"/>
          <w:b/>
          <w:sz w:val="28"/>
          <w:lang w:eastAsia="es-ES"/>
        </w:rPr>
        <w:t xml:space="preserve">QUINTO. </w:t>
      </w:r>
      <w:r w:rsidRPr="00560A25">
        <w:rPr>
          <w:rFonts w:ascii="Palatino Linotype" w:eastAsia="Times New Roman" w:hAnsi="Palatino Linotype" w:cs="Arial"/>
          <w:sz w:val="24"/>
          <w:szCs w:val="24"/>
          <w:lang w:val="es-ES" w:eastAsia="es-ES"/>
        </w:rPr>
        <w:t xml:space="preserve">En fecha </w:t>
      </w:r>
      <w:r w:rsidR="002B0B59">
        <w:rPr>
          <w:rFonts w:ascii="Palatino Linotype" w:eastAsiaTheme="minorHAnsi" w:hAnsi="Palatino Linotype" w:cs="Arial"/>
          <w:sz w:val="24"/>
          <w:szCs w:val="24"/>
          <w:lang w:eastAsia="en-US"/>
        </w:rPr>
        <w:t xml:space="preserve">dos de junio </w:t>
      </w:r>
      <w:r w:rsidRPr="00560A25">
        <w:rPr>
          <w:rFonts w:ascii="Palatino Linotype" w:eastAsiaTheme="minorHAnsi" w:hAnsi="Palatino Linotype" w:cs="Arial"/>
          <w:sz w:val="24"/>
          <w:szCs w:val="24"/>
          <w:lang w:eastAsia="en-US"/>
        </w:rPr>
        <w:t>de dos mil veintidós</w:t>
      </w:r>
      <w:r w:rsidRPr="00560A25">
        <w:rPr>
          <w:rFonts w:ascii="Palatino Linotype" w:eastAsia="Times New Roman" w:hAnsi="Palatino Linotype" w:cs="Arial"/>
          <w:sz w:val="24"/>
          <w:szCs w:val="24"/>
          <w:lang w:val="es-ES" w:eastAsia="es-ES"/>
        </w:rPr>
        <w:t xml:space="preserve">, el </w:t>
      </w:r>
      <w:r w:rsidRPr="00560A25">
        <w:rPr>
          <w:rFonts w:ascii="Palatino Linotype" w:eastAsia="Times New Roman" w:hAnsi="Palatino Linotype" w:cs="Arial"/>
          <w:sz w:val="24"/>
          <w:szCs w:val="24"/>
          <w:lang w:val="es-ES_tradnl" w:eastAsia="es-ES"/>
        </w:rPr>
        <w:t>recurso de que</w:t>
      </w:r>
      <w:r w:rsidRPr="00560A25">
        <w:rPr>
          <w:rFonts w:ascii="Palatino Linotype" w:eastAsia="Times New Roman" w:hAnsi="Palatino Linotype" w:cs="Arial"/>
          <w:sz w:val="24"/>
          <w:szCs w:val="24"/>
          <w:lang w:val="es-ES" w:eastAsia="es-ES"/>
        </w:rPr>
        <w:t xml:space="preserve"> se trata</w:t>
      </w:r>
      <w:r w:rsidRPr="00560A25">
        <w:rPr>
          <w:rFonts w:ascii="Palatino Linotype" w:eastAsia="Times New Roman" w:hAnsi="Palatino Linotype" w:cs="Arial"/>
          <w:sz w:val="24"/>
          <w:szCs w:val="24"/>
          <w:lang w:val="es-ES_tradnl" w:eastAsia="es-ES"/>
        </w:rPr>
        <w:t xml:space="preserve"> se envió electrónicamente al Instituto de </w:t>
      </w:r>
      <w:r w:rsidRPr="00560A25">
        <w:rPr>
          <w:rFonts w:ascii="Palatino Linotype" w:eastAsia="Arial Unicode MS" w:hAnsi="Palatino Linotype" w:cs="Arial"/>
          <w:sz w:val="24"/>
          <w:szCs w:val="24"/>
          <w:lang w:val="es-ES" w:eastAsia="es-ES"/>
        </w:rPr>
        <w:t>Transparencia</w:t>
      </w:r>
      <w:r w:rsidRPr="00560A2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560A25">
        <w:rPr>
          <w:rFonts w:ascii="Palatino Linotype" w:eastAsia="Times New Roman" w:hAnsi="Palatino Linotype" w:cs="Times New Roman"/>
          <w:sz w:val="24"/>
          <w:szCs w:val="24"/>
          <w:lang w:val="es-ES" w:eastAsia="es-ES"/>
        </w:rPr>
        <w:t>Ley de Transparencia y Acceso a la Información Pública del Estado de México y Municipios</w:t>
      </w:r>
      <w:r w:rsidRPr="00560A25">
        <w:rPr>
          <w:rFonts w:ascii="Palatino Linotype" w:eastAsia="Times New Roman" w:hAnsi="Palatino Linotype" w:cs="Arial"/>
          <w:sz w:val="24"/>
          <w:szCs w:val="24"/>
          <w:lang w:val="es-ES_tradnl" w:eastAsia="es-ES"/>
        </w:rPr>
        <w:t>, se turnó a través del</w:t>
      </w:r>
      <w:r w:rsidRPr="00560A25">
        <w:rPr>
          <w:rFonts w:ascii="Palatino Linotype" w:eastAsia="Arial Unicode MS" w:hAnsi="Palatino Linotype" w:cs="Arial"/>
          <w:sz w:val="24"/>
          <w:szCs w:val="24"/>
          <w:lang w:val="es-ES_tradnl" w:eastAsia="es-ES"/>
        </w:rPr>
        <w:t xml:space="preserve"> </w:t>
      </w:r>
      <w:r w:rsidRPr="00560A25">
        <w:rPr>
          <w:rFonts w:ascii="Palatino Linotype" w:eastAsia="Arial Unicode MS" w:hAnsi="Palatino Linotype" w:cs="Arial"/>
          <w:b/>
          <w:sz w:val="24"/>
          <w:szCs w:val="24"/>
          <w:lang w:val="es-ES_tradnl" w:eastAsia="es-ES"/>
        </w:rPr>
        <w:t>SAIMEX</w:t>
      </w:r>
      <w:r w:rsidRPr="00560A25">
        <w:rPr>
          <w:rFonts w:ascii="Palatino Linotype" w:eastAsia="Times New Roman" w:hAnsi="Palatino Linotype" w:cs="Times New Roman"/>
          <w:sz w:val="24"/>
          <w:szCs w:val="24"/>
          <w:lang w:val="es-ES" w:eastAsia="es-ES"/>
        </w:rPr>
        <w:t xml:space="preserve"> al </w:t>
      </w:r>
      <w:r w:rsidRPr="00560A25">
        <w:rPr>
          <w:rFonts w:ascii="Palatino Linotype" w:eastAsia="Times New Roman" w:hAnsi="Palatino Linotype" w:cs="Arial"/>
          <w:sz w:val="24"/>
          <w:szCs w:val="24"/>
          <w:lang w:val="es-ES_tradnl" w:eastAsia="es-ES"/>
        </w:rPr>
        <w:t xml:space="preserve">Comisionado </w:t>
      </w:r>
      <w:r w:rsidRPr="00560A25">
        <w:rPr>
          <w:rFonts w:ascii="Palatino Linotype" w:eastAsia="Times New Roman" w:hAnsi="Palatino Linotype" w:cs="Arial"/>
          <w:b/>
          <w:sz w:val="24"/>
          <w:szCs w:val="24"/>
          <w:lang w:val="es-ES_tradnl" w:eastAsia="es-ES"/>
        </w:rPr>
        <w:t xml:space="preserve">JOSÉ MARTÍNEZ VILCHIS, </w:t>
      </w:r>
      <w:r w:rsidRPr="00560A25">
        <w:rPr>
          <w:rFonts w:ascii="Palatino Linotype" w:eastAsia="Times New Roman" w:hAnsi="Palatino Linotype" w:cs="Arial"/>
          <w:sz w:val="24"/>
          <w:szCs w:val="24"/>
          <w:lang w:val="es-ES_tradnl" w:eastAsia="es-ES"/>
        </w:rPr>
        <w:t>a efecto de que decretara su admisión o desechamiento.</w:t>
      </w:r>
    </w:p>
    <w:p w:rsidR="00AB65CF" w:rsidRDefault="00AB65CF" w:rsidP="00AB65CF">
      <w:pPr>
        <w:spacing w:after="0" w:line="360" w:lineRule="auto"/>
        <w:ind w:right="49"/>
        <w:jc w:val="both"/>
        <w:rPr>
          <w:rFonts w:ascii="Palatino Linotype" w:eastAsia="Times New Roman" w:hAnsi="Palatino Linotype" w:cs="Arial"/>
          <w:sz w:val="24"/>
          <w:szCs w:val="24"/>
          <w:lang w:val="es-ES_tradnl" w:eastAsia="es-ES"/>
        </w:rPr>
      </w:pPr>
    </w:p>
    <w:p w:rsidR="002B0B59" w:rsidRPr="00560A25" w:rsidRDefault="002B0B59" w:rsidP="00AB65CF">
      <w:pPr>
        <w:spacing w:after="0" w:line="360" w:lineRule="auto"/>
        <w:ind w:right="49"/>
        <w:jc w:val="both"/>
        <w:rPr>
          <w:rFonts w:ascii="Palatino Linotype" w:eastAsia="Times New Roman" w:hAnsi="Palatino Linotype" w:cs="Arial"/>
          <w:sz w:val="24"/>
          <w:szCs w:val="24"/>
          <w:lang w:val="es-ES_tradnl" w:eastAsia="es-ES"/>
        </w:rPr>
      </w:pPr>
    </w:p>
    <w:p w:rsidR="00AB65CF" w:rsidRPr="00560A25" w:rsidRDefault="00AB65CF" w:rsidP="00AB65CF">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b/>
          <w:sz w:val="28"/>
          <w:szCs w:val="28"/>
          <w:lang w:val="es-ES_tradnl" w:eastAsia="es-ES"/>
        </w:rPr>
        <w:lastRenderedPageBreak/>
        <w:t xml:space="preserve">SEXTO. </w:t>
      </w:r>
      <w:r w:rsidRPr="00560A25">
        <w:rPr>
          <w:rFonts w:ascii="Palatino Linotype" w:eastAsia="Times New Roman" w:hAnsi="Palatino Linotype" w:cs="Arial"/>
          <w:sz w:val="24"/>
          <w:szCs w:val="24"/>
          <w:lang w:val="es-ES_tradnl" w:eastAsia="es-ES"/>
        </w:rPr>
        <w:t>E</w:t>
      </w:r>
      <w:r w:rsidRPr="00560A25">
        <w:rPr>
          <w:rFonts w:ascii="Palatino Linotype" w:eastAsia="Times New Roman" w:hAnsi="Palatino Linotype" w:cs="Arial"/>
          <w:sz w:val="24"/>
          <w:szCs w:val="24"/>
          <w:lang w:val="es-ES" w:eastAsia="es-ES"/>
        </w:rPr>
        <w:t xml:space="preserve">n fecha </w:t>
      </w:r>
      <w:r w:rsidR="002B0B59">
        <w:rPr>
          <w:rFonts w:ascii="Palatino Linotype" w:eastAsia="Times New Roman" w:hAnsi="Palatino Linotype" w:cs="Arial"/>
          <w:sz w:val="24"/>
          <w:szCs w:val="24"/>
          <w:lang w:val="es-ES" w:eastAsia="es-ES"/>
        </w:rPr>
        <w:t xml:space="preserve">siete de junio </w:t>
      </w:r>
      <w:r w:rsidRPr="00560A25">
        <w:rPr>
          <w:rFonts w:ascii="Palatino Linotype" w:eastAsia="Times New Roman" w:hAnsi="Palatino Linotype" w:cs="Arial"/>
          <w:sz w:val="24"/>
          <w:szCs w:val="24"/>
          <w:lang w:val="es-ES" w:eastAsia="es-ES"/>
        </w:rPr>
        <w:t xml:space="preserve">de dos mil veintidós, atento a lo dispuesto en el </w:t>
      </w:r>
      <w:r w:rsidRPr="00560A25">
        <w:rPr>
          <w:rFonts w:ascii="Palatino Linotype" w:eastAsia="Times New Roman" w:hAnsi="Palatino Linotype" w:cs="Arial"/>
          <w:sz w:val="24"/>
          <w:szCs w:val="24"/>
          <w:lang w:val="es-ES_tradnl" w:eastAsia="es-ES"/>
        </w:rPr>
        <w:t>artículo</w:t>
      </w:r>
      <w:r w:rsidRPr="00560A25">
        <w:rPr>
          <w:rFonts w:ascii="Palatino Linotype" w:eastAsia="Times New Roman" w:hAnsi="Palatino Linotype" w:cs="Arial"/>
          <w:sz w:val="24"/>
          <w:szCs w:val="24"/>
          <w:lang w:val="es-ES" w:eastAsia="es-ES"/>
        </w:rPr>
        <w:t xml:space="preserve"> 185 fracciones I, II y IV </w:t>
      </w:r>
      <w:r w:rsidRPr="00560A25">
        <w:rPr>
          <w:rFonts w:ascii="Palatino Linotype" w:eastAsia="Times New Roman" w:hAnsi="Palatino Linotype" w:cs="Arial"/>
          <w:sz w:val="24"/>
          <w:szCs w:val="24"/>
          <w:lang w:val="es-ES_tradnl" w:eastAsia="es-ES"/>
        </w:rPr>
        <w:t xml:space="preserve">de la </w:t>
      </w:r>
      <w:r w:rsidRPr="00560A2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0A2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AB65CF" w:rsidRDefault="00AB65CF" w:rsidP="00AB65CF">
      <w:pPr>
        <w:spacing w:after="0" w:line="360" w:lineRule="auto"/>
        <w:jc w:val="both"/>
        <w:rPr>
          <w:rFonts w:ascii="Palatino Linotype" w:eastAsiaTheme="minorHAnsi" w:hAnsi="Palatino Linotype" w:cs="Arial"/>
          <w:sz w:val="24"/>
          <w:szCs w:val="28"/>
          <w:lang w:val="es-ES" w:eastAsia="en-US"/>
        </w:rPr>
      </w:pPr>
    </w:p>
    <w:p w:rsidR="002B0B59" w:rsidRPr="00560A25" w:rsidRDefault="002B0B59" w:rsidP="00AB65CF">
      <w:pPr>
        <w:spacing w:after="0" w:line="360" w:lineRule="auto"/>
        <w:jc w:val="both"/>
        <w:rPr>
          <w:rFonts w:ascii="Palatino Linotype" w:eastAsiaTheme="minorHAnsi" w:hAnsi="Palatino Linotype" w:cs="Arial"/>
          <w:sz w:val="24"/>
          <w:szCs w:val="28"/>
          <w:lang w:val="es-ES" w:eastAsia="en-US"/>
        </w:rPr>
      </w:pPr>
    </w:p>
    <w:p w:rsidR="002B0B59" w:rsidRPr="002B0B59" w:rsidRDefault="002B0B59" w:rsidP="002B0B59">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szCs w:val="28"/>
          <w:lang w:val="es-ES_tradnl" w:eastAsia="es-ES"/>
        </w:rPr>
        <w:t>SÉPTIMO</w:t>
      </w:r>
      <w:r w:rsidRPr="002B0B59">
        <w:rPr>
          <w:rFonts w:ascii="Palatino Linotype" w:eastAsiaTheme="minorHAnsi" w:hAnsi="Palatino Linotype" w:cs="Arial"/>
          <w:b/>
          <w:sz w:val="28"/>
          <w:szCs w:val="28"/>
          <w:lang w:eastAsia="en-US"/>
        </w:rPr>
        <w:t xml:space="preserve">. </w:t>
      </w:r>
      <w:r w:rsidRPr="002B0B59">
        <w:rPr>
          <w:rFonts w:ascii="Palatino Linotype" w:eastAsiaTheme="minorHAnsi" w:hAnsi="Palatino Linotype" w:cs="Arial"/>
          <w:sz w:val="24"/>
          <w:szCs w:val="24"/>
          <w:lang w:eastAsia="en-US"/>
        </w:rPr>
        <w:t xml:space="preserve">Una vez abierta la etapa de instrucción, se advierte que tanto el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como </w:t>
      </w:r>
      <w:r>
        <w:rPr>
          <w:rFonts w:ascii="Palatino Linotype" w:eastAsiaTheme="minorHAnsi" w:hAnsi="Palatino Linotype" w:cs="Arial"/>
          <w:sz w:val="24"/>
          <w:szCs w:val="24"/>
          <w:lang w:eastAsia="en-US"/>
        </w:rPr>
        <w:t>el</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fueron omisos en rendir dentro del término de Ley, su informe justificado y sus a efecto que presentara las manifestaciones que a sus intereses conviniera, respectivamente.</w:t>
      </w:r>
    </w:p>
    <w:p w:rsidR="002B0B59" w:rsidRPr="002B0B59" w:rsidRDefault="002B0B59" w:rsidP="002B0B59">
      <w:pPr>
        <w:spacing w:after="0" w:line="360" w:lineRule="auto"/>
        <w:jc w:val="both"/>
        <w:rPr>
          <w:rFonts w:ascii="Palatino Linotype" w:eastAsiaTheme="minorHAnsi" w:hAnsi="Palatino Linotype" w:cs="Arial"/>
          <w:sz w:val="24"/>
          <w:szCs w:val="24"/>
          <w:lang w:eastAsia="en-US"/>
        </w:rPr>
      </w:pPr>
    </w:p>
    <w:p w:rsidR="002B0B59" w:rsidRPr="002B0B59" w:rsidRDefault="002B0B59" w:rsidP="002B0B59">
      <w:pPr>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mismo se aprecia que no se llevaron a cabo audiencias durante la sustanciación del recurso de revisión, ni se ofrecieron pruebas por parte del hoy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todo lo anterior en términos de los artículos 185 fracciones II y IV, y 195 de la Ley de Transparencia y Acceso a la Información Pública del Estado de México y Municipios.</w:t>
      </w:r>
    </w:p>
    <w:p w:rsidR="002B0B59" w:rsidRDefault="002B0B59" w:rsidP="002B0B59">
      <w:pPr>
        <w:spacing w:after="0" w:line="360" w:lineRule="auto"/>
        <w:jc w:val="both"/>
        <w:rPr>
          <w:rFonts w:ascii="Palatino Linotype" w:eastAsiaTheme="minorHAnsi" w:hAnsi="Palatino Linotype" w:cs="Arial"/>
          <w:sz w:val="24"/>
          <w:szCs w:val="24"/>
          <w:lang w:eastAsia="en-US"/>
        </w:rPr>
      </w:pPr>
    </w:p>
    <w:p w:rsidR="002B0B59" w:rsidRPr="002B0B59" w:rsidRDefault="002B0B59" w:rsidP="002B0B59">
      <w:pPr>
        <w:spacing w:after="0" w:line="360" w:lineRule="auto"/>
        <w:jc w:val="both"/>
        <w:rPr>
          <w:rFonts w:ascii="Palatino Linotype" w:eastAsiaTheme="minorHAnsi" w:hAnsi="Palatino Linotype" w:cs="Arial"/>
          <w:sz w:val="24"/>
          <w:szCs w:val="24"/>
          <w:lang w:eastAsia="en-US"/>
        </w:rPr>
      </w:pPr>
    </w:p>
    <w:p w:rsidR="002B0B59" w:rsidRPr="002B0B59" w:rsidRDefault="002B0B59" w:rsidP="002B0B59">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8"/>
          <w:szCs w:val="28"/>
          <w:lang w:eastAsia="en-US"/>
        </w:rPr>
        <w:t>OCTAVO</w:t>
      </w:r>
      <w:r w:rsidRPr="002B0B59">
        <w:rPr>
          <w:rFonts w:ascii="Palatino Linotype" w:eastAsiaTheme="minorHAnsi" w:hAnsi="Palatino Linotype" w:cs="Arial"/>
          <w:b/>
          <w:sz w:val="28"/>
          <w:szCs w:val="28"/>
          <w:lang w:eastAsia="en-US"/>
        </w:rPr>
        <w:t xml:space="preserve">. </w:t>
      </w:r>
      <w:r w:rsidRPr="002B0B59">
        <w:rPr>
          <w:rFonts w:ascii="Palatino Linotype" w:eastAsiaTheme="minorHAnsi" w:hAnsi="Palatino Linotype" w:cs="Arial"/>
          <w:sz w:val="24"/>
          <w:szCs w:val="24"/>
          <w:lang w:eastAsia="en-US"/>
        </w:rPr>
        <w:t xml:space="preserve">Por lo que una vez transcurrido el periodo otorgado a las partes de siete días hábiles para realizar sus manifestaciones en el acuerdo de admisión, y no habiendo </w:t>
      </w:r>
      <w:r w:rsidRPr="002B0B59">
        <w:rPr>
          <w:rFonts w:ascii="Palatino Linotype" w:eastAsiaTheme="minorHAnsi" w:hAnsi="Palatino Linotype" w:cs="Arial"/>
          <w:sz w:val="24"/>
          <w:szCs w:val="24"/>
          <w:lang w:eastAsia="en-US"/>
        </w:rPr>
        <w:lastRenderedPageBreak/>
        <w:t xml:space="preserve">prueba pendiente por desahogar, ni que documentos que integrar al expediente electrónico, se decretó el cierre de instrucción en fecha </w:t>
      </w:r>
      <w:r>
        <w:rPr>
          <w:rFonts w:ascii="Palatino Linotype" w:eastAsiaTheme="minorHAnsi" w:hAnsi="Palatino Linotype" w:cs="Arial"/>
          <w:sz w:val="24"/>
          <w:szCs w:val="24"/>
          <w:lang w:eastAsia="en-US"/>
        </w:rPr>
        <w:t xml:space="preserve">diecisiete de junio </w:t>
      </w:r>
      <w:r w:rsidRPr="002B0B59">
        <w:rPr>
          <w:rFonts w:ascii="Palatino Linotype" w:eastAsiaTheme="minorHAnsi" w:hAnsi="Palatino Linotype" w:cs="Arial"/>
          <w:sz w:val="24"/>
          <w:szCs w:val="24"/>
          <w:lang w:eastAsia="en-US"/>
        </w:rPr>
        <w:t>de dos mil veintidós, en términos del artículo 185 fracción VI de la Ley de Transparencia y Acceso a la Información Pública del Estado de México y Municipios, ordenándose turnar los expedientes a la resolución que en derecho proceda.</w:t>
      </w:r>
    </w:p>
    <w:p w:rsidR="002B0B59" w:rsidRPr="002B0B59" w:rsidRDefault="002B0B59" w:rsidP="002B0B59">
      <w:pPr>
        <w:spacing w:after="0" w:line="360" w:lineRule="auto"/>
        <w:jc w:val="both"/>
        <w:rPr>
          <w:rFonts w:ascii="Palatino Linotype" w:eastAsiaTheme="minorHAnsi" w:hAnsi="Palatino Linotype" w:cs="Arial"/>
          <w:sz w:val="24"/>
          <w:szCs w:val="24"/>
          <w:lang w:eastAsia="en-US"/>
        </w:rPr>
      </w:pPr>
    </w:p>
    <w:p w:rsidR="002B0B59" w:rsidRPr="002B0B59" w:rsidRDefault="002B0B59" w:rsidP="002B0B59">
      <w:pPr>
        <w:spacing w:after="0" w:line="360" w:lineRule="auto"/>
        <w:jc w:val="both"/>
        <w:rPr>
          <w:rFonts w:ascii="Palatino Linotype" w:eastAsiaTheme="minorHAnsi" w:hAnsi="Palatino Linotype" w:cs="Arial"/>
          <w:sz w:val="24"/>
          <w:szCs w:val="24"/>
          <w:lang w:eastAsia="en-US"/>
        </w:rPr>
      </w:pPr>
    </w:p>
    <w:p w:rsidR="002B0B59" w:rsidRPr="002B0B59" w:rsidRDefault="009056A3" w:rsidP="002B0B59">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8"/>
          <w:szCs w:val="28"/>
          <w:lang w:eastAsia="en-US"/>
        </w:rPr>
        <w:t>NOVENO</w:t>
      </w:r>
      <w:r w:rsidR="002B0B59" w:rsidRPr="002B0B59">
        <w:rPr>
          <w:rFonts w:ascii="Palatino Linotype" w:eastAsiaTheme="minorHAnsi" w:hAnsi="Palatino Linotype" w:cs="Arial"/>
          <w:b/>
          <w:sz w:val="28"/>
          <w:szCs w:val="28"/>
          <w:lang w:eastAsia="en-US"/>
        </w:rPr>
        <w:t xml:space="preserve">. </w:t>
      </w:r>
      <w:r w:rsidR="002B0B59" w:rsidRPr="002B0B59">
        <w:rPr>
          <w:rFonts w:ascii="Palatino Linotype" w:eastAsiaTheme="minorHAnsi" w:hAnsi="Palatino Linotype" w:cs="Arial"/>
          <w:sz w:val="24"/>
          <w:szCs w:val="24"/>
          <w:lang w:eastAsia="en-US"/>
        </w:rPr>
        <w:t xml:space="preserve">De las constancias que integran el expediente electrónico, se advierte que ha transcurrido el término de Ley, para la emisión de la resolución en el presente recurso de revisión, por lo que en </w:t>
      </w:r>
      <w:r w:rsidR="002B0B59">
        <w:rPr>
          <w:rFonts w:ascii="Palatino Linotype" w:eastAsiaTheme="minorHAnsi" w:hAnsi="Palatino Linotype" w:cs="Arial"/>
          <w:sz w:val="24"/>
          <w:szCs w:val="24"/>
          <w:lang w:eastAsia="en-US"/>
        </w:rPr>
        <w:t>dos de agosto</w:t>
      </w:r>
      <w:r w:rsidR="002B0B59" w:rsidRPr="002B0B59">
        <w:rPr>
          <w:rFonts w:ascii="Palatino Linotype" w:eastAsiaTheme="minorHAnsi" w:hAnsi="Palatino Linotype" w:cs="Arial"/>
          <w:sz w:val="24"/>
          <w:szCs w:val="24"/>
          <w:lang w:eastAsia="en-US"/>
        </w:rPr>
        <w:t xml:space="preserv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B65CF" w:rsidRDefault="00AB65CF" w:rsidP="00AB65CF">
      <w:pPr>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 xml:space="preserve">C O N S I D E R A N D O </w:t>
      </w:r>
    </w:p>
    <w:p w:rsidR="00AB65CF" w:rsidRPr="00560A25" w:rsidRDefault="00AB65CF" w:rsidP="00AB65CF">
      <w:pPr>
        <w:spacing w:after="0" w:line="360" w:lineRule="auto"/>
        <w:jc w:val="center"/>
        <w:rPr>
          <w:rFonts w:ascii="Palatino Linotype" w:eastAsiaTheme="minorHAnsi" w:hAnsi="Palatino Linotype" w:cs="Arial"/>
          <w:sz w:val="24"/>
          <w:szCs w:val="24"/>
          <w:lang w:eastAsia="en-US"/>
        </w:rPr>
      </w:pPr>
    </w:p>
    <w:p w:rsidR="00AB65CF" w:rsidRPr="00560A25" w:rsidRDefault="00AB65CF" w:rsidP="00AB65CF">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AB65CF" w:rsidRPr="00560A25" w:rsidRDefault="00AB65CF" w:rsidP="00AB65CF">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conforme a lo </w:t>
      </w:r>
      <w:r w:rsidRPr="00560A25">
        <w:rPr>
          <w:rFonts w:ascii="Palatino Linotype" w:eastAsiaTheme="minorHAnsi" w:hAnsi="Palatino Linotype" w:cs="Arial"/>
          <w:sz w:val="24"/>
          <w:szCs w:val="24"/>
          <w:lang w:eastAsia="en-US"/>
        </w:rPr>
        <w:lastRenderedPageBreak/>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B65CF" w:rsidRDefault="00AB65CF" w:rsidP="00AB65CF">
      <w:pPr>
        <w:spacing w:after="0" w:line="360" w:lineRule="auto"/>
        <w:jc w:val="both"/>
        <w:rPr>
          <w:rFonts w:ascii="Palatino Linotype" w:eastAsiaTheme="minorHAnsi" w:hAnsi="Palatino Linotype" w:cs="Arial"/>
          <w:sz w:val="24"/>
          <w:szCs w:val="24"/>
          <w:lang w:eastAsia="en-US"/>
        </w:rPr>
      </w:pPr>
    </w:p>
    <w:p w:rsidR="002B0B59" w:rsidRPr="00560A25" w:rsidRDefault="002B0B59" w:rsidP="00AB65CF">
      <w:pPr>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Es de precisar que la Ley de Transparencia y Acceso a la Información Pública del Estado de México y Municipios, describe el mecanismo de procedencia de los recursos de revisión, en ese sentido en su artículo 163 se indica lo siguiente:</w:t>
      </w: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lastRenderedPageBreak/>
        <w:t>“</w:t>
      </w:r>
      <w:r w:rsidRPr="00560A25">
        <w:rPr>
          <w:rFonts w:ascii="Palatino Linotype" w:eastAsia="Times New Roman" w:hAnsi="Palatino Linotype" w:cs="Arial"/>
          <w:b/>
          <w:i/>
          <w:lang w:val="es-ES" w:eastAsia="es-ES"/>
        </w:rPr>
        <w:t>Artículo 163.</w:t>
      </w:r>
      <w:r w:rsidRPr="00560A25">
        <w:rPr>
          <w:rFonts w:ascii="Palatino Linotype" w:eastAsia="Times New Roman" w:hAnsi="Palatino Linotype" w:cs="Arial"/>
          <w:i/>
          <w:lang w:val="es-ES" w:eastAsia="es-ES"/>
        </w:rPr>
        <w:t xml:space="preserve"> </w:t>
      </w:r>
      <w:r w:rsidRPr="00560A25">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B65CF" w:rsidRPr="00560A25" w:rsidRDefault="00AB65CF" w:rsidP="00AB65C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la interpretación al precepto legal inserto, se advierte que el plazo que les asiste a los </w:t>
      </w:r>
      <w:r w:rsidRPr="00560A25">
        <w:rPr>
          <w:rFonts w:ascii="Palatino Linotype" w:eastAsiaTheme="minorHAnsi" w:hAnsi="Palatino Linotype" w:cs="Arial"/>
          <w:b/>
          <w:sz w:val="24"/>
          <w:szCs w:val="24"/>
          <w:lang w:eastAsia="en-US"/>
        </w:rPr>
        <w:t>sujetos</w:t>
      </w:r>
      <w:r w:rsidRPr="00560A25">
        <w:rPr>
          <w:rFonts w:ascii="Palatino Linotype" w:eastAsiaTheme="minorHAnsi" w:hAnsi="Palatino Linotype" w:cs="Arial"/>
          <w:sz w:val="24"/>
          <w:szCs w:val="24"/>
          <w:lang w:eastAsia="en-US"/>
        </w:rPr>
        <w:t xml:space="preserve"> </w:t>
      </w:r>
      <w:r w:rsidRPr="00560A25">
        <w:rPr>
          <w:rFonts w:ascii="Palatino Linotype" w:eastAsiaTheme="minorHAnsi" w:hAnsi="Palatino Linotype" w:cs="Arial"/>
          <w:b/>
          <w:sz w:val="24"/>
          <w:szCs w:val="24"/>
          <w:lang w:eastAsia="en-US"/>
        </w:rPr>
        <w:t>obligados</w:t>
      </w:r>
      <w:r w:rsidRPr="00560A25">
        <w:rPr>
          <w:rFonts w:ascii="Palatino Linotype" w:eastAsiaTheme="minorHAnsi" w:hAnsi="Palatino Linotype" w:cs="Arial"/>
          <w:sz w:val="24"/>
          <w:szCs w:val="24"/>
          <w:lang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Se constituye la figura jurídica de la </w:t>
      </w:r>
      <w:r w:rsidRPr="00560A25">
        <w:rPr>
          <w:rFonts w:ascii="Palatino Linotype" w:eastAsiaTheme="minorHAnsi" w:hAnsi="Palatino Linotype" w:cs="Arial"/>
          <w:b/>
          <w:i/>
          <w:sz w:val="24"/>
          <w:szCs w:val="24"/>
          <w:lang w:eastAsia="en-US"/>
        </w:rPr>
        <w:t>NEGATIVA FICTA</w:t>
      </w:r>
      <w:r w:rsidRPr="00560A25">
        <w:rPr>
          <w:rFonts w:ascii="Palatino Linotype" w:eastAsiaTheme="minorHAnsi" w:hAnsi="Palatino Linotype" w:cs="Arial"/>
          <w:sz w:val="24"/>
          <w:szCs w:val="24"/>
          <w:lang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AB65CF" w:rsidRPr="00560A25" w:rsidRDefault="00AB65CF" w:rsidP="00AB65CF">
      <w:pPr>
        <w:spacing w:after="0" w:line="240" w:lineRule="auto"/>
        <w:rPr>
          <w:rFonts w:ascii="Palatino Linotype" w:eastAsiaTheme="minorHAnsi" w:hAnsi="Palatino Linotype" w:cstheme="minorBidi"/>
          <w:lang w:eastAsia="en-US"/>
        </w:rPr>
      </w:pP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178.</w:t>
      </w:r>
      <w:r w:rsidRPr="00560A2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w:t>
      </w:r>
      <w:r w:rsidRPr="00560A25">
        <w:rPr>
          <w:rFonts w:ascii="Palatino Linotype" w:eastAsia="Times New Roman" w:hAnsi="Palatino Linotype" w:cs="Arial"/>
          <w:i/>
          <w:lang w:val="es-ES" w:eastAsia="es-ES"/>
        </w:rPr>
        <w:lastRenderedPageBreak/>
        <w:t>Unidad de Transparencia que haya conocido de la solicitud dentro de los quince días hábiles, siguientes a la fecha de la notificación de la respuesta.</w:t>
      </w: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560A25">
        <w:rPr>
          <w:rFonts w:ascii="Palatino Linotype" w:eastAsia="Times New Roman" w:hAnsi="Palatino Linotype" w:cs="Arial"/>
          <w:i/>
          <w:lang w:val="es-ES" w:eastAsia="es-ES"/>
        </w:rPr>
        <w:t>, acompañado con el documento que pruebe la fecha en que presentó la solicitud.</w:t>
      </w: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AB65CF" w:rsidRPr="00560A25" w:rsidRDefault="00AB65CF" w:rsidP="00AB65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B65CF" w:rsidRPr="00560A25" w:rsidRDefault="00AB65CF" w:rsidP="00AB65C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65CF" w:rsidRPr="00560A25" w:rsidRDefault="00AB65CF" w:rsidP="00AB65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B65CF"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B0B59" w:rsidRPr="00560A25" w:rsidRDefault="002B0B59"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AB65CF" w:rsidRPr="00560A25" w:rsidRDefault="00AB65CF" w:rsidP="00AB65CF">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60A25">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AB65CF" w:rsidRPr="00560A25" w:rsidRDefault="00AB65CF" w:rsidP="00AB65CF">
      <w:pPr>
        <w:spacing w:after="0" w:line="360" w:lineRule="auto"/>
        <w:ind w:right="49"/>
        <w:jc w:val="both"/>
        <w:rPr>
          <w:rFonts w:ascii="Palatino Linotype" w:eastAsia="Times New Roman" w:hAnsi="Palatino Linotype" w:cs="Arial"/>
          <w:sz w:val="24"/>
          <w:szCs w:val="24"/>
          <w:lang w:val="es-ES" w:eastAsia="es-ES"/>
        </w:rPr>
      </w:pP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560A25">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CUARTO. Estudio y resolución del asunto</w:t>
      </w:r>
      <w:r w:rsidRPr="00560A25">
        <w:rPr>
          <w:rFonts w:ascii="Palatino Linotype" w:eastAsia="Times New Roman" w:hAnsi="Palatino Linotype" w:cs="Times New Roman"/>
          <w:b/>
          <w:sz w:val="28"/>
          <w:szCs w:val="28"/>
          <w:lang w:val="es-ES" w:eastAsia="es-ES"/>
        </w:rPr>
        <w:t xml:space="preserve">. </w:t>
      </w: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En primera instancia, al referirnos a los actos impugnados por el </w:t>
      </w:r>
      <w:r w:rsidRPr="00560A25">
        <w:rPr>
          <w:rFonts w:ascii="Palatino Linotype" w:eastAsia="Times New Roman" w:hAnsi="Palatino Linotype" w:cs="Arial"/>
          <w:b/>
          <w:sz w:val="24"/>
          <w:szCs w:val="24"/>
          <w:lang w:val="es-ES" w:eastAsia="es-ES"/>
        </w:rPr>
        <w:t>Recurrente</w:t>
      </w:r>
      <w:r w:rsidRPr="00560A2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560A25">
        <w:rPr>
          <w:rFonts w:ascii="Palatino Linotype" w:hAnsi="Palatino Linotype" w:cs="Arial"/>
          <w:color w:val="000000" w:themeColor="text1"/>
          <w:sz w:val="24"/>
          <w:szCs w:val="24"/>
          <w:lang w:val="es-ES" w:eastAsia="es-ES"/>
        </w:rPr>
        <w:t xml:space="preserve">establecido en la fracción VII del artículo 179 de la </w:t>
      </w:r>
      <w:r w:rsidRPr="00560A25">
        <w:rPr>
          <w:rFonts w:ascii="Palatino Linotype" w:hAnsi="Palatino Linotype" w:cs="Arial"/>
          <w:b/>
          <w:color w:val="000000" w:themeColor="text1"/>
          <w:sz w:val="24"/>
          <w:szCs w:val="24"/>
          <w:lang w:val="es-ES" w:eastAsia="es-ES"/>
        </w:rPr>
        <w:t>Ley de Transparencia y Acceso a la Información Pública del Estado de México y Municipios</w:t>
      </w:r>
      <w:r w:rsidRPr="00560A25">
        <w:rPr>
          <w:rFonts w:ascii="Palatino Linotype" w:hAnsi="Palatino Linotype" w:cs="Arial"/>
          <w:color w:val="000000" w:themeColor="text1"/>
          <w:sz w:val="24"/>
          <w:szCs w:val="24"/>
          <w:lang w:val="es-ES" w:eastAsia="es-ES"/>
        </w:rPr>
        <w:t>,</w:t>
      </w:r>
      <w:r w:rsidRPr="00560A25">
        <w:rPr>
          <w:rFonts w:ascii="Palatino Linotype" w:hAnsi="Palatino Linotype" w:cs="Arial"/>
          <w:b/>
          <w:color w:val="000000" w:themeColor="text1"/>
          <w:sz w:val="24"/>
          <w:szCs w:val="24"/>
          <w:lang w:val="es-ES" w:eastAsia="es-ES"/>
        </w:rPr>
        <w:t xml:space="preserve"> </w:t>
      </w:r>
      <w:r w:rsidRPr="00560A2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560A25">
        <w:rPr>
          <w:rFonts w:ascii="Palatino Linotype" w:eastAsia="Times New Roman" w:hAnsi="Palatino Linotype" w:cs="Times New Roman"/>
          <w:sz w:val="24"/>
          <w:szCs w:val="24"/>
          <w:lang w:val="es-ES" w:eastAsia="es-ES"/>
        </w:rPr>
        <w:t xml:space="preserve">inconformidad hechos valer, resultan </w:t>
      </w:r>
      <w:r w:rsidRPr="00560A25">
        <w:rPr>
          <w:rFonts w:ascii="Palatino Linotype" w:eastAsia="Times New Roman" w:hAnsi="Palatino Linotype" w:cs="Times New Roman"/>
          <w:b/>
          <w:sz w:val="24"/>
          <w:szCs w:val="24"/>
          <w:lang w:val="es-ES" w:eastAsia="es-ES"/>
        </w:rPr>
        <w:t>fundadas y procedentes</w:t>
      </w:r>
      <w:r w:rsidRPr="00560A2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560A25">
        <w:rPr>
          <w:rFonts w:ascii="Palatino Linotype" w:eastAsia="Times New Roman" w:hAnsi="Palatino Linotype" w:cs="Arial"/>
          <w:b/>
          <w:sz w:val="24"/>
          <w:szCs w:val="24"/>
          <w:lang w:val="es-ES"/>
        </w:rPr>
        <w:t>Sujeto Obligado</w:t>
      </w:r>
      <w:r w:rsidRPr="00560A25">
        <w:rPr>
          <w:rFonts w:ascii="Palatino Linotype" w:eastAsia="Times New Roman" w:hAnsi="Palatino Linotype" w:cs="Arial"/>
          <w:sz w:val="24"/>
          <w:szCs w:val="24"/>
          <w:lang w:val="es-ES"/>
        </w:rPr>
        <w:t xml:space="preserve"> fue omiso en responder la solicitud de información hecha por el </w:t>
      </w:r>
      <w:r w:rsidRPr="00560A25">
        <w:rPr>
          <w:rFonts w:ascii="Palatino Linotype" w:eastAsia="Times New Roman" w:hAnsi="Palatino Linotype" w:cs="Arial"/>
          <w:b/>
          <w:sz w:val="24"/>
          <w:szCs w:val="24"/>
          <w:lang w:val="es-ES"/>
        </w:rPr>
        <w:t>Recurrente</w:t>
      </w:r>
      <w:r w:rsidRPr="00560A25">
        <w:rPr>
          <w:rFonts w:ascii="Palatino Linotype" w:eastAsia="Times New Roman" w:hAnsi="Palatino Linotype" w:cs="Arial"/>
          <w:sz w:val="24"/>
          <w:szCs w:val="24"/>
          <w:lang w:val="es-ES"/>
        </w:rPr>
        <w:t>.</w:t>
      </w:r>
    </w:p>
    <w:p w:rsidR="00AB65CF" w:rsidRPr="00560A25" w:rsidRDefault="00AB65CF" w:rsidP="00AB65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65CF" w:rsidRPr="00560A25" w:rsidRDefault="00AB65CF" w:rsidP="00AB65CF">
      <w:pPr>
        <w:spacing w:after="0" w:line="360" w:lineRule="auto"/>
        <w:contextualSpacing/>
        <w:jc w:val="both"/>
        <w:rPr>
          <w:rFonts w:ascii="Palatino Linotype" w:eastAsia="Times New Roman" w:hAnsi="Palatino Linotype" w:cs="Times New Roman"/>
          <w:sz w:val="24"/>
          <w:szCs w:val="24"/>
          <w:lang w:val="es-ES"/>
        </w:rPr>
      </w:pPr>
      <w:r w:rsidRPr="00560A25">
        <w:rPr>
          <w:rFonts w:ascii="Palatino Linotype" w:eastAsia="Times New Roman" w:hAnsi="Palatino Linotype" w:cs="Times New Roman"/>
          <w:sz w:val="24"/>
          <w:szCs w:val="24"/>
          <w:lang w:val="es-ES"/>
        </w:rPr>
        <w:t xml:space="preserve">De tal manera que se hace patente que la falta de respuesta del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a la solicitud de información se traducen en el hecho de que fue omiso en dar atención a las peticiones en términos de la Ley de la materia, es decir, incumplió las obligaciones que dicho cuerpo legal le impone como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de la misma, tal y como lo constituye los artículos 4, 12, 23 fracción IV, 24 último párrafo y 160 de la Ley de Transparencia del Estado de México, que a la letra dice:</w:t>
      </w:r>
    </w:p>
    <w:p w:rsidR="00AB65CF" w:rsidRPr="00560A25" w:rsidRDefault="00AB65CF" w:rsidP="00AB65CF">
      <w:pPr>
        <w:spacing w:after="0" w:line="360" w:lineRule="auto"/>
        <w:contextualSpacing/>
        <w:jc w:val="both"/>
        <w:rPr>
          <w:rFonts w:ascii="Palatino Linotype" w:eastAsia="Times New Roman" w:hAnsi="Palatino Linotype" w:cs="Times New Roman"/>
          <w:sz w:val="24"/>
          <w:szCs w:val="24"/>
          <w:lang w:val="es-ES"/>
        </w:rPr>
      </w:pP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r w:rsidRPr="00560A25">
        <w:rPr>
          <w:rFonts w:ascii="Palatino Linotype" w:eastAsiaTheme="minorHAnsi" w:hAnsi="Palatino Linotype" w:cs="Arial"/>
          <w:b/>
          <w:bCs/>
          <w:i/>
          <w:lang w:eastAsia="en-US"/>
        </w:rPr>
        <w:t>Artículo 4.</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Cs/>
          <w:i/>
          <w:u w:val="single"/>
          <w:lang w:eastAsia="en-US"/>
        </w:rPr>
        <w:t>El derecho humano de acceso a la información pública</w:t>
      </w:r>
      <w:r w:rsidRPr="00560A25">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560A25">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rsidR="00AB65CF" w:rsidRDefault="00AB65CF" w:rsidP="00AB65CF">
      <w:pPr>
        <w:spacing w:after="0" w:line="240" w:lineRule="auto"/>
        <w:ind w:left="709" w:right="567"/>
        <w:jc w:val="both"/>
        <w:rPr>
          <w:rFonts w:ascii="Palatino Linotype" w:eastAsiaTheme="minorHAnsi" w:hAnsi="Palatino Linotype" w:cs="Arial"/>
          <w:bCs/>
          <w:i/>
          <w:lang w:eastAsia="en-US"/>
        </w:rPr>
      </w:pP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lastRenderedPageBreak/>
        <w:t>Artículo 12.</w:t>
      </w:r>
      <w:r w:rsidRPr="00560A25">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560A25">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AB65CF" w:rsidRPr="0017387F" w:rsidRDefault="00AB65CF" w:rsidP="00AB65CF">
      <w:pPr>
        <w:spacing w:after="0" w:line="240" w:lineRule="auto"/>
        <w:ind w:left="709" w:right="567"/>
        <w:jc w:val="both"/>
        <w:rPr>
          <w:rFonts w:ascii="Palatino Linotype" w:eastAsiaTheme="minorHAnsi" w:hAnsi="Palatino Linotype" w:cs="Arial"/>
          <w:bCs/>
          <w:i/>
          <w:lang w:eastAsia="en-US"/>
        </w:rPr>
      </w:pP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23</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
          <w:bCs/>
          <w:i/>
          <w:lang w:eastAsia="en-US"/>
        </w:rPr>
        <w:t>Son sujetos obligados</w:t>
      </w:r>
      <w:r w:rsidRPr="00560A25">
        <w:rPr>
          <w:rFonts w:ascii="Palatino Linotype" w:eastAsiaTheme="minorHAnsi" w:hAnsi="Palatino Linotype" w:cs="Arial"/>
          <w:bCs/>
          <w:i/>
          <w:lang w:eastAsia="en-US"/>
        </w:rPr>
        <w:t xml:space="preserve"> a transparentar y permitir el acceso a su información y proteger los datos personales que obren en su poder: </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 xml:space="preserve">IV. </w:t>
      </w:r>
      <w:r w:rsidRPr="00560A25">
        <w:rPr>
          <w:rFonts w:ascii="Palatino Linotype" w:eastAsiaTheme="minorHAnsi" w:hAnsi="Palatino Linotype" w:cs="Arial"/>
          <w:bCs/>
          <w:i/>
          <w:lang w:eastAsia="en-US"/>
        </w:rPr>
        <w:t>Los ayuntamientos y las dependencias, organismos,</w:t>
      </w:r>
      <w:r w:rsidRPr="00560A25">
        <w:rPr>
          <w:rFonts w:ascii="Palatino Linotype" w:eastAsiaTheme="minorHAnsi" w:hAnsi="Palatino Linotype" w:cs="Arial"/>
          <w:b/>
          <w:bCs/>
          <w:i/>
          <w:u w:val="single"/>
          <w:lang w:eastAsia="en-US"/>
        </w:rPr>
        <w:t xml:space="preserve"> órganos y entidades de la administración municipal;</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p>
    <w:p w:rsidR="00AB65CF" w:rsidRPr="00560A25" w:rsidRDefault="00AB65CF" w:rsidP="00AB65CF">
      <w:pPr>
        <w:spacing w:after="0" w:line="240" w:lineRule="auto"/>
        <w:ind w:left="709" w:right="567"/>
        <w:jc w:val="both"/>
        <w:rPr>
          <w:rFonts w:ascii="Palatino Linotype" w:eastAsiaTheme="minorHAnsi" w:hAnsi="Palatino Linotype" w:cs="Arial"/>
          <w:b/>
          <w:bCs/>
          <w:i/>
          <w:lang w:eastAsia="en-US"/>
        </w:rPr>
      </w:pPr>
      <w:r w:rsidRPr="00560A25">
        <w:rPr>
          <w:rFonts w:ascii="Palatino Linotype" w:eastAsiaTheme="minorHAnsi" w:hAnsi="Palatino Linotype" w:cs="Arial"/>
          <w:b/>
          <w:bCs/>
          <w:i/>
          <w:lang w:eastAsia="en-US"/>
        </w:rPr>
        <w:t xml:space="preserve">Artículo 24. </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160.</w:t>
      </w:r>
      <w:r w:rsidRPr="00560A25">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p>
    <w:p w:rsidR="00AB65CF" w:rsidRPr="00560A25" w:rsidRDefault="00AB65CF" w:rsidP="00AB65CF">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AB65CF" w:rsidRPr="00560A25" w:rsidRDefault="00AB65CF" w:rsidP="00AB65CF">
      <w:pPr>
        <w:spacing w:after="0" w:line="240" w:lineRule="auto"/>
        <w:ind w:left="709" w:right="567"/>
        <w:jc w:val="right"/>
        <w:rPr>
          <w:rFonts w:ascii="Palatino Linotype" w:eastAsiaTheme="minorHAnsi" w:hAnsi="Palatino Linotype" w:cs="Arial"/>
          <w:lang w:eastAsia="en-US"/>
        </w:rPr>
      </w:pPr>
      <w:r w:rsidRPr="00560A25">
        <w:rPr>
          <w:rFonts w:ascii="Palatino Linotype" w:eastAsiaTheme="minorHAnsi" w:hAnsi="Palatino Linotype" w:cs="Arial"/>
          <w:bCs/>
          <w:lang w:eastAsia="en-US"/>
        </w:rPr>
        <w:t>(Énfasis añadido)</w:t>
      </w:r>
    </w:p>
    <w:p w:rsidR="00AB65CF" w:rsidRPr="00560A25" w:rsidRDefault="00AB65CF" w:rsidP="00AB65CF">
      <w:pPr>
        <w:spacing w:after="0" w:line="360" w:lineRule="auto"/>
        <w:contextualSpacing/>
        <w:jc w:val="both"/>
        <w:rPr>
          <w:rFonts w:ascii="Palatino Linotype" w:eastAsia="MS Mincho" w:hAnsi="Palatino Linotype" w:cs="Times New Roman"/>
          <w:sz w:val="24"/>
          <w:szCs w:val="24"/>
          <w:lang w:val="es-ES_tradnl" w:eastAsia="es-ES"/>
        </w:rPr>
      </w:pPr>
    </w:p>
    <w:p w:rsidR="002B0B59" w:rsidRPr="002B0B59" w:rsidRDefault="002B0B59" w:rsidP="002B0B59">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B0B59">
        <w:rPr>
          <w:rFonts w:ascii="Palatino Linotype" w:eastAsia="Times New Roman"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w:t>
      </w:r>
      <w:r w:rsidRPr="002B0B59">
        <w:rPr>
          <w:rFonts w:ascii="Palatino Linotype" w:eastAsia="Times New Roman" w:hAnsi="Palatino Linotype" w:cs="Arial"/>
          <w:color w:val="000000"/>
          <w:sz w:val="24"/>
          <w:szCs w:val="24"/>
          <w:lang w:val="es-ES_tradnl"/>
        </w:rPr>
        <w:lastRenderedPageBreak/>
        <w:t>artículo sexto de la Constitución Política de los Estados Unidos Mexicanos y en el artículo quinto de la Particular del Estado de México, por lo que el</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Sujeto Obligado</w:t>
      </w:r>
      <w:r w:rsidRPr="002B0B5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0B59">
        <w:rPr>
          <w:rFonts w:ascii="Palatino Linotype" w:eastAsia="Times New Roman" w:hAnsi="Palatino Linotype" w:cs="Arial"/>
          <w:b/>
          <w:color w:val="000000"/>
          <w:sz w:val="24"/>
          <w:szCs w:val="24"/>
          <w:lang w:val="es-ES_tradnl" w:eastAsia="es-ES"/>
        </w:rPr>
        <w:t xml:space="preserve">Constitución Política de los Estados Unidos Mexicanos </w:t>
      </w:r>
      <w:r w:rsidRPr="002B0B59">
        <w:rPr>
          <w:rFonts w:ascii="Palatino Linotype" w:eastAsia="Times New Roman" w:hAnsi="Palatino Linotype" w:cs="Arial"/>
          <w:color w:val="000000"/>
          <w:sz w:val="24"/>
          <w:szCs w:val="24"/>
          <w:lang w:val="es-ES_tradnl" w:eastAsia="es-ES"/>
        </w:rPr>
        <w:t xml:space="preserve">al señalar la obligación de “promover, </w:t>
      </w:r>
      <w:r w:rsidRPr="002B0B59">
        <w:rPr>
          <w:rFonts w:ascii="Palatino Linotype" w:eastAsia="Times New Roman" w:hAnsi="Palatino Linotype" w:cs="Arial"/>
          <w:b/>
          <w:color w:val="000000"/>
          <w:sz w:val="24"/>
          <w:szCs w:val="24"/>
          <w:lang w:val="es-ES_tradnl" w:eastAsia="es-ES"/>
        </w:rPr>
        <w:t>respetar</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proteger</w:t>
      </w:r>
      <w:r w:rsidRPr="002B0B59">
        <w:rPr>
          <w:rFonts w:ascii="Palatino Linotype" w:eastAsia="Times New Roman" w:hAnsi="Palatino Linotype" w:cs="Arial"/>
          <w:color w:val="000000"/>
          <w:sz w:val="24"/>
          <w:szCs w:val="24"/>
          <w:lang w:val="es-ES_tradnl" w:eastAsia="es-ES"/>
        </w:rPr>
        <w:t xml:space="preserve"> y </w:t>
      </w:r>
      <w:r w:rsidRPr="002B0B59">
        <w:rPr>
          <w:rFonts w:ascii="Palatino Linotype" w:eastAsia="Times New Roman" w:hAnsi="Palatino Linotype" w:cs="Arial"/>
          <w:b/>
          <w:color w:val="000000"/>
          <w:sz w:val="24"/>
          <w:szCs w:val="24"/>
          <w:lang w:val="es-ES_tradnl" w:eastAsia="es-ES"/>
        </w:rPr>
        <w:t>garantizar</w:t>
      </w:r>
      <w:r w:rsidRPr="002B0B59">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2B0B59" w:rsidRPr="002B0B59" w:rsidRDefault="002B0B59" w:rsidP="002B0B59">
      <w:pPr>
        <w:spacing w:after="0" w:line="360" w:lineRule="auto"/>
        <w:contextualSpacing/>
        <w:jc w:val="both"/>
        <w:rPr>
          <w:rFonts w:ascii="Palatino Linotype" w:eastAsia="Times New Roman" w:hAnsi="Palatino Linotype" w:cs="Arial"/>
          <w:color w:val="000000"/>
          <w:sz w:val="24"/>
          <w:szCs w:val="24"/>
          <w:lang w:val="es-ES_tradnl" w:eastAsia="es-ES"/>
        </w:rPr>
      </w:pPr>
    </w:p>
    <w:p w:rsidR="002B0B59" w:rsidRPr="002B0B59" w:rsidRDefault="002B0B59" w:rsidP="002B0B59">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B0B59" w:rsidRPr="002B0B59" w:rsidRDefault="002B0B59" w:rsidP="002B0B59">
      <w:pPr>
        <w:spacing w:after="0" w:line="360" w:lineRule="auto"/>
        <w:contextualSpacing/>
        <w:jc w:val="both"/>
        <w:rPr>
          <w:rFonts w:ascii="Palatino Linotype" w:eastAsia="MS Mincho" w:hAnsi="Palatino Linotype" w:cs="Times New Roman"/>
          <w:sz w:val="24"/>
          <w:szCs w:val="24"/>
          <w:lang w:val="es-ES_tradnl" w:eastAsia="es-ES"/>
        </w:rPr>
      </w:pPr>
    </w:p>
    <w:p w:rsidR="002B0B59" w:rsidRPr="002B0B59" w:rsidRDefault="002B0B59" w:rsidP="002B0B59">
      <w:pPr>
        <w:spacing w:after="0" w:line="360" w:lineRule="auto"/>
        <w:contextualSpacing/>
        <w:jc w:val="both"/>
        <w:rPr>
          <w:rFonts w:ascii="Palatino Linotype" w:eastAsia="MS Mincho" w:hAnsi="Palatino Linotype" w:cs="Times New Roman"/>
          <w:sz w:val="24"/>
          <w:szCs w:val="24"/>
          <w:lang w:val="es-ES_tradnl" w:eastAsia="es-ES"/>
        </w:rPr>
      </w:pPr>
      <w:r w:rsidRPr="002B0B59">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2B0B59">
        <w:rPr>
          <w:rFonts w:ascii="Palatino Linotype" w:eastAsia="MS Mincho" w:hAnsi="Palatino Linotype" w:cs="Times New Roman"/>
          <w:sz w:val="24"/>
          <w:szCs w:val="24"/>
          <w:lang w:val="es-ES_tradnl" w:eastAsia="es-ES"/>
        </w:rPr>
        <w:lastRenderedPageBreak/>
        <w:t xml:space="preserve">mecanismos que permitan trasparentar la gestión pública y mejora la toma decisiones, a través de la difusión de la información que obra en poder de los </w:t>
      </w:r>
      <w:r w:rsidRPr="002B0B59">
        <w:rPr>
          <w:rFonts w:ascii="Palatino Linotype" w:eastAsia="MS Mincho" w:hAnsi="Palatino Linotype" w:cs="Times New Roman"/>
          <w:b/>
          <w:sz w:val="24"/>
          <w:szCs w:val="24"/>
          <w:lang w:val="es-ES_tradnl" w:eastAsia="es-ES"/>
        </w:rPr>
        <w:t>Sujeto Obligado</w:t>
      </w:r>
      <w:r w:rsidRPr="002B0B59">
        <w:rPr>
          <w:rFonts w:ascii="Palatino Linotype" w:eastAsia="MS Mincho" w:hAnsi="Palatino Linotype" w:cs="Times New Roman"/>
          <w:sz w:val="24"/>
          <w:szCs w:val="24"/>
          <w:lang w:val="es-ES_tradnl" w:eastAsia="es-ES"/>
        </w:rPr>
        <w:t>s.</w:t>
      </w:r>
    </w:p>
    <w:p w:rsidR="002B0B59" w:rsidRPr="002B0B59" w:rsidRDefault="002B0B59" w:rsidP="002B0B59">
      <w:pPr>
        <w:spacing w:after="0" w:line="360" w:lineRule="auto"/>
        <w:contextualSpacing/>
        <w:jc w:val="both"/>
        <w:rPr>
          <w:rFonts w:ascii="Palatino Linotype" w:eastAsia="Times New Roman" w:hAnsi="Palatino Linotype" w:cs="Times New Roman"/>
          <w:sz w:val="24"/>
          <w:szCs w:val="24"/>
          <w:lang w:val="es-ES"/>
        </w:rPr>
      </w:pPr>
    </w:p>
    <w:p w:rsidR="002B0B59" w:rsidRPr="002B0B59" w:rsidRDefault="002B0B59" w:rsidP="002B0B59">
      <w:pPr>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B0B59" w:rsidRPr="002B0B59" w:rsidRDefault="002B0B59" w:rsidP="002B0B59">
      <w:pPr>
        <w:spacing w:after="0" w:line="360" w:lineRule="auto"/>
        <w:contextualSpacing/>
        <w:jc w:val="both"/>
        <w:rPr>
          <w:rFonts w:ascii="Palatino Linotype" w:eastAsia="Times New Roman" w:hAnsi="Palatino Linotype" w:cs="Arial"/>
          <w:sz w:val="24"/>
          <w:szCs w:val="24"/>
          <w:lang w:val="es-ES" w:eastAsia="es-ES"/>
        </w:rPr>
      </w:pP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fue omiso en dar respuesta a la solicitud.</w:t>
      </w: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2B0B59">
        <w:rPr>
          <w:rFonts w:ascii="Palatino Linotype"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B0B59" w:rsidRPr="002B0B59" w:rsidRDefault="002B0B59" w:rsidP="002B0B59">
      <w:pPr>
        <w:autoSpaceDE w:val="0"/>
        <w:autoSpaceDN w:val="0"/>
        <w:adjustRightInd w:val="0"/>
        <w:spacing w:after="0" w:line="360" w:lineRule="auto"/>
        <w:jc w:val="both"/>
        <w:rPr>
          <w:rFonts w:ascii="Palatino Linotype" w:hAnsi="Palatino Linotype" w:cs="Times New Roman"/>
          <w:sz w:val="24"/>
          <w:szCs w:val="24"/>
          <w:lang w:val="es-ES" w:eastAsia="es-ES"/>
        </w:rPr>
      </w:pPr>
      <w:r w:rsidRPr="002B0B59">
        <w:rPr>
          <w:rFonts w:ascii="Palatino Linotype" w:hAnsi="Palatino Linotype" w:cs="Times New Roman"/>
          <w:sz w:val="24"/>
          <w:szCs w:val="24"/>
          <w:lang w:val="es-ES" w:eastAsia="es-ES"/>
        </w:rPr>
        <w:t xml:space="preserve">No sobra decir que, al actuar de esta forma, 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2B0B59">
        <w:rPr>
          <w:rFonts w:ascii="Palatino Linotype" w:hAnsi="Palatino Linotype" w:cs="Times New Roman"/>
          <w:i/>
          <w:sz w:val="24"/>
          <w:szCs w:val="24"/>
          <w:lang w:val="es-ES" w:eastAsia="es-ES"/>
        </w:rPr>
        <w:t xml:space="preserve">en el ámbito de sus atribuciones, de promover, respetar, proteger y </w:t>
      </w:r>
      <w:r w:rsidRPr="002B0B59">
        <w:rPr>
          <w:rFonts w:ascii="Palatino Linotype" w:hAnsi="Palatino Linotype" w:cs="Times New Roman"/>
          <w:b/>
          <w:i/>
          <w:sz w:val="24"/>
          <w:szCs w:val="24"/>
          <w:lang w:val="es-ES" w:eastAsia="es-ES"/>
        </w:rPr>
        <w:t>garantizar</w:t>
      </w:r>
      <w:r w:rsidRPr="002B0B59">
        <w:rPr>
          <w:rFonts w:ascii="Palatino Linotype" w:hAnsi="Palatino Linotype" w:cs="Times New Roman"/>
          <w:i/>
          <w:sz w:val="24"/>
          <w:szCs w:val="24"/>
          <w:lang w:val="es-ES" w:eastAsia="es-ES"/>
        </w:rPr>
        <w:t xml:space="preserve"> los derechos humanos</w:t>
      </w:r>
      <w:r w:rsidRPr="002B0B59">
        <w:rPr>
          <w:rFonts w:ascii="Palatino Linotype"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2B0B59">
        <w:rPr>
          <w:rFonts w:ascii="Palatino Linotype" w:hAnsi="Palatino Linotype" w:cs="Times New Roman"/>
          <w:i/>
          <w:sz w:val="24"/>
          <w:szCs w:val="24"/>
          <w:lang w:val="es-ES" w:eastAsia="es-ES"/>
        </w:rPr>
        <w:t>procedimiento de acceso a la información es la garantía primaria del derecho en cuestión.</w:t>
      </w:r>
      <w:r w:rsidRPr="002B0B59">
        <w:rPr>
          <w:rFonts w:ascii="Palatino Linotype" w:hAnsi="Palatino Linotype" w:cs="Times New Roman"/>
          <w:sz w:val="24"/>
          <w:szCs w:val="24"/>
          <w:lang w:val="es-ES" w:eastAsia="es-ES"/>
        </w:rPr>
        <w:t xml:space="preserve"> Por lo tanto, la falta de respuesta a una solicitud de acceso a la información constituye un incumplimiento del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B0B59">
        <w:rPr>
          <w:rFonts w:ascii="Palatino Linotype" w:hAnsi="Palatino Linotype" w:cs="Times New Roman"/>
          <w:i/>
          <w:sz w:val="24"/>
          <w:szCs w:val="24"/>
          <w:lang w:val="es-ES" w:eastAsia="es-ES"/>
        </w:rPr>
        <w:t>investigar, sancionar y reparar las violaciones a los derechos humanos.</w:t>
      </w: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esta resolución, el </w:t>
      </w:r>
      <w:r w:rsidRPr="002B0B59">
        <w:rPr>
          <w:rFonts w:ascii="Palatino Linotype" w:eastAsia="Times New Roman" w:hAnsi="Palatino Linotype" w:cs="Arial"/>
          <w:b/>
          <w:sz w:val="24"/>
          <w:szCs w:val="24"/>
          <w:lang w:val="es-ES" w:eastAsia="es-ES"/>
        </w:rPr>
        <w:t xml:space="preserve">Sujeto Obligado </w:t>
      </w:r>
      <w:r w:rsidRPr="002B0B59">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B0B59" w:rsidRPr="002B0B59" w:rsidRDefault="002B0B59" w:rsidP="002B0B59">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B0B59">
        <w:rPr>
          <w:rFonts w:ascii="Palatino Linotype" w:eastAsia="Times New Roman" w:hAnsi="Palatino Linotype" w:cs="Arial"/>
          <w:b/>
          <w:i/>
          <w:sz w:val="28"/>
          <w:szCs w:val="24"/>
          <w:lang w:val="es-ES" w:eastAsia="es-ES"/>
        </w:rPr>
        <w:lastRenderedPageBreak/>
        <w:t>De la versión pública</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B0B59">
        <w:rPr>
          <w:rFonts w:ascii="Palatino Linotype" w:eastAsiaTheme="minorHAnsi" w:hAnsi="Palatino Linotype" w:cs="Arial"/>
          <w:b/>
          <w:sz w:val="24"/>
          <w:szCs w:val="24"/>
          <w:lang w:eastAsia="en-US"/>
        </w:rPr>
        <w:t>Registro Federal de Contribuyentes</w:t>
      </w:r>
      <w:r w:rsidRPr="002B0B59">
        <w:rPr>
          <w:rFonts w:ascii="Palatino Linotype" w:eastAsiaTheme="minorHAnsi" w:hAnsi="Palatino Linotype" w:cs="Arial"/>
          <w:sz w:val="24"/>
          <w:szCs w:val="24"/>
          <w:lang w:eastAsia="en-US"/>
        </w:rPr>
        <w:t xml:space="preserve"> (RFC), la </w:t>
      </w:r>
      <w:r w:rsidRPr="002B0B59">
        <w:rPr>
          <w:rFonts w:ascii="Palatino Linotype" w:eastAsiaTheme="minorHAnsi" w:hAnsi="Palatino Linotype" w:cs="Arial"/>
          <w:b/>
          <w:sz w:val="24"/>
          <w:szCs w:val="24"/>
          <w:lang w:eastAsia="en-US"/>
        </w:rPr>
        <w:t>Clave Única de Registro de Población</w:t>
      </w:r>
      <w:r w:rsidRPr="002B0B59">
        <w:rPr>
          <w:rFonts w:ascii="Palatino Linotype" w:eastAsiaTheme="minorHAnsi" w:hAnsi="Palatino Linotype" w:cs="Arial"/>
          <w:sz w:val="24"/>
          <w:szCs w:val="24"/>
          <w:lang w:eastAsia="en-US"/>
        </w:rPr>
        <w:t xml:space="preserve"> (CURP), la </w:t>
      </w:r>
      <w:r w:rsidRPr="002B0B59">
        <w:rPr>
          <w:rFonts w:ascii="Palatino Linotype" w:eastAsiaTheme="minorHAnsi" w:hAnsi="Palatino Linotype" w:cs="Arial"/>
          <w:b/>
          <w:sz w:val="24"/>
          <w:szCs w:val="24"/>
          <w:lang w:eastAsia="en-US"/>
        </w:rPr>
        <w:t>Clave de cualquier tipo de seguridad social</w:t>
      </w:r>
      <w:r w:rsidRPr="002B0B59">
        <w:rPr>
          <w:rFonts w:ascii="Palatino Linotype" w:eastAsiaTheme="minorHAnsi" w:hAnsi="Palatino Linotype" w:cs="Arial"/>
          <w:sz w:val="24"/>
          <w:szCs w:val="24"/>
          <w:lang w:eastAsia="en-US"/>
        </w:rPr>
        <w:t xml:space="preserve"> (ISSEMYM, u otros), así como, los </w:t>
      </w:r>
      <w:r w:rsidRPr="002B0B59">
        <w:rPr>
          <w:rFonts w:ascii="Palatino Linotype" w:eastAsiaTheme="minorHAnsi" w:hAnsi="Palatino Linotype" w:cs="Arial"/>
          <w:b/>
          <w:sz w:val="24"/>
          <w:szCs w:val="24"/>
          <w:lang w:eastAsia="en-US"/>
        </w:rPr>
        <w:t>préstamos o descuentos</w:t>
      </w:r>
      <w:r w:rsidRPr="002B0B59">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Lo anterior, es compartido por el entonces Instituto Federal de Acceso a la Información Protección de Datos (IFAI) a través del Criterio 09/2009, el cual es del tenor literal siguiente:</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“Registro Federal de Contribuyentes (RFC) de las personas físicas es un dato personal confidencial. </w:t>
      </w:r>
      <w:r w:rsidRPr="002B0B59">
        <w:rPr>
          <w:rFonts w:ascii="Palatino Linotype" w:eastAsiaTheme="minorHAnsi" w:hAnsi="Palatino Linotype" w:cs="Arial"/>
          <w:i/>
          <w:lang w:eastAsia="en-US"/>
        </w:rPr>
        <w:t>De conformidad con lo establecido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Gubernamental </w:t>
      </w:r>
      <w:r w:rsidRPr="002B0B59">
        <w:rPr>
          <w:rFonts w:ascii="Palatino Linotype" w:eastAsiaTheme="minorHAnsi" w:hAnsi="Palatino Linotype" w:cs="Arial"/>
          <w:i/>
          <w:u w:val="single"/>
          <w:lang w:eastAsia="en-US"/>
        </w:rPr>
        <w:t>se considera información confidencial los datos personales que</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 xml:space="preserve">requieren el consentimiento de </w:t>
      </w:r>
      <w:r w:rsidRPr="002B0B59">
        <w:rPr>
          <w:rFonts w:ascii="Palatino Linotype" w:eastAsiaTheme="minorHAnsi" w:hAnsi="Palatino Linotype" w:cs="Arial"/>
          <w:i/>
          <w:u w:val="single"/>
          <w:lang w:eastAsia="en-US"/>
        </w:rPr>
        <w:lastRenderedPageBreak/>
        <w:t>los individuos para su difusión, distribución o</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comercialización en los términos de esta Ley. Por su parte, según dispone el</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artículo 3, fracción II de la Ley Federal de Transparencia y Acceso a la Información</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Pública Gubernamental, dato personal es toda aquella información concerniente a</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una persona física identificada o identificable</w:t>
      </w:r>
      <w:r w:rsidRPr="002B0B59">
        <w:rPr>
          <w:rFonts w:ascii="Palatino Linotype" w:eastAsiaTheme="minorHAnsi" w:hAnsi="Palatino Linotype" w:cs="Arial"/>
          <w:i/>
          <w:lang w:eastAsia="en-US"/>
        </w:rPr>
        <w:t xml:space="preserve">. Para </w:t>
      </w:r>
      <w:r w:rsidRPr="002B0B59">
        <w:rPr>
          <w:rFonts w:ascii="Palatino Linotype" w:eastAsiaTheme="minorHAnsi" w:hAnsi="Palatino Linotype" w:cs="Arial"/>
          <w:i/>
          <w:u w:val="single"/>
          <w:lang w:eastAsia="en-US"/>
        </w:rPr>
        <w:t>obtener el RFC es necesario</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acreditar previamente mediante documentos oficiales (pasaporte, acta de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nacimiento, etc.) la identidad de la persona, su fecha y lugar de nacimiento, entre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 xml:space="preserve">otros. </w:t>
      </w:r>
      <w:r w:rsidRPr="002B0B59">
        <w:rPr>
          <w:rFonts w:ascii="Palatino Linotype" w:eastAsiaTheme="minorHAnsi" w:hAnsi="Palatino Linotype" w:cs="Arial"/>
          <w:i/>
          <w:lang w:eastAsia="en-US"/>
        </w:rPr>
        <w:t>De acuerdo con la legislación tributaria, las personas físicas tramitan su</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inscripción en el Registro Federal de Contribuyentes con el único propósito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realizar mediante esa clave de identificación, operaciones o actividades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naturaleza tributaria. En este sentido, el artículo 79 del Código Fiscal de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Federación prevé que la utilización de una clave de registro no asignada por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autoridad constituye como una infracción en materia fiscal. De acuerdo con lo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antes apuntado, el RFC vinculado al nombre de su titular, permite identificar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edad de la persona, así como su </w:t>
      </w:r>
      <w:proofErr w:type="spellStart"/>
      <w:r w:rsidRPr="002B0B59">
        <w:rPr>
          <w:rFonts w:ascii="Palatino Linotype" w:eastAsiaTheme="minorHAnsi" w:hAnsi="Palatino Linotype" w:cs="Arial"/>
          <w:i/>
          <w:lang w:eastAsia="en-US"/>
        </w:rPr>
        <w:t>homoclave</w:t>
      </w:r>
      <w:proofErr w:type="spellEnd"/>
      <w:r w:rsidRPr="002B0B59">
        <w:rPr>
          <w:rFonts w:ascii="Palatino Linotype" w:eastAsiaTheme="minorHAnsi" w:hAnsi="Palatino Linotype" w:cs="Arial"/>
          <w:i/>
          <w:lang w:eastAsia="en-US"/>
        </w:rPr>
        <w:t>, siendo esta última única e irrepetible,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por lo que es posible concluir que el RFC constituye un dato personal y, por tanto,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información confidencial, de conformidad con los previsto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Gubernamental</w:t>
      </w:r>
      <w:r w:rsidRPr="002B0B59">
        <w:rPr>
          <w:rFonts w:ascii="Palatino Linotype" w:eastAsiaTheme="minorHAnsi" w:hAnsi="Palatino Linotype" w:cs="Arial"/>
          <w:bCs/>
          <w:i/>
          <w:lang w:eastAsia="en-US"/>
        </w:rPr>
        <w:t xml:space="preserve">…” </w:t>
      </w:r>
    </w:p>
    <w:p w:rsidR="002B0B59" w:rsidRPr="002B0B59" w:rsidRDefault="002B0B59" w:rsidP="002B0B59">
      <w:pPr>
        <w:tabs>
          <w:tab w:val="left" w:pos="8647"/>
        </w:tabs>
        <w:spacing w:after="0" w:line="240" w:lineRule="auto"/>
        <w:ind w:left="567" w:right="567"/>
        <w:jc w:val="both"/>
        <w:rPr>
          <w:rFonts w:ascii="Palatino Linotype" w:eastAsiaTheme="minorHAnsi" w:hAnsi="Palatino Linotype" w:cs="Arial"/>
          <w:bCs/>
          <w:lang w:eastAsia="en-US"/>
        </w:rPr>
      </w:pPr>
    </w:p>
    <w:p w:rsidR="002B0B59" w:rsidRPr="002B0B59" w:rsidRDefault="002B0B59" w:rsidP="002B0B59">
      <w:pPr>
        <w:tabs>
          <w:tab w:val="left" w:pos="8647"/>
        </w:tabs>
        <w:spacing w:after="0" w:line="240" w:lineRule="auto"/>
        <w:ind w:left="567" w:right="284"/>
        <w:jc w:val="right"/>
        <w:rPr>
          <w:rFonts w:ascii="Palatino Linotype" w:eastAsiaTheme="minorHAnsi" w:hAnsi="Palatino Linotype" w:cs="Arial"/>
          <w:lang w:eastAsia="en-US"/>
        </w:rPr>
      </w:pPr>
      <w:r w:rsidRPr="002B0B59">
        <w:rPr>
          <w:rFonts w:ascii="Palatino Linotype" w:eastAsiaTheme="minorHAnsi" w:hAnsi="Palatino Linotype" w:cs="Arial"/>
          <w:lang w:eastAsia="en-US"/>
        </w:rPr>
        <w:t>(Énfasis añadido)</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el RFC se vincula al nombre de su titular y permite identificar la edad de la persona, su fecha de nacimiento, así como su </w:t>
      </w:r>
      <w:proofErr w:type="spellStart"/>
      <w:r w:rsidRPr="002B0B59">
        <w:rPr>
          <w:rFonts w:ascii="Palatino Linotype" w:eastAsiaTheme="minorHAnsi" w:hAnsi="Palatino Linotype" w:cs="Arial"/>
          <w:sz w:val="24"/>
          <w:szCs w:val="24"/>
          <w:lang w:eastAsia="en-US"/>
        </w:rPr>
        <w:t>homoclave</w:t>
      </w:r>
      <w:proofErr w:type="spellEnd"/>
      <w:r w:rsidRPr="002B0B59">
        <w:rPr>
          <w:rFonts w:ascii="Palatino Linotype" w:eastAsiaTheme="minorHAnsi" w:hAnsi="Palatino Linotype" w:cs="Arial"/>
          <w:sz w:val="24"/>
          <w:szCs w:val="24"/>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2B0B59">
        <w:rPr>
          <w:rFonts w:ascii="Palatino Linotype" w:eastAsiaTheme="minorHAnsi" w:hAnsi="Palatino Linotype" w:cs="Arial"/>
          <w:sz w:val="24"/>
          <w:szCs w:val="24"/>
          <w:lang w:eastAsia="en-US"/>
        </w:rPr>
        <w:lastRenderedPageBreak/>
        <w:t xml:space="preserve">de los habitantes, se considera que es de carácter confidencial. Argumento que es compartido por el entonces </w:t>
      </w:r>
      <w:r w:rsidRPr="002B0B59">
        <w:rPr>
          <w:rFonts w:ascii="Palatino Linotype" w:eastAsiaTheme="minorHAnsi" w:hAnsi="Palatino Linotype" w:cs="Arial"/>
          <w:b/>
          <w:bCs/>
          <w:sz w:val="24"/>
          <w:szCs w:val="24"/>
          <w:lang w:eastAsia="en-US"/>
        </w:rPr>
        <w:t xml:space="preserve">Instituto Federal de Acceso a la Información y Protección de Datos (IFAI), conforme al </w:t>
      </w:r>
      <w:r w:rsidRPr="002B0B59">
        <w:rPr>
          <w:rFonts w:ascii="Palatino Linotype" w:eastAsiaTheme="minorHAnsi" w:hAnsi="Palatino Linotype" w:cs="Arial"/>
          <w:sz w:val="24"/>
          <w:szCs w:val="24"/>
          <w:lang w:eastAsia="en-US"/>
        </w:rPr>
        <w:t xml:space="preserve">criterio número 0003-10, el cual refiere: </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505"/>
        </w:tabs>
        <w:spacing w:after="0" w:line="276" w:lineRule="auto"/>
        <w:ind w:left="567" w:right="567"/>
        <w:jc w:val="both"/>
        <w:rPr>
          <w:rFonts w:ascii="Palatino Linotype" w:eastAsiaTheme="minorHAnsi" w:hAnsi="Palatino Linotype" w:cs="Arial"/>
          <w:i/>
          <w:lang w:eastAsia="en-US"/>
        </w:rPr>
      </w:pPr>
      <w:r w:rsidRPr="002B0B59">
        <w:rPr>
          <w:rFonts w:ascii="Palatino Linotype" w:eastAsiaTheme="minorHAnsi" w:hAnsi="Palatino Linotype" w:cs="Arial"/>
          <w:b/>
          <w:bCs/>
          <w:i/>
          <w:lang w:eastAsia="en-US"/>
        </w:rPr>
        <w:t xml:space="preserve">“Clave Única de Registro de Población (CURP) es un dato personal confidencial. </w:t>
      </w:r>
      <w:r w:rsidRPr="002B0B59">
        <w:rPr>
          <w:rFonts w:ascii="Palatino Linotype" w:eastAsiaTheme="minorHAnsi" w:hAnsi="Palatino Linotype" w:cs="Arial"/>
          <w:i/>
          <w:lang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B0B59">
        <w:rPr>
          <w:rFonts w:ascii="Palatino Linotype" w:eastAsiaTheme="minorHAnsi" w:hAnsi="Palatino Linotype" w:cs="Arial"/>
          <w:b/>
          <w:bCs/>
          <w:i/>
          <w:lang w:eastAsia="en-US"/>
        </w:rPr>
        <w:t>..</w:t>
      </w:r>
      <w:r w:rsidRPr="002B0B59">
        <w:rPr>
          <w:rFonts w:ascii="Palatino Linotype" w:eastAsiaTheme="minorHAnsi" w:hAnsi="Palatino Linotype" w:cs="Arial"/>
          <w:i/>
          <w:lang w:eastAsia="en-US"/>
        </w:rPr>
        <w:t>.” (Sic)</w:t>
      </w:r>
    </w:p>
    <w:p w:rsidR="002B0B59" w:rsidRPr="002B0B59" w:rsidRDefault="002B0B59" w:rsidP="002B0B5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B0B59" w:rsidRPr="002B0B59" w:rsidRDefault="002B0B59" w:rsidP="002B0B5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B0B59" w:rsidRPr="002B0B59" w:rsidRDefault="002B0B59" w:rsidP="002B0B5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w:t>
      </w:r>
      <w:r w:rsidRPr="002B0B59">
        <w:rPr>
          <w:rFonts w:ascii="Palatino Linotype" w:eastAsiaTheme="minorHAnsi" w:hAnsi="Palatino Linotype" w:cs="Arial"/>
          <w:sz w:val="24"/>
          <w:szCs w:val="24"/>
          <w:lang w:eastAsia="en-US"/>
        </w:rPr>
        <w:lastRenderedPageBreak/>
        <w:t>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9056A3">
      <w:pPr>
        <w:tabs>
          <w:tab w:val="left" w:pos="8505"/>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r w:rsidRPr="002B0B59">
        <w:rPr>
          <w:rFonts w:ascii="Palatino Linotype" w:eastAsiaTheme="minorHAnsi" w:hAnsi="Palatino Linotype" w:cs="Arial"/>
          <w:b/>
          <w:bCs/>
          <w:i/>
          <w:lang w:eastAsia="en-US"/>
        </w:rPr>
        <w:t>Cuarto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u w:val="single"/>
          <w:lang w:eastAsia="en-US"/>
        </w:rPr>
        <w:t>Para clasificar la información como reservada o confidencial,</w:t>
      </w:r>
      <w:r w:rsidRPr="002B0B59">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Quinto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lang w:eastAsia="en-US"/>
        </w:rPr>
        <w:t xml:space="preserve">La carga de la prueba para justificar toda negativa de acceso a la información, </w:t>
      </w:r>
      <w:r w:rsidRPr="002B0B59">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2B0B59">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B0B59">
        <w:rPr>
          <w:rFonts w:ascii="Palatino Linotype" w:eastAsiaTheme="minorHAnsi" w:hAnsi="Palatino Linotype" w:cs="Arial"/>
          <w:bCs/>
          <w:i/>
          <w:lang w:eastAsia="en-US"/>
        </w:rPr>
        <w:t>, observando lo dispuesto en la Ley General y las demás disposiciones aplicables en la materia.</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Octavo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2B0B59">
        <w:rPr>
          <w:rFonts w:ascii="Palatino Linotype" w:eastAsiaTheme="minorHAnsi" w:hAnsi="Palatino Linotype" w:cs="Arial"/>
          <w:bCs/>
          <w:i/>
          <w:lang w:eastAsia="en-US"/>
        </w:rPr>
        <w:t xml:space="preserve"> suscrito por el Estado mexicano que expresamente le otorga el carácter de reservada o confidencial.</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lastRenderedPageBreak/>
        <w:t>Para motivar la clasificación se deberán señalar las razones o circunstancias especiales que lo llevaron a concluir que el caso particular se ajusta al supuesto previsto por la norma legal invocada como fundamento.</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
          <w:bCs/>
          <w:i/>
          <w:lang w:eastAsia="en-US"/>
        </w:rPr>
        <w:t>DE LA INFORMACIÓN CONFIDENCIAL</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Trigésimo octavo. </w:t>
      </w:r>
      <w:r w:rsidRPr="002B0B59">
        <w:rPr>
          <w:rFonts w:ascii="Palatino Linotype" w:eastAsiaTheme="minorHAnsi" w:hAnsi="Palatino Linotype" w:cs="Arial"/>
          <w:bCs/>
          <w:i/>
          <w:lang w:eastAsia="en-US"/>
        </w:rPr>
        <w:t>Se considera información confidencial:</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Cs/>
          <w:i/>
          <w:lang w:eastAsia="en-US"/>
        </w:rPr>
        <w:t xml:space="preserve">I. </w:t>
      </w:r>
      <w:r w:rsidRPr="002B0B59">
        <w:rPr>
          <w:rFonts w:ascii="Palatino Linotype" w:eastAsiaTheme="minorHAnsi" w:hAnsi="Palatino Linotype" w:cs="Arial"/>
          <w:b/>
          <w:bCs/>
          <w:i/>
          <w:u w:val="single"/>
          <w:lang w:eastAsia="en-US"/>
        </w:rPr>
        <w:t>Los datos personales en los términos de la norma aplicable</w:t>
      </w:r>
      <w:r w:rsidRPr="002B0B59">
        <w:rPr>
          <w:rFonts w:ascii="Palatino Linotype" w:eastAsiaTheme="minorHAnsi" w:hAnsi="Palatino Linotype" w:cs="Arial"/>
          <w:b/>
          <w:bCs/>
          <w:i/>
          <w:lang w:eastAsia="en-US"/>
        </w:rPr>
        <w:t>;</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III …</w:t>
      </w:r>
    </w:p>
    <w:p w:rsidR="002B0B59" w:rsidRPr="002B0B59" w:rsidRDefault="002B0B59" w:rsidP="009056A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2B0B59" w:rsidRPr="002B0B59" w:rsidRDefault="002B0B59" w:rsidP="009056A3">
      <w:pPr>
        <w:tabs>
          <w:tab w:val="left" w:pos="8647"/>
        </w:tabs>
        <w:spacing w:after="0" w:line="240" w:lineRule="auto"/>
        <w:ind w:left="567" w:right="567"/>
        <w:jc w:val="right"/>
        <w:rPr>
          <w:rFonts w:ascii="Palatino Linotype" w:eastAsiaTheme="minorHAnsi" w:hAnsi="Palatino Linotype" w:cs="Arial"/>
          <w:bCs/>
          <w:lang w:eastAsia="en-US"/>
        </w:rPr>
      </w:pPr>
      <w:r w:rsidRPr="002B0B59">
        <w:rPr>
          <w:rFonts w:ascii="Palatino Linotype" w:eastAsiaTheme="minorHAnsi" w:hAnsi="Palatino Linotype" w:cs="Arial"/>
          <w:bCs/>
          <w:lang w:eastAsia="en-US"/>
        </w:rPr>
        <w:t>(Énfasis añadido)</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2B0B59">
        <w:rPr>
          <w:rFonts w:ascii="Palatino Linotype" w:eastAsiaTheme="minorHAnsi" w:hAnsi="Palatino Linotype" w:cs="Arial"/>
          <w:sz w:val="24"/>
          <w:szCs w:val="24"/>
          <w:lang w:eastAsia="en-US"/>
        </w:rPr>
        <w:lastRenderedPageBreak/>
        <w:t>exponen de manera puntual las razones de ello se estaría violentando desde un inicio el derecho de acceso a la información del solicitante.</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2B0B59">
        <w:rPr>
          <w:rFonts w:ascii="Palatino Linotype" w:eastAsia="Times New Roman" w:hAnsi="Palatino Linotype" w:cs="Arial"/>
          <w:sz w:val="24"/>
          <w:szCs w:val="24"/>
          <w:lang w:val="es-ES" w:eastAsia="es-ES"/>
        </w:rPr>
        <w:t xml:space="preserve">Entonces,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B0B59">
        <w:rPr>
          <w:rFonts w:ascii="Palatino Linotype" w:eastAsia="Times New Roman" w:hAnsi="Palatino Linotype" w:cs="Arial"/>
          <w:i/>
          <w:iCs/>
          <w:sz w:val="24"/>
          <w:szCs w:val="24"/>
          <w:lang w:val="es-ES" w:eastAsia="es-ES"/>
        </w:rPr>
        <w:t>.</w:t>
      </w:r>
    </w:p>
    <w:p w:rsidR="002B0B59" w:rsidRPr="002B0B59" w:rsidRDefault="002B0B59" w:rsidP="002B0B59">
      <w:pPr>
        <w:spacing w:after="0" w:line="360" w:lineRule="auto"/>
        <w:jc w:val="both"/>
        <w:rPr>
          <w:rFonts w:ascii="Palatino Linotype" w:eastAsiaTheme="minorHAnsi" w:hAnsi="Palatino Linotype" w:cs="Arial"/>
          <w:sz w:val="24"/>
          <w:lang w:eastAsia="en-US"/>
        </w:rPr>
      </w:pPr>
    </w:p>
    <w:p w:rsidR="002B0B59" w:rsidRPr="002B0B59" w:rsidRDefault="002B0B59" w:rsidP="002B0B59">
      <w:pPr>
        <w:numPr>
          <w:ilvl w:val="0"/>
          <w:numId w:val="3"/>
        </w:numPr>
        <w:tabs>
          <w:tab w:val="left" w:pos="709"/>
        </w:tabs>
        <w:spacing w:after="0" w:line="360" w:lineRule="auto"/>
        <w:jc w:val="both"/>
        <w:rPr>
          <w:rFonts w:ascii="Palatino Linotype" w:eastAsia="Times New Roman" w:hAnsi="Palatino Linotype" w:cs="Times New Roman"/>
          <w:i/>
          <w:sz w:val="28"/>
          <w:szCs w:val="24"/>
          <w:lang w:val="es-ES" w:eastAsia="es-ES"/>
        </w:rPr>
      </w:pPr>
      <w:r w:rsidRPr="002B0B59">
        <w:rPr>
          <w:rFonts w:ascii="Palatino Linotype" w:eastAsia="Times New Roman" w:hAnsi="Palatino Linotype" w:cs="Times New Roman"/>
          <w:b/>
          <w:i/>
          <w:sz w:val="28"/>
          <w:szCs w:val="24"/>
          <w:lang w:val="es-ES" w:eastAsia="es-ES"/>
        </w:rPr>
        <w:t>Vista al Órgano de Control Interno</w:t>
      </w: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B0B59">
        <w:rPr>
          <w:rFonts w:ascii="Palatino Linotype" w:eastAsiaTheme="minorHAnsi" w:hAnsi="Palatino Linotype" w:cstheme="minorBidi"/>
          <w:b/>
          <w:sz w:val="24"/>
          <w:szCs w:val="24"/>
          <w:lang w:eastAsia="en-US"/>
        </w:rPr>
        <w:t>Sujeto Obligado</w:t>
      </w:r>
      <w:r w:rsidRPr="002B0B59">
        <w:rPr>
          <w:rFonts w:ascii="Palatino Linotype" w:eastAsiaTheme="minorHAnsi" w:hAnsi="Palatino Linotype" w:cstheme="minorBidi"/>
          <w:sz w:val="24"/>
          <w:szCs w:val="24"/>
          <w:lang w:eastAsia="en-US"/>
        </w:rPr>
        <w:t>.</w:t>
      </w: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Por ello, es conveniente señalar la fracción X, del artículo 36, de la Ley de Transparencia y Acceso a la Información Pública del Estado de México y Municipios, que establece:</w:t>
      </w: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lastRenderedPageBreak/>
        <w:t>“</w:t>
      </w:r>
      <w:r w:rsidRPr="002B0B59">
        <w:rPr>
          <w:rFonts w:ascii="Palatino Linotype" w:eastAsiaTheme="minorHAnsi" w:hAnsi="Palatino Linotype" w:cstheme="minorBidi"/>
          <w:b/>
          <w:i/>
          <w:szCs w:val="24"/>
          <w:lang w:eastAsia="en-US"/>
        </w:rPr>
        <w:t>Artículo 36</w:t>
      </w:r>
      <w:r w:rsidRPr="002B0B59">
        <w:rPr>
          <w:rFonts w:ascii="Palatino Linotype" w:eastAsiaTheme="minorHAnsi" w:hAnsi="Palatino Linotype" w:cstheme="minorBidi"/>
          <w:i/>
          <w:szCs w:val="24"/>
          <w:lang w:eastAsia="en-US"/>
        </w:rPr>
        <w:t>. El Instituto tendrá, en el ámbito de su competencia, las siguientes atribuciones:</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X</w:t>
      </w:r>
      <w:r w:rsidRPr="002B0B59">
        <w:rPr>
          <w:rFonts w:ascii="Palatino Linotype" w:eastAsiaTheme="minorHAnsi" w:hAnsi="Palatino Linotype" w:cstheme="minorBidi"/>
          <w:i/>
          <w:szCs w:val="24"/>
          <w:lang w:eastAsia="en-US"/>
        </w:rPr>
        <w:t xml:space="preserve">. Hacer del conocimiento del órgano de control interno o equivalente de cada Sujeto Obligado las infracciones a esta Ley; </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B0B59" w:rsidRPr="002B0B59" w:rsidRDefault="002B0B59" w:rsidP="002B0B59">
      <w:pPr>
        <w:tabs>
          <w:tab w:val="left" w:pos="709"/>
        </w:tabs>
        <w:spacing w:after="0" w:line="360" w:lineRule="auto"/>
        <w:jc w:val="both"/>
        <w:rPr>
          <w:rFonts w:ascii="Palatino Linotype" w:eastAsiaTheme="minorHAnsi" w:hAnsi="Palatino Linotype" w:cstheme="minorBidi"/>
          <w:sz w:val="24"/>
          <w:szCs w:val="24"/>
          <w:lang w:eastAsia="en-US"/>
        </w:rPr>
      </w:pP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r w:rsidRPr="002B0B59">
        <w:rPr>
          <w:rFonts w:ascii="Palatino Linotype" w:eastAsiaTheme="minorHAnsi" w:hAnsi="Palatino Linotype" w:cstheme="minorBidi"/>
          <w:b/>
          <w:i/>
          <w:szCs w:val="24"/>
          <w:lang w:eastAsia="en-US"/>
        </w:rPr>
        <w:t>Artículo 190</w:t>
      </w:r>
      <w:r w:rsidRPr="002B0B59">
        <w:rPr>
          <w:rFonts w:ascii="Palatino Linotype" w:eastAsiaTheme="minorHAnsi" w:hAnsi="Palatino Linotype" w:cstheme="minorBidi"/>
          <w:i/>
          <w:szCs w:val="24"/>
          <w:lang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222</w:t>
      </w:r>
      <w:r w:rsidRPr="002B0B59">
        <w:rPr>
          <w:rFonts w:ascii="Palatino Linotype" w:eastAsiaTheme="minorHAnsi" w:hAnsi="Palatino Linotype" w:cstheme="minorBidi"/>
          <w:i/>
          <w:szCs w:val="24"/>
          <w:lang w:eastAsia="en-US"/>
        </w:rPr>
        <w:t>. Son causas de responsabilidad administrativa de los servidores públicos de los sujetos obligados, por incumplimiento de las obligaciones establecidas en la materia de la presente Ley, las siguientes:</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I. Cualquier acto u omisión que provoque la suspensión o deficiencia en la atención de las solicitudes de información;</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II. La falta de respuesta a las solicitudes de información en los plazos señalados en la normatividad aplicable;</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2B0B59" w:rsidRPr="002B0B59" w:rsidRDefault="002B0B59" w:rsidP="009056A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223</w:t>
      </w:r>
      <w:r w:rsidRPr="002B0B59">
        <w:rPr>
          <w:rFonts w:ascii="Palatino Linotype" w:eastAsiaTheme="minorHAnsi" w:hAnsi="Palatino Linotype" w:cstheme="minorBidi"/>
          <w:i/>
          <w:szCs w:val="24"/>
          <w:lang w:eastAsia="en-US"/>
        </w:rPr>
        <w:t xml:space="preserve">. El Instituto dará vista a la Contraloría Interna y Órgano de Control y Vigilancia en términos de la Ley de Responsabilidades de los Servidores Públicos del Estado </w:t>
      </w:r>
      <w:r w:rsidRPr="002B0B59">
        <w:rPr>
          <w:rFonts w:ascii="Palatino Linotype" w:eastAsiaTheme="minorHAnsi" w:hAnsi="Palatino Linotype" w:cstheme="minorBidi"/>
          <w:i/>
          <w:szCs w:val="24"/>
          <w:lang w:eastAsia="en-US"/>
        </w:rPr>
        <w:lastRenderedPageBreak/>
        <w:t>y Municipios, para que determine el grado de responsabilidad de quienes incumplan con las obligaciones de la presente Ley.”</w:t>
      </w:r>
    </w:p>
    <w:p w:rsidR="002B0B59" w:rsidRPr="002B0B59" w:rsidRDefault="002B0B59" w:rsidP="002B0B59">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2B0B59" w:rsidRPr="002B0B59" w:rsidRDefault="002B0B59" w:rsidP="002B0B59">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Por lo tanto, en mérito de lo expuesto en líneas anteriores, con fundamento en la fracción IV del artículo 186, de la Ley de Transparencia y Acceso a la Información Pública del Estado de México y Municipios,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Pr="002B0B59">
        <w:rPr>
          <w:rFonts w:ascii="Palatino Linotype" w:eastAsiaTheme="minorHAnsi" w:hAnsi="Palatino Linotype" w:cs="Arial"/>
          <w:b/>
          <w:sz w:val="24"/>
          <w:szCs w:val="24"/>
          <w:lang w:eastAsia="en-US"/>
        </w:rPr>
        <w:t>03349/METEPEC/IP/2022</w:t>
      </w:r>
      <w:r w:rsidRPr="002B0B59">
        <w:rPr>
          <w:rFonts w:ascii="Palatino Linotype" w:eastAsia="Times New Roman" w:hAnsi="Palatino Linotype" w:cs="Times New Roman"/>
          <w:b/>
          <w:bCs/>
          <w:sz w:val="24"/>
          <w:szCs w:val="24"/>
          <w:lang w:val="es-ES" w:eastAsia="es-ES"/>
        </w:rPr>
        <w:t>,</w:t>
      </w:r>
      <w:r w:rsidRPr="002B0B59">
        <w:rPr>
          <w:rFonts w:ascii="Palatino Linotype" w:eastAsiaTheme="minorHAnsi" w:hAnsi="Palatino Linotype" w:cs="Arial"/>
          <w:sz w:val="24"/>
          <w:szCs w:val="24"/>
          <w:lang w:eastAsia="en-US"/>
        </w:rPr>
        <w:t xml:space="preserve"> que ha sido materia del presente fallo.</w:t>
      </w:r>
    </w:p>
    <w:p w:rsidR="002B0B59" w:rsidRPr="002B0B59" w:rsidRDefault="002B0B59" w:rsidP="002B0B59">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2B0B59" w:rsidRPr="002B0B59" w:rsidRDefault="002B0B59" w:rsidP="002B0B59">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lo antes expuesto y fundado es de resolverse y,</w:t>
      </w:r>
    </w:p>
    <w:p w:rsidR="002B0B59" w:rsidRPr="002B0B59" w:rsidRDefault="002B0B59" w:rsidP="002B0B59">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2B0B59" w:rsidRPr="002B0B59" w:rsidRDefault="002B0B59" w:rsidP="002B0B59">
      <w:pPr>
        <w:spacing w:after="0" w:line="360" w:lineRule="auto"/>
        <w:ind w:left="426"/>
        <w:jc w:val="center"/>
        <w:rPr>
          <w:rFonts w:ascii="Palatino Linotype" w:eastAsia="Times New Roman" w:hAnsi="Palatino Linotype" w:cs="Times New Roman"/>
          <w:b/>
          <w:color w:val="000000"/>
          <w:sz w:val="28"/>
          <w:szCs w:val="24"/>
          <w:lang w:val="es-ES" w:eastAsia="es-ES"/>
        </w:rPr>
      </w:pPr>
      <w:r w:rsidRPr="002B0B59">
        <w:rPr>
          <w:rFonts w:ascii="Palatino Linotype" w:eastAsia="Times New Roman" w:hAnsi="Palatino Linotype" w:cs="Times New Roman"/>
          <w:b/>
          <w:color w:val="000000"/>
          <w:sz w:val="28"/>
          <w:szCs w:val="24"/>
          <w:lang w:val="es-ES" w:eastAsia="es-ES"/>
        </w:rPr>
        <w:t>SE    RESUELVE</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PRIMERO.</w:t>
      </w:r>
      <w:r w:rsidRPr="002B0B59">
        <w:rPr>
          <w:rFonts w:ascii="Palatino Linotype" w:eastAsiaTheme="minorHAnsi" w:hAnsi="Palatino Linotype" w:cs="Arial"/>
          <w:sz w:val="24"/>
          <w:szCs w:val="24"/>
          <w:lang w:eastAsia="en-US"/>
        </w:rPr>
        <w:t xml:space="preserve"> Resultan fundadas las razones o motivos de inconformidad hechos valer por el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CUARTO</w:t>
      </w:r>
      <w:r w:rsidRPr="002B0B59">
        <w:rPr>
          <w:rFonts w:ascii="Palatino Linotype" w:eastAsiaTheme="minorHAnsi" w:hAnsi="Palatino Linotype" w:cs="Arial"/>
          <w:sz w:val="24"/>
          <w:szCs w:val="24"/>
          <w:lang w:eastAsia="en-US"/>
        </w:rPr>
        <w:t>, de la presente resolución.</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SEGUNDO.</w:t>
      </w:r>
      <w:r w:rsidRPr="002B0B59">
        <w:rPr>
          <w:rFonts w:ascii="Palatino Linotype" w:eastAsiaTheme="minorHAnsi" w:hAnsi="Palatino Linotype" w:cs="Arial"/>
          <w:sz w:val="24"/>
          <w:szCs w:val="24"/>
          <w:lang w:eastAsia="en-US"/>
        </w:rPr>
        <w:t xml:space="preserve">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Pr="002B0B59">
        <w:rPr>
          <w:rFonts w:ascii="Palatino Linotype" w:eastAsia="Times New Roman" w:hAnsi="Palatino Linotype" w:cs="Times New Roman"/>
          <w:b/>
          <w:bCs/>
          <w:sz w:val="24"/>
          <w:szCs w:val="24"/>
          <w:lang w:val="es-ES" w:eastAsia="es-ES"/>
        </w:rPr>
        <w:t>03349/METEPEC/IP/2022</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 xml:space="preserve">CUARTO </w:t>
      </w:r>
      <w:r w:rsidRPr="002B0B59">
        <w:rPr>
          <w:rFonts w:ascii="Palatino Linotype" w:eastAsiaTheme="minorHAnsi" w:hAnsi="Palatino Linotype" w:cs="Arial"/>
          <w:sz w:val="24"/>
          <w:szCs w:val="24"/>
          <w:lang w:eastAsia="en-US"/>
        </w:rPr>
        <w:t>de esta resolución</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vía Sistema de Acceso a la Información Mexiquense (SAIMEX).</w:t>
      </w:r>
    </w:p>
    <w:p w:rsidR="009056A3" w:rsidRPr="002B0B59" w:rsidRDefault="009056A3"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TERCERO</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b/>
          <w:sz w:val="24"/>
          <w:szCs w:val="24"/>
          <w:lang w:eastAsia="en-US"/>
        </w:rPr>
        <w:t>Notifíquese</w:t>
      </w:r>
      <w:r w:rsidRPr="002B0B59">
        <w:rPr>
          <w:rFonts w:ascii="Palatino Linotype" w:eastAsiaTheme="minorHAnsi" w:hAnsi="Palatino Linotype" w:cs="Arial"/>
          <w:b/>
          <w:i/>
          <w:sz w:val="24"/>
          <w:szCs w:val="24"/>
          <w:lang w:eastAsia="en-US"/>
        </w:rPr>
        <w:t xml:space="preserve"> </w:t>
      </w:r>
      <w:r w:rsidRPr="002B0B59">
        <w:rPr>
          <w:rFonts w:ascii="Palatino Linotype" w:eastAsiaTheme="minorHAnsi" w:hAnsi="Palatino Linotype" w:cs="Arial"/>
          <w:sz w:val="24"/>
          <w:szCs w:val="24"/>
          <w:lang w:eastAsia="en-US"/>
        </w:rPr>
        <w:t>al Titular de la Unidad de Transparencia del</w:t>
      </w:r>
      <w:r w:rsidRPr="002B0B59">
        <w:rPr>
          <w:rFonts w:ascii="Palatino Linotype" w:eastAsiaTheme="minorHAnsi" w:hAnsi="Palatino Linotype" w:cs="Arial"/>
          <w:b/>
          <w:sz w:val="24"/>
          <w:szCs w:val="24"/>
          <w:lang w:eastAsia="en-US"/>
        </w:rPr>
        <w:t xml:space="preserve"> Sujeto Obligado</w:t>
      </w:r>
      <w:r w:rsidRPr="002B0B59">
        <w:rPr>
          <w:rFonts w:ascii="Palatino Linotype" w:eastAsiaTheme="minorHAnsi" w:hAnsi="Palatino Linotype" w:cs="Arial"/>
          <w:sz w:val="24"/>
          <w:szCs w:val="24"/>
          <w:lang w:eastAsia="en-US"/>
        </w:rPr>
        <w:t xml:space="preserve"> la presente resolución, para que conforme al artículo 186 último párrafo y 189 segundo párrafo de la Ley de Transparencia y Acceso a la Información Pública del </w:t>
      </w:r>
      <w:r w:rsidRPr="002B0B59">
        <w:rPr>
          <w:rFonts w:ascii="Palatino Linotype" w:eastAsiaTheme="minorHAnsi" w:hAnsi="Palatino Linotype" w:cs="Arial"/>
          <w:sz w:val="24"/>
          <w:szCs w:val="24"/>
          <w:lang w:eastAsia="en-US"/>
        </w:rPr>
        <w:lastRenderedPageBreak/>
        <w:t>Estado de México y Municipios, dé cumplimiento a lo ordenado dentro del plazo de diez días hábiles, debiendo informar a este Instituto en un plazo de tres días hábiles siguientes sobre el cumplimiento dado a la presente.</w:t>
      </w:r>
    </w:p>
    <w:p w:rsidR="002B0B59" w:rsidRPr="002B0B59" w:rsidRDefault="002B0B59" w:rsidP="002B0B59">
      <w:pPr>
        <w:tabs>
          <w:tab w:val="left" w:pos="8647"/>
        </w:tabs>
        <w:spacing w:after="0" w:line="360" w:lineRule="auto"/>
        <w:ind w:right="51"/>
        <w:jc w:val="both"/>
        <w:rPr>
          <w:rFonts w:ascii="Palatino Linotype" w:eastAsiaTheme="minorHAnsi" w:hAnsi="Palatino Linotype" w:cs="Arial"/>
          <w:sz w:val="24"/>
          <w:szCs w:val="24"/>
          <w:lang w:eastAsia="en-US"/>
        </w:rPr>
      </w:pPr>
    </w:p>
    <w:p w:rsidR="002B0B59" w:rsidRPr="002B0B59" w:rsidRDefault="002B0B59" w:rsidP="002B0B59">
      <w:pPr>
        <w:spacing w:after="0" w:line="360" w:lineRule="auto"/>
        <w:jc w:val="both"/>
        <w:rPr>
          <w:rFonts w:ascii="Palatino Linotype" w:hAnsi="Palatino Linotype" w:cs="Times New Roman"/>
          <w:sz w:val="24"/>
          <w:szCs w:val="24"/>
          <w:lang w:eastAsia="es-ES_tradnl"/>
        </w:rPr>
      </w:pPr>
      <w:r w:rsidRPr="002B0B59">
        <w:rPr>
          <w:rFonts w:ascii="Palatino Linotype" w:eastAsia="Times New Roman" w:hAnsi="Palatino Linotype" w:cs="Arial"/>
          <w:b/>
          <w:sz w:val="28"/>
          <w:szCs w:val="24"/>
          <w:lang w:val="es-ES" w:eastAsia="es-ES"/>
        </w:rPr>
        <w:t>CUARTO</w:t>
      </w:r>
      <w:r w:rsidRPr="002B0B59">
        <w:rPr>
          <w:rFonts w:ascii="Palatino Linotype" w:eastAsia="Times New Roman" w:hAnsi="Palatino Linotype" w:cs="Arial"/>
          <w:b/>
          <w:sz w:val="24"/>
          <w:szCs w:val="24"/>
          <w:lang w:val="es-ES" w:eastAsia="es-ES"/>
        </w:rPr>
        <w:t xml:space="preserve">. </w:t>
      </w:r>
      <w:r w:rsidRPr="002B0B59">
        <w:rPr>
          <w:rFonts w:ascii="Palatino Linotype"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B0B59" w:rsidRPr="002B0B59" w:rsidRDefault="002B0B59" w:rsidP="002B0B5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heme="minorHAnsi" w:hAnsi="Palatino Linotype" w:cstheme="minorBidi"/>
          <w:b/>
          <w:sz w:val="28"/>
          <w:szCs w:val="28"/>
          <w:lang w:eastAsia="en-US"/>
        </w:rPr>
        <w:t>QUINTO</w:t>
      </w:r>
      <w:r w:rsidRPr="002B0B59">
        <w:rPr>
          <w:rFonts w:ascii="Palatino Linotype" w:eastAsiaTheme="minorHAnsi" w:hAnsi="Palatino Linotype" w:cstheme="minorBidi"/>
          <w:b/>
          <w:sz w:val="24"/>
          <w:szCs w:val="24"/>
          <w:lang w:eastAsia="en-US"/>
        </w:rPr>
        <w:t xml:space="preserve">. </w:t>
      </w:r>
      <w:r w:rsidRPr="002B0B59">
        <w:rPr>
          <w:rFonts w:ascii="Palatino Linotype" w:eastAsia="Times New Roman" w:hAnsi="Palatino Linotype" w:cs="Arial"/>
          <w:b/>
          <w:sz w:val="24"/>
          <w:szCs w:val="24"/>
          <w:lang w:val="es-ES" w:eastAsia="es-ES"/>
        </w:rPr>
        <w:t>Notifíquese</w:t>
      </w:r>
      <w:r w:rsidRPr="002B0B59">
        <w:rPr>
          <w:rFonts w:ascii="Palatino Linotype" w:eastAsia="Times New Roman" w:hAnsi="Palatino Linotype" w:cs="Arial"/>
          <w:sz w:val="24"/>
          <w:szCs w:val="24"/>
          <w:lang w:val="es-ES" w:eastAsia="es-ES"/>
        </w:rPr>
        <w:t xml:space="preserve"> </w:t>
      </w:r>
      <w:r w:rsidRPr="002B0B59">
        <w:rPr>
          <w:rFonts w:ascii="Palatino Linotype" w:eastAsia="Times New Roman" w:hAnsi="Palatino Linotype" w:cs="Arial"/>
          <w:b/>
          <w:sz w:val="24"/>
          <w:szCs w:val="24"/>
          <w:lang w:val="es-ES" w:eastAsia="es-ES"/>
        </w:rPr>
        <w:t>al Recurrente</w:t>
      </w:r>
      <w:r w:rsidRPr="002B0B5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2B0B59" w:rsidRPr="002B0B59" w:rsidRDefault="002B0B59" w:rsidP="002B0B59">
      <w:pPr>
        <w:spacing w:after="0" w:line="360" w:lineRule="auto"/>
        <w:jc w:val="both"/>
        <w:rPr>
          <w:rFonts w:ascii="Palatino Linotype" w:eastAsiaTheme="minorHAnsi" w:hAnsi="Palatino Linotype" w:cstheme="minorBidi"/>
          <w:sz w:val="24"/>
          <w:szCs w:val="24"/>
          <w:lang w:eastAsia="es-ES_tradnl"/>
        </w:rPr>
      </w:pPr>
    </w:p>
    <w:p w:rsidR="002B0B59" w:rsidRPr="002B0B59" w:rsidRDefault="002B0B59" w:rsidP="002B0B59">
      <w:pPr>
        <w:spacing w:after="0" w:line="360" w:lineRule="auto"/>
        <w:jc w:val="both"/>
        <w:rPr>
          <w:rFonts w:ascii="Palatino Linotype" w:hAnsi="Palatino Linotype" w:cs="Times New Roman"/>
          <w:sz w:val="24"/>
          <w:szCs w:val="24"/>
          <w:lang w:eastAsia="es-ES_tradnl"/>
        </w:rPr>
      </w:pPr>
      <w:r w:rsidRPr="002B0B59">
        <w:rPr>
          <w:rFonts w:ascii="Palatino Linotype" w:hAnsi="Palatino Linotype" w:cs="Times New Roman"/>
          <w:b/>
          <w:sz w:val="28"/>
          <w:szCs w:val="24"/>
          <w:lang w:eastAsia="es-ES_tradnl"/>
        </w:rPr>
        <w:t>SEXTO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hAnsi="Palatino Linotype" w:cs="Times New Roman"/>
          <w:b/>
          <w:sz w:val="24"/>
          <w:szCs w:val="24"/>
          <w:lang w:eastAsia="es-ES_tradnl"/>
        </w:rPr>
        <w:t>Notifíquese</w:t>
      </w:r>
      <w:r w:rsidRPr="002B0B59">
        <w:rPr>
          <w:rFonts w:ascii="Palatino Linotype" w:hAnsi="Palatino Linotype" w:cs="Times New Roman"/>
          <w:sz w:val="24"/>
          <w:szCs w:val="24"/>
          <w:lang w:eastAsia="es-ES_tradnl"/>
        </w:rPr>
        <w:t xml:space="preserve"> al </w:t>
      </w:r>
      <w:r w:rsidRPr="002B0B59">
        <w:rPr>
          <w:rFonts w:ascii="Palatino Linotype" w:hAnsi="Palatino Linotype" w:cs="Times New Roman"/>
          <w:b/>
          <w:sz w:val="24"/>
          <w:szCs w:val="24"/>
          <w:lang w:eastAsia="es-ES_tradnl"/>
        </w:rPr>
        <w:t>Recurrente</w:t>
      </w:r>
      <w:r w:rsidRPr="002B0B5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en cumplimiento a esta Resolución.</w:t>
      </w:r>
    </w:p>
    <w:p w:rsidR="002B0B59" w:rsidRPr="002B0B59" w:rsidRDefault="002B0B59" w:rsidP="002B0B59">
      <w:pPr>
        <w:spacing w:after="0" w:line="360" w:lineRule="auto"/>
        <w:jc w:val="both"/>
        <w:rPr>
          <w:rFonts w:ascii="Palatino Linotype" w:hAnsi="Palatino Linotype" w:cs="Times New Roman"/>
          <w:sz w:val="24"/>
          <w:szCs w:val="24"/>
          <w:lang w:eastAsia="es-ES_tradnl"/>
        </w:rPr>
      </w:pPr>
    </w:p>
    <w:p w:rsidR="002B0B59" w:rsidRPr="002B0B59" w:rsidRDefault="002B0B59" w:rsidP="002B0B59">
      <w:pPr>
        <w:spacing w:after="0" w:line="360" w:lineRule="auto"/>
        <w:jc w:val="both"/>
        <w:rPr>
          <w:rFonts w:ascii="Palatino Linotype" w:eastAsiaTheme="minorHAnsi" w:hAnsi="Palatino Linotype" w:cstheme="minorBidi"/>
          <w:sz w:val="24"/>
          <w:szCs w:val="24"/>
          <w:lang w:eastAsia="es-ES_tradnl"/>
        </w:rPr>
      </w:pPr>
      <w:r w:rsidRPr="002B0B59">
        <w:rPr>
          <w:rFonts w:ascii="Palatino Linotype" w:hAnsi="Palatino Linotype" w:cs="Times New Roman"/>
          <w:b/>
          <w:sz w:val="28"/>
          <w:szCs w:val="24"/>
          <w:lang w:eastAsia="es-ES_tradnl"/>
        </w:rPr>
        <w:lastRenderedPageBreak/>
        <w:t>SÉPTIMO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eastAsiaTheme="minorHAnsi" w:hAnsi="Palatino Linotype" w:cstheme="minorBidi"/>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AB65CF" w:rsidRDefault="00AB65CF" w:rsidP="00AB65CF">
      <w:pPr>
        <w:spacing w:after="0" w:line="360" w:lineRule="auto"/>
        <w:contextualSpacing/>
        <w:jc w:val="both"/>
        <w:rPr>
          <w:rFonts w:ascii="Palatino Linotype" w:eastAsia="Palatino Linotype" w:hAnsi="Palatino Linotype" w:cs="Palatino Linotype"/>
          <w:sz w:val="24"/>
          <w:szCs w:val="24"/>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9056A3">
        <w:rPr>
          <w:rFonts w:ascii="Palatino Linotype" w:eastAsia="Palatino Linotype" w:hAnsi="Palatino Linotype" w:cs="Palatino Linotype"/>
          <w:color w:val="000000"/>
          <w:sz w:val="24"/>
          <w:szCs w:val="24"/>
        </w:rPr>
        <w:t>NOVENA</w:t>
      </w:r>
      <w:r>
        <w:rPr>
          <w:rFonts w:ascii="Palatino Linotype" w:eastAsia="Palatino Linotype" w:hAnsi="Palatino Linotype" w:cs="Palatino Linotype"/>
          <w:color w:val="000000"/>
          <w:sz w:val="24"/>
          <w:szCs w:val="24"/>
        </w:rPr>
        <w:t xml:space="preserve"> SESIÓN ORDINARIA CELEBRADA EL</w:t>
      </w:r>
      <w:r w:rsidR="009056A3">
        <w:rPr>
          <w:rFonts w:ascii="Palatino Linotype" w:eastAsia="Palatino Linotype" w:hAnsi="Palatino Linotype" w:cs="Palatino Linotype"/>
          <w:color w:val="000000"/>
          <w:sz w:val="24"/>
          <w:szCs w:val="24"/>
        </w:rPr>
        <w:t xml:space="preserve"> DIECISIETE DE AGOSTO </w:t>
      </w:r>
      <w:r>
        <w:rPr>
          <w:rFonts w:ascii="Palatino Linotype" w:eastAsia="Palatino Linotype" w:hAnsi="Palatino Linotype" w:cs="Palatino Linotype"/>
          <w:color w:val="000000"/>
          <w:sz w:val="24"/>
          <w:szCs w:val="24"/>
        </w:rPr>
        <w:t>DE DOS MIL VEINTIDÓS, ANTE EL SECRETARIO TÉCNICO DEL PLEN</w:t>
      </w:r>
      <w:bookmarkStart w:id="0" w:name="_GoBack"/>
      <w:bookmarkEnd w:id="0"/>
      <w:r>
        <w:rPr>
          <w:rFonts w:ascii="Palatino Linotype" w:eastAsia="Palatino Linotype" w:hAnsi="Palatino Linotype" w:cs="Palatino Linotype"/>
          <w:color w:val="000000"/>
          <w:sz w:val="24"/>
          <w:szCs w:val="24"/>
        </w:rPr>
        <w:t>O, ALEXIS TAPIA RAMÍREZ.--------------------------------------------------------------------------------------------------------------------------------------------------------------------------------------------------------------------- ------------------------------------------------------------------------------------------------------------------------------------------------------------------------------------------------------------------------------------</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9056A3" w:rsidRPr="005C6947" w:rsidRDefault="009056A3" w:rsidP="009056A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9056A3" w:rsidRPr="005C6947" w:rsidRDefault="009056A3" w:rsidP="009056A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9056A3" w:rsidRPr="005C6947" w:rsidRDefault="009056A3" w:rsidP="009056A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AB65CF" w:rsidRDefault="00AB65CF" w:rsidP="00AB65CF">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JMV/CCR/HAP</w:t>
      </w: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65CF" w:rsidRDefault="00AB65CF" w:rsidP="00AB65CF">
      <w:pPr>
        <w:spacing w:after="0"/>
      </w:pPr>
    </w:p>
    <w:p w:rsidR="00AB65CF" w:rsidRDefault="00AB65CF" w:rsidP="00AB65CF"/>
    <w:p w:rsidR="00AB65CF" w:rsidRDefault="00AB65CF" w:rsidP="00AB65CF"/>
    <w:p w:rsidR="00EF5006" w:rsidRDefault="001876DE"/>
    <w:sectPr w:rsidR="00EF5006" w:rsidSect="00560A25">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6DE" w:rsidRDefault="001876DE" w:rsidP="00AB65CF">
      <w:pPr>
        <w:spacing w:after="0" w:line="240" w:lineRule="auto"/>
      </w:pPr>
      <w:r>
        <w:separator/>
      </w:r>
    </w:p>
  </w:endnote>
  <w:endnote w:type="continuationSeparator" w:id="0">
    <w:p w:rsidR="001876DE" w:rsidRDefault="001876DE" w:rsidP="00AB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B3203F"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90E46">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90E46">
      <w:rPr>
        <w:rFonts w:ascii="Palatino Linotype" w:hAnsi="Palatino Linotype"/>
        <w:b/>
        <w:bCs/>
        <w:noProof/>
        <w:sz w:val="20"/>
      </w:rPr>
      <w:t>28</w:t>
    </w:r>
    <w:r w:rsidRPr="00713DD5">
      <w:rPr>
        <w:rFonts w:ascii="Palatino Linotype" w:hAnsi="Palatino Linotype"/>
        <w:b/>
        <w:bCs/>
        <w:sz w:val="20"/>
      </w:rPr>
      <w:fldChar w:fldCharType="end"/>
    </w:r>
  </w:p>
  <w:p w:rsidR="00560A25" w:rsidRPr="000B69FA" w:rsidRDefault="001876DE" w:rsidP="00560A25">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B3203F"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90E4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90E46">
      <w:rPr>
        <w:rFonts w:ascii="Palatino Linotype" w:hAnsi="Palatino Linotype"/>
        <w:b/>
        <w:bCs/>
        <w:noProof/>
        <w:sz w:val="20"/>
      </w:rPr>
      <w:t>28</w:t>
    </w:r>
    <w:r w:rsidRPr="00713DD5">
      <w:rPr>
        <w:rFonts w:ascii="Palatino Linotype" w:hAnsi="Palatino Linotype"/>
        <w:b/>
        <w:bCs/>
        <w:sz w:val="20"/>
      </w:rPr>
      <w:fldChar w:fldCharType="end"/>
    </w:r>
  </w:p>
  <w:p w:rsidR="00560A25" w:rsidRPr="000B69FA" w:rsidRDefault="001876DE" w:rsidP="00560A25">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6DE" w:rsidRDefault="001876DE" w:rsidP="00AB65CF">
      <w:pPr>
        <w:spacing w:after="0" w:line="240" w:lineRule="auto"/>
      </w:pPr>
      <w:r>
        <w:separator/>
      </w:r>
    </w:p>
  </w:footnote>
  <w:footnote w:type="continuationSeparator" w:id="0">
    <w:p w:rsidR="001876DE" w:rsidRDefault="001876DE" w:rsidP="00AB65CF">
      <w:pPr>
        <w:spacing w:after="0" w:line="240" w:lineRule="auto"/>
      </w:pPr>
      <w:r>
        <w:continuationSeparator/>
      </w:r>
    </w:p>
  </w:footnote>
  <w:footnote w:id="1">
    <w:p w:rsidR="00AB65CF" w:rsidRPr="00946E1F" w:rsidRDefault="00AB65CF" w:rsidP="00AB65C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1876D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RPr="00B17577" w:rsidTr="00560A25">
      <w:trPr>
        <w:trHeight w:val="227"/>
      </w:trPr>
      <w:tc>
        <w:tcPr>
          <w:tcW w:w="5103" w:type="dxa"/>
          <w:hideMark/>
        </w:tcPr>
        <w:p w:rsidR="00560A25" w:rsidRPr="00B86205" w:rsidRDefault="00B3203F"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B3203F" w:rsidP="00CE181A">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CE181A">
            <w:rPr>
              <w:rFonts w:ascii="Palatino Linotype" w:hAnsi="Palatino Linotype" w:cs="Arial"/>
              <w:b/>
              <w:bCs/>
              <w:sz w:val="24"/>
              <w:szCs w:val="24"/>
            </w:rPr>
            <w:t>10460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Tr="00560A25">
      <w:trPr>
        <w:trHeight w:val="242"/>
      </w:trPr>
      <w:tc>
        <w:tcPr>
          <w:tcW w:w="5103" w:type="dxa"/>
          <w:hideMark/>
        </w:tcPr>
        <w:p w:rsidR="00560A25" w:rsidRPr="00B86205" w:rsidRDefault="00B3203F"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B3203F" w:rsidP="00560A25">
          <w:pPr>
            <w:spacing w:line="276" w:lineRule="auto"/>
            <w:ind w:left="-70" w:right="71"/>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RPr="00F63239" w:rsidTr="00560A25">
      <w:trPr>
        <w:trHeight w:val="342"/>
      </w:trPr>
      <w:tc>
        <w:tcPr>
          <w:tcW w:w="5103" w:type="dxa"/>
          <w:hideMark/>
        </w:tcPr>
        <w:p w:rsidR="00560A25" w:rsidRPr="00B86205" w:rsidRDefault="00B3203F" w:rsidP="00560A25">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B3203F" w:rsidP="00560A25">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1876D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Tr="00560A25">
      <w:trPr>
        <w:trHeight w:val="227"/>
      </w:trPr>
      <w:tc>
        <w:tcPr>
          <w:tcW w:w="5103" w:type="dxa"/>
          <w:hideMark/>
        </w:tcPr>
        <w:p w:rsidR="00560A25" w:rsidRPr="00B86205" w:rsidRDefault="00B3203F"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B3203F" w:rsidP="00CE181A">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CE181A">
            <w:rPr>
              <w:rFonts w:ascii="Palatino Linotype" w:hAnsi="Palatino Linotype" w:cs="Arial"/>
              <w:b/>
              <w:bCs/>
              <w:sz w:val="24"/>
              <w:szCs w:val="24"/>
            </w:rPr>
            <w:t>10460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RPr="001F57CD" w:rsidTr="00560A25">
      <w:trPr>
        <w:trHeight w:val="196"/>
      </w:trPr>
      <w:tc>
        <w:tcPr>
          <w:tcW w:w="5103" w:type="dxa"/>
          <w:hideMark/>
        </w:tcPr>
        <w:p w:rsidR="00560A25" w:rsidRPr="00B86205" w:rsidRDefault="00B3203F"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560A25" w:rsidRPr="00560A25" w:rsidRDefault="00290E46" w:rsidP="00560A25">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w:t>
          </w:r>
        </w:p>
      </w:tc>
    </w:tr>
    <w:tr w:rsidR="00560A25" w:rsidTr="00560A25">
      <w:trPr>
        <w:trHeight w:val="242"/>
      </w:trPr>
      <w:tc>
        <w:tcPr>
          <w:tcW w:w="5103" w:type="dxa"/>
          <w:hideMark/>
        </w:tcPr>
        <w:p w:rsidR="00560A25" w:rsidRPr="00B86205" w:rsidRDefault="00B3203F"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B3203F" w:rsidP="00560A25">
          <w:pPr>
            <w:spacing w:line="276" w:lineRule="auto"/>
            <w:ind w:left="-70" w:right="68"/>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Tr="00560A25">
      <w:trPr>
        <w:trHeight w:val="342"/>
      </w:trPr>
      <w:tc>
        <w:tcPr>
          <w:tcW w:w="5103" w:type="dxa"/>
          <w:hideMark/>
        </w:tcPr>
        <w:p w:rsidR="00560A25" w:rsidRPr="00B86205" w:rsidRDefault="00B3203F" w:rsidP="00560A25">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B3203F" w:rsidP="00560A25">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1876D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2F7C"/>
    <w:multiLevelType w:val="hybridMultilevel"/>
    <w:tmpl w:val="AA76F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CF"/>
    <w:rsid w:val="00036F8B"/>
    <w:rsid w:val="00123996"/>
    <w:rsid w:val="001876DE"/>
    <w:rsid w:val="00290E46"/>
    <w:rsid w:val="002B0B59"/>
    <w:rsid w:val="009056A3"/>
    <w:rsid w:val="00AB65CF"/>
    <w:rsid w:val="00B3203F"/>
    <w:rsid w:val="00CE181A"/>
    <w:rsid w:val="00DE3981"/>
    <w:rsid w:val="00F821C9"/>
    <w:rsid w:val="00FC7D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18068"/>
  <w15:chartTrackingRefBased/>
  <w15:docId w15:val="{99FEF2F5-A982-46BA-BE7B-B1020440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5CF"/>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65CF"/>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65C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65CF"/>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65C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65C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65CF"/>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65C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65CF"/>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B65CF"/>
    <w:rPr>
      <w:vertAlign w:val="superscript"/>
    </w:rPr>
  </w:style>
  <w:style w:type="character" w:customStyle="1" w:styleId="apple-converted-space">
    <w:name w:val="apple-converted-space"/>
    <w:basedOn w:val="Fuentedeprrafopredeter"/>
    <w:rsid w:val="00AB65CF"/>
  </w:style>
  <w:style w:type="character" w:styleId="Hipervnculo">
    <w:name w:val="Hyperlink"/>
    <w:basedOn w:val="Fuentedeprrafopredeter"/>
    <w:uiPriority w:val="99"/>
    <w:unhideWhenUsed/>
    <w:rsid w:val="00AB6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218">
      <w:bodyDiv w:val="1"/>
      <w:marLeft w:val="0"/>
      <w:marRight w:val="0"/>
      <w:marTop w:val="0"/>
      <w:marBottom w:val="0"/>
      <w:divBdr>
        <w:top w:val="none" w:sz="0" w:space="0" w:color="auto"/>
        <w:left w:val="none" w:sz="0" w:space="0" w:color="auto"/>
        <w:bottom w:val="none" w:sz="0" w:space="0" w:color="auto"/>
        <w:right w:val="none" w:sz="0" w:space="0" w:color="auto"/>
      </w:divBdr>
    </w:div>
    <w:div w:id="6393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28</Pages>
  <Words>6605</Words>
  <Characters>36330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2022-07-20T18:53:00Z</dcterms:created>
  <dcterms:modified xsi:type="dcterms:W3CDTF">2022-09-04T21:58:00Z</dcterms:modified>
</cp:coreProperties>
</file>