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09F8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julio de dos mil veintidós. </w:t>
      </w:r>
    </w:p>
    <w:p w14:paraId="16740C28" w14:textId="228204AC"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VISTO</w:t>
      </w:r>
      <w:r w:rsidRPr="00935C2C">
        <w:rPr>
          <w:rFonts w:ascii="Palatino Linotype" w:eastAsia="Palatino Linotype" w:hAnsi="Palatino Linotype" w:cs="Palatino Linotype"/>
        </w:rPr>
        <w:t xml:space="preserve"> el expediente formado con motivo del recurso de revisión </w:t>
      </w:r>
      <w:r w:rsidRPr="00935C2C">
        <w:rPr>
          <w:rFonts w:ascii="Palatino Linotype" w:eastAsia="Palatino Linotype" w:hAnsi="Palatino Linotype" w:cs="Palatino Linotype"/>
          <w:b/>
        </w:rPr>
        <w:t>04049/INFOEM/IP/RR/2022</w:t>
      </w:r>
      <w:r w:rsidRPr="00935C2C">
        <w:rPr>
          <w:rFonts w:ascii="Palatino Linotype" w:eastAsia="Palatino Linotype" w:hAnsi="Palatino Linotype" w:cs="Palatino Linotype"/>
        </w:rPr>
        <w:t>, interpuesto por</w:t>
      </w:r>
      <w:r w:rsidRPr="00935C2C">
        <w:rPr>
          <w:rFonts w:ascii="Palatino Linotype" w:eastAsia="Palatino Linotype" w:hAnsi="Palatino Linotype" w:cs="Palatino Linotype"/>
          <w:b/>
        </w:rPr>
        <w:t xml:space="preserve"> </w:t>
      </w:r>
      <w:proofErr w:type="spellStart"/>
      <w:r w:rsidR="00571664" w:rsidRPr="00571664">
        <w:rPr>
          <w:rFonts w:ascii="Palatino Linotype" w:eastAsia="Palatino Linotype" w:hAnsi="Palatino Linotype" w:cs="Palatino Linotype"/>
          <w:b/>
        </w:rPr>
        <w:t>Xxxxx</w:t>
      </w:r>
      <w:proofErr w:type="spellEnd"/>
      <w:r w:rsidR="00571664" w:rsidRPr="00571664">
        <w:rPr>
          <w:rFonts w:ascii="Palatino Linotype" w:eastAsia="Palatino Linotype" w:hAnsi="Palatino Linotype" w:cs="Palatino Linotype"/>
          <w:b/>
        </w:rPr>
        <w:t xml:space="preserve"> </w:t>
      </w:r>
      <w:proofErr w:type="spellStart"/>
      <w:r w:rsidR="00571664" w:rsidRPr="00571664">
        <w:rPr>
          <w:rFonts w:ascii="Palatino Linotype" w:eastAsia="Palatino Linotype" w:hAnsi="Palatino Linotype" w:cs="Palatino Linotype"/>
          <w:b/>
        </w:rPr>
        <w:t>Xxxxxxx</w:t>
      </w:r>
      <w:proofErr w:type="spellEnd"/>
      <w:r w:rsidR="00571664" w:rsidRPr="00571664">
        <w:rPr>
          <w:rFonts w:ascii="Palatino Linotype" w:eastAsia="Palatino Linotype" w:hAnsi="Palatino Linotype" w:cs="Palatino Linotype"/>
          <w:b/>
        </w:rPr>
        <w:t xml:space="preserve"> </w:t>
      </w:r>
      <w:proofErr w:type="spellStart"/>
      <w:r w:rsidR="00571664" w:rsidRPr="00571664">
        <w:rPr>
          <w:rFonts w:ascii="Palatino Linotype" w:eastAsia="Palatino Linotype" w:hAnsi="Palatino Linotype" w:cs="Palatino Linotype"/>
          <w:b/>
        </w:rPr>
        <w:t>Xxxxxxx</w:t>
      </w:r>
      <w:proofErr w:type="spellEnd"/>
      <w:r w:rsidRPr="00935C2C">
        <w:rPr>
          <w:rFonts w:ascii="Palatino Linotype" w:eastAsia="Palatino Linotype" w:hAnsi="Palatino Linotype" w:cs="Palatino Linotype"/>
        </w:rPr>
        <w:t>, en lo sucesivo</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 xml:space="preserve">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en contra de la respuesta a su solicitud por parte del </w:t>
      </w:r>
      <w:r w:rsidRPr="00935C2C">
        <w:rPr>
          <w:rFonts w:ascii="Palatino Linotype" w:eastAsia="Palatino Linotype" w:hAnsi="Palatino Linotype" w:cs="Palatino Linotype"/>
          <w:b/>
        </w:rPr>
        <w:t xml:space="preserve">Ayuntamiento de Toluca, </w:t>
      </w:r>
      <w:r w:rsidRPr="00935C2C">
        <w:rPr>
          <w:rFonts w:ascii="Palatino Linotype" w:eastAsia="Palatino Linotype" w:hAnsi="Palatino Linotype" w:cs="Palatino Linotype"/>
        </w:rPr>
        <w:t xml:space="preserve">en lo sucesivo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 xml:space="preserve">se procede a dictar la presente resolución con base en los siguientes: </w:t>
      </w:r>
    </w:p>
    <w:p w14:paraId="7D030A68" w14:textId="77777777" w:rsidR="00A679F9" w:rsidRPr="00935C2C" w:rsidRDefault="00A326AB">
      <w:pPr>
        <w:spacing w:before="240" w:after="240" w:line="360" w:lineRule="auto"/>
        <w:jc w:val="center"/>
        <w:rPr>
          <w:rFonts w:ascii="Palatino Linotype" w:eastAsia="Palatino Linotype" w:hAnsi="Palatino Linotype" w:cs="Palatino Linotype"/>
          <w:b/>
        </w:rPr>
      </w:pPr>
      <w:r w:rsidRPr="00935C2C">
        <w:rPr>
          <w:rFonts w:ascii="Palatino Linotype" w:eastAsia="Palatino Linotype" w:hAnsi="Palatino Linotype" w:cs="Palatino Linotype"/>
          <w:b/>
        </w:rPr>
        <w:t>I. A N T E C E D E N T E S</w:t>
      </w:r>
    </w:p>
    <w:p w14:paraId="78B33A9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1. Solicitud de acceso a la información.</w:t>
      </w:r>
      <w:r w:rsidRPr="00935C2C">
        <w:rPr>
          <w:rFonts w:ascii="Palatino Linotype" w:eastAsia="Palatino Linotype" w:hAnsi="Palatino Linotype" w:cs="Palatino Linotype"/>
        </w:rPr>
        <w:t xml:space="preserve"> Con fecha </w:t>
      </w:r>
      <w:r w:rsidRPr="00935C2C">
        <w:rPr>
          <w:rFonts w:ascii="Palatino Linotype" w:eastAsia="Palatino Linotype" w:hAnsi="Palatino Linotype" w:cs="Palatino Linotype"/>
          <w:b/>
        </w:rPr>
        <w:t>veintidós de febrero dos mil veintidós,</w:t>
      </w:r>
      <w:r w:rsidRPr="00935C2C">
        <w:rPr>
          <w:rFonts w:ascii="Palatino Linotype" w:eastAsia="Palatino Linotype" w:hAnsi="Palatino Linotype" w:cs="Palatino Linotype"/>
        </w:rPr>
        <w:t xml:space="preserve"> la parte </w:t>
      </w:r>
      <w:r w:rsidRPr="00935C2C">
        <w:rPr>
          <w:rFonts w:ascii="Palatino Linotype" w:eastAsia="Palatino Linotype" w:hAnsi="Palatino Linotype" w:cs="Palatino Linotype"/>
          <w:b/>
        </w:rPr>
        <w:t xml:space="preserve">Recurrente </w:t>
      </w:r>
      <w:r w:rsidRPr="00935C2C">
        <w:rPr>
          <w:rFonts w:ascii="Palatino Linotype" w:eastAsia="Palatino Linotype" w:hAnsi="Palatino Linotype" w:cs="Palatino Linotype"/>
        </w:rPr>
        <w:t xml:space="preserve">presentó, través del Sistema de Acceso a la Información Mexiquense, en lo subsecuente el </w:t>
      </w:r>
      <w:r w:rsidRPr="00935C2C">
        <w:rPr>
          <w:rFonts w:ascii="Palatino Linotype" w:eastAsia="Palatino Linotype" w:hAnsi="Palatino Linotype" w:cs="Palatino Linotype"/>
          <w:b/>
        </w:rPr>
        <w:t>SAIMEX,</w:t>
      </w:r>
      <w:r w:rsidRPr="00935C2C">
        <w:rPr>
          <w:rFonts w:ascii="Palatino Linotype" w:eastAsia="Palatino Linotype" w:hAnsi="Palatino Linotype" w:cs="Palatino Linotype"/>
        </w:rPr>
        <w:t xml:space="preserve"> ante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la solicitud de acceso a la información pública, a la que se le asignó el número</w:t>
      </w:r>
      <w:r w:rsidRPr="00935C2C">
        <w:rPr>
          <w:rFonts w:ascii="Palatino Linotype" w:eastAsia="Palatino Linotype" w:hAnsi="Palatino Linotype" w:cs="Palatino Linotype"/>
          <w:b/>
        </w:rPr>
        <w:t xml:space="preserve"> 00533/TOLUCA/IP/2022, </w:t>
      </w:r>
      <w:r w:rsidRPr="00935C2C">
        <w:rPr>
          <w:rFonts w:ascii="Palatino Linotype" w:eastAsia="Palatino Linotype" w:hAnsi="Palatino Linotype" w:cs="Palatino Linotype"/>
        </w:rPr>
        <w:t xml:space="preserve">mediante la cual requirió la información siguiente: </w:t>
      </w:r>
    </w:p>
    <w:p w14:paraId="0EDC2BD8" w14:textId="77777777" w:rsidR="00A679F9" w:rsidRPr="00935C2C" w:rsidRDefault="00A326AB">
      <w:pPr>
        <w:spacing w:before="240" w:after="240"/>
        <w:ind w:left="1440" w:right="902"/>
        <w:jc w:val="both"/>
        <w:rPr>
          <w:rFonts w:ascii="Palatino Linotype" w:eastAsia="Palatino Linotype" w:hAnsi="Palatino Linotype" w:cs="Palatino Linotype"/>
          <w:b/>
          <w:i/>
          <w:sz w:val="22"/>
          <w:szCs w:val="22"/>
        </w:rPr>
      </w:pPr>
      <w:bookmarkStart w:id="0" w:name="_heading=h.gjdgxs" w:colFirst="0" w:colLast="0"/>
      <w:bookmarkEnd w:id="0"/>
      <w:r w:rsidRPr="00935C2C">
        <w:rPr>
          <w:rFonts w:ascii="Palatino Linotype" w:eastAsia="Palatino Linotype" w:hAnsi="Palatino Linotype" w:cs="Palatino Linotype"/>
          <w:i/>
          <w:sz w:val="22"/>
          <w:szCs w:val="22"/>
        </w:rPr>
        <w:t>Solicito la siguiente información de la Contraloría Municipal: - Las actas de los COCICOVIS, por cada una de las obras públicas para los ejercicios 2019, 2020 y 2021. - La relación de los servidores públicos obligados a presentar declaración patrimonial. - La relación de quejas contra servidores públicos presentadas ante esta dependencia municipal durante los años 2019, 2020, 2021 y lo que va de 2022, en su caso los acuerdos de clasificación o reserva de la información y el acta del comité dónde se aprobó su clasificación o reserva. - La relación de los procedimientos que ya hayan causado efecto y su resolución. - El certificado de competencia laboral del titular de la Contraloría Municipal.” (sic)</w:t>
      </w:r>
    </w:p>
    <w:p w14:paraId="2F8AC7B9" w14:textId="77777777" w:rsidR="00A679F9" w:rsidRPr="00935C2C" w:rsidRDefault="00A326AB">
      <w:pPr>
        <w:spacing w:before="240" w:after="240" w:line="360" w:lineRule="auto"/>
        <w:ind w:right="900"/>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no adjuntó archivos.</w:t>
      </w:r>
    </w:p>
    <w:p w14:paraId="7A1CDE4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lastRenderedPageBreak/>
        <w:t>Modalidad de Entrega:</w:t>
      </w:r>
      <w:r w:rsidRPr="00935C2C">
        <w:rPr>
          <w:rFonts w:ascii="Palatino Linotype" w:eastAsia="Palatino Linotype" w:hAnsi="Palatino Linotype" w:cs="Palatino Linotype"/>
        </w:rPr>
        <w:t xml:space="preserve"> A través de SAIMEX.</w:t>
      </w:r>
    </w:p>
    <w:p w14:paraId="4087E3A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2. Respuesta. </w:t>
      </w:r>
      <w:r w:rsidRPr="00935C2C">
        <w:rPr>
          <w:rFonts w:ascii="Palatino Linotype" w:eastAsia="Palatino Linotype" w:hAnsi="Palatino Linotype" w:cs="Palatino Linotype"/>
        </w:rPr>
        <w:t>Con fecha</w:t>
      </w:r>
      <w:r w:rsidRPr="00935C2C">
        <w:rPr>
          <w:rFonts w:ascii="Palatino Linotype" w:eastAsia="Palatino Linotype" w:hAnsi="Palatino Linotype" w:cs="Palatino Linotype"/>
          <w:b/>
        </w:rPr>
        <w:t xml:space="preserve"> dieciséis de marzo de dos mil veintidós</w:t>
      </w:r>
      <w:r w:rsidRPr="00935C2C">
        <w:rPr>
          <w:rFonts w:ascii="Palatino Linotype" w:eastAsia="Palatino Linotype" w:hAnsi="Palatino Linotype" w:cs="Palatino Linotype"/>
        </w:rPr>
        <w:t xml:space="preserve">,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834FE0B" w14:textId="77777777" w:rsidR="00A679F9" w:rsidRPr="00935C2C" w:rsidRDefault="00A326AB">
      <w:pPr>
        <w:spacing w:before="240" w:after="24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“…En atención a la solicitud de información número 00533/TOLUCA/IP/2022, me permito adjuntar al presente la respuesta correspondiente...” (sic)</w:t>
      </w:r>
    </w:p>
    <w:p w14:paraId="6402C250"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adjuntó los archivos: </w:t>
      </w:r>
    </w:p>
    <w:p w14:paraId="58E55A7E"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i/>
        </w:rPr>
        <w:t>- “</w:t>
      </w:r>
      <w:proofErr w:type="spellStart"/>
      <w:r w:rsidRPr="00935C2C">
        <w:rPr>
          <w:rFonts w:ascii="Palatino Linotype" w:eastAsia="Palatino Linotype" w:hAnsi="Palatino Linotype" w:cs="Palatino Linotype"/>
          <w:i/>
        </w:rPr>
        <w:t>Saimex</w:t>
      </w:r>
      <w:proofErr w:type="spellEnd"/>
      <w:r w:rsidRPr="00935C2C">
        <w:rPr>
          <w:rFonts w:ascii="Palatino Linotype" w:eastAsia="Palatino Linotype" w:hAnsi="Palatino Linotype" w:cs="Palatino Linotype"/>
          <w:i/>
        </w:rPr>
        <w:t xml:space="preserve"> 00533.pdf”</w:t>
      </w:r>
      <w:r w:rsidRPr="00935C2C">
        <w:rPr>
          <w:rFonts w:ascii="Palatino Linotype" w:eastAsia="Palatino Linotype" w:hAnsi="Palatino Linotype" w:cs="Palatino Linotype"/>
        </w:rPr>
        <w:t xml:space="preserve"> que contiene el escrito de fecha dieciséis de marzo de dos mil veintidós, signado por la Titular de la Unidad de Transparencia, mediante el cual hace del conocimiento de la particular el pronunciamiento vertido por el Contralor Municipal en atención a la solicitud de información, quien informa que después de realizar la búsqueda exhaustiva y minuciosa, con base en el acuerdo con número de AT/CT/01/2022,  emitido en la Centésima Décima Sesión Extraordinaria, se aprobó el cambio de modalidad a consulta </w:t>
      </w:r>
      <w:r w:rsidRPr="00935C2C">
        <w:rPr>
          <w:rFonts w:ascii="Palatino Linotype" w:eastAsia="Palatino Linotype" w:hAnsi="Palatino Linotype" w:cs="Palatino Linotype"/>
          <w:i/>
        </w:rPr>
        <w:t xml:space="preserve">in situ, </w:t>
      </w:r>
      <w:r w:rsidRPr="00935C2C">
        <w:rPr>
          <w:rFonts w:ascii="Palatino Linotype" w:eastAsia="Palatino Linotype" w:hAnsi="Palatino Linotype" w:cs="Palatino Linotype"/>
        </w:rPr>
        <w:t>por lo que la información estará disponible en las oficinas de la Contraloría Municipal, proporcionando en el acto la dirección de la misma, el horario de atención, asimismo señaló que la información se encontraría a su disposición durante un plazo de 60 días hábiles de conformidad con el artículo 166 de la Ley de Transparencia Local.</w:t>
      </w:r>
    </w:p>
    <w:p w14:paraId="71CD6F09"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Asimismo, respecto del Certificado de competencia laboral del Titular de la Contraloría Municipal, la Titular de la Unidad de Transparencia hizo del conocimiento del particular el pronunciamiento de la Directora General de Administración, quien informó que se hizo una búsqueda exhaustiva y razonable en los archivos que guarda la Dirección de Recursos Humanos, no encontrando </w:t>
      </w:r>
      <w:r w:rsidRPr="00935C2C">
        <w:rPr>
          <w:rFonts w:ascii="Palatino Linotype" w:eastAsia="Palatino Linotype" w:hAnsi="Palatino Linotype" w:cs="Palatino Linotype"/>
        </w:rPr>
        <w:lastRenderedPageBreak/>
        <w:t>documento alguno, citando el contenido del artículo 32 de la Ley Orgánica Municipal del Estado de México y Municipios, que en su parte conducente señala que la certificación de competencia laboral en la materia del cargo que se desempeñará, deberá acreditarse dentro de los seis meses siguientes a la fecha en que inicien sus funciones</w:t>
      </w:r>
      <w:r w:rsidRPr="00935C2C">
        <w:t>.</w:t>
      </w:r>
    </w:p>
    <w:p w14:paraId="71298F3F"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i/>
        </w:rPr>
        <w:t xml:space="preserve">- “Centésima Décima Extraordinaria 22.pdf”, </w:t>
      </w:r>
      <w:r w:rsidRPr="00935C2C">
        <w:rPr>
          <w:rFonts w:ascii="Palatino Linotype" w:eastAsia="Palatino Linotype" w:hAnsi="Palatino Linotype" w:cs="Palatino Linotype"/>
        </w:rPr>
        <w:t xml:space="preserve">que consiste en el Acta de la Centésima Décima Sesión Extraordinaria del Comité de Transparencia, de fecha veintitrés de febrero de dos mil veintidós, en la que, como punto 3 del orden del día, se sometió a consideración de los integrantes el análisis y aprobación en su caso de la propuesta de cambio de modalidad por consulta en sitio, para dar respuesta a la solicitud de información número 00533/TOLUCA/IP/2022, presentada por el servidor público habilitado de la Contraloría Municipal, con fundamento en los artículos 158, 164 y 166, y demás aplicables de la Ley de Transparencia y Acceso a la Información Pública del Estado de México y Municipios. </w:t>
      </w:r>
    </w:p>
    <w:p w14:paraId="62696224"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3. Interposición del recurso de revisión. </w:t>
      </w:r>
      <w:r w:rsidRPr="00935C2C">
        <w:rPr>
          <w:rFonts w:ascii="Palatino Linotype" w:eastAsia="Palatino Linotype" w:hAnsi="Palatino Linotype" w:cs="Palatino Linotype"/>
        </w:rPr>
        <w:t xml:space="preserve">Inconforme con los términos de la respuesta emitida por parte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el </w:t>
      </w:r>
      <w:r w:rsidRPr="00935C2C">
        <w:rPr>
          <w:rFonts w:ascii="Palatino Linotype" w:eastAsia="Palatino Linotype" w:hAnsi="Palatino Linotype" w:cs="Palatino Linotype"/>
          <w:b/>
        </w:rPr>
        <w:t>diecisiete de marzo de dos mil veintidós,</w:t>
      </w:r>
      <w:r w:rsidRPr="00935C2C">
        <w:rPr>
          <w:rFonts w:ascii="Palatino Linotype" w:eastAsia="Palatino Linotype" w:hAnsi="Palatino Linotype" w:cs="Palatino Linotype"/>
        </w:rPr>
        <w:t xml:space="preserve">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interpuso el recurso de revisión a través de </w:t>
      </w:r>
      <w:r w:rsidRPr="00935C2C">
        <w:rPr>
          <w:rFonts w:ascii="Palatino Linotype" w:eastAsia="Palatino Linotype" w:hAnsi="Palatino Linotype" w:cs="Palatino Linotype"/>
          <w:b/>
        </w:rPr>
        <w:t xml:space="preserve">SAIMEX, </w:t>
      </w:r>
      <w:r w:rsidRPr="00935C2C">
        <w:rPr>
          <w:rFonts w:ascii="Palatino Linotype" w:eastAsia="Palatino Linotype" w:hAnsi="Palatino Linotype" w:cs="Palatino Linotype"/>
        </w:rPr>
        <w:t>en donde se manifestó de la siguiente manera:</w:t>
      </w:r>
    </w:p>
    <w:p w14:paraId="7FE6DB76" w14:textId="77777777" w:rsidR="00A679F9" w:rsidRPr="00935C2C" w:rsidRDefault="00A326AB">
      <w:pPr>
        <w:tabs>
          <w:tab w:val="left" w:pos="2745"/>
        </w:tabs>
        <w:spacing w:before="240" w:after="240" w:line="360" w:lineRule="auto"/>
        <w:jc w:val="both"/>
        <w:rPr>
          <w:rFonts w:ascii="Palatino Linotype" w:eastAsia="Palatino Linotype" w:hAnsi="Palatino Linotype" w:cs="Palatino Linotype"/>
          <w:b/>
        </w:rPr>
      </w:pPr>
      <w:r w:rsidRPr="00935C2C">
        <w:rPr>
          <w:rFonts w:ascii="Palatino Linotype" w:eastAsia="Palatino Linotype" w:hAnsi="Palatino Linotype" w:cs="Palatino Linotype"/>
          <w:b/>
        </w:rPr>
        <w:t xml:space="preserve">Acto impugnado: </w:t>
      </w:r>
    </w:p>
    <w:p w14:paraId="567E3CA5" w14:textId="77777777" w:rsidR="00A679F9" w:rsidRPr="00935C2C" w:rsidRDefault="00A326AB">
      <w:pPr>
        <w:tabs>
          <w:tab w:val="left" w:pos="2745"/>
        </w:tabs>
        <w:spacing w:before="240" w:after="240" w:line="360" w:lineRule="auto"/>
        <w:ind w:lef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“LA RESPUESTA PROPORCIONADA” (sic)</w:t>
      </w:r>
    </w:p>
    <w:p w14:paraId="43E96CAB" w14:textId="77777777" w:rsidR="00A679F9" w:rsidRPr="00935C2C" w:rsidRDefault="00A326AB">
      <w:pPr>
        <w:spacing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Y Razones o motivos de inconformidad</w:t>
      </w:r>
      <w:r w:rsidRPr="00935C2C">
        <w:rPr>
          <w:rFonts w:ascii="Palatino Linotype" w:eastAsia="Palatino Linotype" w:hAnsi="Palatino Linotype" w:cs="Palatino Linotype"/>
        </w:rPr>
        <w:t>:</w:t>
      </w:r>
    </w:p>
    <w:p w14:paraId="6CFAB715" w14:textId="77777777" w:rsidR="00A679F9" w:rsidRPr="00935C2C" w:rsidRDefault="00A326AB">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935C2C">
        <w:rPr>
          <w:rFonts w:ascii="Palatino Linotype" w:eastAsia="Palatino Linotype" w:hAnsi="Palatino Linotype" w:cs="Palatino Linotype"/>
          <w:i/>
          <w:sz w:val="22"/>
          <w:szCs w:val="22"/>
        </w:rPr>
        <w:t xml:space="preserve"> “NO ME ENTREGARON LO QUE SOLICITE” (sic)</w:t>
      </w:r>
    </w:p>
    <w:p w14:paraId="694E8E19"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b/>
        </w:rPr>
        <w:lastRenderedPageBreak/>
        <w:t xml:space="preserve">Anexos: </w:t>
      </w:r>
      <w:r w:rsidRPr="00935C2C">
        <w:rPr>
          <w:rFonts w:ascii="Palatino Linotype" w:eastAsia="Palatino Linotype" w:hAnsi="Palatino Linotype" w:cs="Palatino Linotype"/>
        </w:rPr>
        <w:t xml:space="preserve">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no adjuntó archivos.</w:t>
      </w:r>
    </w:p>
    <w:p w14:paraId="05AE3D76"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4. Turno. </w:t>
      </w:r>
      <w:r w:rsidRPr="00935C2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35C2C">
        <w:rPr>
          <w:rFonts w:ascii="Palatino Linotype" w:eastAsia="Palatino Linotype" w:hAnsi="Palatino Linotype" w:cs="Palatino Linotype"/>
          <w:b/>
        </w:rPr>
        <w:t xml:space="preserve">Guadalupe Ramírez Peña, </w:t>
      </w:r>
      <w:r w:rsidRPr="00935C2C">
        <w:rPr>
          <w:rFonts w:ascii="Palatino Linotype" w:eastAsia="Palatino Linotype" w:hAnsi="Palatino Linotype" w:cs="Palatino Linotype"/>
        </w:rPr>
        <w:t xml:space="preserve">a efecto de que analizara sobre su admisión o su </w:t>
      </w:r>
      <w:proofErr w:type="spellStart"/>
      <w:r w:rsidRPr="00935C2C">
        <w:rPr>
          <w:rFonts w:ascii="Palatino Linotype" w:eastAsia="Palatino Linotype" w:hAnsi="Palatino Linotype" w:cs="Palatino Linotype"/>
        </w:rPr>
        <w:t>desechamiento</w:t>
      </w:r>
      <w:proofErr w:type="spellEnd"/>
      <w:r w:rsidRPr="00935C2C">
        <w:rPr>
          <w:rFonts w:ascii="Palatino Linotype" w:eastAsia="Palatino Linotype" w:hAnsi="Palatino Linotype" w:cs="Palatino Linotype"/>
        </w:rPr>
        <w:t>.</w:t>
      </w:r>
    </w:p>
    <w:p w14:paraId="08788C5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5. Admisión del Recurso de revisión.</w:t>
      </w:r>
      <w:r w:rsidRPr="00935C2C">
        <w:rPr>
          <w:rFonts w:ascii="Palatino Linotype" w:eastAsia="Palatino Linotype" w:hAnsi="Palatino Linotype" w:cs="Palatino Linotype"/>
        </w:rPr>
        <w:t xml:space="preserve"> Con fecha</w:t>
      </w:r>
      <w:r w:rsidRPr="00935C2C">
        <w:rPr>
          <w:rFonts w:ascii="Palatino Linotype" w:eastAsia="Palatino Linotype" w:hAnsi="Palatino Linotype" w:cs="Palatino Linotype"/>
          <w:b/>
        </w:rPr>
        <w:t xml:space="preserve"> veintitrés de marzo de dos mil veintidós, </w:t>
      </w:r>
      <w:r w:rsidRPr="00935C2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presentara su informe justificado.</w:t>
      </w:r>
    </w:p>
    <w:p w14:paraId="13ABDEF6" w14:textId="77777777" w:rsidR="00A679F9" w:rsidRPr="00935C2C" w:rsidRDefault="00A326AB">
      <w:pPr>
        <w:spacing w:after="240" w:line="360" w:lineRule="auto"/>
        <w:jc w:val="both"/>
        <w:rPr>
          <w:rFonts w:ascii="Palatino Linotype" w:eastAsia="Palatino Linotype" w:hAnsi="Palatino Linotype" w:cs="Palatino Linotype"/>
        </w:rPr>
      </w:pPr>
      <w:bookmarkStart w:id="2" w:name="_heading=h.2s8eyo1" w:colFirst="0" w:colLast="0"/>
      <w:bookmarkEnd w:id="2"/>
      <w:r w:rsidRPr="00935C2C">
        <w:rPr>
          <w:rFonts w:ascii="Palatino Linotype" w:eastAsia="Palatino Linotype" w:hAnsi="Palatino Linotype" w:cs="Palatino Linotype"/>
          <w:b/>
        </w:rPr>
        <w:t>6. Manifestaciones</w:t>
      </w:r>
      <w:r w:rsidRPr="00935C2C">
        <w:rPr>
          <w:rFonts w:ascii="Palatino Linotype" w:eastAsia="Palatino Linotype" w:hAnsi="Palatino Linotype" w:cs="Palatino Linotype"/>
        </w:rPr>
        <w:t xml:space="preserve">. En fecha </w:t>
      </w:r>
      <w:r w:rsidRPr="00935C2C">
        <w:rPr>
          <w:rFonts w:ascii="Palatino Linotype" w:eastAsia="Palatino Linotype" w:hAnsi="Palatino Linotype" w:cs="Palatino Linotype"/>
          <w:b/>
        </w:rPr>
        <w:t xml:space="preserve">uno de abril de dos mil veintidós, </w:t>
      </w:r>
      <w:r w:rsidRPr="00935C2C">
        <w:rPr>
          <w:rFonts w:ascii="Palatino Linotype" w:eastAsia="Palatino Linotype" w:hAnsi="Palatino Linotype" w:cs="Palatino Linotype"/>
        </w:rPr>
        <w:t xml:space="preserve">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 xml:space="preserve">remitió, a través del SAIMEX, su informe justificado, mediante el cual ratifica en lo sustancial la respuesta proporcionada en primera instancia, al señalar, respecto del certificado de competencia laboral, que la Dirección General de Administración, informó que a la fecha no se contaba con dicho documento, es decir, no obra en sus archivos, encuadrando en un hecho negativo, pues en términos de la legislación jurídica aplicable, dicha información se encuentra dentro del término legal, por lo tanto, el Sujeto Obligado no se encuentra constreñido a contar con el documento de referencia, mientras que para los requerimientos relativos a </w:t>
      </w:r>
      <w:r w:rsidRPr="00935C2C">
        <w:rPr>
          <w:rFonts w:ascii="Palatino Linotype" w:eastAsia="Palatino Linotype" w:hAnsi="Palatino Linotype" w:cs="Palatino Linotype"/>
          <w:i/>
        </w:rPr>
        <w:t xml:space="preserve">“las actas de los </w:t>
      </w:r>
      <w:r w:rsidRPr="00935C2C">
        <w:rPr>
          <w:rFonts w:ascii="Palatino Linotype" w:eastAsia="Palatino Linotype" w:hAnsi="Palatino Linotype" w:cs="Palatino Linotype"/>
          <w:i/>
        </w:rPr>
        <w:lastRenderedPageBreak/>
        <w:t xml:space="preserve">COCICOVIS, por cada una de las obras públicas para los ejercicios 2019, 2020 y 2021, la relación de los servidores públicos obligados a presentar declaración patrimonial, la relación de quejas contra servidores públicos presentadas ante la contraloría municipal durante los años 2019, 2020, 2021 y lo que va de 2022, en su caso los acuerdos de clasificación o reserva de la información y el acta del comité dónde se aprobó su clasificación o reserva...” </w:t>
      </w:r>
      <w:r w:rsidRPr="00935C2C">
        <w:rPr>
          <w:rFonts w:ascii="Palatino Linotype" w:eastAsia="Palatino Linotype" w:hAnsi="Palatino Linotype" w:cs="Palatino Linotype"/>
        </w:rPr>
        <w:t>señaló que se adjuntó el Acta de la Centésima Décima Sesión Extraordinaria, mediante la cual se solicitó el cambio de modalidad, misma que fue aprobada por el Comité de Transparencia.</w:t>
      </w:r>
    </w:p>
    <w:p w14:paraId="43954D8C" w14:textId="77777777" w:rsidR="00A679F9" w:rsidRPr="00935C2C" w:rsidRDefault="00A326AB">
      <w:pPr>
        <w:spacing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Documento que, una vez analizado, se hizo del conocimiento de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51CCC6F4" w14:textId="77777777" w:rsidR="00A679F9" w:rsidRPr="00935C2C" w:rsidRDefault="00A326AB">
      <w:pPr>
        <w:spacing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7. Ampliación del término para resolver</w:t>
      </w:r>
      <w:r w:rsidRPr="00935C2C">
        <w:rPr>
          <w:rFonts w:ascii="Palatino Linotype" w:eastAsia="Palatino Linotype" w:hAnsi="Palatino Linotype" w:cs="Palatino Linotype"/>
        </w:rPr>
        <w:t xml:space="preserve">. En fecha </w:t>
      </w:r>
      <w:r w:rsidRPr="00935C2C">
        <w:rPr>
          <w:rFonts w:ascii="Palatino Linotype" w:eastAsia="Palatino Linotype" w:hAnsi="Palatino Linotype" w:cs="Palatino Linotype"/>
          <w:b/>
        </w:rPr>
        <w:t>trece de mayo de dos mil veintidós</w:t>
      </w:r>
      <w:r w:rsidRPr="00935C2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37F96957"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64AFB41"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595E5D9"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29F8BC6"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C211E1" w14:textId="77777777" w:rsidR="00FE0379" w:rsidRPr="00445709" w:rsidRDefault="00FE0379" w:rsidP="00FE0379">
      <w:pPr>
        <w:spacing w:before="240" w:after="240" w:line="360" w:lineRule="auto"/>
        <w:jc w:val="both"/>
        <w:rPr>
          <w:rFonts w:ascii="Palatino Linotype" w:eastAsia="Palatino Linotype" w:hAnsi="Palatino Linotype" w:cs="Palatino Linotype"/>
          <w:strike/>
          <w:color w:val="FF0000"/>
        </w:rPr>
      </w:pPr>
      <w:r w:rsidRPr="0044570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934D49C" w14:textId="77777777" w:rsidR="00FE0379" w:rsidRPr="00445709" w:rsidRDefault="00FE0379" w:rsidP="00FE0379">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ACD1F6A" w14:textId="77777777" w:rsidR="00FE0379" w:rsidRPr="00445709" w:rsidRDefault="00FE0379" w:rsidP="00FE0379">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sidRPr="00445709">
        <w:rPr>
          <w:rFonts w:ascii="Palatino Linotype" w:eastAsia="Palatino Linotype" w:hAnsi="Palatino Linotype" w:cs="Palatino Linotype"/>
        </w:rPr>
        <w:t>Actividad Procesal del interesado. Acciones u omisiones del interesado.</w:t>
      </w:r>
    </w:p>
    <w:p w14:paraId="5A3B0EEE" w14:textId="77777777" w:rsidR="00FE0379" w:rsidRDefault="00FE0379" w:rsidP="00FE0379">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sidRPr="00DE4D51">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26B8B02E" w14:textId="77777777" w:rsidR="00FE0379" w:rsidRPr="00DE4D51" w:rsidRDefault="00FE0379" w:rsidP="00FE0379">
      <w:pPr>
        <w:numPr>
          <w:ilvl w:val="0"/>
          <w:numId w:val="9"/>
        </w:numPr>
        <w:tabs>
          <w:tab w:val="left" w:pos="993"/>
        </w:tabs>
        <w:spacing w:before="240" w:after="240" w:line="360" w:lineRule="auto"/>
        <w:ind w:left="567" w:firstLine="0"/>
        <w:jc w:val="both"/>
        <w:rPr>
          <w:rFonts w:ascii="Palatino Linotype" w:eastAsia="Palatino Linotype" w:hAnsi="Palatino Linotype" w:cs="Palatino Linotype"/>
        </w:rPr>
      </w:pPr>
      <w:r w:rsidRPr="00DE4D51">
        <w:rPr>
          <w:rFonts w:ascii="Palatino Linotype" w:eastAsia="Palatino Linotype" w:hAnsi="Palatino Linotype" w:cs="Palatino Linotype"/>
        </w:rPr>
        <w:t>La afectación generada en la situación jurídica de la persona involucrada en el proceso: Violación a sus derechos humanos.</w:t>
      </w:r>
    </w:p>
    <w:p w14:paraId="164BA7E2"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745467" w14:textId="77777777" w:rsidR="00FE0379" w:rsidRPr="00445709" w:rsidRDefault="00FE0379" w:rsidP="00FE0379">
      <w:pPr>
        <w:spacing w:before="240" w:after="240" w:line="360" w:lineRule="auto"/>
        <w:jc w:val="both"/>
        <w:rPr>
          <w:rFonts w:ascii="Palatino Linotype" w:eastAsia="Palatino Linotype" w:hAnsi="Palatino Linotype" w:cs="Palatino Linotype"/>
          <w:b/>
        </w:rPr>
      </w:pPr>
      <w:r w:rsidRPr="0044570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4570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45709">
        <w:rPr>
          <w:rFonts w:ascii="Palatino Linotype" w:eastAsia="Palatino Linotype" w:hAnsi="Palatino Linotype" w:cs="Palatino Linotype"/>
        </w:rPr>
        <w:t>, visible en la Gaceta del Seminario Judicial de la Federación con el registro digital 205635.</w:t>
      </w:r>
    </w:p>
    <w:p w14:paraId="5CD6E24F"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445709">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AB4EA4F"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98DAAF8" w14:textId="77777777" w:rsidR="00FE0379" w:rsidRPr="00DE4D51" w:rsidRDefault="00FE0379" w:rsidP="00FE0379">
      <w:pPr>
        <w:spacing w:before="240" w:after="240"/>
        <w:ind w:left="851" w:right="900"/>
        <w:jc w:val="both"/>
        <w:rPr>
          <w:rFonts w:ascii="Palatino Linotype" w:eastAsia="Palatino Linotype" w:hAnsi="Palatino Linotype" w:cs="Palatino Linotype"/>
          <w:sz w:val="22"/>
        </w:rPr>
      </w:pPr>
      <w:r w:rsidRPr="00DE4D51">
        <w:rPr>
          <w:rFonts w:ascii="Palatino Linotype" w:eastAsia="Palatino Linotype" w:hAnsi="Palatino Linotype" w:cs="Palatino Linotype"/>
          <w:sz w:val="22"/>
        </w:rPr>
        <w:t xml:space="preserve"> </w:t>
      </w:r>
      <w:r w:rsidRPr="00DE4D51">
        <w:rPr>
          <w:rFonts w:ascii="Palatino Linotype" w:eastAsia="Palatino Linotype" w:hAnsi="Palatino Linotype" w:cs="Palatino Linotype"/>
          <w:b/>
          <w:i/>
          <w:sz w:val="22"/>
        </w:rPr>
        <w:t>“PLAZO RAZONABLE PARA RESOLVER. DIMENSIÓN Y EFECTOS DE ESTE CONCEPTO CUANDO SE ADUCE EXCESIVA CARGA DE TRABAJO</w:t>
      </w:r>
      <w:r w:rsidRPr="00DE4D51">
        <w:rPr>
          <w:rFonts w:ascii="Palatino Linotype" w:eastAsia="Palatino Linotype" w:hAnsi="Palatino Linotype" w:cs="Palatino Linotype"/>
          <w:i/>
          <w:sz w:val="22"/>
        </w:rPr>
        <w:t>.”</w:t>
      </w:r>
      <w:r w:rsidRPr="00DE4D51">
        <w:rPr>
          <w:rFonts w:ascii="Palatino Linotype" w:eastAsia="Palatino Linotype" w:hAnsi="Palatino Linotype" w:cs="Palatino Linotype"/>
          <w:sz w:val="22"/>
        </w:rPr>
        <w:t xml:space="preserve"> consultable en el Seminario Judicial de la Federación y su gaceta, con el registro digital 2002351.</w:t>
      </w:r>
    </w:p>
    <w:p w14:paraId="5AE4D6DE" w14:textId="77777777" w:rsidR="00FE0379" w:rsidRPr="00DE4D51" w:rsidRDefault="00FE0379" w:rsidP="00FE0379">
      <w:pPr>
        <w:spacing w:before="240" w:after="240"/>
        <w:ind w:left="851" w:right="900"/>
        <w:jc w:val="both"/>
        <w:rPr>
          <w:rFonts w:ascii="Palatino Linotype" w:eastAsia="Palatino Linotype" w:hAnsi="Palatino Linotype" w:cs="Palatino Linotype"/>
          <w:sz w:val="22"/>
        </w:rPr>
      </w:pPr>
      <w:r w:rsidRPr="00DE4D51">
        <w:rPr>
          <w:rFonts w:ascii="Palatino Linotype" w:eastAsia="Palatino Linotype" w:hAnsi="Palatino Linotype" w:cs="Palatino Linotype"/>
          <w:b/>
          <w:i/>
          <w:sz w:val="22"/>
        </w:rPr>
        <w:t>“PLAZO RAZONABLE PARA RESOLVER. CONCEPTO Y ELEMENTOS QUE LO INTEGRAN A LA LUZ DEL DERECHO INTERNACIONAL DE LOS DERECHOS HUMANOS.”</w:t>
      </w:r>
      <w:r w:rsidRPr="00DE4D51">
        <w:rPr>
          <w:rFonts w:ascii="Palatino Linotype" w:eastAsia="Palatino Linotype" w:hAnsi="Palatino Linotype" w:cs="Palatino Linotype"/>
          <w:sz w:val="22"/>
        </w:rPr>
        <w:t>, visible en el Seminario Judicial de la Federación y su gaceta, con el registro digital 2002350.</w:t>
      </w:r>
    </w:p>
    <w:p w14:paraId="1813D645" w14:textId="77777777" w:rsidR="00FE0379" w:rsidRPr="00445709" w:rsidRDefault="00FE0379" w:rsidP="00FE0379">
      <w:pPr>
        <w:spacing w:before="240" w:after="240"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C0FE3D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8. Cierre de instrucción. </w:t>
      </w:r>
      <w:r w:rsidRPr="00935C2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35C2C">
        <w:rPr>
          <w:rFonts w:ascii="Palatino Linotype" w:eastAsia="Palatino Linotype" w:hAnsi="Palatino Linotype" w:cs="Palatino Linotype"/>
          <w:b/>
        </w:rPr>
        <w:t>diez de junio de dos mil veintidós</w:t>
      </w:r>
      <w:r w:rsidRPr="00935C2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8A39F19"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81B3136" w14:textId="77777777" w:rsidR="00A679F9" w:rsidRPr="00935C2C" w:rsidRDefault="00A326AB">
      <w:pPr>
        <w:widowControl w:val="0"/>
        <w:spacing w:before="240" w:after="240" w:line="360" w:lineRule="auto"/>
        <w:jc w:val="center"/>
        <w:rPr>
          <w:rFonts w:ascii="Palatino Linotype" w:eastAsia="Palatino Linotype" w:hAnsi="Palatino Linotype" w:cs="Palatino Linotype"/>
          <w:b/>
        </w:rPr>
      </w:pPr>
      <w:r w:rsidRPr="00935C2C">
        <w:rPr>
          <w:rFonts w:ascii="Palatino Linotype" w:eastAsia="Palatino Linotype" w:hAnsi="Palatino Linotype" w:cs="Palatino Linotype"/>
          <w:b/>
        </w:rPr>
        <w:t>II. C O N S I D E R A N D O S</w:t>
      </w:r>
    </w:p>
    <w:p w14:paraId="263BC82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Primero. Competencia.</w:t>
      </w:r>
      <w:r w:rsidRPr="00935C2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E792F7E" w14:textId="77777777" w:rsidR="00A679F9" w:rsidRPr="00935C2C" w:rsidRDefault="00A326AB">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935C2C">
        <w:rPr>
          <w:rFonts w:ascii="Palatino Linotype" w:eastAsia="Palatino Linotype" w:hAnsi="Palatino Linotype" w:cs="Palatino Linotype"/>
          <w:b/>
        </w:rPr>
        <w:t>Segundo. Oportunidad y Procedibilidad del Recurso de Revisión</w:t>
      </w:r>
      <w:r w:rsidRPr="00935C2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1FD3A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 xml:space="preserve">remitió </w:t>
      </w:r>
      <w:r w:rsidRPr="00935C2C">
        <w:rPr>
          <w:rFonts w:ascii="Palatino Linotype" w:eastAsia="Palatino Linotype" w:hAnsi="Palatino Linotype" w:cs="Palatino Linotype"/>
        </w:rPr>
        <w:lastRenderedPageBreak/>
        <w:t xml:space="preserve">la respuesta a la solicitud de información el día </w:t>
      </w:r>
      <w:r w:rsidRPr="00935C2C">
        <w:rPr>
          <w:rFonts w:ascii="Palatino Linotype" w:eastAsia="Palatino Linotype" w:hAnsi="Palatino Linotype" w:cs="Palatino Linotype"/>
          <w:b/>
        </w:rPr>
        <w:t xml:space="preserve">dieciséis de marzo de dos mil veintidós, </w:t>
      </w:r>
      <w:r w:rsidRPr="00935C2C">
        <w:rPr>
          <w:rFonts w:ascii="Palatino Linotype" w:eastAsia="Palatino Linotype" w:hAnsi="Palatino Linotype" w:cs="Palatino Linotype"/>
        </w:rPr>
        <w:t xml:space="preserve">mientras que el recurso de revisión interpuesto por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se tuvo por presentado el día </w:t>
      </w:r>
      <w:r w:rsidRPr="00935C2C">
        <w:rPr>
          <w:rFonts w:ascii="Palatino Linotype" w:eastAsia="Palatino Linotype" w:hAnsi="Palatino Linotype" w:cs="Palatino Linotype"/>
          <w:b/>
        </w:rPr>
        <w:t>diecisiete de marzo de dos mil veintidós</w:t>
      </w:r>
      <w:r w:rsidRPr="00935C2C">
        <w:rPr>
          <w:rFonts w:ascii="Palatino Linotype" w:eastAsia="Palatino Linotype" w:hAnsi="Palatino Linotype" w:cs="Palatino Linotype"/>
        </w:rPr>
        <w:t>, esto es, al siguiente día en que tuvo conocimiento de la respuesta impugnada.</w:t>
      </w:r>
    </w:p>
    <w:p w14:paraId="6206C60A" w14:textId="77777777" w:rsidR="00A679F9" w:rsidRPr="00935C2C" w:rsidRDefault="00A326AB">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935C2C">
        <w:rPr>
          <w:rFonts w:ascii="Palatino Linotype" w:eastAsia="Palatino Linotype" w:hAnsi="Palatino Linotype" w:cs="Palatino Linotype"/>
        </w:rPr>
        <w:t xml:space="preserve">En este sentido, al considerar la fecha en que se formuló la solicitud y la fecha en que respondió a esta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8E865D2" w14:textId="77777777" w:rsidR="00A679F9" w:rsidRPr="00935C2C" w:rsidRDefault="00A326AB">
      <w:pPr>
        <w:spacing w:before="240" w:after="240" w:line="360" w:lineRule="auto"/>
        <w:jc w:val="both"/>
        <w:rPr>
          <w:rFonts w:ascii="Palatino Linotype" w:eastAsia="Palatino Linotype" w:hAnsi="Palatino Linotype" w:cs="Palatino Linotype"/>
        </w:rPr>
      </w:pPr>
      <w:bookmarkStart w:id="5" w:name="_heading=h.q9a5pqst6so" w:colFirst="0" w:colLast="0"/>
      <w:bookmarkEnd w:id="5"/>
      <w:r w:rsidRPr="00935C2C">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696EA4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Finalmente, se advierte que resulta procedente la interposición del recurso, según lo manifestado por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en sus motivos de inconformidad, de acuerdo al artículo 179, fracción I del ordenamiento legal citado, que a la letra dice: </w:t>
      </w:r>
    </w:p>
    <w:p w14:paraId="26A58599"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179.</w:t>
      </w:r>
      <w:r w:rsidRPr="00935C2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7030B16" w14:textId="77777777" w:rsidR="00A679F9" w:rsidRPr="00935C2C" w:rsidRDefault="00A326AB">
      <w:pPr>
        <w:spacing w:before="120" w:after="120"/>
        <w:ind w:left="1134"/>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I. </w:t>
      </w:r>
      <w:r w:rsidRPr="00935C2C">
        <w:rPr>
          <w:rFonts w:ascii="Palatino Linotype" w:eastAsia="Palatino Linotype" w:hAnsi="Palatino Linotype" w:cs="Palatino Linotype"/>
          <w:i/>
          <w:sz w:val="22"/>
          <w:szCs w:val="22"/>
        </w:rPr>
        <w:t>La negativa a la información solicitada</w:t>
      </w:r>
      <w:r w:rsidRPr="00935C2C">
        <w:rPr>
          <w:rFonts w:ascii="Palatino Linotype" w:eastAsia="Palatino Linotype" w:hAnsi="Palatino Linotype" w:cs="Palatino Linotype"/>
          <w:b/>
          <w:i/>
          <w:sz w:val="22"/>
          <w:szCs w:val="22"/>
        </w:rPr>
        <w:t>;</w:t>
      </w:r>
      <w:r w:rsidRPr="00935C2C">
        <w:rPr>
          <w:rFonts w:ascii="Palatino Linotype" w:eastAsia="Palatino Linotype" w:hAnsi="Palatino Linotype" w:cs="Palatino Linotype"/>
          <w:i/>
          <w:sz w:val="22"/>
          <w:szCs w:val="22"/>
        </w:rPr>
        <w:t>”</w:t>
      </w:r>
    </w:p>
    <w:p w14:paraId="0ACD0FEE"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Tercero. Materia de la revisión. </w:t>
      </w:r>
      <w:r w:rsidRPr="00935C2C">
        <w:rPr>
          <w:rFonts w:ascii="Palatino Linotype" w:eastAsia="Palatino Linotype" w:hAnsi="Palatino Linotype" w:cs="Palatino Linotype"/>
        </w:rPr>
        <w:t xml:space="preserve">De la revisión a las constancias y documentos que obran en el expediente electrónico se advierte, que el tema sobre el que este </w:t>
      </w:r>
      <w:r w:rsidRPr="00935C2C">
        <w:rPr>
          <w:rFonts w:ascii="Palatino Linotype" w:eastAsia="Palatino Linotype" w:hAnsi="Palatino Linotype" w:cs="Palatino Linotype"/>
        </w:rPr>
        <w:lastRenderedPageBreak/>
        <w:t xml:space="preserve">Organismo Garante de Transparencia y Acceso a la Información se pronunciará será: </w:t>
      </w:r>
      <w:r w:rsidRPr="00935C2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35C2C">
        <w:rPr>
          <w:rFonts w:ascii="Palatino Linotype" w:eastAsia="Palatino Linotype" w:hAnsi="Palatino Linotype" w:cs="Palatino Linotype"/>
        </w:rPr>
        <w:t xml:space="preserve">de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o en su defecto, en caso de ser procedente, ordenar la entrega de información oportuna.</w:t>
      </w:r>
    </w:p>
    <w:p w14:paraId="77E8D521" w14:textId="77777777" w:rsidR="00A679F9" w:rsidRPr="00935C2C" w:rsidRDefault="00A326AB">
      <w:pPr>
        <w:spacing w:before="240" w:after="240" w:line="360" w:lineRule="auto"/>
        <w:jc w:val="both"/>
        <w:rPr>
          <w:rFonts w:ascii="Palatino Linotype" w:eastAsia="Palatino Linotype" w:hAnsi="Palatino Linotype" w:cs="Palatino Linotype"/>
        </w:rPr>
      </w:pPr>
      <w:bookmarkStart w:id="6" w:name="_heading=h.2et92p0" w:colFirst="0" w:colLast="0"/>
      <w:bookmarkEnd w:id="6"/>
      <w:r w:rsidRPr="00935C2C">
        <w:rPr>
          <w:rFonts w:ascii="Palatino Linotype" w:eastAsia="Palatino Linotype" w:hAnsi="Palatino Linotype" w:cs="Palatino Linotype"/>
          <w:b/>
        </w:rPr>
        <w:t xml:space="preserve">Cuarto. Estudio del asunto. </w:t>
      </w:r>
      <w:r w:rsidRPr="00935C2C">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A45519E" w14:textId="77777777" w:rsidR="00A679F9" w:rsidRPr="00935C2C" w:rsidRDefault="00A326AB">
      <w:pPr>
        <w:tabs>
          <w:tab w:val="left" w:pos="709"/>
        </w:tabs>
        <w:spacing w:before="120" w:after="120"/>
        <w:ind w:left="851" w:right="85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1o. En los Estados Unidos Mexicanos todas las personas gozarán de los derechos humanos reconocidos en esta Constitución y en los tratados internacionales de los que el Estado Mexicano sea parte</w:t>
      </w:r>
      <w:r w:rsidRPr="00935C2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058F357" w14:textId="77777777" w:rsidR="00A679F9" w:rsidRPr="00935C2C" w:rsidRDefault="00A326AB">
      <w:pPr>
        <w:tabs>
          <w:tab w:val="left" w:pos="709"/>
        </w:tabs>
        <w:spacing w:before="120" w:after="120"/>
        <w:ind w:left="851" w:right="85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F7C1B62" w14:textId="77777777" w:rsidR="00A679F9" w:rsidRPr="00935C2C" w:rsidRDefault="00A326AB">
      <w:pPr>
        <w:tabs>
          <w:tab w:val="left" w:pos="709"/>
        </w:tabs>
        <w:spacing w:before="120" w:after="120"/>
        <w:ind w:left="851" w:right="85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35C2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7336315" w14:textId="77777777" w:rsidR="00A679F9" w:rsidRPr="00935C2C" w:rsidRDefault="00A326AB">
      <w:pPr>
        <w:tabs>
          <w:tab w:val="left" w:pos="709"/>
        </w:tabs>
        <w:spacing w:before="120" w:after="120"/>
        <w:ind w:left="851" w:right="85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296CE65C" w14:textId="77777777" w:rsidR="00A679F9" w:rsidRPr="00935C2C" w:rsidRDefault="00A326AB">
      <w:pPr>
        <w:spacing w:before="120" w:after="120"/>
        <w:ind w:left="851" w:right="90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lastRenderedPageBreak/>
        <w:t>“Artículo 6o.</w:t>
      </w:r>
    </w:p>
    <w:p w14:paraId="51CE2712" w14:textId="77777777" w:rsidR="00A679F9" w:rsidRPr="00935C2C" w:rsidRDefault="00A326AB">
      <w:pPr>
        <w:spacing w:before="120" w:after="120"/>
        <w:ind w:left="1134" w:right="90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6CBDBA99" w14:textId="77777777" w:rsidR="00A679F9" w:rsidRPr="00935C2C" w:rsidRDefault="00A326AB">
      <w:pPr>
        <w:spacing w:before="120" w:after="120"/>
        <w:ind w:left="1134"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 Para el ejercicio del derecho de acceso a la información, la Federación y las entidades federativas,</w:t>
      </w:r>
      <w:r w:rsidRPr="00935C2C">
        <w:rPr>
          <w:rFonts w:ascii="Palatino Linotype" w:eastAsia="Palatino Linotype" w:hAnsi="Palatino Linotype" w:cs="Palatino Linotype"/>
          <w:i/>
          <w:sz w:val="22"/>
          <w:szCs w:val="22"/>
        </w:rPr>
        <w:t xml:space="preserve"> en el ámbito de sus respectivas competencias, se regirán por los siguientes principios y bases: </w:t>
      </w:r>
    </w:p>
    <w:p w14:paraId="45AC7059" w14:textId="77777777" w:rsidR="00A679F9" w:rsidRPr="00935C2C" w:rsidRDefault="00A326AB">
      <w:pPr>
        <w:spacing w:before="120" w:after="120"/>
        <w:ind w:left="1418"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 Toda la información en posesión de cualquier autoridad, entidad, órgano y organismo de los Poderes</w:t>
      </w:r>
      <w:r w:rsidRPr="00935C2C">
        <w:rPr>
          <w:rFonts w:ascii="Palatino Linotype" w:eastAsia="Palatino Linotype" w:hAnsi="Palatino Linotype" w:cs="Palatino Linotype"/>
          <w:i/>
          <w:sz w:val="22"/>
          <w:szCs w:val="22"/>
        </w:rPr>
        <w:t xml:space="preserve"> Ejecutivo, Legislativo </w:t>
      </w:r>
      <w:r w:rsidRPr="00935C2C">
        <w:rPr>
          <w:rFonts w:ascii="Palatino Linotype" w:eastAsia="Palatino Linotype" w:hAnsi="Palatino Linotype" w:cs="Palatino Linotype"/>
          <w:b/>
          <w:i/>
          <w:sz w:val="22"/>
          <w:szCs w:val="22"/>
        </w:rPr>
        <w:t>y Judicial</w:t>
      </w:r>
      <w:r w:rsidRPr="00935C2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35C2C">
        <w:rPr>
          <w:rFonts w:ascii="Palatino Linotype" w:eastAsia="Palatino Linotype" w:hAnsi="Palatino Linotype" w:cs="Palatino Linotype"/>
          <w:b/>
          <w:i/>
          <w:sz w:val="22"/>
          <w:szCs w:val="22"/>
        </w:rPr>
        <w:t>es pública y sólo podrá ser reservada temporalmente por razones de interés público y seguridad nacional,</w:t>
      </w:r>
      <w:r w:rsidRPr="00935C2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35EEE69" w14:textId="77777777" w:rsidR="00A679F9" w:rsidRPr="00935C2C" w:rsidRDefault="00A326AB">
      <w:pPr>
        <w:spacing w:before="120" w:after="120"/>
        <w:ind w:left="1418" w:right="851"/>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BECF115" w14:textId="77777777" w:rsidR="00A679F9" w:rsidRPr="00935C2C" w:rsidRDefault="00A326AB">
      <w:pPr>
        <w:spacing w:before="120" w:after="120"/>
        <w:ind w:left="1418"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 Toda persona, sin necesidad de acreditar interés alguno o justificar su utilización, tendrá acceso gratuito a la información pública,</w:t>
      </w:r>
      <w:r w:rsidRPr="00935C2C">
        <w:rPr>
          <w:rFonts w:ascii="Palatino Linotype" w:eastAsia="Palatino Linotype" w:hAnsi="Palatino Linotype" w:cs="Palatino Linotype"/>
          <w:i/>
          <w:sz w:val="22"/>
          <w:szCs w:val="22"/>
        </w:rPr>
        <w:t xml:space="preserve"> a sus datos personales o a la rectificación de éstos.  </w:t>
      </w:r>
    </w:p>
    <w:p w14:paraId="7BE9A2A5" w14:textId="77777777" w:rsidR="00A679F9" w:rsidRPr="00935C2C" w:rsidRDefault="00A326AB">
      <w:pPr>
        <w:spacing w:before="120" w:after="120"/>
        <w:ind w:left="1418"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IV. </w:t>
      </w:r>
      <w:r w:rsidRPr="00935C2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D11830F" w14:textId="77777777" w:rsidR="00A679F9" w:rsidRPr="00935C2C" w:rsidRDefault="00A326AB">
      <w:pPr>
        <w:spacing w:before="120" w:after="120"/>
        <w:ind w:left="1418"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V. </w:t>
      </w:r>
      <w:r w:rsidRPr="00935C2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3DDBEAD" w14:textId="77777777" w:rsidR="00A679F9" w:rsidRPr="00935C2C" w:rsidRDefault="00A326AB">
      <w:pPr>
        <w:spacing w:before="120" w:after="120"/>
        <w:ind w:left="1418"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VI. </w:t>
      </w:r>
      <w:r w:rsidRPr="00935C2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CE8BFB9" w14:textId="77777777" w:rsidR="00A679F9" w:rsidRPr="00935C2C" w:rsidRDefault="00A326AB">
      <w:pPr>
        <w:spacing w:before="120" w:after="120"/>
        <w:ind w:left="1418"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 </w:t>
      </w:r>
    </w:p>
    <w:p w14:paraId="681003FB" w14:textId="77777777" w:rsidR="00A679F9" w:rsidRPr="00935C2C" w:rsidRDefault="00A326AB">
      <w:pPr>
        <w:spacing w:before="120" w:after="120"/>
        <w:ind w:left="1418"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lastRenderedPageBreak/>
        <w:t xml:space="preserve">VII. </w:t>
      </w:r>
      <w:r w:rsidRPr="00935C2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975A3FA" w14:textId="77777777" w:rsidR="00A679F9" w:rsidRPr="00935C2C" w:rsidRDefault="00A326AB">
      <w:pPr>
        <w:tabs>
          <w:tab w:val="left" w:pos="709"/>
        </w:tabs>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debe cumplir con dichos dispositivos legales.</w:t>
      </w:r>
    </w:p>
    <w:p w14:paraId="412087F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80CAF8D"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4</w:t>
      </w:r>
      <w:r w:rsidRPr="00935C2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B77D21" w14:textId="77777777" w:rsidR="00A679F9" w:rsidRPr="00935C2C" w:rsidRDefault="00A326AB">
      <w:pPr>
        <w:spacing w:before="120" w:after="120"/>
        <w:ind w:left="851"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935C2C">
        <w:rPr>
          <w:rFonts w:ascii="Palatino Linotype" w:eastAsia="Palatino Linotype" w:hAnsi="Palatino Linotype" w:cs="Palatino Linotype"/>
          <w:b/>
          <w:i/>
          <w:sz w:val="22"/>
          <w:szCs w:val="22"/>
        </w:rPr>
        <w:lastRenderedPageBreak/>
        <w:t>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F482AB6"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1E9B6C2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C2C">
        <w:rPr>
          <w:rFonts w:ascii="Palatino Linotype" w:eastAsia="Palatino Linotype" w:hAnsi="Palatino Linotype" w:cs="Palatino Linotype"/>
          <w:b/>
        </w:rPr>
        <w:t>artículo 12</w:t>
      </w:r>
      <w:r w:rsidRPr="00935C2C">
        <w:rPr>
          <w:rFonts w:ascii="Palatino Linotype" w:eastAsia="Palatino Linotype" w:hAnsi="Palatino Linotype" w:cs="Palatino Linotype"/>
        </w:rPr>
        <w:t xml:space="preserve"> de la Ley de Transparencia y Acceso a la Información Pública del Estado de México y Municipios, el cual a la letra dice:</w:t>
      </w:r>
    </w:p>
    <w:p w14:paraId="4B90B416"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12</w:t>
      </w:r>
      <w:r w:rsidRPr="00935C2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959985F"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D3728F6" w14:textId="77777777" w:rsidR="00A679F9" w:rsidRPr="00935C2C" w:rsidRDefault="00A326AB">
      <w:pPr>
        <w:spacing w:before="240" w:after="240" w:line="360" w:lineRule="auto"/>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935C2C">
        <w:rPr>
          <w:rFonts w:ascii="Palatino Linotype" w:eastAsia="Palatino Linotype" w:hAnsi="Palatino Linotype" w:cs="Palatino Linotype"/>
          <w:i/>
        </w:rPr>
        <w:t>ad hoc</w:t>
      </w:r>
      <w:r w:rsidRPr="00935C2C">
        <w:rPr>
          <w:rFonts w:ascii="Palatino Linotype" w:eastAsia="Palatino Linotype" w:hAnsi="Palatino Linotype" w:cs="Palatino Linotype"/>
        </w:rPr>
        <w:t xml:space="preserve">, para satisfacer el derecho de acceso a la información pública, como así lo establece el criterio 03/17 emitidos por el Instituto </w:t>
      </w:r>
      <w:r w:rsidRPr="00935C2C">
        <w:rPr>
          <w:rFonts w:ascii="Palatino Linotype" w:eastAsia="Palatino Linotype" w:hAnsi="Palatino Linotype" w:cs="Palatino Linotype"/>
        </w:rPr>
        <w:lastRenderedPageBreak/>
        <w:t>Nacional de Transparencia, Acceso a la Información Pública y Protección de Datos Personales, a saber:</w:t>
      </w:r>
    </w:p>
    <w:p w14:paraId="582B44E6" w14:textId="77777777" w:rsidR="00A679F9" w:rsidRPr="00935C2C" w:rsidRDefault="00A326AB">
      <w:pPr>
        <w:spacing w:before="120" w:after="120"/>
        <w:ind w:left="851" w:right="851"/>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 “NO EXISTE OBLIGACIÓN DE ELABORAR DOCUMENTOS AD HOC PARA ATENDER LAS SOLICITUDES DE ACCESO A LA INFORM ACIÓN.</w:t>
      </w:r>
    </w:p>
    <w:p w14:paraId="0EFF1C1A"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BE5BE2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Por otra parte, conviene mencionar que la Ley de Transparencia vigente en el Estado de México refiere: </w:t>
      </w:r>
    </w:p>
    <w:p w14:paraId="67BDAF0B"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18.</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Los sujetos obligados deberán documentar todo acto que derive del ejercicio de sus facultades, competencias o funciones, considerando desde su origen la eventual publicidad</w:t>
      </w:r>
      <w:r w:rsidRPr="00935C2C">
        <w:rPr>
          <w:rFonts w:ascii="Palatino Linotype" w:eastAsia="Palatino Linotype" w:hAnsi="Palatino Linotype" w:cs="Palatino Linotype"/>
          <w:i/>
          <w:sz w:val="22"/>
          <w:szCs w:val="22"/>
        </w:rPr>
        <w:t xml:space="preserve"> y reutilización de la información que generen.</w:t>
      </w:r>
    </w:p>
    <w:p w14:paraId="72F12C02"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19. Se presume que la información debe existir si se refiere a las facultades, competencias y funciones que los ordenamientos jurídicos aplicables otorgan a los sujetos obligados</w:t>
      </w:r>
      <w:r w:rsidRPr="00935C2C">
        <w:rPr>
          <w:rFonts w:ascii="Palatino Linotype" w:eastAsia="Palatino Linotype" w:hAnsi="Palatino Linotype" w:cs="Palatino Linotype"/>
          <w:i/>
          <w:sz w:val="22"/>
          <w:szCs w:val="22"/>
        </w:rPr>
        <w:t>.</w:t>
      </w:r>
    </w:p>
    <w:p w14:paraId="293241F6"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08195050"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2ACDA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B20492C"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935C2C">
        <w:rPr>
          <w:rFonts w:ascii="Palatino Linotype" w:eastAsia="Palatino Linotype" w:hAnsi="Palatino Linotype" w:cs="Palatino Linotype"/>
          <w:b/>
        </w:rPr>
        <w:t>cualquier otro registro que documente el ejercicio de las facultades, funciones, obligaciones y competencias de los Sujetos Obligados</w:t>
      </w:r>
      <w:r w:rsidRPr="00935C2C">
        <w:rPr>
          <w:rFonts w:ascii="Palatino Linotype" w:eastAsia="Palatino Linotype" w:hAnsi="Palatino Linotype" w:cs="Palatino Linotype"/>
        </w:rPr>
        <w:t xml:space="preserve">; </w:t>
      </w:r>
      <w:r w:rsidRPr="00935C2C">
        <w:rPr>
          <w:rFonts w:ascii="Palatino Linotype" w:eastAsia="Palatino Linotype" w:hAnsi="Palatino Linotype" w:cs="Palatino Linotype"/>
          <w:b/>
        </w:rPr>
        <w:t>los que, podrán estar en cualquier medio</w:t>
      </w:r>
      <w:r w:rsidRPr="00935C2C">
        <w:rPr>
          <w:rFonts w:ascii="Palatino Linotype" w:eastAsia="Palatino Linotype" w:hAnsi="Palatino Linotype" w:cs="Palatino Linotype"/>
        </w:rPr>
        <w:t xml:space="preserve">, sea escrito, impreso, sonoro, visual, </w:t>
      </w:r>
      <w:r w:rsidRPr="00935C2C">
        <w:rPr>
          <w:rFonts w:ascii="Palatino Linotype" w:eastAsia="Palatino Linotype" w:hAnsi="Palatino Linotype" w:cs="Palatino Linotype"/>
          <w:b/>
        </w:rPr>
        <w:t>electrónico</w:t>
      </w:r>
      <w:r w:rsidRPr="00935C2C">
        <w:rPr>
          <w:rFonts w:ascii="Palatino Linotype" w:eastAsia="Palatino Linotype" w:hAnsi="Palatino Linotype" w:cs="Palatino Linotype"/>
        </w:rPr>
        <w:t xml:space="preserve">, informático u holográfico, esto es, </w:t>
      </w:r>
      <w:r w:rsidRPr="00935C2C">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A3FE18" w14:textId="77777777" w:rsidR="00A679F9" w:rsidRPr="00935C2C" w:rsidRDefault="00A326AB">
      <w:pPr>
        <w:spacing w:before="280" w:after="28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De ahí que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35C2C">
        <w:rPr>
          <w:rFonts w:ascii="Palatino Linotype" w:eastAsia="Palatino Linotype" w:hAnsi="Palatino Linotype" w:cs="Palatino Linotype"/>
          <w:vertAlign w:val="superscript"/>
        </w:rPr>
        <w:footnoteReference w:id="1"/>
      </w:r>
      <w:r w:rsidRPr="00935C2C">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35C2C">
        <w:rPr>
          <w:rFonts w:ascii="Palatino Linotype" w:eastAsia="Palatino Linotype" w:hAnsi="Palatino Linotype" w:cs="Palatino Linotype"/>
          <w:vertAlign w:val="superscript"/>
        </w:rPr>
        <w:footnoteReference w:id="2"/>
      </w:r>
      <w:r w:rsidRPr="00935C2C">
        <w:rPr>
          <w:rFonts w:ascii="Palatino Linotype" w:eastAsia="Palatino Linotype" w:hAnsi="Palatino Linotype" w:cs="Palatino Linotype"/>
        </w:rPr>
        <w:t>, como pudiera tratarse de aquella relacionada con las obligaciones de trasparencia señaladas en los artículos 92 y 94 de la Ley de la Materia.</w:t>
      </w:r>
    </w:p>
    <w:p w14:paraId="2E57A1C8" w14:textId="77777777" w:rsidR="00A679F9" w:rsidRPr="00935C2C" w:rsidRDefault="00A326AB">
      <w:pPr>
        <w:tabs>
          <w:tab w:val="left" w:pos="709"/>
        </w:tabs>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este sentido, cabe reiterar que la persona solicitante requirió al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 xml:space="preserve">lo siguiente: </w:t>
      </w:r>
    </w:p>
    <w:p w14:paraId="72E63EEF" w14:textId="77777777" w:rsidR="00A679F9" w:rsidRPr="00935C2C" w:rsidRDefault="00A326AB">
      <w:pPr>
        <w:spacing w:before="240" w:after="240" w:line="360" w:lineRule="auto"/>
        <w:ind w:right="49"/>
        <w:jc w:val="both"/>
        <w:rPr>
          <w:rFonts w:ascii="Palatino Linotype" w:eastAsia="Palatino Linotype" w:hAnsi="Palatino Linotype" w:cs="Palatino Linotype"/>
        </w:rPr>
      </w:pPr>
      <w:bookmarkStart w:id="7" w:name="_heading=h.17dp8vu" w:colFirst="0" w:colLast="0"/>
      <w:bookmarkEnd w:id="7"/>
      <w:r w:rsidRPr="00935C2C">
        <w:rPr>
          <w:rFonts w:ascii="Palatino Linotype" w:eastAsia="Palatino Linotype" w:hAnsi="Palatino Linotype" w:cs="Palatino Linotype"/>
        </w:rPr>
        <w:t xml:space="preserve">De la Contraloría Municipal: </w:t>
      </w:r>
    </w:p>
    <w:p w14:paraId="060954E5" w14:textId="77777777" w:rsidR="00A679F9" w:rsidRPr="00935C2C" w:rsidRDefault="00A326AB">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Las actas de los COCICOVIS, por cada una de las obras públicas para los ejercicios 2019, 2020 y 2021. </w:t>
      </w:r>
    </w:p>
    <w:p w14:paraId="2F0A8D04" w14:textId="77777777" w:rsidR="00A679F9" w:rsidRPr="00935C2C" w:rsidRDefault="00A326A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La relación de los servidores públicos obligados a presentar declaración patrimonial. </w:t>
      </w:r>
    </w:p>
    <w:p w14:paraId="42D0924B" w14:textId="77777777" w:rsidR="00A679F9" w:rsidRPr="00935C2C" w:rsidRDefault="00A326A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La relación de quejas contra servidores públicos presentadas ante esta dependencia municipal durante los años 2019, 2020, 2021 y lo que va de 2022, en su caso los acuerdos de clasificación o reserva de la información y el acta del comité dónde se aprobó su clasificación o reserva. </w:t>
      </w:r>
    </w:p>
    <w:p w14:paraId="568917CB" w14:textId="77777777" w:rsidR="00A679F9" w:rsidRPr="00935C2C" w:rsidRDefault="00A326A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935C2C">
        <w:rPr>
          <w:rFonts w:ascii="Palatino Linotype" w:eastAsia="Palatino Linotype" w:hAnsi="Palatino Linotype" w:cs="Palatino Linotype"/>
        </w:rPr>
        <w:t xml:space="preserve">La relación de los procedimientos que ya hayan causado efecto y su resolución. </w:t>
      </w:r>
    </w:p>
    <w:p w14:paraId="6462AAB3" w14:textId="77777777" w:rsidR="00A679F9" w:rsidRPr="00935C2C" w:rsidRDefault="00A326AB">
      <w:pPr>
        <w:numPr>
          <w:ilvl w:val="0"/>
          <w:numId w:val="3"/>
        </w:numPr>
        <w:pBdr>
          <w:top w:val="nil"/>
          <w:left w:val="nil"/>
          <w:bottom w:val="nil"/>
          <w:right w:val="nil"/>
          <w:between w:val="nil"/>
        </w:pBdr>
        <w:spacing w:after="240" w:line="360" w:lineRule="auto"/>
        <w:ind w:right="49"/>
        <w:jc w:val="both"/>
        <w:rPr>
          <w:rFonts w:ascii="Palatino Linotype" w:eastAsia="Palatino Linotype" w:hAnsi="Palatino Linotype" w:cs="Palatino Linotype"/>
          <w:i/>
        </w:rPr>
      </w:pPr>
      <w:r w:rsidRPr="00935C2C">
        <w:rPr>
          <w:rFonts w:ascii="Palatino Linotype" w:eastAsia="Palatino Linotype" w:hAnsi="Palatino Linotype" w:cs="Palatino Linotype"/>
        </w:rPr>
        <w:t>El certificado de competencia laboral del titular.</w:t>
      </w:r>
    </w:p>
    <w:p w14:paraId="383B7AB5"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respuesta,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a través de la Unidad de Transparencia, hizo del conocimiento del particular los pronunciamientos vertidos por el Contralor Municipal y la Directora General de Administración, en los siguientes términos:</w:t>
      </w:r>
    </w:p>
    <w:p w14:paraId="5CDF37E3"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i/>
        </w:rPr>
        <w:t>- Contralor Municipal</w:t>
      </w:r>
      <w:r w:rsidRPr="00935C2C">
        <w:rPr>
          <w:rFonts w:ascii="Palatino Linotype" w:eastAsia="Palatino Linotype" w:hAnsi="Palatino Linotype" w:cs="Palatino Linotype"/>
        </w:rPr>
        <w:t xml:space="preserve">: informa que con base en el acuerdo con número de AT/CT/01/2022,  emitido en la Centésima Décima Sesión Extraordinaria, se aprobó el cambio de modalidad a consulta </w:t>
      </w:r>
      <w:r w:rsidRPr="00935C2C">
        <w:rPr>
          <w:rFonts w:ascii="Palatino Linotype" w:eastAsia="Palatino Linotype" w:hAnsi="Palatino Linotype" w:cs="Palatino Linotype"/>
          <w:i/>
        </w:rPr>
        <w:t xml:space="preserve">in situ, </w:t>
      </w:r>
      <w:r w:rsidRPr="00935C2C">
        <w:rPr>
          <w:rFonts w:ascii="Palatino Linotype" w:eastAsia="Palatino Linotype" w:hAnsi="Palatino Linotype" w:cs="Palatino Linotype"/>
        </w:rPr>
        <w:t>por lo que la información estará disponible en las oficinas de la Contraloría Municipal, proporcionando en el acto la dirección de la misma, el horario de atención, asimismo señaló que la información se encontraría a su disposición durante un plazo de 60 días hábiles de conformidad con el artículo 166 de la Ley de Transparencia Local.</w:t>
      </w:r>
    </w:p>
    <w:p w14:paraId="7A6FD9E6" w14:textId="77777777" w:rsidR="004C4C61"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Cabe señalar que se adjuntó a la respuesta el Acta de la Centésima Décima Sesión Extraordinaria del Comité de Transparencia, de fecha veintitrés de febrero de dos mil veintidós, en la que, como punto 3 del orden del día, se sometió a consideración de los integrantes el análisis y aprobación en su caso de la propuesta de cambio de modalidad por consulta en sitio, para dar respuesta a la solicitud de información número 00533/TOLUCA/IP/2022, presentada por el servidor público habilitado de </w:t>
      </w:r>
      <w:r w:rsidRPr="00935C2C">
        <w:rPr>
          <w:rFonts w:ascii="Palatino Linotype" w:eastAsia="Palatino Linotype" w:hAnsi="Palatino Linotype" w:cs="Palatino Linotype"/>
        </w:rPr>
        <w:lastRenderedPageBreak/>
        <w:t>la Contraloría Municipal, con fundamento en los artículos 158, 164 y 166, y demás aplicables de la Ley de Transparencia y Acceso a la Información Pública del Estado de México y Municipios, bajo el argumento de que se generaron 171 actas con un total de 1,026 fojas, mismas que se llenan a mano en presencia de los interesados, r</w:t>
      </w:r>
      <w:r w:rsidRPr="00935C2C">
        <w:rPr>
          <w:rFonts w:ascii="Palatino Linotype" w:eastAsia="Palatino Linotype" w:hAnsi="Palatino Linotype" w:cs="Palatino Linotype"/>
          <w:b/>
          <w:u w:val="single"/>
        </w:rPr>
        <w:t>azón por la cual no se cuenta con la información de manera digital</w:t>
      </w:r>
      <w:r w:rsidRPr="00935C2C">
        <w:rPr>
          <w:rFonts w:ascii="Palatino Linotype" w:eastAsia="Palatino Linotype" w:hAnsi="Palatino Linotype" w:cs="Palatino Linotype"/>
        </w:rPr>
        <w:t>, asimismo, solicitó se registrara en la Bitácora del INFOEM</w:t>
      </w:r>
      <w:r w:rsidR="00260567" w:rsidRPr="00935C2C">
        <w:rPr>
          <w:rFonts w:ascii="Palatino Linotype" w:eastAsia="Palatino Linotype" w:hAnsi="Palatino Linotype" w:cs="Palatino Linotype"/>
        </w:rPr>
        <w:t xml:space="preserve">, </w:t>
      </w:r>
      <w:r w:rsidRPr="00935C2C">
        <w:rPr>
          <w:rFonts w:ascii="Palatino Linotype" w:eastAsia="Palatino Linotype" w:hAnsi="Palatino Linotype" w:cs="Palatino Linotype"/>
        </w:rPr>
        <w:t>para lo</w:t>
      </w:r>
      <w:r w:rsidR="004C4C61" w:rsidRPr="00935C2C">
        <w:rPr>
          <w:rFonts w:ascii="Palatino Linotype" w:eastAsia="Palatino Linotype" w:hAnsi="Palatino Linotype" w:cs="Palatino Linotype"/>
        </w:rPr>
        <w:t>s trámites a que hubiera lugar.</w:t>
      </w:r>
    </w:p>
    <w:p w14:paraId="300755F9" w14:textId="77777777" w:rsidR="004C4C61" w:rsidRPr="00935C2C" w:rsidRDefault="004C4C61" w:rsidP="004C4C61">
      <w:pPr>
        <w:autoSpaceDE w:val="0"/>
        <w:autoSpaceDN w:val="0"/>
        <w:adjustRightInd w:val="0"/>
        <w:spacing w:before="240" w:after="240" w:line="360" w:lineRule="auto"/>
        <w:jc w:val="both"/>
        <w:rPr>
          <w:rFonts w:ascii="Palatino Linotype" w:hAnsi="Palatino Linotype"/>
          <w:b/>
        </w:rPr>
      </w:pPr>
      <w:r w:rsidRPr="00935C2C">
        <w:rPr>
          <w:rFonts w:ascii="Palatino Linotype" w:hAnsi="Palatino Linotype"/>
        </w:rPr>
        <w:t xml:space="preserve">Al respecto, es de señalar que el </w:t>
      </w:r>
      <w:r w:rsidRPr="00935C2C">
        <w:rPr>
          <w:rFonts w:ascii="Palatino Linotype" w:hAnsi="Palatino Linotype"/>
          <w:b/>
        </w:rPr>
        <w:t>Sujeto Obligado</w:t>
      </w:r>
      <w:r w:rsidRPr="00935C2C">
        <w:rPr>
          <w:rFonts w:ascii="Palatino Linotype" w:hAnsi="Palatino Linotype"/>
        </w:rPr>
        <w:t xml:space="preserve"> no atendió lo previsto en los Lineamientos </w:t>
      </w:r>
      <w:r w:rsidRPr="00935C2C">
        <w:rPr>
          <w:rFonts w:ascii="Palatino Linotype" w:hAnsi="Palatino Linotype" w:cs="Arial"/>
        </w:rPr>
        <w:t xml:space="preserve"> para la Recepción, Trámite y Resolución de las Solicitudes, toda vez que, no notificó a la</w:t>
      </w:r>
      <w:r w:rsidRPr="00935C2C">
        <w:rPr>
          <w:rFonts w:ascii="Palatino Linotype" w:hAnsi="Palatino Linotype"/>
        </w:rPr>
        <w:t xml:space="preserve"> Dirección General de Informática del cambio de modalidad, para dar contestación a la solicitud de información de mérito, en el entendido de que, de autos no se advierte la incidencia respectiva, pues este Organismo, solicitó vía correo electrónico oficial, el informe respecto a si existió algún reporte de incidencias por parte del </w:t>
      </w:r>
      <w:r w:rsidRPr="00935C2C">
        <w:rPr>
          <w:rFonts w:ascii="Palatino Linotype" w:hAnsi="Palatino Linotype"/>
          <w:b/>
        </w:rPr>
        <w:t>Sujeto Obligado.</w:t>
      </w:r>
    </w:p>
    <w:p w14:paraId="247A1065" w14:textId="77777777" w:rsidR="004C4C61" w:rsidRPr="00935C2C" w:rsidRDefault="004C4C61" w:rsidP="004C4C61">
      <w:pPr>
        <w:autoSpaceDE w:val="0"/>
        <w:autoSpaceDN w:val="0"/>
        <w:adjustRightInd w:val="0"/>
        <w:spacing w:before="240" w:after="240" w:line="360" w:lineRule="auto"/>
        <w:jc w:val="both"/>
        <w:rPr>
          <w:rFonts w:ascii="Palatino Linotype" w:hAnsi="Palatino Linotype"/>
        </w:rPr>
      </w:pPr>
      <w:r w:rsidRPr="00935C2C">
        <w:rPr>
          <w:rFonts w:ascii="Palatino Linotype" w:hAnsi="Palatino Linotype"/>
        </w:rPr>
        <w:t xml:space="preserve">De ahí que, en fecha </w:t>
      </w:r>
      <w:r w:rsidRPr="00935C2C">
        <w:rPr>
          <w:rFonts w:ascii="Palatino Linotype" w:hAnsi="Palatino Linotype"/>
          <w:b/>
        </w:rPr>
        <w:t xml:space="preserve">siete de julio de dos mil </w:t>
      </w:r>
      <w:r w:rsidR="00FE0379" w:rsidRPr="00935C2C">
        <w:rPr>
          <w:rFonts w:ascii="Palatino Linotype" w:hAnsi="Palatino Linotype"/>
          <w:b/>
        </w:rPr>
        <w:t>veintidós</w:t>
      </w:r>
      <w:r w:rsidRPr="00935C2C">
        <w:rPr>
          <w:rFonts w:ascii="Palatino Linotype" w:hAnsi="Palatino Linotype"/>
        </w:rPr>
        <w:t>, la Dirección General de Informática haya notificado que,</w:t>
      </w:r>
      <w:r w:rsidRPr="00935C2C">
        <w:rPr>
          <w:rFonts w:ascii="Palatino Linotype" w:hAnsi="Palatino Linotype"/>
          <w:b/>
        </w:rPr>
        <w:t xml:space="preserve"> no existía registro de incidencia del Ayuntamiento de Toluca</w:t>
      </w:r>
      <w:r w:rsidRPr="00935C2C">
        <w:rPr>
          <w:rFonts w:ascii="Palatino Linotype" w:hAnsi="Palatino Linotype"/>
        </w:rPr>
        <w:t>, además de indicar que el peso máximo de archivos que soporta el SAIMEX para adjuntar como respuesta a las solicitudes de información, es de hasta 500Mb o un equivalente de 8,000 hojas, con lo que se garantiza que el Ciudadano no tenga problemas en la descarga de la información, al usar conexiones a internet convencionales, bajo parámetros de escaneo en resolución máxima de 150Dpi's, escala de grises y formato "PDF" extraído directamente del escáner.</w:t>
      </w:r>
    </w:p>
    <w:p w14:paraId="79D3AB7C" w14:textId="77777777" w:rsidR="004C4C61" w:rsidRPr="00935C2C" w:rsidRDefault="004C4C61" w:rsidP="004C4C61">
      <w:pPr>
        <w:autoSpaceDE w:val="0"/>
        <w:autoSpaceDN w:val="0"/>
        <w:adjustRightInd w:val="0"/>
        <w:spacing w:before="240" w:after="240" w:line="360" w:lineRule="auto"/>
        <w:jc w:val="center"/>
        <w:rPr>
          <w:rFonts w:ascii="Palatino Linotype" w:hAnsi="Palatino Linotype"/>
        </w:rPr>
      </w:pPr>
    </w:p>
    <w:p w14:paraId="4866A81C" w14:textId="77777777" w:rsidR="004C4C61" w:rsidRPr="00935C2C" w:rsidRDefault="004C4C61">
      <w:pPr>
        <w:spacing w:before="240" w:after="240" w:line="360" w:lineRule="auto"/>
        <w:ind w:right="49"/>
        <w:jc w:val="both"/>
        <w:rPr>
          <w:rFonts w:ascii="Palatino Linotype" w:eastAsia="Palatino Linotype" w:hAnsi="Palatino Linotype" w:cs="Palatino Linotype"/>
        </w:rPr>
      </w:pPr>
    </w:p>
    <w:p w14:paraId="254C21F3" w14:textId="77777777" w:rsidR="00A679F9" w:rsidRPr="00935C2C" w:rsidRDefault="00260567">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No obstante de lo anterior, el </w:t>
      </w:r>
      <w:r w:rsidR="00A326AB" w:rsidRPr="00935C2C">
        <w:rPr>
          <w:rFonts w:ascii="Palatino Linotype" w:eastAsia="Palatino Linotype" w:hAnsi="Palatino Linotype" w:cs="Palatino Linotype"/>
        </w:rPr>
        <w:t xml:space="preserve">cambio de modalidad en la entrega de la información </w:t>
      </w:r>
      <w:r w:rsidRPr="00935C2C">
        <w:rPr>
          <w:rFonts w:ascii="Palatino Linotype" w:eastAsia="Palatino Linotype" w:hAnsi="Palatino Linotype" w:cs="Palatino Linotype"/>
        </w:rPr>
        <w:t xml:space="preserve">se aprobó </w:t>
      </w:r>
      <w:r w:rsidR="00A326AB" w:rsidRPr="00935C2C">
        <w:rPr>
          <w:rFonts w:ascii="Palatino Linotype" w:eastAsia="Palatino Linotype" w:hAnsi="Palatino Linotype" w:cs="Palatino Linotype"/>
        </w:rPr>
        <w:t>mediante el acuerdo AT/CT/01/2022, como se advierte a continuación:</w:t>
      </w:r>
    </w:p>
    <w:p w14:paraId="74BF30B4" w14:textId="77777777" w:rsidR="00A679F9" w:rsidRPr="00935C2C" w:rsidRDefault="00A326AB">
      <w:pPr>
        <w:spacing w:before="240" w:after="240" w:line="360" w:lineRule="auto"/>
        <w:ind w:right="49"/>
        <w:rPr>
          <w:rFonts w:ascii="Palatino Linotype" w:eastAsia="Palatino Linotype" w:hAnsi="Palatino Linotype" w:cs="Palatino Linotype"/>
        </w:rPr>
      </w:pPr>
      <w:r w:rsidRPr="00935C2C">
        <w:rPr>
          <w:rFonts w:ascii="Palatino Linotype" w:eastAsia="Palatino Linotype" w:hAnsi="Palatino Linotype" w:cs="Palatino Linotype"/>
          <w:noProof/>
        </w:rPr>
        <w:drawing>
          <wp:inline distT="0" distB="0" distL="0" distR="0" wp14:anchorId="7CBB059F" wp14:editId="2DD3AA36">
            <wp:extent cx="5400675" cy="3218789"/>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b="173"/>
                    <a:stretch>
                      <a:fillRect/>
                    </a:stretch>
                  </pic:blipFill>
                  <pic:spPr>
                    <a:xfrm>
                      <a:off x="0" y="0"/>
                      <a:ext cx="5400675" cy="3218789"/>
                    </a:xfrm>
                    <a:prstGeom prst="rect">
                      <a:avLst/>
                    </a:prstGeom>
                    <a:ln/>
                  </pic:spPr>
                </pic:pic>
              </a:graphicData>
            </a:graphic>
          </wp:inline>
        </w:drawing>
      </w:r>
    </w:p>
    <w:p w14:paraId="65BC69E4" w14:textId="77777777" w:rsidR="004C4C61" w:rsidRPr="00935C2C" w:rsidRDefault="004C4C61">
      <w:pPr>
        <w:spacing w:before="240" w:after="240" w:line="360" w:lineRule="auto"/>
        <w:ind w:right="49"/>
        <w:rPr>
          <w:rFonts w:ascii="Palatino Linotype" w:eastAsia="Palatino Linotype" w:hAnsi="Palatino Linotype" w:cs="Palatino Linotype"/>
        </w:rPr>
      </w:pPr>
    </w:p>
    <w:p w14:paraId="08373D74" w14:textId="77777777" w:rsidR="00A679F9" w:rsidRPr="00935C2C" w:rsidRDefault="00A326AB">
      <w:pPr>
        <w:spacing w:before="240" w:after="240" w:line="360" w:lineRule="auto"/>
        <w:ind w:right="49"/>
        <w:jc w:val="center"/>
        <w:rPr>
          <w:rFonts w:ascii="Palatino Linotype" w:eastAsia="Palatino Linotype" w:hAnsi="Palatino Linotype" w:cs="Palatino Linotype"/>
        </w:rPr>
      </w:pPr>
      <w:r w:rsidRPr="00935C2C">
        <w:rPr>
          <w:rFonts w:ascii="Palatino Linotype" w:eastAsia="Palatino Linotype" w:hAnsi="Palatino Linotype" w:cs="Palatino Linotype"/>
          <w:noProof/>
        </w:rPr>
        <w:lastRenderedPageBreak/>
        <w:drawing>
          <wp:inline distT="0" distB="0" distL="0" distR="0" wp14:anchorId="2C35A06D" wp14:editId="20584207">
            <wp:extent cx="5064091" cy="7380000"/>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064091" cy="7380000"/>
                    </a:xfrm>
                    <a:prstGeom prst="rect">
                      <a:avLst/>
                    </a:prstGeom>
                    <a:ln/>
                  </pic:spPr>
                </pic:pic>
              </a:graphicData>
            </a:graphic>
          </wp:inline>
        </w:drawing>
      </w:r>
    </w:p>
    <w:p w14:paraId="4A3D34A7" w14:textId="77777777" w:rsidR="00A679F9" w:rsidRPr="00935C2C" w:rsidRDefault="00A326AB">
      <w:pPr>
        <w:spacing w:before="240" w:after="240" w:line="360" w:lineRule="auto"/>
        <w:ind w:right="49"/>
        <w:jc w:val="center"/>
        <w:rPr>
          <w:rFonts w:ascii="Palatino Linotype" w:eastAsia="Palatino Linotype" w:hAnsi="Palatino Linotype" w:cs="Palatino Linotype"/>
        </w:rPr>
      </w:pPr>
      <w:r w:rsidRPr="00935C2C">
        <w:rPr>
          <w:rFonts w:ascii="Palatino Linotype" w:eastAsia="Palatino Linotype" w:hAnsi="Palatino Linotype" w:cs="Palatino Linotype"/>
          <w:noProof/>
        </w:rPr>
        <w:lastRenderedPageBreak/>
        <w:drawing>
          <wp:inline distT="0" distB="0" distL="0" distR="0" wp14:anchorId="74E9C481" wp14:editId="47249162">
            <wp:extent cx="5040354" cy="7380000"/>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040354" cy="7380000"/>
                    </a:xfrm>
                    <a:prstGeom prst="rect">
                      <a:avLst/>
                    </a:prstGeom>
                    <a:ln/>
                  </pic:spPr>
                </pic:pic>
              </a:graphicData>
            </a:graphic>
          </wp:inline>
        </w:drawing>
      </w:r>
    </w:p>
    <w:p w14:paraId="2919B646" w14:textId="77777777" w:rsidR="00A679F9" w:rsidRPr="00935C2C" w:rsidRDefault="00A326AB">
      <w:pPr>
        <w:spacing w:before="240" w:after="240" w:line="360" w:lineRule="auto"/>
        <w:ind w:right="49"/>
        <w:jc w:val="center"/>
        <w:rPr>
          <w:rFonts w:ascii="Palatino Linotype" w:eastAsia="Palatino Linotype" w:hAnsi="Palatino Linotype" w:cs="Palatino Linotype"/>
        </w:rPr>
      </w:pPr>
      <w:r w:rsidRPr="00935C2C">
        <w:rPr>
          <w:rFonts w:ascii="Palatino Linotype" w:eastAsia="Palatino Linotype" w:hAnsi="Palatino Linotype" w:cs="Palatino Linotype"/>
          <w:noProof/>
        </w:rPr>
        <w:lastRenderedPageBreak/>
        <w:drawing>
          <wp:inline distT="0" distB="0" distL="0" distR="0" wp14:anchorId="60EA34A4" wp14:editId="13F261D4">
            <wp:extent cx="4944163" cy="7380000"/>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944163" cy="7380000"/>
                    </a:xfrm>
                    <a:prstGeom prst="rect">
                      <a:avLst/>
                    </a:prstGeom>
                    <a:ln/>
                  </pic:spPr>
                </pic:pic>
              </a:graphicData>
            </a:graphic>
          </wp:inline>
        </w:drawing>
      </w:r>
      <w:r w:rsidRPr="00935C2C">
        <w:rPr>
          <w:rFonts w:ascii="Palatino Linotype" w:eastAsia="Palatino Linotype" w:hAnsi="Palatino Linotype" w:cs="Palatino Linotype"/>
          <w:noProof/>
        </w:rPr>
        <w:lastRenderedPageBreak/>
        <w:drawing>
          <wp:inline distT="0" distB="0" distL="0" distR="0" wp14:anchorId="549FCB38" wp14:editId="11440EF2">
            <wp:extent cx="4860000" cy="1744985"/>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60000" cy="1744985"/>
                    </a:xfrm>
                    <a:prstGeom prst="rect">
                      <a:avLst/>
                    </a:prstGeom>
                    <a:ln/>
                  </pic:spPr>
                </pic:pic>
              </a:graphicData>
            </a:graphic>
          </wp:inline>
        </w:drawing>
      </w:r>
    </w:p>
    <w:p w14:paraId="5A725978"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 </w:t>
      </w:r>
      <w:r w:rsidRPr="00935C2C">
        <w:rPr>
          <w:rFonts w:ascii="Palatino Linotype" w:eastAsia="Palatino Linotype" w:hAnsi="Palatino Linotype" w:cs="Palatino Linotype"/>
          <w:i/>
        </w:rPr>
        <w:t>Directora General de Administración</w:t>
      </w:r>
      <w:r w:rsidRPr="00935C2C">
        <w:rPr>
          <w:rFonts w:ascii="Palatino Linotype" w:eastAsia="Palatino Linotype" w:hAnsi="Palatino Linotype" w:cs="Palatino Linotype"/>
        </w:rPr>
        <w:t>: Después de la búsqueda exhaustiva para dar atención a la solicitud, señaló que no se encontró el certificado de competencia laboral del titular de la Contraloría Municipal, asimismo, citó el artículo 32 de la Ley Orgánica Municipal del Estado de México, que en su parte conducente señala que la certificación de competencia laboral se acreditará dentro de los seis meses siguientes a la fecha en la que los servidores públicos inicien sus funciones.</w:t>
      </w:r>
    </w:p>
    <w:p w14:paraId="6FDF39B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Bajo tales argumentos, al no estar conforme con los términos de la respuesta proporcionada, el particular interpuso el recurso de revisión que nos ocupa, mediante el cual señaló como motivo de inconformidad, que no se le entregó la información que solicitó. </w:t>
      </w:r>
    </w:p>
    <w:p w14:paraId="61B61B9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 admitido el presente recurso de revisión, en términos del artículo 185 fracción II</w:t>
      </w:r>
      <w:r w:rsidRPr="00935C2C">
        <w:rPr>
          <w:rFonts w:ascii="Palatino Linotype" w:eastAsia="Palatino Linotype" w:hAnsi="Palatino Linotype" w:cs="Palatino Linotype"/>
          <w:vertAlign w:val="superscript"/>
        </w:rPr>
        <w:footnoteReference w:id="3"/>
      </w:r>
      <w:r w:rsidRPr="00935C2C">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w:t>
      </w:r>
      <w:r w:rsidRPr="00935C2C">
        <w:rPr>
          <w:rFonts w:ascii="Palatino Linotype" w:eastAsia="Palatino Linotype" w:hAnsi="Palatino Linotype" w:cs="Palatino Linotype"/>
        </w:rPr>
        <w:lastRenderedPageBreak/>
        <w:t>para que, en un plazo máximo de siete días hábiles, manifestaran lo que a su derecho resultara conveniente.</w:t>
      </w:r>
    </w:p>
    <w:p w14:paraId="224E32E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Al respecto,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mediante su informe justificado ratificó en lo sustancial la respuesta emitida en primera instancia, al señalar, respecto del certificado de competencia laboral, que la Dirección General de Administración, informó que a la fecha no se contaba con dicho documento, es decir, no obra en sus archivos, encuadrando en un hecho negativo, pues en términos de la legislación jurídica aplicable, dicha información se encuentra dentro del término legal, por lo tanto, el Sujeto Obligado no se encuentra constreñido a contar con el documento de referencia, mientras que para los requerimientos relativos a </w:t>
      </w:r>
      <w:r w:rsidRPr="00935C2C">
        <w:rPr>
          <w:rFonts w:ascii="Palatino Linotype" w:eastAsia="Palatino Linotype" w:hAnsi="Palatino Linotype" w:cs="Palatino Linotype"/>
          <w:i/>
        </w:rPr>
        <w:t xml:space="preserve">“las actas de los COCICOVIS, por cada una de las obras públicas para los ejercicios 2019, 2020 y 2021, la relación de los servidores públicos obligados a presentar declaración patrimonial, la relación de quejas contra servidores públicos presentadas ante la contraloría municipal durante los años 2019, 2020, 2021 y lo que va de 2022, en su caso los acuerdos de clasificación o reserva de la información y el acta del comité dónde se aprobó su clasificación o reserva...” </w:t>
      </w:r>
      <w:r w:rsidRPr="00935C2C">
        <w:rPr>
          <w:rFonts w:ascii="Palatino Linotype" w:eastAsia="Palatino Linotype" w:hAnsi="Palatino Linotype" w:cs="Palatino Linotype"/>
        </w:rPr>
        <w:t>señaló que se adjuntó el Acta de la Centésima Décima Sesión Extraordinaria, mediante la cual se solicitó el cambio de modalidad, misma que fue aprobada por el Comité de Transparencia.</w:t>
      </w:r>
    </w:p>
    <w:p w14:paraId="2D0270E0" w14:textId="77777777" w:rsidR="00A679F9" w:rsidRPr="00935C2C" w:rsidRDefault="00A326AB">
      <w:pPr>
        <w:spacing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Por su parte la </w:t>
      </w:r>
      <w:r w:rsidRPr="00935C2C">
        <w:rPr>
          <w:rFonts w:ascii="Palatino Linotype" w:eastAsia="Palatino Linotype" w:hAnsi="Palatino Linotype" w:cs="Palatino Linotype"/>
          <w:b/>
        </w:rPr>
        <w:t xml:space="preserve">Recurrente </w:t>
      </w:r>
      <w:r w:rsidRPr="00935C2C">
        <w:rPr>
          <w:rFonts w:ascii="Palatino Linotype" w:eastAsia="Palatino Linotype" w:hAnsi="Palatino Linotype" w:cs="Palatino Linotype"/>
        </w:rPr>
        <w:t>fue omisa en expresar alegato alguno y ofrecer pruebas en el plazo establecido para tal efecto como se señaló anteriormente.</w:t>
      </w:r>
    </w:p>
    <w:p w14:paraId="51B10F60" w14:textId="77777777" w:rsidR="004C4C61" w:rsidRPr="00935C2C" w:rsidRDefault="00A326AB">
      <w:pPr>
        <w:spacing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este sentido, derivado del análisis realizado en las constancias que integran el expediente, este Organismo Garante determina procedente analizar si con la respuesta emitida por el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a la solicitud en estudio, se transgredió </w:t>
      </w:r>
      <w:r w:rsidRPr="00935C2C">
        <w:rPr>
          <w:rFonts w:ascii="Palatino Linotype" w:eastAsia="Palatino Linotype" w:hAnsi="Palatino Linotype" w:cs="Palatino Linotype"/>
        </w:rPr>
        <w:lastRenderedPageBreak/>
        <w:t xml:space="preserve">el derecho humano de acceso a la información pública de la parte </w:t>
      </w:r>
      <w:r w:rsidRPr="00935C2C">
        <w:rPr>
          <w:rFonts w:ascii="Palatino Linotype" w:eastAsia="Palatino Linotype" w:hAnsi="Palatino Linotype" w:cs="Palatino Linotype"/>
          <w:b/>
        </w:rPr>
        <w:t xml:space="preserve">Recurrente, </w:t>
      </w:r>
      <w:r w:rsidRPr="00935C2C">
        <w:rPr>
          <w:rFonts w:ascii="Palatino Linotype" w:eastAsia="Palatino Linotype" w:hAnsi="Palatino Linotype" w:cs="Palatino Linotype"/>
        </w:rPr>
        <w:t>para lo cual es necesario establecer que</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 xml:space="preserve">para los puntos 1, 2, 3 y 4, la </w:t>
      </w:r>
      <w:r w:rsidRPr="00935C2C">
        <w:rPr>
          <w:rFonts w:ascii="Palatino Linotype" w:eastAsia="Palatino Linotype" w:hAnsi="Palatino Linotype" w:cs="Palatino Linotype"/>
          <w:i/>
        </w:rPr>
        <w:t>Litis</w:t>
      </w:r>
      <w:r w:rsidRPr="00935C2C">
        <w:rPr>
          <w:rFonts w:ascii="Palatino Linotype" w:eastAsia="Palatino Linotype" w:hAnsi="Palatino Linotype" w:cs="Palatino Linotype"/>
        </w:rPr>
        <w:t xml:space="preserve"> consistirá en determinar si la modalidad de entrega presentada por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transgrede el derecho del particular, </w:t>
      </w:r>
      <w:r w:rsidR="004C4C61" w:rsidRPr="00935C2C">
        <w:rPr>
          <w:rFonts w:ascii="Palatino Linotype" w:eastAsia="Palatino Linotype" w:hAnsi="Palatino Linotype" w:cs="Palatino Linotype"/>
        </w:rPr>
        <w:t xml:space="preserve">siendo necesario precisar que si bien, el Servidor Público Habilitado solicitó el cambio de modalidad respecto de todos los requerimientos de información, no pasa desapercibido para este Organismo Garante que el argumento para dicho cambio se centra en </w:t>
      </w:r>
      <w:r w:rsidR="0061691A" w:rsidRPr="00935C2C">
        <w:rPr>
          <w:rFonts w:ascii="Palatino Linotype" w:eastAsia="Palatino Linotype" w:hAnsi="Palatino Linotype" w:cs="Palatino Linotype"/>
        </w:rPr>
        <w:t xml:space="preserve">la premisa de no contar con la información digitalizada, sin embargo, se entiende que solo lo es respecto de las actas de los </w:t>
      </w:r>
      <w:proofErr w:type="spellStart"/>
      <w:r w:rsidR="0061691A" w:rsidRPr="00935C2C">
        <w:rPr>
          <w:rFonts w:ascii="Palatino Linotype" w:eastAsia="Palatino Linotype" w:hAnsi="Palatino Linotype" w:cs="Palatino Linotype"/>
        </w:rPr>
        <w:t>COCICOVIs</w:t>
      </w:r>
      <w:proofErr w:type="spellEnd"/>
      <w:r w:rsidR="0061691A" w:rsidRPr="00935C2C">
        <w:rPr>
          <w:rFonts w:ascii="Palatino Linotype" w:eastAsia="Palatino Linotype" w:hAnsi="Palatino Linotype" w:cs="Palatino Linotype"/>
        </w:rPr>
        <w:t>, por lo que no es claro si el cambio de modalidad pretendido incluye toda la información o solo la relativa a las actas, ya que no hubo pronunciamiento ni tampoco se remitió el soporte documental correspondiente.</w:t>
      </w:r>
    </w:p>
    <w:p w14:paraId="10A7B317" w14:textId="77777777" w:rsidR="00A679F9" w:rsidRPr="00935C2C" w:rsidRDefault="0061691A">
      <w:pPr>
        <w:spacing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Mientras</w:t>
      </w:r>
      <w:r w:rsidR="00A326AB" w:rsidRPr="00935C2C">
        <w:rPr>
          <w:rFonts w:ascii="Palatino Linotype" w:eastAsia="Palatino Linotype" w:hAnsi="Palatino Linotype" w:cs="Palatino Linotype"/>
        </w:rPr>
        <w:t xml:space="preserve"> que para el punto 5 consistirá en delimitar el marco jurídico que establece la obligación de contar con la certificación de competencia laboral, a efecto de determinar si el pronunciamiento vertido por la Directora General de Administración es suficiente para tener por atendido el requerimiento de información, o en su defecto ordenar la entrega del soporte documental correspondiente.</w:t>
      </w:r>
    </w:p>
    <w:p w14:paraId="0C8E2B56" w14:textId="77777777" w:rsidR="00A679F9" w:rsidRPr="00935C2C" w:rsidRDefault="0061691A">
      <w:pPr>
        <w:spacing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 p</w:t>
      </w:r>
      <w:r w:rsidR="00A326AB" w:rsidRPr="00935C2C">
        <w:rPr>
          <w:rFonts w:ascii="Palatino Linotype" w:eastAsia="Palatino Linotype" w:hAnsi="Palatino Linotype" w:cs="Palatino Linotype"/>
        </w:rPr>
        <w:t>or cuanto hace a la modalidad de entrega, es de señalar que de la solicitud de información se desprende que la persona solicitante requirió la entrega de la información a través de SAIMEX, sistema que tiene como propósito facilitar en la entidad el ejercicio del derecho humano de acceso a la información pública, de forma sencilla y gratuita.</w:t>
      </w:r>
    </w:p>
    <w:p w14:paraId="45213BA3"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Así, la Ley de Transparencia y Acceso a la Información Pública del Estado de México y Municipios, privilegia el uso de las tecnologías por medios electrónicos, dando preferencia al uso de sistemas computacionales y las nuevas tecnologías en el afán de transitar hacia la modernización de los procesos, según se puede leer en el precepto legal que se inserta enseguida:</w:t>
      </w:r>
    </w:p>
    <w:p w14:paraId="26F9BB4D" w14:textId="77777777" w:rsidR="00A679F9" w:rsidRPr="00935C2C" w:rsidRDefault="00A326AB">
      <w:pPr>
        <w:spacing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88.</w:t>
      </w:r>
      <w:r w:rsidRPr="00935C2C">
        <w:rPr>
          <w:rFonts w:ascii="Palatino Linotype" w:eastAsia="Palatino Linotype" w:hAnsi="Palatino Linotype" w:cs="Palatino Linotype"/>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55933FB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Bajo ese contexto la Ley de Transparencia y Acceso a la Información Pública del Estado de México y Municipios, el artículo 155 fracción V,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Organismo Garante determinó en el formato de solicitud, que podría ser SAIMEX, </w:t>
      </w:r>
      <w:proofErr w:type="spellStart"/>
      <w:r w:rsidRPr="00935C2C">
        <w:rPr>
          <w:rFonts w:ascii="Palatino Linotype" w:eastAsia="Palatino Linotype" w:hAnsi="Palatino Linotype" w:cs="Palatino Linotype"/>
        </w:rPr>
        <w:t>CD-Rom</w:t>
      </w:r>
      <w:proofErr w:type="spellEnd"/>
      <w:r w:rsidRPr="00935C2C">
        <w:rPr>
          <w:rFonts w:ascii="Palatino Linotype" w:eastAsia="Palatino Linotype" w:hAnsi="Palatino Linotype" w:cs="Palatino Linotype"/>
        </w:rPr>
        <w:t xml:space="preserve"> (con costo), copias simples (con costo), copias certificadas (con costo), consulta directa (sin costo), o bien, cualquier otro que determine el particular.</w:t>
      </w:r>
    </w:p>
    <w:p w14:paraId="0CFFC83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modo que el acceso a la información debe darse en la modalidad de entrega elegida por el solicitante,  y sólo para los casos en que se encuentren impedidos los sujetos obligados podrán ofrecer otra u otras modalidades debiendo fundar y </w:t>
      </w:r>
      <w:r w:rsidRPr="00935C2C">
        <w:rPr>
          <w:rFonts w:ascii="Palatino Linotype" w:eastAsia="Palatino Linotype" w:hAnsi="Palatino Linotype" w:cs="Palatino Linotype"/>
        </w:rPr>
        <w:lastRenderedPageBreak/>
        <w:t>motivar adecuadamente el cambio de modalidad en la entrega de la información</w:t>
      </w:r>
      <w:r w:rsidRPr="00935C2C">
        <w:rPr>
          <w:rFonts w:ascii="Palatino Linotype" w:eastAsia="Palatino Linotype" w:hAnsi="Palatino Linotype" w:cs="Palatino Linotype"/>
          <w:vertAlign w:val="superscript"/>
        </w:rPr>
        <w:t xml:space="preserve"> </w:t>
      </w:r>
      <w:r w:rsidRPr="00935C2C">
        <w:rPr>
          <w:rFonts w:ascii="Palatino Linotype" w:eastAsia="Palatino Linotype" w:hAnsi="Palatino Linotype" w:cs="Palatino Linotype"/>
          <w:vertAlign w:val="superscript"/>
        </w:rPr>
        <w:footnoteReference w:id="4"/>
      </w:r>
      <w:r w:rsidRPr="00935C2C">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4BB0A811" w14:textId="77777777" w:rsidR="00A679F9" w:rsidRPr="00935C2C" w:rsidRDefault="00A326AB">
      <w:pPr>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“FUNDAMENTACIÓN Y MOTIVACIÓN DE LOS ACTOS ADMINISTRATIVOS</w:t>
      </w:r>
      <w:r w:rsidRPr="00935C2C">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935C2C">
        <w:rPr>
          <w:rFonts w:ascii="Palatino Linotype" w:eastAsia="Palatino Linotype" w:hAnsi="Palatino Linotype" w:cs="Palatino Linotype"/>
          <w:i/>
          <w:sz w:val="22"/>
          <w:szCs w:val="22"/>
        </w:rPr>
        <w:t>subincisos</w:t>
      </w:r>
      <w:proofErr w:type="spellEnd"/>
      <w:r w:rsidRPr="00935C2C">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532C75F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En añadidura, el artículo 158 de la Ley de Transparencia y Acceso a la Información Pública del Estado de México y Municipios, establecen lo que es de la literalidad siguiente:</w:t>
      </w:r>
    </w:p>
    <w:p w14:paraId="6BB6136A" w14:textId="77777777" w:rsidR="00A679F9" w:rsidRPr="00935C2C" w:rsidRDefault="00A326AB">
      <w:pPr>
        <w:ind w:left="851"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 “Artículo 158. </w:t>
      </w:r>
      <w:r w:rsidRPr="00935C2C">
        <w:rPr>
          <w:rFonts w:ascii="Palatino Linotype" w:eastAsia="Palatino Linotype" w:hAnsi="Palatino Linotype" w:cs="Palatino Linotype"/>
          <w:i/>
          <w:sz w:val="22"/>
          <w:szCs w:val="22"/>
        </w:rPr>
        <w:t xml:space="preserve">De manera excepcional, cuando de forma fundada y motivada así lo determine el sujeto obligado, en aquellos casos en que la información solicitada que ya se encuentre en su posesión implique análisis, estudio o procesamiento de </w:t>
      </w:r>
      <w:r w:rsidRPr="00935C2C">
        <w:rPr>
          <w:rFonts w:ascii="Palatino Linotype" w:eastAsia="Palatino Linotype" w:hAnsi="Palatino Linotype" w:cs="Palatino Linotype"/>
          <w:b/>
          <w:i/>
          <w:sz w:val="22"/>
          <w:szCs w:val="22"/>
        </w:rPr>
        <w:t>documentos cuya entrega o reproducción sobrepase las capacidades técnicas administrativas y humana</w:t>
      </w:r>
      <w:r w:rsidRPr="00935C2C">
        <w:rPr>
          <w:rFonts w:ascii="Palatino Linotype" w:eastAsia="Palatino Linotype" w:hAnsi="Palatino Linotype" w:cs="Palatino Linotype"/>
          <w:i/>
          <w:sz w:val="22"/>
          <w:szCs w:val="22"/>
        </w:rPr>
        <w:t>s del sujeto obligado para cumplir con la solicitud, en los plazos establecidos para dichos efectos, se podrá poner a disposición del solicitante los documentos en consulta directa, salvo la información clasificada.</w:t>
      </w:r>
    </w:p>
    <w:p w14:paraId="4313BA6D" w14:textId="77777777" w:rsidR="00A679F9" w:rsidRPr="00935C2C" w:rsidRDefault="00A326AB">
      <w:pPr>
        <w:spacing w:before="120"/>
        <w:ind w:left="851"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r w:rsidRPr="00935C2C">
        <w:rPr>
          <w:rFonts w:ascii="Palatino Linotype" w:eastAsia="Palatino Linotype" w:hAnsi="Palatino Linotype" w:cs="Palatino Linotype"/>
          <w:b/>
          <w:i/>
          <w:sz w:val="22"/>
          <w:szCs w:val="22"/>
        </w:rPr>
        <w:t>”</w:t>
      </w:r>
    </w:p>
    <w:p w14:paraId="66E3B73F"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48F9C8F3" w14:textId="77777777" w:rsidR="00A679F9" w:rsidRPr="00935C2C" w:rsidRDefault="00A326AB">
      <w:pPr>
        <w:spacing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 “Artículo 160.</w:t>
      </w:r>
      <w:r w:rsidRPr="00935C2C">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19EDCAF" w14:textId="77777777" w:rsidR="00A679F9" w:rsidRPr="00935C2C" w:rsidRDefault="00A326AB">
      <w:pPr>
        <w:spacing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w:t>
      </w:r>
      <w:r w:rsidRPr="00935C2C">
        <w:rPr>
          <w:rFonts w:ascii="Palatino Linotype" w:eastAsia="Palatino Linotype" w:hAnsi="Palatino Linotype" w:cs="Palatino Linotype"/>
          <w:i/>
          <w:sz w:val="22"/>
          <w:szCs w:val="22"/>
        </w:rPr>
        <w:t>..</w:t>
      </w:r>
    </w:p>
    <w:p w14:paraId="3684E736" w14:textId="77777777" w:rsidR="00A679F9" w:rsidRPr="00935C2C" w:rsidRDefault="00A326AB">
      <w:pPr>
        <w:spacing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164.</w:t>
      </w:r>
      <w:r w:rsidRPr="00935C2C">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w:t>
      </w:r>
      <w:r w:rsidRPr="00935C2C">
        <w:rPr>
          <w:rFonts w:ascii="Palatino Linotype" w:eastAsia="Palatino Linotype" w:hAnsi="Palatino Linotype" w:cs="Palatino Linotype"/>
          <w:i/>
          <w:sz w:val="22"/>
          <w:szCs w:val="22"/>
        </w:rPr>
        <w:lastRenderedPageBreak/>
        <w:t>modalidades de entrega. En cualquier caso, se deberá fundar y motivar la necesidad de ofrecer otras modalidades.” (Sic)</w:t>
      </w:r>
    </w:p>
    <w:p w14:paraId="23A6E0F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5410BE6A" w14:textId="77777777" w:rsidR="00A679F9" w:rsidRPr="00935C2C" w:rsidRDefault="00A326AB">
      <w:pPr>
        <w:spacing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Así, cuando se justifique el impedimento, </w:t>
      </w:r>
      <w:r w:rsidRPr="00935C2C">
        <w:rPr>
          <w:rFonts w:ascii="Palatino Linotype" w:eastAsia="Palatino Linotype" w:hAnsi="Palatino Linotype" w:cs="Palatino Linotype"/>
          <w:b/>
        </w:rPr>
        <w:t>los Sujetos Obligados deberán ofrecer al particular otras modalidades de entrega que permita la información</w:t>
      </w:r>
      <w:r w:rsidRPr="00935C2C">
        <w:rPr>
          <w:rFonts w:ascii="Palatino Linotype" w:eastAsia="Palatino Linotype" w:hAnsi="Palatino Linotype" w:cs="Palatino Linotype"/>
        </w:rPr>
        <w:t>, como consulta directa en las oficinas de la Unidad de Transparencia, lo que se robustece con el criterio 08/17, emitido por el Pleno del Instituto Nacional de Transparencia, Acceso a la Información y Protección de Datos Personales, el cual establece lo siguiente:</w:t>
      </w:r>
    </w:p>
    <w:p w14:paraId="2165D72E" w14:textId="77777777" w:rsidR="00A679F9" w:rsidRPr="00935C2C" w:rsidRDefault="00A326AB">
      <w:pPr>
        <w:spacing w:before="120" w:after="120"/>
        <w:ind w:left="851"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935C2C">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AFCBE0D" w14:textId="77777777" w:rsidR="00A679F9" w:rsidRPr="00935C2C" w:rsidRDefault="00A326AB">
      <w:pPr>
        <w:spacing w:before="240" w:after="240" w:line="360" w:lineRule="auto"/>
        <w:jc w:val="both"/>
        <w:rPr>
          <w:rFonts w:ascii="Palatino Linotype" w:eastAsia="Palatino Linotype" w:hAnsi="Palatino Linotype" w:cs="Palatino Linotype"/>
          <w:b/>
        </w:rPr>
      </w:pPr>
      <w:r w:rsidRPr="00935C2C">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w:t>
      </w:r>
      <w:r w:rsidRPr="00935C2C">
        <w:rPr>
          <w:rFonts w:ascii="Palatino Linotype" w:eastAsia="Palatino Linotype" w:hAnsi="Palatino Linotype" w:cs="Palatino Linotype"/>
        </w:rPr>
        <w:lastRenderedPageBreak/>
        <w:t xml:space="preserve">misma y se notifique al particular la puesta a disposición de la </w:t>
      </w:r>
      <w:r w:rsidRPr="00935C2C">
        <w:rPr>
          <w:rFonts w:ascii="Palatino Linotype" w:eastAsia="Palatino Linotype" w:hAnsi="Palatino Linotype" w:cs="Palatino Linotype"/>
          <w:b/>
        </w:rPr>
        <w:t>información en todas las modalidades que lo permitan, procurando reducir los costos de entrega.</w:t>
      </w:r>
    </w:p>
    <w:p w14:paraId="2D13D75C" w14:textId="77777777" w:rsidR="00A679F9" w:rsidRPr="00935C2C" w:rsidRDefault="00A326AB">
      <w:pPr>
        <w:spacing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 las cosas, debe resaltarse que, en el presente asunto, se aludió q</w:t>
      </w:r>
      <w:r w:rsidRPr="00935C2C">
        <w:rPr>
          <w:rFonts w:ascii="Palatino Linotype" w:eastAsia="Palatino Linotype" w:hAnsi="Palatino Linotype" w:cs="Palatino Linotype"/>
          <w:b/>
          <w:u w:val="single"/>
        </w:rPr>
        <w:t xml:space="preserve">ue la información solicitada </w:t>
      </w:r>
      <w:r w:rsidRPr="00935C2C">
        <w:rPr>
          <w:rFonts w:ascii="Palatino Linotype" w:eastAsia="Palatino Linotype" w:hAnsi="Palatino Linotype" w:cs="Palatino Linotype"/>
        </w:rPr>
        <w:t xml:space="preserve">constaba de 1,026 fojas distribuidas en 171 actas, mismas que al llenarse a mano en presencia de los interesados, </w:t>
      </w:r>
      <w:r w:rsidRPr="00935C2C">
        <w:rPr>
          <w:rFonts w:ascii="Palatino Linotype" w:eastAsia="Palatino Linotype" w:hAnsi="Palatino Linotype" w:cs="Palatino Linotype"/>
          <w:b/>
          <w:u w:val="single"/>
        </w:rPr>
        <w:t xml:space="preserve">no se encontraba en formato digital, </w:t>
      </w:r>
      <w:r w:rsidRPr="00935C2C">
        <w:rPr>
          <w:rFonts w:ascii="Palatino Linotype" w:eastAsia="Palatino Linotype" w:hAnsi="Palatino Linotype" w:cs="Palatino Linotype"/>
        </w:rPr>
        <w:t>considerando necesario poner la disposición de la persona solicitante dicha información a través de consulta directa, en las oficinas de la Contraloría Municipal, sin que dichos argumentos representen en efecto impedimentos para entregar la información requerida.</w:t>
      </w:r>
    </w:p>
    <w:p w14:paraId="6D39A7B4" w14:textId="77777777" w:rsidR="00A679F9" w:rsidRPr="00935C2C" w:rsidRDefault="00A326AB">
      <w:pPr>
        <w:widowControl w:val="0"/>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7E3A8F0" w14:textId="77777777" w:rsidR="00A679F9" w:rsidRPr="00935C2C" w:rsidRDefault="00A326AB">
      <w:pPr>
        <w:numPr>
          <w:ilvl w:val="0"/>
          <w:numId w:val="2"/>
        </w:num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Las razones por las cuales la información implica un análisis, estudio o procesamiento de datos;</w:t>
      </w:r>
    </w:p>
    <w:p w14:paraId="53D4E577" w14:textId="77777777" w:rsidR="00A679F9" w:rsidRPr="00935C2C" w:rsidRDefault="00A326AB">
      <w:pPr>
        <w:numPr>
          <w:ilvl w:val="0"/>
          <w:numId w:val="2"/>
        </w:num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2973DDC0" w14:textId="77777777" w:rsidR="00A679F9" w:rsidRPr="00935C2C" w:rsidRDefault="00A326AB">
      <w:pPr>
        <w:numPr>
          <w:ilvl w:val="0"/>
          <w:numId w:val="2"/>
        </w:num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La cantidad de recursos humanos y materiales con los que cuenta el Sujeto Obligado son insuficientes.</w:t>
      </w:r>
    </w:p>
    <w:p w14:paraId="5D0EC838" w14:textId="77777777" w:rsidR="00A679F9" w:rsidRPr="00935C2C" w:rsidRDefault="00A326AB">
      <w:pPr>
        <w:spacing w:before="240" w:after="240" w:line="360" w:lineRule="auto"/>
        <w:jc w:val="both"/>
        <w:rPr>
          <w:rFonts w:ascii="Palatino Linotype" w:eastAsia="Palatino Linotype" w:hAnsi="Palatino Linotype" w:cs="Palatino Linotype"/>
          <w:b/>
          <w:u w:val="single"/>
        </w:rPr>
      </w:pPr>
      <w:r w:rsidRPr="00935C2C">
        <w:rPr>
          <w:rFonts w:ascii="Palatino Linotype" w:eastAsia="Palatino Linotype" w:hAnsi="Palatino Linotype" w:cs="Palatino Linotype"/>
        </w:rPr>
        <w:lastRenderedPageBreak/>
        <w:t xml:space="preserve">En ese contexto, es de señalar que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únicamente señaló como</w:t>
      </w:r>
      <w:r w:rsidRPr="00935C2C">
        <w:t xml:space="preserve"> </w:t>
      </w:r>
      <w:r w:rsidRPr="00935C2C">
        <w:rPr>
          <w:rFonts w:ascii="Palatino Linotype" w:eastAsia="Palatino Linotype" w:hAnsi="Palatino Linotype" w:cs="Palatino Linotype"/>
        </w:rPr>
        <w:t xml:space="preserve">imposibilidades para dar atención a la solicitud, que la información no se cuenta en formato digital, esto es no acreditó que lo peticionado implicaba un análisis, procesamiento o estudio de documentos cuya reproducción sobrepasará las capacidades técnicas, administrativas y humanas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w:t>
      </w:r>
      <w:r w:rsidRPr="00935C2C">
        <w:rPr>
          <w:rFonts w:ascii="Palatino Linotype" w:eastAsia="Palatino Linotype" w:hAnsi="Palatino Linotype" w:cs="Palatino Linotype"/>
          <w:u w:val="single"/>
        </w:rPr>
        <w:t>no proporcionó los elementos necesarios para acreditar el cambio de modalidad, pues la justificación</w:t>
      </w:r>
      <w:r w:rsidRPr="00935C2C">
        <w:rPr>
          <w:rFonts w:ascii="Palatino Linotype" w:eastAsia="Palatino Linotype" w:hAnsi="Palatino Linotype" w:cs="Palatino Linotype"/>
        </w:rPr>
        <w:t xml:space="preserve"> </w:t>
      </w:r>
      <w:r w:rsidRPr="00935C2C">
        <w:rPr>
          <w:rFonts w:ascii="Palatino Linotype" w:eastAsia="Palatino Linotype" w:hAnsi="Palatino Linotype" w:cs="Palatino Linotype"/>
          <w:u w:val="single"/>
        </w:rPr>
        <w:t>se basó únicamente en que la información se encontraba en formato físico</w:t>
      </w:r>
      <w:r w:rsidRPr="00935C2C">
        <w:rPr>
          <w:rFonts w:ascii="Palatino Linotype" w:eastAsia="Palatino Linotype" w:hAnsi="Palatino Linotype" w:cs="Palatino Linotype"/>
        </w:rPr>
        <w:t>, razón que no justifica la necesidad del cambio de modalidad pretendido, a efecto de garantizar la entrega de la información solicitada dentro del plazo establecido en la normatividad aplicable.</w:t>
      </w:r>
    </w:p>
    <w:p w14:paraId="1B23F26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 que no se debe ceñir el cambio de modalidad, directamente a consulta directa, sino que los Sujetos Obligados, deben de buscar la posibilidad de proporcionarla en las otras formas que establecen en la Ley, ya sean electrónicas o físicas. </w:t>
      </w:r>
    </w:p>
    <w:p w14:paraId="4D16F5A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Siendo las cosas así, cabe invocar el contenido del Capítulo X de Lineamientos Generales en Materia de Clasificación y Desclasificación de la Información, así como </w:t>
      </w:r>
      <w:r w:rsidRPr="00935C2C">
        <w:rPr>
          <w:rFonts w:ascii="Palatino Linotype" w:eastAsia="Palatino Linotype" w:hAnsi="Palatino Linotype" w:cs="Palatino Linotype"/>
        </w:rPr>
        <w:lastRenderedPageBreak/>
        <w:t>para la Elaboración de Versiones Públicas, respecto a la consulta directa, que reza así:</w:t>
      </w:r>
    </w:p>
    <w:p w14:paraId="04DB66F5" w14:textId="77777777" w:rsidR="00A679F9" w:rsidRPr="00935C2C" w:rsidRDefault="00A326AB">
      <w:pPr>
        <w:spacing w:before="120" w:after="120"/>
        <w:ind w:left="851"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 xml:space="preserve">CAPÍTULO X </w:t>
      </w:r>
    </w:p>
    <w:p w14:paraId="70098391" w14:textId="77777777" w:rsidR="00A679F9" w:rsidRPr="00935C2C" w:rsidRDefault="00A326AB">
      <w:pPr>
        <w:spacing w:before="120" w:after="120"/>
        <w:ind w:left="851"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DE LA CONSULTA DIRECTA </w:t>
      </w:r>
    </w:p>
    <w:p w14:paraId="38094537"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Sexagésimo séptimo</w:t>
      </w:r>
      <w:r w:rsidRPr="00935C2C">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935C2C">
        <w:rPr>
          <w:rFonts w:ascii="Palatino Linotype" w:eastAsia="Palatino Linotype" w:hAnsi="Palatino Linotype" w:cs="Palatino Linotype"/>
          <w:b/>
          <w:i/>
          <w:sz w:val="22"/>
          <w:szCs w:val="22"/>
        </w:rPr>
        <w:t>deberá emitir la resolución en la que funde y motive la clasificación</w:t>
      </w:r>
      <w:r w:rsidRPr="00935C2C">
        <w:rPr>
          <w:rFonts w:ascii="Palatino Linotype" w:eastAsia="Palatino Linotype" w:hAnsi="Palatino Linotype" w:cs="Palatino Linotype"/>
          <w:i/>
          <w:sz w:val="22"/>
          <w:szCs w:val="22"/>
        </w:rPr>
        <w:t xml:space="preserve"> de las partes o secciones que no podrán dejarse a la vista del solicitante. </w:t>
      </w:r>
    </w:p>
    <w:p w14:paraId="56B12C6A"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Sexagésimo octavo</w:t>
      </w:r>
      <w:r w:rsidRPr="00935C2C">
        <w:rPr>
          <w:rFonts w:ascii="Palatino Linotype" w:eastAsia="Palatino Linotype" w:hAnsi="Palatino Linotype" w:cs="Palatino Linotype"/>
          <w:i/>
          <w:sz w:val="22"/>
          <w:szCs w:val="22"/>
        </w:rPr>
        <w:t xml:space="preserve">. En la </w:t>
      </w:r>
      <w:r w:rsidRPr="00935C2C">
        <w:rPr>
          <w:rFonts w:ascii="Palatino Linotype" w:eastAsia="Palatino Linotype" w:hAnsi="Palatino Linotype" w:cs="Palatino Linotype"/>
          <w:b/>
          <w:i/>
          <w:sz w:val="22"/>
          <w:szCs w:val="22"/>
        </w:rPr>
        <w:t>resolución del Comité de Transparencia</w:t>
      </w:r>
      <w:r w:rsidRPr="00935C2C">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6601CBC0"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Sexagésimo noveno</w:t>
      </w:r>
      <w:r w:rsidRPr="00935C2C">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DF27E82"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Septuagésimo</w:t>
      </w:r>
      <w:r w:rsidRPr="00935C2C">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0AEC2170"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FCB81DB"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5D4182ED"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w:t>
      </w:r>
      <w:r w:rsidRPr="00935C2C">
        <w:rPr>
          <w:rFonts w:ascii="Palatino Linotype" w:eastAsia="Palatino Linotype" w:hAnsi="Palatino Linotype" w:cs="Palatino Linotype"/>
          <w:i/>
          <w:sz w:val="22"/>
          <w:szCs w:val="22"/>
        </w:rPr>
        <w:lastRenderedPageBreak/>
        <w:t xml:space="preserve">posible, el domicilio de la Unidad de Transparencia, así como el nombre, cargo y datos de contacto del personal que le permitirá el acceso; </w:t>
      </w:r>
    </w:p>
    <w:p w14:paraId="3548AC2B"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IV.</w:t>
      </w:r>
      <w:r w:rsidRPr="00935C2C">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4001C0F1"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w:t>
      </w:r>
      <w:r w:rsidRPr="00935C2C">
        <w:rPr>
          <w:rFonts w:ascii="Palatino Linotype" w:eastAsia="Palatino Linotype" w:hAnsi="Palatino Linotype" w:cs="Palatino Linotype"/>
          <w:i/>
          <w:sz w:val="22"/>
          <w:szCs w:val="22"/>
        </w:rPr>
        <w:t xml:space="preserve"> Abstenerse de requerir al solicitante que acredite interés alguno; </w:t>
      </w:r>
    </w:p>
    <w:p w14:paraId="1E53B6CB"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w:t>
      </w:r>
      <w:r w:rsidRPr="00935C2C">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C984A0A" w14:textId="77777777" w:rsidR="00A679F9" w:rsidRPr="00935C2C" w:rsidRDefault="00A326AB">
      <w:pPr>
        <w:spacing w:before="120" w:after="120"/>
        <w:ind w:left="1418"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w:t>
      </w:r>
      <w:r w:rsidRPr="00935C2C">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495D0F44" w14:textId="77777777" w:rsidR="00A679F9" w:rsidRPr="00935C2C" w:rsidRDefault="00A326AB">
      <w:pPr>
        <w:spacing w:before="120" w:after="120"/>
        <w:ind w:left="1418"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b)</w:t>
      </w:r>
      <w:r w:rsidRPr="00935C2C">
        <w:rPr>
          <w:rFonts w:ascii="Palatino Linotype" w:eastAsia="Palatino Linotype" w:hAnsi="Palatino Linotype" w:cs="Palatino Linotype"/>
          <w:i/>
          <w:sz w:val="22"/>
          <w:szCs w:val="22"/>
        </w:rPr>
        <w:t xml:space="preserve"> Equipo y personal de vigilancia;</w:t>
      </w:r>
    </w:p>
    <w:p w14:paraId="121F6EEF" w14:textId="77777777" w:rsidR="00A679F9" w:rsidRPr="00935C2C" w:rsidRDefault="00A326AB">
      <w:pPr>
        <w:spacing w:before="120" w:after="120"/>
        <w:ind w:left="1418"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c)</w:t>
      </w:r>
      <w:r w:rsidRPr="00935C2C">
        <w:rPr>
          <w:rFonts w:ascii="Palatino Linotype" w:eastAsia="Palatino Linotype" w:hAnsi="Palatino Linotype" w:cs="Palatino Linotype"/>
          <w:i/>
          <w:sz w:val="22"/>
          <w:szCs w:val="22"/>
        </w:rPr>
        <w:t xml:space="preserve"> Plan de acción contra robo o vandalismo; </w:t>
      </w:r>
    </w:p>
    <w:p w14:paraId="5AEF8863" w14:textId="77777777" w:rsidR="00A679F9" w:rsidRPr="00935C2C" w:rsidRDefault="00A326AB">
      <w:pPr>
        <w:spacing w:before="120" w:after="120"/>
        <w:ind w:left="1418"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d)</w:t>
      </w:r>
      <w:r w:rsidRPr="00935C2C">
        <w:rPr>
          <w:rFonts w:ascii="Palatino Linotype" w:eastAsia="Palatino Linotype" w:hAnsi="Palatino Linotype" w:cs="Palatino Linotype"/>
          <w:i/>
          <w:sz w:val="22"/>
          <w:szCs w:val="22"/>
        </w:rPr>
        <w:t xml:space="preserve"> Extintores de fuego de gas inocuo; </w:t>
      </w:r>
    </w:p>
    <w:p w14:paraId="32501555" w14:textId="77777777" w:rsidR="00A679F9" w:rsidRPr="00935C2C" w:rsidRDefault="00A326AB">
      <w:pPr>
        <w:spacing w:before="120" w:after="120"/>
        <w:ind w:left="1418"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e)</w:t>
      </w:r>
      <w:r w:rsidRPr="00935C2C">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454F2FC7" w14:textId="77777777" w:rsidR="00A679F9" w:rsidRPr="00935C2C" w:rsidRDefault="00A326AB">
      <w:pPr>
        <w:spacing w:before="120" w:after="120"/>
        <w:ind w:left="1418"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f)</w:t>
      </w:r>
      <w:r w:rsidRPr="00935C2C">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09E8AD3A" w14:textId="77777777" w:rsidR="00A679F9" w:rsidRPr="00935C2C" w:rsidRDefault="00A326AB">
      <w:pPr>
        <w:spacing w:before="120" w:after="120"/>
        <w:ind w:left="1418"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g)</w:t>
      </w:r>
      <w:r w:rsidRPr="00935C2C">
        <w:rPr>
          <w:rFonts w:ascii="Palatino Linotype" w:eastAsia="Palatino Linotype" w:hAnsi="Palatino Linotype" w:cs="Palatino Linotype"/>
          <w:i/>
          <w:sz w:val="22"/>
          <w:szCs w:val="22"/>
        </w:rPr>
        <w:t xml:space="preserve"> Las demás que, a criterio de los sujetos obligados, resulten necesarias. </w:t>
      </w:r>
    </w:p>
    <w:p w14:paraId="3E4A4BEF"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VII.</w:t>
      </w:r>
      <w:r w:rsidRPr="00935C2C">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434FDCB3" w14:textId="77777777" w:rsidR="00A679F9" w:rsidRPr="00935C2C" w:rsidRDefault="00A326AB">
      <w:pPr>
        <w:spacing w:before="120" w:after="120"/>
        <w:ind w:left="851"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VIII.</w:t>
      </w:r>
      <w:r w:rsidRPr="00935C2C">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935C2C">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69D2A6CD"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Septuagésimo primero. </w:t>
      </w:r>
      <w:r w:rsidRPr="00935C2C">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155F644"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lastRenderedPageBreak/>
        <w:t xml:space="preserve">El solicitante deberá observar en todo momento las reglas que el sujeto obligado haya hecho de su conocimiento para efectos de la conservación de los documentos. </w:t>
      </w:r>
    </w:p>
    <w:p w14:paraId="69D568D7"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Septuagésimo segundo.</w:t>
      </w:r>
      <w:r w:rsidRPr="00935C2C">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3B23EDA7"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C60E892"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Septuagésimo tercero</w:t>
      </w:r>
      <w:r w:rsidRPr="00935C2C">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CC71F20"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La información deberá ser entregada sin costo, cuando implique la entrega de no más de veinte hojas simples.”</w:t>
      </w:r>
    </w:p>
    <w:p w14:paraId="5E01F2A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consecuencia, toda vez que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no justificó el impedimento para remitir la información solicitada vía SAIMEX, al no haberse acreditado de manera fehaciente la imposibilidad humana, técnica y administrativa, establecida en el artículo 158 de la Ley de Transparencia y Acceso a la Información Pública del Estado de México y Municipios, para validar el cambio de modalidad a consulta directa, en virtud de que no aportó elementos argumentativos que demostraran una imposibilidad técnica y humana para atender la solicitud de información; pues de la misma no se apreció que se trate de una cantidad extraordinaria de información o que se requiera realizar varias versiones públicas o que la información pueda obrar en una gran magnitud de hojas, </w:t>
      </w:r>
      <w:r w:rsidRPr="00935C2C">
        <w:rPr>
          <w:rFonts w:ascii="Palatino Linotype" w:eastAsia="Palatino Linotype" w:hAnsi="Palatino Linotype" w:cs="Palatino Linotype"/>
          <w:b/>
        </w:rPr>
        <w:t>resulta improcedente el cambio de modalidad propuesto por el Sujeto Obligado,</w:t>
      </w:r>
      <w:r w:rsidRPr="00935C2C">
        <w:rPr>
          <w:rFonts w:ascii="Palatino Linotype" w:eastAsia="Palatino Linotype" w:hAnsi="Palatino Linotype" w:cs="Palatino Linotype"/>
        </w:rPr>
        <w:t xml:space="preserve"> y por tanto, se continúa con el análisis de la naturaleza de la información, para determinar su entrega en la modalidad elegida por la persona solicitante. </w:t>
      </w:r>
    </w:p>
    <w:p w14:paraId="0BC6DD5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Bajo esta línea de pensamiento, resulta pertinente mencionar que de conformidad con el artículo 112 de la Ley Orgánica Municipal del Estado de México, la Contraloría Municipal tiene a su cargo las siguientes funciones:</w:t>
      </w:r>
    </w:p>
    <w:p w14:paraId="67252E6F"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112</w:t>
      </w:r>
      <w:r w:rsidRPr="00935C2C">
        <w:rPr>
          <w:rFonts w:ascii="Palatino Linotype" w:eastAsia="Palatino Linotype" w:hAnsi="Palatino Linotype" w:cs="Palatino Linotype"/>
          <w:i/>
          <w:sz w:val="22"/>
          <w:szCs w:val="22"/>
        </w:rPr>
        <w:t xml:space="preserve">. El órgano interno de control municipal, tendrá a su cargo las funciones siguientes: </w:t>
      </w:r>
    </w:p>
    <w:p w14:paraId="18735981" w14:textId="77777777" w:rsidR="00A679F9" w:rsidRPr="00935C2C" w:rsidRDefault="00A326AB">
      <w:pPr>
        <w:spacing w:before="120" w:after="120"/>
        <w:ind w:left="1134"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I. Planear, programar, organizar y coordinar el sistema de control y evaluación municipal; </w:t>
      </w:r>
    </w:p>
    <w:p w14:paraId="1C3D6309"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Fiscalizar el ingreso y ejercicio del gasto público municipal y su congruencia con el presupuesto de egresos; </w:t>
      </w:r>
    </w:p>
    <w:p w14:paraId="7A0D1A72"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Aplicar las normas y criterios en materia de control y evaluación; </w:t>
      </w:r>
    </w:p>
    <w:p w14:paraId="63BC80DF"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IV</w:t>
      </w:r>
      <w:r w:rsidRPr="00935C2C">
        <w:rPr>
          <w:rFonts w:ascii="Palatino Linotype" w:eastAsia="Palatino Linotype" w:hAnsi="Palatino Linotype" w:cs="Palatino Linotype"/>
          <w:i/>
          <w:sz w:val="22"/>
          <w:szCs w:val="22"/>
        </w:rPr>
        <w:t xml:space="preserve">. Asesorar a los órganos de control interno de los organismos auxiliares y fideicomisos de la administración pública municipal; </w:t>
      </w:r>
    </w:p>
    <w:p w14:paraId="51A8D5C9"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w:t>
      </w:r>
      <w:r w:rsidRPr="00935C2C">
        <w:rPr>
          <w:rFonts w:ascii="Palatino Linotype" w:eastAsia="Palatino Linotype" w:hAnsi="Palatino Linotype" w:cs="Palatino Linotype"/>
          <w:i/>
          <w:sz w:val="22"/>
          <w:szCs w:val="22"/>
        </w:rPr>
        <w:t xml:space="preserve"> Establecer las bases generales para la realización de auditorías e inspecciones;}</w:t>
      </w:r>
    </w:p>
    <w:p w14:paraId="551E53A3"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w:t>
      </w:r>
      <w:r w:rsidRPr="00935C2C">
        <w:rPr>
          <w:rFonts w:ascii="Palatino Linotype" w:eastAsia="Palatino Linotype" w:hAnsi="Palatino Linotype" w:cs="Palatino Linotype"/>
          <w:i/>
          <w:sz w:val="22"/>
          <w:szCs w:val="22"/>
        </w:rPr>
        <w:t xml:space="preserve"> Vigilar que los recursos federales y estatales asignados a los ayuntamientos se apliquen en los términos estipulados en las leyes, los reglamentos y los convenios respectivos; </w:t>
      </w:r>
    </w:p>
    <w:p w14:paraId="077B8955"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VII</w:t>
      </w:r>
      <w:r w:rsidRPr="00935C2C">
        <w:rPr>
          <w:rFonts w:ascii="Palatino Linotype" w:eastAsia="Palatino Linotype" w:hAnsi="Palatino Linotype" w:cs="Palatino Linotype"/>
          <w:i/>
          <w:sz w:val="22"/>
          <w:szCs w:val="22"/>
        </w:rPr>
        <w:t xml:space="preserve">. Vigilar el cumplimiento de las obligaciones de proveedores y contratistas de la administración pública municipal; </w:t>
      </w:r>
    </w:p>
    <w:p w14:paraId="295031AF"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VIII</w:t>
      </w:r>
      <w:r w:rsidRPr="00935C2C">
        <w:rPr>
          <w:rFonts w:ascii="Palatino Linotype" w:eastAsia="Palatino Linotype" w:hAnsi="Palatino Linotype" w:cs="Palatino Linotype"/>
          <w:i/>
          <w:sz w:val="22"/>
          <w:szCs w:val="22"/>
        </w:rPr>
        <w:t xml:space="preserve">. Coordinarse con el Órgano Superior de Fiscalización del Estado de México y la Contraloría del Poder Legislativo y con la Secretaría de la Contraloría del Estado para el cumplimiento de sus funciones; </w:t>
      </w:r>
    </w:p>
    <w:p w14:paraId="048EDC12"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IX</w:t>
      </w:r>
      <w:r w:rsidRPr="00935C2C">
        <w:rPr>
          <w:rFonts w:ascii="Palatino Linotype" w:eastAsia="Palatino Linotype" w:hAnsi="Palatino Linotype" w:cs="Palatino Linotype"/>
          <w:i/>
          <w:sz w:val="22"/>
          <w:szCs w:val="22"/>
        </w:rPr>
        <w:t xml:space="preserve">. Designar a los auditores externos y proponer al ayuntamiento, en su caso, a los Comisarios de los Organismos Auxiliares; </w:t>
      </w:r>
    </w:p>
    <w:p w14:paraId="779D5BAD" w14:textId="77777777" w:rsidR="00A679F9" w:rsidRPr="00935C2C" w:rsidRDefault="00A326AB">
      <w:pPr>
        <w:spacing w:before="120" w:after="120"/>
        <w:ind w:left="1134" w:right="902"/>
        <w:jc w:val="both"/>
        <w:rPr>
          <w:rFonts w:ascii="Palatino Linotype" w:eastAsia="Palatino Linotype" w:hAnsi="Palatino Linotype" w:cs="Palatino Linotype"/>
          <w:b/>
          <w:i/>
          <w:sz w:val="22"/>
          <w:szCs w:val="22"/>
        </w:rPr>
      </w:pPr>
      <w:bookmarkStart w:id="8" w:name="_heading=h.26in1rg" w:colFirst="0" w:colLast="0"/>
      <w:bookmarkEnd w:id="8"/>
      <w:r w:rsidRPr="00935C2C">
        <w:rPr>
          <w:rFonts w:ascii="Palatino Linotype" w:eastAsia="Palatino Linotype" w:hAnsi="Palatino Linotype" w:cs="Palatino Linotype"/>
          <w:b/>
          <w:i/>
          <w:sz w:val="22"/>
          <w:szCs w:val="22"/>
        </w:rPr>
        <w:t xml:space="preserve">X. Establecer y operar un sistema de atención de quejas, denuncias y sugerencias; </w:t>
      </w:r>
    </w:p>
    <w:p w14:paraId="6AD30471"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XI.</w:t>
      </w:r>
      <w:r w:rsidRPr="00935C2C">
        <w:rPr>
          <w:rFonts w:ascii="Palatino Linotype" w:eastAsia="Palatino Linotype" w:hAnsi="Palatino Linotype" w:cs="Palatino Linotype"/>
          <w:i/>
          <w:sz w:val="22"/>
          <w:szCs w:val="22"/>
        </w:rPr>
        <w:t xml:space="preserve"> Realizar auditorías y evaluaciones e informar del resultado de las mismas al ayuntamiento; </w:t>
      </w:r>
    </w:p>
    <w:p w14:paraId="3C5E41FC"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XII.</w:t>
      </w:r>
      <w:r w:rsidRPr="00935C2C">
        <w:rPr>
          <w:rFonts w:ascii="Palatino Linotype" w:eastAsia="Palatino Linotype" w:hAnsi="Palatino Linotype" w:cs="Palatino Linotype"/>
          <w:i/>
          <w:sz w:val="22"/>
          <w:szCs w:val="22"/>
        </w:rPr>
        <w:t xml:space="preserve"> Participar en la entrega-recepción de las unidades administrativas de las dependencias, organismos auxiliares y fideicomisos del municipio;</w:t>
      </w:r>
    </w:p>
    <w:p w14:paraId="07163FC9"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lastRenderedPageBreak/>
        <w:t>XIII</w:t>
      </w:r>
      <w:r w:rsidRPr="00935C2C">
        <w:rPr>
          <w:rFonts w:ascii="Palatino Linotype" w:eastAsia="Palatino Linotype" w:hAnsi="Palatino Linotype" w:cs="Palatino Linotype"/>
          <w:i/>
          <w:sz w:val="22"/>
          <w:szCs w:val="22"/>
        </w:rPr>
        <w:t xml:space="preserve">. Dictaminar los estados financieros de la tesorería municipal y verificar que se remitan los informes correspondientes al Órgano Superior de Fiscalización del Estado de México; </w:t>
      </w:r>
    </w:p>
    <w:p w14:paraId="7B99B052"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XIV</w:t>
      </w:r>
      <w:r w:rsidRPr="00935C2C">
        <w:rPr>
          <w:rFonts w:ascii="Palatino Linotype" w:eastAsia="Palatino Linotype" w:hAnsi="Palatino Linotype" w:cs="Palatino Linotype"/>
          <w:i/>
          <w:sz w:val="22"/>
          <w:szCs w:val="22"/>
        </w:rPr>
        <w:t xml:space="preserve">. Vigilar que los ingresos municipales se enteren a la tesorería municipal conforme a los procedimientos contables y disposiciones legales aplicables; </w:t>
      </w:r>
    </w:p>
    <w:p w14:paraId="520E43BB"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XV</w:t>
      </w:r>
      <w:r w:rsidRPr="00935C2C">
        <w:rPr>
          <w:rFonts w:ascii="Palatino Linotype" w:eastAsia="Palatino Linotype" w:hAnsi="Palatino Linotype" w:cs="Palatino Linotype"/>
          <w:i/>
          <w:sz w:val="22"/>
          <w:szCs w:val="22"/>
        </w:rPr>
        <w:t xml:space="preserve">. Participar en la elaboración y actualización del inventario general de los bienes muebles e inmuebles propiedad del municipio, que expresará las características de identificación y destino de los mismos; </w:t>
      </w:r>
    </w:p>
    <w:p w14:paraId="08494636" w14:textId="77777777" w:rsidR="00A679F9" w:rsidRPr="00935C2C" w:rsidRDefault="00A326AB">
      <w:pPr>
        <w:spacing w:before="120" w:after="120"/>
        <w:ind w:left="1134"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XVI. Verificar que los servidores públicos municipales cumplan con la obligación de presentar oportunamente la manifestación de bienes, en términos de la Ley de Responsabilidades de los Servidores Públicos del Estado y Municipios; </w:t>
      </w:r>
    </w:p>
    <w:p w14:paraId="7E1740F5" w14:textId="77777777" w:rsidR="00A679F9" w:rsidRPr="00935C2C" w:rsidRDefault="00A326AB">
      <w:pPr>
        <w:spacing w:before="120" w:after="120"/>
        <w:ind w:left="1134" w:right="90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5D23F1CF"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XVIII.</w:t>
      </w:r>
      <w:r w:rsidRPr="00935C2C">
        <w:rPr>
          <w:rFonts w:ascii="Palatino Linotype" w:eastAsia="Palatino Linotype" w:hAnsi="Palatino Linotype" w:cs="Palatino Linotype"/>
          <w:i/>
          <w:sz w:val="22"/>
          <w:szCs w:val="22"/>
        </w:rPr>
        <w:t xml:space="preserve"> Supervisar el cumplimiento de los acuerdos tomados por el Consejo Municipal de Seguridad Pública; </w:t>
      </w:r>
    </w:p>
    <w:p w14:paraId="47008750"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XIX</w:t>
      </w:r>
      <w:r w:rsidRPr="00935C2C">
        <w:rPr>
          <w:rFonts w:ascii="Palatino Linotype" w:eastAsia="Palatino Linotype" w:hAnsi="Palatino Linotype" w:cs="Palatino Linotype"/>
          <w:i/>
          <w:sz w:val="22"/>
          <w:szCs w:val="22"/>
        </w:rPr>
        <w:t>. Vigilar el cumplimiento de los programas y acciones para la prevención, atención y en su caso, el pago de las responsabilidades económicas de los Ayuntamientos por los conflictos laborales; y</w:t>
      </w:r>
    </w:p>
    <w:p w14:paraId="7A53DE3A"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w:t>
      </w:r>
      <w:r w:rsidRPr="00935C2C">
        <w:rPr>
          <w:rFonts w:ascii="Palatino Linotype" w:eastAsia="Palatino Linotype" w:hAnsi="Palatino Linotype" w:cs="Palatino Linotype"/>
          <w:i/>
          <w:sz w:val="22"/>
          <w:szCs w:val="22"/>
        </w:rPr>
        <w:t xml:space="preserve"> Las demás que le señalen las disposiciones relativas.”</w:t>
      </w:r>
    </w:p>
    <w:p w14:paraId="7E8152EC" w14:textId="77777777" w:rsidR="00A679F9" w:rsidRPr="00935C2C" w:rsidRDefault="00A326AB">
      <w:pPr>
        <w:spacing w:before="240" w:after="240" w:line="360" w:lineRule="auto"/>
        <w:ind w:right="51"/>
        <w:jc w:val="both"/>
        <w:rPr>
          <w:rFonts w:ascii="Palatino Linotype" w:eastAsia="Palatino Linotype" w:hAnsi="Palatino Linotype" w:cs="Palatino Linotype"/>
          <w:i/>
        </w:rPr>
      </w:pPr>
      <w:r w:rsidRPr="00935C2C">
        <w:rPr>
          <w:rFonts w:ascii="Palatino Linotype" w:eastAsia="Palatino Linotype" w:hAnsi="Palatino Linotype" w:cs="Palatino Linotype"/>
        </w:rPr>
        <w:t>Por otro lado, el artículo 3.26 de Código Reglamentario Municipal de Toluca confiere al Titular de la Contraloría las siguientes atribuciones:</w:t>
      </w:r>
    </w:p>
    <w:p w14:paraId="425731AD" w14:textId="77777777" w:rsidR="00A679F9" w:rsidRPr="00935C2C" w:rsidRDefault="00A326AB">
      <w:pPr>
        <w:spacing w:before="120" w:after="120"/>
        <w:ind w:left="851"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3.26</w:t>
      </w:r>
      <w:r w:rsidRPr="00935C2C">
        <w:rPr>
          <w:rFonts w:ascii="Palatino Linotype" w:eastAsia="Palatino Linotype" w:hAnsi="Palatino Linotype" w:cs="Palatino Linotype"/>
          <w:i/>
          <w:sz w:val="22"/>
          <w:szCs w:val="22"/>
        </w:rPr>
        <w:t xml:space="preserve">. La o el titular de la Contraloría tendrá las siguientes atribuciones: </w:t>
      </w:r>
    </w:p>
    <w:p w14:paraId="2619A320"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Aplicar las normas y criterios en materia de control y evaluación;</w:t>
      </w:r>
    </w:p>
    <w:p w14:paraId="4093BDF8"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Fiscalizar que los ingresos que se perciban, sean recaudados y registrados conforme a la normatividad aplicable; </w:t>
      </w:r>
    </w:p>
    <w:p w14:paraId="7EEBA789"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Fiscalizar el ejercicio del gasto público municipal y su congruencia con el presupuesto de egresos, conforme a la normatividad aplicable;</w:t>
      </w:r>
    </w:p>
    <w:p w14:paraId="318727CF"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lastRenderedPageBreak/>
        <w:t>IV</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Planear, programar, ejecutar, organizar y coordinar el sistema de control y evaluación de la administración pública municipal;</w:t>
      </w:r>
    </w:p>
    <w:p w14:paraId="290EFF8D"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 xml:space="preserve">Asesorar </w:t>
      </w:r>
      <w:r w:rsidRPr="00935C2C">
        <w:rPr>
          <w:rFonts w:ascii="Palatino Linotype" w:eastAsia="Palatino Linotype" w:hAnsi="Palatino Linotype" w:cs="Palatino Linotype"/>
          <w:i/>
          <w:sz w:val="22"/>
          <w:szCs w:val="22"/>
        </w:rPr>
        <w:t xml:space="preserve">a las o los titulares de los órganos de control interno de los organismos de la administración pública municipal y </w:t>
      </w:r>
      <w:r w:rsidRPr="00935C2C">
        <w:rPr>
          <w:rFonts w:ascii="Palatino Linotype" w:eastAsia="Palatino Linotype" w:hAnsi="Palatino Linotype" w:cs="Palatino Linotype"/>
          <w:b/>
          <w:i/>
          <w:sz w:val="22"/>
          <w:szCs w:val="22"/>
        </w:rPr>
        <w:t>a las o los servidores públicos municipales en materia de declaraciones de situación patrimonial, de intereses, así como de conductas presuntamente constitutivas de faltas administrativas en las que también pudieran incurrir particulares, por conductas sancionables en términos de la Ley de Responsabilidades Administrativas del Estado de México y Municipios;</w:t>
      </w:r>
      <w:r w:rsidRPr="00935C2C">
        <w:rPr>
          <w:rFonts w:ascii="Palatino Linotype" w:eastAsia="Palatino Linotype" w:hAnsi="Palatino Linotype" w:cs="Palatino Linotype"/>
          <w:i/>
          <w:sz w:val="22"/>
          <w:szCs w:val="22"/>
        </w:rPr>
        <w:t xml:space="preserve"> </w:t>
      </w:r>
    </w:p>
    <w:p w14:paraId="3F6E8569"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VI. Establecer las bases generales para la realización de acciones de control y evaluación; </w:t>
      </w:r>
    </w:p>
    <w:p w14:paraId="0E00E809"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VII. Revisar, y en su caso, fiscalizar el ingreso, egreso, manejo, custodia y aplicación de los recursos federales, estatales y municipales asignados al Ayuntamiento, conforme a la normatividad aplicable; </w:t>
      </w:r>
    </w:p>
    <w:p w14:paraId="53D26168"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VIII. Vigilar en el ámbito de sus atribuciones, el cumplimiento de las obligaciones de proveedores, prestadores de servicios y contratistas, adquiridas con la administración pública municipal;</w:t>
      </w:r>
    </w:p>
    <w:p w14:paraId="48EFBF34"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IX. </w:t>
      </w:r>
      <w:r w:rsidRPr="00935C2C">
        <w:rPr>
          <w:rFonts w:ascii="Palatino Linotype" w:eastAsia="Palatino Linotype" w:hAnsi="Palatino Linotype" w:cs="Palatino Linotype"/>
          <w:i/>
          <w:sz w:val="22"/>
          <w:szCs w:val="22"/>
        </w:rPr>
        <w:t xml:space="preserve">Coordinarse con el Órgano Superior de Fiscalización del Estado de México, la Contraloría del Poder Legislativo y con la Secretaría de la Contraloría del Gobierno del Estado de México para el cumplimiento de sus funciones; </w:t>
      </w:r>
    </w:p>
    <w:p w14:paraId="3087015D"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w:t>
      </w:r>
      <w:r w:rsidRPr="00935C2C">
        <w:rPr>
          <w:rFonts w:ascii="Palatino Linotype" w:eastAsia="Palatino Linotype" w:hAnsi="Palatino Linotype" w:cs="Palatino Linotype"/>
          <w:i/>
          <w:sz w:val="22"/>
          <w:szCs w:val="22"/>
        </w:rPr>
        <w:t xml:space="preserve">. Designar a las o los auditores externos y proponer al Ayuntamiento, en su caso, a las o los comisarios de los organismos auxiliares de la administración pública municipal; </w:t>
      </w:r>
    </w:p>
    <w:p w14:paraId="464C0D99"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bookmarkStart w:id="9" w:name="_heading=h.lnxbz9" w:colFirst="0" w:colLast="0"/>
      <w:bookmarkEnd w:id="9"/>
      <w:r w:rsidRPr="00935C2C">
        <w:rPr>
          <w:rFonts w:ascii="Palatino Linotype" w:eastAsia="Palatino Linotype" w:hAnsi="Palatino Linotype" w:cs="Palatino Linotype"/>
          <w:b/>
          <w:i/>
          <w:sz w:val="22"/>
          <w:szCs w:val="22"/>
        </w:rPr>
        <w:t xml:space="preserve">XI. Operar el </w:t>
      </w:r>
      <w:r w:rsidRPr="00935C2C">
        <w:rPr>
          <w:rFonts w:ascii="Palatino Linotype" w:eastAsia="Palatino Linotype" w:hAnsi="Palatino Linotype" w:cs="Palatino Linotype"/>
          <w:b/>
          <w:i/>
          <w:sz w:val="22"/>
          <w:szCs w:val="22"/>
          <w:u w:val="single"/>
        </w:rPr>
        <w:t>Sistema de Atención Mexiquense</w:t>
      </w:r>
      <w:r w:rsidRPr="00935C2C">
        <w:rPr>
          <w:rFonts w:ascii="Palatino Linotype" w:eastAsia="Palatino Linotype" w:hAnsi="Palatino Linotype" w:cs="Palatino Linotype"/>
          <w:b/>
          <w:i/>
          <w:sz w:val="22"/>
          <w:szCs w:val="22"/>
        </w:rPr>
        <w:t xml:space="preserve"> que administra la Secretaría de la Contraloría del Gobierno del Estado de México; así como, </w:t>
      </w:r>
      <w:r w:rsidRPr="00935C2C">
        <w:rPr>
          <w:rFonts w:ascii="Palatino Linotype" w:eastAsia="Palatino Linotype" w:hAnsi="Palatino Linotype" w:cs="Palatino Linotype"/>
          <w:b/>
          <w:i/>
          <w:sz w:val="22"/>
          <w:szCs w:val="22"/>
          <w:u w:val="single"/>
        </w:rPr>
        <w:t>recibir denuncias por hechos presuntamente constitutivos de faltas administrativas de las o los servidores públicos municipales</w:t>
      </w:r>
      <w:r w:rsidRPr="00935C2C">
        <w:rPr>
          <w:rFonts w:ascii="Palatino Linotype" w:eastAsia="Palatino Linotype" w:hAnsi="Palatino Linotype" w:cs="Palatino Linotype"/>
          <w:b/>
          <w:i/>
          <w:sz w:val="22"/>
          <w:szCs w:val="22"/>
        </w:rPr>
        <w:t xml:space="preserve"> o de particulares por conductas sancionables en términos de la Ley de Responsabilidades Administrativas del Estado de México y Municipios, y en su caso turnar a la autoridad investigadora competente; </w:t>
      </w:r>
    </w:p>
    <w:p w14:paraId="6EB284FD"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XII</w:t>
      </w:r>
      <w:r w:rsidRPr="00935C2C">
        <w:rPr>
          <w:rFonts w:ascii="Palatino Linotype" w:eastAsia="Palatino Linotype" w:hAnsi="Palatino Linotype" w:cs="Palatino Linotype"/>
          <w:i/>
          <w:sz w:val="22"/>
          <w:szCs w:val="22"/>
        </w:rPr>
        <w:t xml:space="preserve">. Realizar auditorías y evaluaciones e informar del resultado de las mismas al Ayuntamiento; </w:t>
      </w:r>
    </w:p>
    <w:p w14:paraId="51A4D904"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lastRenderedPageBreak/>
        <w:t>XIII.</w:t>
      </w:r>
      <w:r w:rsidRPr="00935C2C">
        <w:rPr>
          <w:rFonts w:ascii="Palatino Linotype" w:eastAsia="Palatino Linotype" w:hAnsi="Palatino Linotype" w:cs="Palatino Linotype"/>
          <w:i/>
          <w:sz w:val="22"/>
          <w:szCs w:val="22"/>
        </w:rPr>
        <w:t xml:space="preserve"> Participar en la entrega-recepción de las unidades administrativas de las dependencias, organismos auxiliares y fideicomisos del municipio; </w:t>
      </w:r>
    </w:p>
    <w:p w14:paraId="3C265914"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XIV</w:t>
      </w:r>
      <w:r w:rsidRPr="00935C2C">
        <w:rPr>
          <w:rFonts w:ascii="Palatino Linotype" w:eastAsia="Palatino Linotype" w:hAnsi="Palatino Linotype" w:cs="Palatino Linotype"/>
          <w:i/>
          <w:sz w:val="22"/>
          <w:szCs w:val="22"/>
        </w:rPr>
        <w:t xml:space="preserve">. Dictaminar los estados financieros del municipio, a través de la o el auditor externo designado; </w:t>
      </w:r>
    </w:p>
    <w:p w14:paraId="263419F3"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XV</w:t>
      </w:r>
      <w:r w:rsidRPr="00935C2C">
        <w:rPr>
          <w:rFonts w:ascii="Palatino Linotype" w:eastAsia="Palatino Linotype" w:hAnsi="Palatino Linotype" w:cs="Palatino Linotype"/>
          <w:i/>
          <w:sz w:val="22"/>
          <w:szCs w:val="22"/>
        </w:rPr>
        <w:t xml:space="preserve">. Verificar que se remitan los informes correspondientes al Órgano Superior de Fiscalización del Estado de México; </w:t>
      </w:r>
    </w:p>
    <w:p w14:paraId="37D45645"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XVI</w:t>
      </w:r>
      <w:r w:rsidRPr="00935C2C">
        <w:rPr>
          <w:rFonts w:ascii="Palatino Linotype" w:eastAsia="Palatino Linotype" w:hAnsi="Palatino Linotype" w:cs="Palatino Linotype"/>
          <w:i/>
          <w:sz w:val="22"/>
          <w:szCs w:val="22"/>
        </w:rPr>
        <w:t>. Vigilar que los ingresos municipales se enteren a la Tesorería Municipal, conforme a la normatividad aplicable;</w:t>
      </w:r>
    </w:p>
    <w:p w14:paraId="67FE6A7C"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XVI</w:t>
      </w:r>
      <w:r w:rsidRPr="00935C2C">
        <w:rPr>
          <w:rFonts w:ascii="Palatino Linotype" w:eastAsia="Palatino Linotype" w:hAnsi="Palatino Linotype" w:cs="Palatino Linotype"/>
          <w:i/>
          <w:sz w:val="22"/>
          <w:szCs w:val="22"/>
        </w:rPr>
        <w:t xml:space="preserve">I. Participar en la elaboración y actualización del inventario general de los bienes muebles e inmuebles propiedad del municipio; </w:t>
      </w:r>
    </w:p>
    <w:p w14:paraId="2647F396"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XVIII.</w:t>
      </w:r>
      <w:r w:rsidRPr="00935C2C">
        <w:rPr>
          <w:rFonts w:ascii="Palatino Linotype" w:eastAsia="Palatino Linotype" w:hAnsi="Palatino Linotype" w:cs="Palatino Linotype"/>
          <w:i/>
          <w:sz w:val="22"/>
          <w:szCs w:val="22"/>
        </w:rPr>
        <w:t xml:space="preserve"> Participar en el Comité de bienes muebles e inmuebles del Municipio de Toluca;</w:t>
      </w:r>
    </w:p>
    <w:p w14:paraId="3158817B"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bookmarkStart w:id="10" w:name="_heading=h.35nkun2" w:colFirst="0" w:colLast="0"/>
      <w:bookmarkEnd w:id="10"/>
      <w:r w:rsidRPr="00935C2C">
        <w:rPr>
          <w:rFonts w:ascii="Palatino Linotype" w:eastAsia="Palatino Linotype" w:hAnsi="Palatino Linotype" w:cs="Palatino Linotype"/>
          <w:b/>
          <w:i/>
          <w:sz w:val="22"/>
          <w:szCs w:val="22"/>
        </w:rPr>
        <w:t>XIX.</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 xml:space="preserve">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2B6C2A2B"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 </w:t>
      </w:r>
    </w:p>
    <w:p w14:paraId="6F9A8F55"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XXI. Practicar de oficio o a solicitud de parte, las investigaciones sobre el incumplimiento de las obligaciones de las o los servidores públicos municipales, en términos de la Ley de Responsabilidades Administrativas del Estado de México y Municipios; </w:t>
      </w:r>
    </w:p>
    <w:p w14:paraId="1779964F"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XXII.</w:t>
      </w:r>
      <w:r w:rsidRPr="00935C2C">
        <w:rPr>
          <w:rFonts w:ascii="Palatino Linotype" w:eastAsia="Palatino Linotype" w:hAnsi="Palatino Linotype" w:cs="Palatino Linotype"/>
          <w:i/>
          <w:sz w:val="22"/>
          <w:szCs w:val="22"/>
        </w:rPr>
        <w:t xml:space="preserve"> Conocer, investigar, y emitir el dictamen de procedencia o de no remoción de las autoridades auxiliares, para ser turnado al Ayuntamiento, a efecto de que sus integrantes, previa garantía de audiencia determinen la remoción o no de las autoridades auxiliares, en términos de lo dispuesto en el artículo 62 de la Ley Orgánica Municipal del Estado de México y demás disposiciones jurídicas aplicables; </w:t>
      </w:r>
    </w:p>
    <w:p w14:paraId="2E8813DD"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lastRenderedPageBreak/>
        <w:t>XXIII.</w:t>
      </w:r>
      <w:r w:rsidRPr="00935C2C">
        <w:rPr>
          <w:rFonts w:ascii="Palatino Linotype" w:eastAsia="Palatino Linotype" w:hAnsi="Palatino Linotype" w:cs="Palatino Linotype"/>
          <w:i/>
          <w:sz w:val="22"/>
          <w:szCs w:val="22"/>
        </w:rPr>
        <w:t xml:space="preserve"> Valorar las recomendaciones que haga el Comité Coordinador Municipal a las unidades administrativas, y adoptar las medidas necesarias para el fortalecimiento institucional en su desempeño y control interno; </w:t>
      </w:r>
    </w:p>
    <w:p w14:paraId="356EE3D8"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XXIV.</w:t>
      </w:r>
      <w:r w:rsidRPr="00935C2C">
        <w:rPr>
          <w:rFonts w:ascii="Palatino Linotype" w:eastAsia="Palatino Linotype" w:hAnsi="Palatino Linotype" w:cs="Palatino Linotype"/>
          <w:i/>
          <w:sz w:val="22"/>
          <w:szCs w:val="22"/>
        </w:rPr>
        <w:t xml:space="preserve"> Implementar los mecanismos internos que prevengan actos u omisiones que pudieran constituir faltas administrativas, en los términos establecidos por el Sistema Estatal Anticorrupción y la Ley de Responsabilidades Administrativas del Estado de México y Municipios y evaluar anualmente sus resultados; </w:t>
      </w:r>
    </w:p>
    <w:p w14:paraId="7A27B825"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XXV.</w:t>
      </w:r>
      <w:r w:rsidRPr="00935C2C">
        <w:rPr>
          <w:rFonts w:ascii="Palatino Linotype" w:eastAsia="Palatino Linotype" w:hAnsi="Palatino Linotype" w:cs="Palatino Linotype"/>
          <w:i/>
          <w:sz w:val="22"/>
          <w:szCs w:val="22"/>
        </w:rPr>
        <w:t xml:space="preserve"> Instrumentar la investigación de las inconformidades que se interpongan con motivo de las licitaciones públicas, adjudicaciones directas e invitaciones restringidas convocadas por el municipio de Toluca, cuando se lleven a cabo con recursos municipales en términos de las disposiciones jurídicas aplicables; </w:t>
      </w:r>
    </w:p>
    <w:p w14:paraId="60D06C1C"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XXVI.</w:t>
      </w:r>
      <w:r w:rsidRPr="00935C2C">
        <w:rPr>
          <w:rFonts w:ascii="Palatino Linotype" w:eastAsia="Palatino Linotype" w:hAnsi="Palatino Linotype" w:cs="Palatino Linotype"/>
          <w:i/>
          <w:sz w:val="22"/>
          <w:szCs w:val="22"/>
        </w:rPr>
        <w:t xml:space="preserve"> Realizar las acciones de control y evaluación que se consideren necesarias para verificar el cumplimiento de la normatividad; </w:t>
      </w:r>
    </w:p>
    <w:p w14:paraId="36D05400"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XXVII.</w:t>
      </w:r>
      <w:r w:rsidRPr="00935C2C">
        <w:rPr>
          <w:rFonts w:ascii="Palatino Linotype" w:eastAsia="Palatino Linotype" w:hAnsi="Palatino Linotype" w:cs="Palatino Linotype"/>
          <w:i/>
          <w:sz w:val="22"/>
          <w:szCs w:val="22"/>
        </w:rPr>
        <w:t xml:space="preserve"> Programar, ordenar y realizar auditorías y revisiones de control interno a las unidades administrativas del municipio de Toluca y dar seguimiento a la atención de las recomendaciones, acciones de mejora y, en su caso, las determinadas por otras instancias de fiscalización; </w:t>
      </w:r>
    </w:p>
    <w:p w14:paraId="71335811"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XXVIII</w:t>
      </w:r>
      <w:r w:rsidRPr="00935C2C">
        <w:rPr>
          <w:rFonts w:ascii="Palatino Linotype" w:eastAsia="Palatino Linotype" w:hAnsi="Palatino Linotype" w:cs="Palatino Linotype"/>
          <w:i/>
          <w:sz w:val="22"/>
          <w:szCs w:val="22"/>
        </w:rPr>
        <w:t xml:space="preserve">. Recibir y dar seguimiento a las sugerencias y reconocimientos que sean turnados a través del Sistema de Atención Mexiquense, en términos de las disposiciones aplicables; </w:t>
      </w:r>
    </w:p>
    <w:p w14:paraId="59C67CBC"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XXIX. Recibir las denuncias por declaraciones de situación patrimonial que contengan posibles conflictos de intereses de las y los servidores públicos del municipio de Toluca, y turnar a la autoridad competente para la práctica de las investigaciones correspondientes que permitan identificar la existencia o no de presuntas infracciones; </w:t>
      </w:r>
    </w:p>
    <w:p w14:paraId="2EAC1C2D"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XXX. Determinar la abstención de iniciar el procedimiento de responsabilidad administrativa, o de imponer sanciones a las o los servidores públicos municipales, cuando se acredite que no existió daño ni perjuicio a la Hacienda Pública Estatal o Municipal o al patrimonio de los entes públicos, así como en los supuestos que determina la Ley de Responsabilidades Administrativas del Estado de México y Municipios; </w:t>
      </w:r>
    </w:p>
    <w:p w14:paraId="1BC1C90F"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XXXI.</w:t>
      </w:r>
      <w:r w:rsidRPr="00935C2C">
        <w:rPr>
          <w:rFonts w:ascii="Palatino Linotype" w:eastAsia="Palatino Linotype" w:hAnsi="Palatino Linotype" w:cs="Palatino Linotype"/>
          <w:i/>
          <w:sz w:val="22"/>
          <w:szCs w:val="22"/>
        </w:rPr>
        <w:t xml:space="preserve"> Presentar denuncias por hechos que las leyes señalen como delitos ante la Fiscalía General o, en su caso, instar a la Consejería Jurídica del </w:t>
      </w:r>
      <w:r w:rsidRPr="00935C2C">
        <w:rPr>
          <w:rFonts w:ascii="Palatino Linotype" w:eastAsia="Palatino Linotype" w:hAnsi="Palatino Linotype" w:cs="Palatino Linotype"/>
          <w:i/>
          <w:sz w:val="22"/>
          <w:szCs w:val="22"/>
        </w:rPr>
        <w:lastRenderedPageBreak/>
        <w:t xml:space="preserve">Ayuntamiento, a que formule las querellas respectivas en el supuesto de detectar conductas que puedan ser constitutivas de delitos; </w:t>
      </w:r>
    </w:p>
    <w:p w14:paraId="744B0EB3"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XXXII</w:t>
      </w:r>
      <w:r w:rsidRPr="00935C2C">
        <w:rPr>
          <w:rFonts w:ascii="Palatino Linotype" w:eastAsia="Palatino Linotype" w:hAnsi="Palatino Linotype" w:cs="Palatino Linotype"/>
          <w:i/>
          <w:sz w:val="22"/>
          <w:szCs w:val="22"/>
        </w:rPr>
        <w:t xml:space="preserve">. Verificar el cumplimiento y evaluar los resultados de los programas y proyectos especiales en que participen las unidades administrativas del municipio de Toluca; </w:t>
      </w:r>
    </w:p>
    <w:p w14:paraId="7E7FE973" w14:textId="77777777" w:rsidR="00A679F9" w:rsidRPr="00935C2C" w:rsidRDefault="00A326AB">
      <w:pPr>
        <w:spacing w:before="120" w:after="120"/>
        <w:ind w:left="1134"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XXXIII.</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Remitir a la autoridad competente los recursos de revocación y reclamación que interpongan las y los servidores públicos del municipio de Toluca,</w:t>
      </w:r>
      <w:r w:rsidRPr="00935C2C">
        <w:rPr>
          <w:rFonts w:ascii="Palatino Linotype" w:eastAsia="Palatino Linotype" w:hAnsi="Palatino Linotype" w:cs="Palatino Linotype"/>
          <w:i/>
          <w:sz w:val="22"/>
          <w:szCs w:val="22"/>
        </w:rPr>
        <w:t xml:space="preserve"> así como las y los particulares que sean parte en el proceso administrativo</w:t>
      </w:r>
      <w:r w:rsidRPr="00935C2C">
        <w:rPr>
          <w:rFonts w:ascii="Palatino Linotype" w:eastAsia="Palatino Linotype" w:hAnsi="Palatino Linotype" w:cs="Palatino Linotype"/>
          <w:b/>
          <w:i/>
          <w:sz w:val="22"/>
          <w:szCs w:val="22"/>
        </w:rPr>
        <w:t xml:space="preserve">, respecto de las resoluciones por las que se les impongan sanciones administrativas, y dar seguimiento al cumplimiento de las resoluciones dictadas por los órganos jurisdiccionales; </w:t>
      </w:r>
    </w:p>
    <w:p w14:paraId="0C2BEDDF"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XXXIV.</w:t>
      </w:r>
      <w:r w:rsidRPr="00935C2C">
        <w:rPr>
          <w:rFonts w:ascii="Palatino Linotype" w:eastAsia="Palatino Linotype" w:hAnsi="Palatino Linotype" w:cs="Palatino Linotype"/>
          <w:i/>
          <w:sz w:val="22"/>
          <w:szCs w:val="22"/>
        </w:rPr>
        <w:t xml:space="preserve"> Supervisar la ejecución de los procedimientos de contratación pública por parte de las y los contratantes, para garantizar que se lleve a cabo en los términos de las disposiciones en la materia, ordenando las verificaciones procedentes; </w:t>
      </w:r>
    </w:p>
    <w:p w14:paraId="0C5138B1"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XXXV.</w:t>
      </w:r>
      <w:r w:rsidRPr="00935C2C">
        <w:rPr>
          <w:rFonts w:ascii="Palatino Linotype" w:eastAsia="Palatino Linotype" w:hAnsi="Palatino Linotype" w:cs="Palatino Linotype"/>
          <w:i/>
          <w:sz w:val="22"/>
          <w:szCs w:val="22"/>
        </w:rPr>
        <w:t xml:space="preserve"> Requerir a las unidades administrativas del municipio de Toluca, información y documentación para cumplir con sus atribuciones, así como brindar la asesoría que le requieran en el ámbito de su competencia; </w:t>
      </w:r>
    </w:p>
    <w:p w14:paraId="22F88604"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XXXVI.</w:t>
      </w:r>
      <w:r w:rsidRPr="00935C2C">
        <w:rPr>
          <w:rFonts w:ascii="Palatino Linotype" w:eastAsia="Palatino Linotype" w:hAnsi="Palatino Linotype" w:cs="Palatino Linotype"/>
          <w:i/>
          <w:sz w:val="22"/>
          <w:szCs w:val="22"/>
        </w:rPr>
        <w:t xml:space="preserve"> Derogada; </w:t>
      </w:r>
    </w:p>
    <w:p w14:paraId="333A0545"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XXXVII</w:t>
      </w:r>
      <w:r w:rsidRPr="00935C2C">
        <w:rPr>
          <w:rFonts w:ascii="Palatino Linotype" w:eastAsia="Palatino Linotype" w:hAnsi="Palatino Linotype" w:cs="Palatino Linotype"/>
          <w:i/>
          <w:sz w:val="22"/>
          <w:szCs w:val="22"/>
        </w:rPr>
        <w:t xml:space="preserve">. Expedir copias certificadas de la documentación que se encuentre en sus archivos, así como a la que tenga acceso con motivo de las investigaciones que practique; </w:t>
      </w:r>
    </w:p>
    <w:p w14:paraId="53E8FC49"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XXXVII</w:t>
      </w:r>
      <w:r w:rsidRPr="00935C2C">
        <w:rPr>
          <w:rFonts w:ascii="Palatino Linotype" w:eastAsia="Palatino Linotype" w:hAnsi="Palatino Linotype" w:cs="Palatino Linotype"/>
          <w:i/>
          <w:sz w:val="22"/>
          <w:szCs w:val="22"/>
        </w:rPr>
        <w:t xml:space="preserve">I. Coordinar y supervisar la verificación de la evolución del patrimonio de las y los servidores públicos que se le turnen, conforme al procedimiento de investigación a que se refiere la Ley de Responsabilidades Administrativas del Estado de México y Municipios; </w:t>
      </w:r>
    </w:p>
    <w:p w14:paraId="2C235CA7"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bookmarkStart w:id="11" w:name="_heading=h.1ksv4uv" w:colFirst="0" w:colLast="0"/>
      <w:bookmarkEnd w:id="11"/>
      <w:r w:rsidRPr="00935C2C">
        <w:rPr>
          <w:rFonts w:ascii="Palatino Linotype" w:eastAsia="Palatino Linotype" w:hAnsi="Palatino Linotype" w:cs="Palatino Linotype"/>
          <w:b/>
          <w:i/>
          <w:sz w:val="22"/>
          <w:szCs w:val="22"/>
        </w:rPr>
        <w:t>XXXIX</w:t>
      </w:r>
      <w:r w:rsidRPr="00935C2C">
        <w:rPr>
          <w:rFonts w:ascii="Palatino Linotype" w:eastAsia="Palatino Linotype" w:hAnsi="Palatino Linotype" w:cs="Palatino Linotype"/>
          <w:i/>
          <w:sz w:val="22"/>
          <w:szCs w:val="22"/>
          <w:u w:val="single"/>
        </w:rPr>
        <w:t xml:space="preserve">. </w:t>
      </w:r>
      <w:r w:rsidRPr="00935C2C">
        <w:rPr>
          <w:rFonts w:ascii="Palatino Linotype" w:eastAsia="Palatino Linotype" w:hAnsi="Palatino Linotype" w:cs="Palatino Linotype"/>
          <w:b/>
          <w:i/>
          <w:sz w:val="22"/>
          <w:szCs w:val="22"/>
          <w:u w:val="single"/>
        </w:rPr>
        <w:t>Coordinar, vigilar, supervisar el cumplimiento y controlar la recepción, registro y resguardo de las declaraciones de situación patrimonial</w:t>
      </w:r>
      <w:r w:rsidRPr="00935C2C">
        <w:rPr>
          <w:rFonts w:ascii="Palatino Linotype" w:eastAsia="Palatino Linotype" w:hAnsi="Palatino Linotype" w:cs="Palatino Linotype"/>
          <w:b/>
          <w:i/>
          <w:sz w:val="22"/>
          <w:szCs w:val="22"/>
        </w:rPr>
        <w:t xml:space="preserve"> y de intereses </w:t>
      </w:r>
      <w:r w:rsidRPr="00935C2C">
        <w:rPr>
          <w:rFonts w:ascii="Palatino Linotype" w:eastAsia="Palatino Linotype" w:hAnsi="Palatino Linotype" w:cs="Palatino Linotype"/>
          <w:b/>
          <w:i/>
          <w:sz w:val="22"/>
          <w:szCs w:val="22"/>
          <w:u w:val="single"/>
        </w:rPr>
        <w:t>de las y los servidores públicos</w:t>
      </w:r>
      <w:r w:rsidRPr="00935C2C">
        <w:rPr>
          <w:rFonts w:ascii="Palatino Linotype" w:eastAsia="Palatino Linotype" w:hAnsi="Palatino Linotype" w:cs="Palatino Linotype"/>
          <w:b/>
          <w:i/>
          <w:sz w:val="22"/>
          <w:szCs w:val="22"/>
        </w:rPr>
        <w:t>, para suministrar la información a la Plataforma Digital Estatal del Sistema Nacional Anticorrupción</w:t>
      </w:r>
      <w:r w:rsidRPr="00935C2C">
        <w:rPr>
          <w:rFonts w:ascii="Palatino Linotype" w:eastAsia="Palatino Linotype" w:hAnsi="Palatino Linotype" w:cs="Palatino Linotype"/>
          <w:i/>
          <w:sz w:val="22"/>
          <w:szCs w:val="22"/>
        </w:rPr>
        <w:t xml:space="preserve">; </w:t>
      </w:r>
    </w:p>
    <w:p w14:paraId="63A64E3A"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XL. </w:t>
      </w:r>
      <w:r w:rsidRPr="00935C2C">
        <w:rPr>
          <w:rFonts w:ascii="Palatino Linotype" w:eastAsia="Palatino Linotype" w:hAnsi="Palatino Linotype" w:cs="Palatino Linotype"/>
          <w:b/>
          <w:i/>
          <w:sz w:val="22"/>
          <w:szCs w:val="22"/>
          <w:u w:val="single"/>
        </w:rPr>
        <w:t>Ordenar las acciones necesarias para la integración del padrón de las o los servidores públicos a presentar declaraciones de situación patrimonial</w:t>
      </w:r>
      <w:r w:rsidRPr="00935C2C">
        <w:rPr>
          <w:rFonts w:ascii="Palatino Linotype" w:eastAsia="Palatino Linotype" w:hAnsi="Palatino Linotype" w:cs="Palatino Linotype"/>
          <w:b/>
          <w:i/>
          <w:sz w:val="22"/>
          <w:szCs w:val="22"/>
        </w:rPr>
        <w:t xml:space="preserve"> y de intereses, conforme a las disposiciones jurídicas aplicables</w:t>
      </w:r>
      <w:r w:rsidRPr="00935C2C">
        <w:rPr>
          <w:rFonts w:ascii="Palatino Linotype" w:eastAsia="Palatino Linotype" w:hAnsi="Palatino Linotype" w:cs="Palatino Linotype"/>
          <w:i/>
          <w:sz w:val="22"/>
          <w:szCs w:val="22"/>
        </w:rPr>
        <w:t xml:space="preserve">; </w:t>
      </w:r>
    </w:p>
    <w:p w14:paraId="7E1405EC"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lastRenderedPageBreak/>
        <w:t>XLI.</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Coordinar la recepción, a través de los medios electrónicos que para tal efecto se establezcan, de las sanciones impuestas por las autoridades competentes a las y los servidores públicos y las y los particulares, de conformidad con la Ley de Responsabilidades Administrativas del Estado de México y Municipios, y llevar el registro de las mismas para suministrar la información a la Plataforma Digital del Sistema Estatal Anticorrupción</w:t>
      </w:r>
      <w:r w:rsidRPr="00935C2C">
        <w:rPr>
          <w:rFonts w:ascii="Palatino Linotype" w:eastAsia="Palatino Linotype" w:hAnsi="Palatino Linotype" w:cs="Palatino Linotype"/>
          <w:i/>
          <w:sz w:val="22"/>
          <w:szCs w:val="22"/>
        </w:rPr>
        <w:t>;</w:t>
      </w:r>
    </w:p>
    <w:p w14:paraId="61341C6D"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XLII.</w:t>
      </w:r>
      <w:r w:rsidRPr="00935C2C">
        <w:rPr>
          <w:rFonts w:ascii="Palatino Linotype" w:eastAsia="Palatino Linotype" w:hAnsi="Palatino Linotype" w:cs="Palatino Linotype"/>
          <w:i/>
          <w:sz w:val="22"/>
          <w:szCs w:val="22"/>
        </w:rPr>
        <w:t xml:space="preserve"> Verificar el cumplimiento de las bases y convenios de coordinación celebrados con otras autoridades competentes, en materia de declaraciones de situación patrimonial y de intereses; </w:t>
      </w:r>
    </w:p>
    <w:p w14:paraId="27337ECE"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XLIII.</w:t>
      </w:r>
      <w:r w:rsidRPr="00935C2C">
        <w:rPr>
          <w:rFonts w:ascii="Palatino Linotype" w:eastAsia="Palatino Linotype" w:hAnsi="Palatino Linotype" w:cs="Palatino Linotype"/>
          <w:i/>
          <w:sz w:val="22"/>
          <w:szCs w:val="22"/>
        </w:rPr>
        <w:t xml:space="preserve"> Derogada;</w:t>
      </w:r>
    </w:p>
    <w:p w14:paraId="7D946C50"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bookmarkStart w:id="12" w:name="_heading=h.44sinio" w:colFirst="0" w:colLast="0"/>
      <w:bookmarkEnd w:id="12"/>
      <w:r w:rsidRPr="00935C2C">
        <w:rPr>
          <w:rFonts w:ascii="Palatino Linotype" w:eastAsia="Palatino Linotype" w:hAnsi="Palatino Linotype" w:cs="Palatino Linotype"/>
          <w:b/>
          <w:i/>
          <w:sz w:val="22"/>
          <w:szCs w:val="22"/>
        </w:rPr>
        <w:t>XLIV.</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Garantizar la operación del Programa de Contraloría Social, a través de la promoción de la participación ciudadana en la supervisión y fiscalización de los recursos públicos federales, estatales y/o municipales, destinados a la ejecución de obras y/o acciones dentro del municipio de Toluca</w:t>
      </w:r>
      <w:r w:rsidRPr="00935C2C">
        <w:rPr>
          <w:rFonts w:ascii="Palatino Linotype" w:eastAsia="Palatino Linotype" w:hAnsi="Palatino Linotype" w:cs="Palatino Linotype"/>
          <w:i/>
          <w:sz w:val="22"/>
          <w:szCs w:val="22"/>
        </w:rPr>
        <w:t xml:space="preserve">; y </w:t>
      </w:r>
    </w:p>
    <w:p w14:paraId="420C4434" w14:textId="77777777" w:rsidR="00A679F9" w:rsidRPr="00935C2C" w:rsidRDefault="00A326AB">
      <w:pPr>
        <w:spacing w:before="120" w:after="120"/>
        <w:ind w:left="1134"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XLV.</w:t>
      </w:r>
      <w:r w:rsidRPr="00935C2C">
        <w:rPr>
          <w:rFonts w:ascii="Palatino Linotype" w:eastAsia="Palatino Linotype" w:hAnsi="Palatino Linotype" w:cs="Palatino Linotype"/>
          <w:i/>
          <w:sz w:val="22"/>
          <w:szCs w:val="22"/>
        </w:rPr>
        <w:t xml:space="preserve"> Las demás que le confieran otros ordenamientos jurídicos, el H. Ayuntamiento y el presidente municipal.”</w:t>
      </w:r>
    </w:p>
    <w:p w14:paraId="6BA1649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los preceptos citados se advierte la competencia de la Contraloría Municipal para generar, administrar o poseer la información que es tema hoy de estudio, pues está facultada para aplicar las normas y criterios en materia de control y evaluación; establecer y operar un sistema de atención de quejas, denuncias y sugerencias; 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iniciar la investigación, substanciación y remitir al Tribunal de Justicia Administrativa, los autos originales del expediente para la continuación del procedimiento y su resolución por dicho órgano; cuando se trate de faltas </w:t>
      </w:r>
      <w:r w:rsidRPr="00935C2C">
        <w:rPr>
          <w:rFonts w:ascii="Palatino Linotype" w:eastAsia="Palatino Linotype" w:hAnsi="Palatino Linotype" w:cs="Palatino Linotype"/>
        </w:rPr>
        <w:lastRenderedPageBreak/>
        <w:t>administrativas graves en términos de la Ley de Responsabilidades Administrativas del Estado de México y Municipios; ordenar las acciones necesarias para la integración del padrón de las o los servidores públicos a presentar declaraciones de situación patrimonial y de intereses, conforme a las disposiciones jurídicas aplicables; Garantizar la operación del Programa de Contraloría Social, a través de la promoción de la participación ciudadana en la supervisión y fiscalización de los recursos públicos federales, estatales y/o municipales, destinados a la ejecución de obras y/o acciones dentro del municipio; entre otras funciones.</w:t>
      </w:r>
    </w:p>
    <w:p w14:paraId="299BFB2C"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Asimismo, respecto del </w:t>
      </w:r>
      <w:r w:rsidRPr="00935C2C">
        <w:rPr>
          <w:rFonts w:ascii="Palatino Linotype" w:eastAsia="Palatino Linotype" w:hAnsi="Palatino Linotype" w:cs="Palatino Linotype"/>
          <w:b/>
        </w:rPr>
        <w:t xml:space="preserve">punto 1 </w:t>
      </w:r>
      <w:r w:rsidRPr="00935C2C">
        <w:rPr>
          <w:rFonts w:ascii="Palatino Linotype" w:eastAsia="Palatino Linotype" w:hAnsi="Palatino Linotype" w:cs="Palatino Linotype"/>
        </w:rPr>
        <w:t>mediante el cual requiere “</w:t>
      </w:r>
      <w:r w:rsidR="0061691A" w:rsidRPr="00935C2C">
        <w:rPr>
          <w:rFonts w:ascii="Palatino Linotype" w:eastAsia="Palatino Linotype" w:hAnsi="Palatino Linotype" w:cs="Palatino Linotype"/>
          <w:i/>
        </w:rPr>
        <w:t>l</w:t>
      </w:r>
      <w:r w:rsidRPr="00935C2C">
        <w:rPr>
          <w:rFonts w:ascii="Palatino Linotype" w:eastAsia="Palatino Linotype" w:hAnsi="Palatino Linotype" w:cs="Palatino Linotype"/>
          <w:i/>
        </w:rPr>
        <w:t>as actas de los COCICOVIS, por cada una de las obras públicas para los ejercicios 2019, 2020 y 2021”</w:t>
      </w:r>
      <w:r w:rsidRPr="00935C2C">
        <w:rPr>
          <w:rFonts w:ascii="Palatino Linotype" w:eastAsia="Palatino Linotype" w:hAnsi="Palatino Linotype" w:cs="Palatino Linotype"/>
        </w:rPr>
        <w:t xml:space="preserve">, resulta pertinente señalar, que de conformidad con los artículos 113 A, 113 B y 113 C, de  la Ley Orgánica Municipal del Estado de México y Municipios, los Comités Ciudadanos de Control y Vigilancia son responsables de supervisar la obra pública estatal y municipal, para lo cual se integrarán por tres vecinos de la localidad en la que se constituya la obra, y serán electos en asamblea general, por los ciudadanos beneficiados por aquella. </w:t>
      </w:r>
      <w:r w:rsidRPr="00935C2C">
        <w:rPr>
          <w:rFonts w:ascii="Palatino Linotype" w:eastAsia="Palatino Linotype" w:hAnsi="Palatino Linotype" w:cs="Palatino Linotype"/>
          <w:b/>
        </w:rPr>
        <w:t>Para cada obra estatal o municipal se constituirá un comité ciudadano de control y vigilancia</w:t>
      </w:r>
      <w:r w:rsidRPr="00935C2C">
        <w:rPr>
          <w:rFonts w:ascii="Palatino Linotype" w:eastAsia="Palatino Linotype" w:hAnsi="Palatino Linotype" w:cs="Palatino Linotype"/>
        </w:rPr>
        <w:t>, sin embargo, en aquellos casos en los que las características técnicas o las dimensiones de la obra lo ameriten, podrán integrarse más de uno, a saber:</w:t>
      </w:r>
    </w:p>
    <w:p w14:paraId="5FFFA16C"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113 A.-</w:t>
      </w:r>
      <w:r w:rsidRPr="00935C2C">
        <w:rPr>
          <w:rFonts w:ascii="Palatino Linotype" w:eastAsia="Palatino Linotype" w:hAnsi="Palatino Linotype" w:cs="Palatino Linotype"/>
          <w:i/>
          <w:sz w:val="22"/>
          <w:szCs w:val="22"/>
        </w:rPr>
        <w:t xml:space="preserve"> Los ayuntamientos promoverán la constitución de comités ciudadanos de control y vigilancia, los que serán responsables de supervisar la obra pública estatal y municipal. </w:t>
      </w:r>
    </w:p>
    <w:p w14:paraId="6CE08F4A"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113 B.-</w:t>
      </w:r>
      <w:r w:rsidRPr="00935C2C">
        <w:rPr>
          <w:rFonts w:ascii="Palatino Linotype" w:eastAsia="Palatino Linotype" w:hAnsi="Palatino Linotype" w:cs="Palatino Linotype"/>
          <w:i/>
          <w:sz w:val="22"/>
          <w:szCs w:val="22"/>
        </w:rPr>
        <w:t xml:space="preserve"> Los comités ciudadanos de control y vigilancia estarán integrados por tres vecinos de la localidad en la que se construya la obra, serán electos en asamblea general, por los ciudadanos beneficiados por aquélla. El cargo de integrante del comité será honorífico. </w:t>
      </w:r>
    </w:p>
    <w:p w14:paraId="7DE5E8AA"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lastRenderedPageBreak/>
        <w:t xml:space="preserve">No podrán ser integrantes de los comités las personas que sean dirigentes de organizaciones políticas o servidores públicos. </w:t>
      </w:r>
    </w:p>
    <w:p w14:paraId="781BB96A"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113 C.-</w:t>
      </w:r>
      <w:r w:rsidRPr="00935C2C">
        <w:rPr>
          <w:rFonts w:ascii="Palatino Linotype" w:eastAsia="Palatino Linotype" w:hAnsi="Palatino Linotype" w:cs="Palatino Linotype"/>
          <w:i/>
          <w:sz w:val="22"/>
          <w:szCs w:val="22"/>
        </w:rPr>
        <w:t xml:space="preserve"> Para cada obra estatal o municipal se constituirá un comité ciudadano de control y vigilancia. Sin embargo, en aquellos casos en que las características técnicas o las dimensiones de la obra lo ameriten, podrán integrarse más de uno.”</w:t>
      </w:r>
    </w:p>
    <w:p w14:paraId="5AA51ADB" w14:textId="77777777" w:rsidR="00A679F9" w:rsidRPr="00935C2C" w:rsidRDefault="00A326AB">
      <w:pPr>
        <w:spacing w:before="240" w:after="240" w:line="360" w:lineRule="auto"/>
        <w:jc w:val="both"/>
        <w:rPr>
          <w:rFonts w:ascii="Palatino Linotype" w:eastAsia="Palatino Linotype" w:hAnsi="Palatino Linotype" w:cs="Palatino Linotype"/>
        </w:rPr>
      </w:pPr>
      <w:bookmarkStart w:id="13" w:name="_heading=h.2jxsxqh" w:colFirst="0" w:colLast="0"/>
      <w:bookmarkEnd w:id="13"/>
      <w:r w:rsidRPr="00935C2C">
        <w:rPr>
          <w:rFonts w:ascii="Palatino Linotype" w:eastAsia="Palatino Linotype" w:hAnsi="Palatino Linotype" w:cs="Palatino Linotype"/>
        </w:rPr>
        <w:t>Los Comités Ciudadanos de Control y Vigilancia tendrán las funciones establecidas en el artículo 113 D de la Ley Orgánica Municipal:</w:t>
      </w:r>
    </w:p>
    <w:p w14:paraId="0B042D70"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113 D.-</w:t>
      </w:r>
      <w:r w:rsidRPr="00935C2C">
        <w:rPr>
          <w:rFonts w:ascii="Palatino Linotype" w:eastAsia="Palatino Linotype" w:hAnsi="Palatino Linotype" w:cs="Palatino Linotype"/>
          <w:i/>
          <w:sz w:val="22"/>
          <w:szCs w:val="22"/>
        </w:rPr>
        <w:t xml:space="preserve"> Los comités ciudadanos de control y vigilancia tendrán además, las siguientes funciones:</w:t>
      </w:r>
    </w:p>
    <w:p w14:paraId="3A4FC80D"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Vigilar que la obra pública se realice de acuerdo al expediente técnico y dentro de la normatividad correspondiente;</w:t>
      </w:r>
    </w:p>
    <w:p w14:paraId="21BA7490"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Participar como observador en los procesos o actos administrativos relacionados con la adjudicación o concesión de la ejecución de la obra;</w:t>
      </w:r>
    </w:p>
    <w:p w14:paraId="091689FD"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Hacer visitas de inspección y llevar registro de sus resultados;</w:t>
      </w:r>
    </w:p>
    <w:p w14:paraId="40B861F0"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IV</w:t>
      </w:r>
      <w:r w:rsidRPr="00935C2C">
        <w:rPr>
          <w:rFonts w:ascii="Palatino Linotype" w:eastAsia="Palatino Linotype" w:hAnsi="Palatino Linotype" w:cs="Palatino Linotype"/>
          <w:i/>
          <w:sz w:val="22"/>
          <w:szCs w:val="22"/>
        </w:rPr>
        <w:t>. Verificar la calidad con que se realiza la obra pública,</w:t>
      </w:r>
    </w:p>
    <w:p w14:paraId="7C920269"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w:t>
      </w:r>
      <w:r w:rsidRPr="00935C2C">
        <w:rPr>
          <w:rFonts w:ascii="Palatino Linotype" w:eastAsia="Palatino Linotype" w:hAnsi="Palatino Linotype" w:cs="Palatino Linotype"/>
          <w:i/>
          <w:sz w:val="22"/>
          <w:szCs w:val="22"/>
        </w:rPr>
        <w:t>. Hacer del conocimiento de las autoridades correspondientes las irregularidades que observe durante el desempeño de sus funciones o las quejas que reciba de la ciudadanía, con motivo de las obras objeto de supervisión,</w:t>
      </w:r>
    </w:p>
    <w:p w14:paraId="08736844"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w:t>
      </w:r>
      <w:r w:rsidRPr="00935C2C">
        <w:rPr>
          <w:rFonts w:ascii="Palatino Linotype" w:eastAsia="Palatino Linotype" w:hAnsi="Palatino Linotype" w:cs="Palatino Linotype"/>
          <w:i/>
          <w:sz w:val="22"/>
          <w:szCs w:val="22"/>
        </w:rPr>
        <w:t xml:space="preserve"> Integrar un archivo con la documentación que se derive de la supervisión de las obras, </w:t>
      </w:r>
    </w:p>
    <w:p w14:paraId="4E739E64"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VII.</w:t>
      </w:r>
      <w:r w:rsidRPr="00935C2C">
        <w:rPr>
          <w:rFonts w:ascii="Palatino Linotype" w:eastAsia="Palatino Linotype" w:hAnsi="Palatino Linotype" w:cs="Palatino Linotype"/>
          <w:i/>
          <w:sz w:val="22"/>
          <w:szCs w:val="22"/>
        </w:rPr>
        <w:t xml:space="preserve"> Intervenir en los actos de entrega-recepción de las obras y acciones, informando a los vecinos el resultado del desempeño de sus funciones; y</w:t>
      </w:r>
    </w:p>
    <w:p w14:paraId="44904A2E"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VIII.</w:t>
      </w:r>
      <w:r w:rsidRPr="00935C2C">
        <w:rPr>
          <w:rFonts w:ascii="Palatino Linotype" w:eastAsia="Palatino Linotype" w:hAnsi="Palatino Linotype" w:cs="Palatino Linotype"/>
          <w:i/>
          <w:sz w:val="22"/>
          <w:szCs w:val="22"/>
        </w:rPr>
        <w:t xml:space="preserve"> Promover el adecuado mantenimiento de la obra pública ante las autoridades municipales.”</w:t>
      </w:r>
    </w:p>
    <w:p w14:paraId="6E7A971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conformidad con el artículo 113 E de la Ley Orgánica Municipal, los Comités Ciudadanos de Control y Vigilancia deben apoyarse en las Contralorías Municipal y estatal, y coadyuvar con el órgano de control interno municipal en el desempeño de las funciones a que se refieren las fracciones VII y VIII del artículo 112 de la misma Ley, citado con antelación, por lo que es procedente la entrega de las actas de los </w:t>
      </w:r>
      <w:r w:rsidRPr="00935C2C">
        <w:rPr>
          <w:rFonts w:ascii="Palatino Linotype" w:eastAsia="Palatino Linotype" w:hAnsi="Palatino Linotype" w:cs="Palatino Linotype"/>
        </w:rPr>
        <w:lastRenderedPageBreak/>
        <w:t>Comités Ciudadanos de Control y Vigilancia por cada una de las obras públicas, correspondientes a los ejercicios 2019, 2020 y 2021, en versión pública de ser necesario conforme al considerando siguiente.</w:t>
      </w:r>
    </w:p>
    <w:p w14:paraId="7003E33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Por cuanto hace al </w:t>
      </w:r>
      <w:r w:rsidRPr="00935C2C">
        <w:rPr>
          <w:rFonts w:ascii="Palatino Linotype" w:eastAsia="Palatino Linotype" w:hAnsi="Palatino Linotype" w:cs="Palatino Linotype"/>
          <w:b/>
        </w:rPr>
        <w:t xml:space="preserve">punto 2 </w:t>
      </w:r>
      <w:r w:rsidRPr="00935C2C">
        <w:rPr>
          <w:rFonts w:ascii="Palatino Linotype" w:eastAsia="Palatino Linotype" w:hAnsi="Palatino Linotype" w:cs="Palatino Linotype"/>
        </w:rPr>
        <w:t>relativo a</w:t>
      </w:r>
      <w:r w:rsidRPr="00935C2C">
        <w:rPr>
          <w:rFonts w:ascii="Palatino Linotype" w:eastAsia="Palatino Linotype" w:hAnsi="Palatino Linotype" w:cs="Palatino Linotype"/>
          <w:b/>
        </w:rPr>
        <w:t xml:space="preserve"> </w:t>
      </w:r>
      <w:r w:rsidR="00E45CF9" w:rsidRPr="00935C2C">
        <w:rPr>
          <w:rFonts w:ascii="Palatino Linotype" w:eastAsia="Palatino Linotype" w:hAnsi="Palatino Linotype" w:cs="Palatino Linotype"/>
          <w:i/>
        </w:rPr>
        <w:t>l</w:t>
      </w:r>
      <w:r w:rsidRPr="00935C2C">
        <w:rPr>
          <w:rFonts w:ascii="Palatino Linotype" w:eastAsia="Palatino Linotype" w:hAnsi="Palatino Linotype" w:cs="Palatino Linotype"/>
          <w:i/>
        </w:rPr>
        <w:t>a relación de los servidores públicos obligados a presentar declaración patrimonial</w:t>
      </w:r>
      <w:r w:rsidRPr="00935C2C">
        <w:rPr>
          <w:rFonts w:ascii="Palatino Linotype" w:eastAsia="Palatino Linotype" w:hAnsi="Palatino Linotype" w:cs="Palatino Linotype"/>
          <w:b/>
          <w:i/>
        </w:rPr>
        <w:t>.</w:t>
      </w:r>
      <w:r w:rsidRPr="00935C2C">
        <w:rPr>
          <w:rFonts w:ascii="Palatino Linotype" w:eastAsia="Palatino Linotype" w:hAnsi="Palatino Linotype" w:cs="Palatino Linotype"/>
        </w:rPr>
        <w:t>” se precisa que de conformidad con el artículo 33</w:t>
      </w:r>
      <w:r w:rsidRPr="00935C2C">
        <w:rPr>
          <w:rFonts w:ascii="Palatino Linotype" w:eastAsia="Palatino Linotype" w:hAnsi="Palatino Linotype" w:cs="Palatino Linotype"/>
          <w:vertAlign w:val="superscript"/>
        </w:rPr>
        <w:footnoteReference w:id="5"/>
      </w:r>
      <w:r w:rsidRPr="00935C2C">
        <w:rPr>
          <w:rFonts w:ascii="Palatino Linotype" w:eastAsia="Palatino Linotype" w:hAnsi="Palatino Linotype" w:cs="Palatino Linotype"/>
        </w:rPr>
        <w:t xml:space="preserve"> de la Ley de Responsabilidades Administrativas del Estado de México y Municipios, todos los servidores públicos estatales y municipales, están obligados a presentar las declaraciones de situación patrimonial y de intereses, por lo que es procedente ordenar la entrega del documento que dé cuenta del nombre de los servidores públicos que actualiza dicho supuesto actualizado a la fecha de presentación de la solicitud, es decir, al veintidós de febrero de 2022, máxime que de conformidad con la fracción XL del artículo 3.26 del Código Reglamentario Municipal, citado con antelación, la Contraloría Municipal integra el padrón de los servidores públicos que presentan las declaraciones de situación patrimonial y de intereses.</w:t>
      </w:r>
    </w:p>
    <w:p w14:paraId="602F965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Tocante a los putos 3 y 4, mediante los cuales se solicita “</w:t>
      </w:r>
      <w:r w:rsidRPr="00935C2C">
        <w:rPr>
          <w:rFonts w:ascii="Palatino Linotype" w:eastAsia="Palatino Linotype" w:hAnsi="Palatino Linotype" w:cs="Palatino Linotype"/>
          <w:i/>
        </w:rPr>
        <w:t>la relación de quejas contra servidores públicos presentadas ante la Contraloría municipal de 2019 al 22 de febrero de 2022, así como la relación de los procedimientos que ya hayan causado efecto y su resolución</w:t>
      </w:r>
      <w:r w:rsidRPr="00935C2C">
        <w:rPr>
          <w:rFonts w:ascii="Palatino Linotype" w:eastAsia="Palatino Linotype" w:hAnsi="Palatino Linotype" w:cs="Palatino Linotype"/>
          <w:b/>
          <w:i/>
        </w:rPr>
        <w:t>”</w:t>
      </w:r>
      <w:r w:rsidRPr="00935C2C">
        <w:rPr>
          <w:rFonts w:ascii="Palatino Linotype" w:eastAsia="Palatino Linotype" w:hAnsi="Palatino Linotype" w:cs="Palatino Linotype"/>
        </w:rPr>
        <w:t xml:space="preserve">, como se desprende de los artículos 112 de la Ley Orgánica Municipal y 3.26 del Código de Reglamentación Municipal citados en líneas anteriores, la Contraloría cuenta con la atribución de operar el sistema de atención de quejas, denuncias y </w:t>
      </w:r>
      <w:r w:rsidRPr="00935C2C">
        <w:rPr>
          <w:rFonts w:ascii="Palatino Linotype" w:eastAsia="Palatino Linotype" w:hAnsi="Palatino Linotype" w:cs="Palatino Linotype"/>
        </w:rPr>
        <w:lastRenderedPageBreak/>
        <w:t>sugerencias, mejor conocido como Sistema de Atención Mexiquense, SAM</w:t>
      </w:r>
      <w:r w:rsidRPr="00935C2C">
        <w:rPr>
          <w:rFonts w:ascii="Palatino Linotype" w:eastAsia="Palatino Linotype" w:hAnsi="Palatino Linotype" w:cs="Palatino Linotype"/>
          <w:vertAlign w:val="superscript"/>
        </w:rPr>
        <w:footnoteReference w:id="6"/>
      </w:r>
      <w:r w:rsidRPr="00935C2C">
        <w:rPr>
          <w:rFonts w:ascii="Palatino Linotype" w:eastAsia="Palatino Linotype" w:hAnsi="Palatino Linotype" w:cs="Palatino Linotype"/>
        </w:rPr>
        <w:t>, que es administrado por la Secretaría de Contraloría:</w:t>
      </w:r>
    </w:p>
    <w:p w14:paraId="1CA80CE2" w14:textId="77777777" w:rsidR="00A679F9" w:rsidRPr="00935C2C" w:rsidRDefault="00A326AB">
      <w:pPr>
        <w:spacing w:before="240" w:after="240" w:line="360" w:lineRule="auto"/>
        <w:jc w:val="center"/>
        <w:rPr>
          <w:rFonts w:ascii="Palatino Linotype" w:eastAsia="Palatino Linotype" w:hAnsi="Palatino Linotype" w:cs="Palatino Linotype"/>
          <w:i/>
        </w:rPr>
      </w:pPr>
      <w:r w:rsidRPr="00935C2C">
        <w:rPr>
          <w:rFonts w:ascii="Palatino Linotype" w:eastAsia="Palatino Linotype" w:hAnsi="Palatino Linotype" w:cs="Palatino Linotype"/>
          <w:i/>
          <w:noProof/>
        </w:rPr>
        <w:drawing>
          <wp:inline distT="0" distB="0" distL="0" distR="0" wp14:anchorId="7AFE0718" wp14:editId="7E6311DC">
            <wp:extent cx="4500000" cy="3168000"/>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500000" cy="3168000"/>
                    </a:xfrm>
                    <a:prstGeom prst="rect">
                      <a:avLst/>
                    </a:prstGeom>
                    <a:ln/>
                  </pic:spPr>
                </pic:pic>
              </a:graphicData>
            </a:graphic>
          </wp:inline>
        </w:drawing>
      </w:r>
    </w:p>
    <w:p w14:paraId="7602FC2F" w14:textId="77777777" w:rsidR="00A679F9" w:rsidRPr="00935C2C" w:rsidRDefault="00A326AB">
      <w:pPr>
        <w:spacing w:before="240" w:after="240" w:line="360" w:lineRule="auto"/>
        <w:jc w:val="center"/>
        <w:rPr>
          <w:rFonts w:ascii="Palatino Linotype" w:eastAsia="Palatino Linotype" w:hAnsi="Palatino Linotype" w:cs="Palatino Linotype"/>
        </w:rPr>
      </w:pPr>
      <w:r w:rsidRPr="00935C2C">
        <w:rPr>
          <w:rFonts w:ascii="Palatino Linotype" w:eastAsia="Palatino Linotype" w:hAnsi="Palatino Linotype" w:cs="Palatino Linotype"/>
          <w:noProof/>
        </w:rPr>
        <w:drawing>
          <wp:inline distT="0" distB="0" distL="0" distR="0" wp14:anchorId="39B125B9" wp14:editId="5C010D56">
            <wp:extent cx="4500000" cy="2772000"/>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500000" cy="2772000"/>
                    </a:xfrm>
                    <a:prstGeom prst="rect">
                      <a:avLst/>
                    </a:prstGeom>
                    <a:ln/>
                  </pic:spPr>
                </pic:pic>
              </a:graphicData>
            </a:graphic>
          </wp:inline>
        </w:drawing>
      </w:r>
    </w:p>
    <w:p w14:paraId="6B919F3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De igual forma la Contraloría está facultada para recibir denuncias por hechos presuntamente constitutivos de faltas administrativas de las o los servidores públicos municipales por conductas sancionables; iniciar los procesos de investigación, substanciación y resolución, </w:t>
      </w:r>
      <w:r w:rsidRPr="00935C2C">
        <w:rPr>
          <w:rFonts w:ascii="Palatino Linotype" w:eastAsia="Palatino Linotype" w:hAnsi="Palatino Linotype" w:cs="Palatino Linotype"/>
          <w:u w:val="single"/>
        </w:rPr>
        <w:t>tratándose de faltas administrativas no graves,</w:t>
      </w:r>
      <w:r w:rsidRPr="00935C2C">
        <w:rPr>
          <w:rFonts w:ascii="Palatino Linotype" w:eastAsia="Palatino Linotype" w:hAnsi="Palatino Linotype" w:cs="Palatino Linotype"/>
        </w:rPr>
        <w:t xml:space="preserve">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e iniciar la investigación, substanciación y remitir al Tribunal de Justicia Administrativa, los autos originales del expediente para la continuación del procedimiento y su resolución por dicho órgano; </w:t>
      </w:r>
      <w:r w:rsidRPr="00935C2C">
        <w:rPr>
          <w:rFonts w:ascii="Palatino Linotype" w:eastAsia="Palatino Linotype" w:hAnsi="Palatino Linotype" w:cs="Palatino Linotype"/>
          <w:u w:val="single"/>
        </w:rPr>
        <w:t>cuando se trate de faltas administrativas graves</w:t>
      </w:r>
      <w:r w:rsidRPr="00935C2C">
        <w:rPr>
          <w:rFonts w:ascii="Palatino Linotype" w:eastAsia="Palatino Linotype" w:hAnsi="Palatino Linotype" w:cs="Palatino Linotype"/>
        </w:rPr>
        <w:t>, en términos de la Ley de Responsabilidades Administrativas del Estado de México y Municipios.</w:t>
      </w:r>
    </w:p>
    <w:p w14:paraId="4C9602D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tal sentido, si bien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reconoció la existencia de información relacionada con lo solicitado, tan es así que para la entrega de la misma requirió la presencia del particular a efecto de que realizara la consulta directa, dada la naturaleza de la información es necesario realizar algunas precisiones con la finalidad de garantizar el derecho de acceso de la persona solicitante, así como la protección de los datos personales de los servidores públicos involucrados con la posible comisión de alguna falta administrativa.</w:t>
      </w:r>
    </w:p>
    <w:p w14:paraId="31F776FA" w14:textId="77777777" w:rsidR="00A679F9" w:rsidRPr="00935C2C" w:rsidRDefault="00A326AB">
      <w:pPr>
        <w:pBdr>
          <w:top w:val="nil"/>
          <w:left w:val="nil"/>
          <w:bottom w:val="nil"/>
          <w:right w:val="nil"/>
          <w:between w:val="nil"/>
        </w:pBdr>
        <w:spacing w:after="16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este orden de ideas, para la entrega del soporte documental se deberán observar las reglas que se siguen respecto al acceso a la información concerniente a los expedientes administrativos generados y administrados por la Contraloría Interna, esto es, se deberá analizar si los procedimientos de responsabilidad administrativa </w:t>
      </w:r>
      <w:r w:rsidRPr="00935C2C">
        <w:rPr>
          <w:rFonts w:ascii="Palatino Linotype" w:eastAsia="Palatino Linotype" w:hAnsi="Palatino Linotype" w:cs="Palatino Linotype"/>
        </w:rPr>
        <w:lastRenderedPageBreak/>
        <w:t>se encuentran en trámite o concluidos, es decir, si ya causaron estado, son públicos o reservados, por lo que, se procede a revisar cada supuesto.</w:t>
      </w:r>
    </w:p>
    <w:p w14:paraId="7D9C273D" w14:textId="77777777" w:rsidR="00A679F9" w:rsidRPr="00935C2C" w:rsidRDefault="00A326AB">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Procedimiento administrativo de responsabilidades por faltas no graves en trámite o concluidos sin importar si fue absolutorio o condenatorio.  </w:t>
      </w:r>
    </w:p>
    <w:p w14:paraId="6A9A47DE"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En lo que concierne a las sanciones administrativas definitivas, es de mencionarse que corresponde a una de las obligaciones de transparencia común, como se desprende del artículo 92 fracción XXII de la Ley de Transparencia y Acceso a la Información Pública del Estado de México y Municipios, como se observa:</w:t>
      </w:r>
    </w:p>
    <w:p w14:paraId="3BC40177"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92</w:t>
      </w:r>
      <w:r w:rsidRPr="00935C2C">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7908B2" w14:textId="77777777" w:rsidR="00A679F9" w:rsidRPr="00935C2C" w:rsidRDefault="00A326AB">
      <w:pPr>
        <w:spacing w:before="120" w:after="120"/>
        <w:ind w:left="1134"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634F8607" w14:textId="77777777" w:rsidR="00A679F9" w:rsidRPr="00935C2C" w:rsidRDefault="00A326AB">
      <w:pPr>
        <w:spacing w:before="120" w:after="120"/>
        <w:ind w:left="1134"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XXII</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 xml:space="preserve">El listado de Servidores Públicos con sanciones administrativas definitivas, especificando la causa de sanción y la disposición;" </w:t>
      </w:r>
    </w:p>
    <w:p w14:paraId="7CD5B3EC"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No obstante, </w:t>
      </w:r>
      <w:r w:rsidRPr="00935C2C">
        <w:rPr>
          <w:rFonts w:ascii="Palatino Linotype" w:eastAsia="Palatino Linotype" w:hAnsi="Palatino Linotype" w:cs="Palatino Linotype"/>
          <w:b/>
          <w:u w:val="single"/>
        </w:rPr>
        <w:t>sólo pueden ser dadas a conocer las responsabilidades administrativas</w:t>
      </w:r>
      <w:r w:rsidRPr="00935C2C">
        <w:rPr>
          <w:rFonts w:ascii="Palatino Linotype" w:eastAsia="Palatino Linotype" w:hAnsi="Palatino Linotype" w:cs="Palatino Linotype"/>
          <w:u w:val="single"/>
        </w:rPr>
        <w:t xml:space="preserve"> </w:t>
      </w:r>
      <w:r w:rsidRPr="00935C2C">
        <w:rPr>
          <w:rFonts w:ascii="Palatino Linotype" w:eastAsia="Palatino Linotype" w:hAnsi="Palatino Linotype" w:cs="Palatino Linotype"/>
          <w:b/>
          <w:u w:val="single"/>
        </w:rPr>
        <w:t>por faltas graves</w:t>
      </w:r>
      <w:r w:rsidRPr="00935C2C">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dos mil diecisiete, que establece que </w:t>
      </w:r>
      <w:r w:rsidRPr="00935C2C">
        <w:rPr>
          <w:rFonts w:ascii="Palatino Linotype" w:eastAsia="Palatino Linotype" w:hAnsi="Palatino Linotype" w:cs="Palatino Linotype"/>
          <w:b/>
          <w:u w:val="single"/>
        </w:rPr>
        <w:t>las sanciones no graves no serán públicas</w:t>
      </w:r>
      <w:r w:rsidRPr="00935C2C">
        <w:rPr>
          <w:rFonts w:ascii="Palatino Linotype" w:eastAsia="Palatino Linotype" w:hAnsi="Palatino Linotype" w:cs="Palatino Linotype"/>
        </w:rPr>
        <w:t xml:space="preserve">,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w:t>
      </w:r>
      <w:r w:rsidRPr="00935C2C">
        <w:rPr>
          <w:rFonts w:ascii="Palatino Linotype" w:eastAsia="Palatino Linotype" w:hAnsi="Palatino Linotype" w:cs="Palatino Linotype"/>
        </w:rPr>
        <w:lastRenderedPageBreak/>
        <w:t>acatar las disposiciones contenidas en el artículo 53 de la citada Ley Anticorrupción, que establece lo siguiente:</w:t>
      </w:r>
    </w:p>
    <w:p w14:paraId="2D646ED4" w14:textId="77777777" w:rsidR="00A679F9" w:rsidRPr="00935C2C" w:rsidRDefault="00A326AB">
      <w:pPr>
        <w:spacing w:before="120" w:after="120"/>
        <w:ind w:left="851" w:right="900"/>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935C2C">
        <w:rPr>
          <w:rFonts w:ascii="Palatino Linotype" w:eastAsia="Palatino Linotype" w:hAnsi="Palatino Linotype" w:cs="Palatino Linotype"/>
          <w:b/>
          <w:i/>
          <w:sz w:val="22"/>
          <w:szCs w:val="22"/>
          <w:u w:val="single"/>
        </w:rPr>
        <w:t>cuando éstas contengan impedimentos o inhabilitaciones</w:t>
      </w:r>
      <w:r w:rsidRPr="00935C2C">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00FC8BDE" w14:textId="77777777" w:rsidR="00A679F9" w:rsidRPr="00935C2C" w:rsidRDefault="00A326AB">
      <w:pPr>
        <w:spacing w:before="120" w:after="120"/>
        <w:ind w:left="851"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 xml:space="preserve">Los registros de </w:t>
      </w:r>
      <w:r w:rsidRPr="00935C2C">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935C2C">
        <w:rPr>
          <w:rFonts w:ascii="Palatino Linotype" w:eastAsia="Palatino Linotype" w:hAnsi="Palatino Linotype" w:cs="Palatino Linotype"/>
          <w:i/>
          <w:sz w:val="22"/>
          <w:szCs w:val="22"/>
        </w:rPr>
        <w:t>” (Sic) (Énfasis añadido)</w:t>
      </w:r>
    </w:p>
    <w:p w14:paraId="738E76BF" w14:textId="77777777" w:rsidR="00A679F9" w:rsidRPr="00935C2C" w:rsidRDefault="00A326AB">
      <w:pPr>
        <w:spacing w:before="240" w:after="240" w:line="360" w:lineRule="auto"/>
        <w:ind w:right="49"/>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rPr>
        <w:t>En ese sentido es importante, referir que la Ley de Responsabilidades Administrativas del Estado de México y Municipios, señala que incurrirán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3B6E78F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Como se logra observar, las faltas no graves, son aquellas que cometen los servidores públicos por incumplimiento a sus funciones, o bien, a sus obligaciones y, por lo tanto, las consecuencias recaen directamente en contra, de este, al no haber una afectación a terceros (</w:t>
      </w:r>
      <w:r w:rsidRPr="00935C2C">
        <w:rPr>
          <w:rFonts w:ascii="Palatino Linotype" w:eastAsia="Palatino Linotype" w:hAnsi="Palatino Linotype" w:cs="Palatino Linotype"/>
          <w:i/>
        </w:rPr>
        <w:t>personas físicas, morales, instituciones públicas u otros trabajadores</w:t>
      </w:r>
      <w:r w:rsidRPr="00935C2C">
        <w:rPr>
          <w:rFonts w:ascii="Palatino Linotype" w:eastAsia="Palatino Linotype" w:hAnsi="Palatino Linotype" w:cs="Palatino Linotype"/>
        </w:rPr>
        <w:t>), ni haber un detrimento en el erario.</w:t>
      </w:r>
    </w:p>
    <w:p w14:paraId="1822AF2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w:t>
      </w:r>
      <w:r w:rsidRPr="00935C2C">
        <w:rPr>
          <w:rFonts w:ascii="Palatino Linotype" w:eastAsia="Palatino Linotype" w:hAnsi="Palatino Linotype" w:cs="Palatino Linotype"/>
          <w:b/>
        </w:rPr>
        <w:t xml:space="preserve"> se puede advertir que dichas faltas, no tienen una trascendencia social, </w:t>
      </w:r>
      <w:r w:rsidRPr="00935C2C">
        <w:rPr>
          <w:rFonts w:ascii="Palatino Linotype" w:eastAsia="Palatino Linotype" w:hAnsi="Palatino Linotype" w:cs="Palatino Linotype"/>
        </w:rPr>
        <w:t>pues no existe un daño externo, sino que únicamente le atañe al servidor público en cuestión.</w:t>
      </w:r>
    </w:p>
    <w:p w14:paraId="05A68A2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935C2C">
        <w:rPr>
          <w:rFonts w:ascii="Palatino Linotype" w:eastAsia="Palatino Linotype" w:hAnsi="Palatino Linotype" w:cs="Palatino Linotype"/>
          <w:b/>
        </w:rPr>
        <w:t>honor, intimidad y buena imagen</w:t>
      </w:r>
      <w:r w:rsidRPr="00935C2C">
        <w:rPr>
          <w:rFonts w:ascii="Palatino Linotype" w:eastAsia="Palatino Linotype" w:hAnsi="Palatino Linotype" w:cs="Palatino Linotype"/>
        </w:rPr>
        <w:t>, pues como se precisó la afectación es para el propio servidor público, situación que no afecta a terceros.</w:t>
      </w:r>
    </w:p>
    <w:p w14:paraId="610F580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otras palabras,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935C2C">
        <w:rPr>
          <w:rFonts w:ascii="Palatino Linotype" w:eastAsia="Palatino Linotype" w:hAnsi="Palatino Linotype" w:cs="Palatino Linotype"/>
          <w:i/>
        </w:rPr>
        <w:t>a priori</w:t>
      </w:r>
      <w:r w:rsidRPr="00935C2C">
        <w:rPr>
          <w:rFonts w:ascii="Palatino Linotype" w:eastAsia="Palatino Linotype" w:hAnsi="Palatino Linotype" w:cs="Palatino Linotype"/>
        </w:rPr>
        <w:t xml:space="preserve"> por parte de la sociedad, afectando su prestigio y su buen nombre, pues esto podría causar una mala percepción del servidor público frente a la sociedad, </w:t>
      </w:r>
      <w:r w:rsidRPr="00935C2C">
        <w:rPr>
          <w:rFonts w:ascii="Palatino Linotype" w:eastAsia="Palatino Linotype" w:hAnsi="Palatino Linotype" w:cs="Palatino Linotype"/>
          <w:b/>
        </w:rPr>
        <w:t>lo cual daña su vida privada y profesional,</w:t>
      </w:r>
      <w:r w:rsidRPr="00935C2C">
        <w:rPr>
          <w:rFonts w:ascii="Palatino Linotype" w:eastAsia="Palatino Linotype" w:hAnsi="Palatino Linotype" w:cs="Palatino Linotype"/>
        </w:rPr>
        <w:t xml:space="preserve"> mismas que forman parte de su intimidad; por lo que se concluye que dicha información, en caso de que existiera, tiene el carácter de confidencial.</w:t>
      </w:r>
    </w:p>
    <w:p w14:paraId="24B0FE87" w14:textId="77777777" w:rsidR="00A679F9" w:rsidRPr="00935C2C" w:rsidRDefault="00A326AB">
      <w:pPr>
        <w:numPr>
          <w:ilvl w:val="0"/>
          <w:numId w:val="8"/>
        </w:numPr>
        <w:pBdr>
          <w:top w:val="nil"/>
          <w:left w:val="nil"/>
          <w:bottom w:val="nil"/>
          <w:right w:val="nil"/>
          <w:between w:val="nil"/>
        </w:pBdr>
        <w:spacing w:before="240" w:line="360" w:lineRule="auto"/>
        <w:ind w:right="49"/>
        <w:jc w:val="both"/>
        <w:rPr>
          <w:rFonts w:ascii="Palatino Linotype" w:eastAsia="Palatino Linotype" w:hAnsi="Palatino Linotype" w:cs="Palatino Linotype"/>
          <w:b/>
        </w:rPr>
      </w:pPr>
      <w:r w:rsidRPr="00935C2C">
        <w:rPr>
          <w:rFonts w:ascii="Palatino Linotype" w:eastAsia="Palatino Linotype" w:hAnsi="Palatino Linotype" w:cs="Palatino Linotype"/>
          <w:b/>
        </w:rPr>
        <w:t>De los procedimientos sobre faltas administrativas graves que se encuentren en trámite.</w:t>
      </w:r>
    </w:p>
    <w:p w14:paraId="35214FCB"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14:paraId="59FEF4EA"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935C2C">
        <w:rPr>
          <w:rFonts w:ascii="Palatino Linotype" w:eastAsia="Palatino Linotype" w:hAnsi="Palatino Linotype" w:cs="Palatino Linotype"/>
          <w:vertAlign w:val="superscript"/>
        </w:rPr>
        <w:footnoteReference w:id="7"/>
      </w:r>
      <w:r w:rsidRPr="00935C2C">
        <w:rPr>
          <w:rFonts w:ascii="Palatino Linotype" w:eastAsia="Palatino Linotype" w:hAnsi="Palatino Linotype" w:cs="Palatino Linotype"/>
        </w:rPr>
        <w:t>.</w:t>
      </w:r>
    </w:p>
    <w:p w14:paraId="25068A81"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06FC3402"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1463EC99" w14:textId="77777777" w:rsidR="00A679F9" w:rsidRPr="00935C2C" w:rsidRDefault="00A326AB">
      <w:pPr>
        <w:spacing w:before="120" w:after="120"/>
        <w:ind w:left="851" w:right="851"/>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5878621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1D577175" w14:textId="77777777" w:rsidR="00A679F9" w:rsidRPr="00935C2C" w:rsidRDefault="00A326AB">
      <w:pPr>
        <w:spacing w:before="240" w:after="240" w:line="360" w:lineRule="auto"/>
        <w:ind w:left="284"/>
        <w:jc w:val="both"/>
        <w:rPr>
          <w:rFonts w:ascii="Palatino Linotype" w:eastAsia="Palatino Linotype" w:hAnsi="Palatino Linotype" w:cs="Palatino Linotype"/>
        </w:rPr>
      </w:pPr>
      <w:r w:rsidRPr="00935C2C">
        <w:rPr>
          <w:rFonts w:ascii="Palatino Linotype" w:eastAsia="Palatino Linotype" w:hAnsi="Palatino Linotype" w:cs="Palatino Linotype"/>
          <w:i/>
        </w:rPr>
        <w:t>Primero</w:t>
      </w:r>
      <w:r w:rsidRPr="00935C2C">
        <w:rPr>
          <w:rFonts w:ascii="Palatino Linotype" w:eastAsia="Palatino Linotype" w:hAnsi="Palatino Linotype" w:cs="Palatino Linotype"/>
        </w:rPr>
        <w:t>. Como una regla probatoria, que impone la carga de la prueba para quien acusa y, por ende, la absolución en caso de duda.</w:t>
      </w:r>
    </w:p>
    <w:p w14:paraId="3EA86753" w14:textId="77777777" w:rsidR="00A679F9" w:rsidRPr="00935C2C" w:rsidRDefault="00A326AB">
      <w:pPr>
        <w:spacing w:before="240" w:after="240" w:line="360" w:lineRule="auto"/>
        <w:ind w:left="284"/>
        <w:jc w:val="both"/>
        <w:rPr>
          <w:rFonts w:ascii="Palatino Linotype" w:eastAsia="Palatino Linotype" w:hAnsi="Palatino Linotype" w:cs="Palatino Linotype"/>
        </w:rPr>
      </w:pPr>
      <w:r w:rsidRPr="00935C2C">
        <w:rPr>
          <w:rFonts w:ascii="Palatino Linotype" w:eastAsia="Palatino Linotype" w:hAnsi="Palatino Linotype" w:cs="Palatino Linotype"/>
          <w:i/>
        </w:rPr>
        <w:t>Segundo</w:t>
      </w:r>
      <w:r w:rsidRPr="00935C2C">
        <w:rPr>
          <w:rFonts w:ascii="Palatino Linotype" w:eastAsia="Palatino Linotype" w:hAnsi="Palatino Linotype" w:cs="Palatino Linotype"/>
        </w:rPr>
        <w:t>. Como una regla de tratamiento del acusado, que excluye o restringe al máximo la limitación de sus derechos fundamentales, sobre todo los que inciden en su libertad personal, con motivo del proceso que se instaura en su contra.</w:t>
      </w:r>
    </w:p>
    <w:p w14:paraId="5D90C27A" w14:textId="77777777" w:rsidR="00A679F9" w:rsidRPr="00935C2C" w:rsidRDefault="00A326AB">
      <w:pPr>
        <w:spacing w:before="240" w:after="240" w:line="360" w:lineRule="auto"/>
        <w:ind w:left="284"/>
        <w:jc w:val="both"/>
        <w:rPr>
          <w:rFonts w:ascii="Palatino Linotype" w:eastAsia="Palatino Linotype" w:hAnsi="Palatino Linotype" w:cs="Palatino Linotype"/>
        </w:rPr>
      </w:pPr>
      <w:r w:rsidRPr="00935C2C">
        <w:rPr>
          <w:rFonts w:ascii="Palatino Linotype" w:eastAsia="Palatino Linotype" w:hAnsi="Palatino Linotype" w:cs="Palatino Linotype"/>
          <w:i/>
        </w:rPr>
        <w:lastRenderedPageBreak/>
        <w:t>Tercero</w:t>
      </w:r>
      <w:r w:rsidRPr="00935C2C">
        <w:rPr>
          <w:rFonts w:ascii="Palatino Linotype" w:eastAsia="Palatino Linotype" w:hAnsi="Palatino Linotype" w:cs="Palatino Linotype"/>
        </w:rPr>
        <w:t>. Como una regla de juicio, que ordena a los jueces la absolución de los inculpados cuando durante el proceso no se aportaron pruebas de cargo suficientes.</w:t>
      </w:r>
    </w:p>
    <w:p w14:paraId="1581AEA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vista de lo anterior, este Instituto estima que en el derecho disciplinario que se sigue ante el órgano contralor del Municipio a los servidores públicos en los casos que se presenta una denuncia, es aplicable la regla garantista de presunción de inocencia.</w:t>
      </w:r>
    </w:p>
    <w:p w14:paraId="2B16A2A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Así, todo servidor público en su carácter de </w:t>
      </w:r>
      <w:r w:rsidRPr="00935C2C">
        <w:rPr>
          <w:rFonts w:ascii="Palatino Linotype" w:eastAsia="Palatino Linotype" w:hAnsi="Palatino Linotype" w:cs="Palatino Linotype"/>
          <w:i/>
        </w:rPr>
        <w:t>presunto infractor</w:t>
      </w:r>
      <w:r w:rsidRPr="00935C2C">
        <w:rPr>
          <w:rFonts w:ascii="Palatino Linotype" w:eastAsia="Palatino Linotype" w:hAnsi="Palatino Linotype" w:cs="Palatino Linotype"/>
        </w:rPr>
        <w:t xml:space="preserve"> tiene el derecho, como regla de tratamiento en el proceso, a que se le trate en carácter de inocente hasta que no se emita una resolución firme.</w:t>
      </w:r>
    </w:p>
    <w:p w14:paraId="1E69991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5421B27C"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sidRPr="00935C2C">
        <w:rPr>
          <w:rFonts w:ascii="Palatino Linotype" w:eastAsia="Palatino Linotype" w:hAnsi="Palatino Linotype" w:cs="Palatino Linotype"/>
          <w:i/>
          <w:vertAlign w:val="superscript"/>
        </w:rPr>
        <w:footnoteReference w:id="8"/>
      </w:r>
      <w:r w:rsidRPr="00935C2C">
        <w:rPr>
          <w:rFonts w:ascii="Palatino Linotype" w:eastAsia="Palatino Linotype" w:hAnsi="Palatino Linotype" w:cs="Palatino Linotype"/>
        </w:rPr>
        <w:t xml:space="preserve">, es decir, su incidencia tiene implicaciones que pudieran afectar la forma en cómo debe tratarse al servidor público acusado, pues no se ha </w:t>
      </w:r>
      <w:r w:rsidRPr="00935C2C">
        <w:rPr>
          <w:rFonts w:ascii="Palatino Linotype" w:eastAsia="Palatino Linotype" w:hAnsi="Palatino Linotype" w:cs="Palatino Linotype"/>
        </w:rPr>
        <w:lastRenderedPageBreak/>
        <w:t>comprobado en su totalidad que éste incurrió en una infracción, razón por la cual en dichos supuestos se deberá clasificar la información conforme a la causal establecida en el artículo 140, fracción VI de la Ley en la materia, que es del tenor literal siguiente:</w:t>
      </w:r>
    </w:p>
    <w:p w14:paraId="2BC91750"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140.</w:t>
      </w:r>
      <w:r w:rsidRPr="00935C2C">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14:paraId="5C9030DA"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22AEFE67"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VI. </w:t>
      </w:r>
      <w:r w:rsidRPr="00935C2C">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E627BC7" w14:textId="77777777" w:rsidR="00A679F9" w:rsidRPr="00935C2C" w:rsidRDefault="00A326AB">
      <w:pPr>
        <w:spacing w:before="240" w:after="240" w:line="360" w:lineRule="auto"/>
        <w:ind w:right="49"/>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rPr>
        <w:t>Del diverso anterior,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3334A4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14:paraId="31B5361F"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Dichos argumentos, que se formulan por este Organismo Garante se construyen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0FEA232C"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Resulta necesario tomar en cuenta el derecho al buen nombre y a la intimidad porque se considera que, hasta en tanto no exista una resolución firme, la publicación de la información solicitada afectaría la reputación de una persona.</w:t>
      </w:r>
    </w:p>
    <w:p w14:paraId="245415A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48CF196E" w14:textId="77777777" w:rsidR="00A679F9" w:rsidRPr="00935C2C" w:rsidRDefault="00A326AB">
      <w:pPr>
        <w:spacing w:before="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Así las cosas, es de importante relevancia hacer del conocimiento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que la información con la que cuente respecto de expedientes de procedimientos administrativos que no han causado estado; es decir, que el principio de definitividad no se haya actualizado, por aún existir instancias para su revisión o impugnación o en su caso que no haya causado estado, reviste el carácter de información reservada, por lo tanto, se debe observar el procedimiento de clasificación establecido en la norma jurídica, a fin poner a disposición de la parte recurrente el Acta del Comité de Transparencia que se elabore para tal efecto, debiendo elaborar la prueba de daño correspondiente. </w:t>
      </w:r>
    </w:p>
    <w:p w14:paraId="4C0F7D8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Lo anterior es así, para dar seguridad jurídica a la persona solicitante que por alguna excepción establecida en ley no es posible acceder temporalmente a la información referida anteriormente, y no dejarle en estado de indefensión y exista certeza jurídica de lo expuesto por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siendo aplicables los siguientes preceptos legales de la Ley de la Materia:</w:t>
      </w:r>
    </w:p>
    <w:p w14:paraId="094FABD1"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3</w:t>
      </w:r>
      <w:r w:rsidRPr="00935C2C">
        <w:rPr>
          <w:rFonts w:ascii="Palatino Linotype" w:eastAsia="Palatino Linotype" w:hAnsi="Palatino Linotype" w:cs="Palatino Linotype"/>
          <w:i/>
          <w:sz w:val="22"/>
          <w:szCs w:val="22"/>
        </w:rPr>
        <w:t>. Para los efectos de la presente Ley se entenderá por:</w:t>
      </w:r>
    </w:p>
    <w:p w14:paraId="507F297F" w14:textId="77777777" w:rsidR="00A679F9" w:rsidRPr="00935C2C" w:rsidRDefault="00A326AB">
      <w:pPr>
        <w:spacing w:before="120" w:after="120"/>
        <w:ind w:left="1134"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3967CC4C" w14:textId="77777777" w:rsidR="00A679F9" w:rsidRPr="00935C2C" w:rsidRDefault="00A326AB">
      <w:pPr>
        <w:spacing w:before="120" w:after="120"/>
        <w:ind w:left="1134"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XXIV. Información reservada: </w:t>
      </w:r>
      <w:r w:rsidRPr="00935C2C">
        <w:rPr>
          <w:rFonts w:ascii="Palatino Linotype" w:eastAsia="Palatino Linotype" w:hAnsi="Palatino Linotype" w:cs="Palatino Linotype"/>
          <w:i/>
          <w:sz w:val="22"/>
          <w:szCs w:val="22"/>
        </w:rPr>
        <w:t>La clasificada con este carácter de manera temporal por las disposiciones de esta Ley, cuya divulgación puede causar daño en términos de lo establecido por esta Ley;</w:t>
      </w:r>
    </w:p>
    <w:p w14:paraId="5E154D4F"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w:t>
      </w:r>
    </w:p>
    <w:p w14:paraId="7243B766"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122</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sidRPr="00935C2C">
        <w:rPr>
          <w:rFonts w:ascii="Palatino Linotype" w:eastAsia="Palatino Linotype" w:hAnsi="Palatino Linotype" w:cs="Palatino Linotype"/>
          <w:b/>
          <w:i/>
          <w:sz w:val="22"/>
          <w:szCs w:val="22"/>
        </w:rPr>
        <w:t>actualiza</w:t>
      </w:r>
      <w:proofErr w:type="spellEnd"/>
      <w:r w:rsidRPr="00935C2C">
        <w:rPr>
          <w:rFonts w:ascii="Palatino Linotype" w:eastAsia="Palatino Linotype" w:hAnsi="Palatino Linotype" w:cs="Palatino Linotype"/>
          <w:b/>
          <w:i/>
          <w:sz w:val="22"/>
          <w:szCs w:val="22"/>
        </w:rPr>
        <w:t xml:space="preserve"> alguno de los supuestos de reserva</w:t>
      </w:r>
      <w:r w:rsidRPr="00935C2C">
        <w:rPr>
          <w:rFonts w:ascii="Palatino Linotype" w:eastAsia="Palatino Linotype" w:hAnsi="Palatino Linotype" w:cs="Palatino Linotype"/>
          <w:i/>
          <w:sz w:val="22"/>
          <w:szCs w:val="22"/>
        </w:rPr>
        <w:t xml:space="preserve"> o confidencialidad, de conformidad con lo dispuesto en el presente título.</w:t>
      </w:r>
    </w:p>
    <w:p w14:paraId="2ADFACE2"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61F81212"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04DA30AF"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w:t>
      </w:r>
    </w:p>
    <w:p w14:paraId="418A4B84"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Artículo 125. La información clasificada como reservada, de acuerdo a lo establecido en esta Ley podrá permanecer con tal carácter hasta por un periodo de cinco años, </w:t>
      </w:r>
      <w:r w:rsidRPr="00935C2C">
        <w:rPr>
          <w:rFonts w:ascii="Palatino Linotype" w:eastAsia="Palatino Linotype" w:hAnsi="Palatino Linotype" w:cs="Palatino Linotype"/>
          <w:i/>
          <w:sz w:val="22"/>
          <w:szCs w:val="22"/>
        </w:rPr>
        <w:t>contados a partir de su clasificación, salvo que antes del cumplimiento del periodo de restricción, dejaran de existir los motivos de su reserva.</w:t>
      </w:r>
    </w:p>
    <w:p w14:paraId="717FEBA7"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3806AAA"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lastRenderedPageBreak/>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0088E57C"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14:paraId="1ED884D7"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w:t>
      </w:r>
    </w:p>
    <w:p w14:paraId="736CE7D2"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 xml:space="preserve">Artículo 128. En los casos en que se niegue el acceso a la información, por actualizarse alguno de los supuestos de clasificación, el Comité de Transparencia deberá confirmar, modificar o revocar la decisión. </w:t>
      </w:r>
    </w:p>
    <w:p w14:paraId="34066614"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i/>
          <w:sz w:val="22"/>
          <w:szCs w:val="22"/>
        </w:rPr>
        <w:t xml:space="preserve">Para motivar la clasificación de la información y la ampliación del plazo de reserva, </w:t>
      </w:r>
      <w:r w:rsidRPr="00935C2C">
        <w:rPr>
          <w:rFonts w:ascii="Palatino Linotype" w:eastAsia="Palatino Linotype" w:hAnsi="Palatino Linotype" w:cs="Palatino Linotype"/>
          <w:b/>
          <w:i/>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7486D605"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Tratándose de aquélla información que actualice los supuestos de clasificación, deberá señalarse el plazo al que estará sujeto la reserva.</w:t>
      </w:r>
    </w:p>
    <w:p w14:paraId="73CD65F7"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u w:val="single"/>
        </w:rPr>
      </w:pPr>
      <w:r w:rsidRPr="00935C2C">
        <w:rPr>
          <w:rFonts w:ascii="Palatino Linotype" w:eastAsia="Palatino Linotype" w:hAnsi="Palatino Linotype" w:cs="Palatino Linotype"/>
          <w:b/>
          <w:i/>
          <w:sz w:val="22"/>
          <w:szCs w:val="22"/>
        </w:rPr>
        <w:t>Artículo 129.</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En la aplicación de la prueba de daño, el Sujeto Obligado deberá precisar las razones objetivas por las que la apertura de la información generaría una afectación, justificando que:</w:t>
      </w:r>
    </w:p>
    <w:p w14:paraId="29CDA127" w14:textId="77777777" w:rsidR="00A679F9" w:rsidRPr="00935C2C" w:rsidRDefault="00A326AB">
      <w:pPr>
        <w:spacing w:before="120" w:after="120"/>
        <w:ind w:left="1134"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I. La divulgación de la información representa un riesgo real, demostrable e identificable del perjuicio significativo al interés público o a la seguridad pública;</w:t>
      </w:r>
    </w:p>
    <w:p w14:paraId="50AC28B6" w14:textId="77777777" w:rsidR="00A679F9" w:rsidRPr="00935C2C" w:rsidRDefault="00A326AB">
      <w:pPr>
        <w:spacing w:before="120" w:after="120"/>
        <w:ind w:left="1134"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II. El riesgo de perjuicio que supondría la divulgación supera el interés público general de que se difunda; y</w:t>
      </w:r>
    </w:p>
    <w:p w14:paraId="77A2BC42" w14:textId="77777777" w:rsidR="00A679F9" w:rsidRPr="00935C2C" w:rsidRDefault="00A326AB">
      <w:pPr>
        <w:spacing w:before="120" w:after="120"/>
        <w:ind w:left="1134"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III. La limitación se adecua al principio de proporcionalidad y representa el medio menos restrictivo disponible representa el medio menos restrictivo disponible para evitar el perjuicio.</w:t>
      </w:r>
    </w:p>
    <w:p w14:paraId="391D30A1"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u w:val="single"/>
        </w:rPr>
        <w:lastRenderedPageBreak/>
        <w:t>Artículo 130. Los sujetos obligados deberán aplicar, de manera restrictiva y limitada, las excepciones al derecho de acceso a la información y sólo podrán invocarlas cuando acrediten su procedencia</w:t>
      </w:r>
      <w:r w:rsidRPr="00935C2C">
        <w:rPr>
          <w:rFonts w:ascii="Palatino Linotype" w:eastAsia="Palatino Linotype" w:hAnsi="Palatino Linotype" w:cs="Palatino Linotype"/>
          <w:i/>
          <w:sz w:val="22"/>
          <w:szCs w:val="22"/>
        </w:rPr>
        <w:t>, sin ampliar las excepciones o supuestos de reserva o confidencialidad previstos en la Ley General y la presente Ley, aduciendo analogía o mayoría de razón.</w:t>
      </w:r>
    </w:p>
    <w:p w14:paraId="2FDF65AF"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w:t>
      </w:r>
    </w:p>
    <w:p w14:paraId="284CB235" w14:textId="77777777" w:rsidR="00A679F9" w:rsidRPr="00935C2C" w:rsidRDefault="00A326AB">
      <w:pPr>
        <w:spacing w:before="120" w:after="120"/>
        <w:ind w:left="851" w:right="82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215D679C" w14:textId="77777777" w:rsidR="00A679F9" w:rsidRPr="00935C2C" w:rsidRDefault="00A326AB">
      <w:pPr>
        <w:spacing w:before="120" w:after="120"/>
        <w:ind w:left="1134"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175C82AC" w14:textId="77777777" w:rsidR="00A679F9" w:rsidRPr="00935C2C" w:rsidRDefault="00A326AB">
      <w:pPr>
        <w:spacing w:before="120" w:after="120"/>
        <w:ind w:left="1134"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VI.</w:t>
      </w:r>
      <w:r w:rsidRPr="00935C2C">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30DC066"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la interpretación sistemática de los artículos citados, se advierte que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debe realizar la debida reserva de la información por seguir en trámite el procedimiento aludido y de aquellas que no son graves, siguiendo los requisitos expuestos: </w:t>
      </w:r>
    </w:p>
    <w:p w14:paraId="519AE092"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“La divulgación de la información representa un riesgo real, demostrable e identificable del perjuicio significativo al interés público o a la seguridad pública;</w:t>
      </w:r>
    </w:p>
    <w:p w14:paraId="3DA620DF"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El riesgo de perjuicio que supondría la divulgación supera el interés público general de que se difunda; y</w:t>
      </w:r>
    </w:p>
    <w:p w14:paraId="2947F111"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La limitación se adecua al principio de proporcionalidad y representa el medio menos restrictivo disponible representa el medio menos restrictivo disponible para evitar el perjuicio.”</w:t>
      </w:r>
    </w:p>
    <w:p w14:paraId="47F7DBC9"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Requisitos que deben estar acompañados de la debida fundamentación y motivación, cobrado aplicación lo que señala la jurisprudencia de la novena época </w:t>
      </w:r>
      <w:r w:rsidRPr="00935C2C">
        <w:rPr>
          <w:rFonts w:ascii="Palatino Linotype" w:eastAsia="Palatino Linotype" w:hAnsi="Palatino Linotype" w:cs="Palatino Linotype"/>
        </w:rPr>
        <w:lastRenderedPageBreak/>
        <w:t>visible en el Semanario Judicial de la Federación y su Gaceta. Instancia: Tribunales Colegiados de Circuito. Tesis I.4o.A.J/43 (9a.) bajo el número de registro 175082 cuyo rubro y texto esgrime:</w:t>
      </w:r>
    </w:p>
    <w:p w14:paraId="0AB79A38" w14:textId="77777777" w:rsidR="00A679F9" w:rsidRPr="00935C2C" w:rsidRDefault="00A326AB">
      <w:pPr>
        <w:spacing w:before="240" w:after="24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“FUNDAMENTACIÓN Y MOTIVACIÓN. EL ASPECTO FORMAL DE LA GARANTÍA Y SU FINALIDAD SE TRADUCEN EN EXPLICAR, JUSTIFICAR, POSIBILITAR LA DEFENSA Y COMUNICAR LA DECISIÓN. </w:t>
      </w:r>
      <w:r w:rsidRPr="00935C2C">
        <w:rPr>
          <w:rFonts w:ascii="Palatino Linotype" w:eastAsia="Palatino Linotype" w:hAnsi="Palatino Linotype" w:cs="Palatino Linotype"/>
          <w:i/>
          <w:sz w:val="22"/>
          <w:szCs w:val="22"/>
        </w:rPr>
        <w:t>El contenido formal de la garantía de legalidad prevista en el artículo </w:t>
      </w:r>
      <w:hyperlink r:id="rId15">
        <w:r w:rsidRPr="00935C2C">
          <w:rPr>
            <w:rFonts w:ascii="Palatino Linotype" w:eastAsia="Palatino Linotype" w:hAnsi="Palatino Linotype" w:cs="Palatino Linotype"/>
            <w:i/>
            <w:sz w:val="22"/>
            <w:szCs w:val="22"/>
          </w:rPr>
          <w:t>16 constitucional</w:t>
        </w:r>
      </w:hyperlink>
      <w:r w:rsidRPr="00935C2C">
        <w:rPr>
          <w:rFonts w:ascii="Palatino Linotype" w:eastAsia="Palatino Linotype" w:hAnsi="Palatino Linotype" w:cs="Palatino Linotype"/>
          <w:i/>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0A414E9"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Debiendo argumentar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w:t>
      </w:r>
      <w:r w:rsidRPr="00935C2C">
        <w:rPr>
          <w:rFonts w:ascii="Palatino Linotype" w:eastAsia="Palatino Linotype" w:hAnsi="Palatino Linotype" w:cs="Palatino Linotype"/>
        </w:rPr>
        <w:lastRenderedPageBreak/>
        <w:t>de la Ley General de Transparencia y Acceso a la Información Pública), establece que aquella información que afecte o vulnere la conducción de procedimientos de responsabilidades administrativas, en tanto no hayan quedado firmes.</w:t>
      </w:r>
    </w:p>
    <w:p w14:paraId="71C2FBD1"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60438493"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Por su parte, los Lineamientos Generales en Materia de Clasificación y Desclasificación de la Información, así como para la elaboración de versiones públicas, establecen en su parte conducente, lo siguiente:</w:t>
      </w:r>
    </w:p>
    <w:p w14:paraId="1941DACA" w14:textId="77777777" w:rsidR="00A679F9" w:rsidRPr="00935C2C" w:rsidRDefault="00A326AB">
      <w:pPr>
        <w:spacing w:before="120" w:after="120"/>
        <w:ind w:left="851"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Vigésimo octavo.</w:t>
      </w:r>
      <w:r w:rsidRPr="00935C2C">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E7333A1" w14:textId="77777777" w:rsidR="00A679F9" w:rsidRPr="00935C2C" w:rsidRDefault="00A326AB">
      <w:pPr>
        <w:spacing w:before="120" w:after="120"/>
        <w:ind w:left="1134"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La existencia de un procedimiento de responsabilidad administrativa en trámite, y</w:t>
      </w:r>
    </w:p>
    <w:p w14:paraId="74905C76" w14:textId="77777777" w:rsidR="00A679F9" w:rsidRPr="00935C2C" w:rsidRDefault="00A326AB">
      <w:pPr>
        <w:spacing w:before="120" w:after="120"/>
        <w:ind w:left="1134" w:right="82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Que la información se refiera a actuaciones, diligencias y constancias propias del procedimiento de responsabilidad…”</w:t>
      </w:r>
    </w:p>
    <w:p w14:paraId="613804D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14:paraId="3D1D99C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ahí que, resulta procedente la reserva, en términos del artículo 140, fracción VI, de la Ley de Transparencia y Acceso a la Información Pública del Estado de México </w:t>
      </w:r>
      <w:r w:rsidRPr="00935C2C">
        <w:rPr>
          <w:rFonts w:ascii="Palatino Linotype" w:eastAsia="Palatino Linotype" w:hAnsi="Palatino Linotype" w:cs="Palatino Linotype"/>
        </w:rPr>
        <w:lastRenderedPageBreak/>
        <w:t>y Municipios, de los procedimientos por responsabilidades administrativas en trámite por faltas graves.</w:t>
      </w:r>
    </w:p>
    <w:p w14:paraId="33A0FE39"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42459A83" w14:textId="77777777" w:rsidR="00A679F9" w:rsidRPr="00935C2C" w:rsidRDefault="00A326AB">
      <w:pPr>
        <w:numPr>
          <w:ilvl w:val="0"/>
          <w:numId w:val="8"/>
        </w:numPr>
        <w:pBdr>
          <w:top w:val="nil"/>
          <w:left w:val="nil"/>
          <w:bottom w:val="nil"/>
          <w:right w:val="nil"/>
          <w:between w:val="nil"/>
        </w:pBdr>
        <w:spacing w:before="240" w:line="360" w:lineRule="auto"/>
        <w:ind w:right="49"/>
        <w:jc w:val="both"/>
        <w:rPr>
          <w:rFonts w:ascii="Palatino Linotype" w:eastAsia="Palatino Linotype" w:hAnsi="Palatino Linotype" w:cs="Palatino Linotype"/>
          <w:b/>
        </w:rPr>
      </w:pPr>
      <w:r w:rsidRPr="00935C2C">
        <w:rPr>
          <w:rFonts w:ascii="Palatino Linotype" w:eastAsia="Palatino Linotype" w:hAnsi="Palatino Linotype" w:cs="Palatino Linotype"/>
          <w:b/>
        </w:rPr>
        <w:t>Procedimientos de sanciones graves absolutorias, concluidos.</w:t>
      </w:r>
    </w:p>
    <w:p w14:paraId="03456A3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Si los procedimientos administrativos requeridos por la persona solicitante están contenidos en expedientes que encuadran en el presente caso se procederá a su acceso en versión pública, protegiendo el nombre, cargo y área de adscripción del Servidor Público absuelto y aquellos datos personales que le hagan identificable, pues al no relacionarse la información con servidores públicos que hubieran recibido alguna sanción por posibles responsabilidades, es procedente clasificar como confidencial los datos referidos, al poder causar un perjuicio a la vida privada de estos.</w:t>
      </w:r>
    </w:p>
    <w:p w14:paraId="19084C3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w:t>
      </w:r>
      <w:r w:rsidRPr="00935C2C">
        <w:rPr>
          <w:rFonts w:ascii="Palatino Linotype" w:eastAsia="Palatino Linotype" w:hAnsi="Palatino Linotype" w:cs="Palatino Linotype"/>
        </w:rPr>
        <w:lastRenderedPageBreak/>
        <w:t>supuestos de excepción a los principios que rijan el tratamiento de datos, por razones de seguridad nacional, disposiciones de orden público, seguridad y salud públicas o para proteger los derechos de terceros.</w:t>
      </w:r>
    </w:p>
    <w:p w14:paraId="6E5FE4F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FDEED0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63832EE"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concordancia con lo previo, el artículo 143, fracción I, de la Ley de Transparencia previamente citada, establece que la información privada y los datos personales, concernientes a una persona física identificada o identificable son confidenciales.</w:t>
      </w:r>
    </w:p>
    <w:p w14:paraId="4506CB5F"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935C2C">
        <w:rPr>
          <w:rFonts w:ascii="Palatino Linotype" w:eastAsia="Palatino Linotype" w:hAnsi="Palatino Linotype" w:cs="Palatino Linotype"/>
          <w:b/>
        </w:rPr>
        <w:t xml:space="preserve">i) </w:t>
      </w:r>
      <w:r w:rsidRPr="00935C2C">
        <w:rPr>
          <w:rFonts w:ascii="Palatino Linotype" w:eastAsia="Palatino Linotype" w:hAnsi="Palatino Linotype" w:cs="Palatino Linotype"/>
        </w:rPr>
        <w:t xml:space="preserve">la información se encuentre en registros públicos o fuentes de acceso </w:t>
      </w:r>
      <w:r w:rsidRPr="00935C2C">
        <w:rPr>
          <w:rFonts w:ascii="Palatino Linotype" w:eastAsia="Palatino Linotype" w:hAnsi="Palatino Linotype" w:cs="Palatino Linotype"/>
        </w:rPr>
        <w:lastRenderedPageBreak/>
        <w:t xml:space="preserve">público, </w:t>
      </w:r>
      <w:r w:rsidRPr="00935C2C">
        <w:rPr>
          <w:rFonts w:ascii="Palatino Linotype" w:eastAsia="Palatino Linotype" w:hAnsi="Palatino Linotype" w:cs="Palatino Linotype"/>
          <w:b/>
        </w:rPr>
        <w:t>ii)</w:t>
      </w:r>
      <w:r w:rsidRPr="00935C2C">
        <w:rPr>
          <w:rFonts w:ascii="Palatino Linotype" w:eastAsia="Palatino Linotype" w:hAnsi="Palatino Linotype" w:cs="Palatino Linotype"/>
        </w:rPr>
        <w:t xml:space="preserve"> por ley tenga el carácter de pública, </w:t>
      </w:r>
      <w:r w:rsidRPr="00935C2C">
        <w:rPr>
          <w:rFonts w:ascii="Palatino Linotype" w:eastAsia="Palatino Linotype" w:hAnsi="Palatino Linotype" w:cs="Palatino Linotype"/>
          <w:b/>
        </w:rPr>
        <w:t>iii)</w:t>
      </w:r>
      <w:r w:rsidRPr="00935C2C">
        <w:rPr>
          <w:rFonts w:ascii="Palatino Linotype" w:eastAsia="Palatino Linotype" w:hAnsi="Palatino Linotype" w:cs="Palatino Linotype"/>
        </w:rPr>
        <w:t xml:space="preserve"> exista una orden judicial, </w:t>
      </w:r>
      <w:r w:rsidRPr="00935C2C">
        <w:rPr>
          <w:rFonts w:ascii="Palatino Linotype" w:eastAsia="Palatino Linotype" w:hAnsi="Palatino Linotype" w:cs="Palatino Linotype"/>
          <w:b/>
        </w:rPr>
        <w:t>iv)</w:t>
      </w:r>
      <w:r w:rsidRPr="00935C2C">
        <w:rPr>
          <w:rFonts w:ascii="Palatino Linotype" w:eastAsia="Palatino Linotype" w:hAnsi="Palatino Linotype" w:cs="Palatino Linotype"/>
        </w:rPr>
        <w:t xml:space="preserve"> por razones de seguridad nacional y salubridad general o, </w:t>
      </w:r>
      <w:r w:rsidRPr="00935C2C">
        <w:rPr>
          <w:rFonts w:ascii="Palatino Linotype" w:eastAsia="Palatino Linotype" w:hAnsi="Palatino Linotype" w:cs="Palatino Linotype"/>
          <w:b/>
        </w:rPr>
        <w:t>v)</w:t>
      </w:r>
      <w:r w:rsidRPr="00935C2C">
        <w:rPr>
          <w:rFonts w:ascii="Palatino Linotype" w:eastAsia="Palatino Linotype" w:hAnsi="Palatino Linotype" w:cs="Palatino Linotype"/>
        </w:rPr>
        <w:t xml:space="preserve"> para proteger los derechos de terceros o cuando se transmitan entre sujetos obligados en términos de los tratados y los acuerdos interinstitucionales.</w:t>
      </w:r>
    </w:p>
    <w:p w14:paraId="30B4DF7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25EDBDE9" w14:textId="77777777" w:rsidR="00A679F9" w:rsidRPr="00935C2C" w:rsidRDefault="00A326AB">
      <w:pPr>
        <w:spacing w:line="360" w:lineRule="auto"/>
        <w:ind w:left="567" w:right="60"/>
        <w:jc w:val="both"/>
        <w:rPr>
          <w:rFonts w:ascii="Palatino Linotype" w:eastAsia="Palatino Linotype" w:hAnsi="Palatino Linotype" w:cs="Palatino Linotype"/>
        </w:rPr>
      </w:pPr>
      <w:r w:rsidRPr="00935C2C">
        <w:rPr>
          <w:rFonts w:ascii="Palatino Linotype" w:eastAsia="Palatino Linotype" w:hAnsi="Palatino Linotype" w:cs="Palatino Linotype"/>
          <w:b/>
          <w:sz w:val="22"/>
          <w:szCs w:val="22"/>
        </w:rPr>
        <w:t>a</w:t>
      </w:r>
      <w:r w:rsidRPr="00935C2C">
        <w:rPr>
          <w:rFonts w:ascii="Palatino Linotype" w:eastAsia="Palatino Linotype" w:hAnsi="Palatino Linotype" w:cs="Palatino Linotype"/>
          <w:b/>
        </w:rPr>
        <w:t>).</w:t>
      </w:r>
      <w:r w:rsidRPr="00935C2C">
        <w:rPr>
          <w:rFonts w:ascii="Palatino Linotype" w:eastAsia="Palatino Linotype" w:hAnsi="Palatino Linotype" w:cs="Palatino Linotype"/>
        </w:rPr>
        <w:t xml:space="preserve"> Se trate de datos personales; esto es, información concerniente a una persona física y que ésta sea identificada o identificable.</w:t>
      </w:r>
    </w:p>
    <w:p w14:paraId="2C9B59C7" w14:textId="77777777" w:rsidR="00A679F9" w:rsidRPr="00935C2C" w:rsidRDefault="00A326AB">
      <w:pPr>
        <w:spacing w:line="360" w:lineRule="auto"/>
        <w:ind w:left="567" w:right="60"/>
        <w:jc w:val="both"/>
        <w:rPr>
          <w:rFonts w:ascii="Palatino Linotype" w:eastAsia="Palatino Linotype" w:hAnsi="Palatino Linotype" w:cs="Palatino Linotype"/>
        </w:rPr>
      </w:pPr>
      <w:r w:rsidRPr="00935C2C">
        <w:rPr>
          <w:rFonts w:ascii="Palatino Linotype" w:eastAsia="Palatino Linotype" w:hAnsi="Palatino Linotype" w:cs="Palatino Linotype"/>
          <w:b/>
        </w:rPr>
        <w:t>b).</w:t>
      </w:r>
      <w:r w:rsidRPr="00935C2C">
        <w:rPr>
          <w:rFonts w:ascii="Palatino Linotype" w:eastAsia="Palatino Linotype" w:hAnsi="Palatino Linotype" w:cs="Palatino Linotype"/>
        </w:rPr>
        <w:t xml:space="preserve"> Para la difusión de los datos, se requiera el consentimiento del titular.</w:t>
      </w:r>
    </w:p>
    <w:p w14:paraId="5ED001B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ese orden de ideas, de conformidad con el artículo 3°, fracción IX de la Ley de Transparencia y Acceso a la Información Pública del Estado de México y Municipios, con relación al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935C2C">
        <w:rPr>
          <w:rFonts w:ascii="Palatino Linotype" w:eastAsia="Palatino Linotype" w:hAnsi="Palatino Linotype" w:cs="Palatino Linotype"/>
          <w:i/>
        </w:rPr>
        <w:t>cuando su identidad pueda determinarse directa o indirectamente a través de cualquier documento informativo físico o electrónico</w:t>
      </w:r>
      <w:r w:rsidRPr="00935C2C">
        <w:rPr>
          <w:rFonts w:ascii="Palatino Linotype" w:eastAsia="Palatino Linotype" w:hAnsi="Palatino Linotype" w:cs="Palatino Linotype"/>
        </w:rPr>
        <w:t>), establecida en cualquier formato o modalidad.</w:t>
      </w:r>
    </w:p>
    <w:p w14:paraId="6CDF45F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Además, en el artículo 5° de dicho ordenamiento jurídico, establece que es la Ley aplicable para todo tratamiento de datos personales.</w:t>
      </w:r>
    </w:p>
    <w:p w14:paraId="4C8CD9B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ese contexto, los artículos 6°, 7°, 8° y 14 de la Ley de Protección de Datos Personales en Posesión de Sujetos Obligados del Estado de México y Municipios </w:t>
      </w:r>
      <w:r w:rsidRPr="00935C2C">
        <w:rPr>
          <w:rFonts w:ascii="Palatino Linotype" w:eastAsia="Palatino Linotype" w:hAnsi="Palatino Linotype" w:cs="Palatino Linotype"/>
        </w:rPr>
        <w:lastRenderedPageBreak/>
        <w:t>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935C2C">
        <w:rPr>
          <w:rFonts w:ascii="Palatino Linotype" w:eastAsia="Palatino Linotype" w:hAnsi="Palatino Linotype" w:cs="Palatino Linotype"/>
          <w:i/>
        </w:rPr>
        <w:t>principio de finalidad</w:t>
      </w:r>
      <w:r w:rsidRPr="00935C2C">
        <w:rPr>
          <w:rFonts w:ascii="Palatino Linotype" w:eastAsia="Palatino Linotype" w:hAnsi="Palatino Linotype" w:cs="Palatino Linotype"/>
        </w:rPr>
        <w:t>).</w:t>
      </w:r>
    </w:p>
    <w:p w14:paraId="528852F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2E3844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este contexto, la confidencialidad de los datos personales, tiene por objetivo establecer el límite del derecho de acceso a la información a partir del derecho a la intimidad y la vida privada de los individuos.</w:t>
      </w:r>
    </w:p>
    <w:p w14:paraId="7D567A9F"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De tal suerte, las instituciones públicas tienen la doble responsabilidad, por un lado, de proteger los datos personales y por otro, darle publicidad aquella información de relevancia que sea de interés público.</w:t>
      </w:r>
    </w:p>
    <w:p w14:paraId="79AB160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14:paraId="3378021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DF55BE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tales circunstancias, se considera que en la especie proporcionar el nombre, cargo y área de adscripción de los Servidores Públicos absueltos,</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en caso de que existieran, podría afectar su honor, buen nombre y su imagen.</w:t>
      </w:r>
    </w:p>
    <w:p w14:paraId="68D3E9E3"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Al respecto, la Suprema Corte de Justicia de la Nación ha reconocido como derechos fundamentales de las personas, el derecho a la intimidad y a la propia imagen, en el siguiente criterio:</w:t>
      </w:r>
    </w:p>
    <w:p w14:paraId="24C0870D" w14:textId="77777777" w:rsidR="00A679F9" w:rsidRPr="00935C2C" w:rsidRDefault="00A326AB">
      <w:pPr>
        <w:spacing w:before="120" w:after="120"/>
        <w:ind w:left="862" w:right="86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 xml:space="preserve">DERECHOS A LA INTIMIDAD, PROPIA IMAGEN, IDENTIDAD PERSONAL Y SEXUAL. CONSTITUYEN DERECHOS DE DEFENSA Y GARANTÍA ESENCIAL PARA LA CONDICIÓN HUMANA.  </w:t>
      </w:r>
      <w:r w:rsidRPr="00935C2C">
        <w:rPr>
          <w:rFonts w:ascii="Palatino Linotype" w:eastAsia="Palatino Linotype" w:hAnsi="Palatino Linotype" w:cs="Palatino Linotype"/>
          <w:i/>
          <w:sz w:val="22"/>
          <w:szCs w:val="22"/>
        </w:rPr>
        <w:t xml:space="preserve">Dentro de los derechos personalísimos se encuentran necesariamente comprendidos el </w:t>
      </w:r>
      <w:r w:rsidRPr="00935C2C">
        <w:rPr>
          <w:rFonts w:ascii="Palatino Linotype" w:eastAsia="Palatino Linotype" w:hAnsi="Palatino Linotype" w:cs="Palatino Linotype"/>
          <w:b/>
          <w:i/>
          <w:sz w:val="22"/>
          <w:szCs w:val="22"/>
        </w:rPr>
        <w:t>derecho a la intimidad y a la propia imagen</w:t>
      </w:r>
      <w:r w:rsidRPr="00935C2C">
        <w:rPr>
          <w:rFonts w:ascii="Palatino Linotype" w:eastAsia="Palatino Linotype" w:hAnsi="Palatino Linotype" w:cs="Palatino Linotype"/>
          <w:i/>
          <w:sz w:val="22"/>
          <w:szCs w:val="22"/>
        </w:rPr>
        <w:t xml:space="preserve">, así como a la </w:t>
      </w:r>
      <w:r w:rsidRPr="00935C2C">
        <w:rPr>
          <w:rFonts w:ascii="Palatino Linotype" w:eastAsia="Palatino Linotype" w:hAnsi="Palatino Linotype" w:cs="Palatino Linotype"/>
          <w:b/>
          <w:i/>
          <w:sz w:val="22"/>
          <w:szCs w:val="22"/>
        </w:rPr>
        <w:t>identidad personal</w:t>
      </w:r>
      <w:r w:rsidRPr="00935C2C">
        <w:rPr>
          <w:rFonts w:ascii="Palatino Linotype" w:eastAsia="Palatino Linotype" w:hAnsi="Palatino Linotype" w:cs="Palatino Linotype"/>
          <w:i/>
          <w:sz w:val="22"/>
          <w:szCs w:val="22"/>
        </w:rPr>
        <w:t xml:space="preserve"> y sexual; entendiéndose por el primero, </w:t>
      </w:r>
      <w:r w:rsidRPr="00935C2C">
        <w:rPr>
          <w:rFonts w:ascii="Palatino Linotype" w:eastAsia="Palatino Linotype" w:hAnsi="Palatino Linotype" w:cs="Palatino Linotype"/>
          <w:b/>
          <w:i/>
          <w:sz w:val="22"/>
          <w:szCs w:val="22"/>
        </w:rPr>
        <w:t>el derecho del individuo a no ser conocido por otros en ciertos aspectos de su vida</w:t>
      </w:r>
      <w:r w:rsidRPr="00935C2C">
        <w:rPr>
          <w:rFonts w:ascii="Palatino Linotype" w:eastAsia="Palatino Linotype" w:hAnsi="Palatino Linotype" w:cs="Palatino Linotype"/>
          <w:i/>
          <w:sz w:val="22"/>
          <w:szCs w:val="22"/>
        </w:rPr>
        <w:t xml:space="preserve"> y, </w:t>
      </w:r>
      <w:r w:rsidRPr="00935C2C">
        <w:rPr>
          <w:rFonts w:ascii="Palatino Linotype" w:eastAsia="Palatino Linotype" w:hAnsi="Palatino Linotype" w:cs="Palatino Linotype"/>
          <w:b/>
          <w:i/>
          <w:sz w:val="22"/>
          <w:szCs w:val="22"/>
        </w:rPr>
        <w:t>por ende, el poder de decisión sobre la publicidad o información de datos relativos a su persona</w:t>
      </w:r>
      <w:r w:rsidRPr="00935C2C">
        <w:rPr>
          <w:rFonts w:ascii="Palatino Linotype" w:eastAsia="Palatino Linotype" w:hAnsi="Palatino Linotype" w:cs="Palatino Linotype"/>
          <w:i/>
          <w:sz w:val="22"/>
          <w:szCs w:val="22"/>
        </w:rPr>
        <w:t>, familia, pensamientos o sentimientos;</w:t>
      </w:r>
      <w:r w:rsidRPr="00935C2C">
        <w:rPr>
          <w:rFonts w:ascii="Palatino Linotype" w:eastAsia="Palatino Linotype" w:hAnsi="Palatino Linotype" w:cs="Palatino Linotype"/>
          <w:b/>
          <w:i/>
          <w:sz w:val="22"/>
          <w:szCs w:val="22"/>
        </w:rPr>
        <w:t xml:space="preserve"> </w:t>
      </w:r>
      <w:r w:rsidRPr="00935C2C">
        <w:rPr>
          <w:rFonts w:ascii="Palatino Linotype" w:eastAsia="Palatino Linotype" w:hAnsi="Palatino Linotype" w:cs="Palatino Linotype"/>
          <w:i/>
          <w:sz w:val="22"/>
          <w:szCs w:val="22"/>
        </w:rPr>
        <w:t xml:space="preserve">a la </w:t>
      </w:r>
      <w:r w:rsidRPr="00935C2C">
        <w:rPr>
          <w:rFonts w:ascii="Palatino Linotype" w:eastAsia="Palatino Linotype" w:hAnsi="Palatino Linotype" w:cs="Palatino Linotype"/>
          <w:b/>
          <w:i/>
          <w:sz w:val="22"/>
          <w:szCs w:val="22"/>
        </w:rPr>
        <w:t>propia imagen, como aquel derecho de decidir, en forma libre, sobre la manera en que elige mostrarse frente a los demás</w:t>
      </w:r>
      <w:r w:rsidRPr="00935C2C">
        <w:rPr>
          <w:rFonts w:ascii="Palatino Linotype" w:eastAsia="Palatino Linotype" w:hAnsi="Palatino Linotype" w:cs="Palatino Linotype"/>
          <w:i/>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w:t>
      </w:r>
      <w:r w:rsidRPr="00935C2C">
        <w:rPr>
          <w:rFonts w:ascii="Palatino Linotype" w:eastAsia="Palatino Linotype" w:hAnsi="Palatino Linotype" w:cs="Palatino Linotype"/>
          <w:i/>
          <w:sz w:val="22"/>
          <w:szCs w:val="22"/>
        </w:rPr>
        <w:lastRenderedPageBreak/>
        <w:t xml:space="preserve">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935C2C">
        <w:rPr>
          <w:rFonts w:ascii="Palatino Linotype" w:eastAsia="Palatino Linotype" w:hAnsi="Palatino Linotype" w:cs="Palatino Linotype"/>
          <w:b/>
          <w:i/>
          <w:sz w:val="22"/>
          <w:szCs w:val="22"/>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935C2C">
        <w:rPr>
          <w:rFonts w:ascii="Palatino Linotype" w:eastAsia="Palatino Linotype" w:hAnsi="Palatino Linotype" w:cs="Palatino Linotype"/>
          <w:i/>
          <w:sz w:val="22"/>
          <w:szCs w:val="22"/>
        </w:rPr>
        <w:t>”</w:t>
      </w:r>
    </w:p>
    <w:p w14:paraId="0909D28C"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ese sentido, es derecho de todo individuo a no ser conocido por otros en ciertos aspectos de su vida y, por ende, el poder de decisión sobre la publicidad o información de datos relativos a su persona (</w:t>
      </w:r>
      <w:r w:rsidRPr="00935C2C">
        <w:rPr>
          <w:rFonts w:ascii="Palatino Linotype" w:eastAsia="Palatino Linotype" w:hAnsi="Palatino Linotype" w:cs="Palatino Linotype"/>
          <w:i/>
        </w:rPr>
        <w:t>derecho a la intimidad</w:t>
      </w:r>
      <w:r w:rsidRPr="00935C2C">
        <w:rPr>
          <w:rFonts w:ascii="Palatino Linotype" w:eastAsia="Palatino Linotype" w:hAnsi="Palatino Linotype" w:cs="Palatino Linotype"/>
        </w:rPr>
        <w:t>).</w:t>
      </w:r>
    </w:p>
    <w:p w14:paraId="58DEE9A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Asimismo, el derecho a la propia imagen es el derecho de decidir, de forma libre, sobre la manera en que elige mostrarse frente a los demás.</w:t>
      </w:r>
    </w:p>
    <w:p w14:paraId="7AB6664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14:paraId="427DF3D4" w14:textId="77777777" w:rsidR="00A679F9" w:rsidRPr="00935C2C" w:rsidRDefault="00A326AB">
      <w:pPr>
        <w:spacing w:before="120" w:after="120"/>
        <w:ind w:left="862" w:right="86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 xml:space="preserve">DERECHO FUNDAMENTAL AL HONOR. SU DIMENSIÓN SUBJETIVA Y OBJETIVA. </w:t>
      </w:r>
      <w:r w:rsidRPr="00935C2C">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935C2C">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935C2C">
        <w:rPr>
          <w:rFonts w:ascii="Palatino Linotype" w:eastAsia="Palatino Linotype" w:hAnsi="Palatino Linotype" w:cs="Palatino Linotype"/>
          <w:i/>
          <w:sz w:val="22"/>
          <w:szCs w:val="22"/>
        </w:rPr>
        <w:t xml:space="preserve"> Todo individuo, al vivir en sociedad, tiene el derecho de ser respetado y considerado y, </w:t>
      </w:r>
      <w:r w:rsidRPr="00935C2C">
        <w:rPr>
          <w:rFonts w:ascii="Palatino Linotype" w:eastAsia="Palatino Linotype" w:hAnsi="Palatino Linotype" w:cs="Palatino Linotype"/>
          <w:i/>
          <w:sz w:val="22"/>
          <w:szCs w:val="22"/>
        </w:rPr>
        <w:lastRenderedPageBreak/>
        <w:t>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74FFDD9C"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De la tesis transcrita se desprende que el honor es el concepto que la persona tiene de sí misma o que los demás se han formado de ella, en virtud de su proceder o de la expresión de su calidad ética y social.</w:t>
      </w:r>
    </w:p>
    <w:p w14:paraId="16E5A27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029634D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Adicionalmente, en relación a este derecho [</w:t>
      </w:r>
      <w:r w:rsidRPr="00935C2C">
        <w:rPr>
          <w:rFonts w:ascii="Palatino Linotype" w:eastAsia="Palatino Linotype" w:hAnsi="Palatino Linotype" w:cs="Palatino Linotype"/>
          <w:i/>
        </w:rPr>
        <w:t>al honor</w:t>
      </w:r>
      <w:r w:rsidRPr="00935C2C">
        <w:rPr>
          <w:rFonts w:ascii="Palatino Linotype" w:eastAsia="Palatino Linotype" w:hAnsi="Palatino Linotype" w:cs="Palatino Linotype"/>
        </w:rPr>
        <w:t xml:space="preserve">], el máximo tribunal también ha señalado que aunque no esté expresamente contenido en la Carta Magna, ésta obliga su tutela en términos de lo previsto en el artículo 1° Constitucional, como se muestra </w:t>
      </w:r>
      <w:r w:rsidRPr="00935C2C">
        <w:rPr>
          <w:rFonts w:ascii="Palatino Linotype" w:eastAsia="Palatino Linotype" w:hAnsi="Palatino Linotype" w:cs="Palatino Linotype"/>
        </w:rPr>
        <w:lastRenderedPageBreak/>
        <w:t>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57765A92" w14:textId="77777777" w:rsidR="00A679F9" w:rsidRPr="00935C2C" w:rsidRDefault="00A326AB">
      <w:pPr>
        <w:spacing w:before="120" w:after="120"/>
        <w:ind w:left="862" w:right="862"/>
        <w:jc w:val="both"/>
        <w:rPr>
          <w:rFonts w:ascii="Palatino Linotype" w:eastAsia="Palatino Linotype" w:hAnsi="Palatino Linotype" w:cs="Palatino Linotype"/>
          <w:b/>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935C2C">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935C2C">
        <w:rPr>
          <w:rFonts w:ascii="Palatino Linotype" w:eastAsia="Palatino Linotype" w:hAnsi="Palatino Linotype" w:cs="Palatino Linotype"/>
          <w:i/>
          <w:sz w:val="22"/>
          <w:szCs w:val="22"/>
        </w:rPr>
        <w:t>personae</w:t>
      </w:r>
      <w:proofErr w:type="spellEnd"/>
      <w:r w:rsidRPr="00935C2C">
        <w:rPr>
          <w:rFonts w:ascii="Palatino Linotype" w:eastAsia="Palatino Linotype" w:hAnsi="Palatino Linotype" w:cs="Palatino Linotype"/>
          <w:i/>
          <w:sz w:val="22"/>
          <w:szCs w:val="22"/>
        </w:rPr>
        <w:t xml:space="preserv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w:t>
      </w:r>
      <w:r w:rsidRPr="00935C2C">
        <w:rPr>
          <w:rFonts w:ascii="Palatino Linotype" w:eastAsia="Palatino Linotype" w:hAnsi="Palatino Linotype" w:cs="Palatino Linotype"/>
          <w:i/>
          <w:sz w:val="22"/>
          <w:szCs w:val="22"/>
        </w:rPr>
        <w:lastRenderedPageBreak/>
        <w:t>ordenamientos superiores -Constitución y tratados internacionales- con los que cuenta el Estado Mexicano.”</w:t>
      </w:r>
      <w:r w:rsidRPr="00935C2C">
        <w:rPr>
          <w:rFonts w:ascii="Palatino Linotype" w:eastAsia="Palatino Linotype" w:hAnsi="Palatino Linotype" w:cs="Palatino Linotype"/>
          <w:b/>
          <w:i/>
          <w:sz w:val="22"/>
          <w:szCs w:val="22"/>
        </w:rPr>
        <w:t xml:space="preserve"> </w:t>
      </w:r>
    </w:p>
    <w:p w14:paraId="727D88E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Asimismo, el artículo 12 de la Declaración Universal de los Derechos Humanos</w:t>
      </w:r>
      <w:r w:rsidRPr="00935C2C">
        <w:rPr>
          <w:rFonts w:ascii="Palatino Linotype" w:eastAsia="Palatino Linotype" w:hAnsi="Palatino Linotype" w:cs="Palatino Linotype"/>
          <w:i/>
        </w:rPr>
        <w:t xml:space="preserve"> </w:t>
      </w:r>
      <w:r w:rsidRPr="00935C2C">
        <w:rPr>
          <w:rFonts w:ascii="Palatino Linotype" w:eastAsia="Palatino Linotype" w:hAnsi="Palatino Linotype" w:cs="Palatino Linotype"/>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54F9EC0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12E1520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69142C2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45EDF589"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RPr="00935C2C">
        <w:rPr>
          <w:rFonts w:ascii="Palatino Linotype" w:eastAsia="Palatino Linotype" w:hAnsi="Palatino Linotype" w:cs="Palatino Linotype"/>
          <w:i/>
        </w:rPr>
        <w:t>a priori</w:t>
      </w:r>
      <w:r w:rsidRPr="00935C2C">
        <w:rPr>
          <w:rFonts w:ascii="Palatino Linotype" w:eastAsia="Palatino Linotype" w:hAnsi="Palatino Linotype" w:cs="Palatino Linotype"/>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14:paraId="54F152CC" w14:textId="77777777" w:rsidR="00A679F9" w:rsidRPr="00935C2C" w:rsidRDefault="00A326AB">
      <w:pPr>
        <w:numPr>
          <w:ilvl w:val="0"/>
          <w:numId w:val="8"/>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rPr>
      </w:pPr>
      <w:r w:rsidRPr="00935C2C">
        <w:rPr>
          <w:rFonts w:ascii="Palatino Linotype" w:eastAsia="Palatino Linotype" w:hAnsi="Palatino Linotype" w:cs="Palatino Linotype"/>
          <w:b/>
        </w:rPr>
        <w:t>De los procedimientos de responsabilidad en trámite relacionados con actos de corrupción, violaciones graves de derechos humanos o delitos de lesa humanidad</w:t>
      </w:r>
    </w:p>
    <w:p w14:paraId="490247A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otra parte, se considera de suma importancia mencionar que la Ley de Transparencia vigente en el Estado de México establece:</w:t>
      </w:r>
    </w:p>
    <w:p w14:paraId="7782DE6D" w14:textId="77777777" w:rsidR="00A679F9" w:rsidRPr="00935C2C" w:rsidRDefault="00A326AB">
      <w:pPr>
        <w:spacing w:before="120" w:after="120"/>
        <w:ind w:left="862" w:right="86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142.</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u w:val="single"/>
        </w:rPr>
        <w:t>Bajo ninguna circunstancia podrá invocarse el carácter de reservado cuando</w:t>
      </w:r>
      <w:r w:rsidRPr="00935C2C">
        <w:rPr>
          <w:rFonts w:ascii="Palatino Linotype" w:eastAsia="Palatino Linotype" w:hAnsi="Palatino Linotype" w:cs="Palatino Linotype"/>
          <w:i/>
          <w:sz w:val="22"/>
          <w:szCs w:val="22"/>
        </w:rPr>
        <w:t>:</w:t>
      </w:r>
    </w:p>
    <w:p w14:paraId="729BEDDC" w14:textId="77777777" w:rsidR="00A679F9" w:rsidRPr="00935C2C" w:rsidRDefault="00A326AB">
      <w:pPr>
        <w:spacing w:before="120" w:after="120"/>
        <w:ind w:left="1134" w:right="86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u w:val="single"/>
        </w:rPr>
        <w:t>Se trate de violaciones graves de derechos humanos</w:t>
      </w:r>
      <w:r w:rsidRPr="00935C2C">
        <w:rPr>
          <w:rFonts w:ascii="Palatino Linotype" w:eastAsia="Palatino Linotype" w:hAnsi="Palatino Linotype" w:cs="Palatino Linotype"/>
          <w:i/>
          <w:sz w:val="22"/>
          <w:szCs w:val="22"/>
        </w:rPr>
        <w:t>, calificada así por autoridad competente;</w:t>
      </w:r>
    </w:p>
    <w:p w14:paraId="63011146" w14:textId="77777777" w:rsidR="00A679F9" w:rsidRPr="00935C2C" w:rsidRDefault="00A326AB">
      <w:pPr>
        <w:spacing w:before="120" w:after="120"/>
        <w:ind w:left="1134" w:right="86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u w:val="single"/>
        </w:rPr>
        <w:t>Se trate de la investigación de posibles violaciones graves de derechos humanos</w:t>
      </w:r>
      <w:r w:rsidRPr="00935C2C">
        <w:rPr>
          <w:rFonts w:ascii="Palatino Linotype" w:eastAsia="Palatino Linotype" w:hAnsi="Palatino Linotype" w:cs="Palatino Linotype"/>
          <w:i/>
          <w:sz w:val="22"/>
          <w:szCs w:val="22"/>
        </w:rPr>
        <w:t xml:space="preserve"> aun cuando no exista pronunciamiento previo de autoridad competente, cuando se determine, a partir de criterios cuantitativos y cualitativos la trascendencia social de las violaciones;</w:t>
      </w:r>
    </w:p>
    <w:p w14:paraId="3B008A1D" w14:textId="77777777" w:rsidR="00A679F9" w:rsidRPr="00935C2C" w:rsidRDefault="00A326AB">
      <w:pPr>
        <w:spacing w:before="120" w:after="120"/>
        <w:ind w:left="1134" w:right="86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u w:val="single"/>
        </w:rPr>
        <w:t>Se trate de delitos de lesa humanidad</w:t>
      </w:r>
      <w:r w:rsidRPr="00935C2C">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1EBF52A7" w14:textId="77777777" w:rsidR="00A679F9" w:rsidRPr="00935C2C" w:rsidRDefault="00A326AB">
      <w:pPr>
        <w:spacing w:before="120" w:after="120"/>
        <w:ind w:left="1134" w:right="86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IV</w:t>
      </w:r>
      <w:r w:rsidRPr="00935C2C">
        <w:rPr>
          <w:rFonts w:ascii="Palatino Linotype" w:eastAsia="Palatino Linotype" w:hAnsi="Palatino Linotype" w:cs="Palatino Linotype"/>
          <w:b/>
          <w:i/>
          <w:sz w:val="22"/>
          <w:szCs w:val="22"/>
          <w:u w:val="single"/>
        </w:rPr>
        <w:t>. Se trate de información relacionada con actos de corrupción</w:t>
      </w:r>
      <w:r w:rsidRPr="00935C2C">
        <w:rPr>
          <w:rFonts w:ascii="Palatino Linotype" w:eastAsia="Palatino Linotype" w:hAnsi="Palatino Linotype" w:cs="Palatino Linotype"/>
          <w:i/>
          <w:sz w:val="22"/>
          <w:szCs w:val="22"/>
        </w:rPr>
        <w:t xml:space="preserve"> de conformidad con las disposiciones jurídicas aplicables.</w:t>
      </w:r>
    </w:p>
    <w:p w14:paraId="2CD29B86" w14:textId="77777777" w:rsidR="00A679F9" w:rsidRPr="00935C2C" w:rsidRDefault="00A326AB">
      <w:pPr>
        <w:spacing w:before="240" w:after="240" w:line="360" w:lineRule="auto"/>
        <w:jc w:val="both"/>
        <w:rPr>
          <w:rFonts w:ascii="Palatino Linotype" w:eastAsia="Palatino Linotype" w:hAnsi="Palatino Linotype" w:cs="Palatino Linotype"/>
          <w:b/>
        </w:rPr>
      </w:pPr>
      <w:r w:rsidRPr="00935C2C">
        <w:rPr>
          <w:rFonts w:ascii="Palatino Linotype" w:eastAsia="Palatino Linotype" w:hAnsi="Palatino Linotype" w:cs="Palatino Linotype"/>
        </w:rPr>
        <w:lastRenderedPageBreak/>
        <w:t xml:space="preserve">Del artículo en estudio, se aprecia claramente en qué supuestos </w:t>
      </w:r>
      <w:r w:rsidRPr="00935C2C">
        <w:rPr>
          <w:rFonts w:ascii="Palatino Linotype" w:eastAsia="Palatino Linotype" w:hAnsi="Palatino Linotype" w:cs="Palatino Linotype"/>
          <w:b/>
          <w:u w:val="single"/>
        </w:rPr>
        <w:t>no se puede invocar el carácter de reservada,</w:t>
      </w:r>
      <w:r w:rsidRPr="00935C2C">
        <w:rPr>
          <w:rFonts w:ascii="Palatino Linotype" w:eastAsia="Palatino Linotype" w:hAnsi="Palatino Linotype" w:cs="Palatino Linotype"/>
        </w:rPr>
        <w:t xml:space="preserve"> sin embargo en el presente asunto no se tiene la certeza de que el Sujeto Obligado esté tramitando algún asunto relacionado con los supuestos establecidos en el dispositivo legal en análisis, en virtud de que este Organismo Garante no puede calificar al no poseer la información, empero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si estaría en posibilidades de determinarlo, y </w:t>
      </w:r>
      <w:r w:rsidRPr="00935C2C">
        <w:rPr>
          <w:rFonts w:ascii="Palatino Linotype" w:eastAsia="Palatino Linotype" w:hAnsi="Palatino Linotype" w:cs="Palatino Linotype"/>
          <w:b/>
        </w:rPr>
        <w:t>de ser el caso poner a disposición del recurrente la información en versión pública.</w:t>
      </w:r>
    </w:p>
    <w:p w14:paraId="26A528C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Por lo que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deberá realizar una búsqueda exhaustiva y razonable de la información requerida por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y, de ser el caso de que se actualice alguno de los supuestos contemplados en el artículo 142 de la Ley de Transparencia y Acceso a la Información del Estado de México y Municipios, deberá entregar a la parte recurrente</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 xml:space="preserve">la información en versión pública a efecto de proteger cualquier dato personal sensible de ser clasificado de terceros, si no se pudiera encuadrar tal circunstancia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deberá fundar y motivar debidamente las razones por las cuales no se le puede entregar la información, esto es emitir el acuerdo de reserva correspondiente.</w:t>
      </w:r>
    </w:p>
    <w:p w14:paraId="2919ACD0" w14:textId="77777777" w:rsidR="00A679F9" w:rsidRPr="00935C2C" w:rsidRDefault="00A326AB">
      <w:pPr>
        <w:numPr>
          <w:ilvl w:val="0"/>
          <w:numId w:val="8"/>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rPr>
      </w:pPr>
      <w:r w:rsidRPr="00935C2C">
        <w:rPr>
          <w:rFonts w:ascii="Palatino Linotype" w:eastAsia="Palatino Linotype" w:hAnsi="Palatino Linotype" w:cs="Palatino Linotype"/>
          <w:b/>
        </w:rPr>
        <w:t>De los procedimientos sobre faltas administrativas graves concluidos con sanción condenatoria.</w:t>
      </w:r>
    </w:p>
    <w:p w14:paraId="59077796" w14:textId="77777777" w:rsidR="00A679F9" w:rsidRPr="00935C2C" w:rsidRDefault="00A326AB">
      <w:pPr>
        <w:spacing w:before="240" w:after="240" w:line="360" w:lineRule="auto"/>
        <w:ind w:right="40"/>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Si el o los expedientes que encuadren en el supuesto que se analiza, ya han causado estado, es decir, que ya no acepta recurso o medio de defensa alguno, es procedente entregar la información al recurrente pero en versión pública, dejando visible el nombre, cargo y sanción impuesta al Servidor Público condenado del cual se solicita información, no así todos los datos personales que en éste se encuentren los que se </w:t>
      </w:r>
      <w:r w:rsidRPr="00935C2C">
        <w:rPr>
          <w:rFonts w:ascii="Palatino Linotype" w:eastAsia="Palatino Linotype" w:hAnsi="Palatino Linotype" w:cs="Palatino Linotype"/>
        </w:rPr>
        <w:lastRenderedPageBreak/>
        <w:t>deberán proteger, para lo cual el Sujeto Obligado deberá realizar y notificar el acuerdo de clasificación de la información relativa a los datos personales a efecto de que pueda emitir la versión pública de lo que se le solicitó.</w:t>
      </w:r>
    </w:p>
    <w:p w14:paraId="0E838F09"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 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14:paraId="6813021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Al respecto, se pueden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3C43300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78972F7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5B04289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4997072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acreditó una responsabilidad grave, de tal manera, en que los puedan reconocer.</w:t>
      </w:r>
    </w:p>
    <w:p w14:paraId="41F9F6C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2D7DE09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w:t>
      </w:r>
      <w:r w:rsidRPr="00935C2C">
        <w:rPr>
          <w:rFonts w:ascii="Palatino Linotype" w:eastAsia="Palatino Linotype" w:hAnsi="Palatino Linotype" w:cs="Palatino Linotype"/>
        </w:rPr>
        <w:lastRenderedPageBreak/>
        <w:t>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511D59E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6E0E6EA5" w14:textId="77777777" w:rsidR="00A679F9" w:rsidRPr="00935C2C" w:rsidRDefault="00A326AB">
      <w:pPr>
        <w:tabs>
          <w:tab w:val="left" w:pos="851"/>
        </w:tabs>
        <w:spacing w:before="240" w:line="360" w:lineRule="auto"/>
        <w:ind w:left="567" w:firstLine="8"/>
        <w:jc w:val="both"/>
        <w:rPr>
          <w:rFonts w:ascii="Palatino Linotype" w:eastAsia="Palatino Linotype" w:hAnsi="Palatino Linotype" w:cs="Palatino Linotype"/>
        </w:rPr>
      </w:pPr>
      <w:r w:rsidRPr="00935C2C">
        <w:rPr>
          <w:rFonts w:ascii="Palatino Linotype" w:eastAsia="Palatino Linotype" w:hAnsi="Palatino Linotype" w:cs="Palatino Linotype"/>
        </w:rPr>
        <w:t>−</w:t>
      </w:r>
      <w:r w:rsidRPr="00935C2C">
        <w:rPr>
          <w:rFonts w:ascii="Palatino Linotype" w:eastAsia="Palatino Linotype" w:hAnsi="Palatino Linotype" w:cs="Palatino Linotype"/>
          <w:sz w:val="16"/>
          <w:szCs w:val="16"/>
        </w:rPr>
        <w:t xml:space="preserve">          </w:t>
      </w:r>
      <w:r w:rsidRPr="00935C2C">
        <w:rPr>
          <w:rFonts w:ascii="Palatino Linotype" w:eastAsia="Palatino Linotype" w:hAnsi="Palatino Linotype" w:cs="Palatino Linotype"/>
          <w:b/>
        </w:rPr>
        <w:t>Idoneidad:</w:t>
      </w:r>
      <w:r w:rsidRPr="00935C2C">
        <w:rPr>
          <w:rFonts w:ascii="Palatino Linotype" w:eastAsia="Palatino Linotype" w:hAnsi="Palatino Linotype" w:cs="Palatino Linotype"/>
        </w:rPr>
        <w:t xml:space="preserve"> La legitimidad del derecho adoptado como preferente, que sea el adecuado para el logro de un fin constitucionalmente válido o apto para conseguir el fin pretendido;</w:t>
      </w:r>
    </w:p>
    <w:p w14:paraId="3AB7A295" w14:textId="77777777" w:rsidR="00A679F9" w:rsidRPr="00935C2C" w:rsidRDefault="00A326AB">
      <w:pPr>
        <w:tabs>
          <w:tab w:val="left" w:pos="851"/>
        </w:tabs>
        <w:spacing w:before="240" w:after="240" w:line="360" w:lineRule="auto"/>
        <w:ind w:left="567" w:firstLine="8"/>
        <w:jc w:val="both"/>
        <w:rPr>
          <w:rFonts w:ascii="Palatino Linotype" w:eastAsia="Palatino Linotype" w:hAnsi="Palatino Linotype" w:cs="Palatino Linotype"/>
        </w:rPr>
      </w:pPr>
      <w:r w:rsidRPr="00935C2C">
        <w:rPr>
          <w:rFonts w:ascii="Palatino Linotype" w:eastAsia="Palatino Linotype" w:hAnsi="Palatino Linotype" w:cs="Palatino Linotype"/>
        </w:rPr>
        <w:t>−</w:t>
      </w:r>
      <w:r w:rsidRPr="00935C2C">
        <w:rPr>
          <w:rFonts w:ascii="Palatino Linotype" w:eastAsia="Palatino Linotype" w:hAnsi="Palatino Linotype" w:cs="Palatino Linotype"/>
          <w:sz w:val="16"/>
          <w:szCs w:val="16"/>
        </w:rPr>
        <w:t xml:space="preserve">          </w:t>
      </w:r>
      <w:r w:rsidRPr="00935C2C">
        <w:rPr>
          <w:rFonts w:ascii="Palatino Linotype" w:eastAsia="Palatino Linotype" w:hAnsi="Palatino Linotype" w:cs="Palatino Linotype"/>
          <w:b/>
        </w:rPr>
        <w:t>Necesidad:</w:t>
      </w:r>
      <w:r w:rsidRPr="00935C2C">
        <w:rPr>
          <w:rFonts w:ascii="Palatino Linotype" w:eastAsia="Palatino Linotype" w:hAnsi="Palatino Linotype" w:cs="Palatino Linotype"/>
        </w:rPr>
        <w:t xml:space="preserve"> La falta de un medio alternativo menos lesivo a la apertura de la información, para satisfacer el interés público, y</w:t>
      </w:r>
    </w:p>
    <w:p w14:paraId="31E504AC" w14:textId="77777777" w:rsidR="00A679F9" w:rsidRPr="00935C2C" w:rsidRDefault="00A326AB">
      <w:pPr>
        <w:tabs>
          <w:tab w:val="left" w:pos="851"/>
        </w:tabs>
        <w:spacing w:before="240" w:after="240" w:line="360" w:lineRule="auto"/>
        <w:ind w:left="567" w:firstLine="8"/>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w:t>
      </w:r>
      <w:r w:rsidRPr="00935C2C">
        <w:rPr>
          <w:rFonts w:ascii="Palatino Linotype" w:eastAsia="Palatino Linotype" w:hAnsi="Palatino Linotype" w:cs="Palatino Linotype"/>
          <w:sz w:val="16"/>
          <w:szCs w:val="16"/>
        </w:rPr>
        <w:t xml:space="preserve">          </w:t>
      </w:r>
      <w:r w:rsidRPr="00935C2C">
        <w:rPr>
          <w:rFonts w:ascii="Palatino Linotype" w:eastAsia="Palatino Linotype" w:hAnsi="Palatino Linotype" w:cs="Palatino Linotype"/>
          <w:b/>
        </w:rPr>
        <w:t>Proporcionalidad:</w:t>
      </w:r>
      <w:r w:rsidRPr="00935C2C">
        <w:rPr>
          <w:rFonts w:ascii="Palatino Linotype" w:eastAsia="Palatino Linotype" w:hAnsi="Palatino Linotype" w:cs="Palatino Linotype"/>
        </w:rPr>
        <w:t xml:space="preserve"> El equilibrio entre perjuicio y beneficio a favor del interés público, a fin de que la decisión tomada represente un beneficio mayor al perjuicio que podría causar a la población.</w:t>
      </w:r>
    </w:p>
    <w:p w14:paraId="39F10C7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ese orden de ideas, resulta procedente analizar cada uno de los elementos referidos, partiendo de que, en el caso concreto, se estima como preferente el derecho de acceso a la información, bajo las consideraciones que se verterán a continuación.</w:t>
      </w:r>
    </w:p>
    <w:p w14:paraId="6F77B36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a) Idoneidad</w:t>
      </w:r>
      <w:r w:rsidRPr="00935C2C">
        <w:rPr>
          <w:rFonts w:ascii="Palatino Linotype" w:eastAsia="Palatino Linotype" w:hAnsi="Palatino Linotype" w:cs="Palatino Linotype"/>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5E2A5A8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14:paraId="19DF93EF"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w:t>
      </w:r>
      <w:r w:rsidRPr="00935C2C">
        <w:rPr>
          <w:rFonts w:ascii="Palatino Linotype" w:eastAsia="Palatino Linotype" w:hAnsi="Palatino Linotype" w:cs="Palatino Linotype"/>
        </w:rPr>
        <w:lastRenderedPageBreak/>
        <w:t>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313AF5B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3DF148AB"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14:paraId="6C7DA42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ese contexto, dado que la información se relaciona con el actuar de los servidores públicos adscritos al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w:t>
      </w:r>
    </w:p>
    <w:p w14:paraId="2B0E884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Lo anterior, ya que como se precisó en párrafos anteriores, proporcionar la información de referencia, garantizaría la rendición de cuentas por parte de la Contraloría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14:paraId="678F53E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Además, que, con dicha información, se estaría revelando que el desempeño de los servidores públicos sancionados, no fue conforme a derecho, asimismo, de dar a conocer que los referidos acreditaron que había cometido alguna responsabilidad grave.</w:t>
      </w:r>
    </w:p>
    <w:p w14:paraId="00938B29"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374E522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b) Necesidad: </w:t>
      </w:r>
      <w:r w:rsidRPr="00935C2C">
        <w:rPr>
          <w:rFonts w:ascii="Palatino Linotype" w:eastAsia="Palatino Linotype" w:hAnsi="Palatino Linotype" w:cs="Palatino Linotype"/>
        </w:rPr>
        <w:t xml:space="preserve">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al servidor público sancionado, pues se relacionan con el ejercicio de sus funciones de los cargos ocupados, a fin de que los ciudadanos identifiquen el tipo de desempeño efectuado por el trabajador, en el </w:t>
      </w:r>
      <w:r w:rsidRPr="00935C2C">
        <w:rPr>
          <w:rFonts w:ascii="Palatino Linotype" w:eastAsia="Palatino Linotype" w:hAnsi="Palatino Linotype" w:cs="Palatino Linotype"/>
        </w:rPr>
        <w:lastRenderedPageBreak/>
        <w:t>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52B1723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Además, ello permite evaluar la actuación de la Contraloría Municipal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pues se podrá advertir la forma en la que ejercieron las funciones que legalmente tienen conferidas.</w:t>
      </w:r>
    </w:p>
    <w:p w14:paraId="7C786094"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Lo anterior, considerando que sólo por esta vía se podría lograr el acceso a la información correspondiente a los documentos del interés del Particular, para garantizar la rendición de cuentas sobre su actuación, así como, la de los servidores públicos sancionados.</w:t>
      </w:r>
    </w:p>
    <w:p w14:paraId="311E067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tal virtud, por la trascendencia social de la materia del requerimiento, el derecho de acceso a la información deberá prevalecer sobre el derecho a la privacidad.</w:t>
      </w:r>
    </w:p>
    <w:p w14:paraId="67EB41C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c) Proporcionalidad en sentido estricto:</w:t>
      </w:r>
      <w:r w:rsidRPr="00935C2C">
        <w:rPr>
          <w:rFonts w:ascii="Palatino Linotype" w:eastAsia="Palatino Linotype" w:hAnsi="Palatino Linotype" w:cs="Palatino Linotype"/>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w:t>
      </w:r>
      <w:r w:rsidRPr="00935C2C">
        <w:rPr>
          <w:rFonts w:ascii="Palatino Linotype" w:eastAsia="Palatino Linotype" w:hAnsi="Palatino Linotype" w:cs="Palatino Linotype"/>
        </w:rPr>
        <w:lastRenderedPageBreak/>
        <w:t>Además, que como se precisó en párrafos previos, dichas faltas recaen en una afectación, para terceras personas, o bien, al erario público.</w:t>
      </w:r>
    </w:p>
    <w:p w14:paraId="47471F6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0E8C571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38F4AD7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1DAFB853"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Por tanto, se concluye que, al tenor de la ponderación realizada, se cumple con los tres elementos para darle preminencia, en el caso concreto, al derecho de acceso a la información.</w:t>
      </w:r>
    </w:p>
    <w:p w14:paraId="793F18EC"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Por lo expuesto, se determina que 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 Conforme a lo anterior, se concluye que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únicamente se encuentra constreñido, a proporcionar los procedimientos que ya hayan causado estado, sin testar el nombre del servidor público que fue sancionado por responsabilidades graves.</w:t>
      </w:r>
    </w:p>
    <w:p w14:paraId="04AC0E99"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Conforme a lo expuesto, se concluye que para satisfacer el </w:t>
      </w:r>
      <w:r w:rsidRPr="00935C2C">
        <w:rPr>
          <w:rFonts w:ascii="Palatino Linotype" w:eastAsia="Palatino Linotype" w:hAnsi="Palatino Linotype" w:cs="Palatino Linotype"/>
          <w:b/>
        </w:rPr>
        <w:t>punto 3,</w:t>
      </w:r>
      <w:r w:rsidRPr="00935C2C">
        <w:rPr>
          <w:rFonts w:ascii="Palatino Linotype" w:eastAsia="Palatino Linotype" w:hAnsi="Palatino Linotype" w:cs="Palatino Linotype"/>
        </w:rPr>
        <w:t xml:space="preserve"> relativo a </w:t>
      </w:r>
      <w:r w:rsidRPr="00935C2C">
        <w:rPr>
          <w:rFonts w:ascii="Palatino Linotype" w:eastAsia="Palatino Linotype" w:hAnsi="Palatino Linotype" w:cs="Palatino Linotype"/>
          <w:i/>
        </w:rPr>
        <w:t xml:space="preserve">la relación de quejas contra servidores públicos presentadas ante esta dependencia municipal durante los años 2019, 2020, 2021 y lo que va de 2022,  </w:t>
      </w:r>
      <w:r w:rsidRPr="00935C2C">
        <w:rPr>
          <w:rFonts w:ascii="Palatino Linotype" w:eastAsia="Palatino Linotype" w:hAnsi="Palatino Linotype" w:cs="Palatino Linotype"/>
        </w:rPr>
        <w:t xml:space="preserve">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 xml:space="preserve">deberá hacer entrega del soporte documental que dé cuenta de las denuncias presentadas en contra de servidores públicos ante la Contraloría Municipal, del uno de enero de dos mil diecinueve al veintidós de febrero de dos mil veintidós, siendo importante mencionar que de la interpretación del requerimiento de información no se advierte que la persona solicitante pretenda acceder al nombre de los servidores públicos, cargo o área de adscripción, sino únicamente al informe o listado de quejas presentadas, sin embargo, no debe pasarse por alto que la obligación de transparencia no implica que los Sujetos Obligados tengan el deber de generar documentos </w:t>
      </w:r>
      <w:r w:rsidRPr="00935C2C">
        <w:rPr>
          <w:rFonts w:ascii="Palatino Linotype" w:eastAsia="Palatino Linotype" w:hAnsi="Palatino Linotype" w:cs="Palatino Linotype"/>
          <w:i/>
        </w:rPr>
        <w:t>ad hoc</w:t>
      </w:r>
      <w:r w:rsidRPr="00935C2C">
        <w:rPr>
          <w:rFonts w:ascii="Palatino Linotype" w:eastAsia="Palatino Linotype" w:hAnsi="Palatino Linotype" w:cs="Palatino Linotype"/>
        </w:rPr>
        <w:t xml:space="preserve">, para satisfacer el derecho de acceso a la información pública, pues solo se encuentran constreñidos a proporcionar la información que se les </w:t>
      </w:r>
      <w:r w:rsidRPr="00935C2C">
        <w:rPr>
          <w:rFonts w:ascii="Palatino Linotype" w:eastAsia="Palatino Linotype" w:hAnsi="Palatino Linotype" w:cs="Palatino Linotype"/>
        </w:rPr>
        <w:lastRenderedPageBreak/>
        <w:t xml:space="preserve">requiera y que obre en sus archivos en el estado en el que esta se encuentre de conformidad con lo establecido en el artículo 12 de la Ley de la materia y el criterio orientador 03/17 citados con antelación, por lo que, si derivado de la búsqueda que efectúe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no llegara a localizar un documento en el que conste concretamente la información en los términos que es requerida, deberá proporcionar soporte documental en donde conste la información que brinde respuesta a la solicitud, así el particular podrá buscar conforme a su interés, conforme a lo establecido en el criterio orientador 16/17, emitido por el Instituto Nacional de Transparencia, Acceso a la Información y Protección de Datos Personales, INAI, establece lo siguiente: </w:t>
      </w:r>
    </w:p>
    <w:p w14:paraId="57B8B69B" w14:textId="77777777" w:rsidR="00A679F9" w:rsidRPr="00935C2C" w:rsidRDefault="00A326AB">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935C2C">
        <w:rPr>
          <w:sz w:val="22"/>
          <w:szCs w:val="22"/>
        </w:rPr>
        <w:t xml:space="preserve"> “</w:t>
      </w:r>
      <w:r w:rsidRPr="00935C2C">
        <w:rPr>
          <w:rFonts w:ascii="Palatino Linotype" w:eastAsia="Palatino Linotype" w:hAnsi="Palatino Linotype" w:cs="Palatino Linotype"/>
          <w:b/>
          <w:i/>
          <w:sz w:val="22"/>
          <w:szCs w:val="22"/>
        </w:rPr>
        <w:t xml:space="preserve">Expresión documental. </w:t>
      </w:r>
      <w:r w:rsidRPr="00935C2C">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64424CE5" w14:textId="77777777" w:rsidR="00A679F9" w:rsidRPr="00935C2C" w:rsidRDefault="00A326AB">
      <w:pPr>
        <w:tabs>
          <w:tab w:val="left" w:pos="142"/>
          <w:tab w:val="left" w:pos="284"/>
          <w:tab w:val="left" w:pos="426"/>
        </w:tabs>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Debiendo, de ser el caso, entregar la información a través de versión pública, en la que se proteja el nombre de los servidores públicos, cargo, área de adscripción y cualquier información adicional que les haga identificables, asimismo, si lo requerido encuadra en cualquier otro supuesto de los abordados con anterioridad,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deberá estarse a lo señalado en líneas argumentativas anteriores.</w:t>
      </w:r>
    </w:p>
    <w:p w14:paraId="5E8CDF4E" w14:textId="77777777" w:rsidR="00A679F9" w:rsidRPr="00935C2C" w:rsidRDefault="00A326AB">
      <w:pPr>
        <w:tabs>
          <w:tab w:val="left" w:pos="142"/>
          <w:tab w:val="left" w:pos="284"/>
          <w:tab w:val="left" w:pos="426"/>
        </w:tabs>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Mientras que para atender el </w:t>
      </w:r>
      <w:r w:rsidRPr="00935C2C">
        <w:rPr>
          <w:rFonts w:ascii="Palatino Linotype" w:eastAsia="Palatino Linotype" w:hAnsi="Palatino Linotype" w:cs="Palatino Linotype"/>
          <w:b/>
        </w:rPr>
        <w:t>punto 4,</w:t>
      </w:r>
      <w:r w:rsidRPr="00935C2C">
        <w:rPr>
          <w:rFonts w:ascii="Palatino Linotype" w:eastAsia="Palatino Linotype" w:hAnsi="Palatino Linotype" w:cs="Palatino Linotype"/>
        </w:rPr>
        <w:t xml:space="preserve"> en el que se solicitó la </w:t>
      </w:r>
      <w:r w:rsidRPr="00935C2C">
        <w:rPr>
          <w:rFonts w:ascii="Palatino Linotype" w:eastAsia="Palatino Linotype" w:hAnsi="Palatino Linotype" w:cs="Palatino Linotype"/>
          <w:i/>
        </w:rPr>
        <w:t xml:space="preserve">relación de los procedimientos que ya hayan causado efecto y su resolución, </w:t>
      </w:r>
      <w:r w:rsidRPr="00935C2C">
        <w:rPr>
          <w:rFonts w:ascii="Palatino Linotype" w:eastAsia="Palatino Linotype" w:hAnsi="Palatino Linotype" w:cs="Palatino Linotype"/>
        </w:rPr>
        <w:t xml:space="preserve">se considera que con la entrega de las </w:t>
      </w:r>
      <w:r w:rsidRPr="00935C2C">
        <w:rPr>
          <w:rFonts w:ascii="Palatino Linotype" w:eastAsia="Palatino Linotype" w:hAnsi="Palatino Linotype" w:cs="Palatino Linotype"/>
          <w:b/>
        </w:rPr>
        <w:t xml:space="preserve">resoluciones de los procedimientos </w:t>
      </w:r>
      <w:r w:rsidRPr="00935C2C">
        <w:rPr>
          <w:rFonts w:ascii="Palatino Linotype" w:eastAsia="Palatino Linotype" w:hAnsi="Palatino Linotype" w:cs="Palatino Linotype"/>
          <w:b/>
          <w:u w:val="single"/>
        </w:rPr>
        <w:t>que hayan causado estado</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 xml:space="preserve">del uno de enero de dos mil diecinueve al veintidós de febrero de dos mil veintidós, la </w:t>
      </w:r>
      <w:r w:rsidRPr="00935C2C">
        <w:rPr>
          <w:rFonts w:ascii="Palatino Linotype" w:eastAsia="Palatino Linotype" w:hAnsi="Palatino Linotype" w:cs="Palatino Linotype"/>
        </w:rPr>
        <w:lastRenderedPageBreak/>
        <w:t xml:space="preserve">persona solicitante podrá obtener la relación de los procedimientos, previo análisis que efectué de las referidas documentales, sin embargo, toda vez que el requerimiento de información versa sobre todos los procedimientos, sin distinción entre faltas graves y no graves,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deberá proporcionar la información en versión pública atendiendo los argumentos señalados en líneas anteriores, es decir:</w:t>
      </w:r>
    </w:p>
    <w:p w14:paraId="5D5FA5AD" w14:textId="77777777" w:rsidR="00A679F9" w:rsidRPr="00935C2C" w:rsidRDefault="00A326AB">
      <w:pPr>
        <w:numPr>
          <w:ilvl w:val="0"/>
          <w:numId w:val="5"/>
        </w:numPr>
        <w:pBdr>
          <w:top w:val="nil"/>
          <w:left w:val="nil"/>
          <w:bottom w:val="nil"/>
          <w:right w:val="nil"/>
          <w:between w:val="nil"/>
        </w:pBdr>
        <w:tabs>
          <w:tab w:val="left" w:pos="142"/>
          <w:tab w:val="left" w:pos="284"/>
          <w:tab w:val="left" w:pos="426"/>
        </w:tabs>
        <w:spacing w:before="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los procedimientos por</w:t>
      </w:r>
      <w:r w:rsidRPr="00935C2C">
        <w:rPr>
          <w:rFonts w:ascii="Palatino Linotype" w:eastAsia="Palatino Linotype" w:hAnsi="Palatino Linotype" w:cs="Palatino Linotype"/>
          <w:b/>
        </w:rPr>
        <w:t xml:space="preserve"> faltas graves, condenatorias, </w:t>
      </w:r>
      <w:r w:rsidRPr="00935C2C">
        <w:rPr>
          <w:rFonts w:ascii="Palatino Linotype" w:eastAsia="Palatino Linotype" w:hAnsi="Palatino Linotype" w:cs="Palatino Linotype"/>
        </w:rPr>
        <w:t>el nombre del servidor público es información de acceso público.</w:t>
      </w:r>
    </w:p>
    <w:p w14:paraId="3963BEBB" w14:textId="77777777" w:rsidR="00A679F9" w:rsidRPr="00935C2C" w:rsidRDefault="00A326AB">
      <w:pPr>
        <w:numPr>
          <w:ilvl w:val="0"/>
          <w:numId w:val="5"/>
        </w:numPr>
        <w:pBdr>
          <w:top w:val="nil"/>
          <w:left w:val="nil"/>
          <w:bottom w:val="nil"/>
          <w:right w:val="nil"/>
          <w:between w:val="nil"/>
        </w:pBdr>
        <w:tabs>
          <w:tab w:val="left" w:pos="142"/>
          <w:tab w:val="left" w:pos="284"/>
          <w:tab w:val="left" w:pos="426"/>
        </w:tabs>
        <w:spacing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procedimientos por</w:t>
      </w:r>
      <w:r w:rsidRPr="00935C2C">
        <w:rPr>
          <w:rFonts w:ascii="Palatino Linotype" w:eastAsia="Palatino Linotype" w:hAnsi="Palatino Linotype" w:cs="Palatino Linotype"/>
          <w:b/>
        </w:rPr>
        <w:t xml:space="preserve"> faltas graves absolutorias, </w:t>
      </w:r>
      <w:r w:rsidRPr="00935C2C">
        <w:rPr>
          <w:rFonts w:ascii="Palatino Linotype" w:eastAsia="Palatino Linotype" w:hAnsi="Palatino Linotype" w:cs="Palatino Linotype"/>
        </w:rPr>
        <w:t>se deberá</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clasificar como confidencial el nombre y cargo así como cualquier otro dato que haga identificable al servidor público.</w:t>
      </w:r>
    </w:p>
    <w:p w14:paraId="4298E074" w14:textId="77777777" w:rsidR="00A679F9" w:rsidRPr="00935C2C" w:rsidRDefault="00A326A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5C2C">
        <w:rPr>
          <w:rFonts w:ascii="Palatino Linotype" w:eastAsia="Palatino Linotype" w:hAnsi="Palatino Linotype" w:cs="Palatino Linotype"/>
        </w:rPr>
        <w:t>En procedimientos por</w:t>
      </w:r>
      <w:r w:rsidRPr="00935C2C">
        <w:rPr>
          <w:rFonts w:ascii="Palatino Linotype" w:eastAsia="Palatino Linotype" w:hAnsi="Palatino Linotype" w:cs="Palatino Linotype"/>
          <w:b/>
        </w:rPr>
        <w:t xml:space="preserve"> faltas no graves absolutorias y condenatorias, </w:t>
      </w:r>
      <w:r w:rsidRPr="00935C2C">
        <w:rPr>
          <w:rFonts w:ascii="Palatino Linotype" w:eastAsia="Palatino Linotype" w:hAnsi="Palatino Linotype" w:cs="Palatino Linotype"/>
        </w:rPr>
        <w:t>se deberá clasificar como confidencial el nombre, cargo y cualquier otro dato que haga identificable al servidor público, así como la sanción en caso de las condenatorias.</w:t>
      </w:r>
    </w:p>
    <w:p w14:paraId="7DE797C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Finalmente, respecto del </w:t>
      </w:r>
      <w:r w:rsidRPr="00935C2C">
        <w:rPr>
          <w:rFonts w:ascii="Palatino Linotype" w:eastAsia="Palatino Linotype" w:hAnsi="Palatino Linotype" w:cs="Palatino Linotype"/>
          <w:b/>
        </w:rPr>
        <w:t>p</w:t>
      </w:r>
      <w:r w:rsidR="0061691A" w:rsidRPr="00935C2C">
        <w:rPr>
          <w:rFonts w:ascii="Palatino Linotype" w:eastAsia="Palatino Linotype" w:hAnsi="Palatino Linotype" w:cs="Palatino Linotype"/>
          <w:b/>
        </w:rPr>
        <w:t xml:space="preserve">unto 5, </w:t>
      </w:r>
      <w:r w:rsidR="0061691A" w:rsidRPr="00935C2C">
        <w:rPr>
          <w:rFonts w:ascii="Palatino Linotype" w:eastAsia="Palatino Linotype" w:hAnsi="Palatino Linotype" w:cs="Palatino Linotype"/>
        </w:rPr>
        <w:t>mediante el cual se solicita</w:t>
      </w:r>
      <w:r w:rsidR="0061691A" w:rsidRPr="00935C2C">
        <w:rPr>
          <w:rFonts w:ascii="Palatino Linotype" w:eastAsia="Palatino Linotype" w:hAnsi="Palatino Linotype" w:cs="Palatino Linotype"/>
          <w:b/>
        </w:rPr>
        <w:t xml:space="preserve"> </w:t>
      </w:r>
      <w:r w:rsidR="0061691A" w:rsidRPr="00935C2C">
        <w:rPr>
          <w:rFonts w:ascii="Palatino Linotype" w:eastAsia="Palatino Linotype" w:hAnsi="Palatino Linotype" w:cs="Palatino Linotype"/>
          <w:i/>
        </w:rPr>
        <w:t xml:space="preserve">el </w:t>
      </w:r>
      <w:r w:rsidR="0061691A" w:rsidRPr="00935C2C">
        <w:rPr>
          <w:rFonts w:ascii="Palatino Linotype" w:eastAsia="Palatino Linotype" w:hAnsi="Palatino Linotype" w:cs="Palatino Linotype"/>
          <w:i/>
          <w:sz w:val="22"/>
          <w:szCs w:val="22"/>
        </w:rPr>
        <w:t>certificado de competencia laboral del titular de la Contraloría Municipal</w:t>
      </w:r>
      <w:r w:rsidRPr="00935C2C">
        <w:rPr>
          <w:rFonts w:ascii="Palatino Linotype" w:eastAsia="Palatino Linotype" w:hAnsi="Palatino Linotype" w:cs="Palatino Linotype"/>
        </w:rPr>
        <w:t>, es imprescindible traer a colación el contenido de los artículos 32, fracción IV y 113 de la Ley Orgánica Municipal del Estado de México, cuyo texto es del tenor literal siguiente:</w:t>
      </w:r>
    </w:p>
    <w:p w14:paraId="38B6C519"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32. Para ocupar las titularidades de</w:t>
      </w:r>
      <w:r w:rsidRPr="00935C2C">
        <w:rPr>
          <w:rFonts w:ascii="Palatino Linotype" w:eastAsia="Palatino Linotype" w:hAnsi="Palatino Linotype" w:cs="Palatino Linotype"/>
          <w:i/>
          <w:sz w:val="22"/>
          <w:szCs w:val="22"/>
        </w:rPr>
        <w:t xml:space="preserve"> la Secretaría, </w:t>
      </w:r>
      <w:r w:rsidRPr="00935C2C">
        <w:rPr>
          <w:rFonts w:ascii="Palatino Linotype" w:eastAsia="Palatino Linotype" w:hAnsi="Palatino Linotype" w:cs="Palatino Linotype"/>
          <w:b/>
          <w:i/>
          <w:sz w:val="22"/>
          <w:szCs w:val="22"/>
        </w:rPr>
        <w:t>la Tesorería</w:t>
      </w:r>
      <w:r w:rsidRPr="00935C2C">
        <w:rPr>
          <w:rFonts w:ascii="Palatino Linotype" w:eastAsia="Palatino Linotype" w:hAnsi="Palatino Linotype" w:cs="Palatino Linotype"/>
          <w:i/>
          <w:sz w:val="22"/>
          <w:szCs w:val="22"/>
        </w:rPr>
        <w:t xml:space="preserve">,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w:t>
      </w:r>
      <w:r w:rsidRPr="00935C2C">
        <w:rPr>
          <w:rFonts w:ascii="Palatino Linotype" w:eastAsia="Palatino Linotype" w:hAnsi="Palatino Linotype" w:cs="Palatino Linotype"/>
          <w:b/>
          <w:i/>
          <w:sz w:val="22"/>
          <w:szCs w:val="22"/>
        </w:rPr>
        <w:t>se deberán satisfacer los siguientes requisitos</w:t>
      </w:r>
      <w:r w:rsidRPr="00935C2C">
        <w:rPr>
          <w:rFonts w:ascii="Palatino Linotype" w:eastAsia="Palatino Linotype" w:hAnsi="Palatino Linotype" w:cs="Palatino Linotype"/>
          <w:i/>
          <w:sz w:val="22"/>
          <w:szCs w:val="22"/>
        </w:rPr>
        <w:t>:</w:t>
      </w:r>
    </w:p>
    <w:p w14:paraId="56B42A38"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lastRenderedPageBreak/>
        <w:t>...</w:t>
      </w:r>
    </w:p>
    <w:p w14:paraId="58C493E3"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IV.</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u w:val="single"/>
        </w:rPr>
        <w:t>Contar con certificación de competencia laboral en la materia del cargo</w:t>
      </w:r>
      <w:r w:rsidRPr="00935C2C">
        <w:rPr>
          <w:rFonts w:ascii="Palatino Linotype" w:eastAsia="Palatino Linotype" w:hAnsi="Palatino Linotype" w:cs="Palatino Linotype"/>
          <w:b/>
          <w:i/>
          <w:sz w:val="22"/>
          <w:szCs w:val="22"/>
        </w:rPr>
        <w:t xml:space="preserve"> que se desempeñará, expedida por institución con reconocimiento de validez oficial. Este </w:t>
      </w:r>
      <w:r w:rsidRPr="00935C2C">
        <w:rPr>
          <w:rFonts w:ascii="Palatino Linotype" w:eastAsia="Palatino Linotype" w:hAnsi="Palatino Linotype" w:cs="Palatino Linotype"/>
          <w:b/>
          <w:i/>
          <w:sz w:val="22"/>
          <w:szCs w:val="22"/>
          <w:u w:val="single"/>
        </w:rPr>
        <w:t>requisito deberá acreditarse dentro de los seis meses siguientes a la fecha en que inicien sus funciones</w:t>
      </w:r>
      <w:r w:rsidRPr="00935C2C">
        <w:rPr>
          <w:rFonts w:ascii="Palatino Linotype" w:eastAsia="Palatino Linotype" w:hAnsi="Palatino Linotype" w:cs="Palatino Linotype"/>
          <w:i/>
          <w:sz w:val="22"/>
          <w:szCs w:val="22"/>
        </w:rPr>
        <w:t>;</w:t>
      </w:r>
    </w:p>
    <w:p w14:paraId="086A5ABD"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7327AE05"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113.-</w:t>
      </w:r>
      <w:r w:rsidRPr="00935C2C">
        <w:rPr>
          <w:rFonts w:ascii="Palatino Linotype" w:eastAsia="Palatino Linotype" w:hAnsi="Palatino Linotype" w:cs="Palatino Linotype"/>
          <w:i/>
          <w:sz w:val="22"/>
          <w:szCs w:val="22"/>
        </w:rPr>
        <w:t xml:space="preserve"> </w:t>
      </w:r>
      <w:r w:rsidRPr="00935C2C">
        <w:rPr>
          <w:rFonts w:ascii="Palatino Linotype" w:eastAsia="Palatino Linotype" w:hAnsi="Palatino Linotype" w:cs="Palatino Linotype"/>
          <w:b/>
          <w:i/>
          <w:sz w:val="22"/>
          <w:szCs w:val="22"/>
        </w:rPr>
        <w:t xml:space="preserve">Para ser </w:t>
      </w:r>
      <w:r w:rsidRPr="00935C2C">
        <w:rPr>
          <w:rFonts w:ascii="Palatino Linotype" w:eastAsia="Palatino Linotype" w:hAnsi="Palatino Linotype" w:cs="Palatino Linotype"/>
          <w:b/>
          <w:i/>
          <w:sz w:val="22"/>
          <w:szCs w:val="22"/>
          <w:u w:val="single"/>
        </w:rPr>
        <w:t>contralor</w:t>
      </w:r>
      <w:r w:rsidRPr="00935C2C">
        <w:rPr>
          <w:rFonts w:ascii="Palatino Linotype" w:eastAsia="Palatino Linotype" w:hAnsi="Palatino Linotype" w:cs="Palatino Linotype"/>
          <w:b/>
          <w:i/>
          <w:sz w:val="22"/>
          <w:szCs w:val="22"/>
        </w:rPr>
        <w:t xml:space="preserve"> se requiere cumplir con los requisitos que se exigen para ser </w:t>
      </w:r>
      <w:r w:rsidRPr="00935C2C">
        <w:rPr>
          <w:rFonts w:ascii="Palatino Linotype" w:eastAsia="Palatino Linotype" w:hAnsi="Palatino Linotype" w:cs="Palatino Linotype"/>
          <w:b/>
          <w:i/>
          <w:sz w:val="22"/>
          <w:szCs w:val="22"/>
          <w:u w:val="single"/>
        </w:rPr>
        <w:t>tesorero municipal</w:t>
      </w:r>
      <w:r w:rsidRPr="00935C2C">
        <w:rPr>
          <w:rFonts w:ascii="Palatino Linotype" w:eastAsia="Palatino Linotype" w:hAnsi="Palatino Linotype" w:cs="Palatino Linotype"/>
          <w:i/>
          <w:sz w:val="22"/>
          <w:szCs w:val="22"/>
        </w:rPr>
        <w:t>, a excepción de la caución correspondiente.”</w:t>
      </w:r>
    </w:p>
    <w:p w14:paraId="544BD9D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De los preceptos citados se desprende que para ocupar el cargo de Contralor se requiere cumplir con los mismos requisitos que se exigen para ser Tesorero, entre los que se encuentra el certificado de competencia laboral, que es materia del requerimiento de la persona solicitante, sin embargo, los servidores públicos cuentan con un plazo de seis meses contados a partir de la fecha en la que inicien funciones para acreditar dicho requisito.</w:t>
      </w:r>
    </w:p>
    <w:p w14:paraId="7CF1203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este sentido, no obsta mencionar que, de conformidad con el directorio de servidores públicos que se localiza en el portal de Información Pública de Oficio Mexiquense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en cumplimiento a la obligación de transparencia de oficio establecida en el artículo 92, fracción VII</w:t>
      </w:r>
      <w:r w:rsidRPr="00935C2C">
        <w:rPr>
          <w:rFonts w:ascii="Palatino Linotype" w:eastAsia="Palatino Linotype" w:hAnsi="Palatino Linotype" w:cs="Palatino Linotype"/>
          <w:vertAlign w:val="superscript"/>
        </w:rPr>
        <w:footnoteReference w:id="9"/>
      </w:r>
      <w:r w:rsidRPr="00935C2C">
        <w:rPr>
          <w:rFonts w:ascii="Palatino Linotype" w:eastAsia="Palatino Linotype" w:hAnsi="Palatino Linotype" w:cs="Palatino Linotype"/>
        </w:rPr>
        <w:t xml:space="preserve"> de la Ley de Transparencia y Acceso a la Información Pública del Estado de México y Municipios, este Organismo </w:t>
      </w:r>
      <w:r w:rsidRPr="00935C2C">
        <w:rPr>
          <w:rFonts w:ascii="Palatino Linotype" w:eastAsia="Palatino Linotype" w:hAnsi="Palatino Linotype" w:cs="Palatino Linotype"/>
        </w:rPr>
        <w:lastRenderedPageBreak/>
        <w:t>Garante advirtió que el Servidor Público que ostenta el cargo de Contralor fue dado de alta en fecha uno de enero de dos mil vestidos, es decir, un mes y veintidós días antes de la presentación de la solicitud, como se observa a continuación:</w:t>
      </w:r>
    </w:p>
    <w:p w14:paraId="496CC0C8" w14:textId="77777777" w:rsidR="00A679F9" w:rsidRPr="00935C2C" w:rsidRDefault="00A326AB">
      <w:pPr>
        <w:spacing w:before="240" w:after="240" w:line="360" w:lineRule="auto"/>
        <w:jc w:val="center"/>
        <w:rPr>
          <w:rFonts w:ascii="Palatino Linotype" w:eastAsia="Palatino Linotype" w:hAnsi="Palatino Linotype" w:cs="Palatino Linotype"/>
        </w:rPr>
      </w:pPr>
      <w:r w:rsidRPr="00935C2C">
        <w:rPr>
          <w:rFonts w:ascii="Palatino Linotype" w:eastAsia="Palatino Linotype" w:hAnsi="Palatino Linotype" w:cs="Palatino Linotype"/>
          <w:noProof/>
        </w:rPr>
        <w:drawing>
          <wp:inline distT="0" distB="0" distL="0" distR="0" wp14:anchorId="2F6981FF" wp14:editId="7DACE0BC">
            <wp:extent cx="4860000" cy="4241969"/>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860000" cy="4241969"/>
                    </a:xfrm>
                    <a:prstGeom prst="rect">
                      <a:avLst/>
                    </a:prstGeom>
                    <a:ln/>
                  </pic:spPr>
                </pic:pic>
              </a:graphicData>
            </a:graphic>
          </wp:inline>
        </w:drawing>
      </w:r>
      <w:r w:rsidRPr="00935C2C">
        <w:rPr>
          <w:noProof/>
        </w:rPr>
        <mc:AlternateContent>
          <mc:Choice Requires="wpg">
            <w:drawing>
              <wp:anchor distT="0" distB="0" distL="114300" distR="114300" simplePos="0" relativeHeight="251658240" behindDoc="0" locked="0" layoutInCell="1" hidden="0" allowOverlap="1" wp14:anchorId="6C3688FA" wp14:editId="0331C241">
                <wp:simplePos x="0" y="0"/>
                <wp:positionH relativeFrom="column">
                  <wp:posOffset>2336800</wp:posOffset>
                </wp:positionH>
                <wp:positionV relativeFrom="paragraph">
                  <wp:posOffset>1663700</wp:posOffset>
                </wp:positionV>
                <wp:extent cx="479535" cy="101162"/>
                <wp:effectExtent l="0" t="0" r="0" b="0"/>
                <wp:wrapNone/>
                <wp:docPr id="54" name="Conector recto de flecha 54"/>
                <wp:cNvGraphicFramePr/>
                <a:graphic xmlns:a="http://schemas.openxmlformats.org/drawingml/2006/main">
                  <a:graphicData uri="http://schemas.microsoft.com/office/word/2010/wordprocessingShape">
                    <wps:wsp>
                      <wps:cNvCnPr/>
                      <wps:spPr>
                        <a:xfrm flipH="1">
                          <a:off x="5125283" y="3748469"/>
                          <a:ext cx="441435" cy="63062"/>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2336800</wp:posOffset>
                </wp:positionH>
                <wp:positionV relativeFrom="paragraph">
                  <wp:posOffset>1663700</wp:posOffset>
                </wp:positionV>
                <wp:extent cx="479535" cy="101162"/>
                <wp:effectExtent b="0" l="0" r="0" t="0"/>
                <wp:wrapNone/>
                <wp:docPr id="54"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479535" cy="101162"/>
                        </a:xfrm>
                        <a:prstGeom prst="rect"/>
                        <a:ln/>
                      </pic:spPr>
                    </pic:pic>
                  </a:graphicData>
                </a:graphic>
              </wp:anchor>
            </w:drawing>
          </mc:Fallback>
        </mc:AlternateContent>
      </w:r>
    </w:p>
    <w:p w14:paraId="6C2C8F7F"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Sin embargo, con la finalidad de atender el requerimiento de información, la unidad de transparencia, en observancia de lo previsto en los artículos 53</w:t>
      </w:r>
      <w:r w:rsidRPr="00935C2C">
        <w:rPr>
          <w:rFonts w:ascii="Palatino Linotype" w:eastAsia="Palatino Linotype" w:hAnsi="Palatino Linotype" w:cs="Palatino Linotype"/>
          <w:vertAlign w:val="superscript"/>
        </w:rPr>
        <w:footnoteReference w:id="10"/>
      </w:r>
      <w:r w:rsidRPr="00935C2C">
        <w:rPr>
          <w:rFonts w:ascii="Palatino Linotype" w:eastAsia="Palatino Linotype" w:hAnsi="Palatino Linotype" w:cs="Palatino Linotype"/>
        </w:rPr>
        <w:t xml:space="preserve"> fracciones II y IV y 162</w:t>
      </w:r>
      <w:r w:rsidRPr="00935C2C">
        <w:rPr>
          <w:rFonts w:ascii="Palatino Linotype" w:eastAsia="Palatino Linotype" w:hAnsi="Palatino Linotype" w:cs="Palatino Linotype"/>
          <w:vertAlign w:val="superscript"/>
        </w:rPr>
        <w:footnoteReference w:id="11"/>
      </w:r>
      <w:r w:rsidRPr="00935C2C">
        <w:rPr>
          <w:rFonts w:ascii="Palatino Linotype" w:eastAsia="Palatino Linotype" w:hAnsi="Palatino Linotype" w:cs="Palatino Linotype"/>
        </w:rPr>
        <w:t xml:space="preserve"> de la Ley de la Materia, la Unidad de Transparencia turnó la solicitud de </w:t>
      </w:r>
      <w:r w:rsidRPr="00935C2C">
        <w:rPr>
          <w:rFonts w:ascii="Palatino Linotype" w:eastAsia="Palatino Linotype" w:hAnsi="Palatino Linotype" w:cs="Palatino Linotype"/>
        </w:rPr>
        <w:lastRenderedPageBreak/>
        <w:t>información a la Dirección General de Administración, área que, de conformidad con el Código Reglamentario Municipal de Toluca, se integra por la Dirección de Recursos Humanos, de la Dirección de Recursos Materiales, de la Dirección de Servicios Generales y de la Dirección de Tecnologías de la Información y Gobierno Digital, teniendo la primera las siguientes atribuciones en su parte conducente:</w:t>
      </w:r>
    </w:p>
    <w:p w14:paraId="0489E8FC"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3.45</w:t>
      </w:r>
      <w:r w:rsidRPr="00935C2C">
        <w:rPr>
          <w:rFonts w:ascii="Palatino Linotype" w:eastAsia="Palatino Linotype" w:hAnsi="Palatino Linotype" w:cs="Palatino Linotype"/>
          <w:i/>
          <w:sz w:val="22"/>
          <w:szCs w:val="22"/>
        </w:rPr>
        <w:t xml:space="preserve">. La o el titular de la </w:t>
      </w:r>
      <w:r w:rsidRPr="00935C2C">
        <w:rPr>
          <w:rFonts w:ascii="Palatino Linotype" w:eastAsia="Palatino Linotype" w:hAnsi="Palatino Linotype" w:cs="Palatino Linotype"/>
          <w:b/>
          <w:i/>
          <w:sz w:val="22"/>
          <w:szCs w:val="22"/>
        </w:rPr>
        <w:t>Dirección de Recursos Humanos</w:t>
      </w:r>
      <w:r w:rsidRPr="00935C2C">
        <w:rPr>
          <w:rFonts w:ascii="Palatino Linotype" w:eastAsia="Palatino Linotype" w:hAnsi="Palatino Linotype" w:cs="Palatino Linotype"/>
          <w:i/>
          <w:sz w:val="22"/>
          <w:szCs w:val="22"/>
        </w:rPr>
        <w:t xml:space="preserve"> cuenta con las siguientes atribuciones: </w:t>
      </w:r>
    </w:p>
    <w:p w14:paraId="39BBCA1D"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Elaborar, operar y mejorar los procedimientos administrativos de control para la selección, reclutamiento, contratación, escalafón, capacitación, retiro, sanción, comisión y desarrollo del personal al servicio del Municipio;</w:t>
      </w:r>
    </w:p>
    <w:p w14:paraId="744587B5"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Vigilar que se cumplan las disposiciones en materia de trabajo, seguridad, higiene, así como las demás normas aplicables a la institución respecto de los derechos y obligaciones del personal;</w:t>
      </w:r>
    </w:p>
    <w:p w14:paraId="2A742E68"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462504CD"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IV</w:t>
      </w:r>
      <w:r w:rsidRPr="00935C2C">
        <w:rPr>
          <w:rFonts w:ascii="Palatino Linotype" w:eastAsia="Palatino Linotype" w:hAnsi="Palatino Linotype" w:cs="Palatino Linotype"/>
          <w:i/>
          <w:sz w:val="22"/>
          <w:szCs w:val="22"/>
        </w:rPr>
        <w:t xml:space="preserve">. Aplicar las disposiciones legales laborales que rigen al personal del Ayuntamiento; </w:t>
      </w:r>
    </w:p>
    <w:p w14:paraId="15360F15"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V.</w:t>
      </w:r>
      <w:r w:rsidRPr="00935C2C">
        <w:rPr>
          <w:rFonts w:ascii="Palatino Linotype" w:eastAsia="Palatino Linotype" w:hAnsi="Palatino Linotype" w:cs="Palatino Linotype"/>
          <w:i/>
          <w:sz w:val="22"/>
          <w:szCs w:val="22"/>
        </w:rPr>
        <w:t xml:space="preserve"> Registrar las altas, reingresos, bajas, cambios de categoría y adscripción, permisos y licencias por incapacidad, entre otras, del personal, y su correcta aplicación;...”</w:t>
      </w:r>
    </w:p>
    <w:p w14:paraId="55ED4D9A"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Al respecto, la Servidora Pública Habilitada de la Dirección de Recursos Humanos, informó que se hizo una búsqueda exhaustiva y razonable en los archivos que guarda la unidad a su cargo y no se encontró dicho documento, señalado que de conformidad con el artículo 32 de la Ley Orgánica Municipal dicho requisito podrá acreditarse dentro de los seis meses siguientes a la fecha en que los servidores públicos inicien sus funciones.</w:t>
      </w:r>
    </w:p>
    <w:p w14:paraId="0BC6F6E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tal sentido, se advierte que lo manifestado por la Servidora Pública Habilitada se constituye en una expresión en sentido negativo puesto que en la misma refiere </w:t>
      </w:r>
      <w:r w:rsidRPr="00935C2C">
        <w:rPr>
          <w:rFonts w:ascii="Palatino Linotype" w:eastAsia="Palatino Linotype" w:hAnsi="Palatino Linotype" w:cs="Palatino Linotype"/>
        </w:rPr>
        <w:lastRenderedPageBreak/>
        <w:t>expresamente que no se localizó el certificado de competencia laboral del Controlar, siendo imposible, en consecuencia, proporcionar documento alguno.</w:t>
      </w:r>
    </w:p>
    <w:p w14:paraId="6AFA82E2" w14:textId="77777777" w:rsidR="00A679F9" w:rsidRPr="00935C2C" w:rsidRDefault="00A326A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Por consiguiente, toda vez que no posee, administra, ni generó la información requerida por la persona solicitante, constituye un hecho negativo; entonces, si se considera el hecho negativo, es obvio que éste no puede fácticamente obrar en los archivos del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ya que no puede probarse por ser lógica y materialmente imposible.</w:t>
      </w:r>
    </w:p>
    <w:p w14:paraId="277C142F" w14:textId="77777777" w:rsidR="00A679F9" w:rsidRPr="00935C2C" w:rsidRDefault="00A326AB">
      <w:pPr>
        <w:pBdr>
          <w:top w:val="nil"/>
          <w:left w:val="nil"/>
          <w:bottom w:val="nil"/>
          <w:right w:val="nil"/>
          <w:between w:val="nil"/>
        </w:pBdr>
        <w:spacing w:before="240" w:after="240" w:line="360" w:lineRule="auto"/>
        <w:jc w:val="both"/>
        <w:rPr>
          <w:sz w:val="28"/>
          <w:szCs w:val="28"/>
        </w:rPr>
      </w:pPr>
      <w:r w:rsidRPr="00935C2C">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 en dicha área, por lo que resulta aplicable la Tesis</w:t>
      </w:r>
      <w:r w:rsidRPr="00935C2C">
        <w:rPr>
          <w:rFonts w:ascii="Palatino Linotype" w:eastAsia="Palatino Linotype" w:hAnsi="Palatino Linotype" w:cs="Palatino Linotype"/>
          <w:vertAlign w:val="superscript"/>
        </w:rPr>
        <w:footnoteReference w:id="12"/>
      </w:r>
      <w:r w:rsidRPr="00935C2C">
        <w:rPr>
          <w:rFonts w:ascii="Palatino Linotype" w:eastAsia="Palatino Linotype" w:hAnsi="Palatino Linotype" w:cs="Palatino Linotype"/>
        </w:rPr>
        <w:t xml:space="preserve"> emitida por la Segunda Sala de la Suprema Corte de la Nación, que es del tenor literal siguiente:</w:t>
      </w:r>
    </w:p>
    <w:p w14:paraId="5E1F211F" w14:textId="77777777" w:rsidR="00A679F9" w:rsidRPr="00935C2C" w:rsidRDefault="00A326AB">
      <w:pPr>
        <w:spacing w:before="240" w:after="240"/>
        <w:ind w:left="851" w:right="900"/>
        <w:jc w:val="both"/>
        <w:rPr>
          <w:rFonts w:ascii="Palatino Linotype" w:eastAsia="Palatino Linotype" w:hAnsi="Palatino Linotype" w:cs="Palatino Linotype"/>
          <w:sz w:val="22"/>
          <w:szCs w:val="22"/>
        </w:rPr>
      </w:pPr>
      <w:r w:rsidRPr="00935C2C">
        <w:rPr>
          <w:rFonts w:ascii="Palatino Linotype" w:eastAsia="Palatino Linotype" w:hAnsi="Palatino Linotype" w:cs="Palatino Linotype"/>
          <w:b/>
          <w:i/>
          <w:sz w:val="22"/>
          <w:szCs w:val="22"/>
        </w:rPr>
        <w:t>“HECHOS NEGATIVOS, NO SON SUSCEPTIBLES DE DEMOSTRACIÓN</w:t>
      </w:r>
      <w:r w:rsidRPr="00935C2C">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6B467821"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consecuencia, no es procedente la entrega de documento alguno por parte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i/>
        </w:rPr>
        <w:t>,</w:t>
      </w:r>
      <w:r w:rsidRPr="00935C2C">
        <w:rPr>
          <w:rFonts w:ascii="Palatino Linotype" w:eastAsia="Palatino Linotype" w:hAnsi="Palatino Linotype" w:cs="Palatino Linotype"/>
        </w:rPr>
        <w:t xml:space="preserve"> o en su caso, el Acuerdo de Inexistencia, toda vez que el pronunciamiento del Servidor Público Habilitado</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declara en automática la inexistencia de la información solicitada respecto del área a su cargo, de modo que no existe obligación de justificar o allegar pruebas, y por ende no tiene aplicación lo estatuido en el artículo 49 fracción XIII de la Ley de la Materia.</w:t>
      </w:r>
    </w:p>
    <w:p w14:paraId="097B69FA" w14:textId="77777777" w:rsidR="00A679F9" w:rsidRPr="00935C2C" w:rsidRDefault="00A326AB">
      <w:pPr>
        <w:spacing w:before="240" w:after="360" w:line="360" w:lineRule="auto"/>
        <w:ind w:right="18"/>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De tal manera que basta con la aseveración por parte del Servidor Público Habilitado de la Dirección de Recursos Humanos</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respeto de la inexistencia de información relacionada con el requerimiento que formuló la persona solicitante, en el área a su cargo; siendo que de conformidad con lo establecido en el artículo 12, segundo párrafo de la Ley de Transparencia y Acceso a la Información Pública del Estado de México y Municipios</w:t>
      </w:r>
      <w:r w:rsidRPr="00935C2C">
        <w:rPr>
          <w:rFonts w:ascii="Palatino Linotype" w:eastAsia="Palatino Linotype" w:hAnsi="Palatino Linotype" w:cs="Palatino Linotype"/>
          <w:vertAlign w:val="superscript"/>
        </w:rPr>
        <w:footnoteReference w:id="13"/>
      </w:r>
      <w:r w:rsidRPr="00935C2C">
        <w:rPr>
          <w:rFonts w:ascii="Palatino Linotype" w:eastAsia="Palatino Linotype" w:hAnsi="Palatino Linotype" w:cs="Palatino Linotype"/>
        </w:rPr>
        <w:t>, los Sujetos Obligados sólo proporcionaran la información pública que se les requiera y que obre en sus archivos y en el estado en que ésta se encuentre, en sentido contrario, no están obligados a proporcionar lo que no tengan en sus archivos.</w:t>
      </w:r>
    </w:p>
    <w:p w14:paraId="5E9D4328" w14:textId="77777777" w:rsidR="00A679F9" w:rsidRPr="00935C2C" w:rsidRDefault="00A326AB">
      <w:pPr>
        <w:spacing w:before="240" w:after="360" w:line="360" w:lineRule="auto"/>
        <w:ind w:right="18"/>
        <w:jc w:val="both"/>
        <w:rPr>
          <w:rFonts w:ascii="Palatino Linotype" w:eastAsia="Palatino Linotype" w:hAnsi="Palatino Linotype" w:cs="Palatino Linotype"/>
        </w:rPr>
      </w:pPr>
      <w:r w:rsidRPr="00935C2C">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52263D3B" w14:textId="77777777" w:rsidR="00A679F9" w:rsidRPr="00935C2C" w:rsidRDefault="00A326AB">
      <w:pPr>
        <w:pBdr>
          <w:top w:val="nil"/>
          <w:left w:val="nil"/>
          <w:bottom w:val="nil"/>
          <w:right w:val="nil"/>
          <w:between w:val="nil"/>
        </w:pBdr>
        <w:spacing w:before="240" w:after="240" w:line="360" w:lineRule="auto"/>
        <w:jc w:val="both"/>
      </w:pPr>
      <w:r w:rsidRPr="00935C2C">
        <w:rPr>
          <w:rFonts w:ascii="Palatino Linotype" w:eastAsia="Palatino Linotype" w:hAnsi="Palatino Linotype" w:cs="Palatino Linotype"/>
        </w:rPr>
        <w:t>Aunado a lo anterior, este Pleno considera necesario dejar claro que, al haber existido un pronunciamiento por parte del Servidor Público Habilitado competente, a fin de dar respuesta al requerimiento planteado, éste no está facultado para manifestarse sobre la veracidad de la información proporcionada, pues no existe precepto legal alguno en la Ley de la Materia que permita que, vía recurso de revisión, se pronuncie al respecto.</w:t>
      </w:r>
    </w:p>
    <w:p w14:paraId="2007E943" w14:textId="77777777" w:rsidR="00A679F9" w:rsidRPr="00935C2C" w:rsidRDefault="00A326AB">
      <w:pPr>
        <w:spacing w:before="240" w:after="360" w:line="360" w:lineRule="auto"/>
        <w:ind w:right="18"/>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A8C673C" w14:textId="77777777" w:rsidR="00A679F9" w:rsidRPr="00935C2C" w:rsidRDefault="00A326AB">
      <w:pPr>
        <w:spacing w:before="240" w:after="240"/>
        <w:ind w:left="851" w:right="900"/>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935C2C">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76155F8" w14:textId="77777777" w:rsidR="00A679F9" w:rsidRPr="00935C2C" w:rsidRDefault="00A326A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En consecuencia, el requerimiento de información en análisis </w:t>
      </w:r>
      <w:r w:rsidRPr="00935C2C">
        <w:rPr>
          <w:rFonts w:ascii="Palatino Linotype" w:eastAsia="Palatino Linotype" w:hAnsi="Palatino Linotype" w:cs="Palatino Linotype"/>
          <w:b/>
        </w:rPr>
        <w:t xml:space="preserve">se tiene por atendido </w:t>
      </w:r>
      <w:r w:rsidRPr="00935C2C">
        <w:rPr>
          <w:rFonts w:ascii="Palatino Linotype" w:eastAsia="Palatino Linotype" w:hAnsi="Palatino Linotype" w:cs="Palatino Linotype"/>
        </w:rPr>
        <w:t>en el sentido de que a la fecha de presentación de la solicitud se encontraba transcurriendo el término para que el servidor público habilitado que ostenta el cargo de Contralor acreditara la competencia laboral en la materia del cargo que desempeña a través de la certificación expedida por institución con reconocimiento de validez oficial.</w:t>
      </w:r>
    </w:p>
    <w:p w14:paraId="5C2BD785" w14:textId="77777777" w:rsidR="00A679F9" w:rsidRPr="00935C2C" w:rsidRDefault="00A326AB">
      <w:pPr>
        <w:spacing w:before="240" w:after="240" w:line="360" w:lineRule="auto"/>
        <w:ind w:right="51"/>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lo hasta aquí expuesto, se concluye que los motivos de inconformidad de la parte </w:t>
      </w:r>
      <w:r w:rsidRPr="00935C2C">
        <w:rPr>
          <w:rFonts w:ascii="Palatino Linotype" w:eastAsia="Palatino Linotype" w:hAnsi="Palatino Linotype" w:cs="Palatino Linotype"/>
          <w:b/>
        </w:rPr>
        <w:t xml:space="preserve">Recurrente </w:t>
      </w:r>
      <w:r w:rsidRPr="00935C2C">
        <w:rPr>
          <w:rFonts w:ascii="Palatino Linotype" w:eastAsia="Palatino Linotype" w:hAnsi="Palatino Linotype" w:cs="Palatino Linotype"/>
        </w:rPr>
        <w:t xml:space="preserve">devienen fundados siendo procedente </w:t>
      </w:r>
      <w:r w:rsidRPr="00935C2C">
        <w:rPr>
          <w:rFonts w:ascii="Palatino Linotype" w:eastAsia="Palatino Linotype" w:hAnsi="Palatino Linotype" w:cs="Palatino Linotype"/>
          <w:i/>
        </w:rPr>
        <w:t>Modificar</w:t>
      </w:r>
      <w:r w:rsidRPr="00935C2C">
        <w:rPr>
          <w:rFonts w:ascii="Palatino Linotype" w:eastAsia="Palatino Linotype" w:hAnsi="Palatino Linotype" w:cs="Palatino Linotype"/>
        </w:rPr>
        <w:t xml:space="preserve"> la respuesta proporcionada por el </w:t>
      </w:r>
      <w:r w:rsidRPr="00935C2C">
        <w:rPr>
          <w:rFonts w:ascii="Palatino Linotype" w:eastAsia="Palatino Linotype" w:hAnsi="Palatino Linotype" w:cs="Palatino Linotype"/>
          <w:b/>
        </w:rPr>
        <w:t xml:space="preserve">Sujeto Obligado, </w:t>
      </w:r>
      <w:r w:rsidRPr="00935C2C">
        <w:rPr>
          <w:rFonts w:ascii="Palatino Linotype" w:eastAsia="Palatino Linotype" w:hAnsi="Palatino Linotype" w:cs="Palatino Linotype"/>
        </w:rPr>
        <w:t xml:space="preserve">de conformidad con lo establecido en el </w:t>
      </w:r>
      <w:r w:rsidRPr="00935C2C">
        <w:rPr>
          <w:rFonts w:ascii="Palatino Linotype" w:eastAsia="Palatino Linotype" w:hAnsi="Palatino Linotype" w:cs="Palatino Linotype"/>
        </w:rPr>
        <w:lastRenderedPageBreak/>
        <w:t>artículo 186 fracción III de la Ley de Transparencia y Acceso a la Información Pública del Estado de México y Municipios.</w:t>
      </w:r>
    </w:p>
    <w:p w14:paraId="18F7EDA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Quinto. Versión Pública.</w:t>
      </w:r>
      <w:r w:rsidRPr="00935C2C">
        <w:rPr>
          <w:rFonts w:ascii="Palatino Linotype" w:eastAsia="Palatino Linotype" w:hAnsi="Palatino Linotype" w:cs="Palatino Linotype"/>
          <w:sz w:val="28"/>
          <w:szCs w:val="28"/>
        </w:rPr>
        <w:t xml:space="preserve"> </w:t>
      </w:r>
      <w:r w:rsidRPr="00935C2C">
        <w:rPr>
          <w:rFonts w:ascii="Palatino Linotype" w:eastAsia="Palatino Linotype" w:hAnsi="Palatino Linotype" w:cs="Palatino Linotype"/>
        </w:rPr>
        <w:t>Finalmente, debe señalarse que de ser el caso en que los documentos que vayan a ser entregados por el</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 xml:space="preserve">sujeto obligado, para dar cumplimiento a la presente resolución, contengan datos que deban ser clasificados, 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7A64B51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48457FA"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r w:rsidRPr="00935C2C">
        <w:rPr>
          <w:rFonts w:ascii="Palatino Linotype" w:eastAsia="Palatino Linotype" w:hAnsi="Palatino Linotype" w:cs="Palatino Linotype"/>
          <w:b/>
          <w:i/>
          <w:sz w:val="22"/>
          <w:szCs w:val="22"/>
        </w:rPr>
        <w:t>Artículo 3</w:t>
      </w:r>
      <w:r w:rsidRPr="00935C2C">
        <w:rPr>
          <w:rFonts w:ascii="Palatino Linotype" w:eastAsia="Palatino Linotype" w:hAnsi="Palatino Linotype" w:cs="Palatino Linotype"/>
          <w:i/>
          <w:sz w:val="22"/>
          <w:szCs w:val="22"/>
        </w:rPr>
        <w:t>. Para los efectos de la presente Ley se entenderá por:</w:t>
      </w:r>
    </w:p>
    <w:p w14:paraId="642FC7D7"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181281E3"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IX. Datos personales</w:t>
      </w:r>
      <w:r w:rsidRPr="00935C2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90DA1D5"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XX. Información clasificada</w:t>
      </w:r>
      <w:r w:rsidRPr="00935C2C">
        <w:rPr>
          <w:rFonts w:ascii="Palatino Linotype" w:eastAsia="Palatino Linotype" w:hAnsi="Palatino Linotype" w:cs="Palatino Linotype"/>
          <w:i/>
          <w:sz w:val="22"/>
          <w:szCs w:val="22"/>
        </w:rPr>
        <w:t>: Aquella considerada por la presente Ley como reservada o confidencial;</w:t>
      </w:r>
    </w:p>
    <w:p w14:paraId="3B061CFB"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 xml:space="preserve">XXI. Información confidencial: </w:t>
      </w:r>
      <w:r w:rsidRPr="00935C2C">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92904A"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XLV. Versión pública:</w:t>
      </w:r>
      <w:r w:rsidRPr="00935C2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5B64F2F"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lastRenderedPageBreak/>
        <w:t>[…]</w:t>
      </w:r>
    </w:p>
    <w:p w14:paraId="2E0891EC"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91.</w:t>
      </w:r>
      <w:r w:rsidRPr="00935C2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9D2C807"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132.</w:t>
      </w:r>
      <w:r w:rsidRPr="00935C2C">
        <w:rPr>
          <w:rFonts w:ascii="Palatino Linotype" w:eastAsia="Palatino Linotype" w:hAnsi="Palatino Linotype" w:cs="Palatino Linotype"/>
          <w:i/>
          <w:sz w:val="22"/>
          <w:szCs w:val="22"/>
        </w:rPr>
        <w:t xml:space="preserve"> La clasificación de la información se llevará a cabo en el momento en que:</w:t>
      </w:r>
    </w:p>
    <w:p w14:paraId="46507E59"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Se reciba una solicitud de acceso a la información;</w:t>
      </w:r>
    </w:p>
    <w:p w14:paraId="190BF2F4"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Se determine mediante resolución de autoridad competente; o</w:t>
      </w:r>
    </w:p>
    <w:p w14:paraId="7A742D37"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5F7881F"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w:t>
      </w:r>
    </w:p>
    <w:p w14:paraId="142DF1E5"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Artículo 143</w:t>
      </w:r>
      <w:r w:rsidRPr="00935C2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1A58F7F"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77EC28C"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4FA2C4F"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2C829610"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8C3A29B"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441D006"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935C2C">
        <w:rPr>
          <w:rFonts w:ascii="Palatino Linotype" w:eastAsia="Palatino Linotype" w:hAnsi="Palatino Linotype" w:cs="Palatino Linotype"/>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D66D78"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C324EAB"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“Quincuagésimo sexto</w:t>
      </w:r>
      <w:r w:rsidRPr="00935C2C">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100A0D6"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Quincuagésimo séptimo</w:t>
      </w:r>
      <w:r w:rsidRPr="00935C2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026D363"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w:t>
      </w:r>
      <w:r w:rsidRPr="00935C2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C8845CC"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w:t>
      </w:r>
      <w:r w:rsidRPr="00935C2C">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52EA775E" w14:textId="77777777" w:rsidR="00A679F9" w:rsidRPr="00935C2C" w:rsidRDefault="00A326AB">
      <w:pPr>
        <w:spacing w:before="120" w:after="120"/>
        <w:ind w:left="1134"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III.</w:t>
      </w:r>
      <w:r w:rsidRPr="00935C2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7F221A0"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6F00ADBF" w14:textId="77777777" w:rsidR="00A679F9" w:rsidRPr="00935C2C" w:rsidRDefault="00A326AB">
      <w:pPr>
        <w:spacing w:before="120" w:after="120"/>
        <w:ind w:left="851" w:right="902"/>
        <w:jc w:val="both"/>
        <w:rPr>
          <w:rFonts w:ascii="Palatino Linotype" w:eastAsia="Palatino Linotype" w:hAnsi="Palatino Linotype" w:cs="Palatino Linotype"/>
          <w:i/>
          <w:sz w:val="22"/>
          <w:szCs w:val="22"/>
        </w:rPr>
      </w:pPr>
      <w:r w:rsidRPr="00935C2C">
        <w:rPr>
          <w:rFonts w:ascii="Palatino Linotype" w:eastAsia="Palatino Linotype" w:hAnsi="Palatino Linotype" w:cs="Palatino Linotype"/>
          <w:b/>
          <w:i/>
          <w:sz w:val="22"/>
          <w:szCs w:val="22"/>
        </w:rPr>
        <w:t>Quincuagésimo octavo</w:t>
      </w:r>
      <w:r w:rsidRPr="00935C2C">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8166230"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w:t>
      </w:r>
      <w:r w:rsidRPr="00935C2C">
        <w:rPr>
          <w:rFonts w:ascii="Palatino Linotype" w:eastAsia="Palatino Linotype" w:hAnsi="Palatino Linotype" w:cs="Palatino Linotype"/>
        </w:rPr>
        <w:lastRenderedPageBreak/>
        <w:t xml:space="preserve">fundamentos y razonamientos que llevaron al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DC19132"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935C2C" w:rsidRPr="00935C2C" w14:paraId="0DB5F7A6" w14:textId="77777777" w:rsidTr="00236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65EC091F" w14:textId="77777777" w:rsidR="0061691A" w:rsidRPr="00935C2C" w:rsidRDefault="0061691A" w:rsidP="00236E08">
            <w:pPr>
              <w:jc w:val="center"/>
              <w:rPr>
                <w:rFonts w:ascii="Palatino Linotype" w:hAnsi="Palatino Linotype"/>
                <w:sz w:val="12"/>
                <w:szCs w:val="12"/>
              </w:rPr>
            </w:pPr>
            <w:r w:rsidRPr="00935C2C">
              <w:rPr>
                <w:rFonts w:ascii="Palatino Linotype" w:hAnsi="Palatino Linotype"/>
                <w:sz w:val="12"/>
                <w:szCs w:val="12"/>
              </w:rPr>
              <w:t>Parcial</w:t>
            </w:r>
          </w:p>
        </w:tc>
        <w:tc>
          <w:tcPr>
            <w:tcW w:w="4414" w:type="dxa"/>
            <w:gridSpan w:val="2"/>
          </w:tcPr>
          <w:p w14:paraId="2B26E1EC" w14:textId="77777777" w:rsidR="0061691A" w:rsidRPr="00935C2C" w:rsidRDefault="0061691A" w:rsidP="00236E0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Total</w:t>
            </w:r>
          </w:p>
        </w:tc>
      </w:tr>
      <w:tr w:rsidR="00935C2C" w:rsidRPr="00935C2C" w14:paraId="55B8EC21" w14:textId="77777777" w:rsidTr="0023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8EA57C6" w14:textId="77777777" w:rsidR="0061691A" w:rsidRPr="00935C2C" w:rsidRDefault="0061691A" w:rsidP="00236E08">
            <w:pPr>
              <w:jc w:val="center"/>
              <w:rPr>
                <w:rFonts w:ascii="Palatino Linotype" w:hAnsi="Palatino Linotype"/>
                <w:sz w:val="12"/>
                <w:szCs w:val="12"/>
              </w:rPr>
            </w:pPr>
            <w:r w:rsidRPr="00935C2C">
              <w:rPr>
                <w:rFonts w:ascii="Palatino Linotype" w:hAnsi="Palatino Linotype"/>
                <w:sz w:val="12"/>
                <w:szCs w:val="12"/>
              </w:rPr>
              <w:t>Concepto</w:t>
            </w:r>
          </w:p>
        </w:tc>
        <w:tc>
          <w:tcPr>
            <w:tcW w:w="3421" w:type="dxa"/>
          </w:tcPr>
          <w:p w14:paraId="713610CE" w14:textId="77777777" w:rsidR="0061691A" w:rsidRPr="00935C2C" w:rsidRDefault="0061691A" w:rsidP="00236E0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Dónde</w:t>
            </w:r>
          </w:p>
        </w:tc>
        <w:tc>
          <w:tcPr>
            <w:tcW w:w="968" w:type="dxa"/>
          </w:tcPr>
          <w:p w14:paraId="422FB2C9" w14:textId="77777777" w:rsidR="0061691A" w:rsidRPr="00935C2C" w:rsidRDefault="0061691A" w:rsidP="00236E0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Concepto</w:t>
            </w:r>
          </w:p>
        </w:tc>
        <w:tc>
          <w:tcPr>
            <w:tcW w:w="3446" w:type="dxa"/>
          </w:tcPr>
          <w:p w14:paraId="3AEA9DEA" w14:textId="77777777" w:rsidR="0061691A" w:rsidRPr="00935C2C" w:rsidRDefault="0061691A" w:rsidP="00236E0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Dónde</w:t>
            </w:r>
          </w:p>
        </w:tc>
      </w:tr>
      <w:tr w:rsidR="00935C2C" w:rsidRPr="00935C2C" w14:paraId="7DA59C83" w14:textId="77777777" w:rsidTr="00236E08">
        <w:tc>
          <w:tcPr>
            <w:cnfStyle w:val="001000000000" w:firstRow="0" w:lastRow="0" w:firstColumn="1" w:lastColumn="0" w:oddVBand="0" w:evenVBand="0" w:oddHBand="0" w:evenHBand="0" w:firstRowFirstColumn="0" w:firstRowLastColumn="0" w:lastRowFirstColumn="0" w:lastRowLastColumn="0"/>
            <w:tcW w:w="8828" w:type="dxa"/>
            <w:gridSpan w:val="4"/>
          </w:tcPr>
          <w:p w14:paraId="32478AD3" w14:textId="77777777" w:rsidR="0061691A" w:rsidRPr="00935C2C" w:rsidRDefault="0061691A" w:rsidP="00236E08">
            <w:pPr>
              <w:jc w:val="center"/>
              <w:rPr>
                <w:rFonts w:ascii="Palatino Linotype" w:hAnsi="Palatino Linotype"/>
                <w:sz w:val="12"/>
                <w:szCs w:val="12"/>
              </w:rPr>
            </w:pPr>
            <w:r w:rsidRPr="00935C2C">
              <w:rPr>
                <w:rFonts w:ascii="Palatino Linotype" w:hAnsi="Palatino Linotype"/>
                <w:sz w:val="12"/>
                <w:szCs w:val="12"/>
              </w:rPr>
              <w:t>Sello oficial o logotipo del sujeto obligado</w:t>
            </w:r>
          </w:p>
        </w:tc>
      </w:tr>
      <w:tr w:rsidR="00935C2C" w:rsidRPr="00935C2C" w14:paraId="72D9E254" w14:textId="77777777" w:rsidTr="0023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57241F4"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Fecha de clasificación</w:t>
            </w:r>
          </w:p>
        </w:tc>
        <w:tc>
          <w:tcPr>
            <w:tcW w:w="3421" w:type="dxa"/>
          </w:tcPr>
          <w:p w14:paraId="1B590AEE"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anotará la fecha en la que el Comité de Transparencia confirmó la clasificación del documento, en su caso.</w:t>
            </w:r>
          </w:p>
        </w:tc>
        <w:tc>
          <w:tcPr>
            <w:tcW w:w="968" w:type="dxa"/>
          </w:tcPr>
          <w:p w14:paraId="42050568"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Fecha de clasificación</w:t>
            </w:r>
          </w:p>
        </w:tc>
        <w:tc>
          <w:tcPr>
            <w:tcW w:w="3446" w:type="dxa"/>
          </w:tcPr>
          <w:p w14:paraId="55AD426B"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anotará la fecha en la que el Comité de Transparencia confirmó la clasificación del documento, en su caso.</w:t>
            </w:r>
          </w:p>
        </w:tc>
      </w:tr>
      <w:tr w:rsidR="00935C2C" w:rsidRPr="00935C2C" w14:paraId="2218DBAF" w14:textId="77777777" w:rsidTr="00236E08">
        <w:tc>
          <w:tcPr>
            <w:cnfStyle w:val="001000000000" w:firstRow="0" w:lastRow="0" w:firstColumn="1" w:lastColumn="0" w:oddVBand="0" w:evenVBand="0" w:oddHBand="0" w:evenHBand="0" w:firstRowFirstColumn="0" w:firstRowLastColumn="0" w:lastRowFirstColumn="0" w:lastRowLastColumn="0"/>
            <w:tcW w:w="993" w:type="dxa"/>
          </w:tcPr>
          <w:p w14:paraId="2BCC9A17"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Área</w:t>
            </w:r>
          </w:p>
        </w:tc>
        <w:tc>
          <w:tcPr>
            <w:tcW w:w="3421" w:type="dxa"/>
          </w:tcPr>
          <w:p w14:paraId="63403BA5"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señalará el nombre del área del cual es titular quien clasifica.</w:t>
            </w:r>
          </w:p>
        </w:tc>
        <w:tc>
          <w:tcPr>
            <w:tcW w:w="968" w:type="dxa"/>
          </w:tcPr>
          <w:p w14:paraId="323D1A3C"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Área</w:t>
            </w:r>
          </w:p>
        </w:tc>
        <w:tc>
          <w:tcPr>
            <w:tcW w:w="3446" w:type="dxa"/>
          </w:tcPr>
          <w:p w14:paraId="6D243BD9"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señalará el nombre del área de la cual es el titular quien clasifica.</w:t>
            </w:r>
          </w:p>
        </w:tc>
      </w:tr>
      <w:tr w:rsidR="00935C2C" w:rsidRPr="00935C2C" w14:paraId="0C393B7C" w14:textId="77777777" w:rsidTr="0023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EB09920"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Información reservada</w:t>
            </w:r>
          </w:p>
        </w:tc>
        <w:tc>
          <w:tcPr>
            <w:tcW w:w="3421" w:type="dxa"/>
          </w:tcPr>
          <w:p w14:paraId="47EF1E37"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B6709A9"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Reservado</w:t>
            </w:r>
          </w:p>
        </w:tc>
        <w:tc>
          <w:tcPr>
            <w:tcW w:w="3446" w:type="dxa"/>
          </w:tcPr>
          <w:p w14:paraId="7AEA5E86"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Leyenda de información RESERVADA.</w:t>
            </w:r>
          </w:p>
        </w:tc>
      </w:tr>
      <w:tr w:rsidR="00935C2C" w:rsidRPr="00935C2C" w14:paraId="67073ECC" w14:textId="77777777" w:rsidTr="00236E08">
        <w:tc>
          <w:tcPr>
            <w:cnfStyle w:val="001000000000" w:firstRow="0" w:lastRow="0" w:firstColumn="1" w:lastColumn="0" w:oddVBand="0" w:evenVBand="0" w:oddHBand="0" w:evenHBand="0" w:firstRowFirstColumn="0" w:firstRowLastColumn="0" w:lastRowFirstColumn="0" w:lastRowLastColumn="0"/>
            <w:tcW w:w="993" w:type="dxa"/>
          </w:tcPr>
          <w:p w14:paraId="0AABC0D1"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Fundamento legal</w:t>
            </w:r>
          </w:p>
        </w:tc>
        <w:tc>
          <w:tcPr>
            <w:tcW w:w="3421" w:type="dxa"/>
          </w:tcPr>
          <w:p w14:paraId="7A10D150"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723ADD86"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Periodo de reserva</w:t>
            </w:r>
          </w:p>
        </w:tc>
        <w:tc>
          <w:tcPr>
            <w:tcW w:w="3446" w:type="dxa"/>
          </w:tcPr>
          <w:p w14:paraId="57515A6F"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935C2C" w:rsidRPr="00935C2C" w14:paraId="58284EDC" w14:textId="77777777" w:rsidTr="0023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00F639"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Ampliación del periodo de reserva</w:t>
            </w:r>
          </w:p>
        </w:tc>
        <w:tc>
          <w:tcPr>
            <w:tcW w:w="3421" w:type="dxa"/>
          </w:tcPr>
          <w:p w14:paraId="6BF2A193"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62D7F6F"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Fundamento legal</w:t>
            </w:r>
          </w:p>
        </w:tc>
        <w:tc>
          <w:tcPr>
            <w:tcW w:w="3446" w:type="dxa"/>
          </w:tcPr>
          <w:p w14:paraId="2A7EA90E"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señalará el nombre del o de los ordenamientos jurídicos, el o los artículos, fracción(es), párrafo(s) con base en los cuales se sustenta la reserva.</w:t>
            </w:r>
          </w:p>
        </w:tc>
      </w:tr>
      <w:tr w:rsidR="00935C2C" w:rsidRPr="00935C2C" w14:paraId="530AA79B" w14:textId="77777777" w:rsidTr="00236E08">
        <w:tc>
          <w:tcPr>
            <w:cnfStyle w:val="001000000000" w:firstRow="0" w:lastRow="0" w:firstColumn="1" w:lastColumn="0" w:oddVBand="0" w:evenVBand="0" w:oddHBand="0" w:evenHBand="0" w:firstRowFirstColumn="0" w:firstRowLastColumn="0" w:lastRowFirstColumn="0" w:lastRowLastColumn="0"/>
            <w:tcW w:w="993" w:type="dxa"/>
          </w:tcPr>
          <w:p w14:paraId="1D66206C"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Confidencial</w:t>
            </w:r>
          </w:p>
        </w:tc>
        <w:tc>
          <w:tcPr>
            <w:tcW w:w="3421" w:type="dxa"/>
          </w:tcPr>
          <w:p w14:paraId="71F6822F"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8ED32B2"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Ampliación del periodo de reserva</w:t>
            </w:r>
          </w:p>
        </w:tc>
        <w:tc>
          <w:tcPr>
            <w:tcW w:w="3446" w:type="dxa"/>
          </w:tcPr>
          <w:p w14:paraId="5EBEA69C"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935C2C" w:rsidRPr="00935C2C" w14:paraId="642FE053" w14:textId="77777777" w:rsidTr="0023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ACCC597"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Fundamento legal</w:t>
            </w:r>
          </w:p>
        </w:tc>
        <w:tc>
          <w:tcPr>
            <w:tcW w:w="3421" w:type="dxa"/>
          </w:tcPr>
          <w:p w14:paraId="7CC51B5A"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30B7424F"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Confidencial</w:t>
            </w:r>
          </w:p>
        </w:tc>
        <w:tc>
          <w:tcPr>
            <w:tcW w:w="3446" w:type="dxa"/>
          </w:tcPr>
          <w:p w14:paraId="017798DC"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Leyenda de información CONFIDENCIAL.</w:t>
            </w:r>
          </w:p>
        </w:tc>
      </w:tr>
      <w:tr w:rsidR="00935C2C" w:rsidRPr="00935C2C" w14:paraId="1E3F9A4C" w14:textId="77777777" w:rsidTr="00236E08">
        <w:tc>
          <w:tcPr>
            <w:cnfStyle w:val="001000000000" w:firstRow="0" w:lastRow="0" w:firstColumn="1" w:lastColumn="0" w:oddVBand="0" w:evenVBand="0" w:oddHBand="0" w:evenHBand="0" w:firstRowFirstColumn="0" w:firstRowLastColumn="0" w:lastRowFirstColumn="0" w:lastRowLastColumn="0"/>
            <w:tcW w:w="993" w:type="dxa"/>
          </w:tcPr>
          <w:p w14:paraId="1BBDB708"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Rúbrica del titular del área</w:t>
            </w:r>
          </w:p>
        </w:tc>
        <w:tc>
          <w:tcPr>
            <w:tcW w:w="3421" w:type="dxa"/>
          </w:tcPr>
          <w:p w14:paraId="58237BE8"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Rúbrica autógrafa de quien clasifica.</w:t>
            </w:r>
          </w:p>
        </w:tc>
        <w:tc>
          <w:tcPr>
            <w:tcW w:w="968" w:type="dxa"/>
          </w:tcPr>
          <w:p w14:paraId="6455507D"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Fundamento legal</w:t>
            </w:r>
          </w:p>
        </w:tc>
        <w:tc>
          <w:tcPr>
            <w:tcW w:w="3446" w:type="dxa"/>
          </w:tcPr>
          <w:p w14:paraId="37FDCA1D"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935C2C" w:rsidRPr="00935C2C" w14:paraId="1FFD777E" w14:textId="77777777" w:rsidTr="0023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90F0E55"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Fecha de desclasificación</w:t>
            </w:r>
          </w:p>
        </w:tc>
        <w:tc>
          <w:tcPr>
            <w:tcW w:w="3421" w:type="dxa"/>
          </w:tcPr>
          <w:p w14:paraId="21A5999D"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anotará la fecha en que se desclasifica el documento.</w:t>
            </w:r>
          </w:p>
        </w:tc>
        <w:tc>
          <w:tcPr>
            <w:tcW w:w="968" w:type="dxa"/>
          </w:tcPr>
          <w:p w14:paraId="6902E17E"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Rúbrica del titular del área</w:t>
            </w:r>
          </w:p>
        </w:tc>
        <w:tc>
          <w:tcPr>
            <w:tcW w:w="3446" w:type="dxa"/>
          </w:tcPr>
          <w:p w14:paraId="2E91873A"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Rúbrica autógrafa de quien clasifica.</w:t>
            </w:r>
          </w:p>
        </w:tc>
      </w:tr>
      <w:tr w:rsidR="00935C2C" w:rsidRPr="00935C2C" w14:paraId="7066BDB2" w14:textId="77777777" w:rsidTr="00236E08">
        <w:tc>
          <w:tcPr>
            <w:cnfStyle w:val="001000000000" w:firstRow="0" w:lastRow="0" w:firstColumn="1" w:lastColumn="0" w:oddVBand="0" w:evenVBand="0" w:oddHBand="0" w:evenHBand="0" w:firstRowFirstColumn="0" w:firstRowLastColumn="0" w:lastRowFirstColumn="0" w:lastRowLastColumn="0"/>
            <w:tcW w:w="993" w:type="dxa"/>
          </w:tcPr>
          <w:p w14:paraId="59DDD1D2" w14:textId="77777777" w:rsidR="0061691A" w:rsidRPr="00935C2C" w:rsidRDefault="0061691A" w:rsidP="00236E08">
            <w:pPr>
              <w:jc w:val="both"/>
              <w:rPr>
                <w:rFonts w:ascii="Palatino Linotype" w:hAnsi="Palatino Linotype"/>
                <w:sz w:val="12"/>
                <w:szCs w:val="12"/>
              </w:rPr>
            </w:pPr>
            <w:r w:rsidRPr="00935C2C">
              <w:rPr>
                <w:rFonts w:ascii="Palatino Linotype" w:hAnsi="Palatino Linotype"/>
                <w:sz w:val="12"/>
                <w:szCs w:val="12"/>
              </w:rPr>
              <w:t>Rúbrica y cargo del servidor público</w:t>
            </w:r>
          </w:p>
        </w:tc>
        <w:tc>
          <w:tcPr>
            <w:tcW w:w="3421" w:type="dxa"/>
          </w:tcPr>
          <w:p w14:paraId="2DC75635"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Rúbrica autógrafa de quien desclasifica.</w:t>
            </w:r>
          </w:p>
        </w:tc>
        <w:tc>
          <w:tcPr>
            <w:tcW w:w="968" w:type="dxa"/>
          </w:tcPr>
          <w:p w14:paraId="5342FED4"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Fecha de desclasificación</w:t>
            </w:r>
          </w:p>
        </w:tc>
        <w:tc>
          <w:tcPr>
            <w:tcW w:w="3446" w:type="dxa"/>
          </w:tcPr>
          <w:p w14:paraId="4C36E11C"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Se anotará la fecha en que se desclasifica.</w:t>
            </w:r>
          </w:p>
        </w:tc>
      </w:tr>
      <w:tr w:rsidR="00935C2C" w:rsidRPr="00935C2C" w14:paraId="1A2CD9DB" w14:textId="77777777" w:rsidTr="00236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0883D4B" w14:textId="77777777" w:rsidR="0061691A" w:rsidRPr="00935C2C" w:rsidRDefault="0061691A" w:rsidP="00236E08">
            <w:pPr>
              <w:jc w:val="both"/>
              <w:rPr>
                <w:rFonts w:ascii="Palatino Linotype" w:hAnsi="Palatino Linotype"/>
                <w:sz w:val="12"/>
                <w:szCs w:val="12"/>
              </w:rPr>
            </w:pPr>
          </w:p>
        </w:tc>
        <w:tc>
          <w:tcPr>
            <w:tcW w:w="3421" w:type="dxa"/>
          </w:tcPr>
          <w:p w14:paraId="75A421D0"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34B211EA"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Partes o secciones reservadas o confidenciales</w:t>
            </w:r>
          </w:p>
        </w:tc>
        <w:tc>
          <w:tcPr>
            <w:tcW w:w="3446" w:type="dxa"/>
          </w:tcPr>
          <w:p w14:paraId="2E660078" w14:textId="77777777" w:rsidR="0061691A" w:rsidRPr="00935C2C" w:rsidRDefault="0061691A" w:rsidP="00236E0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 xml:space="preserve">En caso que una vez desclasificado el expediente, </w:t>
            </w:r>
            <w:proofErr w:type="spellStart"/>
            <w:r w:rsidRPr="00935C2C">
              <w:rPr>
                <w:rFonts w:ascii="Palatino Linotype" w:hAnsi="Palatino Linotype"/>
                <w:sz w:val="12"/>
                <w:szCs w:val="12"/>
              </w:rPr>
              <w:t>subsistanpartes</w:t>
            </w:r>
            <w:proofErr w:type="spellEnd"/>
            <w:r w:rsidRPr="00935C2C">
              <w:rPr>
                <w:rFonts w:ascii="Palatino Linotype" w:hAnsi="Palatino Linotype"/>
                <w:sz w:val="12"/>
                <w:szCs w:val="12"/>
              </w:rPr>
              <w:t xml:space="preserve"> o secciones del mismo reservadas o confidenciales, se señalará este hecho.</w:t>
            </w:r>
          </w:p>
        </w:tc>
      </w:tr>
      <w:tr w:rsidR="00935C2C" w:rsidRPr="00935C2C" w14:paraId="759E7C3E" w14:textId="77777777" w:rsidTr="00236E08">
        <w:tc>
          <w:tcPr>
            <w:cnfStyle w:val="001000000000" w:firstRow="0" w:lastRow="0" w:firstColumn="1" w:lastColumn="0" w:oddVBand="0" w:evenVBand="0" w:oddHBand="0" w:evenHBand="0" w:firstRowFirstColumn="0" w:firstRowLastColumn="0" w:lastRowFirstColumn="0" w:lastRowLastColumn="0"/>
            <w:tcW w:w="993" w:type="dxa"/>
          </w:tcPr>
          <w:p w14:paraId="45AE6D5E" w14:textId="77777777" w:rsidR="0061691A" w:rsidRPr="00935C2C" w:rsidRDefault="0061691A" w:rsidP="00236E08">
            <w:pPr>
              <w:jc w:val="both"/>
              <w:rPr>
                <w:rFonts w:ascii="Palatino Linotype" w:hAnsi="Palatino Linotype"/>
                <w:sz w:val="12"/>
                <w:szCs w:val="12"/>
              </w:rPr>
            </w:pPr>
          </w:p>
        </w:tc>
        <w:tc>
          <w:tcPr>
            <w:tcW w:w="3421" w:type="dxa"/>
          </w:tcPr>
          <w:p w14:paraId="4FA67B93"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40DF9ABB"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35C2C">
              <w:rPr>
                <w:rFonts w:ascii="Palatino Linotype" w:hAnsi="Palatino Linotype"/>
                <w:b/>
                <w:sz w:val="12"/>
                <w:szCs w:val="12"/>
              </w:rPr>
              <w:t>Rúbrica y cargo del servidor público</w:t>
            </w:r>
          </w:p>
        </w:tc>
        <w:tc>
          <w:tcPr>
            <w:tcW w:w="3446" w:type="dxa"/>
          </w:tcPr>
          <w:p w14:paraId="5D3FDA17" w14:textId="77777777" w:rsidR="0061691A" w:rsidRPr="00935C2C" w:rsidRDefault="0061691A" w:rsidP="00236E0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35C2C">
              <w:rPr>
                <w:rFonts w:ascii="Palatino Linotype" w:hAnsi="Palatino Linotype"/>
                <w:sz w:val="12"/>
                <w:szCs w:val="12"/>
              </w:rPr>
              <w:t>Rúbrica autógrafa de quien desclasifica.</w:t>
            </w:r>
          </w:p>
        </w:tc>
      </w:tr>
    </w:tbl>
    <w:p w14:paraId="5C115932" w14:textId="77777777" w:rsidR="00A679F9" w:rsidRPr="00935C2C" w:rsidRDefault="00A679F9"/>
    <w:p w14:paraId="2097CAFA" w14:textId="77777777" w:rsidR="00A679F9" w:rsidRPr="00935C2C" w:rsidRDefault="00A326A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A529D4D" w14:textId="77777777" w:rsidR="00A679F9" w:rsidRPr="00935C2C" w:rsidRDefault="00A326A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35C2C">
        <w:rPr>
          <w:rFonts w:ascii="Palatino Linotype" w:eastAsia="Palatino Linotype" w:hAnsi="Palatino Linotype" w:cs="Palatino Linotype"/>
          <w:b/>
        </w:rPr>
        <w:t>III. R E S U E L V E:</w:t>
      </w:r>
    </w:p>
    <w:p w14:paraId="4E6993EC" w14:textId="77777777" w:rsidR="00A679F9" w:rsidRPr="00935C2C" w:rsidRDefault="00A326AB">
      <w:pPr>
        <w:spacing w:before="240" w:after="240" w:line="360" w:lineRule="auto"/>
        <w:jc w:val="both"/>
        <w:rPr>
          <w:rFonts w:ascii="Palatino Linotype" w:eastAsia="Palatino Linotype" w:hAnsi="Palatino Linotype" w:cs="Palatino Linotype"/>
        </w:rPr>
      </w:pPr>
      <w:bookmarkStart w:id="14" w:name="_heading=h.4d34og8" w:colFirst="0" w:colLast="0"/>
      <w:bookmarkEnd w:id="14"/>
      <w:r w:rsidRPr="00935C2C">
        <w:rPr>
          <w:rFonts w:ascii="Palatino Linotype" w:eastAsia="Palatino Linotype" w:hAnsi="Palatino Linotype" w:cs="Palatino Linotype"/>
          <w:b/>
        </w:rPr>
        <w:t xml:space="preserve">Primero. </w:t>
      </w:r>
      <w:r w:rsidRPr="00935C2C">
        <w:rPr>
          <w:rFonts w:ascii="Palatino Linotype" w:eastAsia="Palatino Linotype" w:hAnsi="Palatino Linotype" w:cs="Palatino Linotype"/>
        </w:rPr>
        <w:t xml:space="preserve">Resultan </w:t>
      </w:r>
      <w:r w:rsidRPr="00935C2C">
        <w:rPr>
          <w:rFonts w:ascii="Palatino Linotype" w:eastAsia="Palatino Linotype" w:hAnsi="Palatino Linotype" w:cs="Palatino Linotype"/>
          <w:b/>
        </w:rPr>
        <w:t>parcialmente</w:t>
      </w:r>
      <w:r w:rsidRPr="00935C2C">
        <w:rPr>
          <w:rFonts w:ascii="Palatino Linotype" w:eastAsia="Palatino Linotype" w:hAnsi="Palatino Linotype" w:cs="Palatino Linotype"/>
        </w:rPr>
        <w:t xml:space="preserve"> </w:t>
      </w:r>
      <w:r w:rsidRPr="00935C2C">
        <w:rPr>
          <w:rFonts w:ascii="Palatino Linotype" w:eastAsia="Palatino Linotype" w:hAnsi="Palatino Linotype" w:cs="Palatino Linotype"/>
          <w:b/>
        </w:rPr>
        <w:t>fundadas</w:t>
      </w:r>
      <w:r w:rsidRPr="00935C2C">
        <w:rPr>
          <w:rFonts w:ascii="Palatino Linotype" w:eastAsia="Palatino Linotype" w:hAnsi="Palatino Linotype" w:cs="Palatino Linotype"/>
        </w:rPr>
        <w:t xml:space="preserve"> las razones o motivos de inconformidad hechos valer por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en el recurso de revisión </w:t>
      </w:r>
      <w:r w:rsidRPr="00935C2C">
        <w:rPr>
          <w:rFonts w:ascii="Palatino Linotype" w:eastAsia="Palatino Linotype" w:hAnsi="Palatino Linotype" w:cs="Palatino Linotype"/>
          <w:b/>
        </w:rPr>
        <w:t>04049/INFOEM/IP/RR/2022,</w:t>
      </w:r>
      <w:r w:rsidRPr="00935C2C">
        <w:rPr>
          <w:rFonts w:ascii="Palatino Linotype" w:eastAsia="Palatino Linotype" w:hAnsi="Palatino Linotype" w:cs="Palatino Linotype"/>
        </w:rPr>
        <w:t xml:space="preserve"> por lo que, en términos de los argumentos de derecho señalados en el considerando </w:t>
      </w:r>
      <w:r w:rsidRPr="00935C2C">
        <w:rPr>
          <w:rFonts w:ascii="Palatino Linotype" w:eastAsia="Palatino Linotype" w:hAnsi="Palatino Linotype" w:cs="Palatino Linotype"/>
          <w:b/>
        </w:rPr>
        <w:t>Cuarto</w:t>
      </w:r>
      <w:r w:rsidRPr="00935C2C">
        <w:rPr>
          <w:rFonts w:ascii="Palatino Linotype" w:eastAsia="Palatino Linotype" w:hAnsi="Palatino Linotype" w:cs="Palatino Linotype"/>
        </w:rPr>
        <w:t>, se</w:t>
      </w:r>
      <w:r w:rsidRPr="00935C2C">
        <w:rPr>
          <w:rFonts w:ascii="Palatino Linotype" w:eastAsia="Palatino Linotype" w:hAnsi="Palatino Linotype" w:cs="Palatino Linotype"/>
          <w:b/>
        </w:rPr>
        <w:t xml:space="preserve"> Modifica </w:t>
      </w:r>
      <w:r w:rsidRPr="00935C2C">
        <w:rPr>
          <w:rFonts w:ascii="Palatino Linotype" w:eastAsia="Palatino Linotype" w:hAnsi="Palatino Linotype" w:cs="Palatino Linotype"/>
        </w:rPr>
        <w:t xml:space="preserve">la respuesta del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w:t>
      </w:r>
    </w:p>
    <w:p w14:paraId="435CB5CD"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 xml:space="preserve">Segundo. </w:t>
      </w:r>
      <w:r w:rsidRPr="00935C2C">
        <w:rPr>
          <w:rFonts w:ascii="Palatino Linotype" w:eastAsia="Palatino Linotype" w:hAnsi="Palatino Linotype" w:cs="Palatino Linotype"/>
        </w:rPr>
        <w:t xml:space="preserve">Se </w:t>
      </w:r>
      <w:r w:rsidRPr="00935C2C">
        <w:rPr>
          <w:rFonts w:ascii="Palatino Linotype" w:eastAsia="Palatino Linotype" w:hAnsi="Palatino Linotype" w:cs="Palatino Linotype"/>
          <w:b/>
        </w:rPr>
        <w:t>Ordena</w:t>
      </w:r>
      <w:r w:rsidRPr="00935C2C">
        <w:rPr>
          <w:rFonts w:ascii="Palatino Linotype" w:eastAsia="Palatino Linotype" w:hAnsi="Palatino Linotype" w:cs="Palatino Linotype"/>
        </w:rPr>
        <w:t xml:space="preserve"> al </w:t>
      </w:r>
      <w:r w:rsidRPr="00935C2C">
        <w:rPr>
          <w:rFonts w:ascii="Palatino Linotype" w:eastAsia="Palatino Linotype" w:hAnsi="Palatino Linotype" w:cs="Palatino Linotype"/>
          <w:b/>
        </w:rPr>
        <w:t>Sujeto Obligado</w:t>
      </w:r>
      <w:r w:rsidRPr="00935C2C">
        <w:rPr>
          <w:rFonts w:ascii="Palatino Linotype" w:eastAsia="Palatino Linotype" w:hAnsi="Palatino Linotype" w:cs="Palatino Linotype"/>
        </w:rPr>
        <w:t xml:space="preserve">, en términos de los Considerandos </w:t>
      </w:r>
      <w:r w:rsidRPr="00935C2C">
        <w:rPr>
          <w:rFonts w:ascii="Palatino Linotype" w:eastAsia="Palatino Linotype" w:hAnsi="Palatino Linotype" w:cs="Palatino Linotype"/>
          <w:b/>
        </w:rPr>
        <w:t xml:space="preserve">Cuarto </w:t>
      </w:r>
      <w:r w:rsidRPr="00935C2C">
        <w:rPr>
          <w:rFonts w:ascii="Palatino Linotype" w:eastAsia="Palatino Linotype" w:hAnsi="Palatino Linotype" w:cs="Palatino Linotype"/>
        </w:rPr>
        <w:t xml:space="preserve">y </w:t>
      </w:r>
      <w:r w:rsidRPr="00935C2C">
        <w:rPr>
          <w:rFonts w:ascii="Palatino Linotype" w:eastAsia="Palatino Linotype" w:hAnsi="Palatino Linotype" w:cs="Palatino Linotype"/>
          <w:b/>
        </w:rPr>
        <w:t>Quinto</w:t>
      </w:r>
      <w:r w:rsidRPr="00935C2C">
        <w:rPr>
          <w:rFonts w:ascii="Palatino Linotype" w:eastAsia="Palatino Linotype" w:hAnsi="Palatino Linotype" w:cs="Palatino Linotype"/>
        </w:rPr>
        <w:t xml:space="preserve"> de esta resolución, haga entrega vía SAIMEX, </w:t>
      </w:r>
      <w:r w:rsidRPr="00935C2C">
        <w:rPr>
          <w:rFonts w:ascii="Palatino Linotype" w:eastAsia="Palatino Linotype" w:hAnsi="Palatino Linotype" w:cs="Palatino Linotype"/>
          <w:b/>
          <w:u w:val="single"/>
        </w:rPr>
        <w:t>en versión pública de ser necesario</w:t>
      </w:r>
      <w:r w:rsidRPr="00935C2C">
        <w:rPr>
          <w:rFonts w:ascii="Palatino Linotype" w:eastAsia="Palatino Linotype" w:hAnsi="Palatino Linotype" w:cs="Palatino Linotype"/>
        </w:rPr>
        <w:t xml:space="preserve">, del soporte documental en el que conste lo siguiente: </w:t>
      </w:r>
    </w:p>
    <w:p w14:paraId="56B756FB" w14:textId="77777777" w:rsidR="00A679F9" w:rsidRPr="00935C2C" w:rsidRDefault="00A326AB">
      <w:pPr>
        <w:spacing w:before="240" w:after="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la Contraloría Municipal: </w:t>
      </w:r>
    </w:p>
    <w:p w14:paraId="5290CF66" w14:textId="77777777" w:rsidR="00A679F9" w:rsidRPr="00935C2C" w:rsidRDefault="00A326AB">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Actas de los Comités Ciudadanos de Control y Vigilancia instaurados por cada una de las obras públicas para los ejercicios 2019, 2020 y 2021. </w:t>
      </w:r>
    </w:p>
    <w:p w14:paraId="18714B55" w14:textId="77777777" w:rsidR="00A679F9" w:rsidRPr="00935C2C" w:rsidRDefault="00A326A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t>Relación de los servidores públicos obligados a presentar declaración patrimonial, actualizada al veintidós de febrero de 2022.</w:t>
      </w:r>
    </w:p>
    <w:p w14:paraId="4D63B619" w14:textId="77777777" w:rsidR="00A679F9" w:rsidRPr="00935C2C" w:rsidRDefault="00A326A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35C2C">
        <w:rPr>
          <w:rFonts w:ascii="Palatino Linotype" w:eastAsia="Palatino Linotype" w:hAnsi="Palatino Linotype" w:cs="Palatino Linotype"/>
        </w:rPr>
        <w:lastRenderedPageBreak/>
        <w:t>Documento que dé cuenta de las quejas presentadas en contra de Servidores Públicos ante la Contraloría Municipal, del uno de enero de dos mil diecinueve al veintidós de febrero de dos mil veintidós.</w:t>
      </w:r>
      <w:r w:rsidR="00682D94" w:rsidRPr="00935C2C">
        <w:rPr>
          <w:rFonts w:ascii="Palatino Linotype" w:eastAsia="Palatino Linotype" w:hAnsi="Palatino Linotype" w:cs="Palatino Linotype"/>
        </w:rPr>
        <w:t xml:space="preserve"> </w:t>
      </w:r>
    </w:p>
    <w:p w14:paraId="054DBC18" w14:textId="77777777" w:rsidR="00A679F9" w:rsidRPr="00935C2C" w:rsidRDefault="00A326A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935C2C">
        <w:rPr>
          <w:rFonts w:ascii="Palatino Linotype" w:eastAsia="Palatino Linotype" w:hAnsi="Palatino Linotype" w:cs="Palatino Linotype"/>
        </w:rPr>
        <w:t xml:space="preserve">Resolución de los procedimientos </w:t>
      </w:r>
      <w:r w:rsidRPr="00935C2C">
        <w:rPr>
          <w:rFonts w:ascii="Palatino Linotype" w:eastAsia="Palatino Linotype" w:hAnsi="Palatino Linotype" w:cs="Palatino Linotype"/>
          <w:b/>
        </w:rPr>
        <w:t>que hayan causado estado</w:t>
      </w:r>
      <w:r w:rsidRPr="00935C2C">
        <w:rPr>
          <w:rFonts w:ascii="Palatino Linotype" w:eastAsia="Palatino Linotype" w:hAnsi="Palatino Linotype" w:cs="Palatino Linotype"/>
        </w:rPr>
        <w:t xml:space="preserve"> del uno de enero de dos mil diecinueve al veintidós de febrero de dos mil veintidós:</w:t>
      </w:r>
    </w:p>
    <w:p w14:paraId="1235A47C" w14:textId="77777777" w:rsidR="00A679F9" w:rsidRPr="00935C2C" w:rsidRDefault="00A326AB">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r w:rsidRPr="00935C2C">
        <w:rPr>
          <w:rFonts w:ascii="Palatino Linotype" w:eastAsia="Palatino Linotype" w:hAnsi="Palatino Linotype" w:cs="Palatino Linotype"/>
          <w:b/>
        </w:rPr>
        <w:t>a)</w:t>
      </w:r>
      <w:r w:rsidRPr="00935C2C">
        <w:rPr>
          <w:rFonts w:ascii="Palatino Linotype" w:eastAsia="Palatino Linotype" w:hAnsi="Palatino Linotype" w:cs="Palatino Linotype"/>
        </w:rPr>
        <w:t xml:space="preserve"> Por faltas graves condenatorias.</w:t>
      </w:r>
    </w:p>
    <w:p w14:paraId="2EF3F2A1" w14:textId="77777777" w:rsidR="00A679F9" w:rsidRPr="00935C2C" w:rsidRDefault="00A326AB">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r w:rsidRPr="00935C2C">
        <w:rPr>
          <w:rFonts w:ascii="Palatino Linotype" w:eastAsia="Palatino Linotype" w:hAnsi="Palatino Linotype" w:cs="Palatino Linotype"/>
          <w:b/>
        </w:rPr>
        <w:t>b)</w:t>
      </w:r>
      <w:r w:rsidRPr="00935C2C">
        <w:rPr>
          <w:rFonts w:ascii="Palatino Linotype" w:eastAsia="Palatino Linotype" w:hAnsi="Palatino Linotype" w:cs="Palatino Linotype"/>
        </w:rPr>
        <w:t xml:space="preserve"> Por faltas graves absolutorias (</w:t>
      </w:r>
      <w:r w:rsidRPr="00935C2C">
        <w:rPr>
          <w:rFonts w:ascii="Palatino Linotype" w:eastAsia="Palatino Linotype" w:hAnsi="Palatino Linotype" w:cs="Palatino Linotype"/>
          <w:i/>
        </w:rPr>
        <w:t>clasificando como confidencial el nombre, cargo y cualquier dato que haga identificable al servidor público</w:t>
      </w:r>
      <w:r w:rsidRPr="00935C2C">
        <w:rPr>
          <w:rFonts w:ascii="Palatino Linotype" w:eastAsia="Palatino Linotype" w:hAnsi="Palatino Linotype" w:cs="Palatino Linotype"/>
        </w:rPr>
        <w:t>).</w:t>
      </w:r>
    </w:p>
    <w:p w14:paraId="5FAFCC33" w14:textId="77777777" w:rsidR="00A679F9" w:rsidRPr="00935C2C" w:rsidRDefault="00A326AB">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rPr>
      </w:pPr>
      <w:r w:rsidRPr="00935C2C">
        <w:rPr>
          <w:rFonts w:ascii="Palatino Linotype" w:eastAsia="Palatino Linotype" w:hAnsi="Palatino Linotype" w:cs="Palatino Linotype"/>
          <w:b/>
        </w:rPr>
        <w:t>c)</w:t>
      </w:r>
      <w:r w:rsidRPr="00935C2C">
        <w:rPr>
          <w:rFonts w:ascii="Palatino Linotype" w:eastAsia="Palatino Linotype" w:hAnsi="Palatino Linotype" w:cs="Palatino Linotype"/>
        </w:rPr>
        <w:t xml:space="preserve"> Por faltas no graves absolutorias y condenatorias (</w:t>
      </w:r>
      <w:r w:rsidRPr="00935C2C">
        <w:rPr>
          <w:rFonts w:ascii="Palatino Linotype" w:eastAsia="Palatino Linotype" w:hAnsi="Palatino Linotype" w:cs="Palatino Linotype"/>
          <w:i/>
        </w:rPr>
        <w:t>clasificando como confidencial el nombre, cargo y cualquier dato que haga identificable al servidor público, así como la sanción en las condenatorias</w:t>
      </w:r>
      <w:r w:rsidRPr="00935C2C">
        <w:rPr>
          <w:rFonts w:ascii="Palatino Linotype" w:eastAsia="Palatino Linotype" w:hAnsi="Palatino Linotype" w:cs="Palatino Linotype"/>
        </w:rPr>
        <w:t>).</w:t>
      </w:r>
    </w:p>
    <w:p w14:paraId="7639A5D4" w14:textId="77777777" w:rsidR="00A679F9" w:rsidRPr="00935C2C" w:rsidRDefault="00A326AB">
      <w:pPr>
        <w:spacing w:before="240" w:after="240"/>
        <w:ind w:left="426" w:right="51"/>
        <w:jc w:val="both"/>
        <w:rPr>
          <w:rFonts w:ascii="Palatino Linotype" w:eastAsia="Palatino Linotype" w:hAnsi="Palatino Linotype" w:cs="Palatino Linotype"/>
          <w:i/>
          <w:sz w:val="20"/>
          <w:szCs w:val="20"/>
        </w:rPr>
      </w:pPr>
      <w:r w:rsidRPr="00935C2C">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935C2C">
        <w:rPr>
          <w:rFonts w:ascii="Palatino Linotype" w:eastAsia="Palatino Linotype" w:hAnsi="Palatino Linotype" w:cs="Palatino Linotype"/>
          <w:b/>
          <w:i/>
          <w:sz w:val="20"/>
          <w:szCs w:val="20"/>
        </w:rPr>
        <w:t>Recurrente</w:t>
      </w:r>
      <w:r w:rsidRPr="00935C2C">
        <w:rPr>
          <w:rFonts w:ascii="Palatino Linotype" w:eastAsia="Palatino Linotype" w:hAnsi="Palatino Linotype" w:cs="Palatino Linotype"/>
          <w:i/>
          <w:sz w:val="20"/>
          <w:szCs w:val="20"/>
        </w:rPr>
        <w:t>, mismo que igualmente hará de su conocimiento.</w:t>
      </w:r>
    </w:p>
    <w:p w14:paraId="1C9BA609" w14:textId="77777777" w:rsidR="00A679F9" w:rsidRPr="00935C2C" w:rsidRDefault="00A326AB">
      <w:pPr>
        <w:spacing w:before="240" w:after="240" w:line="360" w:lineRule="auto"/>
        <w:jc w:val="both"/>
        <w:rPr>
          <w:rFonts w:ascii="Palatino Linotype" w:eastAsia="Palatino Linotype" w:hAnsi="Palatino Linotype" w:cs="Palatino Linotype"/>
          <w:b/>
        </w:rPr>
      </w:pPr>
      <w:r w:rsidRPr="00935C2C">
        <w:rPr>
          <w:rFonts w:ascii="Palatino Linotype" w:eastAsia="Palatino Linotype" w:hAnsi="Palatino Linotype" w:cs="Palatino Linotype"/>
          <w:b/>
        </w:rPr>
        <w:t xml:space="preserve">Tercero. Notifíquese, </w:t>
      </w:r>
      <w:r w:rsidRPr="00935C2C">
        <w:rPr>
          <w:rFonts w:ascii="Palatino Linotype" w:eastAsia="Palatino Linotype" w:hAnsi="Palatino Linotype" w:cs="Palatino Linotype"/>
        </w:rPr>
        <w:t xml:space="preserve">vía </w:t>
      </w:r>
      <w:r w:rsidRPr="00935C2C">
        <w:rPr>
          <w:rFonts w:ascii="Palatino Linotype" w:eastAsia="Palatino Linotype" w:hAnsi="Palatino Linotype" w:cs="Palatino Linotype"/>
          <w:b/>
        </w:rPr>
        <w:t xml:space="preserve">SAIMEX, </w:t>
      </w:r>
      <w:r w:rsidRPr="00935C2C">
        <w:rPr>
          <w:rFonts w:ascii="Palatino Linotype" w:eastAsia="Palatino Linotype" w:hAnsi="Palatino Linotype" w:cs="Palatino Linotype"/>
        </w:rPr>
        <w:t>al Responsable de la Unidad de Transparencia del Sujeto Obligado</w:t>
      </w:r>
      <w:r w:rsidRPr="00935C2C">
        <w:rPr>
          <w:rFonts w:ascii="Palatino Linotype" w:eastAsia="Palatino Linotype" w:hAnsi="Palatino Linotype" w:cs="Palatino Linotype"/>
          <w:b/>
        </w:rPr>
        <w:t xml:space="preserve"> </w:t>
      </w:r>
      <w:r w:rsidRPr="00935C2C">
        <w:rPr>
          <w:rFonts w:ascii="Palatino Linotype" w:eastAsia="Palatino Linotype" w:hAnsi="Palatino Linotype" w:cs="Palatino Linotype"/>
        </w:rPr>
        <w:t>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935C2C">
        <w:rPr>
          <w:rFonts w:ascii="Palatino Linotype" w:eastAsia="Palatino Linotype" w:hAnsi="Palatino Linotype" w:cs="Palatino Linotype"/>
          <w:b/>
        </w:rPr>
        <w:t>.</w:t>
      </w:r>
    </w:p>
    <w:p w14:paraId="1A3D7007"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935C2C">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41FF7E55" w14:textId="77777777" w:rsidR="00A679F9" w:rsidRPr="00935C2C"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b/>
        </w:rPr>
        <w:t>Cuarto.</w:t>
      </w:r>
      <w:r w:rsidRPr="00935C2C">
        <w:rPr>
          <w:rFonts w:ascii="Palatino Linotype" w:eastAsia="Palatino Linotype" w:hAnsi="Palatino Linotype" w:cs="Palatino Linotype"/>
        </w:rPr>
        <w:t xml:space="preserve"> </w:t>
      </w:r>
      <w:r w:rsidRPr="00935C2C">
        <w:rPr>
          <w:rFonts w:ascii="Palatino Linotype" w:eastAsia="Palatino Linotype" w:hAnsi="Palatino Linotype" w:cs="Palatino Linotype"/>
          <w:b/>
        </w:rPr>
        <w:t xml:space="preserve">Notifíquese, </w:t>
      </w:r>
      <w:r w:rsidRPr="00935C2C">
        <w:rPr>
          <w:rFonts w:ascii="Palatino Linotype" w:eastAsia="Palatino Linotype" w:hAnsi="Palatino Linotype" w:cs="Palatino Linotype"/>
        </w:rPr>
        <w:t xml:space="preserve">vía </w:t>
      </w:r>
      <w:r w:rsidRPr="00935C2C">
        <w:rPr>
          <w:rFonts w:ascii="Palatino Linotype" w:eastAsia="Palatino Linotype" w:hAnsi="Palatino Linotype" w:cs="Palatino Linotype"/>
          <w:b/>
        </w:rPr>
        <w:t>SAIMEX</w:t>
      </w:r>
      <w:r w:rsidRPr="00935C2C">
        <w:rPr>
          <w:rFonts w:ascii="Palatino Linotype" w:eastAsia="Palatino Linotype" w:hAnsi="Palatino Linotype" w:cs="Palatino Linotype"/>
        </w:rPr>
        <w:t xml:space="preserve">, a la parte </w:t>
      </w:r>
      <w:r w:rsidRPr="00935C2C">
        <w:rPr>
          <w:rFonts w:ascii="Palatino Linotype" w:eastAsia="Palatino Linotype" w:hAnsi="Palatino Linotype" w:cs="Palatino Linotype"/>
          <w:b/>
        </w:rPr>
        <w:t>Recurrente</w:t>
      </w:r>
      <w:r w:rsidRPr="00935C2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19E48CB" w14:textId="3ADA80DA" w:rsidR="00A679F9" w:rsidRDefault="00A326AB">
      <w:pPr>
        <w:spacing w:before="240" w:after="240" w:line="360" w:lineRule="auto"/>
        <w:jc w:val="both"/>
        <w:rPr>
          <w:rFonts w:ascii="Palatino Linotype" w:eastAsia="Palatino Linotype" w:hAnsi="Palatino Linotype" w:cs="Palatino Linotype"/>
        </w:rPr>
      </w:pPr>
      <w:r w:rsidRPr="00935C2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76489">
        <w:rPr>
          <w:rFonts w:ascii="Palatino Linotype" w:eastAsia="Palatino Linotype" w:hAnsi="Palatino Linotype" w:cs="Palatino Linotype"/>
        </w:rPr>
        <w:t>, EMITIENDO VOTO PARTICULAR</w:t>
      </w:r>
      <w:r w:rsidRPr="00935C2C">
        <w:rPr>
          <w:rFonts w:ascii="Palatino Linotype" w:eastAsia="Palatino Linotype" w:hAnsi="Palatino Linotype" w:cs="Palatino Linotype"/>
        </w:rPr>
        <w:t>, SHARON CRISTINA MORALES MARTÍNEZ, LUIS GUSTAVO PARRA NORIEGA</w:t>
      </w:r>
      <w:r w:rsidR="00676489">
        <w:rPr>
          <w:rFonts w:ascii="Palatino Linotype" w:eastAsia="Palatino Linotype" w:hAnsi="Palatino Linotype" w:cs="Palatino Linotype"/>
        </w:rPr>
        <w:t>, EMITIENDO VOTO PARTICULAR</w:t>
      </w:r>
      <w:r w:rsidRPr="00935C2C">
        <w:rPr>
          <w:rFonts w:ascii="Palatino Linotype" w:eastAsia="Palatino Linotype" w:hAnsi="Palatino Linotype" w:cs="Palatino Linotype"/>
        </w:rPr>
        <w:t xml:space="preserve"> Y GUADALUPE RAMÍREZ PEÑA; EN LA VIGÉSIMO SEXTA SESIÓN ORDINARIA CELEBRADA EL TRECE DE JULIO DE DOS MIL VEINTIDÓS, ANTE EL SECRETARIO TÉCNICO DEL PLENO ALEXIS TAPIA RAMÍREZ.</w:t>
      </w:r>
    </w:p>
    <w:p w14:paraId="6B8E0BC7" w14:textId="55866019" w:rsidR="00676489" w:rsidRPr="00935C2C" w:rsidRDefault="006764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1F218F07" wp14:editId="460FCBAC">
                <wp:simplePos x="0" y="0"/>
                <wp:positionH relativeFrom="margin">
                  <wp:align>right</wp:align>
                </wp:positionH>
                <wp:positionV relativeFrom="paragraph">
                  <wp:posOffset>51435</wp:posOffset>
                </wp:positionV>
                <wp:extent cx="5513614" cy="1758043"/>
                <wp:effectExtent l="38100" t="38100" r="68580" b="90170"/>
                <wp:wrapNone/>
                <wp:docPr id="1" name="Conector recto 1"/>
                <wp:cNvGraphicFramePr/>
                <a:graphic xmlns:a="http://schemas.openxmlformats.org/drawingml/2006/main">
                  <a:graphicData uri="http://schemas.microsoft.com/office/word/2010/wordprocessingShape">
                    <wps:wsp>
                      <wps:cNvCnPr/>
                      <wps:spPr>
                        <a:xfrm>
                          <a:off x="0" y="0"/>
                          <a:ext cx="5513614" cy="175804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E92D7"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95pt,4.05pt" to="817.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" strokecolor="black [3200]" strokeweight="2pt">
                <v:shadow on="t" color="black" opacity="24903f" origin=",.5" offset="0,.55556mm"/>
                <w10:wrap anchorx="margin"/>
              </v:line>
            </w:pict>
          </mc:Fallback>
        </mc:AlternateContent>
      </w:r>
    </w:p>
    <w:p w14:paraId="305B32EB" w14:textId="77777777" w:rsidR="00A679F9" w:rsidRPr="00935C2C" w:rsidRDefault="00A679F9">
      <w:pPr>
        <w:spacing w:line="360" w:lineRule="auto"/>
        <w:jc w:val="both"/>
        <w:rPr>
          <w:rFonts w:ascii="Palatino Linotype" w:eastAsia="Palatino Linotype" w:hAnsi="Palatino Linotype" w:cs="Palatino Linotype"/>
        </w:rPr>
      </w:pPr>
    </w:p>
    <w:p w14:paraId="35BD2A6E" w14:textId="77777777" w:rsidR="00A679F9" w:rsidRPr="00935C2C" w:rsidRDefault="00A679F9">
      <w:pPr>
        <w:rPr>
          <w:rFonts w:ascii="Palatino Linotype" w:eastAsia="Palatino Linotype" w:hAnsi="Palatino Linotype" w:cs="Palatino Linotype"/>
        </w:rPr>
      </w:pPr>
    </w:p>
    <w:p w14:paraId="351180C3" w14:textId="77777777" w:rsidR="00A679F9" w:rsidRPr="00935C2C" w:rsidRDefault="00A679F9">
      <w:pPr>
        <w:spacing w:line="360" w:lineRule="auto"/>
        <w:jc w:val="both"/>
        <w:rPr>
          <w:rFonts w:ascii="Palatino Linotype" w:eastAsia="Palatino Linotype" w:hAnsi="Palatino Linotype" w:cs="Palatino Linotype"/>
        </w:rPr>
      </w:pPr>
    </w:p>
    <w:p w14:paraId="7B857CDF" w14:textId="77777777" w:rsidR="00A679F9" w:rsidRPr="00935C2C" w:rsidRDefault="00A679F9">
      <w:pPr>
        <w:spacing w:line="360" w:lineRule="auto"/>
        <w:jc w:val="both"/>
        <w:rPr>
          <w:rFonts w:ascii="Palatino Linotype" w:eastAsia="Palatino Linotype" w:hAnsi="Palatino Linotype" w:cs="Palatino Linotype"/>
        </w:rPr>
      </w:pPr>
    </w:p>
    <w:p w14:paraId="4B147484" w14:textId="77777777" w:rsidR="00A679F9" w:rsidRPr="00935C2C" w:rsidRDefault="00A679F9">
      <w:pPr>
        <w:spacing w:line="360" w:lineRule="auto"/>
        <w:jc w:val="both"/>
        <w:rPr>
          <w:rFonts w:ascii="Palatino Linotype" w:eastAsia="Palatino Linotype" w:hAnsi="Palatino Linotype" w:cs="Palatino Linotype"/>
        </w:rPr>
      </w:pPr>
    </w:p>
    <w:p w14:paraId="6AC6CF61" w14:textId="77777777" w:rsidR="00A679F9" w:rsidRPr="00935C2C" w:rsidRDefault="00A679F9">
      <w:pPr>
        <w:spacing w:line="360" w:lineRule="auto"/>
        <w:jc w:val="both"/>
        <w:rPr>
          <w:rFonts w:ascii="Palatino Linotype" w:eastAsia="Palatino Linotype" w:hAnsi="Palatino Linotype" w:cs="Palatino Linotype"/>
        </w:rPr>
      </w:pPr>
    </w:p>
    <w:p w14:paraId="680EBDDD" w14:textId="77777777" w:rsidR="00A679F9" w:rsidRPr="00935C2C" w:rsidRDefault="00A679F9">
      <w:pPr>
        <w:spacing w:line="360" w:lineRule="auto"/>
        <w:jc w:val="both"/>
        <w:rPr>
          <w:rFonts w:ascii="Palatino Linotype" w:eastAsia="Palatino Linotype" w:hAnsi="Palatino Linotype" w:cs="Palatino Linotype"/>
        </w:rPr>
      </w:pPr>
    </w:p>
    <w:p w14:paraId="1896AA6B" w14:textId="77777777" w:rsidR="00A679F9" w:rsidRPr="00935C2C" w:rsidRDefault="00A679F9">
      <w:pPr>
        <w:spacing w:line="360" w:lineRule="auto"/>
        <w:jc w:val="both"/>
        <w:rPr>
          <w:rFonts w:ascii="Palatino Linotype" w:eastAsia="Palatino Linotype" w:hAnsi="Palatino Linotype" w:cs="Palatino Linotype"/>
        </w:rPr>
      </w:pPr>
    </w:p>
    <w:p w14:paraId="67148A42" w14:textId="77777777" w:rsidR="00A679F9" w:rsidRPr="00935C2C" w:rsidRDefault="00A679F9">
      <w:pPr>
        <w:spacing w:line="360" w:lineRule="auto"/>
        <w:jc w:val="both"/>
        <w:rPr>
          <w:rFonts w:ascii="Palatino Linotype" w:eastAsia="Palatino Linotype" w:hAnsi="Palatino Linotype" w:cs="Palatino Linotype"/>
        </w:rPr>
      </w:pPr>
    </w:p>
    <w:p w14:paraId="1A08F972" w14:textId="77777777" w:rsidR="00A679F9" w:rsidRPr="00935C2C" w:rsidRDefault="00A679F9">
      <w:pPr>
        <w:spacing w:line="360" w:lineRule="auto"/>
        <w:jc w:val="both"/>
        <w:rPr>
          <w:rFonts w:ascii="Palatino Linotype" w:eastAsia="Palatino Linotype" w:hAnsi="Palatino Linotype" w:cs="Palatino Linotype"/>
        </w:rPr>
      </w:pPr>
    </w:p>
    <w:p w14:paraId="65563A5E" w14:textId="77777777" w:rsidR="00A679F9" w:rsidRPr="00935C2C" w:rsidRDefault="00A679F9">
      <w:pPr>
        <w:spacing w:line="360" w:lineRule="auto"/>
        <w:jc w:val="both"/>
        <w:rPr>
          <w:rFonts w:ascii="Palatino Linotype" w:eastAsia="Palatino Linotype" w:hAnsi="Palatino Linotype" w:cs="Palatino Linotype"/>
        </w:rPr>
      </w:pPr>
    </w:p>
    <w:p w14:paraId="380A0B94" w14:textId="77777777" w:rsidR="00A679F9" w:rsidRPr="00935C2C" w:rsidRDefault="00A679F9">
      <w:pPr>
        <w:spacing w:line="360" w:lineRule="auto"/>
        <w:jc w:val="both"/>
        <w:rPr>
          <w:rFonts w:ascii="Palatino Linotype" w:eastAsia="Palatino Linotype" w:hAnsi="Palatino Linotype" w:cs="Palatino Linotype"/>
        </w:rPr>
      </w:pPr>
    </w:p>
    <w:p w14:paraId="746B0807" w14:textId="77777777" w:rsidR="00A679F9" w:rsidRPr="00935C2C" w:rsidRDefault="00A679F9">
      <w:pPr>
        <w:spacing w:line="360" w:lineRule="auto"/>
        <w:jc w:val="both"/>
        <w:rPr>
          <w:rFonts w:ascii="Palatino Linotype" w:eastAsia="Palatino Linotype" w:hAnsi="Palatino Linotype" w:cs="Palatino Linotype"/>
        </w:rPr>
      </w:pPr>
    </w:p>
    <w:p w14:paraId="491FD786" w14:textId="77777777" w:rsidR="00A679F9" w:rsidRPr="00935C2C" w:rsidRDefault="00A679F9">
      <w:pPr>
        <w:spacing w:line="360" w:lineRule="auto"/>
        <w:jc w:val="both"/>
        <w:rPr>
          <w:rFonts w:ascii="Palatino Linotype" w:eastAsia="Palatino Linotype" w:hAnsi="Palatino Linotype" w:cs="Palatino Linotype"/>
        </w:rPr>
      </w:pPr>
    </w:p>
    <w:p w14:paraId="659C0792" w14:textId="77777777" w:rsidR="00A679F9" w:rsidRPr="00935C2C" w:rsidRDefault="00A679F9">
      <w:pPr>
        <w:spacing w:line="360" w:lineRule="auto"/>
        <w:jc w:val="both"/>
        <w:rPr>
          <w:rFonts w:ascii="Palatino Linotype" w:eastAsia="Palatino Linotype" w:hAnsi="Palatino Linotype" w:cs="Palatino Linotype"/>
        </w:rPr>
      </w:pPr>
    </w:p>
    <w:p w14:paraId="2DDB485A" w14:textId="77777777" w:rsidR="00A679F9" w:rsidRPr="00935C2C" w:rsidRDefault="00A679F9">
      <w:pPr>
        <w:spacing w:line="360" w:lineRule="auto"/>
        <w:jc w:val="both"/>
        <w:rPr>
          <w:rFonts w:ascii="Palatino Linotype" w:eastAsia="Palatino Linotype" w:hAnsi="Palatino Linotype" w:cs="Palatino Linotype"/>
        </w:rPr>
      </w:pPr>
    </w:p>
    <w:p w14:paraId="50737624" w14:textId="77777777" w:rsidR="00A679F9" w:rsidRPr="00935C2C" w:rsidRDefault="00A679F9">
      <w:pPr>
        <w:spacing w:line="360" w:lineRule="auto"/>
        <w:jc w:val="both"/>
        <w:rPr>
          <w:rFonts w:ascii="Palatino Linotype" w:eastAsia="Palatino Linotype" w:hAnsi="Palatino Linotype" w:cs="Palatino Linotype"/>
        </w:rPr>
      </w:pPr>
    </w:p>
    <w:p w14:paraId="78882DEC" w14:textId="77777777" w:rsidR="00A679F9" w:rsidRPr="00935C2C" w:rsidRDefault="00A679F9">
      <w:pPr>
        <w:spacing w:line="360" w:lineRule="auto"/>
        <w:jc w:val="both"/>
        <w:rPr>
          <w:rFonts w:ascii="Palatino Linotype" w:eastAsia="Palatino Linotype" w:hAnsi="Palatino Linotype" w:cs="Palatino Linotype"/>
        </w:rPr>
      </w:pPr>
    </w:p>
    <w:p w14:paraId="1B56B7B0" w14:textId="77777777" w:rsidR="00A679F9" w:rsidRPr="00935C2C" w:rsidRDefault="00A679F9">
      <w:pPr>
        <w:spacing w:line="360" w:lineRule="auto"/>
        <w:jc w:val="both"/>
        <w:rPr>
          <w:rFonts w:ascii="Palatino Linotype" w:eastAsia="Palatino Linotype" w:hAnsi="Palatino Linotype" w:cs="Palatino Linotype"/>
        </w:rPr>
      </w:pPr>
    </w:p>
    <w:p w14:paraId="68D1A5A4" w14:textId="77777777" w:rsidR="00A679F9" w:rsidRPr="00935C2C" w:rsidRDefault="00A679F9">
      <w:pPr>
        <w:spacing w:line="360" w:lineRule="auto"/>
        <w:jc w:val="both"/>
        <w:rPr>
          <w:rFonts w:ascii="Palatino Linotype" w:eastAsia="Palatino Linotype" w:hAnsi="Palatino Linotype" w:cs="Palatino Linotype"/>
        </w:rPr>
      </w:pPr>
    </w:p>
    <w:p w14:paraId="4DCC6217" w14:textId="77777777" w:rsidR="00A679F9" w:rsidRPr="00935C2C" w:rsidRDefault="00A679F9">
      <w:pPr>
        <w:spacing w:line="360" w:lineRule="auto"/>
        <w:jc w:val="both"/>
        <w:rPr>
          <w:rFonts w:ascii="Palatino Linotype" w:eastAsia="Palatino Linotype" w:hAnsi="Palatino Linotype" w:cs="Palatino Linotype"/>
        </w:rPr>
      </w:pPr>
    </w:p>
    <w:p w14:paraId="34DBDA35" w14:textId="77777777" w:rsidR="00A679F9" w:rsidRPr="00935C2C" w:rsidRDefault="00A679F9">
      <w:pPr>
        <w:spacing w:line="360" w:lineRule="auto"/>
        <w:jc w:val="both"/>
        <w:rPr>
          <w:rFonts w:ascii="Palatino Linotype" w:eastAsia="Palatino Linotype" w:hAnsi="Palatino Linotype" w:cs="Palatino Linotype"/>
        </w:rPr>
      </w:pPr>
    </w:p>
    <w:p w14:paraId="714EF286" w14:textId="77777777" w:rsidR="00A679F9" w:rsidRPr="00935C2C" w:rsidRDefault="00A679F9">
      <w:pPr>
        <w:spacing w:line="360" w:lineRule="auto"/>
        <w:jc w:val="both"/>
        <w:rPr>
          <w:rFonts w:ascii="Palatino Linotype" w:eastAsia="Palatino Linotype" w:hAnsi="Palatino Linotype" w:cs="Palatino Linotype"/>
        </w:rPr>
      </w:pPr>
    </w:p>
    <w:sectPr w:rsidR="00A679F9" w:rsidRPr="00935C2C">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14D5D" w14:textId="77777777" w:rsidR="00B25907" w:rsidRDefault="00B25907">
      <w:r>
        <w:separator/>
      </w:r>
    </w:p>
  </w:endnote>
  <w:endnote w:type="continuationSeparator" w:id="0">
    <w:p w14:paraId="3E9460C1" w14:textId="77777777" w:rsidR="00B25907" w:rsidRDefault="00B25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286C" w14:textId="77777777" w:rsidR="00E45CF9" w:rsidRDefault="00E45C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E0379">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E0379">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191667DE" w14:textId="77777777" w:rsidR="00E45CF9" w:rsidRDefault="00E45CF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0729" w14:textId="77777777" w:rsidR="00E45CF9" w:rsidRDefault="00E45C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E037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E0379">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27DD8B62" w14:textId="77777777" w:rsidR="00E45CF9" w:rsidRDefault="00E45CF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5EC97" w14:textId="77777777" w:rsidR="00B25907" w:rsidRDefault="00B25907">
      <w:r>
        <w:separator/>
      </w:r>
    </w:p>
  </w:footnote>
  <w:footnote w:type="continuationSeparator" w:id="0">
    <w:p w14:paraId="722379BF" w14:textId="77777777" w:rsidR="00B25907" w:rsidRDefault="00B25907">
      <w:r>
        <w:continuationSeparator/>
      </w:r>
    </w:p>
  </w:footnote>
  <w:footnote w:id="1">
    <w:p w14:paraId="70973181"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2">
    <w:p w14:paraId="7353061D"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31E883C" w14:textId="77777777" w:rsidR="00E45CF9" w:rsidRDefault="00E45CF9">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55D4FD2"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77CC05F3" w14:textId="77777777" w:rsidR="00E45CF9" w:rsidRDefault="00E45CF9">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5">
    <w:p w14:paraId="690D333C" w14:textId="77777777" w:rsidR="00E45CF9" w:rsidRDefault="00E45CF9">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33.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w:t>
      </w:r>
    </w:p>
    <w:p w14:paraId="3A737DA8" w14:textId="77777777" w:rsidR="00E45CF9" w:rsidRDefault="00E45CF9">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Asimismo, deberán presentar su declaración fiscal anual, en los términos que disponga la legislación de la materia.</w:t>
      </w:r>
    </w:p>
  </w:footnote>
  <w:footnote w:id="6">
    <w:p w14:paraId="7BA86F58" w14:textId="77777777" w:rsidR="00E45CF9" w:rsidRDefault="00E45CF9">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hyperlink r:id="rId1">
        <w:r>
          <w:rPr>
            <w:rFonts w:ascii="Palatino Linotype" w:eastAsia="Palatino Linotype" w:hAnsi="Palatino Linotype" w:cs="Palatino Linotype"/>
            <w:color w:val="0000FF"/>
            <w:sz w:val="16"/>
            <w:szCs w:val="16"/>
            <w:u w:val="single"/>
          </w:rPr>
          <w:t>https://www.secogem.gob.mx/SAM/sit_atn_mex.asp</w:t>
        </w:r>
      </w:hyperlink>
      <w:r>
        <w:rPr>
          <w:rFonts w:ascii="Palatino Linotype" w:eastAsia="Palatino Linotype" w:hAnsi="Palatino Linotype" w:cs="Palatino Linotype"/>
          <w:color w:val="000000"/>
          <w:sz w:val="16"/>
          <w:szCs w:val="16"/>
        </w:rPr>
        <w:t xml:space="preserve"> </w:t>
      </w:r>
    </w:p>
  </w:footnote>
  <w:footnote w:id="7">
    <w:p w14:paraId="07C47098"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Ver páginas 71 y 72 de la contradicción de tesis 200/2013, específicamente los epígrafes 84, 85 y 87. </w:t>
      </w:r>
    </w:p>
  </w:footnote>
  <w:footnote w:id="8">
    <w:p w14:paraId="162020CF"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Ver supra. Página 24.</w:t>
      </w:r>
    </w:p>
  </w:footnote>
  <w:footnote w:id="9">
    <w:p w14:paraId="69975168"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1AE310"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footnote>
  <w:footnote w:id="10">
    <w:p w14:paraId="3B85C650"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1615BB50"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5ABFB424"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11">
    <w:p w14:paraId="076EBF3E"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12">
    <w:p w14:paraId="3EAB7228"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13">
    <w:p w14:paraId="5247510E"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12. (…)</w:t>
      </w:r>
    </w:p>
    <w:p w14:paraId="14FD6ED7" w14:textId="77777777" w:rsidR="00E45CF9" w:rsidRDefault="00E45CF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40A1" w14:textId="77777777" w:rsidR="00E45CF9" w:rsidRDefault="00E45CF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4F9EB0CF" wp14:editId="15F1C72C">
          <wp:simplePos x="0" y="0"/>
          <wp:positionH relativeFrom="column">
            <wp:posOffset>-1080130</wp:posOffset>
          </wp:positionH>
          <wp:positionV relativeFrom="paragraph">
            <wp:posOffset>-488310</wp:posOffset>
          </wp:positionV>
          <wp:extent cx="7809865" cy="10165715"/>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E45CF9" w14:paraId="2FC00FA3" w14:textId="77777777">
      <w:tc>
        <w:tcPr>
          <w:tcW w:w="2489" w:type="dxa"/>
          <w:shd w:val="clear" w:color="auto" w:fill="auto"/>
        </w:tcPr>
        <w:p w14:paraId="5B6362B6" w14:textId="77777777" w:rsidR="00E45CF9" w:rsidRDefault="00E45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ECED4A2" w14:textId="77777777" w:rsidR="00E45CF9" w:rsidRDefault="00E45CF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04049/INFOEM/IP/RR/2022</w:t>
          </w:r>
        </w:p>
      </w:tc>
    </w:tr>
    <w:tr w:rsidR="00E45CF9" w14:paraId="4CB73214" w14:textId="77777777">
      <w:trPr>
        <w:trHeight w:val="228"/>
      </w:trPr>
      <w:tc>
        <w:tcPr>
          <w:tcW w:w="2489" w:type="dxa"/>
          <w:shd w:val="clear" w:color="auto" w:fill="auto"/>
          <w:vAlign w:val="center"/>
        </w:tcPr>
        <w:p w14:paraId="7624B04F" w14:textId="77777777" w:rsidR="00E45CF9" w:rsidRDefault="00E45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88CCD91" w14:textId="77777777" w:rsidR="00E45CF9" w:rsidRDefault="00E45CF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E45CF9" w14:paraId="63DAEC04" w14:textId="77777777">
      <w:tc>
        <w:tcPr>
          <w:tcW w:w="2489" w:type="dxa"/>
          <w:shd w:val="clear" w:color="auto" w:fill="auto"/>
          <w:vAlign w:val="center"/>
        </w:tcPr>
        <w:p w14:paraId="2B091397" w14:textId="77777777" w:rsidR="00E45CF9" w:rsidRDefault="00E45CF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6415808" w14:textId="77777777" w:rsidR="00E45CF9" w:rsidRDefault="00E45CF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9D4FBC" w14:textId="77777777" w:rsidR="00E45CF9" w:rsidRDefault="00E45CF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12EE" w14:textId="77777777" w:rsidR="00E45CF9" w:rsidRDefault="00E45CF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a"/>
      <w:tblW w:w="5670" w:type="dxa"/>
      <w:tblInd w:w="3261" w:type="dxa"/>
      <w:tblLayout w:type="fixed"/>
      <w:tblLook w:val="0400" w:firstRow="0" w:lastRow="0" w:firstColumn="0" w:lastColumn="0" w:noHBand="0" w:noVBand="1"/>
    </w:tblPr>
    <w:tblGrid>
      <w:gridCol w:w="2551"/>
      <w:gridCol w:w="3119"/>
    </w:tblGrid>
    <w:tr w:rsidR="00E45CF9" w14:paraId="0084A74E" w14:textId="77777777">
      <w:tc>
        <w:tcPr>
          <w:tcW w:w="2551" w:type="dxa"/>
          <w:shd w:val="clear" w:color="auto" w:fill="auto"/>
          <w:vAlign w:val="center"/>
        </w:tcPr>
        <w:p w14:paraId="591C11BF" w14:textId="77777777" w:rsidR="00E45CF9" w:rsidRDefault="00E45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4E1ABB3" w14:textId="77777777" w:rsidR="00E45CF9" w:rsidRDefault="00E45CF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04049/INFOEM/IP/RR/2022</w:t>
          </w:r>
        </w:p>
      </w:tc>
    </w:tr>
    <w:tr w:rsidR="00E45CF9" w14:paraId="3E8BCF9A" w14:textId="77777777">
      <w:trPr>
        <w:trHeight w:val="130"/>
      </w:trPr>
      <w:tc>
        <w:tcPr>
          <w:tcW w:w="2551" w:type="dxa"/>
          <w:shd w:val="clear" w:color="auto" w:fill="auto"/>
          <w:vAlign w:val="center"/>
        </w:tcPr>
        <w:p w14:paraId="7C13146E" w14:textId="77777777" w:rsidR="00E45CF9" w:rsidRDefault="00E45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303A98A" w14:textId="0359E713" w:rsidR="00E45CF9" w:rsidRDefault="00571664">
          <w:pPr>
            <w:ind w:left="-45"/>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w:t>
          </w:r>
          <w:proofErr w:type="spellEnd"/>
          <w:r w:rsidR="00E45CF9">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r w:rsidR="00E45CF9">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p>
      </w:tc>
    </w:tr>
    <w:tr w:rsidR="00E45CF9" w14:paraId="53DE0D46" w14:textId="77777777">
      <w:trPr>
        <w:trHeight w:val="228"/>
      </w:trPr>
      <w:tc>
        <w:tcPr>
          <w:tcW w:w="2551" w:type="dxa"/>
          <w:shd w:val="clear" w:color="auto" w:fill="auto"/>
          <w:vAlign w:val="center"/>
        </w:tcPr>
        <w:p w14:paraId="14A810D4" w14:textId="77777777" w:rsidR="00E45CF9" w:rsidRDefault="00E45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E9A633E" w14:textId="77777777" w:rsidR="00E45CF9" w:rsidRDefault="00E45CF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E45CF9" w14:paraId="7C80864B" w14:textId="77777777">
      <w:tc>
        <w:tcPr>
          <w:tcW w:w="2551" w:type="dxa"/>
          <w:shd w:val="clear" w:color="auto" w:fill="auto"/>
          <w:vAlign w:val="center"/>
        </w:tcPr>
        <w:p w14:paraId="08B028C6" w14:textId="77777777" w:rsidR="00E45CF9" w:rsidRDefault="00E45C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918EE72" w14:textId="77777777" w:rsidR="00E45CF9" w:rsidRDefault="00E45CF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9ACE740" w14:textId="77777777" w:rsidR="00E45CF9" w:rsidRDefault="00E45CF9">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7772B1E1" wp14:editId="061F0F36">
          <wp:simplePos x="0" y="0"/>
          <wp:positionH relativeFrom="column">
            <wp:posOffset>-1089655</wp:posOffset>
          </wp:positionH>
          <wp:positionV relativeFrom="paragraph">
            <wp:posOffset>-1169665</wp:posOffset>
          </wp:positionV>
          <wp:extent cx="7809865" cy="10165715"/>
          <wp:effectExtent l="0" t="0" r="0" b="0"/>
          <wp:wrapNone/>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859"/>
    <w:multiLevelType w:val="multilevel"/>
    <w:tmpl w:val="CDF81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F4532"/>
    <w:multiLevelType w:val="multilevel"/>
    <w:tmpl w:val="88EC40E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04A170F"/>
    <w:multiLevelType w:val="multilevel"/>
    <w:tmpl w:val="BDECA7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9C01006"/>
    <w:multiLevelType w:val="multilevel"/>
    <w:tmpl w:val="E7BEF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943392"/>
    <w:multiLevelType w:val="multilevel"/>
    <w:tmpl w:val="45FE83F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8C6253"/>
    <w:multiLevelType w:val="multilevel"/>
    <w:tmpl w:val="A2726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3C71F2"/>
    <w:multiLevelType w:val="multilevel"/>
    <w:tmpl w:val="616CFD1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0646609">
    <w:abstractNumId w:val="7"/>
  </w:num>
  <w:num w:numId="2" w16cid:durableId="1695106521">
    <w:abstractNumId w:val="6"/>
  </w:num>
  <w:num w:numId="3" w16cid:durableId="1915124186">
    <w:abstractNumId w:val="1"/>
  </w:num>
  <w:num w:numId="4" w16cid:durableId="348989831">
    <w:abstractNumId w:val="2"/>
  </w:num>
  <w:num w:numId="5" w16cid:durableId="1726021954">
    <w:abstractNumId w:val="8"/>
  </w:num>
  <w:num w:numId="6" w16cid:durableId="2088960744">
    <w:abstractNumId w:val="4"/>
  </w:num>
  <w:num w:numId="7" w16cid:durableId="1886677745">
    <w:abstractNumId w:val="0"/>
  </w:num>
  <w:num w:numId="8" w16cid:durableId="667829992">
    <w:abstractNumId w:val="5"/>
  </w:num>
  <w:num w:numId="9" w16cid:durableId="17074886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9F9"/>
    <w:rsid w:val="00260567"/>
    <w:rsid w:val="004C4C61"/>
    <w:rsid w:val="00515CBD"/>
    <w:rsid w:val="00571664"/>
    <w:rsid w:val="0061691A"/>
    <w:rsid w:val="00676489"/>
    <w:rsid w:val="00682D94"/>
    <w:rsid w:val="006C048B"/>
    <w:rsid w:val="00935C2C"/>
    <w:rsid w:val="00A326AB"/>
    <w:rsid w:val="00A679F9"/>
    <w:rsid w:val="00B25907"/>
    <w:rsid w:val="00C67605"/>
    <w:rsid w:val="00E45CF9"/>
    <w:rsid w:val="00FE03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A9B94"/>
  <w15:docId w15:val="{5E2BB457-4244-4548-A6CE-0DD49DAC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ecogem.gob.mx/SAM/sit_atn_mex.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BZndj6hmy7thGdk70bKbNmkpNQ==">AMUW2mWYfZ4TNfFKRAkOdwSPE+3h3m8NRMg+D+rrdiBg5vSThTxsY/Xn9JuBEK1PfuLE7MLecc78B1+hOCP+SReGIZ7SnXdPlgCdZYri//XL7+AT55y+lQ0wl4osaWlu6dMa3ZX8EdA+SaJIuIoa5xMjszgBTInB2IFFZ2FwhlSTk8DqEfRcE70RLW3Uo5NOJmOXLOmsF97asxtzwmNDy9Hqlu2GfzTWcYOZNv1d0XuOQf5NzQUSYus0VyLZDtHOqT7OgLhbVtKYaib3g7wD8jnesVc1PDNK+IN2FvZbIzNsVB+yE4QrcfTa+7YJjGqXK5f4yUGFhav0IQM/oOB5jtMEv3fb8nwR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24888</Words>
  <Characters>136884</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161450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2022-08-04T03:18:00Z</dcterms:created>
  <dcterms:modified xsi:type="dcterms:W3CDTF">2022-08-04T03:18:00Z</dcterms:modified>
</cp:coreProperties>
</file>