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8F380EA" w:rsidR="00EA0165" w:rsidRPr="004F3E91" w:rsidRDefault="00EA0165"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4F3E9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F3E91">
        <w:rPr>
          <w:rFonts w:ascii="Palatino Linotype" w:eastAsiaTheme="minorEastAsia" w:hAnsi="Palatino Linotype" w:cstheme="minorBidi"/>
          <w:color w:val="000000" w:themeColor="text1"/>
          <w:lang w:val="es-ES_tradnl"/>
        </w:rPr>
        <w:t xml:space="preserve">n Metepec, Estado </w:t>
      </w:r>
      <w:r w:rsidR="006E050D" w:rsidRPr="004F3E91">
        <w:rPr>
          <w:rFonts w:ascii="Palatino Linotype" w:eastAsiaTheme="minorEastAsia" w:hAnsi="Palatino Linotype" w:cstheme="minorBidi"/>
          <w:color w:val="000000" w:themeColor="text1"/>
          <w:lang w:val="es-ES_tradnl"/>
        </w:rPr>
        <w:t xml:space="preserve">de México; de </w:t>
      </w:r>
      <w:r w:rsidR="0041030E" w:rsidRPr="004F3E91">
        <w:rPr>
          <w:rFonts w:ascii="Palatino Linotype" w:eastAsiaTheme="minorEastAsia" w:hAnsi="Palatino Linotype" w:cstheme="minorBidi"/>
          <w:color w:val="000000" w:themeColor="text1"/>
          <w:lang w:val="es-ES_tradnl"/>
        </w:rPr>
        <w:t>treinta (30)</w:t>
      </w:r>
      <w:r w:rsidR="00E95D75" w:rsidRPr="004F3E91">
        <w:rPr>
          <w:rFonts w:ascii="Palatino Linotype" w:eastAsiaTheme="minorEastAsia" w:hAnsi="Palatino Linotype" w:cstheme="minorBidi"/>
          <w:color w:val="000000" w:themeColor="text1"/>
          <w:lang w:val="es-ES_tradnl"/>
        </w:rPr>
        <w:t xml:space="preserve"> de noviembre</w:t>
      </w:r>
      <w:r w:rsidR="00F03AFC" w:rsidRPr="004F3E91">
        <w:rPr>
          <w:rFonts w:ascii="Palatino Linotype" w:eastAsiaTheme="minorEastAsia" w:hAnsi="Palatino Linotype" w:cstheme="minorBidi"/>
          <w:color w:val="000000" w:themeColor="text1"/>
          <w:lang w:val="es-MX"/>
        </w:rPr>
        <w:t xml:space="preserve"> </w:t>
      </w:r>
      <w:r w:rsidR="00E82231" w:rsidRPr="004F3E91">
        <w:rPr>
          <w:rFonts w:ascii="Palatino Linotype" w:eastAsiaTheme="minorEastAsia" w:hAnsi="Palatino Linotype" w:cstheme="minorBidi"/>
          <w:color w:val="000000" w:themeColor="text1"/>
          <w:lang w:val="es-MX"/>
        </w:rPr>
        <w:t>de dos mil veintidós</w:t>
      </w:r>
      <w:r w:rsidRPr="004F3E91">
        <w:rPr>
          <w:rFonts w:ascii="Palatino Linotype" w:eastAsiaTheme="minorEastAsia" w:hAnsi="Palatino Linotype" w:cstheme="minorBidi"/>
          <w:color w:val="000000" w:themeColor="text1"/>
          <w:lang w:val="es-ES_tradnl"/>
        </w:rPr>
        <w:t xml:space="preserve">. </w:t>
      </w:r>
    </w:p>
    <w:p w14:paraId="4B0B948F" w14:textId="77777777" w:rsidR="00BF059F" w:rsidRPr="004F3E91" w:rsidRDefault="00BF059F"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53203BB5" w:rsidR="001B067D" w:rsidRPr="004F3E91" w:rsidRDefault="001B067D"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4F3E91">
        <w:rPr>
          <w:rFonts w:ascii="Palatino Linotype" w:eastAsiaTheme="minorEastAsia" w:hAnsi="Palatino Linotype" w:cstheme="minorBidi"/>
          <w:b/>
          <w:color w:val="000000" w:themeColor="text1"/>
          <w:lang w:val="es-ES_tradnl"/>
        </w:rPr>
        <w:t>VISTO</w:t>
      </w:r>
      <w:r w:rsidRPr="004F3E91">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4F3E91">
        <w:rPr>
          <w:rFonts w:ascii="Verdana" w:hAnsi="Verdana"/>
          <w:b/>
          <w:bCs/>
          <w:color w:val="FF0000"/>
        </w:rPr>
        <w:t xml:space="preserve"> </w:t>
      </w:r>
      <w:r w:rsidR="0041030E" w:rsidRPr="004F3E91">
        <w:rPr>
          <w:rFonts w:ascii="Palatino Linotype" w:eastAsiaTheme="minorEastAsia" w:hAnsi="Palatino Linotype" w:cstheme="minorBidi"/>
          <w:b/>
          <w:bCs/>
          <w:color w:val="000000" w:themeColor="text1"/>
        </w:rPr>
        <w:t>03943/INFOEM/IP/RR/2022</w:t>
      </w:r>
      <w:r w:rsidRPr="004F3E91">
        <w:rPr>
          <w:rFonts w:ascii="Palatino Linotype" w:eastAsiaTheme="minorEastAsia" w:hAnsi="Palatino Linotype" w:cstheme="minorBidi"/>
          <w:b/>
          <w:bCs/>
          <w:color w:val="000000" w:themeColor="text1"/>
          <w:lang w:val="es-ES_tradnl"/>
        </w:rPr>
        <w:t xml:space="preserve">, </w:t>
      </w:r>
      <w:r w:rsidRPr="004F3E91">
        <w:rPr>
          <w:rFonts w:ascii="Palatino Linotype" w:eastAsiaTheme="minorEastAsia" w:hAnsi="Palatino Linotype" w:cstheme="minorBidi"/>
          <w:color w:val="000000" w:themeColor="text1"/>
          <w:lang w:val="es-ES_tradnl"/>
        </w:rPr>
        <w:t>promovido por</w:t>
      </w:r>
      <w:r w:rsidR="00B45A40" w:rsidRPr="004F3E91">
        <w:rPr>
          <w:rFonts w:ascii="Palatino Linotype" w:eastAsiaTheme="minorEastAsia" w:hAnsi="Palatino Linotype" w:cstheme="minorBidi"/>
          <w:color w:val="000000" w:themeColor="text1"/>
          <w:lang w:val="es-ES_tradnl"/>
        </w:rPr>
        <w:t xml:space="preserve"> </w:t>
      </w:r>
      <w:r w:rsidR="004F3E91" w:rsidRPr="004F3E91">
        <w:rPr>
          <w:rFonts w:ascii="Palatino Linotype" w:eastAsiaTheme="minorEastAsia" w:hAnsi="Palatino Linotype" w:cstheme="minorBidi"/>
          <w:b/>
          <w:bCs/>
          <w:color w:val="000000" w:themeColor="text1"/>
          <w:lang w:val="es-ES_tradnl"/>
        </w:rPr>
        <w:t>XXXX XXXX XXXX</w:t>
      </w:r>
      <w:r w:rsidR="00B45A40" w:rsidRPr="004F3E91">
        <w:rPr>
          <w:rFonts w:ascii="Palatino Linotype" w:eastAsiaTheme="minorEastAsia" w:hAnsi="Palatino Linotype" w:cstheme="minorBidi"/>
          <w:color w:val="000000" w:themeColor="text1"/>
          <w:lang w:val="es-ES_tradnl"/>
        </w:rPr>
        <w:t xml:space="preserve">, en adelante, </w:t>
      </w:r>
      <w:r w:rsidR="00E95D75" w:rsidRPr="004F3E91">
        <w:rPr>
          <w:rFonts w:ascii="Palatino Linotype" w:eastAsiaTheme="minorEastAsia" w:hAnsi="Palatino Linotype" w:cstheme="minorBidi"/>
          <w:color w:val="000000" w:themeColor="text1"/>
          <w:lang w:val="es-ES_tradnl"/>
        </w:rPr>
        <w:t>el</w:t>
      </w:r>
      <w:r w:rsidRPr="004F3E91">
        <w:rPr>
          <w:rFonts w:ascii="Palatino Linotype" w:eastAsiaTheme="minorEastAsia" w:hAnsi="Palatino Linotype" w:cstheme="minorBidi"/>
          <w:color w:val="000000" w:themeColor="text1"/>
          <w:lang w:val="es-ES_tradnl"/>
        </w:rPr>
        <w:t xml:space="preserve"> </w:t>
      </w:r>
      <w:r w:rsidRPr="004F3E91">
        <w:rPr>
          <w:rFonts w:ascii="Palatino Linotype" w:eastAsiaTheme="minorEastAsia" w:hAnsi="Palatino Linotype" w:cstheme="minorBidi"/>
          <w:b/>
          <w:color w:val="000000" w:themeColor="text1"/>
          <w:lang w:val="es-ES_tradnl"/>
        </w:rPr>
        <w:t>RECURRENTE</w:t>
      </w:r>
      <w:r w:rsidR="001B198C" w:rsidRPr="004F3E91">
        <w:rPr>
          <w:rFonts w:ascii="Palatino Linotype" w:eastAsiaTheme="minorEastAsia" w:hAnsi="Palatino Linotype" w:cstheme="minorBidi"/>
          <w:color w:val="000000" w:themeColor="text1"/>
          <w:lang w:val="es-ES_tradnl"/>
        </w:rPr>
        <w:t>; en contra de la</w:t>
      </w:r>
      <w:r w:rsidRPr="004F3E91">
        <w:rPr>
          <w:rFonts w:ascii="Palatino Linotype" w:eastAsiaTheme="minorEastAsia" w:hAnsi="Palatino Linotype" w:cstheme="minorBidi"/>
          <w:color w:val="000000" w:themeColor="text1"/>
          <w:lang w:val="es-ES_tradnl"/>
        </w:rPr>
        <w:t xml:space="preserve"> respuesta de</w:t>
      </w:r>
      <w:r w:rsidR="00C16849" w:rsidRPr="004F3E91">
        <w:rPr>
          <w:rFonts w:ascii="Palatino Linotype" w:eastAsiaTheme="minorEastAsia" w:hAnsi="Palatino Linotype" w:cstheme="minorBidi"/>
          <w:color w:val="000000" w:themeColor="text1"/>
          <w:lang w:val="es-ES_tradnl"/>
        </w:rPr>
        <w:t>l</w:t>
      </w:r>
      <w:r w:rsidRPr="004F3E91">
        <w:rPr>
          <w:rFonts w:ascii="Palatino Linotype" w:hAnsi="Palatino Linotype"/>
        </w:rPr>
        <w:t xml:space="preserve"> </w:t>
      </w:r>
      <w:r w:rsidR="0041030E" w:rsidRPr="004F3E91">
        <w:rPr>
          <w:rFonts w:ascii="Palatino Linotype" w:hAnsi="Palatino Linotype"/>
          <w:b/>
          <w:bCs/>
        </w:rPr>
        <w:t>Ayuntamiento de Toluca</w:t>
      </w:r>
      <w:r w:rsidR="001B198C" w:rsidRPr="004F3E91">
        <w:rPr>
          <w:rFonts w:ascii="Palatino Linotype" w:hAnsi="Palatino Linotype"/>
          <w:b/>
          <w:bCs/>
        </w:rPr>
        <w:t>,</w:t>
      </w:r>
      <w:r w:rsidR="006E050D" w:rsidRPr="004F3E91">
        <w:rPr>
          <w:rFonts w:ascii="Palatino Linotype" w:hAnsi="Palatino Linotype"/>
        </w:rPr>
        <w:t xml:space="preserve"> </w:t>
      </w:r>
      <w:r w:rsidRPr="004F3E91">
        <w:rPr>
          <w:rFonts w:ascii="Palatino Linotype" w:eastAsiaTheme="minorEastAsia" w:hAnsi="Palatino Linotype" w:cstheme="minorBidi"/>
          <w:color w:val="000000" w:themeColor="text1"/>
          <w:lang w:val="es-ES_tradnl"/>
        </w:rPr>
        <w:t>en lo sucesivo</w:t>
      </w:r>
      <w:r w:rsidR="001B198C" w:rsidRPr="004F3E91">
        <w:rPr>
          <w:rFonts w:ascii="Palatino Linotype" w:eastAsiaTheme="minorEastAsia" w:hAnsi="Palatino Linotype" w:cstheme="minorBidi"/>
          <w:color w:val="000000" w:themeColor="text1"/>
          <w:lang w:val="es-ES_tradnl"/>
        </w:rPr>
        <w:t>,</w:t>
      </w:r>
      <w:r w:rsidRPr="004F3E91">
        <w:rPr>
          <w:rFonts w:ascii="Palatino Linotype" w:eastAsiaTheme="minorEastAsia" w:hAnsi="Palatino Linotype" w:cstheme="minorBidi"/>
          <w:color w:val="000000" w:themeColor="text1"/>
          <w:lang w:val="es-ES_tradnl"/>
        </w:rPr>
        <w:t xml:space="preserve"> el</w:t>
      </w:r>
      <w:r w:rsidRPr="004F3E91">
        <w:rPr>
          <w:rFonts w:ascii="Palatino Linotype" w:eastAsiaTheme="minorEastAsia" w:hAnsi="Palatino Linotype" w:cstheme="minorBidi"/>
          <w:b/>
          <w:color w:val="000000" w:themeColor="text1"/>
          <w:lang w:val="es-ES_tradnl"/>
        </w:rPr>
        <w:t xml:space="preserve"> SUJETO OBLIGADO, </w:t>
      </w:r>
      <w:r w:rsidRPr="004F3E91">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59EBDAE" w14:textId="77777777" w:rsidR="00D4070C" w:rsidRPr="004F3E91" w:rsidRDefault="00D4070C"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4F3E91" w:rsidRDefault="00EA0165" w:rsidP="00F56D3C">
      <w:pPr>
        <w:pStyle w:val="Ttulo1"/>
        <w:spacing w:before="0" w:line="360" w:lineRule="auto"/>
        <w:jc w:val="center"/>
        <w:rPr>
          <w:rFonts w:ascii="Palatino Linotype" w:hAnsi="Palatino Linotype"/>
          <w:b/>
          <w:color w:val="000000" w:themeColor="text1"/>
          <w:sz w:val="24"/>
          <w:szCs w:val="24"/>
          <w:lang w:val="es-MX" w:eastAsia="en-US"/>
        </w:rPr>
      </w:pPr>
      <w:bookmarkStart w:id="3" w:name="_Toc105085568"/>
      <w:r w:rsidRPr="004F3E91">
        <w:rPr>
          <w:rFonts w:ascii="Palatino Linotype" w:hAnsi="Palatino Linotype"/>
          <w:b/>
          <w:color w:val="000000" w:themeColor="text1"/>
          <w:sz w:val="24"/>
          <w:szCs w:val="24"/>
          <w:lang w:val="es-MX" w:eastAsia="en-US"/>
        </w:rPr>
        <w:t>ANTECEDENTES</w:t>
      </w:r>
      <w:bookmarkEnd w:id="0"/>
      <w:bookmarkEnd w:id="1"/>
      <w:bookmarkEnd w:id="2"/>
      <w:bookmarkEnd w:id="3"/>
    </w:p>
    <w:p w14:paraId="3548C45C" w14:textId="77777777" w:rsidR="00D4070C" w:rsidRPr="004F3E91"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55EA19FE" w:rsidR="00132CE1" w:rsidRPr="004F3E91"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eastAsia="Calibri" w:hAnsi="Palatino Linotype" w:cs="Arial"/>
          <w:color w:val="000000" w:themeColor="text1"/>
        </w:rPr>
        <w:t>El</w:t>
      </w:r>
      <w:r w:rsidR="00F216D7" w:rsidRPr="004F3E91">
        <w:rPr>
          <w:rFonts w:ascii="Palatino Linotype" w:eastAsia="Calibri" w:hAnsi="Palatino Linotype" w:cs="Arial"/>
          <w:color w:val="000000" w:themeColor="text1"/>
        </w:rPr>
        <w:t xml:space="preserve"> </w:t>
      </w:r>
      <w:r w:rsidR="0041030E" w:rsidRPr="004F3E91">
        <w:rPr>
          <w:rFonts w:ascii="Palatino Linotype" w:eastAsia="Calibri" w:hAnsi="Palatino Linotype" w:cs="Arial"/>
          <w:color w:val="000000" w:themeColor="text1"/>
        </w:rPr>
        <w:t>quince (15</w:t>
      </w:r>
      <w:r w:rsidR="00B45A40" w:rsidRPr="004F3E91">
        <w:rPr>
          <w:rFonts w:ascii="Palatino Linotype" w:eastAsia="Calibri" w:hAnsi="Palatino Linotype" w:cs="Arial"/>
          <w:color w:val="000000" w:themeColor="text1"/>
        </w:rPr>
        <w:t>) de febrero</w:t>
      </w:r>
      <w:r w:rsidR="001B198C" w:rsidRPr="004F3E91">
        <w:rPr>
          <w:rFonts w:ascii="Palatino Linotype" w:eastAsia="Calibri" w:hAnsi="Palatino Linotype" w:cs="Arial"/>
          <w:color w:val="000000" w:themeColor="text1"/>
        </w:rPr>
        <w:t xml:space="preserve"> </w:t>
      </w:r>
      <w:r w:rsidRPr="004F3E91">
        <w:rPr>
          <w:rFonts w:ascii="Palatino Linotype" w:eastAsia="Calibri" w:hAnsi="Palatino Linotype" w:cs="Arial"/>
          <w:color w:val="000000" w:themeColor="text1"/>
        </w:rPr>
        <w:t xml:space="preserve">de dos mil </w:t>
      </w:r>
      <w:r w:rsidR="00A91CCB" w:rsidRPr="004F3E91">
        <w:rPr>
          <w:rFonts w:ascii="Palatino Linotype" w:eastAsia="Calibri" w:hAnsi="Palatino Linotype" w:cs="Arial"/>
          <w:color w:val="000000" w:themeColor="text1"/>
        </w:rPr>
        <w:t>veintidós</w:t>
      </w:r>
      <w:r w:rsidRPr="004F3E91">
        <w:rPr>
          <w:rFonts w:ascii="Palatino Linotype" w:eastAsia="Calibri" w:hAnsi="Palatino Linotype" w:cs="Arial"/>
          <w:color w:val="000000" w:themeColor="text1"/>
        </w:rPr>
        <w:t xml:space="preserve">, </w:t>
      </w:r>
      <w:r w:rsidR="00E95D75" w:rsidRPr="004F3E91">
        <w:rPr>
          <w:rFonts w:ascii="Palatino Linotype" w:eastAsiaTheme="minorEastAsia" w:hAnsi="Palatino Linotype" w:cstheme="minorBidi"/>
          <w:color w:val="000000" w:themeColor="text1"/>
          <w:lang w:val="es-ES_tradnl"/>
        </w:rPr>
        <w:t>el</w:t>
      </w:r>
      <w:r w:rsidRPr="004F3E91">
        <w:rPr>
          <w:rFonts w:ascii="Palatino Linotype" w:eastAsiaTheme="minorEastAsia" w:hAnsi="Palatino Linotype" w:cstheme="minorBidi"/>
          <w:color w:val="000000" w:themeColor="text1"/>
          <w:lang w:val="es-ES_tradnl"/>
        </w:rPr>
        <w:t xml:space="preserve"> particular presentó</w:t>
      </w:r>
      <w:r w:rsidR="004E2BC2" w:rsidRPr="004F3E91">
        <w:rPr>
          <w:rFonts w:ascii="Palatino Linotype" w:eastAsiaTheme="minorEastAsia" w:hAnsi="Palatino Linotype" w:cstheme="minorBidi"/>
          <w:bCs/>
          <w:color w:val="000000" w:themeColor="text1"/>
          <w:lang w:val="es-ES_tradnl"/>
        </w:rPr>
        <w:t xml:space="preserve"> a través del </w:t>
      </w:r>
      <w:r w:rsidR="00B45A40" w:rsidRPr="004F3E91">
        <w:rPr>
          <w:rFonts w:ascii="Palatino Linotype" w:eastAsiaTheme="minorEastAsia" w:hAnsi="Palatino Linotype" w:cstheme="minorBidi"/>
          <w:bCs/>
          <w:color w:val="000000" w:themeColor="text1"/>
          <w:lang w:val="es-ES_tradnl"/>
        </w:rPr>
        <w:t>Sistema de Acceso a la Información Mexiquense (</w:t>
      </w:r>
      <w:r w:rsidR="001B198C" w:rsidRPr="004F3E91">
        <w:rPr>
          <w:rFonts w:ascii="Palatino Linotype" w:eastAsiaTheme="minorEastAsia" w:hAnsi="Palatino Linotype" w:cstheme="minorBidi"/>
          <w:bCs/>
          <w:color w:val="000000" w:themeColor="text1"/>
          <w:lang w:val="es-ES_tradnl"/>
        </w:rPr>
        <w:t>SAIMEX</w:t>
      </w:r>
      <w:r w:rsidR="00B45A40" w:rsidRPr="004F3E91">
        <w:rPr>
          <w:rFonts w:ascii="Palatino Linotype" w:eastAsiaTheme="minorEastAsia" w:hAnsi="Palatino Linotype" w:cstheme="minorBidi"/>
          <w:bCs/>
          <w:color w:val="000000" w:themeColor="text1"/>
          <w:lang w:val="es-ES_tradnl"/>
        </w:rPr>
        <w:t>)</w:t>
      </w:r>
      <w:r w:rsidRPr="004F3E91">
        <w:rPr>
          <w:rFonts w:ascii="Palatino Linotype" w:eastAsia="Calibri" w:hAnsi="Palatino Linotype" w:cs="Arial"/>
          <w:b/>
          <w:color w:val="000000" w:themeColor="text1"/>
        </w:rPr>
        <w:t xml:space="preserve">, </w:t>
      </w:r>
      <w:r w:rsidRPr="004F3E91">
        <w:rPr>
          <w:rFonts w:ascii="Palatino Linotype" w:eastAsia="Calibri" w:hAnsi="Palatino Linotype" w:cs="Arial"/>
          <w:color w:val="000000" w:themeColor="text1"/>
        </w:rPr>
        <w:t>la solicitud de información pública registrada con el número</w:t>
      </w:r>
      <w:r w:rsidR="0074521C" w:rsidRPr="004F3E91">
        <w:rPr>
          <w:rFonts w:ascii="Palatino Linotype" w:eastAsia="Calibri" w:hAnsi="Palatino Linotype" w:cs="Arial"/>
          <w:b/>
          <w:bCs/>
          <w:color w:val="000000" w:themeColor="text1"/>
        </w:rPr>
        <w:t> </w:t>
      </w:r>
      <w:r w:rsidR="0041030E" w:rsidRPr="004F3E91">
        <w:rPr>
          <w:rFonts w:ascii="Palatino Linotype" w:eastAsia="Calibri" w:hAnsi="Palatino Linotype" w:cs="Arial"/>
          <w:b/>
          <w:bCs/>
          <w:color w:val="000000" w:themeColor="text1"/>
        </w:rPr>
        <w:t>00491/TOLUCA/IP/2022</w:t>
      </w:r>
      <w:r w:rsidR="000965A1" w:rsidRPr="004F3E91">
        <w:rPr>
          <w:rFonts w:ascii="Palatino Linotype" w:eastAsia="Calibri" w:hAnsi="Palatino Linotype" w:cs="Arial"/>
          <w:b/>
          <w:bCs/>
          <w:color w:val="000000" w:themeColor="text1"/>
        </w:rPr>
        <w:t>,</w:t>
      </w:r>
      <w:r w:rsidRPr="004F3E91">
        <w:rPr>
          <w:rFonts w:ascii="Palatino Linotype" w:eastAsia="Calibri" w:hAnsi="Palatino Linotype" w:cs="Arial"/>
          <w:color w:val="000000" w:themeColor="text1"/>
        </w:rPr>
        <w:t xml:space="preserve"> mediante la cual requirió:</w:t>
      </w:r>
    </w:p>
    <w:p w14:paraId="43A1C9EC" w14:textId="77777777" w:rsidR="00D4070C" w:rsidRPr="004F3E91" w:rsidRDefault="00D4070C" w:rsidP="00F56D3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3B095615" w:rsidR="009E192F" w:rsidRPr="004F3E91" w:rsidRDefault="00EA0165" w:rsidP="00F56D3C">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4F3E91">
        <w:rPr>
          <w:rFonts w:ascii="Palatino Linotype" w:eastAsiaTheme="minorEastAsia" w:hAnsi="Palatino Linotype" w:cstheme="minorBidi"/>
          <w:i/>
          <w:color w:val="000000" w:themeColor="text1"/>
          <w:sz w:val="22"/>
          <w:lang w:val="es-ES_tradnl"/>
        </w:rPr>
        <w:t>“</w:t>
      </w:r>
      <w:r w:rsidR="0041030E" w:rsidRPr="004F3E91">
        <w:rPr>
          <w:rFonts w:ascii="Palatino Linotype" w:eastAsiaTheme="minorEastAsia" w:hAnsi="Palatino Linotype" w:cstheme="minorBidi"/>
          <w:i/>
          <w:color w:val="000000" w:themeColor="text1"/>
          <w:sz w:val="22"/>
        </w:rPr>
        <w:t xml:space="preserve">El nivel de ruido recomendado por la OMS para garantizar una buena salud y bienestar es de 65 dB. Si la exposición es superior a 85 dB, ya hay riesgo de pérdida auditiva crónica. Mientras que si la exposición se repite en el tiempo y por encima de 100 dB, hay riesgo de pérdida inmediata. La pérdida de audición, hipoacusia, inducida por el ruido, conocido también como traumatismo acústico (agudo o crónico), es un problema de salud que se incrementa con el avance de la civilización. Por ello el ruido se engloba dentro del término contaminación acústica. El traumatismo acústico agudo se produce cuando hay una exposición a un ruido único de muy corta duración pero de muy alta intensidad, son los llamados ruidos de tipo impulsivo (una explosión, disparos, petardos…). También puede producirse por determinados ruidos industriales o los generados en discotecas o conciertos. Por su parte, el traumatismo acústico crónico, llamado también </w:t>
      </w:r>
      <w:r w:rsidR="0041030E" w:rsidRPr="004F3E91">
        <w:rPr>
          <w:rFonts w:ascii="Palatino Linotype" w:eastAsiaTheme="minorEastAsia" w:hAnsi="Palatino Linotype" w:cstheme="minorBidi"/>
          <w:i/>
          <w:color w:val="000000" w:themeColor="text1"/>
          <w:sz w:val="22"/>
        </w:rPr>
        <w:lastRenderedPageBreak/>
        <w:t>daño auditivo inducido por el ruido, es la pérdida auditiva continua, permanente y acumulativa, de origen neurosensorial, que se desarrolla de forma gradual a lo largo de los años, como consecuencia de la exposición a niveles perjudiciales de ruido ambiental o laboral, de tipo continuo o intermitente, de intensidad relativamente alta. Al principio, la lesión del oído interno y la pérdida de audición pueden ser temporales, durando minutos, horas o días, pero si la exposición es repetitiva, la lesión del oído interno puede producir una pérdida auditiva permanente. Así, en una primera fase la sordera es moderada, solo de frecuencias agudas y se puede revertir. Sin embargo, después el daño auditivo se hace permanente e irreversible afectando también a las frecuencias medias y las bajas llegando a presentar una sordera severa. Así es como el ruido afecta a la audición, dificulta la comunicación y produce otros efectos negativos sobre la salud: incrementa el riesgo de enfermedades cardiovasculares, produce insomnio, genera estrés y problemas psicológicos, dificulta el aprendizaje al disminuir la capacidad de atención y concentración e incluso la memoria y la motivación. Es por ello, que para los toluqueños vivir en armonía y en paz es un pilar vital que las autoridades deben salvaguardar y si no se hace se estarían violentando los derechos humanos. Para conocer si estan cumpliendo, requiero me sean proporcionadas las denuncias vecinales presentadas ante el municipio por exceso de ruido en el último año hasta esta fecha y señale cuales fueron presentadas por Facebook, cuales por twitter, cuales por la Comision Nacional de Derechos Humanos y cuales por escrito en las oficinas y cuales en las sesiones de cabildo de abierto. También quiero todas las respuestas que han dado a estas denuncias y su seguimiento documentativo.</w:t>
      </w:r>
      <w:r w:rsidRPr="004F3E91">
        <w:rPr>
          <w:rFonts w:ascii="Palatino Linotype" w:eastAsiaTheme="minorEastAsia" w:hAnsi="Palatino Linotype" w:cstheme="minorBidi"/>
          <w:i/>
          <w:color w:val="000000" w:themeColor="text1"/>
          <w:sz w:val="22"/>
          <w:lang w:val="es-ES_tradnl"/>
        </w:rPr>
        <w:t xml:space="preserve">” </w:t>
      </w:r>
      <w:r w:rsidRPr="004F3E91">
        <w:rPr>
          <w:rFonts w:ascii="Palatino Linotype" w:eastAsiaTheme="minorEastAsia" w:hAnsi="Palatino Linotype" w:cstheme="minorBidi"/>
          <w:color w:val="000000" w:themeColor="text1"/>
          <w:sz w:val="22"/>
          <w:lang w:val="es-ES_tradnl"/>
        </w:rPr>
        <w:t>(Sic).</w:t>
      </w:r>
    </w:p>
    <w:p w14:paraId="30CC4E08" w14:textId="77777777" w:rsidR="00D4070C" w:rsidRPr="004F3E91" w:rsidRDefault="00D4070C" w:rsidP="00F56D3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390CAD24" w:rsidR="00B47A27" w:rsidRPr="004F3E91" w:rsidRDefault="00A91CCB" w:rsidP="00F56D3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4F3E91">
        <w:rPr>
          <w:rFonts w:ascii="Palatino Linotype" w:eastAsia="Calibri" w:hAnsi="Palatino Linotype" w:cs="Arial"/>
          <w:lang w:val="es-AR"/>
        </w:rPr>
        <w:t xml:space="preserve">De las constancias </w:t>
      </w:r>
      <w:r w:rsidRPr="004F3E91">
        <w:rPr>
          <w:rFonts w:ascii="Palatino Linotype" w:hAnsi="Palatino Linotype" w:cs="Arial"/>
        </w:rPr>
        <w:t xml:space="preserve">que obran en el expediente, se aprecia que </w:t>
      </w:r>
      <w:r w:rsidR="0041030E" w:rsidRPr="004F3E91">
        <w:rPr>
          <w:rFonts w:ascii="Palatino Linotype" w:hAnsi="Palatino Linotype" w:cs="Arial"/>
        </w:rPr>
        <w:t>el</w:t>
      </w:r>
      <w:r w:rsidRPr="004F3E91">
        <w:rPr>
          <w:rFonts w:ascii="Palatino Linotype" w:hAnsi="Palatino Linotype" w:cs="Arial"/>
        </w:rPr>
        <w:t xml:space="preserve"> entonces </w:t>
      </w:r>
      <w:r w:rsidRPr="004F3E91">
        <w:rPr>
          <w:rFonts w:ascii="Palatino Linotype" w:hAnsi="Palatino Linotype" w:cs="Arial"/>
          <w:b/>
        </w:rPr>
        <w:t>SOLICITANTE</w:t>
      </w:r>
      <w:r w:rsidRPr="004F3E91">
        <w:rPr>
          <w:rFonts w:ascii="Palatino Linotype" w:hAnsi="Palatino Linotype" w:cs="Arial"/>
        </w:rPr>
        <w:t xml:space="preserve"> señaló como modalidad de entrega de la información:</w:t>
      </w:r>
      <w:r w:rsidRPr="004F3E91">
        <w:rPr>
          <w:rFonts w:ascii="Palatino Linotype" w:hAnsi="Palatino Linotype" w:cs="Arial"/>
          <w:b/>
        </w:rPr>
        <w:t xml:space="preserve"> </w:t>
      </w:r>
      <w:r w:rsidRPr="004F3E91">
        <w:rPr>
          <w:rFonts w:ascii="Palatino Linotype" w:eastAsiaTheme="minorEastAsia" w:hAnsi="Palatino Linotype" w:cstheme="minorBidi"/>
          <w:b/>
          <w:i/>
          <w:lang w:val="es-ES_tradnl"/>
        </w:rPr>
        <w:t>A través del SAIMEX</w:t>
      </w:r>
      <w:r w:rsidRPr="004F3E91">
        <w:rPr>
          <w:rFonts w:ascii="Palatino Linotype" w:eastAsiaTheme="minorEastAsia" w:hAnsi="Palatino Linotype" w:cstheme="minorBidi"/>
          <w:b/>
          <w:lang w:val="es-ES_tradnl"/>
        </w:rPr>
        <w:t>.</w:t>
      </w:r>
    </w:p>
    <w:p w14:paraId="2F401E8D" w14:textId="77777777" w:rsidR="00DA528D" w:rsidRPr="004F3E91" w:rsidRDefault="00DA528D" w:rsidP="00F56D3C">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3A130D6D" w14:textId="543117C3" w:rsidR="002B2B24" w:rsidRPr="004F3E91" w:rsidRDefault="00DA528D" w:rsidP="00F56D3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4F3E91">
        <w:rPr>
          <w:rFonts w:ascii="Palatino Linotype" w:eastAsiaTheme="minorEastAsia" w:hAnsi="Palatino Linotype" w:cstheme="minorBidi"/>
          <w:color w:val="000000" w:themeColor="text1"/>
          <w:lang w:val="es-ES_tradnl"/>
        </w:rPr>
        <w:t xml:space="preserve">El </w:t>
      </w:r>
      <w:r w:rsidR="0041030E" w:rsidRPr="004F3E91">
        <w:rPr>
          <w:rFonts w:ascii="Palatino Linotype" w:eastAsiaTheme="minorEastAsia" w:hAnsi="Palatino Linotype" w:cstheme="minorBidi"/>
          <w:color w:val="000000" w:themeColor="text1"/>
          <w:lang w:val="es-ES_tradnl"/>
        </w:rPr>
        <w:t>nueve (09</w:t>
      </w:r>
      <w:r w:rsidR="00B45A40" w:rsidRPr="004F3E91">
        <w:rPr>
          <w:rFonts w:ascii="Palatino Linotype" w:eastAsiaTheme="minorEastAsia" w:hAnsi="Palatino Linotype" w:cstheme="minorBidi"/>
          <w:color w:val="000000" w:themeColor="text1"/>
          <w:lang w:val="es-ES_tradnl"/>
        </w:rPr>
        <w:t>) de marzo</w:t>
      </w:r>
      <w:r w:rsidRPr="004F3E91">
        <w:rPr>
          <w:rFonts w:ascii="Palatino Linotype" w:eastAsiaTheme="minorEastAsia" w:hAnsi="Palatino Linotype" w:cstheme="minorBidi"/>
          <w:color w:val="000000" w:themeColor="text1"/>
          <w:lang w:val="es-ES_tradnl"/>
        </w:rPr>
        <w:t xml:space="preserve"> </w:t>
      </w:r>
      <w:r w:rsidR="006E050D" w:rsidRPr="004F3E91">
        <w:rPr>
          <w:rFonts w:ascii="Palatino Linotype" w:eastAsiaTheme="minorEastAsia" w:hAnsi="Palatino Linotype" w:cstheme="minorBidi"/>
          <w:color w:val="000000" w:themeColor="text1"/>
          <w:lang w:val="es-ES_tradnl"/>
        </w:rPr>
        <w:t>de dos mil veintidós</w:t>
      </w:r>
      <w:r w:rsidR="00EA0165" w:rsidRPr="004F3E91">
        <w:rPr>
          <w:rFonts w:ascii="Palatino Linotype" w:eastAsiaTheme="minorEastAsia" w:hAnsi="Palatino Linotype" w:cstheme="minorBidi"/>
          <w:color w:val="000000" w:themeColor="text1"/>
          <w:lang w:val="es-ES_tradnl"/>
        </w:rPr>
        <w:t xml:space="preserve">, el </w:t>
      </w:r>
      <w:r w:rsidR="00EA0165" w:rsidRPr="004F3E91">
        <w:rPr>
          <w:rFonts w:ascii="Palatino Linotype" w:eastAsiaTheme="minorEastAsia" w:hAnsi="Palatino Linotype" w:cstheme="minorBidi"/>
          <w:b/>
          <w:color w:val="000000" w:themeColor="text1"/>
          <w:lang w:val="es-ES_tradnl"/>
        </w:rPr>
        <w:t>SUJETO OBLIGADO</w:t>
      </w:r>
      <w:r w:rsidR="00EA0165" w:rsidRPr="004F3E91">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4F3E91" w:rsidRDefault="00D4070C" w:rsidP="00F56D3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592EE97B" w14:textId="77777777" w:rsidR="0041030E" w:rsidRPr="004F3E91" w:rsidRDefault="00EA0165"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4F3E91">
        <w:rPr>
          <w:rFonts w:ascii="Palatino Linotype" w:eastAsiaTheme="minorEastAsia" w:hAnsi="Palatino Linotype" w:cstheme="minorBidi"/>
          <w:i/>
          <w:noProof/>
          <w:color w:val="000000" w:themeColor="text1"/>
          <w:sz w:val="22"/>
          <w:lang w:val="es-MX" w:eastAsia="es-MX"/>
        </w:rPr>
        <w:lastRenderedPageBreak/>
        <w:t>“</w:t>
      </w:r>
      <w:r w:rsidR="0041030E" w:rsidRPr="004F3E91">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314F8D" w14:textId="77777777" w:rsidR="0041030E" w:rsidRPr="004F3E91" w:rsidRDefault="0041030E"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77BFFF6D" w14:textId="77777777" w:rsidR="0041030E" w:rsidRPr="004F3E91" w:rsidRDefault="0041030E"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4F3E91">
        <w:rPr>
          <w:rFonts w:ascii="Palatino Linotype" w:eastAsiaTheme="minorEastAsia" w:hAnsi="Palatino Linotype" w:cstheme="minorBidi"/>
          <w:i/>
          <w:noProof/>
          <w:color w:val="000000" w:themeColor="text1"/>
          <w:sz w:val="22"/>
          <w:lang w:val="es-MX" w:eastAsia="es-MX"/>
        </w:rPr>
        <w:t>En atención a la solicitud de información número 00491/TOLUCA/IP/2022, me permito adjuntar al presente la respuesta correspondiente. Sin más por el momento, le envío un cordial saludo.</w:t>
      </w:r>
    </w:p>
    <w:p w14:paraId="3EC59E2D" w14:textId="77777777" w:rsidR="0041030E" w:rsidRPr="004F3E91" w:rsidRDefault="0041030E"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1BB70072" w14:textId="77777777" w:rsidR="0041030E" w:rsidRPr="004F3E91" w:rsidRDefault="0041030E"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4F3E91">
        <w:rPr>
          <w:rFonts w:ascii="Palatino Linotype" w:eastAsiaTheme="minorEastAsia" w:hAnsi="Palatino Linotype" w:cstheme="minorBidi"/>
          <w:i/>
          <w:noProof/>
          <w:color w:val="000000" w:themeColor="text1"/>
          <w:sz w:val="22"/>
          <w:lang w:val="es-MX" w:eastAsia="es-MX"/>
        </w:rPr>
        <w:t>ATENTAMENTE</w:t>
      </w:r>
    </w:p>
    <w:p w14:paraId="1CD10B41" w14:textId="5698D507" w:rsidR="00EA0165" w:rsidRPr="004F3E91" w:rsidRDefault="0041030E" w:rsidP="0041030E">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4F3E91">
        <w:rPr>
          <w:rFonts w:ascii="Palatino Linotype" w:eastAsiaTheme="minorEastAsia" w:hAnsi="Palatino Linotype" w:cstheme="minorBidi"/>
          <w:i/>
          <w:noProof/>
          <w:color w:val="000000" w:themeColor="text1"/>
          <w:sz w:val="22"/>
          <w:lang w:val="es-MX" w:eastAsia="es-MX"/>
        </w:rPr>
        <w:t>Lic. Norma Sofía Pérez Martínez</w:t>
      </w:r>
      <w:r w:rsidR="001A0598" w:rsidRPr="004F3E91">
        <w:rPr>
          <w:rFonts w:ascii="Palatino Linotype" w:eastAsiaTheme="minorEastAsia" w:hAnsi="Palatino Linotype" w:cstheme="minorBidi"/>
          <w:i/>
          <w:noProof/>
          <w:color w:val="000000" w:themeColor="text1"/>
          <w:sz w:val="22"/>
          <w:lang w:val="es-MX" w:eastAsia="es-MX"/>
        </w:rPr>
        <w:t>” (Sic)</w:t>
      </w:r>
    </w:p>
    <w:p w14:paraId="3FD7499C" w14:textId="77777777" w:rsidR="00D01CEF" w:rsidRPr="004F3E91" w:rsidRDefault="00D01CEF" w:rsidP="00F56D3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106271BB" w:rsidR="00EA0165" w:rsidRPr="004F3E91" w:rsidRDefault="00E222BF" w:rsidP="00F56D3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F3E91">
        <w:rPr>
          <w:rFonts w:ascii="Palatino Linotype" w:eastAsiaTheme="minorEastAsia" w:hAnsi="Palatino Linotype" w:cstheme="minorBidi"/>
          <w:color w:val="000000" w:themeColor="text1"/>
          <w:lang w:val="es-ES_tradnl"/>
        </w:rPr>
        <w:t xml:space="preserve">Se hace constar que el </w:t>
      </w:r>
      <w:r w:rsidR="00EA0165" w:rsidRPr="004F3E91">
        <w:rPr>
          <w:rFonts w:ascii="Palatino Linotype" w:eastAsiaTheme="minorEastAsia" w:hAnsi="Palatino Linotype" w:cstheme="minorBidi"/>
          <w:b/>
          <w:bCs/>
          <w:color w:val="000000" w:themeColor="text1"/>
          <w:lang w:val="es-ES_tradnl"/>
        </w:rPr>
        <w:t>SUJETO OBLIGADO</w:t>
      </w:r>
      <w:r w:rsidR="00EA0165" w:rsidRPr="004F3E91">
        <w:rPr>
          <w:rFonts w:ascii="Palatino Linotype" w:eastAsiaTheme="minorEastAsia" w:hAnsi="Palatino Linotype" w:cstheme="minorBidi"/>
          <w:color w:val="000000" w:themeColor="text1"/>
          <w:lang w:val="es-ES_tradnl"/>
        </w:rPr>
        <w:t xml:space="preserve"> adjuntó a su </w:t>
      </w:r>
      <w:r w:rsidRPr="004F3E91">
        <w:rPr>
          <w:rFonts w:ascii="Palatino Linotype" w:eastAsiaTheme="minorEastAsia" w:hAnsi="Palatino Linotype" w:cstheme="minorBidi"/>
          <w:color w:val="000000" w:themeColor="text1"/>
          <w:lang w:val="es-ES_tradnl"/>
        </w:rPr>
        <w:t xml:space="preserve">acuse de </w:t>
      </w:r>
      <w:r w:rsidR="00EA0165" w:rsidRPr="004F3E91">
        <w:rPr>
          <w:rFonts w:ascii="Palatino Linotype" w:eastAsiaTheme="minorEastAsia" w:hAnsi="Palatino Linotype" w:cstheme="minorBidi"/>
          <w:color w:val="000000" w:themeColor="text1"/>
          <w:lang w:val="es-ES_tradnl"/>
        </w:rPr>
        <w:t xml:space="preserve">respuesta </w:t>
      </w:r>
      <w:r w:rsidR="0041030E" w:rsidRPr="004F3E91">
        <w:rPr>
          <w:rFonts w:ascii="Palatino Linotype" w:eastAsiaTheme="minorEastAsia" w:hAnsi="Palatino Linotype" w:cstheme="minorBidi"/>
          <w:color w:val="000000" w:themeColor="text1"/>
          <w:lang w:val="es-ES_tradnl"/>
        </w:rPr>
        <w:t>los</w:t>
      </w:r>
      <w:r w:rsidR="009B5F4C" w:rsidRPr="004F3E91">
        <w:rPr>
          <w:rFonts w:ascii="Palatino Linotype" w:eastAsiaTheme="minorEastAsia" w:hAnsi="Palatino Linotype" w:cstheme="minorBidi"/>
          <w:color w:val="000000" w:themeColor="text1"/>
          <w:lang w:val="es-ES_tradnl"/>
        </w:rPr>
        <w:t xml:space="preserve"> </w:t>
      </w:r>
      <w:r w:rsidR="00F11AAF" w:rsidRPr="004F3E91">
        <w:rPr>
          <w:rFonts w:ascii="Palatino Linotype" w:eastAsiaTheme="minorEastAsia" w:hAnsi="Palatino Linotype" w:cstheme="minorBidi"/>
          <w:color w:val="000000" w:themeColor="text1"/>
          <w:lang w:val="es-ES_tradnl"/>
        </w:rPr>
        <w:t>archivo</w:t>
      </w:r>
      <w:r w:rsidR="0041030E" w:rsidRPr="004F3E91">
        <w:rPr>
          <w:rFonts w:ascii="Palatino Linotype" w:eastAsiaTheme="minorEastAsia" w:hAnsi="Palatino Linotype" w:cstheme="minorBidi"/>
          <w:color w:val="000000" w:themeColor="text1"/>
          <w:lang w:val="es-ES_tradnl"/>
        </w:rPr>
        <w:t>s</w:t>
      </w:r>
      <w:r w:rsidR="00376142" w:rsidRPr="004F3E91">
        <w:rPr>
          <w:rFonts w:ascii="Palatino Linotype" w:eastAsiaTheme="minorEastAsia" w:hAnsi="Palatino Linotype" w:cstheme="minorBidi"/>
          <w:color w:val="000000" w:themeColor="text1"/>
          <w:lang w:val="es-ES_tradnl"/>
        </w:rPr>
        <w:t xml:space="preserve"> </w:t>
      </w:r>
      <w:r w:rsidR="00EA0165" w:rsidRPr="004F3E91">
        <w:rPr>
          <w:rFonts w:ascii="Palatino Linotype" w:eastAsiaTheme="minorEastAsia" w:hAnsi="Palatino Linotype" w:cstheme="minorBidi"/>
          <w:color w:val="000000" w:themeColor="text1"/>
          <w:lang w:val="es-ES_tradnl"/>
        </w:rPr>
        <w:t>electrónico</w:t>
      </w:r>
      <w:r w:rsidR="0041030E" w:rsidRPr="004F3E91">
        <w:rPr>
          <w:rFonts w:ascii="Palatino Linotype" w:eastAsiaTheme="minorEastAsia" w:hAnsi="Palatino Linotype" w:cstheme="minorBidi"/>
          <w:color w:val="000000" w:themeColor="text1"/>
          <w:lang w:val="es-ES_tradnl"/>
        </w:rPr>
        <w:t>s</w:t>
      </w:r>
      <w:r w:rsidR="00EA0165" w:rsidRPr="004F3E91">
        <w:rPr>
          <w:rFonts w:ascii="Palatino Linotype" w:eastAsiaTheme="minorEastAsia" w:hAnsi="Palatino Linotype" w:cstheme="minorBidi"/>
          <w:color w:val="000000" w:themeColor="text1"/>
          <w:lang w:val="es-ES_tradnl"/>
        </w:rPr>
        <w:t xml:space="preserve"> </w:t>
      </w:r>
      <w:r w:rsidRPr="004F3E91">
        <w:rPr>
          <w:rFonts w:ascii="Palatino Linotype" w:eastAsiaTheme="minorEastAsia" w:hAnsi="Palatino Linotype" w:cstheme="minorBidi"/>
          <w:color w:val="000000" w:themeColor="text1"/>
          <w:lang w:val="es-ES_tradnl"/>
        </w:rPr>
        <w:t>cuyo contenido</w:t>
      </w:r>
      <w:r w:rsidR="00EA0165" w:rsidRPr="004F3E91">
        <w:rPr>
          <w:rFonts w:ascii="Palatino Linotype" w:eastAsiaTheme="minorEastAsia" w:hAnsi="Palatino Linotype" w:cstheme="minorBidi"/>
          <w:color w:val="000000" w:themeColor="text1"/>
          <w:lang w:val="es-ES_tradnl"/>
        </w:rPr>
        <w:t xml:space="preserve"> se describe a continuación:</w:t>
      </w:r>
    </w:p>
    <w:p w14:paraId="07CE5E0D" w14:textId="6A3981A6" w:rsidR="007A00D5" w:rsidRPr="004F3E91" w:rsidRDefault="00E94629" w:rsidP="00AF12E2">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4F3E91">
          <w:rPr>
            <w:rStyle w:val="Hipervnculo"/>
            <w:rFonts w:ascii="Palatino Linotype" w:hAnsi="Palatino Linotype"/>
            <w:b/>
            <w:bCs/>
            <w:i/>
            <w:color w:val="000000" w:themeColor="text1"/>
            <w:u w:val="none"/>
          </w:rPr>
          <w:t>“</w:t>
        </w:r>
        <w:r w:rsidR="0041030E" w:rsidRPr="004F3E91">
          <w:rPr>
            <w:rStyle w:val="Hipervnculo"/>
            <w:rFonts w:ascii="Palatino Linotype" w:hAnsi="Palatino Linotype"/>
            <w:b/>
            <w:bCs/>
            <w:i/>
            <w:color w:val="000000" w:themeColor="text1"/>
            <w:u w:val="none"/>
          </w:rPr>
          <w:t>Saimex 00491</w:t>
        </w:r>
        <w:r w:rsidR="00E3649B" w:rsidRPr="004F3E91">
          <w:rPr>
            <w:rStyle w:val="Hipervnculo"/>
            <w:rFonts w:ascii="Palatino Linotype" w:hAnsi="Palatino Linotype"/>
            <w:b/>
            <w:bCs/>
            <w:i/>
            <w:color w:val="000000" w:themeColor="text1"/>
            <w:u w:val="none"/>
          </w:rPr>
          <w:t>.pdf</w:t>
        </w:r>
        <w:r w:rsidR="00E222BF" w:rsidRPr="004F3E91">
          <w:rPr>
            <w:rStyle w:val="Hipervnculo"/>
            <w:rFonts w:ascii="Palatino Linotype" w:hAnsi="Palatino Linotype"/>
            <w:b/>
            <w:bCs/>
            <w:i/>
            <w:color w:val="000000" w:themeColor="text1"/>
            <w:u w:val="none"/>
          </w:rPr>
          <w:t>”</w:t>
        </w:r>
      </w:hyperlink>
      <w:r w:rsidR="00556E99" w:rsidRPr="004F3E91">
        <w:rPr>
          <w:rFonts w:ascii="Palatino Linotype" w:eastAsiaTheme="minorEastAsia" w:hAnsi="Palatino Linotype" w:cstheme="minorBidi"/>
          <w:color w:val="000000" w:themeColor="text1"/>
          <w:lang w:val="es-ES_tradnl"/>
        </w:rPr>
        <w:t xml:space="preserve">: </w:t>
      </w:r>
      <w:r w:rsidR="00A3314E" w:rsidRPr="004F3E91">
        <w:rPr>
          <w:rFonts w:ascii="Palatino Linotype" w:eastAsiaTheme="minorEastAsia" w:hAnsi="Palatino Linotype" w:cstheme="minorBidi"/>
          <w:color w:val="000000" w:themeColor="text1"/>
          <w:lang w:val="es-ES_tradnl"/>
        </w:rPr>
        <w:t>Docume</w:t>
      </w:r>
      <w:r w:rsidR="00A91CCB" w:rsidRPr="004F3E91">
        <w:rPr>
          <w:rFonts w:ascii="Palatino Linotype" w:eastAsiaTheme="minorEastAsia" w:hAnsi="Palatino Linotype" w:cstheme="minorBidi"/>
          <w:color w:val="000000" w:themeColor="text1"/>
          <w:lang w:val="es-ES_tradnl"/>
        </w:rPr>
        <w:t xml:space="preserve">nto </w:t>
      </w:r>
      <w:r w:rsidR="0041030E" w:rsidRPr="004F3E91">
        <w:rPr>
          <w:rFonts w:ascii="Palatino Linotype" w:eastAsiaTheme="minorEastAsia" w:hAnsi="Palatino Linotype" w:cstheme="minorBidi"/>
          <w:color w:val="000000" w:themeColor="text1"/>
          <w:lang w:val="es-ES_tradnl"/>
        </w:rPr>
        <w:t xml:space="preserve">de ocho fojas consistente en la copia digitalizada del oficio de nueve (09) de marzo de dos mil veintidós, sin folio único de identificación, emitido por la Titular de la Unidad de Transparencia, y dirigido al entonces </w:t>
      </w:r>
      <w:r w:rsidR="0041030E" w:rsidRPr="004F3E91">
        <w:rPr>
          <w:rFonts w:ascii="Palatino Linotype" w:eastAsiaTheme="minorEastAsia" w:hAnsi="Palatino Linotype" w:cstheme="minorBidi"/>
          <w:b/>
          <w:color w:val="000000" w:themeColor="text1"/>
          <w:lang w:val="es-ES_tradnl"/>
        </w:rPr>
        <w:t>SOLICITANTE</w:t>
      </w:r>
      <w:r w:rsidR="0041030E" w:rsidRPr="004F3E91">
        <w:rPr>
          <w:rFonts w:ascii="Palatino Linotype" w:eastAsiaTheme="minorEastAsia" w:hAnsi="Palatino Linotype" w:cstheme="minorBidi"/>
          <w:color w:val="000000" w:themeColor="text1"/>
          <w:lang w:val="es-ES_tradnl"/>
        </w:rPr>
        <w:t xml:space="preserve">, por el que </w:t>
      </w:r>
      <w:r w:rsidR="00D84DD6" w:rsidRPr="004F3E91">
        <w:rPr>
          <w:rFonts w:ascii="Palatino Linotype" w:eastAsiaTheme="minorEastAsia" w:hAnsi="Palatino Linotype" w:cstheme="minorBidi"/>
          <w:color w:val="000000" w:themeColor="text1"/>
          <w:lang w:val="es-ES_tradnl"/>
        </w:rPr>
        <w:t>resume</w:t>
      </w:r>
      <w:r w:rsidR="0041030E" w:rsidRPr="004F3E91">
        <w:rPr>
          <w:rFonts w:ascii="Palatino Linotype" w:eastAsiaTheme="minorEastAsia" w:hAnsi="Palatino Linotype" w:cstheme="minorBidi"/>
          <w:color w:val="000000" w:themeColor="text1"/>
          <w:lang w:val="es-ES_tradnl"/>
        </w:rPr>
        <w:t xml:space="preserve"> la respuesta otorgada por la Dirección General de Medio Ambiente, la Comisión de Derechos Humanos y la Secretaría del Ayuntamiento</w:t>
      </w:r>
      <w:r w:rsidR="00D84DD6" w:rsidRPr="004F3E91">
        <w:rPr>
          <w:rFonts w:ascii="Palatino Linotype" w:eastAsiaTheme="minorEastAsia" w:hAnsi="Palatino Linotype" w:cstheme="minorBidi"/>
          <w:color w:val="000000" w:themeColor="text1"/>
          <w:lang w:val="es-ES_tradnl"/>
        </w:rPr>
        <w:t>, a la solicitud de información.</w:t>
      </w:r>
    </w:p>
    <w:p w14:paraId="6DC96378" w14:textId="2C1D337E" w:rsidR="0041030E" w:rsidRPr="004F3E91" w:rsidRDefault="00E94629" w:rsidP="0041030E">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9" w:tgtFrame="_blank" w:history="1">
        <w:r w:rsidR="0041030E" w:rsidRPr="004F3E91">
          <w:rPr>
            <w:rStyle w:val="Hipervnculo"/>
            <w:rFonts w:ascii="Palatino Linotype" w:hAnsi="Palatino Linotype"/>
            <w:b/>
            <w:bCs/>
            <w:i/>
            <w:color w:val="000000" w:themeColor="text1"/>
            <w:u w:val="none"/>
          </w:rPr>
          <w:t>“ANEXO TABLA 1 DENUNCIAS SAIMEX 491.pdf”</w:t>
        </w:r>
      </w:hyperlink>
      <w:r w:rsidR="0041030E" w:rsidRPr="004F3E91">
        <w:rPr>
          <w:rFonts w:ascii="Palatino Linotype" w:eastAsiaTheme="minorEastAsia" w:hAnsi="Palatino Linotype" w:cstheme="minorBidi"/>
          <w:color w:val="000000" w:themeColor="text1"/>
          <w:lang w:val="es-ES_tradnl"/>
        </w:rPr>
        <w:t xml:space="preserve">: Documento </w:t>
      </w:r>
      <w:r w:rsidR="00D84DD6" w:rsidRPr="004F3E91">
        <w:rPr>
          <w:rFonts w:ascii="Palatino Linotype" w:eastAsiaTheme="minorEastAsia" w:hAnsi="Palatino Linotype" w:cstheme="minorBidi"/>
          <w:color w:val="000000" w:themeColor="text1"/>
          <w:lang w:val="es-ES_tradnl"/>
        </w:rPr>
        <w:t>de seis fojas consistente en un listado consistente en las denuncias ambientales, en tema de ruido, registradas del uno (01) de enero de dos mil veintiuno al quince (15) de febrero de dos mil veintidós.</w:t>
      </w:r>
    </w:p>
    <w:p w14:paraId="61F9E5AF" w14:textId="7143FAAD" w:rsidR="0041030E" w:rsidRPr="004F3E91" w:rsidRDefault="00E94629" w:rsidP="0041030E">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10" w:tgtFrame="_blank" w:history="1">
        <w:r w:rsidR="0041030E" w:rsidRPr="004F3E91">
          <w:rPr>
            <w:rStyle w:val="Hipervnculo"/>
            <w:rFonts w:ascii="Palatino Linotype" w:hAnsi="Palatino Linotype"/>
            <w:b/>
            <w:bCs/>
            <w:i/>
            <w:color w:val="000000" w:themeColor="text1"/>
            <w:u w:val="none"/>
          </w:rPr>
          <w:t>“Centésima Octava Sesión Extraordinaria 2022.pdf”</w:t>
        </w:r>
      </w:hyperlink>
      <w:r w:rsidR="0041030E" w:rsidRPr="004F3E91">
        <w:rPr>
          <w:rFonts w:ascii="Palatino Linotype" w:eastAsiaTheme="minorEastAsia" w:hAnsi="Palatino Linotype" w:cstheme="minorBidi"/>
          <w:color w:val="000000" w:themeColor="text1"/>
          <w:lang w:val="es-ES_tradnl"/>
        </w:rPr>
        <w:t xml:space="preserve">: Documento </w:t>
      </w:r>
      <w:r w:rsidR="00D84DD6" w:rsidRPr="004F3E91">
        <w:rPr>
          <w:rFonts w:ascii="Palatino Linotype" w:eastAsiaTheme="minorEastAsia" w:hAnsi="Palatino Linotype" w:cstheme="minorBidi"/>
          <w:color w:val="000000" w:themeColor="text1"/>
          <w:lang w:val="es-ES_tradnl"/>
        </w:rPr>
        <w:t>de 18 fojas consistente en la copia digitalizada del Acta de la Centésima Octava Sesión Extraordinaria del Comité de Transparencia, celebrada el veintiocho (28) de febrero de dos mil veintidós.</w:t>
      </w:r>
    </w:p>
    <w:p w14:paraId="4AED446A" w14:textId="5FB2CF17" w:rsidR="0041030E" w:rsidRPr="004F3E91" w:rsidRDefault="00E94629" w:rsidP="0041030E">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11" w:tgtFrame="_blank" w:history="1">
        <w:r w:rsidR="0041030E" w:rsidRPr="004F3E91">
          <w:rPr>
            <w:rStyle w:val="Hipervnculo"/>
            <w:rFonts w:ascii="Palatino Linotype" w:hAnsi="Palatino Linotype"/>
            <w:b/>
            <w:bCs/>
            <w:i/>
            <w:color w:val="000000" w:themeColor="text1"/>
            <w:u w:val="none"/>
          </w:rPr>
          <w:t>“Centésima Novena Sesión Extraordinaria 2022.pdf”</w:t>
        </w:r>
      </w:hyperlink>
      <w:r w:rsidR="0041030E" w:rsidRPr="004F3E91">
        <w:rPr>
          <w:rFonts w:ascii="Palatino Linotype" w:eastAsiaTheme="minorEastAsia" w:hAnsi="Palatino Linotype" w:cstheme="minorBidi"/>
          <w:color w:val="000000" w:themeColor="text1"/>
          <w:lang w:val="es-ES_tradnl"/>
        </w:rPr>
        <w:t xml:space="preserve">: Documento </w:t>
      </w:r>
      <w:r w:rsidR="00D84DD6" w:rsidRPr="004F3E91">
        <w:rPr>
          <w:rFonts w:ascii="Palatino Linotype" w:eastAsiaTheme="minorEastAsia" w:hAnsi="Palatino Linotype" w:cstheme="minorBidi"/>
          <w:color w:val="000000" w:themeColor="text1"/>
          <w:lang w:val="es-ES_tradnl"/>
        </w:rPr>
        <w:t>de 10 fojas consistente en la copia digitalizada del Acta de la Centésima Novena Sesión Extraordinaria del Comité de Transparencia, celebrada el veintiocho (28) de febrero de dos mil veintidós.</w:t>
      </w:r>
    </w:p>
    <w:p w14:paraId="5DD2746D" w14:textId="4A2AFF39" w:rsidR="0041030E" w:rsidRPr="004F3E91" w:rsidRDefault="00E94629" w:rsidP="0041030E">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12" w:tgtFrame="_blank" w:history="1">
        <w:r w:rsidR="0041030E" w:rsidRPr="004F3E91">
          <w:rPr>
            <w:rStyle w:val="Hipervnculo"/>
            <w:rFonts w:ascii="Palatino Linotype" w:hAnsi="Palatino Linotype"/>
            <w:b/>
            <w:bCs/>
            <w:i/>
            <w:color w:val="000000" w:themeColor="text1"/>
            <w:u w:val="none"/>
          </w:rPr>
          <w:t>“Centésima Décima Cuarta Sesión Extraordinaria 2022.pdf”</w:t>
        </w:r>
      </w:hyperlink>
      <w:r w:rsidR="0041030E" w:rsidRPr="004F3E91">
        <w:rPr>
          <w:rFonts w:ascii="Palatino Linotype" w:eastAsiaTheme="minorEastAsia" w:hAnsi="Palatino Linotype" w:cstheme="minorBidi"/>
          <w:color w:val="000000" w:themeColor="text1"/>
          <w:lang w:val="es-ES_tradnl"/>
        </w:rPr>
        <w:t xml:space="preserve">: Documento </w:t>
      </w:r>
      <w:r w:rsidR="00D84DD6" w:rsidRPr="004F3E91">
        <w:rPr>
          <w:rFonts w:ascii="Palatino Linotype" w:eastAsiaTheme="minorEastAsia" w:hAnsi="Palatino Linotype" w:cstheme="minorBidi"/>
          <w:color w:val="000000" w:themeColor="text1"/>
          <w:lang w:val="es-ES_tradnl"/>
        </w:rPr>
        <w:t>de nueve fojas consistente en la copia digitalizada del Acta de la Centésima Décima Cuarta Sesión Extraordinaria del Comité de Transparencia, celebrada el diecisiete (17) de febrero de dos mil veintidós.</w:t>
      </w:r>
    </w:p>
    <w:p w14:paraId="607C627F" w14:textId="76CCEBA9" w:rsidR="00C6721C" w:rsidRPr="004F3E91" w:rsidRDefault="00C6721C" w:rsidP="00F56D3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B029702" w:rsidR="00EA0165" w:rsidRPr="004F3E91" w:rsidRDefault="00EA0165" w:rsidP="00F56D3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F3E91">
        <w:rPr>
          <w:rFonts w:ascii="Palatino Linotype" w:hAnsi="Palatino Linotype" w:cs="Arial"/>
          <w:color w:val="000000" w:themeColor="text1"/>
        </w:rPr>
        <w:t xml:space="preserve">Derivado de la respuesta emitida por el </w:t>
      </w:r>
      <w:r w:rsidRPr="004F3E91">
        <w:rPr>
          <w:rFonts w:ascii="Palatino Linotype" w:hAnsi="Palatino Linotype" w:cs="Arial"/>
          <w:b/>
          <w:color w:val="000000" w:themeColor="text1"/>
        </w:rPr>
        <w:t>SUJETO OBLIGADO</w:t>
      </w:r>
      <w:r w:rsidRPr="004F3E91">
        <w:rPr>
          <w:rFonts w:ascii="Palatino Linotype" w:hAnsi="Palatino Linotype" w:cs="Arial"/>
          <w:color w:val="000000" w:themeColor="text1"/>
        </w:rPr>
        <w:t>, e</w:t>
      </w:r>
      <w:r w:rsidR="00394E20" w:rsidRPr="004F3E91">
        <w:rPr>
          <w:rFonts w:ascii="Palatino Linotype" w:hAnsi="Palatino Linotype" w:cs="Arial"/>
          <w:color w:val="000000" w:themeColor="text1"/>
        </w:rPr>
        <w:t>l</w:t>
      </w:r>
      <w:r w:rsidR="007A00D5" w:rsidRPr="004F3E91">
        <w:rPr>
          <w:rFonts w:ascii="Palatino Linotype" w:hAnsi="Palatino Linotype" w:cs="Arial"/>
          <w:color w:val="000000" w:themeColor="text1"/>
        </w:rPr>
        <w:t xml:space="preserve"> </w:t>
      </w:r>
      <w:r w:rsidR="00F16DA0" w:rsidRPr="004F3E91">
        <w:rPr>
          <w:rFonts w:ascii="Palatino Linotype" w:hAnsi="Palatino Linotype" w:cs="Arial"/>
          <w:color w:val="000000" w:themeColor="text1"/>
        </w:rPr>
        <w:t>catorce (14</w:t>
      </w:r>
      <w:r w:rsidR="00F930FF" w:rsidRPr="004F3E91">
        <w:rPr>
          <w:rFonts w:ascii="Palatino Linotype" w:hAnsi="Palatino Linotype" w:cs="Arial"/>
          <w:color w:val="000000" w:themeColor="text1"/>
        </w:rPr>
        <w:t>) de marzo</w:t>
      </w:r>
      <w:r w:rsidR="00DA528D" w:rsidRPr="004F3E91">
        <w:rPr>
          <w:rFonts w:ascii="Palatino Linotype" w:hAnsi="Palatino Linotype" w:cs="Arial"/>
          <w:color w:val="000000" w:themeColor="text1"/>
        </w:rPr>
        <w:t xml:space="preserve"> </w:t>
      </w:r>
      <w:r w:rsidRPr="004F3E91">
        <w:rPr>
          <w:rFonts w:ascii="Palatino Linotype" w:hAnsi="Palatino Linotype" w:cs="Arial"/>
          <w:color w:val="000000" w:themeColor="text1"/>
        </w:rPr>
        <w:t xml:space="preserve">de dos mil </w:t>
      </w:r>
      <w:r w:rsidR="00C6721C" w:rsidRPr="004F3E91">
        <w:rPr>
          <w:rFonts w:ascii="Palatino Linotype" w:hAnsi="Palatino Linotype" w:cs="Arial"/>
          <w:color w:val="000000" w:themeColor="text1"/>
        </w:rPr>
        <w:t>veintidós,</w:t>
      </w:r>
      <w:r w:rsidRPr="004F3E91">
        <w:rPr>
          <w:rFonts w:ascii="Palatino Linotype" w:hAnsi="Palatino Linotype" w:cs="Arial"/>
          <w:color w:val="000000" w:themeColor="text1"/>
        </w:rPr>
        <w:t xml:space="preserve"> </w:t>
      </w:r>
      <w:r w:rsidR="00D84DD6" w:rsidRPr="004F3E91">
        <w:rPr>
          <w:rFonts w:ascii="Palatino Linotype" w:hAnsi="Palatino Linotype" w:cs="Arial"/>
          <w:color w:val="000000" w:themeColor="text1"/>
        </w:rPr>
        <w:t>el</w:t>
      </w:r>
      <w:r w:rsidRPr="004F3E91">
        <w:rPr>
          <w:rFonts w:ascii="Palatino Linotype" w:hAnsi="Palatino Linotype" w:cs="Arial"/>
          <w:color w:val="000000" w:themeColor="text1"/>
        </w:rPr>
        <w:t xml:space="preserve"> particular interpuso el recurso de revisión</w:t>
      </w:r>
      <w:r w:rsidR="0074521C" w:rsidRPr="004F3E91">
        <w:rPr>
          <w:rFonts w:ascii="Palatino Linotype" w:hAnsi="Palatino Linotype" w:cs="Arial"/>
          <w:color w:val="000000" w:themeColor="text1"/>
        </w:rPr>
        <w:t xml:space="preserve"> </w:t>
      </w:r>
      <w:r w:rsidR="0041030E" w:rsidRPr="004F3E91">
        <w:rPr>
          <w:rFonts w:ascii="Palatino Linotype" w:hAnsi="Palatino Linotype" w:cs="Arial"/>
          <w:b/>
          <w:bCs/>
          <w:color w:val="000000" w:themeColor="text1"/>
        </w:rPr>
        <w:t>03943/INFOEM/IP/RR/2022</w:t>
      </w:r>
      <w:r w:rsidRPr="004F3E91">
        <w:rPr>
          <w:rFonts w:ascii="Palatino Linotype" w:eastAsia="Calibri" w:hAnsi="Palatino Linotype" w:cs="Arial"/>
          <w:b/>
          <w:color w:val="000000" w:themeColor="text1"/>
        </w:rPr>
        <w:t>;</w:t>
      </w:r>
      <w:r w:rsidRPr="004F3E91">
        <w:rPr>
          <w:rFonts w:ascii="Palatino Linotype" w:hAnsi="Palatino Linotype" w:cs="Arial"/>
          <w:color w:val="000000" w:themeColor="text1"/>
        </w:rPr>
        <w:t xml:space="preserve"> impugnación en la que refirió lo siguiente:</w:t>
      </w:r>
    </w:p>
    <w:p w14:paraId="224FFDC9" w14:textId="798ED34B" w:rsidR="00EA0165" w:rsidRPr="004F3E91" w:rsidRDefault="00EA0165" w:rsidP="00D84DD6">
      <w:pPr>
        <w:numPr>
          <w:ilvl w:val="0"/>
          <w:numId w:val="1"/>
        </w:numPr>
        <w:tabs>
          <w:tab w:val="left" w:pos="1418"/>
        </w:tabs>
        <w:spacing w:line="276" w:lineRule="auto"/>
        <w:ind w:right="40"/>
        <w:contextualSpacing/>
        <w:jc w:val="both"/>
        <w:rPr>
          <w:rFonts w:ascii="Palatino Linotype" w:hAnsi="Palatino Linotype" w:cs="Arial"/>
          <w:color w:val="000000" w:themeColor="text1"/>
          <w:sz w:val="22"/>
        </w:rPr>
      </w:pPr>
      <w:r w:rsidRPr="004F3E91">
        <w:rPr>
          <w:rFonts w:ascii="Palatino Linotype" w:hAnsi="Palatino Linotype" w:cs="Arial"/>
          <w:b/>
          <w:color w:val="000000" w:themeColor="text1"/>
          <w:sz w:val="22"/>
        </w:rPr>
        <w:t>Acto impugnado:</w:t>
      </w:r>
      <w:r w:rsidRPr="004F3E91">
        <w:rPr>
          <w:rFonts w:ascii="Palatino Linotype" w:hAnsi="Palatino Linotype" w:cs="Arial"/>
          <w:color w:val="000000" w:themeColor="text1"/>
          <w:sz w:val="22"/>
        </w:rPr>
        <w:t xml:space="preserve"> </w:t>
      </w:r>
      <w:r w:rsidRPr="004F3E91">
        <w:rPr>
          <w:rFonts w:ascii="Palatino Linotype" w:hAnsi="Palatino Linotype" w:cs="Arial"/>
          <w:i/>
          <w:color w:val="000000" w:themeColor="text1"/>
          <w:sz w:val="22"/>
        </w:rPr>
        <w:t>“</w:t>
      </w:r>
      <w:r w:rsidR="00D84DD6" w:rsidRPr="004F3E91">
        <w:rPr>
          <w:rFonts w:ascii="Palatino Linotype" w:hAnsi="Palatino Linotype" w:cs="Arial"/>
          <w:i/>
          <w:color w:val="000000" w:themeColor="text1"/>
          <w:sz w:val="22"/>
        </w:rPr>
        <w:t>la respuesta a la solicitud de informacion</w:t>
      </w:r>
      <w:r w:rsidRPr="004F3E91">
        <w:rPr>
          <w:rFonts w:ascii="Palatino Linotype" w:hAnsi="Palatino Linotype" w:cs="Arial"/>
          <w:i/>
          <w:color w:val="000000" w:themeColor="text1"/>
          <w:sz w:val="22"/>
        </w:rPr>
        <w:t>”</w:t>
      </w:r>
      <w:r w:rsidR="00F87C72" w:rsidRPr="004F3E91">
        <w:rPr>
          <w:rFonts w:ascii="Palatino Linotype" w:hAnsi="Palatino Linotype" w:cs="Arial"/>
          <w:color w:val="000000" w:themeColor="text1"/>
          <w:sz w:val="22"/>
        </w:rPr>
        <w:t xml:space="preserve"> (Sic)</w:t>
      </w:r>
    </w:p>
    <w:p w14:paraId="71C7D21F" w14:textId="77777777" w:rsidR="00EA0165" w:rsidRPr="004F3E91" w:rsidRDefault="00EA0165" w:rsidP="00F56D3C">
      <w:pPr>
        <w:tabs>
          <w:tab w:val="left" w:pos="0"/>
          <w:tab w:val="left" w:pos="1418"/>
        </w:tabs>
        <w:spacing w:line="276" w:lineRule="auto"/>
        <w:ind w:left="1134" w:right="40" w:hanging="283"/>
        <w:contextualSpacing/>
        <w:jc w:val="both"/>
        <w:rPr>
          <w:rFonts w:ascii="Palatino Linotype" w:hAnsi="Palatino Linotype" w:cs="Arial"/>
          <w:color w:val="000000" w:themeColor="text1"/>
          <w:sz w:val="22"/>
        </w:rPr>
      </w:pPr>
    </w:p>
    <w:p w14:paraId="16E57192" w14:textId="177DC0A7" w:rsidR="00EA0165" w:rsidRPr="004F3E91" w:rsidRDefault="00EA0165" w:rsidP="00D84DD6">
      <w:pPr>
        <w:numPr>
          <w:ilvl w:val="0"/>
          <w:numId w:val="1"/>
        </w:numPr>
        <w:tabs>
          <w:tab w:val="left" w:pos="0"/>
          <w:tab w:val="left" w:pos="1418"/>
        </w:tabs>
        <w:spacing w:line="276" w:lineRule="auto"/>
        <w:ind w:right="40"/>
        <w:contextualSpacing/>
        <w:jc w:val="both"/>
        <w:rPr>
          <w:rFonts w:ascii="Palatino Linotype" w:hAnsi="Palatino Linotype" w:cs="Arial"/>
          <w:color w:val="000000" w:themeColor="text1"/>
          <w:sz w:val="22"/>
        </w:rPr>
      </w:pPr>
      <w:r w:rsidRPr="004F3E91">
        <w:rPr>
          <w:rFonts w:ascii="Palatino Linotype" w:hAnsi="Palatino Linotype" w:cs="Arial"/>
          <w:b/>
          <w:color w:val="000000" w:themeColor="text1"/>
          <w:sz w:val="22"/>
        </w:rPr>
        <w:t>Razones o motivos de inconformidad:</w:t>
      </w:r>
      <w:r w:rsidRPr="004F3E91">
        <w:rPr>
          <w:rFonts w:ascii="Palatino Linotype" w:hAnsi="Palatino Linotype" w:cs="Arial"/>
          <w:color w:val="000000" w:themeColor="text1"/>
          <w:sz w:val="22"/>
        </w:rPr>
        <w:t xml:space="preserve"> </w:t>
      </w:r>
      <w:r w:rsidRPr="004F3E91">
        <w:rPr>
          <w:rFonts w:ascii="Palatino Linotype" w:hAnsi="Palatino Linotype" w:cs="Arial"/>
          <w:i/>
          <w:color w:val="000000" w:themeColor="text1"/>
          <w:sz w:val="22"/>
        </w:rPr>
        <w:t>“</w:t>
      </w:r>
      <w:r w:rsidR="00D84DD6" w:rsidRPr="004F3E91">
        <w:rPr>
          <w:rFonts w:ascii="Palatino Linotype" w:hAnsi="Palatino Linotype" w:cs="Arial"/>
          <w:i/>
          <w:color w:val="000000" w:themeColor="text1"/>
          <w:sz w:val="22"/>
        </w:rPr>
        <w:t>es absurdo el cambio de modalidad a entrega directa, nunca justifica por que no me entrega la informacion, no contesto los requirimientos como se les solicito y reservo y clasifico informacion que es publica y en la que no existen datos personales que se vulneren, en todo caso debe entregar las abvisos de privacidad sobre estos documentos.</w:t>
      </w:r>
      <w:r w:rsidRPr="004F3E91">
        <w:rPr>
          <w:rFonts w:ascii="Palatino Linotype" w:hAnsi="Palatino Linotype" w:cs="Arial"/>
          <w:i/>
          <w:color w:val="000000" w:themeColor="text1"/>
          <w:sz w:val="22"/>
        </w:rPr>
        <w:t xml:space="preserve">” </w:t>
      </w:r>
      <w:r w:rsidRPr="004F3E91">
        <w:rPr>
          <w:rFonts w:ascii="Palatino Linotype" w:hAnsi="Palatino Linotype" w:cs="Arial"/>
          <w:color w:val="000000" w:themeColor="text1"/>
          <w:sz w:val="22"/>
        </w:rPr>
        <w:t>(Sic)</w:t>
      </w:r>
    </w:p>
    <w:p w14:paraId="552C6645" w14:textId="77777777" w:rsidR="001B234C" w:rsidRPr="004F3E91" w:rsidRDefault="001B234C" w:rsidP="00F56D3C">
      <w:pPr>
        <w:tabs>
          <w:tab w:val="left" w:pos="0"/>
        </w:tabs>
        <w:spacing w:line="360" w:lineRule="auto"/>
        <w:ind w:right="616"/>
        <w:contextualSpacing/>
        <w:jc w:val="both"/>
        <w:rPr>
          <w:rFonts w:ascii="Palatino Linotype" w:hAnsi="Palatino Linotype" w:cs="Arial"/>
          <w:color w:val="000000" w:themeColor="text1"/>
        </w:rPr>
      </w:pPr>
    </w:p>
    <w:p w14:paraId="7B42BA50" w14:textId="1621FF18" w:rsidR="00EA0165" w:rsidRPr="004F3E91"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cs="Arial"/>
          <w:color w:val="000000" w:themeColor="text1"/>
        </w:rPr>
        <w:t xml:space="preserve">Se registró el recurso de revisión bajo el número de expediente </w:t>
      </w:r>
      <w:r w:rsidRPr="004F3E91">
        <w:rPr>
          <w:rFonts w:ascii="Palatino Linotype" w:eastAsiaTheme="minorEastAsia" w:hAnsi="Palatino Linotype" w:cs="Arial"/>
          <w:bCs/>
          <w:color w:val="000000" w:themeColor="text1"/>
          <w:lang w:val="es-ES_tradnl"/>
        </w:rPr>
        <w:t xml:space="preserve">al rubro indicado, asimismo, con fundamento en lo dispuesto por el </w:t>
      </w:r>
      <w:r w:rsidRPr="004F3E91">
        <w:rPr>
          <w:rFonts w:ascii="Palatino Linotype" w:eastAsia="Calibri" w:hAnsi="Palatino Linotype" w:cs="Arial"/>
          <w:color w:val="000000" w:themeColor="text1"/>
        </w:rPr>
        <w:t>artículo 185</w:t>
      </w:r>
      <w:r w:rsidR="001C14A6" w:rsidRPr="004F3E91">
        <w:rPr>
          <w:rFonts w:ascii="Palatino Linotype" w:eastAsia="Calibri" w:hAnsi="Palatino Linotype" w:cs="Arial"/>
          <w:color w:val="000000" w:themeColor="text1"/>
        </w:rPr>
        <w:t>,</w:t>
      </w:r>
      <w:r w:rsidRPr="004F3E91">
        <w:rPr>
          <w:rFonts w:ascii="Palatino Linotype" w:eastAsia="Calibri" w:hAnsi="Palatino Linotype" w:cs="Arial"/>
          <w:color w:val="000000" w:themeColor="text1"/>
        </w:rPr>
        <w:t xml:space="preserve"> fracción I</w:t>
      </w:r>
      <w:r w:rsidR="001C14A6" w:rsidRPr="004F3E91">
        <w:rPr>
          <w:rFonts w:ascii="Palatino Linotype" w:eastAsia="Calibri" w:hAnsi="Palatino Linotype" w:cs="Arial"/>
          <w:color w:val="000000" w:themeColor="text1"/>
        </w:rPr>
        <w:t>,</w:t>
      </w:r>
      <w:r w:rsidRPr="004F3E91">
        <w:rPr>
          <w:rFonts w:ascii="Palatino Linotype" w:eastAsia="Calibri" w:hAnsi="Palatino Linotype" w:cs="Arial"/>
          <w:color w:val="000000" w:themeColor="text1"/>
        </w:rPr>
        <w:t xml:space="preserve"> de la </w:t>
      </w:r>
      <w:r w:rsidRPr="004F3E91">
        <w:rPr>
          <w:rFonts w:ascii="Palatino Linotype" w:eastAsia="Calibri" w:hAnsi="Palatino Linotype" w:cs="Arial"/>
          <w:b/>
          <w:color w:val="000000" w:themeColor="text1"/>
        </w:rPr>
        <w:t xml:space="preserve">Ley de Transparencia y Acceso a la Información Pública del Estado de México y Municipios </w:t>
      </w:r>
      <w:r w:rsidR="005E6282" w:rsidRPr="004F3E91">
        <w:rPr>
          <w:rFonts w:ascii="Palatino Linotype" w:hAnsi="Palatino Linotype" w:cs="Arial"/>
          <w:color w:val="000000" w:themeColor="text1"/>
        </w:rPr>
        <w:t>se turnó a</w:t>
      </w:r>
      <w:r w:rsidR="00351568" w:rsidRPr="004F3E91">
        <w:rPr>
          <w:rFonts w:ascii="Palatino Linotype" w:hAnsi="Palatino Linotype" w:cs="Arial"/>
          <w:color w:val="000000" w:themeColor="text1"/>
        </w:rPr>
        <w:t xml:space="preserve"> la </w:t>
      </w:r>
      <w:r w:rsidR="00E3149E" w:rsidRPr="004F3E91">
        <w:rPr>
          <w:rFonts w:ascii="Palatino Linotype" w:hAnsi="Palatino Linotype" w:cs="Arial"/>
          <w:b/>
          <w:color w:val="000000" w:themeColor="text1"/>
        </w:rPr>
        <w:t>C</w:t>
      </w:r>
      <w:r w:rsidR="00351568" w:rsidRPr="004F3E91">
        <w:rPr>
          <w:rFonts w:ascii="Palatino Linotype" w:hAnsi="Palatino Linotype" w:cs="Arial"/>
          <w:b/>
          <w:color w:val="000000" w:themeColor="text1"/>
        </w:rPr>
        <w:t>omisionada María del Rosario Mejía Ayala</w:t>
      </w:r>
      <w:r w:rsidRPr="004F3E91">
        <w:rPr>
          <w:rFonts w:ascii="Palatino Linotype" w:hAnsi="Palatino Linotype" w:cs="Arial"/>
          <w:b/>
          <w:color w:val="000000" w:themeColor="text1"/>
        </w:rPr>
        <w:t xml:space="preserve">, </w:t>
      </w:r>
      <w:r w:rsidRPr="004F3E91">
        <w:rPr>
          <w:rFonts w:ascii="Palatino Linotype" w:hAnsi="Palatino Linotype" w:cs="Arial"/>
          <w:color w:val="000000" w:themeColor="text1"/>
        </w:rPr>
        <w:t xml:space="preserve">con el objeto de </w:t>
      </w:r>
      <w:r w:rsidRPr="004F3E91">
        <w:rPr>
          <w:rFonts w:ascii="Palatino Linotype" w:hAnsi="Palatino Linotype" w:cs="Arial"/>
          <w:color w:val="000000" w:themeColor="text1"/>
          <w:lang w:val="es-MX"/>
        </w:rPr>
        <w:t>su análisis.</w:t>
      </w:r>
    </w:p>
    <w:p w14:paraId="49F28BD1" w14:textId="77777777" w:rsidR="00EA0165" w:rsidRPr="004F3E91" w:rsidRDefault="00EA0165" w:rsidP="00F56D3C">
      <w:pPr>
        <w:tabs>
          <w:tab w:val="left" w:pos="426"/>
        </w:tabs>
        <w:spacing w:line="360" w:lineRule="auto"/>
        <w:contextualSpacing/>
        <w:jc w:val="both"/>
        <w:rPr>
          <w:rFonts w:ascii="Palatino Linotype" w:eastAsia="Calibri" w:hAnsi="Palatino Linotype" w:cs="Arial"/>
          <w:color w:val="000000" w:themeColor="text1"/>
        </w:rPr>
      </w:pPr>
    </w:p>
    <w:p w14:paraId="6134AC85" w14:textId="4DD92799" w:rsidR="006401B8" w:rsidRPr="004F3E91" w:rsidRDefault="00351568"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cs="Arial"/>
          <w:color w:val="000000" w:themeColor="text1"/>
        </w:rPr>
        <w:lastRenderedPageBreak/>
        <w:t xml:space="preserve">La </w:t>
      </w:r>
      <w:r w:rsidR="00E222BF" w:rsidRPr="004F3E91">
        <w:rPr>
          <w:rFonts w:ascii="Palatino Linotype" w:hAnsi="Palatino Linotype" w:cs="Arial"/>
          <w:color w:val="000000" w:themeColor="text1"/>
        </w:rPr>
        <w:t>Comisionada Ponente</w:t>
      </w:r>
      <w:r w:rsidR="00EA0165" w:rsidRPr="004F3E91">
        <w:rPr>
          <w:rFonts w:ascii="Palatino Linotype" w:eastAsia="Calibri" w:hAnsi="Palatino Linotype" w:cs="Arial"/>
          <w:color w:val="000000" w:themeColor="text1"/>
        </w:rPr>
        <w:t>, con fundamento en lo dispuesto por el artículo 185</w:t>
      </w:r>
      <w:r w:rsidR="00E222BF" w:rsidRPr="004F3E91">
        <w:rPr>
          <w:rFonts w:ascii="Palatino Linotype" w:eastAsia="Calibri" w:hAnsi="Palatino Linotype" w:cs="Arial"/>
          <w:color w:val="000000" w:themeColor="text1"/>
        </w:rPr>
        <w:t>,</w:t>
      </w:r>
      <w:r w:rsidR="00EA0165" w:rsidRPr="004F3E91">
        <w:rPr>
          <w:rFonts w:ascii="Palatino Linotype" w:eastAsia="Calibri" w:hAnsi="Palatino Linotype" w:cs="Arial"/>
          <w:color w:val="000000" w:themeColor="text1"/>
        </w:rPr>
        <w:t xml:space="preserve"> fracción II</w:t>
      </w:r>
      <w:r w:rsidR="00E222BF" w:rsidRPr="004F3E91">
        <w:rPr>
          <w:rFonts w:ascii="Palatino Linotype" w:eastAsia="Calibri" w:hAnsi="Palatino Linotype" w:cs="Arial"/>
          <w:color w:val="000000" w:themeColor="text1"/>
        </w:rPr>
        <w:t>,</w:t>
      </w:r>
      <w:r w:rsidR="00EA0165" w:rsidRPr="004F3E91">
        <w:rPr>
          <w:rFonts w:ascii="Palatino Linotype" w:eastAsia="Calibri" w:hAnsi="Palatino Linotype" w:cs="Arial"/>
          <w:color w:val="000000" w:themeColor="text1"/>
        </w:rPr>
        <w:t xml:space="preserve"> de la </w:t>
      </w:r>
      <w:r w:rsidR="00E222BF" w:rsidRPr="004F3E91">
        <w:rPr>
          <w:rFonts w:ascii="Palatino Linotype" w:eastAsia="Calibri" w:hAnsi="Palatino Linotype" w:cs="Arial"/>
          <w:color w:val="000000" w:themeColor="text1"/>
        </w:rPr>
        <w:t>Ley de Transparencia y Acceso a la Información Pública del Estado de México y Municipios</w:t>
      </w:r>
      <w:r w:rsidR="00EA0165" w:rsidRPr="004F3E91">
        <w:rPr>
          <w:rFonts w:ascii="Palatino Linotype" w:eastAsia="Calibri" w:hAnsi="Palatino Linotype" w:cs="Arial"/>
          <w:color w:val="000000" w:themeColor="text1"/>
        </w:rPr>
        <w:t>, a</w:t>
      </w:r>
      <w:r w:rsidR="008D7419" w:rsidRPr="004F3E91">
        <w:rPr>
          <w:rFonts w:ascii="Palatino Linotype" w:eastAsia="Calibri" w:hAnsi="Palatino Linotype" w:cs="Arial"/>
          <w:color w:val="000000" w:themeColor="text1"/>
        </w:rPr>
        <w:t xml:space="preserve"> través del acuerdo de admisión </w:t>
      </w:r>
      <w:r w:rsidR="00EA0165" w:rsidRPr="004F3E91">
        <w:rPr>
          <w:rFonts w:ascii="Palatino Linotype" w:eastAsia="Calibri" w:hAnsi="Palatino Linotype" w:cs="Arial"/>
          <w:color w:val="000000" w:themeColor="text1"/>
        </w:rPr>
        <w:t>de</w:t>
      </w:r>
      <w:r w:rsidR="00FC5933" w:rsidRPr="004F3E91">
        <w:rPr>
          <w:rFonts w:ascii="Palatino Linotype" w:eastAsia="Calibri" w:hAnsi="Palatino Linotype" w:cs="Arial"/>
          <w:color w:val="000000" w:themeColor="text1"/>
        </w:rPr>
        <w:t xml:space="preserve"> </w:t>
      </w:r>
      <w:r w:rsidR="00F8375B" w:rsidRPr="004F3E91">
        <w:rPr>
          <w:rFonts w:ascii="Palatino Linotype" w:eastAsia="Calibri" w:hAnsi="Palatino Linotype" w:cs="Arial"/>
          <w:color w:val="000000" w:themeColor="text1"/>
        </w:rPr>
        <w:t>diecisiete (17</w:t>
      </w:r>
      <w:r w:rsidR="00F930FF" w:rsidRPr="004F3E91">
        <w:rPr>
          <w:rFonts w:ascii="Palatino Linotype" w:eastAsia="Calibri" w:hAnsi="Palatino Linotype" w:cs="Arial"/>
          <w:color w:val="000000" w:themeColor="text1"/>
        </w:rPr>
        <w:t xml:space="preserve">) de marzo </w:t>
      </w:r>
      <w:r w:rsidR="00132CE1" w:rsidRPr="004F3E91">
        <w:rPr>
          <w:rFonts w:ascii="Palatino Linotype" w:eastAsia="Calibri" w:hAnsi="Palatino Linotype" w:cs="Arial"/>
          <w:color w:val="000000" w:themeColor="text1"/>
        </w:rPr>
        <w:t xml:space="preserve">de dos mil </w:t>
      </w:r>
      <w:r w:rsidR="00966711" w:rsidRPr="004F3E91">
        <w:rPr>
          <w:rFonts w:ascii="Palatino Linotype" w:eastAsia="Calibri" w:hAnsi="Palatino Linotype" w:cs="Arial"/>
          <w:color w:val="000000" w:themeColor="text1"/>
        </w:rPr>
        <w:t>veintidós</w:t>
      </w:r>
      <w:r w:rsidR="00EA0165" w:rsidRPr="004F3E91">
        <w:rPr>
          <w:rFonts w:ascii="Palatino Linotype" w:eastAsia="Calibri" w:hAnsi="Palatino Linotype" w:cs="Arial"/>
          <w:color w:val="000000" w:themeColor="text1"/>
        </w:rPr>
        <w:t xml:space="preserve">, puso a disposición de las partes el expediente electrónico </w:t>
      </w:r>
      <w:r w:rsidR="00EA0165" w:rsidRPr="004F3E91">
        <w:rPr>
          <w:rFonts w:ascii="Palatino Linotype" w:eastAsia="Calibri" w:hAnsi="Palatino Linotype" w:cs="Arial"/>
          <w:color w:val="000000" w:themeColor="text1"/>
          <w:lang w:val="es-ES_tradnl"/>
        </w:rPr>
        <w:t xml:space="preserve">vía </w:t>
      </w:r>
      <w:r w:rsidR="00F930FF" w:rsidRPr="004F3E91">
        <w:rPr>
          <w:rFonts w:ascii="Palatino Linotype" w:eastAsia="Calibri" w:hAnsi="Palatino Linotype" w:cs="Arial"/>
          <w:color w:val="000000" w:themeColor="text1"/>
        </w:rPr>
        <w:t>SAIMEX</w:t>
      </w:r>
      <w:r w:rsidR="00EA0165" w:rsidRPr="004F3E91">
        <w:rPr>
          <w:rFonts w:ascii="Palatino Linotype" w:eastAsia="Calibri" w:hAnsi="Palatino Linotype" w:cs="Arial"/>
          <w:color w:val="000000" w:themeColor="text1"/>
        </w:rPr>
        <w:t xml:space="preserve"> a efecto de que en un plazo máximo de siete días manifestaran lo que a su derecho convinieran, ofrecieran pruebas y alegatos según corresponda a los casos concretos, de esta forma para que el </w:t>
      </w:r>
      <w:r w:rsidR="00EA0165" w:rsidRPr="004F3E91">
        <w:rPr>
          <w:rFonts w:ascii="Palatino Linotype" w:eastAsia="Calibri" w:hAnsi="Palatino Linotype" w:cs="Arial"/>
          <w:b/>
          <w:color w:val="000000" w:themeColor="text1"/>
        </w:rPr>
        <w:t>SUJETO OBLIGADO</w:t>
      </w:r>
      <w:r w:rsidR="00EA0165" w:rsidRPr="004F3E91">
        <w:rPr>
          <w:rFonts w:ascii="Palatino Linotype" w:eastAsia="Calibri" w:hAnsi="Palatino Linotype" w:cs="Arial"/>
          <w:color w:val="000000" w:themeColor="text1"/>
        </w:rPr>
        <w:t xml:space="preserve"> presentara el</w:t>
      </w:r>
      <w:r w:rsidR="00266490" w:rsidRPr="004F3E91">
        <w:rPr>
          <w:rFonts w:ascii="Palatino Linotype" w:eastAsia="Calibri" w:hAnsi="Palatino Linotype" w:cs="Arial"/>
          <w:color w:val="000000" w:themeColor="text1"/>
        </w:rPr>
        <w:t xml:space="preserve"> </w:t>
      </w:r>
      <w:r w:rsidR="00770DBB" w:rsidRPr="004F3E91">
        <w:rPr>
          <w:rFonts w:ascii="Palatino Linotype" w:eastAsia="Calibri" w:hAnsi="Palatino Linotype" w:cs="Arial"/>
          <w:color w:val="000000" w:themeColor="text1"/>
        </w:rPr>
        <w:t>i</w:t>
      </w:r>
      <w:bookmarkStart w:id="4" w:name="_Toc461555889"/>
      <w:bookmarkStart w:id="5" w:name="_Toc466371858"/>
      <w:r w:rsidR="00D4070C" w:rsidRPr="004F3E91">
        <w:rPr>
          <w:rFonts w:ascii="Palatino Linotype" w:eastAsia="Calibri" w:hAnsi="Palatino Linotype" w:cs="Arial"/>
          <w:color w:val="000000" w:themeColor="text1"/>
        </w:rPr>
        <w:t>nforme justificado procedente.</w:t>
      </w:r>
    </w:p>
    <w:p w14:paraId="124186E8" w14:textId="77777777" w:rsidR="00D4070C" w:rsidRPr="004F3E91"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97F776E" w14:textId="7EDBC6D7" w:rsidR="00443270" w:rsidRPr="004F3E91" w:rsidRDefault="00EE00F1"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eastAsiaTheme="minorEastAsia" w:hAnsi="Palatino Linotype" w:cstheme="minorBidi"/>
          <w:color w:val="000000" w:themeColor="text1"/>
          <w:lang w:val="es-ES_tradnl"/>
        </w:rPr>
        <w:t xml:space="preserve">El veintinueve (29) de marzo de dos mil veintidós, el </w:t>
      </w:r>
      <w:r w:rsidRPr="004F3E91">
        <w:rPr>
          <w:rFonts w:ascii="Palatino Linotype" w:eastAsiaTheme="minorEastAsia" w:hAnsi="Palatino Linotype" w:cstheme="minorBidi"/>
          <w:b/>
          <w:color w:val="000000" w:themeColor="text1"/>
          <w:lang w:val="es-ES_tradnl"/>
        </w:rPr>
        <w:t>SUJETO OBLIGADO</w:t>
      </w:r>
      <w:r w:rsidRPr="004F3E91">
        <w:rPr>
          <w:rFonts w:ascii="Palatino Linotype" w:eastAsiaTheme="minorEastAsia" w:hAnsi="Palatino Linotype" w:cstheme="minorBidi"/>
          <w:color w:val="000000" w:themeColor="text1"/>
          <w:lang w:val="es-ES_tradnl"/>
        </w:rPr>
        <w:t xml:space="preserve"> presentó, en vía de informe justificado, el archivo electrónico cuyo contenido se describe a continuación:</w:t>
      </w:r>
    </w:p>
    <w:p w14:paraId="50681C44" w14:textId="2261CC96" w:rsidR="00EE00F1" w:rsidRPr="004F3E91" w:rsidRDefault="00EE00F1" w:rsidP="00AF12E2">
      <w:pPr>
        <w:pStyle w:val="Prrafodelista"/>
        <w:numPr>
          <w:ilvl w:val="1"/>
          <w:numId w:val="11"/>
        </w:numPr>
        <w:tabs>
          <w:tab w:val="left" w:pos="426"/>
        </w:tabs>
        <w:spacing w:line="360" w:lineRule="auto"/>
        <w:ind w:left="1134"/>
        <w:contextualSpacing/>
        <w:jc w:val="both"/>
        <w:rPr>
          <w:rFonts w:ascii="Palatino Linotype" w:eastAsia="Calibri" w:hAnsi="Palatino Linotype" w:cs="Arial"/>
          <w:color w:val="000000" w:themeColor="text1"/>
        </w:rPr>
      </w:pPr>
      <w:r w:rsidRPr="004F3E91">
        <w:rPr>
          <w:rFonts w:ascii="Palatino Linotype" w:eastAsiaTheme="minorEastAsia" w:hAnsi="Palatino Linotype" w:cstheme="minorBidi"/>
          <w:b/>
          <w:i/>
          <w:color w:val="000000" w:themeColor="text1"/>
          <w:lang w:val="es-ES_tradnl"/>
        </w:rPr>
        <w:t>“</w:t>
      </w:r>
      <w:r w:rsidR="00D84DD6" w:rsidRPr="004F3E91">
        <w:rPr>
          <w:rFonts w:ascii="Palatino Linotype" w:eastAsiaTheme="minorEastAsia" w:hAnsi="Palatino Linotype" w:cstheme="minorBidi"/>
          <w:b/>
          <w:i/>
          <w:color w:val="000000" w:themeColor="text1"/>
          <w:lang w:val="es-ES_tradnl"/>
        </w:rPr>
        <w:t>03943_2022</w:t>
      </w:r>
      <w:r w:rsidRPr="004F3E91">
        <w:rPr>
          <w:rFonts w:ascii="Palatino Linotype" w:eastAsiaTheme="minorEastAsia" w:hAnsi="Palatino Linotype" w:cstheme="minorBidi"/>
          <w:b/>
          <w:i/>
          <w:color w:val="000000" w:themeColor="text1"/>
          <w:lang w:val="es-ES_tradnl"/>
        </w:rPr>
        <w:t>.pdf”</w:t>
      </w:r>
      <w:r w:rsidRPr="004F3E91">
        <w:rPr>
          <w:rFonts w:ascii="Palatino Linotype" w:eastAsiaTheme="minorEastAsia" w:hAnsi="Palatino Linotype" w:cstheme="minorBidi"/>
          <w:color w:val="000000" w:themeColor="text1"/>
          <w:lang w:val="es-ES_tradnl"/>
        </w:rPr>
        <w:t xml:space="preserve">: Documento de </w:t>
      </w:r>
      <w:r w:rsidR="00D84DD6" w:rsidRPr="004F3E91">
        <w:rPr>
          <w:rFonts w:ascii="Palatino Linotype" w:eastAsiaTheme="minorEastAsia" w:hAnsi="Palatino Linotype" w:cstheme="minorBidi"/>
          <w:color w:val="000000" w:themeColor="text1"/>
          <w:lang w:val="es-ES_tradnl"/>
        </w:rPr>
        <w:t xml:space="preserve">31 fojas </w:t>
      </w:r>
      <w:r w:rsidR="00C424B1" w:rsidRPr="004F3E91">
        <w:rPr>
          <w:rFonts w:ascii="Palatino Linotype" w:eastAsiaTheme="minorEastAsia" w:hAnsi="Palatino Linotype" w:cstheme="minorBidi"/>
          <w:color w:val="000000" w:themeColor="text1"/>
          <w:lang w:val="es-ES_tradnl"/>
        </w:rPr>
        <w:t xml:space="preserve">consistente en la copia digitalizada del oficio número UT/RR/00146/2022, de veintinueve (29) de marzo de dos mil veintidós, suscrito por la Titular de la Unidad de Transparencia, y mediante el cual, esencialmente, ratifica la respuesta proveída inicialmente a la solicitud de información </w:t>
      </w:r>
      <w:r w:rsidR="00C424B1" w:rsidRPr="004F3E91">
        <w:rPr>
          <w:rFonts w:ascii="Palatino Linotype" w:eastAsiaTheme="minorEastAsia" w:hAnsi="Palatino Linotype" w:cstheme="minorBidi"/>
          <w:b/>
          <w:bCs/>
          <w:color w:val="000000" w:themeColor="text1"/>
          <w:lang w:val="es-ES_tradnl"/>
        </w:rPr>
        <w:t>00491/TOLUCA/IP/2022</w:t>
      </w:r>
      <w:r w:rsidR="00C424B1" w:rsidRPr="004F3E91">
        <w:rPr>
          <w:rFonts w:ascii="Palatino Linotype" w:eastAsiaTheme="minorEastAsia" w:hAnsi="Palatino Linotype" w:cstheme="minorBidi"/>
          <w:color w:val="000000" w:themeColor="text1"/>
          <w:lang w:val="es-ES_tradnl"/>
        </w:rPr>
        <w:t>.</w:t>
      </w:r>
    </w:p>
    <w:p w14:paraId="13F60597" w14:textId="77777777" w:rsidR="00443270" w:rsidRPr="004F3E91" w:rsidRDefault="00443270" w:rsidP="0044327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6DA72B7" w14:textId="5B4E9736" w:rsidR="0039699A" w:rsidRPr="004F3E91"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eastAsiaTheme="minorEastAsia" w:hAnsi="Palatino Linotype" w:cstheme="minorBidi"/>
          <w:color w:val="000000" w:themeColor="text1"/>
          <w:lang w:val="es-ES_tradnl"/>
        </w:rPr>
        <w:t xml:space="preserve">El </w:t>
      </w:r>
      <w:r w:rsidR="00C424B1" w:rsidRPr="004F3E91">
        <w:rPr>
          <w:rFonts w:ascii="Palatino Linotype" w:eastAsiaTheme="minorEastAsia" w:hAnsi="Palatino Linotype" w:cstheme="minorBidi"/>
          <w:color w:val="000000" w:themeColor="text1"/>
          <w:lang w:val="es-ES_tradnl"/>
        </w:rPr>
        <w:t>quince (15) de noviembre</w:t>
      </w:r>
      <w:r w:rsidRPr="004F3E91">
        <w:rPr>
          <w:rFonts w:ascii="Palatino Linotype" w:eastAsiaTheme="minorEastAsia" w:hAnsi="Palatino Linotype" w:cstheme="minorBidi"/>
          <w:color w:val="000000" w:themeColor="text1"/>
          <w:lang w:val="es-ES_tradnl"/>
        </w:rPr>
        <w:t xml:space="preserve"> de dos mil veintidós se puso a la vista del </w:t>
      </w:r>
      <w:r w:rsidRPr="004F3E91">
        <w:rPr>
          <w:rFonts w:ascii="Palatino Linotype" w:eastAsiaTheme="minorEastAsia" w:hAnsi="Palatino Linotype" w:cstheme="minorBidi"/>
          <w:b/>
          <w:color w:val="000000" w:themeColor="text1"/>
          <w:lang w:val="es-ES_tradnl"/>
        </w:rPr>
        <w:t>RECURRENTE</w:t>
      </w:r>
      <w:r w:rsidRPr="004F3E91">
        <w:rPr>
          <w:rFonts w:ascii="Palatino Linotype" w:eastAsiaTheme="minorEastAsia" w:hAnsi="Palatino Linotype" w:cstheme="minorBidi"/>
          <w:color w:val="000000" w:themeColor="text1"/>
          <w:lang w:val="es-ES_tradnl"/>
        </w:rPr>
        <w:t xml:space="preserve"> el informe justificado presentado por el </w:t>
      </w:r>
      <w:r w:rsidRPr="004F3E91">
        <w:rPr>
          <w:rFonts w:ascii="Palatino Linotype" w:eastAsiaTheme="minorEastAsia" w:hAnsi="Palatino Linotype" w:cstheme="minorBidi"/>
          <w:b/>
          <w:color w:val="000000" w:themeColor="text1"/>
          <w:lang w:val="es-ES_tradnl"/>
        </w:rPr>
        <w:t>SUJETO OBLIGADO</w:t>
      </w:r>
      <w:r w:rsidRPr="004F3E91">
        <w:rPr>
          <w:rFonts w:ascii="Palatino Linotype" w:eastAsiaTheme="minorEastAsia" w:hAnsi="Palatino Linotype" w:cstheme="minorBidi"/>
          <w:color w:val="000000" w:themeColor="text1"/>
          <w:lang w:val="es-ES_tradnl"/>
        </w:rPr>
        <w:t xml:space="preserve">, concediéndole </w:t>
      </w:r>
      <w:r w:rsidRPr="004F3E91">
        <w:rPr>
          <w:rFonts w:ascii="Palatino Linotype" w:hAnsi="Palatino Linotype"/>
          <w:color w:val="000000" w:themeColor="text1"/>
        </w:rPr>
        <w:t xml:space="preserve">un plazo de tres (03) días para que manifestara lo que a su derecho conviniera, de conformidad con el artículo 185, fracción III, de la Ley de Transparencia y Acceso a la Información Pública del Estado de México y Municipios.  </w:t>
      </w:r>
      <w:r w:rsidRPr="004F3E91">
        <w:rPr>
          <w:rFonts w:ascii="Palatino Linotype" w:hAnsi="Palatino Linotype"/>
          <w:color w:val="000000" w:themeColor="text1"/>
        </w:rPr>
        <w:lastRenderedPageBreak/>
        <w:t>No obstante, se hace constar que el particular no ejerció su derecho de réplica sobre los nuevos contenidos.</w:t>
      </w:r>
    </w:p>
    <w:p w14:paraId="5EC1F8C6" w14:textId="77777777" w:rsidR="0039699A" w:rsidRPr="004F3E91" w:rsidRDefault="0039699A" w:rsidP="0039699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A353B47" w14:textId="10599BA0" w:rsidR="0039699A" w:rsidRPr="004F3E91"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eastAsiaTheme="minorEastAsia" w:hAnsi="Palatino Linotype" w:cstheme="minorBidi"/>
          <w:color w:val="000000" w:themeColor="text1"/>
          <w:lang w:val="es-ES_tradnl"/>
        </w:rPr>
        <w:t>E</w:t>
      </w:r>
      <w:r w:rsidR="00D4070C" w:rsidRPr="004F3E91">
        <w:rPr>
          <w:rFonts w:ascii="Palatino Linotype" w:eastAsiaTheme="minorEastAsia" w:hAnsi="Palatino Linotype" w:cstheme="minorBidi"/>
          <w:color w:val="000000" w:themeColor="text1"/>
          <w:lang w:val="es-ES_tradnl"/>
        </w:rPr>
        <w:t xml:space="preserve">l </w:t>
      </w:r>
      <w:r w:rsidR="00C424B1" w:rsidRPr="004F3E91">
        <w:rPr>
          <w:rFonts w:ascii="Palatino Linotype" w:eastAsia="Calibri" w:hAnsi="Palatino Linotype" w:cs="Arial"/>
          <w:color w:val="000000" w:themeColor="text1"/>
        </w:rPr>
        <w:t>veintidós (22) de noviembre</w:t>
      </w:r>
      <w:r w:rsidRPr="004F3E91">
        <w:rPr>
          <w:rFonts w:ascii="Palatino Linotype" w:eastAsia="Calibri" w:hAnsi="Palatino Linotype" w:cs="Arial"/>
          <w:color w:val="000000" w:themeColor="text1"/>
        </w:rPr>
        <w:t xml:space="preserve"> </w:t>
      </w:r>
      <w:r w:rsidR="00D4070C" w:rsidRPr="004F3E91">
        <w:rPr>
          <w:rFonts w:ascii="Palatino Linotype" w:eastAsia="Calibri" w:hAnsi="Palatino Linotype" w:cs="Arial"/>
          <w:color w:val="000000" w:themeColor="text1"/>
        </w:rPr>
        <w:t>de dos mil veintidós</w:t>
      </w:r>
      <w:r w:rsidR="00D4070C" w:rsidRPr="004F3E91">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Pr="004F3E91">
        <w:rPr>
          <w:rFonts w:ascii="Palatino Linotype" w:hAnsi="Palatino Linotype" w:cs="Arial"/>
          <w:color w:val="000000" w:themeColor="text1"/>
        </w:rPr>
        <w:t>.</w:t>
      </w:r>
    </w:p>
    <w:p w14:paraId="37059876" w14:textId="77777777" w:rsidR="0039699A" w:rsidRPr="004F3E91" w:rsidRDefault="0039699A" w:rsidP="0039699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C4AEE36" w14:textId="4F3A1D84" w:rsidR="00AC5938" w:rsidRPr="004F3E91"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cs="Arial"/>
          <w:color w:val="000000" w:themeColor="text1"/>
        </w:rPr>
        <w:t xml:space="preserve">Finalmente, el </w:t>
      </w:r>
      <w:r w:rsidR="009B33CD" w:rsidRPr="004F3E91">
        <w:rPr>
          <w:rFonts w:ascii="Palatino Linotype" w:hAnsi="Palatino Linotype" w:cs="Arial"/>
          <w:color w:val="000000" w:themeColor="text1"/>
        </w:rPr>
        <w:t>veinticuatro (24</w:t>
      </w:r>
      <w:r w:rsidRPr="004F3E91">
        <w:rPr>
          <w:rFonts w:ascii="Palatino Linotype" w:hAnsi="Palatino Linotype" w:cs="Arial"/>
          <w:color w:val="000000" w:themeColor="text1"/>
        </w:rPr>
        <w:t>) de noviembre de dos mil veintidós</w:t>
      </w:r>
      <w:r w:rsidR="00D4070C" w:rsidRPr="004F3E91">
        <w:rPr>
          <w:rFonts w:ascii="Palatino Linotype" w:hAnsi="Palatino Linotype" w:cs="Arial"/>
          <w:color w:val="000000" w:themeColor="text1"/>
        </w:rPr>
        <w:t xml:space="preserve">, con fundamento en el artículo 181, tercer párrafo, de la Ley de Transparencia y Acceso a la Información Pública del Estado de México y Municipios, se notificó que el plazo de 30 días hábiles para resolver el recurso de revisión sería ampliado por un periodo de </w:t>
      </w:r>
      <w:r w:rsidR="00AC5938" w:rsidRPr="004F3E91">
        <w:rPr>
          <w:rFonts w:ascii="Palatino Linotype" w:hAnsi="Palatino Linotype" w:cs="Arial"/>
          <w:color w:val="000000" w:themeColor="text1"/>
        </w:rPr>
        <w:t>15 días hábiles adicionales.</w:t>
      </w:r>
    </w:p>
    <w:p w14:paraId="7D128B4F" w14:textId="77777777" w:rsidR="00AC5938" w:rsidRPr="004F3E91"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4F2E52B"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5F71A4" w14:textId="77777777" w:rsidR="00AC5938" w:rsidRPr="004F3E91" w:rsidRDefault="00AC5938" w:rsidP="00AC5938">
      <w:pPr>
        <w:pStyle w:val="Prrafodelista"/>
        <w:rPr>
          <w:rFonts w:ascii="Palatino Linotype" w:hAnsi="Palatino Linotype"/>
        </w:rPr>
      </w:pPr>
    </w:p>
    <w:p w14:paraId="2DF5DFF7"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4F3E91">
        <w:rPr>
          <w:rFonts w:ascii="Palatino Linotype" w:hAnsi="Palatino Linotype"/>
        </w:rPr>
        <w:lastRenderedPageBreak/>
        <w:t>órganos jurisdiccionales federales, aplicables también en procedimientos análogos, como el que nos ocupa.</w:t>
      </w:r>
    </w:p>
    <w:p w14:paraId="5D89AC0F" w14:textId="77777777" w:rsidR="00AC5938" w:rsidRPr="004F3E91" w:rsidRDefault="00AC5938" w:rsidP="00AC5938">
      <w:pPr>
        <w:pStyle w:val="Prrafodelista"/>
        <w:rPr>
          <w:rFonts w:ascii="Palatino Linotype" w:hAnsi="Palatino Linotype"/>
        </w:rPr>
      </w:pPr>
    </w:p>
    <w:p w14:paraId="57EFCC52"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F99706" w14:textId="77777777" w:rsidR="00AC5938" w:rsidRPr="004F3E91" w:rsidRDefault="00AC5938" w:rsidP="00AC5938">
      <w:pPr>
        <w:pStyle w:val="Prrafodelista"/>
        <w:rPr>
          <w:rFonts w:ascii="Palatino Linotype" w:hAnsi="Palatino Linotype"/>
        </w:rPr>
      </w:pPr>
    </w:p>
    <w:p w14:paraId="0F42D930"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7F6ED1" w14:textId="77777777" w:rsidR="00AC5938" w:rsidRPr="004F3E91" w:rsidRDefault="00AC5938" w:rsidP="00AC5938">
      <w:pPr>
        <w:pStyle w:val="Prrafodelista"/>
        <w:rPr>
          <w:rFonts w:ascii="Palatino Linotype" w:hAnsi="Palatino Linotype"/>
        </w:rPr>
      </w:pPr>
    </w:p>
    <w:p w14:paraId="6D12A74B"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91C0CE1" w14:textId="77777777" w:rsidR="00AC5938" w:rsidRPr="004F3E91" w:rsidRDefault="00AC5938" w:rsidP="00AC5938">
      <w:pPr>
        <w:pStyle w:val="Prrafodelista"/>
        <w:rPr>
          <w:rFonts w:ascii="Palatino Linotype" w:hAnsi="Palatino Linotype"/>
        </w:rPr>
      </w:pPr>
    </w:p>
    <w:p w14:paraId="5C4CA3D0" w14:textId="637206A8" w:rsidR="00AC5938" w:rsidRPr="004F3E91" w:rsidRDefault="0039699A" w:rsidP="0039699A">
      <w:pPr>
        <w:spacing w:before="240" w:after="240" w:line="360" w:lineRule="auto"/>
        <w:ind w:left="567" w:right="567"/>
        <w:jc w:val="both"/>
        <w:rPr>
          <w:rFonts w:ascii="Palatino Linotype" w:hAnsi="Palatino Linotype"/>
        </w:rPr>
      </w:pPr>
      <w:r w:rsidRPr="004F3E91">
        <w:rPr>
          <w:rFonts w:ascii="Palatino Linotype" w:hAnsi="Palatino Linotype"/>
          <w:b/>
        </w:rPr>
        <w:t xml:space="preserve">a) </w:t>
      </w:r>
      <w:r w:rsidR="00AC5938" w:rsidRPr="004F3E91">
        <w:rPr>
          <w:rFonts w:ascii="Palatino Linotype" w:hAnsi="Palatino Linotype"/>
          <w:b/>
        </w:rPr>
        <w:t>Complejidad del asunto:</w:t>
      </w:r>
      <w:r w:rsidR="00AC5938" w:rsidRPr="004F3E91">
        <w:rPr>
          <w:rFonts w:ascii="Palatino Linotype" w:hAnsi="Palatino Linotype"/>
        </w:rPr>
        <w:t xml:space="preserve"> La complejidad de la prueba, la pluralidad de sujetos procesales, el tiempo transcurrido, las características y contexto del recurso.</w:t>
      </w:r>
    </w:p>
    <w:p w14:paraId="0335385C" w14:textId="5B8C0D06" w:rsidR="00AC5938" w:rsidRPr="004F3E91" w:rsidRDefault="0039699A" w:rsidP="0039699A">
      <w:pPr>
        <w:spacing w:before="240" w:after="240" w:line="360" w:lineRule="auto"/>
        <w:ind w:left="567" w:right="567"/>
        <w:jc w:val="both"/>
        <w:rPr>
          <w:rFonts w:ascii="Palatino Linotype" w:hAnsi="Palatino Linotype"/>
        </w:rPr>
      </w:pPr>
      <w:r w:rsidRPr="004F3E91">
        <w:rPr>
          <w:rFonts w:ascii="Palatino Linotype" w:hAnsi="Palatino Linotype"/>
          <w:b/>
        </w:rPr>
        <w:t xml:space="preserve">b) </w:t>
      </w:r>
      <w:r w:rsidR="00AC5938" w:rsidRPr="004F3E91">
        <w:rPr>
          <w:rFonts w:ascii="Palatino Linotype" w:hAnsi="Palatino Linotype"/>
          <w:b/>
        </w:rPr>
        <w:t>Actividad Procesal del interesado:</w:t>
      </w:r>
      <w:r w:rsidR="00AC5938" w:rsidRPr="004F3E91">
        <w:rPr>
          <w:rFonts w:ascii="Palatino Linotype" w:hAnsi="Palatino Linotype"/>
        </w:rPr>
        <w:t xml:space="preserve"> Acciones u omisiones del interesado.</w:t>
      </w:r>
    </w:p>
    <w:p w14:paraId="2BBFD413" w14:textId="76E71AC6" w:rsidR="00AC5938" w:rsidRPr="004F3E91" w:rsidRDefault="0039699A" w:rsidP="0039699A">
      <w:pPr>
        <w:spacing w:before="240" w:after="240" w:line="360" w:lineRule="auto"/>
        <w:ind w:left="567" w:right="567"/>
        <w:jc w:val="both"/>
        <w:rPr>
          <w:rFonts w:ascii="Palatino Linotype" w:hAnsi="Palatino Linotype"/>
        </w:rPr>
      </w:pPr>
      <w:r w:rsidRPr="004F3E91">
        <w:rPr>
          <w:rFonts w:ascii="Palatino Linotype" w:hAnsi="Palatino Linotype"/>
          <w:b/>
        </w:rPr>
        <w:t xml:space="preserve">c) </w:t>
      </w:r>
      <w:r w:rsidR="00AC5938" w:rsidRPr="004F3E91">
        <w:rPr>
          <w:rFonts w:ascii="Palatino Linotype" w:hAnsi="Palatino Linotype"/>
          <w:b/>
        </w:rPr>
        <w:t>Conducta de la Autoridad:</w:t>
      </w:r>
      <w:r w:rsidR="00AC5938" w:rsidRPr="004F3E91">
        <w:rPr>
          <w:rFonts w:ascii="Palatino Linotype" w:hAnsi="Palatino Linotype"/>
        </w:rPr>
        <w:t xml:space="preserve"> Las Acciones u omisiones realizadas en el procedimiento. Así como si la autoridad actuó con la debida diligencia.</w:t>
      </w:r>
    </w:p>
    <w:p w14:paraId="4F25915B" w14:textId="4C086AE7" w:rsidR="00AC5938" w:rsidRPr="004F3E91" w:rsidRDefault="0039699A" w:rsidP="0039699A">
      <w:pPr>
        <w:spacing w:before="240" w:after="240" w:line="360" w:lineRule="auto"/>
        <w:ind w:left="567" w:right="567"/>
        <w:jc w:val="both"/>
        <w:rPr>
          <w:rFonts w:ascii="Palatino Linotype" w:hAnsi="Palatino Linotype"/>
        </w:rPr>
      </w:pPr>
      <w:r w:rsidRPr="004F3E91">
        <w:rPr>
          <w:rFonts w:ascii="Palatino Linotype" w:hAnsi="Palatino Linotype"/>
          <w:b/>
        </w:rPr>
        <w:lastRenderedPageBreak/>
        <w:t xml:space="preserve">d) </w:t>
      </w:r>
      <w:r w:rsidR="00AC5938" w:rsidRPr="004F3E91">
        <w:rPr>
          <w:rFonts w:ascii="Palatino Linotype" w:hAnsi="Palatino Linotype"/>
          <w:b/>
        </w:rPr>
        <w:t>La afectación generada en la situación jurídica de la persona involucrada en el proceso:</w:t>
      </w:r>
      <w:r w:rsidR="00AC5938" w:rsidRPr="004F3E91">
        <w:rPr>
          <w:rFonts w:ascii="Palatino Linotype" w:hAnsi="Palatino Linotype"/>
        </w:rPr>
        <w:t xml:space="preserve"> Violación a sus derechos humanos. </w:t>
      </w:r>
    </w:p>
    <w:p w14:paraId="736E7AF4" w14:textId="77777777" w:rsidR="00AC5938" w:rsidRPr="004F3E91" w:rsidRDefault="00AC5938" w:rsidP="00AC5938">
      <w:pPr>
        <w:pStyle w:val="Prrafodelista"/>
        <w:rPr>
          <w:rFonts w:ascii="Palatino Linotype" w:hAnsi="Palatino Linotype"/>
        </w:rPr>
      </w:pPr>
    </w:p>
    <w:p w14:paraId="0B3A5CF7"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795DFD" w14:textId="77777777" w:rsidR="00AC5938" w:rsidRPr="004F3E91"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BD464F5"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 xml:space="preserve">Argumento que encuentra sustento en la jurisprudencia P./J. 32/92 emitida por el Pleno de la Suprema Corte de Justicia de la Nación de rubro </w:t>
      </w:r>
      <w:r w:rsidRPr="004F3E91">
        <w:rPr>
          <w:rFonts w:ascii="Palatino Linotype" w:hAnsi="Palatino Linotype"/>
          <w:b/>
          <w:i/>
        </w:rPr>
        <w:t>“TÉRMINOS PROCESALES. PARA DETERMINAR SI UN FUNCIONARIO JUDICIAL ACTUÓ INDEBIDAMENTE POR NO RESPETARLOS SE DEBE ATENDER AL PRESUPUESTO QUE CONSIDERÓ EL LEGISLADOR AL FIJARLOS Y LAS CARACTERÍSTICAS DEL CASO.”</w:t>
      </w:r>
      <w:r w:rsidRPr="004F3E91">
        <w:rPr>
          <w:rFonts w:ascii="Palatino Linotype" w:hAnsi="Palatino Linotype"/>
        </w:rPr>
        <w:t>, visible en la Gaceta del Seminario Judicial de la Federación con el registro digital 205635.</w:t>
      </w:r>
    </w:p>
    <w:p w14:paraId="3C89741B" w14:textId="77777777" w:rsidR="00AC5938" w:rsidRPr="004F3E91" w:rsidRDefault="00AC5938" w:rsidP="00AC5938">
      <w:pPr>
        <w:pStyle w:val="Prrafodelista"/>
        <w:rPr>
          <w:rFonts w:ascii="Palatino Linotype" w:hAnsi="Palatino Linotype"/>
        </w:rPr>
      </w:pPr>
    </w:p>
    <w:p w14:paraId="3C03E964" w14:textId="77777777"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4F3E91">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6B703BCE" w14:textId="77777777" w:rsidR="00AC5938" w:rsidRPr="004F3E91" w:rsidRDefault="00AC5938" w:rsidP="00AC5938">
      <w:pPr>
        <w:pStyle w:val="Prrafodelista"/>
        <w:rPr>
          <w:rFonts w:ascii="Palatino Linotype" w:hAnsi="Palatino Linotype"/>
        </w:rPr>
      </w:pPr>
    </w:p>
    <w:p w14:paraId="503630B2" w14:textId="7D1D631D" w:rsidR="00AC5938" w:rsidRPr="004F3E91"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F3E9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9F704E4" w14:textId="77777777" w:rsidR="00AC5938" w:rsidRPr="004F3E91" w:rsidRDefault="00AC5938" w:rsidP="00AC5938">
      <w:pPr>
        <w:spacing w:before="240" w:after="240" w:line="360" w:lineRule="auto"/>
        <w:ind w:left="708"/>
        <w:jc w:val="both"/>
        <w:rPr>
          <w:rFonts w:ascii="Palatino Linotype" w:hAnsi="Palatino Linotype"/>
        </w:rPr>
      </w:pPr>
      <w:r w:rsidRPr="004F3E91">
        <w:rPr>
          <w:rFonts w:ascii="Palatino Linotype" w:hAnsi="Palatino Linotype"/>
          <w:b/>
          <w:i/>
        </w:rPr>
        <w:t>“PLAZO RAZONABLE PARA RESOLVER. DIMENSIÓN Y EFECTOS DE ESTE CONCEPTO CUANDO SE ADUCE EXCESIVA CARGA DE TRABAJO.”</w:t>
      </w:r>
      <w:r w:rsidRPr="004F3E91">
        <w:rPr>
          <w:rFonts w:ascii="Palatino Linotype" w:hAnsi="Palatino Linotype"/>
        </w:rPr>
        <w:t xml:space="preserve"> consultable en el Seminario Judicial de la Federación y su gaceta, con el registro digital 2002351.</w:t>
      </w:r>
    </w:p>
    <w:p w14:paraId="24836BB5" w14:textId="77777777" w:rsidR="00AC5938" w:rsidRPr="004F3E91" w:rsidRDefault="00AC5938" w:rsidP="00AC5938">
      <w:pPr>
        <w:spacing w:before="240" w:after="240" w:line="360" w:lineRule="auto"/>
        <w:ind w:left="708"/>
        <w:jc w:val="both"/>
        <w:rPr>
          <w:rFonts w:ascii="Palatino Linotype" w:hAnsi="Palatino Linotype"/>
        </w:rPr>
      </w:pPr>
      <w:r w:rsidRPr="004F3E91">
        <w:rPr>
          <w:rFonts w:ascii="Palatino Linotype" w:hAnsi="Palatino Linotype"/>
          <w:b/>
          <w:i/>
        </w:rPr>
        <w:t>“PLAZO RAZONABLE PARA RESOLVER. CONCEPTO Y ELEMENTOS QUE LO INTEGRAN A LA LUZ DEL DERECHO INTERNACIONAL DE LOS DERECHOS HUMANOS.”</w:t>
      </w:r>
      <w:r w:rsidRPr="004F3E91">
        <w:rPr>
          <w:rFonts w:ascii="Palatino Linotype" w:hAnsi="Palatino Linotype"/>
        </w:rPr>
        <w:t>, visible en el Seminario Judicial de la Federación y su gaceta, con el registro digital 2002350.</w:t>
      </w:r>
    </w:p>
    <w:p w14:paraId="60C7C02A" w14:textId="4B731874" w:rsidR="00AC5938" w:rsidRPr="004F3E91" w:rsidRDefault="00AC5938" w:rsidP="00B07863">
      <w:pPr>
        <w:pStyle w:val="Prrafodelista"/>
        <w:numPr>
          <w:ilvl w:val="0"/>
          <w:numId w:val="2"/>
        </w:numPr>
        <w:spacing w:before="240" w:after="240" w:line="360" w:lineRule="auto"/>
        <w:ind w:left="0" w:firstLine="0"/>
        <w:jc w:val="both"/>
        <w:rPr>
          <w:rFonts w:ascii="Palatino Linotype" w:hAnsi="Palatino Linotype"/>
        </w:rPr>
      </w:pPr>
      <w:r w:rsidRPr="004F3E91">
        <w:rPr>
          <w:rFonts w:ascii="Palatino Linotype" w:hAnsi="Palatino Linotype"/>
        </w:rPr>
        <w:t>Por ello, este organismo garante comprometido con la tutela de los derechos humanos confiados, señala que este exceso del plazo legal para resolver el presente asunto, resulta de carácter excepcional</w:t>
      </w:r>
      <w:r w:rsidR="00432D8A" w:rsidRPr="004F3E91">
        <w:rPr>
          <w:rFonts w:ascii="Palatino Linotype" w:hAnsi="Palatino Linotype"/>
        </w:rPr>
        <w:t>.</w:t>
      </w:r>
    </w:p>
    <w:p w14:paraId="1A06EC63" w14:textId="62BD69F5" w:rsidR="0028674A" w:rsidRPr="004F3E91" w:rsidRDefault="0028674A" w:rsidP="00342812">
      <w:pPr>
        <w:spacing w:line="360" w:lineRule="auto"/>
        <w:jc w:val="both"/>
        <w:rPr>
          <w:rFonts w:ascii="Palatino Linotype" w:hAnsi="Palatino Linotype"/>
          <w:lang w:val="es-ES_tradnl" w:eastAsia="en-US"/>
        </w:rPr>
      </w:pPr>
      <w:bookmarkStart w:id="6" w:name="_Toc68804758"/>
    </w:p>
    <w:p w14:paraId="494F97AD" w14:textId="77777777" w:rsidR="00EA0165" w:rsidRPr="004F3E91"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7" w:name="_Toc105085569"/>
      <w:r w:rsidRPr="004F3E91">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4F3E91"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4F3E91"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5570"/>
      <w:r w:rsidRPr="004F3E91">
        <w:rPr>
          <w:rFonts w:ascii="Palatino Linotype" w:hAnsi="Palatino Linotype"/>
          <w:b/>
          <w:color w:val="000000" w:themeColor="text1"/>
          <w:sz w:val="24"/>
          <w:szCs w:val="24"/>
          <w:lang w:val="es-MX" w:eastAsia="en-US"/>
        </w:rPr>
        <w:t>PRIMERO. De la competencia</w:t>
      </w:r>
      <w:bookmarkEnd w:id="8"/>
      <w:bookmarkEnd w:id="9"/>
      <w:bookmarkEnd w:id="10"/>
      <w:r w:rsidR="00537427" w:rsidRPr="004F3E91">
        <w:rPr>
          <w:rFonts w:ascii="Palatino Linotype" w:hAnsi="Palatino Linotype"/>
          <w:b/>
          <w:color w:val="000000" w:themeColor="text1"/>
          <w:sz w:val="24"/>
          <w:szCs w:val="24"/>
          <w:lang w:val="es-MX" w:eastAsia="en-US"/>
        </w:rPr>
        <w:t>.</w:t>
      </w:r>
      <w:bookmarkEnd w:id="11"/>
    </w:p>
    <w:p w14:paraId="341F67EC" w14:textId="77777777" w:rsidR="00EA0165" w:rsidRPr="004F3E91"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4F3E91" w:rsidRDefault="00EA0165" w:rsidP="00B07863">
      <w:pPr>
        <w:pStyle w:val="Prrafodelista"/>
        <w:numPr>
          <w:ilvl w:val="0"/>
          <w:numId w:val="2"/>
        </w:numPr>
        <w:tabs>
          <w:tab w:val="left" w:pos="0"/>
        </w:tabs>
        <w:spacing w:line="360" w:lineRule="auto"/>
        <w:ind w:left="0" w:firstLine="0"/>
        <w:contextualSpacing/>
        <w:jc w:val="both"/>
        <w:rPr>
          <w:rFonts w:ascii="Palatino Linotype" w:eastAsia="MS Mincho" w:hAnsi="Palatino Linotype"/>
          <w:lang w:val="es-ES_tradnl"/>
        </w:rPr>
      </w:pPr>
      <w:r w:rsidRPr="004F3E91">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F3E91">
        <w:rPr>
          <w:rFonts w:ascii="Palatino Linotype" w:eastAsia="Calibri" w:hAnsi="Palatino Linotype"/>
          <w:b/>
        </w:rPr>
        <w:t>Constitución Política de los Estados Unidos Mexicanos</w:t>
      </w:r>
      <w:r w:rsidRPr="004F3E91">
        <w:rPr>
          <w:rFonts w:ascii="Palatino Linotype" w:eastAsia="Calibri" w:hAnsi="Palatino Linotype"/>
        </w:rPr>
        <w:t xml:space="preserve">; </w:t>
      </w:r>
      <w:r w:rsidRPr="004F3E91">
        <w:rPr>
          <w:rFonts w:ascii="Palatino Linotype" w:eastAsia="Calibri" w:hAnsi="Palatino Linotype" w:cs="Arial"/>
          <w:bCs/>
          <w:color w:val="222222"/>
          <w:shd w:val="clear" w:color="auto" w:fill="FFFFFF"/>
          <w:lang w:eastAsia="en-US"/>
        </w:rPr>
        <w:t>5, párrafo</w:t>
      </w:r>
      <w:r w:rsidR="00543BF9" w:rsidRPr="004F3E91">
        <w:rPr>
          <w:rFonts w:ascii="Palatino Linotype" w:eastAsia="Calibri" w:hAnsi="Palatino Linotype"/>
          <w:lang w:val="es-MX" w:eastAsia="en-US"/>
        </w:rPr>
        <w:t xml:space="preserve"> trigésimo, trigésimo primero y trigésimo segundo, fracciones I, II, III, IV y V</w:t>
      </w:r>
      <w:r w:rsidR="00543BF9" w:rsidRPr="004F3E91">
        <w:rPr>
          <w:rFonts w:ascii="Palatino Linotype" w:eastAsia="MS Mincho" w:hAnsi="Palatino Linotype"/>
          <w:lang w:val="es-ES_tradnl"/>
        </w:rPr>
        <w:t xml:space="preserve"> </w:t>
      </w:r>
      <w:r w:rsidRPr="004F3E91">
        <w:rPr>
          <w:rFonts w:ascii="Palatino Linotype" w:eastAsia="Calibri" w:hAnsi="Palatino Linotype"/>
        </w:rPr>
        <w:t xml:space="preserve">de la </w:t>
      </w:r>
      <w:r w:rsidRPr="004F3E91">
        <w:rPr>
          <w:rFonts w:ascii="Palatino Linotype" w:eastAsia="Calibri" w:hAnsi="Palatino Linotype"/>
          <w:b/>
        </w:rPr>
        <w:t>Constitución Política del Estado Libre y Soberano de México</w:t>
      </w:r>
      <w:r w:rsidRPr="004F3E91">
        <w:rPr>
          <w:rFonts w:ascii="Palatino Linotype" w:eastAsia="Calibri" w:hAnsi="Palatino Linotype"/>
        </w:rPr>
        <w:t xml:space="preserve">; artículos 1, 2 fracción II, 13, 29, 36 fracciones I y II, 176, 178, 179, 181 párrafo tercero y 185 </w:t>
      </w:r>
      <w:r w:rsidRPr="004F3E91">
        <w:rPr>
          <w:rFonts w:ascii="Palatino Linotype" w:eastAsia="Calibri" w:hAnsi="Palatino Linotype" w:cs="Arial"/>
        </w:rPr>
        <w:t xml:space="preserve">de la </w:t>
      </w:r>
      <w:r w:rsidRPr="004F3E91">
        <w:rPr>
          <w:rFonts w:ascii="Palatino Linotype" w:eastAsia="Calibri" w:hAnsi="Palatino Linotype" w:cs="Arial"/>
          <w:b/>
        </w:rPr>
        <w:t>Ley de Transparencia y Acceso a la Información Pública del Estado de México y Municipios</w:t>
      </w:r>
      <w:r w:rsidRPr="004F3E91">
        <w:rPr>
          <w:rFonts w:ascii="Palatino Linotype" w:eastAsia="Calibri" w:hAnsi="Palatino Linotype" w:cs="Arial"/>
        </w:rPr>
        <w:t xml:space="preserve">; </w:t>
      </w:r>
      <w:r w:rsidRPr="004F3E91">
        <w:rPr>
          <w:rFonts w:ascii="Palatino Linotype" w:eastAsia="Calibri" w:hAnsi="Palatino Linotype" w:cs="Arial"/>
          <w:b/>
        </w:rPr>
        <w:t>7, 9 fracciones I y XXIV, y 11</w:t>
      </w:r>
      <w:r w:rsidRPr="004F3E91">
        <w:rPr>
          <w:rFonts w:ascii="Palatino Linotype" w:eastAsia="Calibri" w:hAnsi="Palatino Linotype" w:cs="Arial"/>
        </w:rPr>
        <w:t xml:space="preserve"> del </w:t>
      </w:r>
      <w:r w:rsidRPr="004F3E91">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F3E91">
        <w:rPr>
          <w:rFonts w:ascii="Palatino Linotype" w:eastAsia="Calibri" w:hAnsi="Palatino Linotype" w:cs="Arial"/>
          <w:b/>
        </w:rPr>
        <w:t>.</w:t>
      </w:r>
    </w:p>
    <w:p w14:paraId="2879B7B2" w14:textId="77777777" w:rsidR="00D4070C" w:rsidRPr="004F3E91" w:rsidRDefault="00D4070C" w:rsidP="00F56D3C">
      <w:pPr>
        <w:pStyle w:val="Prrafodelista"/>
        <w:tabs>
          <w:tab w:val="left" w:pos="0"/>
        </w:tabs>
        <w:spacing w:line="360" w:lineRule="auto"/>
        <w:ind w:left="0"/>
        <w:contextualSpacing/>
        <w:jc w:val="both"/>
        <w:rPr>
          <w:rFonts w:ascii="Palatino Linotype" w:eastAsia="MS Mincho" w:hAnsi="Palatino Linotype"/>
          <w:lang w:val="es-ES_tradnl"/>
        </w:rPr>
      </w:pPr>
    </w:p>
    <w:p w14:paraId="343B0FCF" w14:textId="413622B7" w:rsidR="00EA0165" w:rsidRPr="004F3E91" w:rsidRDefault="00EA0165" w:rsidP="00F56D3C">
      <w:pPr>
        <w:pStyle w:val="Ttulo1"/>
        <w:spacing w:before="0"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5571"/>
      <w:r w:rsidRPr="004F3E91">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6309DD7C" w14:textId="77777777" w:rsidR="004B36A7" w:rsidRPr="004F3E91" w:rsidRDefault="004B36A7" w:rsidP="00F56D3C">
      <w:pPr>
        <w:pStyle w:val="Prrafodelista"/>
        <w:spacing w:line="360" w:lineRule="auto"/>
        <w:ind w:left="0" w:right="49"/>
        <w:contextualSpacing/>
        <w:jc w:val="both"/>
        <w:rPr>
          <w:rFonts w:ascii="Palatino Linotype" w:hAnsi="Palatino Linotype"/>
          <w:lang w:val="es-ES_tradnl"/>
        </w:rPr>
      </w:pPr>
    </w:p>
    <w:p w14:paraId="07B3829A" w14:textId="083DEFDF" w:rsidR="0062756C" w:rsidRPr="004F3E91" w:rsidRDefault="00EA0165" w:rsidP="00B07863">
      <w:pPr>
        <w:pStyle w:val="Prrafodelista"/>
        <w:numPr>
          <w:ilvl w:val="0"/>
          <w:numId w:val="2"/>
        </w:numPr>
        <w:spacing w:line="360" w:lineRule="auto"/>
        <w:ind w:left="0" w:right="49" w:firstLine="0"/>
        <w:contextualSpacing/>
        <w:jc w:val="both"/>
        <w:rPr>
          <w:rFonts w:ascii="Palatino Linotype" w:hAnsi="Palatino Linotype"/>
          <w:lang w:val="es-ES_tradnl"/>
        </w:rPr>
      </w:pPr>
      <w:r w:rsidRPr="004F3E91">
        <w:rPr>
          <w:rFonts w:ascii="Palatino Linotype" w:eastAsia="Calibri" w:hAnsi="Palatino Linotype" w:cs="Arial"/>
          <w:lang w:val="es-ES_tradnl"/>
        </w:rPr>
        <w:t>El medio de impugnación fue presentado a través del SAIMEX</w:t>
      </w:r>
      <w:r w:rsidRPr="004F3E91">
        <w:rPr>
          <w:rFonts w:ascii="Palatino Linotype" w:eastAsia="Calibri" w:hAnsi="Palatino Linotype" w:cs="Arial"/>
          <w:b/>
          <w:lang w:val="es-ES_tradnl"/>
        </w:rPr>
        <w:t>,</w:t>
      </w:r>
      <w:r w:rsidRPr="004F3E91">
        <w:rPr>
          <w:rFonts w:ascii="Palatino Linotype" w:eastAsia="Calibri" w:hAnsi="Palatino Linotype" w:cs="Arial"/>
          <w:lang w:val="es-ES_tradnl"/>
        </w:rPr>
        <w:t xml:space="preserve"> en el formato previamente aprobado para tal efecto y dentro del plazo legal de </w:t>
      </w:r>
      <w:r w:rsidR="00D4070C" w:rsidRPr="004F3E91">
        <w:rPr>
          <w:rFonts w:ascii="Palatino Linotype" w:eastAsia="Calibri" w:hAnsi="Palatino Linotype" w:cs="Arial"/>
          <w:lang w:val="es-ES_tradnl"/>
        </w:rPr>
        <w:t>15</w:t>
      </w:r>
      <w:r w:rsidRPr="004F3E91">
        <w:rPr>
          <w:rFonts w:ascii="Palatino Linotype" w:eastAsia="Calibri" w:hAnsi="Palatino Linotype" w:cs="Arial"/>
          <w:lang w:val="es-ES_tradnl"/>
        </w:rPr>
        <w:t xml:space="preserve"> días hábiles otorgados; para el caso en </w:t>
      </w:r>
      <w:r w:rsidR="00BD6857" w:rsidRPr="004F3E91">
        <w:rPr>
          <w:rFonts w:ascii="Palatino Linotype" w:eastAsia="Calibri" w:hAnsi="Palatino Linotype" w:cs="Arial"/>
          <w:lang w:val="es-ES_tradnl"/>
        </w:rPr>
        <w:t xml:space="preserve">particular es de señalar que si el </w:t>
      </w:r>
      <w:r w:rsidRPr="004F3E91">
        <w:rPr>
          <w:rFonts w:ascii="Palatino Linotype" w:eastAsia="Calibri" w:hAnsi="Palatino Linotype" w:cs="Arial"/>
          <w:b/>
          <w:lang w:val="es-ES_tradnl"/>
        </w:rPr>
        <w:t>SUJETO OBLIGADO</w:t>
      </w:r>
      <w:r w:rsidRPr="004F3E91">
        <w:rPr>
          <w:rFonts w:ascii="Palatino Linotype" w:eastAsia="Calibri" w:hAnsi="Palatino Linotype" w:cs="Arial"/>
          <w:lang w:val="es-ES_tradnl"/>
        </w:rPr>
        <w:t xml:space="preserve"> entregó respuesta el </w:t>
      </w:r>
      <w:r w:rsidR="00C424B1" w:rsidRPr="004F3E91">
        <w:rPr>
          <w:rFonts w:ascii="Palatino Linotype" w:eastAsia="Calibri" w:hAnsi="Palatino Linotype" w:cs="Arial"/>
          <w:lang w:val="es-ES_tradnl"/>
        </w:rPr>
        <w:t>nueve (09</w:t>
      </w:r>
      <w:r w:rsidR="00F930FF" w:rsidRPr="004F3E91">
        <w:rPr>
          <w:rFonts w:ascii="Palatino Linotype" w:eastAsia="Calibri" w:hAnsi="Palatino Linotype" w:cs="Arial"/>
          <w:lang w:val="es-ES_tradnl"/>
        </w:rPr>
        <w:t>) de marzo</w:t>
      </w:r>
      <w:r w:rsidR="00600000" w:rsidRPr="004F3E91">
        <w:rPr>
          <w:rFonts w:ascii="Palatino Linotype" w:eastAsia="Calibri" w:hAnsi="Palatino Linotype" w:cs="Arial"/>
          <w:lang w:val="es-ES_tradnl"/>
        </w:rPr>
        <w:t xml:space="preserve"> </w:t>
      </w:r>
      <w:r w:rsidRPr="004F3E91">
        <w:rPr>
          <w:rFonts w:ascii="Palatino Linotype" w:eastAsia="Calibri" w:hAnsi="Palatino Linotype" w:cs="Arial"/>
          <w:lang w:val="es-ES_tradnl"/>
        </w:rPr>
        <w:t xml:space="preserve">de dos mil </w:t>
      </w:r>
      <w:r w:rsidR="007D3B14" w:rsidRPr="004F3E91">
        <w:rPr>
          <w:rFonts w:ascii="Palatino Linotype" w:eastAsia="Calibri" w:hAnsi="Palatino Linotype" w:cs="Arial"/>
          <w:lang w:val="es-ES_tradnl"/>
        </w:rPr>
        <w:t>veintidós</w:t>
      </w:r>
      <w:r w:rsidR="00C424B1" w:rsidRPr="004F3E91">
        <w:rPr>
          <w:rFonts w:ascii="Palatino Linotype" w:eastAsia="Calibri" w:hAnsi="Palatino Linotype" w:cs="Arial"/>
          <w:lang w:val="es-MX" w:eastAsia="en-US"/>
        </w:rPr>
        <w:t xml:space="preserve">, </w:t>
      </w:r>
      <w:r w:rsidRPr="004F3E91">
        <w:rPr>
          <w:rFonts w:ascii="Palatino Linotype" w:eastAsia="Calibri" w:hAnsi="Palatino Linotype" w:cs="Arial"/>
          <w:lang w:val="es-MX" w:eastAsia="en-US"/>
        </w:rPr>
        <w:t>el plazo para interponer el recurso de rev</w:t>
      </w:r>
      <w:r w:rsidR="00E62DC6" w:rsidRPr="004F3E91">
        <w:rPr>
          <w:rFonts w:ascii="Palatino Linotype" w:eastAsia="Calibri" w:hAnsi="Palatino Linotype" w:cs="Arial"/>
          <w:lang w:val="es-MX" w:eastAsia="en-US"/>
        </w:rPr>
        <w:t xml:space="preserve">isión </w:t>
      </w:r>
      <w:r w:rsidR="00380587" w:rsidRPr="004F3E91">
        <w:rPr>
          <w:rFonts w:ascii="Palatino Linotype" w:eastAsia="Calibri" w:hAnsi="Palatino Linotype" w:cs="Arial"/>
          <w:lang w:val="es-MX" w:eastAsia="en-US"/>
        </w:rPr>
        <w:t>trascurrió del</w:t>
      </w:r>
      <w:r w:rsidR="003D6F01" w:rsidRPr="004F3E91">
        <w:rPr>
          <w:rFonts w:ascii="Palatino Linotype" w:eastAsia="Calibri" w:hAnsi="Palatino Linotype" w:cs="Arial"/>
          <w:lang w:val="es-MX" w:eastAsia="en-US"/>
        </w:rPr>
        <w:t xml:space="preserve"> </w:t>
      </w:r>
      <w:r w:rsidR="00C424B1" w:rsidRPr="004F3E91">
        <w:rPr>
          <w:rFonts w:ascii="Palatino Linotype" w:eastAsia="Calibri" w:hAnsi="Palatino Linotype" w:cs="Arial"/>
          <w:lang w:val="es-MX" w:eastAsia="en-US"/>
        </w:rPr>
        <w:t>diez (10) al treinta y uno (31) de marzo</w:t>
      </w:r>
      <w:r w:rsidR="0039699A" w:rsidRPr="004F3E91">
        <w:rPr>
          <w:rFonts w:ascii="Palatino Linotype" w:eastAsia="Calibri" w:hAnsi="Palatino Linotype" w:cs="Arial"/>
          <w:lang w:val="es-MX" w:eastAsia="en-US"/>
        </w:rPr>
        <w:t xml:space="preserve"> </w:t>
      </w:r>
      <w:r w:rsidR="00E62DC6" w:rsidRPr="004F3E91">
        <w:rPr>
          <w:rFonts w:ascii="Palatino Linotype" w:eastAsia="Calibri" w:hAnsi="Palatino Linotype" w:cs="Arial"/>
          <w:lang w:val="es-MX" w:eastAsia="en-US"/>
        </w:rPr>
        <w:t xml:space="preserve">de dos mil </w:t>
      </w:r>
      <w:r w:rsidR="00B82E47" w:rsidRPr="004F3E91">
        <w:rPr>
          <w:rFonts w:ascii="Palatino Linotype" w:eastAsia="Calibri" w:hAnsi="Palatino Linotype" w:cs="Arial"/>
          <w:lang w:val="es-MX" w:eastAsia="en-US"/>
        </w:rPr>
        <w:t>veintidós</w:t>
      </w:r>
      <w:r w:rsidR="0039699A" w:rsidRPr="004F3E91">
        <w:rPr>
          <w:rFonts w:ascii="Palatino Linotype" w:eastAsia="Calibri" w:hAnsi="Palatino Linotype" w:cs="Arial"/>
          <w:lang w:val="es-MX" w:eastAsia="en-US"/>
        </w:rPr>
        <w:t>.</w:t>
      </w:r>
      <w:r w:rsidR="00E62DC6" w:rsidRPr="004F3E91">
        <w:rPr>
          <w:rFonts w:ascii="Palatino Linotype" w:eastAsia="Calibri" w:hAnsi="Palatino Linotype" w:cs="Arial"/>
          <w:lang w:val="es-MX" w:eastAsia="en-US"/>
        </w:rPr>
        <w:t xml:space="preserve"> </w:t>
      </w:r>
      <w:r w:rsidR="0039699A" w:rsidRPr="004F3E91">
        <w:rPr>
          <w:rFonts w:ascii="Palatino Linotype" w:eastAsia="Calibri" w:hAnsi="Palatino Linotype" w:cs="Arial"/>
          <w:lang w:val="es-MX" w:eastAsia="en-US"/>
        </w:rPr>
        <w:t>P</w:t>
      </w:r>
      <w:r w:rsidRPr="004F3E91">
        <w:rPr>
          <w:rFonts w:ascii="Palatino Linotype" w:eastAsia="Calibri" w:hAnsi="Palatino Linotype" w:cs="Arial"/>
          <w:lang w:val="es-MX" w:eastAsia="en-US"/>
        </w:rPr>
        <w:t xml:space="preserve">or lo </w:t>
      </w:r>
      <w:r w:rsidR="00F930FF" w:rsidRPr="004F3E91">
        <w:rPr>
          <w:rFonts w:ascii="Palatino Linotype" w:eastAsia="Calibri" w:hAnsi="Palatino Linotype" w:cs="Arial"/>
          <w:lang w:val="es-MX" w:eastAsia="en-US"/>
        </w:rPr>
        <w:t xml:space="preserve">tanto, </w:t>
      </w:r>
      <w:r w:rsidRPr="004F3E91">
        <w:rPr>
          <w:rFonts w:ascii="Palatino Linotype" w:eastAsia="Calibri" w:hAnsi="Palatino Linotype" w:cs="Arial"/>
          <w:lang w:val="es-MX" w:eastAsia="en-US"/>
        </w:rPr>
        <w:t xml:space="preserve">si </w:t>
      </w:r>
      <w:r w:rsidR="00C424B1" w:rsidRPr="004F3E91">
        <w:rPr>
          <w:rFonts w:ascii="Palatino Linotype" w:eastAsia="Calibri" w:hAnsi="Palatino Linotype" w:cs="Arial"/>
          <w:lang w:val="es-MX" w:eastAsia="en-US"/>
        </w:rPr>
        <w:t>el</w:t>
      </w:r>
      <w:r w:rsidRPr="004F3E91">
        <w:rPr>
          <w:rFonts w:ascii="Palatino Linotype" w:eastAsia="Calibri" w:hAnsi="Palatino Linotype" w:cs="Arial"/>
          <w:lang w:val="es-MX" w:eastAsia="en-US"/>
        </w:rPr>
        <w:t xml:space="preserve"> particular i</w:t>
      </w:r>
      <w:r w:rsidR="00392E2B" w:rsidRPr="004F3E91">
        <w:rPr>
          <w:rFonts w:ascii="Palatino Linotype" w:eastAsia="Calibri" w:hAnsi="Palatino Linotype" w:cs="Arial"/>
          <w:lang w:val="es-MX" w:eastAsia="en-US"/>
        </w:rPr>
        <w:t>nterpus</w:t>
      </w:r>
      <w:r w:rsidR="00380587" w:rsidRPr="004F3E91">
        <w:rPr>
          <w:rFonts w:ascii="Palatino Linotype" w:eastAsia="Calibri" w:hAnsi="Palatino Linotype" w:cs="Arial"/>
          <w:lang w:val="es-MX" w:eastAsia="en-US"/>
        </w:rPr>
        <w:t xml:space="preserve">o </w:t>
      </w:r>
      <w:r w:rsidR="00F930FF" w:rsidRPr="004F3E91">
        <w:rPr>
          <w:rFonts w:ascii="Palatino Linotype" w:eastAsia="Calibri" w:hAnsi="Palatino Linotype" w:cs="Arial"/>
          <w:lang w:val="es-MX" w:eastAsia="en-US"/>
        </w:rPr>
        <w:t xml:space="preserve">el </w:t>
      </w:r>
      <w:r w:rsidR="00C928AF" w:rsidRPr="004F3E91">
        <w:rPr>
          <w:rFonts w:ascii="Palatino Linotype" w:eastAsia="Calibri" w:hAnsi="Palatino Linotype" w:cs="Arial"/>
          <w:lang w:val="es-MX" w:eastAsia="en-US"/>
        </w:rPr>
        <w:t>re</w:t>
      </w:r>
      <w:r w:rsidR="003D6F01" w:rsidRPr="004F3E91">
        <w:rPr>
          <w:rFonts w:ascii="Palatino Linotype" w:eastAsia="Calibri" w:hAnsi="Palatino Linotype" w:cs="Arial"/>
          <w:lang w:val="es-MX" w:eastAsia="en-US"/>
        </w:rPr>
        <w:t xml:space="preserve">curso de revisión </w:t>
      </w:r>
      <w:r w:rsidR="00F930FF" w:rsidRPr="004F3E91">
        <w:rPr>
          <w:rFonts w:ascii="Palatino Linotype" w:eastAsia="Calibri" w:hAnsi="Palatino Linotype" w:cs="Arial"/>
          <w:lang w:val="es-MX" w:eastAsia="en-US"/>
        </w:rPr>
        <w:t xml:space="preserve">que nos ocupa </w:t>
      </w:r>
      <w:r w:rsidR="003D6F01" w:rsidRPr="004F3E91">
        <w:rPr>
          <w:rFonts w:ascii="Palatino Linotype" w:eastAsia="Calibri" w:hAnsi="Palatino Linotype" w:cs="Arial"/>
          <w:lang w:val="es-MX" w:eastAsia="en-US"/>
        </w:rPr>
        <w:t xml:space="preserve">el </w:t>
      </w:r>
      <w:r w:rsidR="0039699A" w:rsidRPr="004F3E91">
        <w:rPr>
          <w:rFonts w:ascii="Palatino Linotype" w:eastAsia="Calibri" w:hAnsi="Palatino Linotype" w:cs="Arial"/>
          <w:lang w:val="es-MX" w:eastAsia="en-US"/>
        </w:rPr>
        <w:t>catorce (14)</w:t>
      </w:r>
      <w:r w:rsidR="00F930FF" w:rsidRPr="004F3E91">
        <w:rPr>
          <w:rFonts w:ascii="Palatino Linotype" w:eastAsia="Calibri" w:hAnsi="Palatino Linotype" w:cs="Arial"/>
          <w:lang w:val="es-MX" w:eastAsia="en-US"/>
        </w:rPr>
        <w:t xml:space="preserve"> marzo de dos mil veintidós</w:t>
      </w:r>
      <w:r w:rsidR="00B82E47" w:rsidRPr="004F3E91">
        <w:rPr>
          <w:rFonts w:ascii="Palatino Linotype" w:eastAsia="Calibri" w:hAnsi="Palatino Linotype" w:cs="Arial"/>
          <w:lang w:val="es-MX" w:eastAsia="en-US"/>
        </w:rPr>
        <w:t>,</w:t>
      </w:r>
      <w:r w:rsidR="00D4070C" w:rsidRPr="004F3E91">
        <w:rPr>
          <w:rFonts w:ascii="Palatino Linotype" w:eastAsia="Calibri" w:hAnsi="Palatino Linotype" w:cs="Arial"/>
          <w:lang w:val="es-MX" w:eastAsia="en-US"/>
        </w:rPr>
        <w:t xml:space="preserve"> éste</w:t>
      </w:r>
      <w:r w:rsidR="00B82E47" w:rsidRPr="004F3E91">
        <w:rPr>
          <w:rFonts w:ascii="Palatino Linotype" w:eastAsia="Calibri" w:hAnsi="Palatino Linotype" w:cs="Arial"/>
          <w:lang w:val="es-MX" w:eastAsia="en-US"/>
        </w:rPr>
        <w:t xml:space="preserve"> </w:t>
      </w:r>
      <w:r w:rsidRPr="004F3E91">
        <w:rPr>
          <w:rFonts w:ascii="Palatino Linotype" w:hAnsi="Palatino Linotype"/>
          <w:lang w:val="es-ES_tradnl"/>
        </w:rPr>
        <w:t xml:space="preserve">se encuentra dentro del periodo establecido por la Ley. </w:t>
      </w:r>
    </w:p>
    <w:p w14:paraId="7101F143" w14:textId="77777777" w:rsidR="00D4070C" w:rsidRPr="004F3E91" w:rsidRDefault="00D4070C" w:rsidP="00F56D3C">
      <w:pPr>
        <w:pStyle w:val="Prrafodelista"/>
        <w:spacing w:line="360" w:lineRule="auto"/>
        <w:ind w:left="0" w:right="49"/>
        <w:contextualSpacing/>
        <w:jc w:val="both"/>
        <w:rPr>
          <w:rFonts w:ascii="Palatino Linotype" w:hAnsi="Palatino Linotype"/>
          <w:lang w:val="es-ES_tradnl"/>
        </w:rPr>
      </w:pPr>
    </w:p>
    <w:p w14:paraId="0EB2E86A" w14:textId="71CAD439" w:rsidR="003669E8" w:rsidRPr="004F3E91" w:rsidRDefault="00C81739" w:rsidP="00F56D3C">
      <w:pPr>
        <w:pStyle w:val="Ttulo1"/>
        <w:spacing w:before="0" w:line="360" w:lineRule="auto"/>
        <w:jc w:val="both"/>
        <w:rPr>
          <w:rFonts w:ascii="Palatino Linotype" w:hAnsi="Palatino Linotype"/>
          <w:sz w:val="24"/>
          <w:szCs w:val="24"/>
          <w:lang w:eastAsia="es-ES_tradnl"/>
        </w:rPr>
      </w:pPr>
      <w:bookmarkStart w:id="16" w:name="_Toc105085575"/>
      <w:r w:rsidRPr="004F3E91">
        <w:rPr>
          <w:rFonts w:ascii="Palatino Linotype" w:eastAsia="MS Mincho" w:hAnsi="Palatino Linotype"/>
          <w:b/>
          <w:color w:val="000000" w:themeColor="text1"/>
          <w:sz w:val="24"/>
          <w:szCs w:val="24"/>
          <w:lang w:val="es-ES_tradnl"/>
        </w:rPr>
        <w:t>TERCERO</w:t>
      </w:r>
      <w:r w:rsidR="00992BC7" w:rsidRPr="004F3E91">
        <w:rPr>
          <w:rFonts w:ascii="Palatino Linotype" w:hAnsi="Palatino Linotype" w:cs="Times New Roman"/>
          <w:b/>
          <w:color w:val="000000" w:themeColor="text1"/>
          <w:sz w:val="24"/>
          <w:szCs w:val="24"/>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0065578F" w:rsidRPr="004F3E91">
        <w:rPr>
          <w:rFonts w:ascii="Palatino Linotype" w:hAnsi="Palatino Linotype" w:cs="Times New Roman"/>
          <w:b/>
          <w:color w:val="000000" w:themeColor="text1"/>
          <w:sz w:val="24"/>
          <w:szCs w:val="24"/>
        </w:rPr>
        <w:t xml:space="preserve"> </w:t>
      </w:r>
      <w:r w:rsidR="00EA0165" w:rsidRPr="004F3E91">
        <w:rPr>
          <w:rFonts w:ascii="Palatino Linotype" w:hAnsi="Palatino Linotype"/>
          <w:b/>
          <w:color w:val="000000" w:themeColor="text1"/>
          <w:sz w:val="24"/>
          <w:szCs w:val="24"/>
          <w:lang w:val="es-MX" w:eastAsia="en-US"/>
        </w:rPr>
        <w:t xml:space="preserve">Del planteamiento de la </w:t>
      </w:r>
      <w:r w:rsidR="00EA0165" w:rsidRPr="004F3E91">
        <w:rPr>
          <w:rFonts w:ascii="Palatino Linotype" w:hAnsi="Palatino Linotype"/>
          <w:b/>
          <w:i/>
          <w:color w:val="000000" w:themeColor="text1"/>
          <w:sz w:val="24"/>
          <w:szCs w:val="24"/>
          <w:lang w:val="es-MX" w:eastAsia="en-US"/>
        </w:rPr>
        <w:t>Litis.</w:t>
      </w:r>
      <w:bookmarkEnd w:id="16"/>
      <w:bookmarkEnd w:id="17"/>
      <w:bookmarkEnd w:id="18"/>
    </w:p>
    <w:p w14:paraId="590DDFEE" w14:textId="77777777" w:rsidR="004B36A7" w:rsidRPr="004F3E91" w:rsidRDefault="004B36A7" w:rsidP="00F56D3C">
      <w:pPr>
        <w:pStyle w:val="Prrafodelista"/>
        <w:spacing w:line="360" w:lineRule="auto"/>
        <w:ind w:left="0"/>
        <w:contextualSpacing/>
        <w:jc w:val="both"/>
        <w:rPr>
          <w:rFonts w:ascii="Palatino Linotype" w:hAnsi="Palatino Linotype"/>
          <w:lang w:val="es-ES_tradnl"/>
        </w:rPr>
      </w:pPr>
    </w:p>
    <w:p w14:paraId="6B097BE2" w14:textId="44291F22" w:rsidR="00D217A4" w:rsidRPr="004F3E91"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4F3E91">
        <w:rPr>
          <w:rFonts w:ascii="Palatino Linotype" w:hAnsi="Palatino Linotype" w:cs="Arial"/>
          <w:lang w:val="es-ES_tradnl"/>
        </w:rPr>
        <w:lastRenderedPageBreak/>
        <w:t xml:space="preserve">El recurso revisión tiene como finalidad reparar cualquier posible afectación al derecho de acceso a la información pública en términos </w:t>
      </w:r>
      <w:r w:rsidR="00983362" w:rsidRPr="004F3E91">
        <w:rPr>
          <w:rFonts w:ascii="Palatino Linotype" w:hAnsi="Palatino Linotype" w:cs="Arial"/>
          <w:lang w:val="es-ES_tradnl"/>
        </w:rPr>
        <w:t>del Título</w:t>
      </w:r>
      <w:r w:rsidRPr="004F3E91">
        <w:rPr>
          <w:rFonts w:ascii="Palatino Linotype" w:hAnsi="Palatino Linotype" w:cs="Arial"/>
          <w:lang w:val="es-ES_tradnl"/>
        </w:rPr>
        <w:t xml:space="preserve"> Octavo de la </w:t>
      </w:r>
      <w:r w:rsidRPr="004F3E91">
        <w:rPr>
          <w:rFonts w:ascii="Palatino Linotype" w:eastAsia="Calibri" w:hAnsi="Palatino Linotype" w:cs="Arial"/>
          <w:b/>
        </w:rPr>
        <w:t>Ley de Transparencia y Acceso a la Información Pública del Estado de México y Municipios</w:t>
      </w:r>
      <w:r w:rsidRPr="004F3E91">
        <w:rPr>
          <w:rFonts w:ascii="Palatino Linotype" w:hAnsi="Palatino Linotype" w:cs="Arial"/>
          <w:lang w:val="es-ES_tradnl"/>
        </w:rPr>
        <w:t xml:space="preserve"> y determinar la confirmación; revocación o modificación; desechamiento o sobreseimiento; y en su </w:t>
      </w:r>
      <w:r w:rsidRPr="004F3E91">
        <w:rPr>
          <w:rFonts w:ascii="Palatino Linotype" w:hAnsi="Palatino Linotype" w:cs="Arial"/>
          <w:bCs/>
          <w:lang w:val="es-ES_tradnl"/>
        </w:rPr>
        <w:t>caso</w:t>
      </w:r>
      <w:r w:rsidR="00983362" w:rsidRPr="004F3E91">
        <w:rPr>
          <w:rFonts w:ascii="Palatino Linotype" w:hAnsi="Palatino Linotype" w:cs="Arial"/>
          <w:b/>
          <w:lang w:val="es-ES_tradnl"/>
        </w:rPr>
        <w:t>,</w:t>
      </w:r>
      <w:r w:rsidRPr="004F3E91">
        <w:rPr>
          <w:rFonts w:ascii="Palatino Linotype" w:hAnsi="Palatino Linotype" w:cs="Arial"/>
          <w:b/>
          <w:lang w:val="es-ES_tradnl"/>
        </w:rPr>
        <w:t xml:space="preserve"> ordenar la entrega de la información,</w:t>
      </w:r>
      <w:r w:rsidRPr="004F3E91">
        <w:rPr>
          <w:rFonts w:ascii="Palatino Linotype" w:hAnsi="Palatino Linotype" w:cs="Arial"/>
          <w:lang w:val="es-ES_tradnl"/>
        </w:rPr>
        <w:t xml:space="preserve">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E5F6627" w14:textId="77777777" w:rsidR="00D217A4" w:rsidRPr="004F3E91" w:rsidRDefault="00D217A4" w:rsidP="00B07863">
      <w:pPr>
        <w:pStyle w:val="Prrafodelista"/>
        <w:tabs>
          <w:tab w:val="left" w:pos="426"/>
        </w:tabs>
        <w:spacing w:line="360" w:lineRule="auto"/>
        <w:ind w:left="0"/>
        <w:contextualSpacing/>
        <w:jc w:val="both"/>
        <w:rPr>
          <w:rFonts w:ascii="Palatino Linotype" w:hAnsi="Palatino Linotype"/>
          <w:i/>
          <w:lang w:val="es-ES_tradnl"/>
        </w:rPr>
      </w:pPr>
    </w:p>
    <w:p w14:paraId="6740679B" w14:textId="165225A5" w:rsidR="00983362" w:rsidRPr="004F3E91"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4F3E91">
        <w:rPr>
          <w:rFonts w:ascii="Palatino Linotype" w:eastAsia="MS Mincho" w:hAnsi="Palatino Linotype"/>
          <w:lang w:val="es-ES_tradnl"/>
        </w:rPr>
        <w:t>De las constancias en el expediente al rubro indicado, se despr</w:t>
      </w:r>
      <w:r w:rsidR="00BF059F" w:rsidRPr="004F3E91">
        <w:rPr>
          <w:rFonts w:ascii="Palatino Linotype" w:eastAsia="MS Mincho" w:hAnsi="Palatino Linotype"/>
          <w:lang w:val="es-ES_tradnl"/>
        </w:rPr>
        <w:t xml:space="preserve">ende que </w:t>
      </w:r>
      <w:r w:rsidR="00983362" w:rsidRPr="004F3E91">
        <w:rPr>
          <w:rFonts w:ascii="Palatino Linotype" w:eastAsia="MS Mincho" w:hAnsi="Palatino Linotype"/>
          <w:lang w:val="es-ES_tradnl"/>
        </w:rPr>
        <w:t>el</w:t>
      </w:r>
      <w:r w:rsidR="00BF059F" w:rsidRPr="004F3E91">
        <w:rPr>
          <w:rFonts w:ascii="Palatino Linotype" w:eastAsia="MS Mincho" w:hAnsi="Palatino Linotype"/>
          <w:lang w:val="es-ES_tradnl"/>
        </w:rPr>
        <w:t xml:space="preserve"> particular solicitó</w:t>
      </w:r>
      <w:r w:rsidR="00983362" w:rsidRPr="004F3E91">
        <w:rPr>
          <w:rFonts w:ascii="Palatino Linotype" w:eastAsia="MS Mincho" w:hAnsi="Palatino Linotype"/>
          <w:lang w:val="es-ES_tradnl"/>
        </w:rPr>
        <w:t xml:space="preserve"> </w:t>
      </w:r>
      <w:r w:rsidR="00C424B1" w:rsidRPr="004F3E91">
        <w:rPr>
          <w:rFonts w:ascii="Palatino Linotype" w:eastAsia="MS Mincho" w:hAnsi="Palatino Linotype"/>
          <w:lang w:val="es-ES_tradnl"/>
        </w:rPr>
        <w:t xml:space="preserve">las denuncias vecinales presentadas ante el municipio por exceso de ruido en el último año hasta esta fecha,  señalándose cuáles fueron presentadas a través de redes sociales, la Comisión Nacional de Derechos Humanos, por escrito, y en las sesiones de cabildo de abierto, así como las respuestas </w:t>
      </w:r>
      <w:r w:rsidR="00723ED3" w:rsidRPr="004F3E91">
        <w:rPr>
          <w:rFonts w:ascii="Palatino Linotype" w:eastAsia="MS Mincho" w:hAnsi="Palatino Linotype"/>
          <w:lang w:val="es-ES_tradnl"/>
        </w:rPr>
        <w:t>y seguimiento proveído a las mismas.</w:t>
      </w:r>
    </w:p>
    <w:p w14:paraId="64D82EE2" w14:textId="77777777" w:rsidR="00983362" w:rsidRPr="004F3E91" w:rsidRDefault="00983362" w:rsidP="00983362">
      <w:pPr>
        <w:pStyle w:val="Prrafodelista"/>
        <w:tabs>
          <w:tab w:val="left" w:pos="426"/>
        </w:tabs>
        <w:spacing w:line="360" w:lineRule="auto"/>
        <w:ind w:left="0"/>
        <w:contextualSpacing/>
        <w:jc w:val="both"/>
        <w:rPr>
          <w:rFonts w:ascii="Palatino Linotype" w:hAnsi="Palatino Linotype"/>
          <w:i/>
          <w:lang w:val="es-ES_tradnl"/>
        </w:rPr>
      </w:pPr>
    </w:p>
    <w:p w14:paraId="392050E4" w14:textId="029A0B3F" w:rsidR="004B36A7" w:rsidRPr="004F3E91" w:rsidRDefault="00393297"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4F3E91">
        <w:rPr>
          <w:rFonts w:ascii="Palatino Linotype" w:eastAsia="MS Mincho" w:hAnsi="Palatino Linotype"/>
          <w:lang w:val="es-ES_tradnl"/>
        </w:rPr>
        <w:t xml:space="preserve">En respuesta a la solicitud de información, el </w:t>
      </w:r>
      <w:r w:rsidRPr="004F3E91">
        <w:rPr>
          <w:rFonts w:ascii="Palatino Linotype" w:eastAsia="MS Mincho" w:hAnsi="Palatino Linotype"/>
          <w:b/>
          <w:bCs/>
          <w:lang w:val="es-ES_tradnl"/>
        </w:rPr>
        <w:t>SUJETO OBLIGADO</w:t>
      </w:r>
      <w:r w:rsidRPr="004F3E91">
        <w:rPr>
          <w:rFonts w:ascii="Palatino Linotype" w:eastAsia="MS Mincho" w:hAnsi="Palatino Linotype"/>
          <w:lang w:val="es-ES_tradnl"/>
        </w:rPr>
        <w:t xml:space="preserve"> </w:t>
      </w:r>
      <w:r w:rsidR="00723ED3" w:rsidRPr="004F3E91">
        <w:rPr>
          <w:rFonts w:ascii="Palatino Linotype" w:eastAsia="MS Mincho" w:hAnsi="Palatino Linotype"/>
          <w:lang w:val="es-ES_tradnl"/>
        </w:rPr>
        <w:t>entregó un listado con las denuncias ambientales en tema de ruido, registradas por la Dirección General de Medio Ambiente, del uno (01) de enero de dos mil veintiuno al quince (15) de febrero de dos mil veintidós, informó sobre el total de denuncias que se recibieron a través de redes sociales, así como a través de la Defensoría Municipal de Derechos Humanos</w:t>
      </w:r>
      <w:r w:rsidR="001E6925" w:rsidRPr="004F3E91">
        <w:rPr>
          <w:rFonts w:ascii="Palatino Linotype" w:eastAsia="MS Mincho" w:hAnsi="Palatino Linotype"/>
          <w:lang w:val="es-ES_tradnl"/>
        </w:rPr>
        <w:t xml:space="preserve">. Por </w:t>
      </w:r>
      <w:r w:rsidR="00723ED3" w:rsidRPr="004F3E91">
        <w:rPr>
          <w:rFonts w:ascii="Palatino Linotype" w:eastAsia="MS Mincho" w:hAnsi="Palatino Linotype"/>
          <w:lang w:val="es-ES_tradnl"/>
        </w:rPr>
        <w:t xml:space="preserve">otro lado, cambió la modalidad de entrega de la información respecto a las denuncias y su seguimiento documentativo a Consulta Directa o </w:t>
      </w:r>
      <w:r w:rsidR="00723ED3" w:rsidRPr="004F3E91">
        <w:rPr>
          <w:rFonts w:ascii="Palatino Linotype" w:eastAsia="MS Mincho" w:hAnsi="Palatino Linotype"/>
          <w:i/>
          <w:iCs/>
          <w:lang w:val="es-ES_tradnl"/>
        </w:rPr>
        <w:t>in situ</w:t>
      </w:r>
      <w:r w:rsidR="001E6925" w:rsidRPr="004F3E91">
        <w:rPr>
          <w:rFonts w:ascii="Palatino Linotype" w:eastAsia="MS Mincho" w:hAnsi="Palatino Linotype"/>
          <w:lang w:val="es-ES_tradnl"/>
        </w:rPr>
        <w:t>; asimismo, mediante tres Actas de Sesiones del Comité de Transparencia, pretendió justificar la clasificación de la información.</w:t>
      </w:r>
    </w:p>
    <w:p w14:paraId="5A787ED8" w14:textId="77777777" w:rsidR="004B36A7" w:rsidRPr="004F3E91" w:rsidRDefault="004B36A7" w:rsidP="00B07863">
      <w:pPr>
        <w:pStyle w:val="Prrafodelista"/>
        <w:tabs>
          <w:tab w:val="left" w:pos="426"/>
        </w:tabs>
        <w:spacing w:line="360" w:lineRule="auto"/>
        <w:ind w:left="0"/>
        <w:contextualSpacing/>
        <w:jc w:val="both"/>
        <w:rPr>
          <w:rFonts w:ascii="Palatino Linotype" w:hAnsi="Palatino Linotype"/>
          <w:i/>
          <w:lang w:val="es-ES_tradnl"/>
        </w:rPr>
      </w:pPr>
    </w:p>
    <w:p w14:paraId="22E5B958" w14:textId="7A54B174" w:rsidR="00D217A4" w:rsidRPr="004F3E91" w:rsidRDefault="004B36A7"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4F3E91">
        <w:rPr>
          <w:rFonts w:ascii="Palatino Linotype" w:eastAsia="MS Mincho" w:hAnsi="Palatino Linotype"/>
          <w:lang w:val="es-ES_tradnl"/>
        </w:rPr>
        <w:lastRenderedPageBreak/>
        <w:t xml:space="preserve">Derivado de lo anterior, </w:t>
      </w:r>
      <w:r w:rsidR="00B0049C" w:rsidRPr="004F3E91">
        <w:rPr>
          <w:rFonts w:ascii="Palatino Linotype" w:eastAsia="MS Mincho" w:hAnsi="Palatino Linotype"/>
          <w:lang w:val="es-ES_tradnl"/>
        </w:rPr>
        <w:t xml:space="preserve">la parte </w:t>
      </w:r>
      <w:r w:rsidRPr="004F3E91">
        <w:rPr>
          <w:rFonts w:ascii="Palatino Linotype" w:eastAsia="MS Mincho" w:hAnsi="Palatino Linotype"/>
          <w:b/>
          <w:lang w:val="es-ES_tradnl"/>
        </w:rPr>
        <w:t>RECURRENTE</w:t>
      </w:r>
      <w:r w:rsidRPr="004F3E91">
        <w:rPr>
          <w:rFonts w:ascii="Palatino Linotype" w:eastAsia="MS Mincho" w:hAnsi="Palatino Linotype"/>
          <w:lang w:val="es-ES_tradnl"/>
        </w:rPr>
        <w:t xml:space="preserve"> se inconformó mediante recurso de revisión presentado ante este Instituto,</w:t>
      </w:r>
      <w:r w:rsidR="00EA0165" w:rsidRPr="004F3E91">
        <w:rPr>
          <w:rFonts w:ascii="Palatino Linotype" w:eastAsia="MS Mincho" w:hAnsi="Palatino Linotype"/>
          <w:lang w:val="es-ES_tradnl"/>
        </w:rPr>
        <w:t xml:space="preserve"> </w:t>
      </w:r>
      <w:r w:rsidRPr="004F3E91">
        <w:rPr>
          <w:rFonts w:ascii="Palatino Linotype" w:eastAsia="MS Mincho" w:hAnsi="Palatino Linotype"/>
          <w:lang w:val="es-ES_tradnl"/>
        </w:rPr>
        <w:t>en el que señaló</w:t>
      </w:r>
      <w:r w:rsidR="00EA0165" w:rsidRPr="004F3E91">
        <w:rPr>
          <w:rFonts w:ascii="Palatino Linotype" w:eastAsia="MS Mincho" w:hAnsi="Palatino Linotype"/>
          <w:lang w:val="es-ES_tradnl"/>
        </w:rPr>
        <w:t xml:space="preserve"> como raz</w:t>
      </w:r>
      <w:r w:rsidR="00B153AD" w:rsidRPr="004F3E91">
        <w:rPr>
          <w:rFonts w:ascii="Palatino Linotype" w:eastAsia="MS Mincho" w:hAnsi="Palatino Linotype"/>
          <w:lang w:val="es-ES_tradnl"/>
        </w:rPr>
        <w:t xml:space="preserve">ones o motivos de inconformidad </w:t>
      </w:r>
      <w:r w:rsidR="00393297" w:rsidRPr="004F3E91">
        <w:rPr>
          <w:rFonts w:ascii="Palatino Linotype" w:eastAsia="MS Mincho" w:hAnsi="Palatino Linotype"/>
          <w:lang w:val="es-ES_tradnl"/>
        </w:rPr>
        <w:t>el cambio en la modalidad de entrega de la información</w:t>
      </w:r>
      <w:r w:rsidR="001E6925" w:rsidRPr="004F3E91">
        <w:rPr>
          <w:rFonts w:ascii="Palatino Linotype" w:eastAsia="MS Mincho" w:hAnsi="Palatino Linotype"/>
          <w:lang w:val="es-ES_tradnl"/>
        </w:rPr>
        <w:t>, la negativa en la entrega de la información y su clasificación</w:t>
      </w:r>
      <w:r w:rsidR="00B90D16" w:rsidRPr="004F3E91">
        <w:rPr>
          <w:rFonts w:ascii="Palatino Linotype" w:eastAsia="MS Mincho" w:hAnsi="Palatino Linotype"/>
          <w:lang w:val="es-ES_tradnl"/>
        </w:rPr>
        <w:t xml:space="preserve">.  </w:t>
      </w:r>
    </w:p>
    <w:p w14:paraId="44EC49A6" w14:textId="77777777" w:rsidR="00B153AD" w:rsidRPr="004F3E91" w:rsidRDefault="00B153AD" w:rsidP="00B07863">
      <w:pPr>
        <w:pStyle w:val="Prrafodelista"/>
        <w:tabs>
          <w:tab w:val="left" w:pos="426"/>
        </w:tabs>
        <w:spacing w:line="360" w:lineRule="auto"/>
        <w:ind w:left="0"/>
        <w:contextualSpacing/>
        <w:jc w:val="both"/>
        <w:rPr>
          <w:rFonts w:ascii="Palatino Linotype" w:hAnsi="Palatino Linotype"/>
          <w:i/>
          <w:lang w:val="es-ES_tradnl"/>
        </w:rPr>
      </w:pPr>
    </w:p>
    <w:p w14:paraId="4F030FC3" w14:textId="7B665CBE" w:rsidR="00D217A4" w:rsidRPr="004F3E91"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4F3E91">
        <w:rPr>
          <w:rFonts w:ascii="Palatino Linotype" w:eastAsia="MS Mincho" w:hAnsi="Palatino Linotype"/>
          <w:lang w:val="es-ES_tradnl"/>
        </w:rPr>
        <w:t xml:space="preserve">En ese sentido, el agravio del </w:t>
      </w:r>
      <w:r w:rsidR="004B36A7" w:rsidRPr="004F3E91">
        <w:rPr>
          <w:rFonts w:ascii="Palatino Linotype" w:eastAsia="MS Mincho" w:hAnsi="Palatino Linotype"/>
          <w:b/>
          <w:lang w:val="es-ES_tradnl"/>
        </w:rPr>
        <w:t>RECURRENTE</w:t>
      </w:r>
      <w:r w:rsidR="004B36A7" w:rsidRPr="004F3E91">
        <w:rPr>
          <w:rFonts w:ascii="Palatino Linotype" w:eastAsia="MS Mincho" w:hAnsi="Palatino Linotype"/>
          <w:lang w:val="es-ES_tradnl"/>
        </w:rPr>
        <w:t xml:space="preserve"> </w:t>
      </w:r>
      <w:r w:rsidRPr="004F3E91">
        <w:rPr>
          <w:rFonts w:ascii="Palatino Linotype" w:eastAsia="MS Mincho" w:hAnsi="Palatino Linotype"/>
          <w:lang w:val="es-ES_tradnl"/>
        </w:rPr>
        <w:t xml:space="preserve">consiste en que la respuesta proporcionada por el </w:t>
      </w:r>
      <w:r w:rsidRPr="004F3E91">
        <w:rPr>
          <w:rFonts w:ascii="Palatino Linotype" w:eastAsia="MS Mincho" w:hAnsi="Palatino Linotype"/>
          <w:b/>
          <w:lang w:val="es-ES_tradnl"/>
        </w:rPr>
        <w:t>SUJETO OBLIGADO</w:t>
      </w:r>
      <w:r w:rsidR="004B36A7" w:rsidRPr="004F3E91">
        <w:rPr>
          <w:rFonts w:ascii="Palatino Linotype" w:eastAsia="MS Mincho" w:hAnsi="Palatino Linotype"/>
          <w:lang w:val="es-ES_tradnl"/>
        </w:rPr>
        <w:t xml:space="preserve"> no garantizó</w:t>
      </w:r>
      <w:r w:rsidRPr="004F3E91">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4F3E91">
        <w:rPr>
          <w:rFonts w:ascii="Palatino Linotype" w:eastAsia="MS Mincho" w:hAnsi="Palatino Linotype"/>
          <w:lang w:val="es-ES_tradnl"/>
        </w:rPr>
        <w:t xml:space="preserve"> se deberá garantiza</w:t>
      </w:r>
      <w:r w:rsidR="00543427" w:rsidRPr="004F3E91">
        <w:rPr>
          <w:rFonts w:ascii="Palatino Linotype" w:eastAsia="MS Mincho" w:hAnsi="Palatino Linotype"/>
          <w:lang w:val="es-ES_tradnl"/>
        </w:rPr>
        <w:t>r que sea</w:t>
      </w:r>
      <w:r w:rsidR="00F65A46" w:rsidRPr="004F3E91">
        <w:rPr>
          <w:rFonts w:ascii="Palatino Linotype" w:eastAsia="MS Mincho" w:hAnsi="Palatino Linotype"/>
          <w:lang w:val="es-ES_tradnl"/>
        </w:rPr>
        <w:t xml:space="preserve"> </w:t>
      </w:r>
      <w:r w:rsidR="001E6925" w:rsidRPr="004F3E91">
        <w:rPr>
          <w:rFonts w:ascii="Palatino Linotype" w:eastAsia="MS Mincho" w:hAnsi="Palatino Linotype"/>
          <w:b/>
          <w:lang w:val="es-ES_tradnl"/>
        </w:rPr>
        <w:t xml:space="preserve">accesible </w:t>
      </w:r>
      <w:r w:rsidR="001E6925" w:rsidRPr="004F3E91">
        <w:rPr>
          <w:rFonts w:ascii="Palatino Linotype" w:eastAsia="MS Mincho" w:hAnsi="Palatino Linotype"/>
          <w:bCs/>
          <w:lang w:val="es-ES_tradnl"/>
        </w:rPr>
        <w:t xml:space="preserve">y </w:t>
      </w:r>
      <w:r w:rsidR="001E6925" w:rsidRPr="004F3E91">
        <w:rPr>
          <w:rFonts w:ascii="Palatino Linotype" w:eastAsia="MS Mincho" w:hAnsi="Palatino Linotype"/>
          <w:b/>
          <w:lang w:val="es-ES_tradnl"/>
        </w:rPr>
        <w:t>sujeta a un régimen limitado de excepciones</w:t>
      </w:r>
      <w:r w:rsidR="00B90D16" w:rsidRPr="004F3E91">
        <w:rPr>
          <w:rFonts w:ascii="Palatino Linotype" w:eastAsia="MS Mincho" w:hAnsi="Palatino Linotype"/>
          <w:lang w:val="es-ES_tradnl"/>
        </w:rPr>
        <w:t xml:space="preserve">. </w:t>
      </w:r>
    </w:p>
    <w:p w14:paraId="35853B1F" w14:textId="77777777" w:rsidR="00D217A4" w:rsidRPr="004F3E91" w:rsidRDefault="00D217A4" w:rsidP="00B07863">
      <w:pPr>
        <w:pStyle w:val="Prrafodelista"/>
        <w:tabs>
          <w:tab w:val="left" w:pos="426"/>
        </w:tabs>
        <w:spacing w:line="360" w:lineRule="auto"/>
        <w:ind w:left="0"/>
        <w:jc w:val="both"/>
        <w:rPr>
          <w:rFonts w:ascii="Palatino Linotype" w:eastAsia="MS Mincho" w:hAnsi="Palatino Linotype"/>
          <w:lang w:val="es-ES_tradnl"/>
        </w:rPr>
      </w:pPr>
    </w:p>
    <w:p w14:paraId="5162A17C" w14:textId="5B32D4E0" w:rsidR="00286C23" w:rsidRPr="004F3E91" w:rsidRDefault="00C81739" w:rsidP="00F56D3C">
      <w:pPr>
        <w:pStyle w:val="Ttulo1"/>
        <w:spacing w:before="0" w:after="240" w:line="360" w:lineRule="auto"/>
        <w:jc w:val="both"/>
        <w:rPr>
          <w:rFonts w:ascii="Palatino Linotype" w:hAnsi="Palatino Linotype"/>
          <w:b/>
          <w:color w:val="000000" w:themeColor="text1"/>
          <w:sz w:val="24"/>
          <w:szCs w:val="24"/>
          <w:lang w:val="es-MX" w:eastAsia="en-US"/>
        </w:rPr>
      </w:pPr>
      <w:bookmarkStart w:id="36" w:name="_Toc68804767"/>
      <w:bookmarkStart w:id="37" w:name="_Toc105085576"/>
      <w:bookmarkStart w:id="38" w:name="_Toc459174366"/>
      <w:bookmarkStart w:id="39" w:name="_Toc459659884"/>
      <w:bookmarkStart w:id="40" w:name="_Toc461687280"/>
      <w:bookmarkStart w:id="41" w:name="_Toc462771051"/>
      <w:bookmarkStart w:id="42" w:name="_Toc464139201"/>
      <w:r w:rsidRPr="004F3E91">
        <w:rPr>
          <w:rFonts w:ascii="Palatino Linotype" w:hAnsi="Palatino Linotype"/>
          <w:b/>
          <w:color w:val="000000" w:themeColor="text1"/>
          <w:sz w:val="24"/>
          <w:szCs w:val="24"/>
          <w:lang w:val="es-MX" w:eastAsia="en-US"/>
        </w:rPr>
        <w:t>CUARTO</w:t>
      </w:r>
      <w:r w:rsidR="00F041CF" w:rsidRPr="004F3E91">
        <w:rPr>
          <w:rFonts w:ascii="Palatino Linotype" w:hAnsi="Palatino Linotype"/>
          <w:b/>
          <w:color w:val="000000" w:themeColor="text1"/>
          <w:sz w:val="24"/>
          <w:szCs w:val="24"/>
          <w:lang w:val="es-MX" w:eastAsia="en-US"/>
        </w:rPr>
        <w:t>. Estudio y r</w:t>
      </w:r>
      <w:r w:rsidR="00EA0165" w:rsidRPr="004F3E91">
        <w:rPr>
          <w:rFonts w:ascii="Palatino Linotype" w:hAnsi="Palatino Linotype"/>
          <w:b/>
          <w:color w:val="000000" w:themeColor="text1"/>
          <w:sz w:val="24"/>
          <w:szCs w:val="24"/>
          <w:lang w:val="es-MX" w:eastAsia="en-US"/>
        </w:rPr>
        <w:t>esolución del asunto.</w:t>
      </w:r>
      <w:bookmarkEnd w:id="36"/>
      <w:bookmarkEnd w:id="37"/>
    </w:p>
    <w:p w14:paraId="09A5BF5B" w14:textId="00448407" w:rsidR="00286C23" w:rsidRPr="004F3E91" w:rsidRDefault="00286C23" w:rsidP="00AF12E2">
      <w:pPr>
        <w:pStyle w:val="Prrafodelista"/>
        <w:numPr>
          <w:ilvl w:val="0"/>
          <w:numId w:val="3"/>
        </w:numPr>
        <w:tabs>
          <w:tab w:val="left" w:pos="426"/>
        </w:tabs>
        <w:spacing w:line="360" w:lineRule="auto"/>
        <w:ind w:left="0" w:right="51" w:firstLine="0"/>
        <w:contextualSpacing/>
        <w:jc w:val="both"/>
        <w:outlineLvl w:val="1"/>
        <w:rPr>
          <w:rFonts w:ascii="Palatino Linotype" w:eastAsiaTheme="minorEastAsia" w:hAnsi="Palatino Linotype" w:cstheme="minorBidi"/>
          <w:b/>
          <w:bCs/>
          <w:color w:val="000000" w:themeColor="text1"/>
          <w:lang w:val="es-MX"/>
        </w:rPr>
      </w:pPr>
      <w:bookmarkStart w:id="43" w:name="_Toc105085577"/>
      <w:r w:rsidRPr="004F3E91">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3"/>
    </w:p>
    <w:p w14:paraId="5F89B3A4" w14:textId="77777777" w:rsidR="00367725" w:rsidRPr="004F3E91"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4F3E91" w:rsidRDefault="00286C23" w:rsidP="00B07863">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eastAsiaTheme="minorEastAsia" w:hAnsi="Palatino Linotype" w:cstheme="minorBidi"/>
          <w:color w:val="000000" w:themeColor="text1"/>
          <w:lang w:val="es-MX"/>
        </w:rPr>
        <w:t>Es menester precisar</w:t>
      </w:r>
      <w:r w:rsidRPr="004F3E91">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F3E91">
        <w:rPr>
          <w:rFonts w:ascii="Palatino Linotype" w:eastAsiaTheme="minorEastAsia" w:hAnsi="Palatino Linotype" w:cstheme="minorBidi"/>
          <w:b/>
          <w:bCs/>
          <w:color w:val="000000" w:themeColor="text1"/>
          <w:lang w:val="es-MX"/>
        </w:rPr>
        <w:t>SUJETO OBLIGADO</w:t>
      </w:r>
      <w:r w:rsidRPr="004F3E91">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w:t>
      </w:r>
      <w:r w:rsidRPr="004F3E91">
        <w:rPr>
          <w:rFonts w:ascii="Palatino Linotype" w:eastAsiaTheme="minorEastAsia" w:hAnsi="Palatino Linotype" w:cstheme="minorBidi"/>
          <w:bCs/>
          <w:color w:val="000000" w:themeColor="text1"/>
          <w:lang w:val="es-MX"/>
        </w:rPr>
        <w:lastRenderedPageBreak/>
        <w:t xml:space="preserve">según lo dispone el tercer párrafo del artículo primero de la </w:t>
      </w:r>
      <w:r w:rsidRPr="004F3E91">
        <w:rPr>
          <w:rFonts w:ascii="Palatino Linotype" w:eastAsiaTheme="minorEastAsia" w:hAnsi="Palatino Linotype" w:cstheme="minorBidi"/>
          <w:b/>
          <w:bCs/>
          <w:color w:val="000000" w:themeColor="text1"/>
          <w:lang w:val="es-MX"/>
        </w:rPr>
        <w:t>Constitución Política de los Estados Unidos Mexicanos</w:t>
      </w:r>
      <w:r w:rsidRPr="004F3E91">
        <w:rPr>
          <w:rFonts w:ascii="Palatino Linotype" w:eastAsiaTheme="minorEastAsia" w:hAnsi="Palatino Linotype" w:cstheme="minorBidi"/>
          <w:bCs/>
          <w:color w:val="000000" w:themeColor="text1"/>
          <w:lang w:val="es-MX"/>
        </w:rPr>
        <w:t>, tienen</w:t>
      </w:r>
      <w:r w:rsidRPr="004F3E91">
        <w:rPr>
          <w:rFonts w:ascii="Palatino Linotype" w:eastAsiaTheme="minorEastAsia" w:hAnsi="Palatino Linotype" w:cstheme="minorBidi"/>
          <w:b/>
          <w:bCs/>
          <w:color w:val="000000" w:themeColor="text1"/>
          <w:lang w:val="es-MX"/>
        </w:rPr>
        <w:t xml:space="preserve"> </w:t>
      </w:r>
      <w:r w:rsidRPr="004F3E91">
        <w:rPr>
          <w:rFonts w:ascii="Palatino Linotype" w:eastAsiaTheme="minorEastAsia" w:hAnsi="Palatino Linotype" w:cstheme="minorBidi"/>
          <w:bCs/>
          <w:color w:val="000000" w:themeColor="text1"/>
          <w:lang w:val="es-MX"/>
        </w:rPr>
        <w:t xml:space="preserve">la obligación de “promover, </w:t>
      </w:r>
      <w:r w:rsidRPr="004F3E91">
        <w:rPr>
          <w:rFonts w:ascii="Palatino Linotype" w:eastAsiaTheme="minorEastAsia" w:hAnsi="Palatino Linotype" w:cstheme="minorBidi"/>
          <w:b/>
          <w:bCs/>
          <w:color w:val="000000" w:themeColor="text1"/>
          <w:lang w:val="es-MX"/>
        </w:rPr>
        <w:t>respetar</w:t>
      </w:r>
      <w:r w:rsidRPr="004F3E91">
        <w:rPr>
          <w:rFonts w:ascii="Palatino Linotype" w:eastAsiaTheme="minorEastAsia" w:hAnsi="Palatino Linotype" w:cstheme="minorBidi"/>
          <w:bCs/>
          <w:color w:val="000000" w:themeColor="text1"/>
          <w:lang w:val="es-MX"/>
        </w:rPr>
        <w:t xml:space="preserve">, proteger y </w:t>
      </w:r>
      <w:r w:rsidRPr="004F3E91">
        <w:rPr>
          <w:rFonts w:ascii="Palatino Linotype" w:eastAsiaTheme="minorEastAsia" w:hAnsi="Palatino Linotype" w:cstheme="minorBidi"/>
          <w:b/>
          <w:bCs/>
          <w:color w:val="000000" w:themeColor="text1"/>
          <w:lang w:val="es-MX"/>
        </w:rPr>
        <w:t>garantizar</w:t>
      </w:r>
      <w:r w:rsidRPr="004F3E91">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4F3E91"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4F3E91"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4F3E91"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4F3E91"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4F3E91">
        <w:rPr>
          <w:rFonts w:ascii="Palatino Linotype" w:eastAsiaTheme="minorEastAsia" w:hAnsi="Palatino Linotype" w:cstheme="minorBidi"/>
          <w:i/>
          <w:color w:val="000000" w:themeColor="text1"/>
          <w:lang w:val="es-MX"/>
        </w:rPr>
        <w:t>La igualdad de oportunidades para recibir, buscar e impartir información</w:t>
      </w:r>
      <w:r w:rsidRPr="004F3E91">
        <w:rPr>
          <w:rFonts w:ascii="Palatino Linotype" w:eastAsiaTheme="minorEastAsia" w:hAnsi="Palatino Linotype" w:cstheme="minorBidi"/>
          <w:i/>
          <w:color w:val="000000" w:themeColor="text1"/>
          <w:vertAlign w:val="superscript"/>
          <w:lang w:val="es-MX"/>
        </w:rPr>
        <w:footnoteReference w:id="1"/>
      </w:r>
      <w:r w:rsidRPr="004F3E91">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3E91">
        <w:rPr>
          <w:rFonts w:ascii="Palatino Linotype" w:eastAsiaTheme="minorEastAsia" w:hAnsi="Palatino Linotype" w:cstheme="minorBidi"/>
          <w:i/>
          <w:color w:val="000000" w:themeColor="text1"/>
          <w:vertAlign w:val="superscript"/>
          <w:lang w:val="es-MX"/>
        </w:rPr>
        <w:footnoteReference w:id="2"/>
      </w:r>
      <w:r w:rsidRPr="004F3E91">
        <w:rPr>
          <w:rFonts w:ascii="Palatino Linotype" w:eastAsiaTheme="minorEastAsia" w:hAnsi="Palatino Linotype" w:cstheme="minorBidi"/>
          <w:color w:val="000000" w:themeColor="text1"/>
          <w:lang w:val="es-MX"/>
        </w:rPr>
        <w:t>que se constituye como una herramienta fundamental para ejercer</w:t>
      </w:r>
      <w:r w:rsidRPr="004F3E91">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4F3E91">
        <w:rPr>
          <w:rFonts w:ascii="Palatino Linotype" w:eastAsiaTheme="minorEastAsia" w:hAnsi="Palatino Linotype" w:cstheme="minorBidi"/>
          <w:i/>
          <w:color w:val="000000" w:themeColor="text1"/>
          <w:vertAlign w:val="superscript"/>
          <w:lang w:val="es-MX"/>
        </w:rPr>
        <w:footnoteReference w:id="3"/>
      </w:r>
      <w:r w:rsidRPr="004F3E91">
        <w:rPr>
          <w:rFonts w:ascii="Palatino Linotype" w:eastAsiaTheme="minorEastAsia" w:hAnsi="Palatino Linotype" w:cstheme="minorBidi"/>
          <w:i/>
          <w:color w:val="000000" w:themeColor="text1"/>
          <w:lang w:val="es-MX"/>
        </w:rPr>
        <w:t xml:space="preserve"> </w:t>
      </w:r>
      <w:r w:rsidRPr="004F3E91">
        <w:rPr>
          <w:rFonts w:ascii="Palatino Linotype" w:eastAsiaTheme="minorEastAsia" w:hAnsi="Palatino Linotype" w:cstheme="minorBidi"/>
          <w:color w:val="000000" w:themeColor="text1"/>
          <w:lang w:val="es-MX"/>
        </w:rPr>
        <w:t>fomentando</w:t>
      </w:r>
      <w:r w:rsidRPr="004F3E91">
        <w:rPr>
          <w:rFonts w:ascii="Palatino Linotype" w:eastAsiaTheme="minorEastAsia" w:hAnsi="Palatino Linotype" w:cstheme="minorBidi"/>
          <w:i/>
          <w:color w:val="000000" w:themeColor="text1"/>
          <w:lang w:val="es-MX"/>
        </w:rPr>
        <w:t xml:space="preserve"> la transparencia de las actividades estatales y </w:t>
      </w:r>
      <w:r w:rsidRPr="004F3E91">
        <w:rPr>
          <w:rFonts w:ascii="Palatino Linotype" w:eastAsiaTheme="minorEastAsia" w:hAnsi="Palatino Linotype" w:cstheme="minorBidi"/>
          <w:color w:val="000000" w:themeColor="text1"/>
          <w:lang w:val="es-MX"/>
        </w:rPr>
        <w:t>promoviendo</w:t>
      </w:r>
      <w:r w:rsidRPr="004F3E91">
        <w:rPr>
          <w:rFonts w:ascii="Palatino Linotype" w:eastAsiaTheme="minorEastAsia" w:hAnsi="Palatino Linotype" w:cstheme="minorBidi"/>
          <w:i/>
          <w:color w:val="000000" w:themeColor="text1"/>
          <w:lang w:val="es-MX"/>
        </w:rPr>
        <w:t xml:space="preserve"> la responsabilidad de los funcionarios sobre su gestión </w:t>
      </w:r>
      <w:r w:rsidRPr="004F3E91">
        <w:rPr>
          <w:rFonts w:ascii="Palatino Linotype" w:eastAsiaTheme="minorEastAsia" w:hAnsi="Palatino Linotype" w:cstheme="minorBidi"/>
          <w:i/>
          <w:color w:val="000000" w:themeColor="text1"/>
          <w:lang w:val="es-MX"/>
        </w:rPr>
        <w:lastRenderedPageBreak/>
        <w:t>pública,</w:t>
      </w:r>
      <w:r w:rsidRPr="004F3E91">
        <w:rPr>
          <w:rFonts w:ascii="Palatino Linotype" w:eastAsiaTheme="minorEastAsia" w:hAnsi="Palatino Linotype" w:cstheme="minorBidi"/>
          <w:i/>
          <w:color w:val="000000" w:themeColor="text1"/>
          <w:vertAlign w:val="superscript"/>
          <w:lang w:val="es-MX"/>
        </w:rPr>
        <w:footnoteReference w:id="4"/>
      </w:r>
      <w:r w:rsidRPr="004F3E91">
        <w:rPr>
          <w:rFonts w:ascii="Palatino Linotype" w:eastAsiaTheme="minorEastAsia" w:hAnsi="Palatino Linotype" w:cstheme="minorBidi"/>
          <w:color w:val="000000" w:themeColor="text1"/>
          <w:lang w:val="es-MX"/>
        </w:rPr>
        <w:t>que permite</w:t>
      </w:r>
      <w:r w:rsidRPr="004F3E91">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4F3E91"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4F3E91"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0BD9623" w14:textId="77777777" w:rsidR="00367725" w:rsidRPr="004F3E91" w:rsidRDefault="00367725" w:rsidP="00F56D3C">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2D49DFEB" w:rsidR="0020500D" w:rsidRPr="004F3E91" w:rsidRDefault="00F56D3C" w:rsidP="00F56D3C">
      <w:pPr>
        <w:pStyle w:val="Ttulo2"/>
        <w:rPr>
          <w:rFonts w:ascii="Palatino Linotype" w:hAnsi="Palatino Linotype"/>
          <w:b/>
          <w:color w:val="auto"/>
          <w:sz w:val="24"/>
          <w:szCs w:val="24"/>
          <w:lang w:val="es-MX" w:eastAsia="en-US"/>
        </w:rPr>
      </w:pPr>
      <w:bookmarkStart w:id="44" w:name="_Toc105085578"/>
      <w:r w:rsidRPr="004F3E91">
        <w:rPr>
          <w:rFonts w:ascii="Palatino Linotype" w:hAnsi="Palatino Linotype"/>
          <w:b/>
          <w:color w:val="auto"/>
          <w:sz w:val="24"/>
          <w:szCs w:val="24"/>
          <w:lang w:val="es-MX" w:eastAsia="en-US"/>
        </w:rPr>
        <w:t xml:space="preserve">II. </w:t>
      </w:r>
      <w:r w:rsidR="00D91C33" w:rsidRPr="004F3E91">
        <w:rPr>
          <w:rFonts w:ascii="Palatino Linotype" w:hAnsi="Palatino Linotype"/>
          <w:b/>
          <w:color w:val="auto"/>
          <w:sz w:val="24"/>
          <w:szCs w:val="24"/>
          <w:lang w:val="es-MX" w:eastAsia="en-US"/>
        </w:rPr>
        <w:t>D</w:t>
      </w:r>
      <w:r w:rsidR="004F5610" w:rsidRPr="004F3E91">
        <w:rPr>
          <w:rFonts w:ascii="Palatino Linotype" w:hAnsi="Palatino Linotype"/>
          <w:b/>
          <w:color w:val="auto"/>
          <w:sz w:val="24"/>
          <w:szCs w:val="24"/>
          <w:lang w:val="es-MX" w:eastAsia="en-US"/>
        </w:rPr>
        <w:t xml:space="preserve">e la </w:t>
      </w:r>
      <w:r w:rsidRPr="004F3E91">
        <w:rPr>
          <w:rFonts w:ascii="Palatino Linotype" w:hAnsi="Palatino Linotype"/>
          <w:b/>
          <w:color w:val="auto"/>
          <w:sz w:val="24"/>
          <w:szCs w:val="24"/>
          <w:lang w:val="es-MX" w:eastAsia="en-US"/>
        </w:rPr>
        <w:t>atención a la solicitud de información</w:t>
      </w:r>
      <w:r w:rsidR="00342812" w:rsidRPr="004F3E91">
        <w:rPr>
          <w:rFonts w:ascii="Palatino Linotype" w:hAnsi="Palatino Linotype"/>
          <w:b/>
          <w:color w:val="auto"/>
          <w:sz w:val="24"/>
          <w:szCs w:val="24"/>
          <w:lang w:val="es-MX" w:eastAsia="en-US"/>
        </w:rPr>
        <w:t>.</w:t>
      </w:r>
      <w:bookmarkEnd w:id="44"/>
      <w:r w:rsidR="00342812" w:rsidRPr="004F3E91">
        <w:rPr>
          <w:rFonts w:ascii="Palatino Linotype" w:hAnsi="Palatino Linotype"/>
          <w:b/>
          <w:color w:val="auto"/>
          <w:sz w:val="24"/>
          <w:szCs w:val="24"/>
          <w:lang w:val="es-MX" w:eastAsia="en-US"/>
        </w:rPr>
        <w:t xml:space="preserve"> </w:t>
      </w:r>
    </w:p>
    <w:p w14:paraId="443592BC" w14:textId="77777777" w:rsidR="00367725" w:rsidRPr="004F3E91" w:rsidRDefault="00367725" w:rsidP="00F56D3C">
      <w:pPr>
        <w:pStyle w:val="Prrafodelista"/>
        <w:spacing w:line="360" w:lineRule="auto"/>
        <w:ind w:left="0"/>
        <w:contextualSpacing/>
        <w:jc w:val="both"/>
        <w:rPr>
          <w:rFonts w:ascii="Palatino Linotype" w:eastAsia="MS Mincho" w:hAnsi="Palatino Linotype" w:cs="Arial"/>
          <w:i/>
          <w:lang w:val="es-MX"/>
        </w:rPr>
      </w:pPr>
    </w:p>
    <w:p w14:paraId="4E3737B5" w14:textId="77777777" w:rsidR="00AE757B" w:rsidRPr="004F3E91" w:rsidRDefault="00AE757B"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F3E91">
        <w:rPr>
          <w:rFonts w:ascii="Palatino Linotype" w:eastAsia="Calibri" w:hAnsi="Palatino Linotype" w:cs="Arial"/>
          <w:b/>
          <w:lang w:eastAsia="en-US"/>
        </w:rPr>
        <w:t>Ley de Transparencia y Acceso a la Información Pública del Estado de México y Municipios</w:t>
      </w:r>
      <w:r w:rsidRPr="004F3E91">
        <w:rPr>
          <w:rFonts w:ascii="Palatino Linotype" w:hAnsi="Palatino Linotype" w:cs="Arial"/>
          <w:lang w:eastAsia="es-MX"/>
        </w:rPr>
        <w:t>.</w:t>
      </w:r>
    </w:p>
    <w:p w14:paraId="2AD96E6B" w14:textId="77777777" w:rsidR="006B66B6" w:rsidRPr="004F3E91" w:rsidRDefault="006B66B6" w:rsidP="00B07863">
      <w:pPr>
        <w:pStyle w:val="Prrafodelista"/>
        <w:spacing w:line="360" w:lineRule="auto"/>
        <w:ind w:left="0"/>
        <w:contextualSpacing/>
        <w:jc w:val="both"/>
        <w:rPr>
          <w:rFonts w:ascii="Palatino Linotype" w:eastAsia="MS Mincho" w:hAnsi="Palatino Linotype" w:cs="Arial"/>
          <w:i/>
          <w:lang w:val="es-MX"/>
        </w:rPr>
      </w:pPr>
    </w:p>
    <w:p w14:paraId="758C1BF9" w14:textId="531B2E3C" w:rsidR="006B66B6" w:rsidRPr="004F3E91" w:rsidRDefault="00627D67"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lastRenderedPageBreak/>
        <w:t>D</w:t>
      </w:r>
      <w:r w:rsidR="006B66B6" w:rsidRPr="004F3E91">
        <w:rPr>
          <w:rFonts w:ascii="Palatino Linotype" w:eastAsia="MS Mincho" w:hAnsi="Palatino Linotype"/>
          <w:color w:val="000000"/>
        </w:rPr>
        <w:t xml:space="preserve">e la lectura a la solicitud de información </w:t>
      </w:r>
      <w:r w:rsidR="0041030E" w:rsidRPr="004F3E91">
        <w:rPr>
          <w:rFonts w:ascii="Palatino Linotype" w:eastAsia="MS Mincho" w:hAnsi="Palatino Linotype"/>
          <w:b/>
          <w:bCs/>
          <w:color w:val="000000"/>
        </w:rPr>
        <w:t>00491/TOLUCA/IP/2022</w:t>
      </w:r>
      <w:r w:rsidR="006B66B6" w:rsidRPr="004F3E91">
        <w:rPr>
          <w:rFonts w:ascii="Palatino Linotype" w:eastAsia="MS Mincho" w:hAnsi="Palatino Linotype"/>
          <w:color w:val="000000"/>
        </w:rPr>
        <w:t xml:space="preserve">, y como fuera señalado en el </w:t>
      </w:r>
      <w:r w:rsidR="006B66B6" w:rsidRPr="004F3E91">
        <w:rPr>
          <w:rFonts w:ascii="Palatino Linotype" w:eastAsia="MS Mincho" w:hAnsi="Palatino Linotype"/>
          <w:i/>
          <w:iCs/>
          <w:color w:val="000000"/>
        </w:rPr>
        <w:t>Planteamiento de la Litis</w:t>
      </w:r>
      <w:r w:rsidR="006B66B6" w:rsidRPr="004F3E91">
        <w:rPr>
          <w:rFonts w:ascii="Palatino Linotype" w:eastAsia="MS Mincho" w:hAnsi="Palatino Linotype"/>
          <w:color w:val="000000"/>
        </w:rPr>
        <w:t xml:space="preserve"> de esta resolución, se advierte que </w:t>
      </w:r>
      <w:r w:rsidR="00F41EAA" w:rsidRPr="004F3E91">
        <w:rPr>
          <w:rFonts w:ascii="Palatino Linotype" w:eastAsia="MS Mincho" w:hAnsi="Palatino Linotype"/>
          <w:color w:val="000000"/>
        </w:rPr>
        <w:t>el</w:t>
      </w:r>
      <w:r w:rsidR="006B66B6" w:rsidRPr="004F3E91">
        <w:rPr>
          <w:rFonts w:ascii="Palatino Linotype" w:eastAsia="MS Mincho" w:hAnsi="Palatino Linotype"/>
          <w:color w:val="000000"/>
        </w:rPr>
        <w:t xml:space="preserve"> entonces </w:t>
      </w:r>
      <w:r w:rsidR="006B66B6" w:rsidRPr="004F3E91">
        <w:rPr>
          <w:rFonts w:ascii="Palatino Linotype" w:eastAsia="MS Mincho" w:hAnsi="Palatino Linotype"/>
          <w:b/>
          <w:color w:val="000000"/>
        </w:rPr>
        <w:t>SOLICITANTE</w:t>
      </w:r>
      <w:r w:rsidR="006B66B6" w:rsidRPr="004F3E91">
        <w:rPr>
          <w:rFonts w:ascii="Palatino Linotype" w:eastAsia="MS Mincho" w:hAnsi="Palatino Linotype"/>
          <w:color w:val="000000"/>
        </w:rPr>
        <w:t xml:space="preserve"> requirió al </w:t>
      </w:r>
      <w:r w:rsidR="0041030E" w:rsidRPr="004F3E91">
        <w:rPr>
          <w:rFonts w:ascii="Palatino Linotype" w:eastAsia="MS Mincho" w:hAnsi="Palatino Linotype"/>
          <w:color w:val="000000"/>
        </w:rPr>
        <w:t>Ayuntamiento de Toluca</w:t>
      </w:r>
      <w:r w:rsidR="006B66B6" w:rsidRPr="004F3E91">
        <w:rPr>
          <w:rFonts w:ascii="Palatino Linotype" w:eastAsia="MS Mincho" w:hAnsi="Palatino Linotype"/>
          <w:color w:val="000000"/>
        </w:rPr>
        <w:t xml:space="preserve">, </w:t>
      </w:r>
      <w:r w:rsidR="00393297" w:rsidRPr="004F3E91">
        <w:rPr>
          <w:rFonts w:ascii="Palatino Linotype" w:eastAsia="MS Mincho" w:hAnsi="Palatino Linotype"/>
          <w:color w:val="000000"/>
        </w:rPr>
        <w:t>acceder a la siguiente información</w:t>
      </w:r>
      <w:r w:rsidR="006B66B6" w:rsidRPr="004F3E91">
        <w:rPr>
          <w:rFonts w:ascii="Palatino Linotype" w:eastAsia="MS Mincho" w:hAnsi="Palatino Linotype"/>
          <w:color w:val="000000"/>
        </w:rPr>
        <w:t>:</w:t>
      </w:r>
    </w:p>
    <w:p w14:paraId="4DF6DEE9" w14:textId="52336F4D" w:rsidR="00F41EAA" w:rsidRPr="004F3E91" w:rsidRDefault="00F41EAA" w:rsidP="00F41EAA">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lang w:val="es-ES_tradnl"/>
        </w:rPr>
        <w:t>Denuncias vecinales presentadas ante el municipio por exceso de ruido, desde el uno (01) de enero de dos mil veintiuno hasta el quince (15) de febrero de dos mil veintidós, señalándose cuáles fueron presentadas a través de:</w:t>
      </w:r>
    </w:p>
    <w:p w14:paraId="2F70EB04" w14:textId="0509E694" w:rsidR="00F41EAA" w:rsidRPr="004F3E91" w:rsidRDefault="00F41EAA" w:rsidP="00F41EAA">
      <w:pPr>
        <w:pStyle w:val="Prrafodelista"/>
        <w:numPr>
          <w:ilvl w:val="2"/>
          <w:numId w:val="16"/>
        </w:numPr>
        <w:spacing w:line="360" w:lineRule="auto"/>
        <w:ind w:left="1701"/>
        <w:contextualSpacing/>
        <w:jc w:val="both"/>
        <w:rPr>
          <w:rFonts w:ascii="Palatino Linotype" w:eastAsia="MS Mincho" w:hAnsi="Palatino Linotype" w:cs="Arial"/>
          <w:i/>
          <w:lang w:val="es-MX"/>
        </w:rPr>
      </w:pPr>
      <w:r w:rsidRPr="004F3E91">
        <w:rPr>
          <w:rFonts w:ascii="Palatino Linotype" w:eastAsia="MS Mincho" w:hAnsi="Palatino Linotype"/>
          <w:lang w:val="es-ES_tradnl"/>
        </w:rPr>
        <w:t>Redes sociales;</w:t>
      </w:r>
    </w:p>
    <w:p w14:paraId="7DC6EDA1" w14:textId="77777777" w:rsidR="00F41EAA" w:rsidRPr="004F3E91" w:rsidRDefault="00F41EAA" w:rsidP="00C539F1">
      <w:pPr>
        <w:pStyle w:val="Prrafodelista"/>
        <w:numPr>
          <w:ilvl w:val="2"/>
          <w:numId w:val="16"/>
        </w:numPr>
        <w:spacing w:line="360" w:lineRule="auto"/>
        <w:ind w:left="1701"/>
        <w:contextualSpacing/>
        <w:jc w:val="both"/>
        <w:rPr>
          <w:rFonts w:ascii="Palatino Linotype" w:eastAsia="MS Mincho" w:hAnsi="Palatino Linotype" w:cs="Arial"/>
          <w:i/>
          <w:lang w:val="es-MX"/>
        </w:rPr>
      </w:pPr>
      <w:r w:rsidRPr="004F3E91">
        <w:rPr>
          <w:rFonts w:ascii="Palatino Linotype" w:eastAsia="MS Mincho" w:hAnsi="Palatino Linotype"/>
          <w:lang w:val="es-ES_tradnl"/>
        </w:rPr>
        <w:t>La Comisión Nacional de Derechos Humanos;</w:t>
      </w:r>
    </w:p>
    <w:p w14:paraId="38D3C778" w14:textId="77777777" w:rsidR="00F41EAA" w:rsidRPr="004F3E91" w:rsidRDefault="00F41EAA" w:rsidP="00C539F1">
      <w:pPr>
        <w:pStyle w:val="Prrafodelista"/>
        <w:numPr>
          <w:ilvl w:val="2"/>
          <w:numId w:val="16"/>
        </w:numPr>
        <w:spacing w:line="360" w:lineRule="auto"/>
        <w:ind w:left="1701"/>
        <w:contextualSpacing/>
        <w:jc w:val="both"/>
        <w:rPr>
          <w:rFonts w:ascii="Palatino Linotype" w:eastAsia="MS Mincho" w:hAnsi="Palatino Linotype" w:cs="Arial"/>
          <w:i/>
          <w:lang w:val="es-MX"/>
        </w:rPr>
      </w:pPr>
      <w:r w:rsidRPr="004F3E91">
        <w:rPr>
          <w:rFonts w:ascii="Palatino Linotype" w:eastAsia="MS Mincho" w:hAnsi="Palatino Linotype"/>
          <w:lang w:val="es-ES_tradnl"/>
        </w:rPr>
        <w:t>Por escrito, y;</w:t>
      </w:r>
    </w:p>
    <w:p w14:paraId="13978716" w14:textId="4F8F8F5D" w:rsidR="00F41EAA" w:rsidRPr="004F3E91" w:rsidRDefault="00F41EAA" w:rsidP="00C539F1">
      <w:pPr>
        <w:pStyle w:val="Prrafodelista"/>
        <w:numPr>
          <w:ilvl w:val="2"/>
          <w:numId w:val="16"/>
        </w:numPr>
        <w:spacing w:line="360" w:lineRule="auto"/>
        <w:ind w:left="1701"/>
        <w:contextualSpacing/>
        <w:jc w:val="both"/>
        <w:rPr>
          <w:rFonts w:ascii="Palatino Linotype" w:eastAsia="MS Mincho" w:hAnsi="Palatino Linotype" w:cs="Arial"/>
          <w:i/>
          <w:lang w:val="es-MX"/>
        </w:rPr>
      </w:pPr>
      <w:r w:rsidRPr="004F3E91">
        <w:rPr>
          <w:rFonts w:ascii="Palatino Linotype" w:eastAsia="MS Mincho" w:hAnsi="Palatino Linotype"/>
          <w:lang w:val="es-ES_tradnl"/>
        </w:rPr>
        <w:t xml:space="preserve"> En las sesiones de cabildo de abierto.</w:t>
      </w:r>
    </w:p>
    <w:p w14:paraId="7B47CDFA" w14:textId="38D97569" w:rsidR="006B66B6" w:rsidRPr="004F3E91" w:rsidRDefault="00F41EAA" w:rsidP="00F41EAA">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lang w:val="es-ES_tradnl"/>
        </w:rPr>
        <w:t>Respuestas y seguimiento proveído a las denuncias.</w:t>
      </w:r>
    </w:p>
    <w:p w14:paraId="294D11F8" w14:textId="77777777" w:rsidR="00F41EAA" w:rsidRPr="004F3E91" w:rsidRDefault="00F41EAA" w:rsidP="00F41EAA">
      <w:pPr>
        <w:pStyle w:val="Prrafodelista"/>
        <w:spacing w:line="360" w:lineRule="auto"/>
        <w:ind w:left="0"/>
        <w:contextualSpacing/>
        <w:jc w:val="both"/>
        <w:rPr>
          <w:rFonts w:ascii="Palatino Linotype" w:eastAsia="MS Mincho" w:hAnsi="Palatino Linotype" w:cs="Arial"/>
          <w:iCs/>
          <w:lang w:val="es-MX"/>
        </w:rPr>
      </w:pPr>
    </w:p>
    <w:p w14:paraId="749B8FCD" w14:textId="1AF0A665" w:rsidR="006B66B6" w:rsidRPr="004F3E91" w:rsidRDefault="00804B63"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En respuesta a la solicitud de información, el </w:t>
      </w:r>
      <w:r w:rsidRPr="004F3E91">
        <w:rPr>
          <w:rFonts w:ascii="Palatino Linotype" w:eastAsia="MS Mincho" w:hAnsi="Palatino Linotype"/>
          <w:b/>
          <w:color w:val="000000"/>
        </w:rPr>
        <w:t>SUJETO OBLIGADO</w:t>
      </w:r>
      <w:r w:rsidRPr="004F3E91">
        <w:rPr>
          <w:rFonts w:ascii="Palatino Linotype" w:eastAsia="MS Mincho" w:hAnsi="Palatino Linotype"/>
          <w:color w:val="000000"/>
        </w:rPr>
        <w:t xml:space="preserve"> entregó al particular, el oficio </w:t>
      </w:r>
      <w:r w:rsidR="00E23E16" w:rsidRPr="004F3E91">
        <w:rPr>
          <w:rFonts w:ascii="Palatino Linotype" w:eastAsia="MS Mincho" w:hAnsi="Palatino Linotype"/>
          <w:color w:val="000000"/>
        </w:rPr>
        <w:t>de nueve (09) de marzo de dos mil veintidós, sin folio único de identificación, emitido por la Titular de la Unidad de Transparencia, por el que manifestó</w:t>
      </w:r>
      <w:r w:rsidRPr="004F3E91">
        <w:rPr>
          <w:rFonts w:ascii="Palatino Linotype" w:eastAsia="MS Mincho" w:hAnsi="Palatino Linotype"/>
          <w:color w:val="000000"/>
        </w:rPr>
        <w:t xml:space="preserve"> lo siguiente:</w:t>
      </w:r>
    </w:p>
    <w:p w14:paraId="37CF0A12" w14:textId="1AE37066" w:rsidR="006B66B6" w:rsidRPr="004F3E91" w:rsidRDefault="006B66B6" w:rsidP="006B66B6">
      <w:pPr>
        <w:pStyle w:val="Prrafodelista"/>
        <w:spacing w:line="360" w:lineRule="auto"/>
        <w:ind w:left="0"/>
        <w:contextualSpacing/>
        <w:jc w:val="both"/>
        <w:rPr>
          <w:rFonts w:ascii="Palatino Linotype" w:eastAsia="MS Mincho" w:hAnsi="Palatino Linotype" w:cs="Arial"/>
          <w:iCs/>
          <w:lang w:val="es-MX"/>
        </w:rPr>
      </w:pPr>
    </w:p>
    <w:p w14:paraId="225BC615" w14:textId="29CA2C32" w:rsidR="00E23E16" w:rsidRPr="004F3E91" w:rsidRDefault="00E23E16" w:rsidP="00E23E1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 xml:space="preserve">“(…) hago de su conocimiento que el </w:t>
      </w:r>
      <w:r w:rsidRPr="004F3E91">
        <w:rPr>
          <w:rFonts w:ascii="Palatino Linotype" w:eastAsia="MS Mincho" w:hAnsi="Palatino Linotype" w:cs="Arial"/>
          <w:b/>
          <w:bCs/>
          <w:i/>
          <w:sz w:val="22"/>
          <w:szCs w:val="22"/>
          <w:lang w:val="es-MX"/>
        </w:rPr>
        <w:t>Director General de Medio Ambiente y Servidore Público Habilitado</w:t>
      </w:r>
      <w:r w:rsidRPr="004F3E91">
        <w:rPr>
          <w:rFonts w:ascii="Palatino Linotype" w:eastAsia="MS Mincho" w:hAnsi="Palatino Linotype" w:cs="Arial"/>
          <w:i/>
          <w:sz w:val="22"/>
          <w:szCs w:val="22"/>
          <w:lang w:val="es-MX"/>
        </w:rPr>
        <w:t xml:space="preserve">, informo a la que suscribe, por lo que respecta a su solicitud de información pública y después de realizar una búsqueda exhaustiva, en el Departamento de Inspección Ambiental adscrito a Dirección General, al respecto me permito hacer de su conocimiento que respecto de lo que solicita (…) me permito hacer de su conocimiento que se adjunta al presente en archivo PDF el Anexo Tabla 1 con 139 DENUNCIAS AMBIENTALES EN TEMA DE RUIDO 2021, y 30 del 01 DE </w:t>
      </w:r>
      <w:r w:rsidRPr="004F3E91">
        <w:rPr>
          <w:rFonts w:ascii="Palatino Linotype" w:eastAsia="MS Mincho" w:hAnsi="Palatino Linotype" w:cs="Arial"/>
          <w:i/>
          <w:sz w:val="22"/>
          <w:szCs w:val="22"/>
          <w:lang w:val="es-MX"/>
        </w:rPr>
        <w:lastRenderedPageBreak/>
        <w:t>ENERO al 15 FEBRERO 2022, que es el documento con el que cuenta esta dependencia, donde se especifican las denuncias vecinales recibidas.</w:t>
      </w:r>
    </w:p>
    <w:p w14:paraId="4C0E42B2" w14:textId="5A2179E8" w:rsidR="00BD2C46" w:rsidRPr="004F3E91" w:rsidRDefault="00BD2C46" w:rsidP="00E23E16">
      <w:pPr>
        <w:pStyle w:val="Prrafodelista"/>
        <w:spacing w:line="276" w:lineRule="auto"/>
        <w:ind w:left="567" w:right="567"/>
        <w:contextualSpacing/>
        <w:jc w:val="both"/>
        <w:rPr>
          <w:rFonts w:ascii="Palatino Linotype" w:eastAsia="MS Mincho" w:hAnsi="Palatino Linotype" w:cs="Arial"/>
          <w:i/>
          <w:sz w:val="22"/>
          <w:szCs w:val="22"/>
          <w:lang w:val="es-MX"/>
        </w:rPr>
      </w:pPr>
    </w:p>
    <w:p w14:paraId="35C6029A" w14:textId="79E609B2"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Es importante indicar en el Anexo Tabla 1. Se presentan los medios de recepción y el número de éstas.</w:t>
      </w:r>
    </w:p>
    <w:p w14:paraId="090EF278" w14:textId="1D78A25D"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37F9892D" w14:textId="6EA0CD6A"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w:t>
      </w:r>
    </w:p>
    <w:p w14:paraId="29F545FC" w14:textId="418A8C5E"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7B37D859" w14:textId="49B8F4E3"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Total de denuncias recibidas por redes sociales 18:</w:t>
      </w:r>
    </w:p>
    <w:p w14:paraId="57977497" w14:textId="33893F22" w:rsidR="00BD2C46" w:rsidRPr="004F3E91" w:rsidRDefault="00BD2C46" w:rsidP="00BD2C46">
      <w:pPr>
        <w:pStyle w:val="Prrafodelista"/>
        <w:numPr>
          <w:ilvl w:val="0"/>
          <w:numId w:val="17"/>
        </w:numPr>
        <w:spacing w:line="276" w:lineRule="auto"/>
        <w:ind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Twitter: 3</w:t>
      </w:r>
    </w:p>
    <w:p w14:paraId="3347CF7F" w14:textId="2F52A359" w:rsidR="00BD2C46" w:rsidRPr="004F3E91" w:rsidRDefault="00BD2C46" w:rsidP="00BD2C46">
      <w:pPr>
        <w:pStyle w:val="Prrafodelista"/>
        <w:numPr>
          <w:ilvl w:val="0"/>
          <w:numId w:val="17"/>
        </w:numPr>
        <w:spacing w:line="276" w:lineRule="auto"/>
        <w:ind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Facebook: 15</w:t>
      </w:r>
    </w:p>
    <w:p w14:paraId="60D9C01F" w14:textId="10516048"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1CE7608F" w14:textId="211D5EA1"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Respecto a los oficios recibidos de parte de la Comisión de Derechos Humanos del Estado de México, a través de la Defensoría Municipal de Derechos Humanos, relacionados a quejas por tema de ruido, se enlistan a continuación las cuales se contestaron oportunamente mediante los oficios de respuesta que se indican.</w:t>
      </w:r>
    </w:p>
    <w:p w14:paraId="7EC40B58" w14:textId="77777777"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tbl>
      <w:tblPr>
        <w:tblStyle w:val="Tablaconcuadrcula"/>
        <w:tblW w:w="0" w:type="auto"/>
        <w:tblInd w:w="567" w:type="dxa"/>
        <w:tblLook w:val="04A0" w:firstRow="1" w:lastRow="0" w:firstColumn="1" w:lastColumn="0" w:noHBand="0" w:noVBand="1"/>
      </w:tblPr>
      <w:tblGrid>
        <w:gridCol w:w="3823"/>
        <w:gridCol w:w="3827"/>
      </w:tblGrid>
      <w:tr w:rsidR="00BD2C46" w:rsidRPr="004F3E91" w14:paraId="451F68D8" w14:textId="77777777" w:rsidTr="00BD2C46">
        <w:tc>
          <w:tcPr>
            <w:tcW w:w="3823" w:type="dxa"/>
            <w:shd w:val="clear" w:color="auto" w:fill="D9D9D9" w:themeFill="background1" w:themeFillShade="D9"/>
          </w:tcPr>
          <w:p w14:paraId="7585A5EF" w14:textId="11F849AB"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EXPEDIENTE CODHEM</w:t>
            </w:r>
          </w:p>
        </w:tc>
        <w:tc>
          <w:tcPr>
            <w:tcW w:w="3827" w:type="dxa"/>
            <w:shd w:val="clear" w:color="auto" w:fill="D9D9D9" w:themeFill="background1" w:themeFillShade="D9"/>
          </w:tcPr>
          <w:p w14:paraId="233BB870" w14:textId="0ADD8335"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NO. OFICIO DE RESPUESTA</w:t>
            </w:r>
          </w:p>
        </w:tc>
      </w:tr>
      <w:tr w:rsidR="00BD2C46" w:rsidRPr="004F3E91" w14:paraId="0E6F2863" w14:textId="77777777" w:rsidTr="00BD2C46">
        <w:tc>
          <w:tcPr>
            <w:tcW w:w="3823" w:type="dxa"/>
          </w:tcPr>
          <w:p w14:paraId="6105FD3C" w14:textId="3150A23E"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CODHEM/TOL/187/2021</w:t>
            </w:r>
          </w:p>
        </w:tc>
        <w:tc>
          <w:tcPr>
            <w:tcW w:w="3827" w:type="dxa"/>
          </w:tcPr>
          <w:p w14:paraId="3DD0CDAD" w14:textId="179CD005"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207010000/1273/2021</w:t>
            </w:r>
          </w:p>
        </w:tc>
      </w:tr>
      <w:tr w:rsidR="00BD2C46" w:rsidRPr="004F3E91" w14:paraId="44758AFA" w14:textId="77777777" w:rsidTr="00BD2C46">
        <w:tc>
          <w:tcPr>
            <w:tcW w:w="3823" w:type="dxa"/>
          </w:tcPr>
          <w:p w14:paraId="596D1CD4" w14:textId="073E0B3B"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CODHEM/TOL/982/2021</w:t>
            </w:r>
          </w:p>
        </w:tc>
        <w:tc>
          <w:tcPr>
            <w:tcW w:w="3827" w:type="dxa"/>
            <w:vAlign w:val="center"/>
          </w:tcPr>
          <w:p w14:paraId="35BE2241" w14:textId="77777777" w:rsidR="00BD2C46" w:rsidRPr="004F3E91" w:rsidRDefault="00BD2C46" w:rsidP="00BD2C46">
            <w:pPr>
              <w:pStyle w:val="Prrafodelista"/>
              <w:spacing w:line="276" w:lineRule="auto"/>
              <w:ind w:left="35"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207010000/2962/2021</w:t>
            </w:r>
          </w:p>
          <w:p w14:paraId="60A05D60" w14:textId="7E0C379B" w:rsidR="00BD2C46" w:rsidRPr="004F3E91" w:rsidRDefault="00BD2C46" w:rsidP="00BD2C46">
            <w:pPr>
              <w:pStyle w:val="Prrafodelista"/>
              <w:spacing w:line="276" w:lineRule="auto"/>
              <w:ind w:left="35"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207010000/3188/2021</w:t>
            </w:r>
          </w:p>
          <w:p w14:paraId="49F7DA11" w14:textId="3CC0B992" w:rsidR="00BD2C46" w:rsidRPr="004F3E91" w:rsidRDefault="00BD2C46" w:rsidP="00BD2C46">
            <w:pPr>
              <w:pStyle w:val="Prrafodelista"/>
              <w:spacing w:line="276" w:lineRule="auto"/>
              <w:ind w:left="35"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207010000/3633/2021</w:t>
            </w:r>
          </w:p>
        </w:tc>
      </w:tr>
      <w:tr w:rsidR="00BD2C46" w:rsidRPr="004F3E91" w14:paraId="48A9D079" w14:textId="77777777" w:rsidTr="00BD2C46">
        <w:tc>
          <w:tcPr>
            <w:tcW w:w="3823" w:type="dxa"/>
          </w:tcPr>
          <w:p w14:paraId="6C6179A0" w14:textId="5F73663D"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CODHEM/TOL/1092/2021</w:t>
            </w:r>
          </w:p>
        </w:tc>
        <w:tc>
          <w:tcPr>
            <w:tcW w:w="3827" w:type="dxa"/>
            <w:vAlign w:val="center"/>
          </w:tcPr>
          <w:p w14:paraId="63933B3E" w14:textId="77777777"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207010000/3295/2021</w:t>
            </w:r>
          </w:p>
          <w:p w14:paraId="4F6FA029" w14:textId="77777777"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207010000/3708/2021</w:t>
            </w:r>
          </w:p>
          <w:p w14:paraId="7283E309" w14:textId="08603178"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207010000/3784/2021</w:t>
            </w:r>
          </w:p>
        </w:tc>
      </w:tr>
      <w:tr w:rsidR="00BD2C46" w:rsidRPr="004F3E91" w14:paraId="5A5E3FDA" w14:textId="77777777" w:rsidTr="00BD2C46">
        <w:tc>
          <w:tcPr>
            <w:tcW w:w="3823" w:type="dxa"/>
          </w:tcPr>
          <w:p w14:paraId="35AF83B4" w14:textId="20D3E18A"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CODHEM/TOL/1106/2021</w:t>
            </w:r>
          </w:p>
        </w:tc>
        <w:tc>
          <w:tcPr>
            <w:tcW w:w="3827" w:type="dxa"/>
          </w:tcPr>
          <w:p w14:paraId="295C70C0" w14:textId="0920AD81"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207010000/3226/2021</w:t>
            </w:r>
          </w:p>
        </w:tc>
      </w:tr>
      <w:tr w:rsidR="00BD2C46" w:rsidRPr="004F3E91" w14:paraId="410DF70B" w14:textId="77777777" w:rsidTr="00BD2C46">
        <w:tc>
          <w:tcPr>
            <w:tcW w:w="3823" w:type="dxa"/>
          </w:tcPr>
          <w:p w14:paraId="6CC480AF" w14:textId="153EEB5E"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CODHEM/TOL/1153/2021</w:t>
            </w:r>
          </w:p>
        </w:tc>
        <w:tc>
          <w:tcPr>
            <w:tcW w:w="3827" w:type="dxa"/>
          </w:tcPr>
          <w:p w14:paraId="4989A865" w14:textId="48DD4D99"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207010000/3188/2021</w:t>
            </w:r>
          </w:p>
        </w:tc>
      </w:tr>
      <w:tr w:rsidR="00BD2C46" w:rsidRPr="004F3E91" w14:paraId="596D2DC2" w14:textId="77777777" w:rsidTr="00BD2C46">
        <w:tc>
          <w:tcPr>
            <w:tcW w:w="3823" w:type="dxa"/>
          </w:tcPr>
          <w:p w14:paraId="4FCB3E5B" w14:textId="4309D795"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CODHEM/TOL/1164/2021</w:t>
            </w:r>
          </w:p>
        </w:tc>
        <w:tc>
          <w:tcPr>
            <w:tcW w:w="3827" w:type="dxa"/>
          </w:tcPr>
          <w:p w14:paraId="43240F56" w14:textId="1340FAB1"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207010000/3817/2021</w:t>
            </w:r>
          </w:p>
        </w:tc>
      </w:tr>
      <w:tr w:rsidR="00BD2C46" w:rsidRPr="004F3E91" w14:paraId="19F0DDBA" w14:textId="77777777" w:rsidTr="00BD2C46">
        <w:tc>
          <w:tcPr>
            <w:tcW w:w="3823" w:type="dxa"/>
          </w:tcPr>
          <w:p w14:paraId="4C814B4F" w14:textId="0C0EBAF6"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CODHEM/TOL/1265/2021</w:t>
            </w:r>
          </w:p>
        </w:tc>
        <w:tc>
          <w:tcPr>
            <w:tcW w:w="3827" w:type="dxa"/>
          </w:tcPr>
          <w:p w14:paraId="460E70C7" w14:textId="77777777"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207010000/3808/2021</w:t>
            </w:r>
          </w:p>
          <w:p w14:paraId="1732FBC1" w14:textId="46F787B1" w:rsidR="00BD2C46" w:rsidRPr="004F3E91" w:rsidRDefault="00BD2C46" w:rsidP="00BD2C46">
            <w:pPr>
              <w:pStyle w:val="Prrafodelista"/>
              <w:spacing w:line="276" w:lineRule="auto"/>
              <w:ind w:left="0" w:right="567"/>
              <w:contextualSpacing/>
              <w:jc w:val="center"/>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207010000/4043/2021</w:t>
            </w:r>
          </w:p>
        </w:tc>
      </w:tr>
    </w:tbl>
    <w:p w14:paraId="10ABE150" w14:textId="2CEF67D8"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776FA2A1" w14:textId="4F9A63AB"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No omito mencionar que durante el periodo que se informa, no se turnaron denuncias vecinales ante el Municipio por exceso de ruido por parte de las sesiones de Cabildo abierto.</w:t>
      </w:r>
    </w:p>
    <w:p w14:paraId="70EE6B30" w14:textId="05930900" w:rsidR="00774002" w:rsidRPr="004F3E91" w:rsidRDefault="00774002"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74CD0283" w14:textId="09268FC6" w:rsidR="00774002" w:rsidRPr="004F3E91" w:rsidRDefault="00774002"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lastRenderedPageBreak/>
        <w:t>Ahora bien, en cuanto a su solicitud que a la letra dice: “…También quiero todas las respuestas que han dado a estas denuncias y su seguimiento documentativo…” Se informa que, de acuerdo a lo establecido en el apartado 6 del Manual de Procedimos de la Dirección General de Medio Ambiente, Departamento de Inspección Ambienta, referente al Procedimiento de Atención a Denuncias y atendiendo al principio máximo de publicidad establecido en la Ley de Transparencia y Acceso a la Información Pública del Estado y municipios; es menester comentarle que la recepción de denuncias vía telefónica, redes sociales y/o anónimas, no se cuenta con los datos de contacto necesarios para llevar a cabo la notificación de la respuesta correspondiente a la atención a la denuncia, por lo que imposibilita emitir una respuesta por oficio.</w:t>
      </w:r>
    </w:p>
    <w:p w14:paraId="27665EB2" w14:textId="1D4B9C3F" w:rsidR="00774002" w:rsidRPr="004F3E91" w:rsidRDefault="00774002"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78B5DE98" w14:textId="5FA5EEEF" w:rsidR="00774002" w:rsidRPr="004F3E91" w:rsidRDefault="00774002" w:rsidP="00BD2C46">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Ahora bien, y en relación a las denuncias y su seguimiento documentativo al que hace referencia en la solicitud, le informamos que el soporte documental que obra dentro de los archivos de esta dependencia son, de 945 fojas, derivado de lo anterior le comunicio que esta Dependencia no cuenta el recurso técnico, administrativo y humano para procesar la información por lo que le invitamos a que realice una consulta de forma directa dentro de las instalaciones que ocupa esta Dirección General ubicada en la calle: Nigromante número 202 primer piso en fecha 10 y 11 de marzo del año en curso en un horario específico de 10:00 a 13:00 horas, esta Dirección proporcionará las facilidades y la asistencia de un servidor público, para la consulta de documentos, además de resguardar las condiciones de sanidad derivado de la contingencia que se vive en la actualidad.”</w:t>
      </w:r>
    </w:p>
    <w:p w14:paraId="0A845FF7" w14:textId="77777777" w:rsidR="00BD2C46" w:rsidRPr="004F3E91" w:rsidRDefault="00BD2C46" w:rsidP="00BD2C46">
      <w:pPr>
        <w:pStyle w:val="Prrafodelista"/>
        <w:spacing w:line="276" w:lineRule="auto"/>
        <w:ind w:left="567" w:right="567"/>
        <w:contextualSpacing/>
        <w:jc w:val="both"/>
        <w:rPr>
          <w:rFonts w:ascii="Palatino Linotype" w:eastAsia="MS Mincho" w:hAnsi="Palatino Linotype" w:cs="Arial"/>
          <w:i/>
          <w:sz w:val="22"/>
          <w:szCs w:val="22"/>
          <w:lang w:val="es-MX"/>
        </w:rPr>
      </w:pPr>
    </w:p>
    <w:p w14:paraId="289C2549" w14:textId="77777777" w:rsidR="00F97892" w:rsidRPr="004F3E91" w:rsidRDefault="00F97892" w:rsidP="00E23E16">
      <w:pPr>
        <w:pStyle w:val="Prrafodelista"/>
        <w:spacing w:line="360" w:lineRule="auto"/>
        <w:ind w:left="0"/>
        <w:contextualSpacing/>
        <w:rPr>
          <w:rFonts w:ascii="Palatino Linotype" w:eastAsia="MS Mincho" w:hAnsi="Palatino Linotype" w:cs="Arial"/>
          <w:iCs/>
          <w:lang w:val="es-MX"/>
        </w:rPr>
      </w:pPr>
    </w:p>
    <w:p w14:paraId="60766D00" w14:textId="1BAD5FB5" w:rsidR="00635CD0" w:rsidRPr="004F3E91" w:rsidRDefault="00635CD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De la lectura al contenido del instrumento anterior, podemos rescatar los siguientes </w:t>
      </w:r>
      <w:r w:rsidR="00774002" w:rsidRPr="004F3E91">
        <w:rPr>
          <w:rFonts w:ascii="Palatino Linotype" w:eastAsia="MS Mincho" w:hAnsi="Palatino Linotype"/>
          <w:color w:val="000000"/>
        </w:rPr>
        <w:t>elementos</w:t>
      </w:r>
      <w:r w:rsidRPr="004F3E91">
        <w:rPr>
          <w:rFonts w:ascii="Palatino Linotype" w:eastAsia="MS Mincho" w:hAnsi="Palatino Linotype"/>
          <w:color w:val="000000"/>
        </w:rPr>
        <w:t>:</w:t>
      </w:r>
    </w:p>
    <w:p w14:paraId="5F1F4D98" w14:textId="5CD2212B" w:rsidR="00635CD0" w:rsidRPr="004F3E91" w:rsidRDefault="00774002"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iCs/>
          <w:lang w:val="es-MX"/>
        </w:rPr>
        <w:t xml:space="preserve">La Dirección General de Medio Ambiente informó exhibir una tabla con el registro de las denuncias ambientales en tema de ruido </w:t>
      </w:r>
      <w:r w:rsidR="00904953" w:rsidRPr="004F3E91">
        <w:rPr>
          <w:rFonts w:ascii="Palatino Linotype" w:eastAsia="MS Mincho" w:hAnsi="Palatino Linotype" w:cs="Arial"/>
          <w:iCs/>
          <w:lang w:val="es-MX"/>
        </w:rPr>
        <w:t>recabadas desde el uno (01) de enero de dos mil veintiuno al quince (15) de febrero de dos mil veintidós, en la que se identifica el medio de presentación (Twitter, Facebook, Oficio o Telefónica).</w:t>
      </w:r>
    </w:p>
    <w:p w14:paraId="3A7F2127" w14:textId="030E25EB" w:rsidR="00635CD0" w:rsidRPr="004F3E91" w:rsidRDefault="00904953"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iCs/>
          <w:lang w:val="es-MX"/>
        </w:rPr>
        <w:lastRenderedPageBreak/>
        <w:t>La Defensoría Municipal de Derechos Humanos señaló siete expedientes de la Comisión de Derechos Humanos del Estado de México, formados por quejas derivadas por exceso de ruido, y los números de oficio emitidos en respuesta.</w:t>
      </w:r>
    </w:p>
    <w:p w14:paraId="50D14E5C" w14:textId="69BD9C88" w:rsidR="00904953" w:rsidRPr="004F3E91" w:rsidRDefault="00904953"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iCs/>
          <w:lang w:val="es-MX"/>
        </w:rPr>
        <w:t>El Secretario del Ayuntamiento informó que no se tenía ningún registro de presentación de denuncias por exceso de ruido durante alguna de las Sesiones de Cabildo Abierto.</w:t>
      </w:r>
    </w:p>
    <w:p w14:paraId="2A2B0957" w14:textId="53C2C418" w:rsidR="00904953" w:rsidRPr="004F3E91" w:rsidRDefault="00904953"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iCs/>
          <w:lang w:val="es-MX"/>
        </w:rPr>
        <w:t xml:space="preserve">Respecto de los expedientes formados con motivo de las denuncias por exceso de ruido presentadas al ayuntamiento, se informó que el soporte documental relativo consistía en un total de 945 (NOVECIENTAS CUARENTA Y CINCO) fojas, mismas que fueron puestas a disposición del particular en Consulta Directa o </w:t>
      </w:r>
      <w:r w:rsidRPr="004F3E91">
        <w:rPr>
          <w:rFonts w:ascii="Palatino Linotype" w:eastAsia="MS Mincho" w:hAnsi="Palatino Linotype" w:cs="Arial"/>
          <w:i/>
          <w:lang w:val="es-MX"/>
        </w:rPr>
        <w:t>in situ</w:t>
      </w:r>
      <w:r w:rsidRPr="004F3E91">
        <w:rPr>
          <w:rFonts w:ascii="Palatino Linotype" w:eastAsia="MS Mincho" w:hAnsi="Palatino Linotype" w:cs="Arial"/>
          <w:iCs/>
          <w:lang w:val="es-MX"/>
        </w:rPr>
        <w:t xml:space="preserve"> en las oficinas de la Dirección General de Medio Ambiente.</w:t>
      </w:r>
    </w:p>
    <w:p w14:paraId="0218142A" w14:textId="77777777" w:rsidR="00635CD0" w:rsidRPr="004F3E91" w:rsidRDefault="00635CD0" w:rsidP="00635CD0">
      <w:pPr>
        <w:pStyle w:val="Prrafodelista"/>
        <w:spacing w:line="360" w:lineRule="auto"/>
        <w:ind w:left="0"/>
        <w:contextualSpacing/>
        <w:jc w:val="both"/>
        <w:rPr>
          <w:rFonts w:ascii="Palatino Linotype" w:eastAsia="MS Mincho" w:hAnsi="Palatino Linotype" w:cs="Arial"/>
          <w:iCs/>
          <w:lang w:val="es-MX"/>
        </w:rPr>
      </w:pPr>
    </w:p>
    <w:p w14:paraId="00331458" w14:textId="5907833A" w:rsidR="0023558C" w:rsidRPr="004F3E91" w:rsidRDefault="0023558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Acompañando al documento antes descrito, el </w:t>
      </w:r>
      <w:r w:rsidRPr="004F3E91">
        <w:rPr>
          <w:rFonts w:ascii="Palatino Linotype" w:eastAsia="MS Mincho" w:hAnsi="Palatino Linotype"/>
          <w:b/>
          <w:bCs/>
          <w:color w:val="000000"/>
        </w:rPr>
        <w:t>SUJETO OBLIGADO</w:t>
      </w:r>
      <w:r w:rsidRPr="004F3E91">
        <w:rPr>
          <w:rFonts w:ascii="Palatino Linotype" w:eastAsia="MS Mincho" w:hAnsi="Palatino Linotype"/>
          <w:color w:val="000000"/>
        </w:rPr>
        <w:t xml:space="preserve"> presentó el archivo titulado </w:t>
      </w:r>
      <w:r w:rsidRPr="004F3E91">
        <w:rPr>
          <w:rFonts w:ascii="Palatino Linotype" w:eastAsia="MS Mincho" w:hAnsi="Palatino Linotype"/>
          <w:b/>
          <w:bCs/>
          <w:i/>
          <w:iCs/>
          <w:color w:val="000000"/>
        </w:rPr>
        <w:t>“ANEXO TABLA 1 DENUNCIAS SAIMEX 491.pdf”</w:t>
      </w:r>
      <w:r w:rsidRPr="004F3E91">
        <w:rPr>
          <w:rFonts w:ascii="Palatino Linotype" w:eastAsia="MS Mincho" w:hAnsi="Palatino Linotype"/>
          <w:color w:val="000000"/>
        </w:rPr>
        <w:t>, consistente en el listado ofrecido por la Dirección General de Medio Ambiente, donde se muestra el folio de la denuncia, fecha de presentación, medio de recepción, unidad territorial, delegación, asunto, motivo y respuesta ofrecida por la autoridad. Se adjunta a continuación un fragmento del documento a modo de referencia:</w:t>
      </w:r>
    </w:p>
    <w:p w14:paraId="2EB05E6A" w14:textId="1042408F" w:rsidR="0023558C" w:rsidRPr="004F3E91" w:rsidRDefault="0023558C" w:rsidP="0023558C">
      <w:pPr>
        <w:pStyle w:val="Prrafodelista"/>
        <w:spacing w:line="360" w:lineRule="auto"/>
        <w:ind w:left="0"/>
        <w:contextualSpacing/>
        <w:jc w:val="both"/>
        <w:rPr>
          <w:rFonts w:ascii="Palatino Linotype" w:eastAsia="MS Mincho" w:hAnsi="Palatino Linotype" w:cs="Arial"/>
          <w:i/>
          <w:lang w:val="es-MX"/>
        </w:rPr>
      </w:pPr>
    </w:p>
    <w:p w14:paraId="58B3646C" w14:textId="6BA7E068" w:rsidR="0023558C" w:rsidRPr="004F3E91" w:rsidRDefault="0023558C" w:rsidP="0023558C">
      <w:pPr>
        <w:pStyle w:val="Prrafodelista"/>
        <w:spacing w:line="360" w:lineRule="auto"/>
        <w:ind w:left="0"/>
        <w:contextualSpacing/>
        <w:jc w:val="center"/>
        <w:rPr>
          <w:rFonts w:ascii="Palatino Linotype" w:eastAsia="MS Mincho" w:hAnsi="Palatino Linotype" w:cs="Arial"/>
          <w:iCs/>
          <w:lang w:val="es-MX"/>
        </w:rPr>
      </w:pPr>
      <w:r w:rsidRPr="004F3E91">
        <w:rPr>
          <w:rFonts w:ascii="Palatino Linotype" w:eastAsia="MS Mincho" w:hAnsi="Palatino Linotype" w:cs="Arial"/>
          <w:iCs/>
          <w:noProof/>
          <w:lang w:val="es-MX" w:eastAsia="es-MX"/>
        </w:rPr>
        <w:lastRenderedPageBreak/>
        <w:drawing>
          <wp:inline distT="0" distB="0" distL="0" distR="0" wp14:anchorId="2258D624" wp14:editId="5F2B4357">
            <wp:extent cx="4838065" cy="1964488"/>
            <wp:effectExtent l="57150" t="57150" r="95885" b="93345"/>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13"/>
                    <a:stretch>
                      <a:fillRect/>
                    </a:stretch>
                  </pic:blipFill>
                  <pic:spPr>
                    <a:xfrm>
                      <a:off x="0" y="0"/>
                      <a:ext cx="4860720" cy="19736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ED1014" w14:textId="77777777" w:rsidR="0023558C" w:rsidRPr="004F3E91" w:rsidRDefault="0023558C" w:rsidP="0023558C">
      <w:pPr>
        <w:pStyle w:val="Prrafodelista"/>
        <w:spacing w:line="360" w:lineRule="auto"/>
        <w:ind w:left="0"/>
        <w:contextualSpacing/>
        <w:jc w:val="both"/>
        <w:rPr>
          <w:rFonts w:ascii="Palatino Linotype" w:eastAsia="MS Mincho" w:hAnsi="Palatino Linotype" w:cs="Arial"/>
          <w:i/>
          <w:lang w:val="es-MX"/>
        </w:rPr>
      </w:pPr>
    </w:p>
    <w:p w14:paraId="5BD847B2" w14:textId="275AD1F0" w:rsidR="00E63F59" w:rsidRPr="004F3E91" w:rsidRDefault="0023558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Expuesto</w:t>
      </w:r>
      <w:r w:rsidR="00E63F59" w:rsidRPr="004F3E91">
        <w:rPr>
          <w:rFonts w:ascii="Palatino Linotype" w:eastAsia="MS Mincho" w:hAnsi="Palatino Linotype"/>
          <w:color w:val="000000"/>
        </w:rPr>
        <w:t xml:space="preserve"> </w:t>
      </w:r>
      <w:r w:rsidR="00E63F59" w:rsidRPr="004F3E91">
        <w:rPr>
          <w:rFonts w:ascii="Palatino Linotype" w:hAnsi="Palatino Linotype"/>
          <w:color w:val="000000" w:themeColor="text1"/>
        </w:rPr>
        <w:t xml:space="preserve">lo anterior, toda vez que el </w:t>
      </w:r>
      <w:r w:rsidR="00E63F59" w:rsidRPr="004F3E91">
        <w:rPr>
          <w:rFonts w:ascii="Palatino Linotype" w:hAnsi="Palatino Linotype"/>
          <w:b/>
          <w:color w:val="000000" w:themeColor="text1"/>
        </w:rPr>
        <w:t>SUJETO OBLIGADO</w:t>
      </w:r>
      <w:r w:rsidR="00E63F59" w:rsidRPr="004F3E91">
        <w:rPr>
          <w:rFonts w:ascii="Palatino Linotype" w:hAnsi="Palatino Linotype"/>
          <w:color w:val="000000" w:themeColor="text1"/>
        </w:rPr>
        <w:t xml:space="preserve"> se pronunció respecto de la información solicitada, conviene obviar el análisis de competencia </w:t>
      </w:r>
      <w:r w:rsidR="001223F8" w:rsidRPr="004F3E91">
        <w:rPr>
          <w:rFonts w:ascii="Palatino Linotype" w:hAnsi="Palatino Linotype"/>
          <w:color w:val="000000" w:themeColor="text1"/>
        </w:rPr>
        <w:t xml:space="preserve">del </w:t>
      </w:r>
      <w:r w:rsidR="0041030E" w:rsidRPr="004F3E91">
        <w:rPr>
          <w:rFonts w:ascii="Palatino Linotype" w:hAnsi="Palatino Linotype"/>
          <w:color w:val="000000" w:themeColor="text1"/>
        </w:rPr>
        <w:t>Ayuntamiento de Toluca</w:t>
      </w:r>
      <w:r w:rsidR="00E63F59" w:rsidRPr="004F3E91">
        <w:rPr>
          <w:rFonts w:ascii="Palatino Linotype" w:hAnsi="Palatino Linotype"/>
          <w:color w:val="000000" w:themeColor="text1"/>
        </w:rPr>
        <w:t xml:space="preserve"> para generar, administrar o poseer la misma, dado que éste la asumió mediante su respuesta a la solicitud de información.</w:t>
      </w:r>
    </w:p>
    <w:p w14:paraId="213A7CE0" w14:textId="77777777" w:rsidR="00E63F59" w:rsidRPr="004F3E91" w:rsidRDefault="00E63F59" w:rsidP="00B07863">
      <w:pPr>
        <w:pStyle w:val="Prrafodelista"/>
        <w:spacing w:line="360" w:lineRule="auto"/>
        <w:ind w:left="0"/>
        <w:contextualSpacing/>
        <w:jc w:val="both"/>
        <w:rPr>
          <w:rFonts w:ascii="Palatino Linotype" w:eastAsia="MS Mincho" w:hAnsi="Palatino Linotype" w:cs="Arial"/>
          <w:i/>
          <w:lang w:val="es-MX"/>
        </w:rPr>
      </w:pPr>
    </w:p>
    <w:p w14:paraId="399872A3" w14:textId="3D099AD4" w:rsidR="00E63F59" w:rsidRPr="004F3E91"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Lo </w:t>
      </w:r>
      <w:r w:rsidRPr="004F3E91">
        <w:rPr>
          <w:rFonts w:ascii="Palatino Linotype" w:hAnsi="Palatino Linotype" w:cs="Arial"/>
        </w:rPr>
        <w:t xml:space="preserve">anterior </w:t>
      </w:r>
      <w:r w:rsidRPr="004F3E91">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4F3E91">
        <w:rPr>
          <w:rFonts w:ascii="Palatino Linotype" w:hAnsi="Palatino Linotype"/>
          <w:b/>
          <w:color w:val="000000" w:themeColor="text1"/>
        </w:rPr>
        <w:t>SUJETO OBLIGADO</w:t>
      </w:r>
      <w:r w:rsidRPr="004F3E91">
        <w:rPr>
          <w:rFonts w:ascii="Palatino Linotype" w:hAnsi="Palatino Linotype"/>
          <w:color w:val="000000" w:themeColor="text1"/>
        </w:rPr>
        <w:t xml:space="preserve">; empero, en aquellos casos en que éste la asume, implica </w:t>
      </w:r>
      <w:r w:rsidRPr="004F3E91">
        <w:rPr>
          <w:rFonts w:ascii="Palatino Linotype" w:hAnsi="Palatino Linotype"/>
          <w:i/>
          <w:color w:val="000000" w:themeColor="text1"/>
        </w:rPr>
        <w:t>de facto</w:t>
      </w:r>
      <w:r w:rsidRPr="004F3E91">
        <w:rPr>
          <w:rFonts w:ascii="Palatino Linotype" w:hAnsi="Palatino Linotype"/>
          <w:color w:val="000000" w:themeColor="text1"/>
        </w:rPr>
        <w:t xml:space="preserve"> que la genera, posee o administra. Por consiguiente, a nada práctico nos conduciría su estudio, ya que, se insiste, la información pública solicitada, consistente en </w:t>
      </w:r>
      <w:r w:rsidR="0023558C" w:rsidRPr="004F3E91">
        <w:rPr>
          <w:rFonts w:ascii="Palatino Linotype" w:hAnsi="Palatino Linotype"/>
          <w:color w:val="000000" w:themeColor="text1"/>
        </w:rPr>
        <w:t>las denuncias presentadas con motivo de exceso de ruido</w:t>
      </w:r>
      <w:r w:rsidRPr="004F3E91">
        <w:rPr>
          <w:rFonts w:ascii="Palatino Linotype" w:hAnsi="Palatino Linotype"/>
          <w:color w:val="000000" w:themeColor="text1"/>
        </w:rPr>
        <w:t xml:space="preserve">, ha sido asumida por el </w:t>
      </w:r>
      <w:r w:rsidRPr="004F3E91">
        <w:rPr>
          <w:rFonts w:ascii="Palatino Linotype" w:hAnsi="Palatino Linotype"/>
          <w:b/>
          <w:color w:val="000000" w:themeColor="text1"/>
        </w:rPr>
        <w:t>SUJETO OBLIGADO</w:t>
      </w:r>
      <w:r w:rsidRPr="004F3E91">
        <w:rPr>
          <w:rFonts w:ascii="Palatino Linotype" w:hAnsi="Palatino Linotype"/>
          <w:color w:val="000000" w:themeColor="text1"/>
        </w:rPr>
        <w:t>.</w:t>
      </w:r>
    </w:p>
    <w:p w14:paraId="30DB9724" w14:textId="77777777" w:rsidR="00E63F59" w:rsidRPr="004F3E91" w:rsidRDefault="00E63F59" w:rsidP="00B07863">
      <w:pPr>
        <w:pStyle w:val="Prrafodelista"/>
        <w:spacing w:line="360" w:lineRule="auto"/>
        <w:ind w:left="0"/>
        <w:contextualSpacing/>
        <w:jc w:val="both"/>
        <w:rPr>
          <w:rFonts w:ascii="Palatino Linotype" w:eastAsia="MS Mincho" w:hAnsi="Palatino Linotype" w:cs="Arial"/>
          <w:i/>
          <w:lang w:val="es-MX"/>
        </w:rPr>
      </w:pPr>
    </w:p>
    <w:p w14:paraId="4044408D" w14:textId="0FAACC55" w:rsidR="00E63F59" w:rsidRPr="004F3E91"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En </w:t>
      </w:r>
      <w:r w:rsidRPr="004F3E91">
        <w:rPr>
          <w:rFonts w:ascii="Palatino Linotype" w:hAnsi="Palatino Linotype"/>
          <w:color w:val="000000" w:themeColor="text1"/>
        </w:rPr>
        <w:t xml:space="preserve">ese sentido, al existir un pronunciamiento directo por parte del </w:t>
      </w:r>
      <w:r w:rsidRPr="004F3E91">
        <w:rPr>
          <w:rFonts w:ascii="Palatino Linotype" w:hAnsi="Palatino Linotype"/>
          <w:b/>
          <w:color w:val="000000" w:themeColor="text1"/>
        </w:rPr>
        <w:t>SUJETO OBLIGADO</w:t>
      </w:r>
      <w:r w:rsidRPr="004F3E91">
        <w:rPr>
          <w:rFonts w:ascii="Palatino Linotype" w:hAnsi="Palatino Linotype"/>
          <w:color w:val="000000" w:themeColor="text1"/>
        </w:rPr>
        <w:t xml:space="preserve">, a fin de atender la solicitud planteada por el hoy </w:t>
      </w:r>
      <w:r w:rsidRPr="004F3E91">
        <w:rPr>
          <w:rFonts w:ascii="Palatino Linotype" w:hAnsi="Palatino Linotype"/>
          <w:b/>
          <w:color w:val="000000" w:themeColor="text1"/>
        </w:rPr>
        <w:t>RECURRENTE</w:t>
      </w:r>
      <w:r w:rsidRPr="004F3E91">
        <w:rPr>
          <w:rFonts w:ascii="Palatino Linotype" w:hAnsi="Palatino Linotype"/>
          <w:color w:val="000000" w:themeColor="text1"/>
        </w:rPr>
        <w:t xml:space="preserve">, es necesario señalar que este Órgano Garante no está facultado para pronunciarse </w:t>
      </w:r>
      <w:r w:rsidRPr="004F3E91">
        <w:rPr>
          <w:rFonts w:ascii="Palatino Linotype" w:hAnsi="Palatino Linotype"/>
          <w:color w:val="000000" w:themeColor="text1"/>
        </w:rPr>
        <w:lastRenderedPageBreak/>
        <w:t xml:space="preserve">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4F3E91">
        <w:rPr>
          <w:rFonts w:ascii="Palatino Linotype" w:hAnsi="Palatino Linotype"/>
          <w:bCs/>
          <w:iCs/>
          <w:color w:val="000000" w:themeColor="text1"/>
        </w:rPr>
        <w:t>SAIMEX</w:t>
      </w:r>
      <w:r w:rsidRPr="004F3E91">
        <w:rPr>
          <w:rFonts w:ascii="Palatino Linotype" w:hAnsi="Palatino Linotype"/>
          <w:color w:val="000000" w:themeColor="text1"/>
        </w:rPr>
        <w:t>.</w:t>
      </w:r>
    </w:p>
    <w:p w14:paraId="37087CD8" w14:textId="77777777" w:rsidR="00E63F59" w:rsidRPr="004F3E91" w:rsidRDefault="00E63F59" w:rsidP="00B07863">
      <w:pPr>
        <w:pStyle w:val="Prrafodelista"/>
        <w:spacing w:line="360" w:lineRule="auto"/>
        <w:ind w:left="0"/>
        <w:contextualSpacing/>
        <w:jc w:val="both"/>
        <w:rPr>
          <w:rFonts w:ascii="Palatino Linotype" w:eastAsia="MS Mincho" w:hAnsi="Palatino Linotype" w:cs="Arial"/>
          <w:i/>
          <w:lang w:val="es-MX"/>
        </w:rPr>
      </w:pPr>
    </w:p>
    <w:p w14:paraId="47F7D46B" w14:textId="5BD89636" w:rsidR="00E63F59" w:rsidRPr="004F3E91"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olor w:val="000000"/>
        </w:rPr>
        <w:t xml:space="preserve">Lo </w:t>
      </w:r>
      <w:r w:rsidRPr="004F3E91">
        <w:rPr>
          <w:rFonts w:ascii="Palatino Linotype" w:eastAsia="MS Mincho" w:hAnsi="Palatino Linotype"/>
        </w:rPr>
        <w:t>anterior encuentra sustento mediante el Criterio 31-10 emitido por el entonces Instituto Federal de Acceso a la Información y Protección de Datos, mismo que dice:</w:t>
      </w:r>
    </w:p>
    <w:p w14:paraId="72C8C855" w14:textId="46DBBFE5" w:rsidR="00F56D3C" w:rsidRPr="004F3E91" w:rsidRDefault="00F56D3C" w:rsidP="00F56D3C">
      <w:pPr>
        <w:pStyle w:val="Prrafodelista"/>
        <w:spacing w:line="360" w:lineRule="auto"/>
        <w:ind w:left="0"/>
        <w:contextualSpacing/>
        <w:jc w:val="both"/>
        <w:rPr>
          <w:rFonts w:ascii="Palatino Linotype" w:eastAsia="MS Mincho" w:hAnsi="Palatino Linotype" w:cs="Arial"/>
          <w:iCs/>
          <w:lang w:val="es-MX"/>
        </w:rPr>
      </w:pPr>
    </w:p>
    <w:p w14:paraId="3BE71257" w14:textId="77777777" w:rsidR="001223F8" w:rsidRPr="004F3E91" w:rsidRDefault="001223F8" w:rsidP="001223F8">
      <w:pPr>
        <w:pStyle w:val="Sinespaciado"/>
        <w:spacing w:line="276" w:lineRule="auto"/>
        <w:ind w:left="567" w:right="567"/>
        <w:jc w:val="both"/>
        <w:rPr>
          <w:rFonts w:ascii="Palatino Linotype" w:hAnsi="Palatino Linotype"/>
          <w:i/>
          <w:sz w:val="22"/>
          <w:szCs w:val="22"/>
          <w:lang w:val="es-ES"/>
        </w:rPr>
      </w:pPr>
      <w:r w:rsidRPr="004F3E91">
        <w:rPr>
          <w:rFonts w:ascii="Palatino Linotype" w:hAnsi="Palatino Linotype"/>
          <w:i/>
          <w:sz w:val="22"/>
          <w:szCs w:val="22"/>
          <w:lang w:val="es-ES"/>
        </w:rPr>
        <w:t>“</w:t>
      </w:r>
      <w:r w:rsidRPr="004F3E91">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4F3E91">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106B31" w14:textId="77777777" w:rsidR="001223F8" w:rsidRPr="004F3E91" w:rsidRDefault="001223F8" w:rsidP="00F56D3C">
      <w:pPr>
        <w:pStyle w:val="Prrafodelista"/>
        <w:spacing w:line="360" w:lineRule="auto"/>
        <w:ind w:left="0"/>
        <w:contextualSpacing/>
        <w:jc w:val="both"/>
        <w:rPr>
          <w:rFonts w:ascii="Palatino Linotype" w:eastAsia="MS Mincho" w:hAnsi="Palatino Linotype" w:cs="Arial"/>
          <w:iCs/>
          <w:lang w:val="es-MX"/>
        </w:rPr>
      </w:pPr>
    </w:p>
    <w:p w14:paraId="5AF40E49" w14:textId="36DFF755" w:rsidR="00635CD0" w:rsidRPr="004F3E91" w:rsidRDefault="00BB6BCB"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lang w:val="es-ES_tradnl"/>
        </w:rPr>
        <w:t xml:space="preserve"> </w:t>
      </w:r>
      <w:r w:rsidR="00635CD0" w:rsidRPr="004F3E91">
        <w:rPr>
          <w:rFonts w:ascii="Palatino Linotype" w:eastAsia="MS Mincho" w:hAnsi="Palatino Linotype"/>
          <w:lang w:val="es-ES_tradnl"/>
        </w:rPr>
        <w:t xml:space="preserve">Dicho lo anterior, y de las constancias que obran en el expediente digital formado en el SAIMEX, se aprecia que el </w:t>
      </w:r>
      <w:r w:rsidR="00635CD0" w:rsidRPr="004F3E91">
        <w:rPr>
          <w:rFonts w:ascii="Palatino Linotype" w:eastAsia="MS Mincho" w:hAnsi="Palatino Linotype"/>
          <w:b/>
          <w:bCs/>
          <w:lang w:val="es-ES_tradnl"/>
        </w:rPr>
        <w:t>RECURRENTE</w:t>
      </w:r>
      <w:r w:rsidR="00635CD0" w:rsidRPr="004F3E91">
        <w:rPr>
          <w:rFonts w:ascii="Palatino Linotype" w:eastAsia="MS Mincho" w:hAnsi="Palatino Linotype"/>
          <w:lang w:val="es-ES_tradnl"/>
        </w:rPr>
        <w:t xml:space="preserve"> impugnó la respuesta proporcionada por el </w:t>
      </w:r>
      <w:r w:rsidR="00635CD0" w:rsidRPr="004F3E91">
        <w:rPr>
          <w:rFonts w:ascii="Palatino Linotype" w:eastAsia="MS Mincho" w:hAnsi="Palatino Linotype"/>
          <w:b/>
          <w:bCs/>
          <w:lang w:val="es-ES_tradnl"/>
        </w:rPr>
        <w:t>SUJETO OBLIGADO</w:t>
      </w:r>
      <w:r w:rsidR="00635CD0" w:rsidRPr="004F3E91">
        <w:rPr>
          <w:rFonts w:ascii="Palatino Linotype" w:eastAsia="MS Mincho" w:hAnsi="Palatino Linotype"/>
          <w:lang w:val="es-ES_tradnl"/>
        </w:rPr>
        <w:t xml:space="preserve"> mediante el recurso de revisión indicado al rubro, y en el que señaló por agravios, lo siguiente:</w:t>
      </w:r>
    </w:p>
    <w:p w14:paraId="492057DD" w14:textId="330008C1" w:rsidR="00635CD0" w:rsidRPr="004F3E91" w:rsidRDefault="002E1CDB" w:rsidP="00635CD0">
      <w:pPr>
        <w:pStyle w:val="Prrafodelista"/>
        <w:numPr>
          <w:ilvl w:val="1"/>
          <w:numId w:val="14"/>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lang w:val="es-ES_tradnl"/>
        </w:rPr>
        <w:t xml:space="preserve">El </w:t>
      </w:r>
      <w:r w:rsidR="00635CD0" w:rsidRPr="004F3E91">
        <w:rPr>
          <w:rFonts w:ascii="Palatino Linotype" w:eastAsia="MS Mincho" w:hAnsi="Palatino Linotype"/>
          <w:lang w:val="es-ES_tradnl"/>
        </w:rPr>
        <w:t>cambio en la modalidad de entrega de la información</w:t>
      </w:r>
      <w:r w:rsidRPr="004F3E91">
        <w:rPr>
          <w:rFonts w:ascii="Palatino Linotype" w:eastAsia="MS Mincho" w:hAnsi="Palatino Linotype"/>
          <w:lang w:val="es-ES_tradnl"/>
        </w:rPr>
        <w:t xml:space="preserve"> sin justificación;</w:t>
      </w:r>
    </w:p>
    <w:p w14:paraId="235C9AD9" w14:textId="45BF27E4" w:rsidR="002E1CDB" w:rsidRPr="004F3E91" w:rsidRDefault="002E1CDB" w:rsidP="00635CD0">
      <w:pPr>
        <w:pStyle w:val="Prrafodelista"/>
        <w:numPr>
          <w:ilvl w:val="1"/>
          <w:numId w:val="14"/>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lang w:val="es-ES_tradnl"/>
        </w:rPr>
        <w:lastRenderedPageBreak/>
        <w:t>La omisión a contestar los requerimientos como fueron solicitados; y</w:t>
      </w:r>
    </w:p>
    <w:p w14:paraId="3918DEF6" w14:textId="23CB0172" w:rsidR="002E1CDB" w:rsidRPr="004F3E91" w:rsidRDefault="002E1CDB" w:rsidP="002E1CDB">
      <w:pPr>
        <w:pStyle w:val="Prrafodelista"/>
        <w:numPr>
          <w:ilvl w:val="1"/>
          <w:numId w:val="14"/>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lang w:val="es-ES_tradnl"/>
        </w:rPr>
        <w:t>La clasificación de información pública.</w:t>
      </w:r>
    </w:p>
    <w:p w14:paraId="3AEBBDE1" w14:textId="77777777" w:rsidR="008863E0" w:rsidRPr="004F3E91" w:rsidRDefault="008863E0" w:rsidP="008863E0">
      <w:pPr>
        <w:pStyle w:val="Prrafodelista"/>
        <w:spacing w:line="360" w:lineRule="auto"/>
        <w:ind w:left="0"/>
        <w:contextualSpacing/>
        <w:jc w:val="both"/>
        <w:rPr>
          <w:rFonts w:ascii="Palatino Linotype" w:eastAsia="MS Mincho" w:hAnsi="Palatino Linotype" w:cs="Arial"/>
          <w:lang w:val="es-MX"/>
        </w:rPr>
      </w:pPr>
    </w:p>
    <w:p w14:paraId="5CC3CE59" w14:textId="28ACE75A" w:rsidR="00EE17A7" w:rsidRPr="004F3E91" w:rsidRDefault="00EE17A7"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Expuesto lo anterior, podemos realizar una tabla comparativa que permita relacionar los distintos requerimientos formulados con el </w:t>
      </w:r>
      <w:r w:rsidRPr="004F3E91">
        <w:rPr>
          <w:rFonts w:ascii="Palatino Linotype" w:eastAsia="MS Mincho" w:hAnsi="Palatino Linotype" w:cs="Arial"/>
          <w:b/>
          <w:bCs/>
          <w:color w:val="000000"/>
          <w:lang w:val="es-ES_tradnl"/>
        </w:rPr>
        <w:t>RECURRENTE</w:t>
      </w:r>
      <w:r w:rsidRPr="004F3E91">
        <w:rPr>
          <w:rFonts w:ascii="Palatino Linotype" w:eastAsia="MS Mincho" w:hAnsi="Palatino Linotype" w:cs="Arial"/>
          <w:color w:val="000000"/>
          <w:lang w:val="es-ES_tradnl"/>
        </w:rPr>
        <w:t xml:space="preserve"> contra la respuesta proveída por el </w:t>
      </w:r>
      <w:r w:rsidRPr="004F3E91">
        <w:rPr>
          <w:rFonts w:ascii="Palatino Linotype" w:eastAsia="MS Mincho" w:hAnsi="Palatino Linotype" w:cs="Arial"/>
          <w:b/>
          <w:bCs/>
          <w:color w:val="000000"/>
          <w:lang w:val="es-ES_tradnl"/>
        </w:rPr>
        <w:t>SUJETO OBLIGADO</w:t>
      </w:r>
      <w:r w:rsidRPr="004F3E91">
        <w:rPr>
          <w:rFonts w:ascii="Palatino Linotype" w:eastAsia="MS Mincho" w:hAnsi="Palatino Linotype" w:cs="Arial"/>
          <w:color w:val="000000"/>
          <w:lang w:val="es-ES_tradnl"/>
        </w:rPr>
        <w:t>, misma que se conforma de la siguiente manera:</w:t>
      </w:r>
    </w:p>
    <w:p w14:paraId="0C342A76" w14:textId="484D9E46" w:rsidR="00EE17A7" w:rsidRPr="004F3E91" w:rsidRDefault="00EE17A7" w:rsidP="00EE17A7">
      <w:pPr>
        <w:pStyle w:val="Prrafodelista"/>
        <w:spacing w:line="360" w:lineRule="auto"/>
        <w:ind w:left="0"/>
        <w:contextualSpacing/>
        <w:jc w:val="both"/>
        <w:rPr>
          <w:rFonts w:ascii="Palatino Linotype" w:eastAsia="MS Mincho" w:hAnsi="Palatino Linotype" w:cs="Arial"/>
          <w:color w:val="000000"/>
          <w:lang w:val="es-ES_tradnl"/>
        </w:rPr>
      </w:pPr>
    </w:p>
    <w:tbl>
      <w:tblPr>
        <w:tblStyle w:val="Tablaconcuadrcula"/>
        <w:tblW w:w="0" w:type="auto"/>
        <w:tblLook w:val="04A0" w:firstRow="1" w:lastRow="0" w:firstColumn="1" w:lastColumn="0" w:noHBand="0" w:noVBand="1"/>
      </w:tblPr>
      <w:tblGrid>
        <w:gridCol w:w="1555"/>
        <w:gridCol w:w="1559"/>
        <w:gridCol w:w="3606"/>
        <w:gridCol w:w="2099"/>
      </w:tblGrid>
      <w:tr w:rsidR="00EE17A7" w:rsidRPr="004F3E91" w14:paraId="1F453874" w14:textId="77777777" w:rsidTr="00721E71">
        <w:tc>
          <w:tcPr>
            <w:tcW w:w="3114" w:type="dxa"/>
            <w:gridSpan w:val="2"/>
            <w:shd w:val="clear" w:color="auto" w:fill="BFBFBF" w:themeFill="background1" w:themeFillShade="BF"/>
            <w:vAlign w:val="center"/>
          </w:tcPr>
          <w:p w14:paraId="69659289" w14:textId="2B6C1CF8" w:rsidR="00EE17A7" w:rsidRPr="004F3E91" w:rsidRDefault="00EE17A7" w:rsidP="00EE17A7">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SOLICITUD DE INFORMACIÓN</w:t>
            </w:r>
          </w:p>
        </w:tc>
        <w:tc>
          <w:tcPr>
            <w:tcW w:w="3606" w:type="dxa"/>
            <w:shd w:val="clear" w:color="auto" w:fill="BFBFBF" w:themeFill="background1" w:themeFillShade="BF"/>
            <w:vAlign w:val="center"/>
          </w:tcPr>
          <w:p w14:paraId="053D712D" w14:textId="1DB2A4B6" w:rsidR="00EE17A7" w:rsidRPr="004F3E91" w:rsidRDefault="00EE17A7" w:rsidP="00EE17A7">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RESPUESTA</w:t>
            </w:r>
          </w:p>
        </w:tc>
        <w:tc>
          <w:tcPr>
            <w:tcW w:w="2099" w:type="dxa"/>
            <w:shd w:val="clear" w:color="auto" w:fill="BFBFBF" w:themeFill="background1" w:themeFillShade="BF"/>
            <w:vAlign w:val="center"/>
          </w:tcPr>
          <w:p w14:paraId="212B9022" w14:textId="69D7AAB4" w:rsidR="00EE17A7" w:rsidRPr="004F3E91" w:rsidRDefault="00EE17A7" w:rsidP="00EE17A7">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¿SE COLMA EL REQUERIMIENTO?</w:t>
            </w:r>
          </w:p>
        </w:tc>
      </w:tr>
      <w:tr w:rsidR="00721E71" w:rsidRPr="004F3E91" w14:paraId="1E73B1BC" w14:textId="77777777" w:rsidTr="00721E71">
        <w:tc>
          <w:tcPr>
            <w:tcW w:w="3114" w:type="dxa"/>
            <w:gridSpan w:val="2"/>
          </w:tcPr>
          <w:p w14:paraId="1AA93E01" w14:textId="4D5593D5"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Denuncias vecinales presentadas ante el municipio por exceso de ruido, desde el uno (01) de enero de dos mil veintiuno hasta el quince (15) de febrero de dos mil veintidós.</w:t>
            </w:r>
          </w:p>
        </w:tc>
        <w:tc>
          <w:tcPr>
            <w:tcW w:w="3606" w:type="dxa"/>
          </w:tcPr>
          <w:p w14:paraId="5CE0EC8F" w14:textId="3E34FD7F" w:rsidR="00721E71" w:rsidRPr="004F3E91" w:rsidRDefault="00721E71" w:rsidP="00EE17A7">
            <w:pPr>
              <w:pStyle w:val="Prrafodelista"/>
              <w:ind w:left="0"/>
              <w:contextualSpacing/>
              <w:jc w:val="both"/>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color w:val="000000"/>
                <w:sz w:val="20"/>
                <w:szCs w:val="20"/>
                <w:lang w:val="es-ES_tradnl"/>
              </w:rPr>
              <w:t>La Dirección General de Medio Ambiente presentó un registro que enlista a todas las denuncias presentadas por exceso de ruido, del uno (01) de enero de dos mil veintiuno al quince (15) de febrero de dos mil veintidós.</w:t>
            </w:r>
          </w:p>
        </w:tc>
        <w:tc>
          <w:tcPr>
            <w:tcW w:w="2099" w:type="dxa"/>
            <w:vAlign w:val="center"/>
          </w:tcPr>
          <w:p w14:paraId="3BE01433" w14:textId="677AA4A1" w:rsidR="00721E71" w:rsidRPr="004F3E91" w:rsidRDefault="00721E71"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SÍ</w:t>
            </w:r>
          </w:p>
        </w:tc>
      </w:tr>
      <w:tr w:rsidR="00721E71" w:rsidRPr="004F3E91" w14:paraId="1B4F0BAD" w14:textId="77777777" w:rsidTr="00721E71">
        <w:tc>
          <w:tcPr>
            <w:tcW w:w="1555" w:type="dxa"/>
            <w:vMerge w:val="restart"/>
          </w:tcPr>
          <w:p w14:paraId="57763E88" w14:textId="4C83D3E3"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Señalar cuáles fueron presentadas a través de los siguientes medios:</w:t>
            </w:r>
          </w:p>
        </w:tc>
        <w:tc>
          <w:tcPr>
            <w:tcW w:w="1559" w:type="dxa"/>
          </w:tcPr>
          <w:p w14:paraId="7CAF7603" w14:textId="2D52E7DE"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Redes sociales</w:t>
            </w:r>
          </w:p>
        </w:tc>
        <w:tc>
          <w:tcPr>
            <w:tcW w:w="3606" w:type="dxa"/>
          </w:tcPr>
          <w:p w14:paraId="6E49BAF3" w14:textId="5CE55E5F" w:rsidR="00721E71" w:rsidRPr="004F3E91" w:rsidRDefault="00721E71" w:rsidP="00EE17A7">
            <w:pPr>
              <w:pStyle w:val="Prrafodelista"/>
              <w:ind w:left="0"/>
              <w:contextualSpacing/>
              <w:jc w:val="both"/>
              <w:rPr>
                <w:rFonts w:eastAsia="MS Mincho"/>
              </w:rPr>
            </w:pPr>
            <w:r w:rsidRPr="004F3E91">
              <w:rPr>
                <w:rFonts w:ascii="Palatino Linotype" w:eastAsia="MS Mincho" w:hAnsi="Palatino Linotype" w:cs="Arial"/>
                <w:color w:val="000000"/>
                <w:sz w:val="20"/>
                <w:szCs w:val="20"/>
                <w:lang w:val="es-ES_tradnl"/>
              </w:rPr>
              <w:t xml:space="preserve">El registro de denuncias presentado por la Dirección General de Medio Ambiente considera un rubro donde se señala el medio de recepción de las denuncias donde, en dicha columna, aparecen registros promovidos a través de las redes sociales </w:t>
            </w:r>
            <w:r w:rsidRPr="004F3E91">
              <w:rPr>
                <w:rFonts w:ascii="Palatino Linotype" w:eastAsia="MS Mincho" w:hAnsi="Palatino Linotype" w:cs="Arial"/>
                <w:i/>
                <w:iCs/>
                <w:color w:val="000000"/>
                <w:sz w:val="20"/>
                <w:szCs w:val="20"/>
                <w:lang w:val="es-ES_tradnl"/>
              </w:rPr>
              <w:t xml:space="preserve">Facebook </w:t>
            </w:r>
            <w:r w:rsidRPr="004F3E91">
              <w:rPr>
                <w:rFonts w:ascii="Palatino Linotype" w:eastAsia="MS Mincho" w:hAnsi="Palatino Linotype" w:cs="Arial"/>
                <w:color w:val="000000"/>
                <w:sz w:val="20"/>
                <w:szCs w:val="20"/>
                <w:lang w:val="es-ES_tradnl"/>
              </w:rPr>
              <w:t>y</w:t>
            </w:r>
            <w:r w:rsidRPr="004F3E91">
              <w:rPr>
                <w:rFonts w:ascii="Palatino Linotype" w:eastAsia="MS Mincho" w:hAnsi="Palatino Linotype" w:cs="Arial"/>
                <w:i/>
                <w:iCs/>
                <w:color w:val="000000"/>
                <w:sz w:val="20"/>
                <w:szCs w:val="20"/>
                <w:lang w:val="es-ES_tradnl"/>
              </w:rPr>
              <w:t xml:space="preserve"> Twitter.</w:t>
            </w:r>
          </w:p>
        </w:tc>
        <w:tc>
          <w:tcPr>
            <w:tcW w:w="2099" w:type="dxa"/>
            <w:vAlign w:val="center"/>
          </w:tcPr>
          <w:p w14:paraId="1D95EA6D" w14:textId="644CFC5D" w:rsidR="00721E71" w:rsidRPr="004F3E91" w:rsidRDefault="00721E71"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SÍ</w:t>
            </w:r>
          </w:p>
        </w:tc>
      </w:tr>
      <w:tr w:rsidR="00721E71" w:rsidRPr="004F3E91" w14:paraId="2237B92A" w14:textId="77777777" w:rsidTr="00721E71">
        <w:tc>
          <w:tcPr>
            <w:tcW w:w="1555" w:type="dxa"/>
            <w:vMerge/>
          </w:tcPr>
          <w:p w14:paraId="427FA88A" w14:textId="77777777"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p>
        </w:tc>
        <w:tc>
          <w:tcPr>
            <w:tcW w:w="1559" w:type="dxa"/>
          </w:tcPr>
          <w:p w14:paraId="6867368F" w14:textId="69D358E4"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La Comisión Nacional de Derechos Humanos</w:t>
            </w:r>
          </w:p>
        </w:tc>
        <w:tc>
          <w:tcPr>
            <w:tcW w:w="3606" w:type="dxa"/>
          </w:tcPr>
          <w:p w14:paraId="367194EB" w14:textId="1722481B"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La Defensoría Municipal de Derechos Humanos informó, mediante una tabla informativa, la existencia de siete expedientes formados en la Comisión de Derechos Humanos del Estado de México, relacionados con denuncias por ruido excesivo.</w:t>
            </w:r>
          </w:p>
        </w:tc>
        <w:tc>
          <w:tcPr>
            <w:tcW w:w="2099" w:type="dxa"/>
            <w:vAlign w:val="center"/>
          </w:tcPr>
          <w:p w14:paraId="3E6ACC98" w14:textId="1FF55209" w:rsidR="00721E71" w:rsidRPr="004F3E91" w:rsidRDefault="00721E71"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NO</w:t>
            </w:r>
          </w:p>
        </w:tc>
      </w:tr>
      <w:tr w:rsidR="00721E71" w:rsidRPr="004F3E91" w14:paraId="359AF1C2" w14:textId="77777777" w:rsidTr="00721E71">
        <w:tc>
          <w:tcPr>
            <w:tcW w:w="1555" w:type="dxa"/>
            <w:vMerge/>
          </w:tcPr>
          <w:p w14:paraId="4EC740D8" w14:textId="77777777"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p>
        </w:tc>
        <w:tc>
          <w:tcPr>
            <w:tcW w:w="1559" w:type="dxa"/>
          </w:tcPr>
          <w:p w14:paraId="06DBDC59" w14:textId="7973BC1A"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Por escrito</w:t>
            </w:r>
          </w:p>
        </w:tc>
        <w:tc>
          <w:tcPr>
            <w:tcW w:w="3606" w:type="dxa"/>
          </w:tcPr>
          <w:p w14:paraId="4D0F8E56" w14:textId="56D9B65C"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 xml:space="preserve">El registro de denuncias presentado por la Dirección General de Medio Ambiente considera un rubro donde se señala el medio de recepción de las denuncias donde, en dicha columna, </w:t>
            </w:r>
            <w:r w:rsidRPr="004F3E91">
              <w:rPr>
                <w:rFonts w:ascii="Palatino Linotype" w:eastAsia="MS Mincho" w:hAnsi="Palatino Linotype" w:cs="Arial"/>
                <w:color w:val="000000"/>
                <w:sz w:val="20"/>
                <w:szCs w:val="20"/>
                <w:lang w:val="es-ES_tradnl"/>
              </w:rPr>
              <w:lastRenderedPageBreak/>
              <w:t>aparecen registros promovidos vía oficio, o lo que es lo mismo, por escrito.</w:t>
            </w:r>
          </w:p>
        </w:tc>
        <w:tc>
          <w:tcPr>
            <w:tcW w:w="2099" w:type="dxa"/>
            <w:vAlign w:val="center"/>
          </w:tcPr>
          <w:p w14:paraId="68D45A59" w14:textId="1E103B58" w:rsidR="00721E71" w:rsidRPr="004F3E91" w:rsidRDefault="00721E71"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lastRenderedPageBreak/>
              <w:t>SÍ</w:t>
            </w:r>
          </w:p>
        </w:tc>
      </w:tr>
      <w:tr w:rsidR="00721E71" w:rsidRPr="004F3E91" w14:paraId="12F5A560" w14:textId="77777777" w:rsidTr="00721E71">
        <w:tc>
          <w:tcPr>
            <w:tcW w:w="1555" w:type="dxa"/>
            <w:vMerge/>
          </w:tcPr>
          <w:p w14:paraId="143968C2" w14:textId="77777777"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p>
        </w:tc>
        <w:tc>
          <w:tcPr>
            <w:tcW w:w="1559" w:type="dxa"/>
          </w:tcPr>
          <w:p w14:paraId="272B6D15" w14:textId="4AEB7728"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En Sesiones de Cabildo Abierto</w:t>
            </w:r>
          </w:p>
        </w:tc>
        <w:tc>
          <w:tcPr>
            <w:tcW w:w="3606" w:type="dxa"/>
          </w:tcPr>
          <w:p w14:paraId="7974A6AD" w14:textId="54672D1C"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El Secretario del Ayuntamiento manifestó que no existían registros de denuncias presentadas durante las Sesiones de Cabildo abierto relacionadas con ruido excesivo.</w:t>
            </w:r>
          </w:p>
        </w:tc>
        <w:tc>
          <w:tcPr>
            <w:tcW w:w="2099" w:type="dxa"/>
            <w:vAlign w:val="center"/>
          </w:tcPr>
          <w:p w14:paraId="0B2B30A3" w14:textId="7DF9C1F9" w:rsidR="00721E71" w:rsidRPr="004F3E91" w:rsidRDefault="00721E71"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SÍ</w:t>
            </w:r>
          </w:p>
        </w:tc>
      </w:tr>
      <w:tr w:rsidR="00721E71" w:rsidRPr="004F3E91" w14:paraId="1411B7EB" w14:textId="77777777" w:rsidTr="00721E71">
        <w:tc>
          <w:tcPr>
            <w:tcW w:w="3114" w:type="dxa"/>
            <w:gridSpan w:val="2"/>
          </w:tcPr>
          <w:p w14:paraId="71155F63" w14:textId="004DB572" w:rsidR="00721E71" w:rsidRPr="004F3E91" w:rsidRDefault="00721E71"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Respuestas y seguimiento proveído a las denuncias.</w:t>
            </w:r>
          </w:p>
        </w:tc>
        <w:tc>
          <w:tcPr>
            <w:tcW w:w="3606" w:type="dxa"/>
          </w:tcPr>
          <w:p w14:paraId="516EFEAB" w14:textId="1B60581E" w:rsidR="00721E71" w:rsidRPr="004F3E91" w:rsidRDefault="006E0652" w:rsidP="00EE17A7">
            <w:pPr>
              <w:pStyle w:val="Prrafodelista"/>
              <w:ind w:left="0"/>
              <w:contextualSpacing/>
              <w:jc w:val="both"/>
              <w:rPr>
                <w:rFonts w:ascii="Palatino Linotype" w:eastAsia="MS Mincho" w:hAnsi="Palatino Linotype" w:cs="Arial"/>
                <w:color w:val="000000"/>
                <w:sz w:val="20"/>
                <w:szCs w:val="20"/>
                <w:lang w:val="es-ES_tradnl"/>
              </w:rPr>
            </w:pPr>
            <w:r w:rsidRPr="004F3E91">
              <w:rPr>
                <w:rFonts w:ascii="Palatino Linotype" w:eastAsia="MS Mincho" w:hAnsi="Palatino Linotype" w:cs="Arial"/>
                <w:color w:val="000000"/>
                <w:sz w:val="20"/>
                <w:szCs w:val="20"/>
                <w:lang w:val="es-ES_tradnl"/>
              </w:rPr>
              <w:t xml:space="preserve">El </w:t>
            </w:r>
            <w:r w:rsidRPr="004F3E91">
              <w:rPr>
                <w:rFonts w:ascii="Palatino Linotype" w:eastAsia="MS Mincho" w:hAnsi="Palatino Linotype" w:cs="Arial"/>
                <w:b/>
                <w:bCs/>
                <w:color w:val="000000"/>
                <w:sz w:val="20"/>
                <w:szCs w:val="20"/>
                <w:lang w:val="es-ES_tradnl"/>
              </w:rPr>
              <w:t>SUJETO OBLIGADO</w:t>
            </w:r>
            <w:r w:rsidRPr="004F3E91">
              <w:rPr>
                <w:rFonts w:ascii="Palatino Linotype" w:eastAsia="MS Mincho" w:hAnsi="Palatino Linotype" w:cs="Arial"/>
                <w:color w:val="000000"/>
                <w:sz w:val="20"/>
                <w:szCs w:val="20"/>
                <w:lang w:val="es-ES_tradnl"/>
              </w:rPr>
              <w:t xml:space="preserve"> informó que </w:t>
            </w:r>
            <w:r w:rsidR="007C1698" w:rsidRPr="004F3E91">
              <w:rPr>
                <w:rFonts w:ascii="Palatino Linotype" w:eastAsia="MS Mincho" w:hAnsi="Palatino Linotype" w:cs="Arial"/>
                <w:color w:val="000000"/>
                <w:sz w:val="20"/>
                <w:szCs w:val="20"/>
                <w:lang w:val="es-ES_tradnl"/>
              </w:rPr>
              <w:t>los expedientes formados por las denuncias relacionadas con ruido excesivo ascendían</w:t>
            </w:r>
            <w:r w:rsidRPr="004F3E91">
              <w:rPr>
                <w:rFonts w:ascii="Palatino Linotype" w:eastAsia="MS Mincho" w:hAnsi="Palatino Linotype" w:cs="Arial"/>
                <w:color w:val="000000"/>
                <w:sz w:val="20"/>
                <w:szCs w:val="20"/>
                <w:lang w:val="es-ES_tradnl"/>
              </w:rPr>
              <w:t xml:space="preserve"> a un total de 945 fojas, por lo que puso el soporte documental a disposición del </w:t>
            </w:r>
            <w:r w:rsidRPr="004F3E91">
              <w:rPr>
                <w:rFonts w:ascii="Palatino Linotype" w:eastAsia="MS Mincho" w:hAnsi="Palatino Linotype" w:cs="Arial"/>
                <w:b/>
                <w:bCs/>
                <w:color w:val="000000"/>
                <w:sz w:val="20"/>
                <w:szCs w:val="20"/>
                <w:lang w:val="es-ES_tradnl"/>
              </w:rPr>
              <w:t>RECURRENTE</w:t>
            </w:r>
            <w:r w:rsidRPr="004F3E91">
              <w:rPr>
                <w:rFonts w:ascii="Palatino Linotype" w:eastAsia="MS Mincho" w:hAnsi="Palatino Linotype" w:cs="Arial"/>
                <w:color w:val="000000"/>
                <w:sz w:val="20"/>
                <w:szCs w:val="20"/>
                <w:lang w:val="es-ES_tradnl"/>
              </w:rPr>
              <w:t xml:space="preserve"> a través de Consulta Directa.</w:t>
            </w:r>
            <w:r w:rsidRPr="004F3E91">
              <w:rPr>
                <w:rFonts w:ascii="Palatino Linotype" w:eastAsia="MS Mincho" w:hAnsi="Palatino Linotype" w:cs="Arial"/>
                <w:color w:val="000000"/>
                <w:sz w:val="20"/>
                <w:szCs w:val="20"/>
                <w:lang w:val="es-ES_tradnl"/>
              </w:rPr>
              <w:br/>
            </w:r>
            <w:r w:rsidRPr="004F3E91">
              <w:rPr>
                <w:rFonts w:ascii="Palatino Linotype" w:eastAsia="MS Mincho" w:hAnsi="Palatino Linotype" w:cs="Arial"/>
                <w:color w:val="000000"/>
                <w:sz w:val="20"/>
                <w:szCs w:val="20"/>
                <w:lang w:val="es-ES_tradnl"/>
              </w:rPr>
              <w:br/>
              <w:t xml:space="preserve">Por otro lado, presentó tres Acuerdos de Clasificación en los que se había determinado, por un lado, el cambio de la modalidad de entrega de la información; por otro lado, la clasificación por confidencialidad de datos personales contenidos en los expedientes; y, finalmente, la reserva total de los expedientes integrados en la Defensoría Municipal de Derechos Humanos, al consistir en procedimientos no concluidos. </w:t>
            </w:r>
          </w:p>
        </w:tc>
        <w:tc>
          <w:tcPr>
            <w:tcW w:w="2099" w:type="dxa"/>
            <w:vAlign w:val="center"/>
          </w:tcPr>
          <w:p w14:paraId="2A2CCF19" w14:textId="19C26A18" w:rsidR="00721E71" w:rsidRPr="004F3E91" w:rsidRDefault="006E0652" w:rsidP="00721E71">
            <w:pPr>
              <w:pStyle w:val="Prrafodelista"/>
              <w:ind w:left="0"/>
              <w:contextualSpacing/>
              <w:jc w:val="center"/>
              <w:rPr>
                <w:rFonts w:ascii="Palatino Linotype" w:eastAsia="MS Mincho" w:hAnsi="Palatino Linotype" w:cs="Arial"/>
                <w:b/>
                <w:bCs/>
                <w:color w:val="000000"/>
                <w:sz w:val="20"/>
                <w:szCs w:val="20"/>
                <w:lang w:val="es-ES_tradnl"/>
              </w:rPr>
            </w:pPr>
            <w:r w:rsidRPr="004F3E91">
              <w:rPr>
                <w:rFonts w:ascii="Palatino Linotype" w:eastAsia="MS Mincho" w:hAnsi="Palatino Linotype" w:cs="Arial"/>
                <w:b/>
                <w:bCs/>
                <w:color w:val="000000"/>
                <w:sz w:val="20"/>
                <w:szCs w:val="20"/>
                <w:lang w:val="es-ES_tradnl"/>
              </w:rPr>
              <w:t>NO</w:t>
            </w:r>
          </w:p>
        </w:tc>
      </w:tr>
    </w:tbl>
    <w:p w14:paraId="64BDC01D" w14:textId="5E800CD3" w:rsidR="00EE17A7" w:rsidRPr="004F3E91" w:rsidRDefault="00EE17A7" w:rsidP="00EE17A7">
      <w:pPr>
        <w:pStyle w:val="Prrafodelista"/>
        <w:spacing w:line="360" w:lineRule="auto"/>
        <w:ind w:left="0"/>
        <w:contextualSpacing/>
        <w:jc w:val="both"/>
        <w:rPr>
          <w:rFonts w:ascii="Palatino Linotype" w:eastAsia="MS Mincho" w:hAnsi="Palatino Linotype" w:cs="Arial"/>
          <w:color w:val="000000"/>
          <w:lang w:val="es-ES_tradnl"/>
        </w:rPr>
      </w:pPr>
    </w:p>
    <w:p w14:paraId="5DC89513" w14:textId="25411573" w:rsidR="00EE17A7" w:rsidRPr="004F3E91" w:rsidRDefault="007C169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De la tabla anterior, podemos advertir que el </w:t>
      </w:r>
      <w:r w:rsidRPr="004F3E91">
        <w:rPr>
          <w:rFonts w:ascii="Palatino Linotype" w:eastAsia="MS Mincho" w:hAnsi="Palatino Linotype" w:cs="Arial"/>
          <w:b/>
          <w:bCs/>
          <w:color w:val="000000"/>
          <w:lang w:val="es-ES_tradnl"/>
        </w:rPr>
        <w:t>SUJETO OBLIGADO</w:t>
      </w:r>
      <w:r w:rsidRPr="004F3E91">
        <w:rPr>
          <w:rFonts w:ascii="Palatino Linotype" w:eastAsia="MS Mincho" w:hAnsi="Palatino Linotype" w:cs="Arial"/>
          <w:color w:val="000000"/>
          <w:lang w:val="es-ES_tradnl"/>
        </w:rPr>
        <w:t xml:space="preserve"> otorgó un cumplimiento parcial a la solicitud de información </w:t>
      </w:r>
      <w:r w:rsidRPr="004F3E91">
        <w:rPr>
          <w:rFonts w:ascii="Palatino Linotype" w:eastAsia="MS Mincho" w:hAnsi="Palatino Linotype" w:cs="Arial"/>
          <w:b/>
          <w:bCs/>
          <w:color w:val="000000"/>
          <w:lang w:val="es-ES_tradnl"/>
        </w:rPr>
        <w:t>00491/TOLUCA/IP/2022</w:t>
      </w:r>
      <w:r w:rsidRPr="004F3E91">
        <w:rPr>
          <w:rFonts w:ascii="Palatino Linotype" w:eastAsia="MS Mincho" w:hAnsi="Palatino Linotype" w:cs="Arial"/>
          <w:color w:val="000000"/>
          <w:lang w:val="es-ES_tradnl"/>
        </w:rPr>
        <w:t xml:space="preserve">, toda vez que, por cuanto hace al primer requerimiento, relacionado con </w:t>
      </w:r>
      <w:r w:rsidRPr="004F3E91">
        <w:rPr>
          <w:rFonts w:ascii="Palatino Linotype" w:eastAsia="MS Mincho" w:hAnsi="Palatino Linotype" w:cs="Arial"/>
          <w:i/>
          <w:iCs/>
          <w:color w:val="000000"/>
          <w:lang w:val="es-ES_tradnl"/>
        </w:rPr>
        <w:t>“(…) las denuncias vecinales presentadas ante el municipio por exceso de ruido en el último año hasta esta fecha (…)”</w:t>
      </w:r>
      <w:r w:rsidRPr="004F3E91">
        <w:rPr>
          <w:rFonts w:ascii="Palatino Linotype" w:eastAsia="MS Mincho" w:hAnsi="Palatino Linotype" w:cs="Arial"/>
          <w:color w:val="000000"/>
          <w:lang w:val="es-ES_tradnl"/>
        </w:rPr>
        <w:t xml:space="preserve">, como ha sido reiterado a lo largo del presente estudio, a través del archivo electrónico titulado </w:t>
      </w:r>
      <w:r w:rsidRPr="004F3E91">
        <w:rPr>
          <w:rFonts w:ascii="Palatino Linotype" w:eastAsia="MS Mincho" w:hAnsi="Palatino Linotype" w:cs="Arial"/>
          <w:b/>
          <w:bCs/>
          <w:i/>
          <w:iCs/>
          <w:color w:val="000000"/>
          <w:lang w:val="es-ES_tradnl"/>
        </w:rPr>
        <w:t>“ANEXO TABLA 1 DENUNCIAS SAIMEX 491.pdf”</w:t>
      </w:r>
      <w:r w:rsidRPr="004F3E91">
        <w:rPr>
          <w:rFonts w:ascii="Palatino Linotype" w:eastAsia="MS Mincho" w:hAnsi="Palatino Linotype" w:cs="Arial"/>
          <w:color w:val="000000"/>
          <w:lang w:val="es-ES_tradnl"/>
        </w:rPr>
        <w:t xml:space="preserve">, </w:t>
      </w:r>
      <w:r w:rsidRPr="004F3E91">
        <w:rPr>
          <w:rFonts w:ascii="Palatino Linotype" w:eastAsia="MS Mincho" w:hAnsi="Palatino Linotype" w:cs="Arial"/>
          <w:b/>
          <w:bCs/>
          <w:color w:val="000000"/>
          <w:lang w:val="es-ES_tradnl"/>
        </w:rPr>
        <w:t xml:space="preserve">la Dirección General de Medio Ambiente presentó al particular el registro de todas </w:t>
      </w:r>
      <w:r w:rsidRPr="004F3E91">
        <w:rPr>
          <w:rFonts w:ascii="Palatino Linotype" w:eastAsia="MS Mincho" w:hAnsi="Palatino Linotype" w:cs="Arial"/>
          <w:b/>
          <w:bCs/>
          <w:color w:val="000000"/>
          <w:lang w:val="es-ES_tradnl"/>
        </w:rPr>
        <w:lastRenderedPageBreak/>
        <w:t>aquéllas denuncias registradas desde el uno (01) de enero de dos mil veintiuno hasta el quince (15) de febrero de dos mil veintidós</w:t>
      </w:r>
      <w:r w:rsidRPr="004F3E91">
        <w:rPr>
          <w:rFonts w:ascii="Palatino Linotype" w:eastAsia="MS Mincho" w:hAnsi="Palatino Linotype" w:cs="Arial"/>
          <w:color w:val="000000"/>
          <w:lang w:val="es-ES_tradnl"/>
        </w:rPr>
        <w:t>.</w:t>
      </w:r>
    </w:p>
    <w:p w14:paraId="40FA180D" w14:textId="77777777" w:rsidR="007C1698" w:rsidRPr="004F3E91" w:rsidRDefault="007C1698" w:rsidP="007C1698">
      <w:pPr>
        <w:pStyle w:val="Prrafodelista"/>
        <w:spacing w:line="360" w:lineRule="auto"/>
        <w:ind w:left="0"/>
        <w:contextualSpacing/>
        <w:jc w:val="both"/>
        <w:rPr>
          <w:rFonts w:ascii="Palatino Linotype" w:eastAsia="MS Mincho" w:hAnsi="Palatino Linotype" w:cs="Arial"/>
          <w:i/>
          <w:lang w:val="es-MX"/>
        </w:rPr>
      </w:pPr>
    </w:p>
    <w:p w14:paraId="25A1842C" w14:textId="36C78886" w:rsidR="007C1698" w:rsidRPr="004F3E91" w:rsidRDefault="007C169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Por su parte, en lo que corresponde al requerimiento por el que el </w:t>
      </w:r>
      <w:r w:rsidRPr="004F3E91">
        <w:rPr>
          <w:rFonts w:ascii="Palatino Linotype" w:eastAsia="MS Mincho" w:hAnsi="Palatino Linotype" w:cs="Arial"/>
          <w:b/>
          <w:bCs/>
          <w:color w:val="000000"/>
          <w:lang w:val="es-ES_tradnl"/>
        </w:rPr>
        <w:t>RECURRENTE</w:t>
      </w:r>
      <w:r w:rsidRPr="004F3E91">
        <w:rPr>
          <w:rFonts w:ascii="Palatino Linotype" w:eastAsia="MS Mincho" w:hAnsi="Palatino Linotype" w:cs="Arial"/>
          <w:color w:val="000000"/>
          <w:lang w:val="es-ES_tradnl"/>
        </w:rPr>
        <w:t xml:space="preserve"> solicitó señalar </w:t>
      </w:r>
      <w:r w:rsidRPr="004F3E91">
        <w:rPr>
          <w:rFonts w:ascii="Palatino Linotype" w:eastAsia="MS Mincho" w:hAnsi="Palatino Linotype" w:cs="Arial"/>
          <w:i/>
          <w:iCs/>
          <w:color w:val="000000"/>
          <w:lang w:val="es-ES_tradnl"/>
        </w:rPr>
        <w:t>“(…) cu</w:t>
      </w:r>
      <w:r w:rsidR="005557CC" w:rsidRPr="004F3E91">
        <w:rPr>
          <w:rFonts w:ascii="Palatino Linotype" w:eastAsia="MS Mincho" w:hAnsi="Palatino Linotype" w:cs="Arial"/>
          <w:color w:val="000000"/>
          <w:lang w:val="es-ES_tradnl"/>
        </w:rPr>
        <w:t>[á]</w:t>
      </w:r>
      <w:r w:rsidRPr="004F3E91">
        <w:rPr>
          <w:rFonts w:ascii="Palatino Linotype" w:eastAsia="MS Mincho" w:hAnsi="Palatino Linotype" w:cs="Arial"/>
          <w:i/>
          <w:iCs/>
          <w:color w:val="000000"/>
          <w:lang w:val="es-ES_tradnl"/>
        </w:rPr>
        <w:t xml:space="preserve">les fueron presentadas por Facebook, </w:t>
      </w:r>
      <w:r w:rsidR="005557CC" w:rsidRPr="004F3E91">
        <w:rPr>
          <w:rFonts w:ascii="Palatino Linotype" w:eastAsia="MS Mincho" w:hAnsi="Palatino Linotype" w:cs="Arial"/>
          <w:i/>
          <w:iCs/>
          <w:color w:val="000000"/>
          <w:lang w:val="es-ES_tradnl"/>
        </w:rPr>
        <w:t>cu</w:t>
      </w:r>
      <w:r w:rsidR="005557CC" w:rsidRPr="004F3E91">
        <w:rPr>
          <w:rFonts w:ascii="Palatino Linotype" w:eastAsia="MS Mincho" w:hAnsi="Palatino Linotype" w:cs="Arial"/>
          <w:color w:val="000000"/>
          <w:lang w:val="es-ES_tradnl"/>
        </w:rPr>
        <w:t>[á]</w:t>
      </w:r>
      <w:r w:rsidR="005557CC" w:rsidRPr="004F3E91">
        <w:rPr>
          <w:rFonts w:ascii="Palatino Linotype" w:eastAsia="MS Mincho" w:hAnsi="Palatino Linotype" w:cs="Arial"/>
          <w:i/>
          <w:iCs/>
          <w:color w:val="000000"/>
          <w:lang w:val="es-ES_tradnl"/>
        </w:rPr>
        <w:t xml:space="preserve">les </w:t>
      </w:r>
      <w:r w:rsidRPr="004F3E91">
        <w:rPr>
          <w:rFonts w:ascii="Palatino Linotype" w:eastAsia="MS Mincho" w:hAnsi="Palatino Linotype" w:cs="Arial"/>
          <w:i/>
          <w:iCs/>
          <w:color w:val="000000"/>
          <w:lang w:val="es-ES_tradnl"/>
        </w:rPr>
        <w:t xml:space="preserve">por </w:t>
      </w:r>
      <w:r w:rsidR="005557CC" w:rsidRPr="004F3E91">
        <w:rPr>
          <w:rFonts w:ascii="Palatino Linotype" w:eastAsia="MS Mincho" w:hAnsi="Palatino Linotype" w:cs="Arial"/>
          <w:color w:val="000000"/>
          <w:lang w:val="es-ES_tradnl"/>
        </w:rPr>
        <w:t>[T]</w:t>
      </w:r>
      <w:r w:rsidRPr="004F3E91">
        <w:rPr>
          <w:rFonts w:ascii="Palatino Linotype" w:eastAsia="MS Mincho" w:hAnsi="Palatino Linotype" w:cs="Arial"/>
          <w:i/>
          <w:iCs/>
          <w:color w:val="000000"/>
          <w:lang w:val="es-ES_tradnl"/>
        </w:rPr>
        <w:t xml:space="preserve">witter, </w:t>
      </w:r>
      <w:r w:rsidR="005557CC" w:rsidRPr="004F3E91">
        <w:rPr>
          <w:rFonts w:ascii="Palatino Linotype" w:eastAsia="MS Mincho" w:hAnsi="Palatino Linotype" w:cs="Arial"/>
          <w:i/>
          <w:iCs/>
          <w:color w:val="000000"/>
          <w:lang w:val="es-ES_tradnl"/>
        </w:rPr>
        <w:t>cu</w:t>
      </w:r>
      <w:r w:rsidR="005557CC" w:rsidRPr="004F3E91">
        <w:rPr>
          <w:rFonts w:ascii="Palatino Linotype" w:eastAsia="MS Mincho" w:hAnsi="Palatino Linotype" w:cs="Arial"/>
          <w:color w:val="000000"/>
          <w:lang w:val="es-ES_tradnl"/>
        </w:rPr>
        <w:t>[á]</w:t>
      </w:r>
      <w:r w:rsidR="005557CC" w:rsidRPr="004F3E91">
        <w:rPr>
          <w:rFonts w:ascii="Palatino Linotype" w:eastAsia="MS Mincho" w:hAnsi="Palatino Linotype" w:cs="Arial"/>
          <w:i/>
          <w:iCs/>
          <w:color w:val="000000"/>
          <w:lang w:val="es-ES_tradnl"/>
        </w:rPr>
        <w:t xml:space="preserve">les </w:t>
      </w:r>
      <w:r w:rsidRPr="004F3E91">
        <w:rPr>
          <w:rFonts w:ascii="Palatino Linotype" w:eastAsia="MS Mincho" w:hAnsi="Palatino Linotype" w:cs="Arial"/>
          <w:i/>
          <w:iCs/>
          <w:color w:val="000000"/>
          <w:lang w:val="es-ES_tradnl"/>
        </w:rPr>
        <w:t>por la Comisi</w:t>
      </w:r>
      <w:r w:rsidR="005557CC" w:rsidRPr="004F3E91">
        <w:rPr>
          <w:rFonts w:ascii="Palatino Linotype" w:eastAsia="MS Mincho" w:hAnsi="Palatino Linotype" w:cs="Arial"/>
          <w:color w:val="000000"/>
          <w:lang w:val="es-ES_tradnl"/>
        </w:rPr>
        <w:t>[ó]</w:t>
      </w:r>
      <w:r w:rsidRPr="004F3E91">
        <w:rPr>
          <w:rFonts w:ascii="Palatino Linotype" w:eastAsia="MS Mincho" w:hAnsi="Palatino Linotype" w:cs="Arial"/>
          <w:i/>
          <w:iCs/>
          <w:color w:val="000000"/>
          <w:lang w:val="es-ES_tradnl"/>
        </w:rPr>
        <w:t xml:space="preserve">n Nacional de Derechos Humanos y </w:t>
      </w:r>
      <w:r w:rsidR="005557CC" w:rsidRPr="004F3E91">
        <w:rPr>
          <w:rFonts w:ascii="Palatino Linotype" w:eastAsia="MS Mincho" w:hAnsi="Palatino Linotype" w:cs="Arial"/>
          <w:i/>
          <w:iCs/>
          <w:color w:val="000000"/>
          <w:lang w:val="es-ES_tradnl"/>
        </w:rPr>
        <w:t>cu</w:t>
      </w:r>
      <w:r w:rsidR="005557CC" w:rsidRPr="004F3E91">
        <w:rPr>
          <w:rFonts w:ascii="Palatino Linotype" w:eastAsia="MS Mincho" w:hAnsi="Palatino Linotype" w:cs="Arial"/>
          <w:color w:val="000000"/>
          <w:lang w:val="es-ES_tradnl"/>
        </w:rPr>
        <w:t>[á]</w:t>
      </w:r>
      <w:r w:rsidR="005557CC" w:rsidRPr="004F3E91">
        <w:rPr>
          <w:rFonts w:ascii="Palatino Linotype" w:eastAsia="MS Mincho" w:hAnsi="Palatino Linotype" w:cs="Arial"/>
          <w:i/>
          <w:iCs/>
          <w:color w:val="000000"/>
          <w:lang w:val="es-ES_tradnl"/>
        </w:rPr>
        <w:t xml:space="preserve">les </w:t>
      </w:r>
      <w:r w:rsidRPr="004F3E91">
        <w:rPr>
          <w:rFonts w:ascii="Palatino Linotype" w:eastAsia="MS Mincho" w:hAnsi="Palatino Linotype" w:cs="Arial"/>
          <w:i/>
          <w:iCs/>
          <w:color w:val="000000"/>
          <w:lang w:val="es-ES_tradnl"/>
        </w:rPr>
        <w:t xml:space="preserve">por escrito en las oficinas y </w:t>
      </w:r>
      <w:r w:rsidR="005557CC" w:rsidRPr="004F3E91">
        <w:rPr>
          <w:rFonts w:ascii="Palatino Linotype" w:eastAsia="MS Mincho" w:hAnsi="Palatino Linotype" w:cs="Arial"/>
          <w:i/>
          <w:iCs/>
          <w:color w:val="000000"/>
          <w:lang w:val="es-ES_tradnl"/>
        </w:rPr>
        <w:t>cu</w:t>
      </w:r>
      <w:r w:rsidR="005557CC" w:rsidRPr="004F3E91">
        <w:rPr>
          <w:rFonts w:ascii="Palatino Linotype" w:eastAsia="MS Mincho" w:hAnsi="Palatino Linotype" w:cs="Arial"/>
          <w:color w:val="000000"/>
          <w:lang w:val="es-ES_tradnl"/>
        </w:rPr>
        <w:t>[á]</w:t>
      </w:r>
      <w:r w:rsidR="005557CC" w:rsidRPr="004F3E91">
        <w:rPr>
          <w:rFonts w:ascii="Palatino Linotype" w:eastAsia="MS Mincho" w:hAnsi="Palatino Linotype" w:cs="Arial"/>
          <w:i/>
          <w:iCs/>
          <w:color w:val="000000"/>
          <w:lang w:val="es-ES_tradnl"/>
        </w:rPr>
        <w:t xml:space="preserve">les </w:t>
      </w:r>
      <w:r w:rsidRPr="004F3E91">
        <w:rPr>
          <w:rFonts w:ascii="Palatino Linotype" w:eastAsia="MS Mincho" w:hAnsi="Palatino Linotype" w:cs="Arial"/>
          <w:i/>
          <w:iCs/>
          <w:color w:val="000000"/>
          <w:lang w:val="es-ES_tradnl"/>
        </w:rPr>
        <w:t>en las sesiones de cabildo de abierto (…)”</w:t>
      </w:r>
      <w:r w:rsidR="005557CC" w:rsidRPr="004F3E91">
        <w:rPr>
          <w:rFonts w:ascii="Palatino Linotype" w:eastAsia="MS Mincho" w:hAnsi="Palatino Linotype" w:cs="Arial"/>
          <w:color w:val="000000"/>
          <w:lang w:val="es-ES_tradnl"/>
        </w:rPr>
        <w:t xml:space="preserve">, del análisis al contenido del Registro de ‘DENUNCIAS AMBIENTALES EN TEMA DE RUIDO 2021, 01 ENERO – 15 FEBRERO 2022’ se advierte el rubro titulado </w:t>
      </w:r>
      <w:r w:rsidR="005557CC" w:rsidRPr="004F3E91">
        <w:rPr>
          <w:rFonts w:ascii="Palatino Linotype" w:eastAsia="MS Mincho" w:hAnsi="Palatino Linotype" w:cs="Arial"/>
          <w:i/>
          <w:iCs/>
          <w:color w:val="000000"/>
          <w:lang w:val="es-ES_tradnl"/>
        </w:rPr>
        <w:t>MODO DE RECEPCIÓN</w:t>
      </w:r>
      <w:r w:rsidR="005557CC" w:rsidRPr="004F3E91">
        <w:rPr>
          <w:rFonts w:ascii="Palatino Linotype" w:eastAsia="MS Mincho" w:hAnsi="Palatino Linotype" w:cs="Arial"/>
          <w:color w:val="000000"/>
          <w:lang w:val="es-ES_tradnl"/>
        </w:rPr>
        <w:t>, dentro del que se reporta la forma en que cada una de las denuncias registradas fue presentada ante el ayuntamiento, a saber:</w:t>
      </w:r>
    </w:p>
    <w:p w14:paraId="1FCD4032" w14:textId="7BFE49C1" w:rsidR="005557CC" w:rsidRPr="004F3E91" w:rsidRDefault="005557CC" w:rsidP="005557CC">
      <w:pPr>
        <w:pStyle w:val="Prrafodelista"/>
        <w:numPr>
          <w:ilvl w:val="1"/>
          <w:numId w:val="18"/>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lang w:val="es-ES_tradnl"/>
        </w:rPr>
        <w:t>Oficio</w:t>
      </w:r>
      <w:r w:rsidRPr="004F3E91">
        <w:rPr>
          <w:rFonts w:ascii="Palatino Linotype" w:eastAsia="MS Mincho" w:hAnsi="Palatino Linotype" w:cs="Arial"/>
          <w:color w:val="000000"/>
          <w:lang w:val="es-ES_tradnl"/>
        </w:rPr>
        <w:t>.</w:t>
      </w:r>
    </w:p>
    <w:p w14:paraId="6560724A" w14:textId="40F6FF5B" w:rsidR="005557CC" w:rsidRPr="004F3E91" w:rsidRDefault="005557CC" w:rsidP="005557CC">
      <w:pPr>
        <w:pStyle w:val="Prrafodelista"/>
        <w:numPr>
          <w:ilvl w:val="1"/>
          <w:numId w:val="18"/>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Telefónica.</w:t>
      </w:r>
    </w:p>
    <w:p w14:paraId="5EAF2345" w14:textId="6C944E7C" w:rsidR="005557CC" w:rsidRPr="004F3E91" w:rsidRDefault="005557CC" w:rsidP="005557CC">
      <w:pPr>
        <w:pStyle w:val="Prrafodelista"/>
        <w:numPr>
          <w:ilvl w:val="1"/>
          <w:numId w:val="18"/>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Personal.</w:t>
      </w:r>
    </w:p>
    <w:p w14:paraId="1093E269" w14:textId="31C81595" w:rsidR="005557CC" w:rsidRPr="004F3E91" w:rsidRDefault="005557CC" w:rsidP="005557CC">
      <w:pPr>
        <w:pStyle w:val="Prrafodelista"/>
        <w:numPr>
          <w:ilvl w:val="1"/>
          <w:numId w:val="18"/>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lang w:val="es-ES_tradnl"/>
        </w:rPr>
        <w:t>Facebook</w:t>
      </w:r>
      <w:r w:rsidRPr="004F3E91">
        <w:rPr>
          <w:rFonts w:ascii="Palatino Linotype" w:eastAsia="MS Mincho" w:hAnsi="Palatino Linotype" w:cs="Arial"/>
          <w:color w:val="000000"/>
          <w:lang w:val="es-ES_tradnl"/>
        </w:rPr>
        <w:t>.</w:t>
      </w:r>
    </w:p>
    <w:p w14:paraId="63F0C6A6" w14:textId="63144A93" w:rsidR="005557CC" w:rsidRPr="004F3E91" w:rsidRDefault="005557CC" w:rsidP="005557CC">
      <w:pPr>
        <w:pStyle w:val="Prrafodelista"/>
        <w:numPr>
          <w:ilvl w:val="1"/>
          <w:numId w:val="18"/>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lang w:val="es-ES_tradnl"/>
        </w:rPr>
        <w:t>Twitter</w:t>
      </w:r>
      <w:r w:rsidRPr="004F3E91">
        <w:rPr>
          <w:rFonts w:ascii="Palatino Linotype" w:eastAsia="MS Mincho" w:hAnsi="Palatino Linotype" w:cs="Arial"/>
          <w:color w:val="000000"/>
          <w:lang w:val="es-ES_tradnl"/>
        </w:rPr>
        <w:t>.</w:t>
      </w:r>
    </w:p>
    <w:p w14:paraId="314FA074" w14:textId="77777777" w:rsidR="007C1698" w:rsidRPr="004F3E91" w:rsidRDefault="007C1698" w:rsidP="007C1698">
      <w:pPr>
        <w:pStyle w:val="Prrafodelista"/>
        <w:spacing w:line="360" w:lineRule="auto"/>
        <w:ind w:left="0"/>
        <w:contextualSpacing/>
        <w:jc w:val="both"/>
        <w:rPr>
          <w:rFonts w:ascii="Palatino Linotype" w:eastAsia="MS Mincho" w:hAnsi="Palatino Linotype" w:cs="Arial"/>
          <w:i/>
          <w:lang w:val="es-MX"/>
        </w:rPr>
      </w:pPr>
    </w:p>
    <w:p w14:paraId="6663820A" w14:textId="6F7820D6" w:rsidR="005557CC" w:rsidRPr="004F3E91" w:rsidRDefault="005557C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iCs/>
          <w:lang w:val="es-MX"/>
        </w:rPr>
        <w:t>Aunado a lo anterior, el Secretario del Ayuntamiento informó que no se tenían registros de la existencia de alguna denuncia presentada en las Sesiones de Cabildo Abierto con motivo de ruido excesivo.</w:t>
      </w:r>
    </w:p>
    <w:p w14:paraId="53C0B58D" w14:textId="77777777" w:rsidR="005557CC" w:rsidRPr="004F3E91" w:rsidRDefault="005557CC" w:rsidP="005557CC">
      <w:pPr>
        <w:pStyle w:val="Prrafodelista"/>
        <w:spacing w:line="360" w:lineRule="auto"/>
        <w:ind w:left="0"/>
        <w:contextualSpacing/>
        <w:jc w:val="both"/>
        <w:rPr>
          <w:rFonts w:ascii="Palatino Linotype" w:eastAsia="MS Mincho" w:hAnsi="Palatino Linotype" w:cs="Arial"/>
          <w:i/>
          <w:lang w:val="es-MX"/>
        </w:rPr>
      </w:pPr>
    </w:p>
    <w:p w14:paraId="6FC9B9DA" w14:textId="4768AAC0" w:rsidR="007C1698" w:rsidRPr="004F3E91" w:rsidRDefault="005557C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Así las cosas, se tiene que el </w:t>
      </w:r>
      <w:r w:rsidRPr="004F3E91">
        <w:rPr>
          <w:rFonts w:ascii="Palatino Linotype" w:eastAsia="MS Mincho" w:hAnsi="Palatino Linotype" w:cs="Arial"/>
          <w:b/>
          <w:bCs/>
          <w:color w:val="000000"/>
          <w:lang w:val="es-ES_tradnl"/>
        </w:rPr>
        <w:t>SUJETO OBLIGADO</w:t>
      </w:r>
      <w:r w:rsidRPr="004F3E91">
        <w:rPr>
          <w:rFonts w:ascii="Palatino Linotype" w:eastAsia="MS Mincho" w:hAnsi="Palatino Linotype" w:cs="Arial"/>
          <w:color w:val="000000"/>
          <w:lang w:val="es-ES_tradnl"/>
        </w:rPr>
        <w:t xml:space="preserve"> atendió adecuadamente el requerimiento relacionado con el modo de presentación de las denuncias por ruido excesivo, por vía redes sociales (</w:t>
      </w:r>
      <w:r w:rsidRPr="004F3E91">
        <w:rPr>
          <w:rFonts w:ascii="Palatino Linotype" w:eastAsia="MS Mincho" w:hAnsi="Palatino Linotype" w:cs="Arial"/>
          <w:i/>
          <w:iCs/>
          <w:color w:val="000000"/>
          <w:lang w:val="es-ES_tradnl"/>
        </w:rPr>
        <w:t>Facebook</w:t>
      </w:r>
      <w:r w:rsidRPr="004F3E91">
        <w:rPr>
          <w:rFonts w:ascii="Palatino Linotype" w:eastAsia="MS Mincho" w:hAnsi="Palatino Linotype" w:cs="Arial"/>
          <w:color w:val="000000"/>
          <w:lang w:val="es-ES_tradnl"/>
        </w:rPr>
        <w:t xml:space="preserve"> y </w:t>
      </w:r>
      <w:r w:rsidRPr="004F3E91">
        <w:rPr>
          <w:rFonts w:ascii="Palatino Linotype" w:eastAsia="MS Mincho" w:hAnsi="Palatino Linotype" w:cs="Arial"/>
          <w:i/>
          <w:iCs/>
          <w:color w:val="000000"/>
          <w:lang w:val="es-ES_tradnl"/>
        </w:rPr>
        <w:t>Twitter</w:t>
      </w:r>
      <w:r w:rsidRPr="004F3E91">
        <w:rPr>
          <w:rFonts w:ascii="Palatino Linotype" w:eastAsia="MS Mincho" w:hAnsi="Palatino Linotype" w:cs="Arial"/>
          <w:color w:val="000000"/>
          <w:lang w:val="es-ES_tradnl"/>
        </w:rPr>
        <w:t>), por escrito, y a través de las Sesiones de Cabildo Abierto.</w:t>
      </w:r>
    </w:p>
    <w:p w14:paraId="4EE5A846" w14:textId="77777777" w:rsidR="007C1698" w:rsidRPr="004F3E91" w:rsidRDefault="007C1698" w:rsidP="007C1698">
      <w:pPr>
        <w:pStyle w:val="Prrafodelista"/>
        <w:spacing w:line="360" w:lineRule="auto"/>
        <w:ind w:left="0"/>
        <w:contextualSpacing/>
        <w:jc w:val="both"/>
        <w:rPr>
          <w:rFonts w:ascii="Palatino Linotype" w:eastAsia="MS Mincho" w:hAnsi="Palatino Linotype" w:cs="Arial"/>
          <w:i/>
          <w:lang w:val="es-MX"/>
        </w:rPr>
      </w:pPr>
    </w:p>
    <w:p w14:paraId="63CB5099" w14:textId="46348F6E" w:rsidR="007C1698" w:rsidRPr="004F3E91" w:rsidRDefault="005557C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Empero, por cuanto hace a las denuncias presentadas a través de la Comisión Nacional de Derechos Humanos, el </w:t>
      </w:r>
      <w:r w:rsidRPr="004F3E91">
        <w:rPr>
          <w:rFonts w:ascii="Palatino Linotype" w:eastAsia="MS Mincho" w:hAnsi="Palatino Linotype" w:cs="Arial"/>
          <w:b/>
          <w:bCs/>
          <w:color w:val="000000"/>
          <w:lang w:val="es-ES_tradnl"/>
        </w:rPr>
        <w:t>SUJETO OBLIGADO</w:t>
      </w:r>
      <w:r w:rsidRPr="004F3E91">
        <w:rPr>
          <w:rFonts w:ascii="Palatino Linotype" w:eastAsia="MS Mincho" w:hAnsi="Palatino Linotype" w:cs="Arial"/>
          <w:color w:val="000000"/>
          <w:lang w:val="es-ES_tradnl"/>
        </w:rPr>
        <w:t xml:space="preserve"> presentó, a través del Defensor Municipal de Derechos Humanos, una lista de expedientes formados por la Comisión Estatal de Derechos Humanos, </w:t>
      </w:r>
      <w:r w:rsidR="001621E9" w:rsidRPr="004F3E91">
        <w:rPr>
          <w:rFonts w:ascii="Palatino Linotype" w:eastAsia="MS Mincho" w:hAnsi="Palatino Linotype" w:cs="Arial"/>
          <w:color w:val="000000"/>
          <w:lang w:val="es-ES_tradnl"/>
        </w:rPr>
        <w:t xml:space="preserve">el cual es </w:t>
      </w:r>
      <w:r w:rsidRPr="004F3E91">
        <w:rPr>
          <w:rFonts w:ascii="Palatino Linotype" w:eastAsia="MS Mincho" w:hAnsi="Palatino Linotype" w:cs="Arial"/>
          <w:color w:val="000000"/>
          <w:lang w:val="es-ES_tradnl"/>
        </w:rPr>
        <w:t>un ente diverso al requerido en la solicitud de información.</w:t>
      </w:r>
    </w:p>
    <w:p w14:paraId="3A0CEE5A" w14:textId="77777777" w:rsidR="005557CC" w:rsidRPr="004F3E91" w:rsidRDefault="005557CC" w:rsidP="005557CC">
      <w:pPr>
        <w:pStyle w:val="Prrafodelista"/>
        <w:spacing w:line="360" w:lineRule="auto"/>
        <w:ind w:left="0"/>
        <w:contextualSpacing/>
        <w:jc w:val="both"/>
        <w:rPr>
          <w:rFonts w:ascii="Palatino Linotype" w:eastAsia="MS Mincho" w:hAnsi="Palatino Linotype" w:cs="Arial"/>
          <w:i/>
          <w:lang w:val="es-MX"/>
        </w:rPr>
      </w:pPr>
    </w:p>
    <w:p w14:paraId="771350D3" w14:textId="2FBAA6B1" w:rsidR="005557CC" w:rsidRPr="004F3E91" w:rsidRDefault="005557CC"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Finalmente, en lo que corresponde a las respuestas y/o soporte documental del seguimiento realizado a las denuncias presentadas </w:t>
      </w:r>
      <w:r w:rsidR="001621E9" w:rsidRPr="004F3E91">
        <w:rPr>
          <w:rFonts w:ascii="Palatino Linotype" w:eastAsia="MS Mincho" w:hAnsi="Palatino Linotype" w:cs="Arial"/>
          <w:color w:val="000000"/>
          <w:lang w:val="es-ES_tradnl"/>
        </w:rPr>
        <w:t xml:space="preserve">por ruido excesivo, por un lado, se aprecia que el </w:t>
      </w:r>
      <w:r w:rsidR="001621E9" w:rsidRPr="004F3E91">
        <w:rPr>
          <w:rFonts w:ascii="Palatino Linotype" w:eastAsia="MS Mincho" w:hAnsi="Palatino Linotype" w:cs="Arial"/>
          <w:b/>
          <w:bCs/>
          <w:color w:val="000000"/>
          <w:lang w:val="es-ES_tradnl"/>
        </w:rPr>
        <w:t>SUJETO OBLIGADO</w:t>
      </w:r>
      <w:r w:rsidR="001621E9" w:rsidRPr="004F3E91">
        <w:rPr>
          <w:rFonts w:ascii="Palatino Linotype" w:eastAsia="MS Mincho" w:hAnsi="Palatino Linotype" w:cs="Arial"/>
          <w:color w:val="000000"/>
          <w:lang w:val="es-ES_tradnl"/>
        </w:rPr>
        <w:t xml:space="preserve"> pretendió cambiar la modalidad de entrega de la información a Consulta Directa o </w:t>
      </w:r>
      <w:r w:rsidR="001621E9" w:rsidRPr="004F3E91">
        <w:rPr>
          <w:rFonts w:ascii="Palatino Linotype" w:eastAsia="MS Mincho" w:hAnsi="Palatino Linotype" w:cs="Arial"/>
          <w:i/>
          <w:iCs/>
          <w:color w:val="000000"/>
          <w:lang w:val="es-ES_tradnl"/>
        </w:rPr>
        <w:t>in situ</w:t>
      </w:r>
      <w:r w:rsidR="001621E9" w:rsidRPr="004F3E91">
        <w:rPr>
          <w:rFonts w:ascii="Palatino Linotype" w:eastAsia="MS Mincho" w:hAnsi="Palatino Linotype" w:cs="Arial"/>
          <w:color w:val="000000"/>
          <w:lang w:val="es-ES_tradnl"/>
        </w:rPr>
        <w:t>, mientras que, por otro lado, informó que parte de la información sería clasificada por confidencialidad y reserva.</w:t>
      </w:r>
    </w:p>
    <w:p w14:paraId="2699908C" w14:textId="7D0440BB" w:rsidR="001621E9" w:rsidRPr="004F3E91" w:rsidRDefault="001621E9" w:rsidP="001621E9">
      <w:pPr>
        <w:pStyle w:val="Prrafodelista"/>
        <w:spacing w:line="360" w:lineRule="auto"/>
        <w:ind w:left="0"/>
        <w:contextualSpacing/>
        <w:jc w:val="both"/>
        <w:rPr>
          <w:rFonts w:ascii="Palatino Linotype" w:eastAsia="MS Mincho" w:hAnsi="Palatino Linotype" w:cs="Arial"/>
          <w:iCs/>
          <w:lang w:val="es-MX"/>
        </w:rPr>
      </w:pPr>
    </w:p>
    <w:p w14:paraId="27344B3C" w14:textId="0D410AE5" w:rsidR="001621E9" w:rsidRPr="004F3E91" w:rsidRDefault="001621E9" w:rsidP="001621E9">
      <w:pPr>
        <w:pStyle w:val="Prrafodelista"/>
        <w:spacing w:line="360" w:lineRule="auto"/>
        <w:ind w:left="0"/>
        <w:contextualSpacing/>
        <w:jc w:val="both"/>
        <w:outlineLvl w:val="1"/>
        <w:rPr>
          <w:rFonts w:ascii="Palatino Linotype" w:eastAsia="MS Mincho" w:hAnsi="Palatino Linotype" w:cs="Arial"/>
          <w:b/>
          <w:bCs/>
          <w:iCs/>
          <w:lang w:val="es-MX"/>
        </w:rPr>
      </w:pPr>
      <w:r w:rsidRPr="004F3E91">
        <w:rPr>
          <w:rFonts w:ascii="Palatino Linotype" w:eastAsia="MS Mincho" w:hAnsi="Palatino Linotype" w:cs="Arial"/>
          <w:b/>
          <w:bCs/>
          <w:iCs/>
          <w:lang w:val="es-MX"/>
        </w:rPr>
        <w:t>III. De la Comisión Nacional de Derechos Humanos.</w:t>
      </w:r>
    </w:p>
    <w:p w14:paraId="037B75CB"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Cs/>
          <w:lang w:val="es-MX"/>
        </w:rPr>
      </w:pPr>
    </w:p>
    <w:p w14:paraId="65153AA8" w14:textId="41815E71" w:rsidR="001621E9" w:rsidRPr="004F3E91" w:rsidRDefault="001621E9"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El artículo 102 de la Constitución Política de los Estados Unidos Mexicanos, en su apartado B, establece que el </w:t>
      </w:r>
      <w:r w:rsidRPr="004F3E91">
        <w:rPr>
          <w:rFonts w:ascii="Palatino Linotype" w:eastAsia="MS Mincho" w:hAnsi="Palatino Linotype" w:cs="Arial"/>
          <w:color w:val="000000"/>
        </w:rPr>
        <w:t>Congreso de la Unión y las legislaturas de las entidades federativas, en el ámbito de sus respectivas competencias, establecerán organismos de protección de los derechos humanos que ampara el orden jurídico mexicano, los que conocerán de quejas en contra de actos u omisiones de naturaleza administrativa provenientes de cualquier autoridad o servidor público, con excepción de los del Poder Judicial de la Federación, que violen estos derechos.</w:t>
      </w:r>
    </w:p>
    <w:p w14:paraId="14457855"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
          <w:lang w:val="es-MX"/>
        </w:rPr>
      </w:pPr>
    </w:p>
    <w:p w14:paraId="6A3F6B5F" w14:textId="058FB939" w:rsidR="001621E9" w:rsidRPr="004F3E91" w:rsidRDefault="001621E9"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El organismo </w:t>
      </w:r>
      <w:r w:rsidRPr="004F3E91">
        <w:rPr>
          <w:rFonts w:ascii="Palatino Linotype" w:eastAsia="MS Mincho" w:hAnsi="Palatino Linotype" w:cs="Arial"/>
          <w:color w:val="000000"/>
        </w:rPr>
        <w:t xml:space="preserve">que establezca el Congreso de la Unión se denominará </w:t>
      </w:r>
      <w:r w:rsidRPr="004F3E91">
        <w:rPr>
          <w:rFonts w:ascii="Palatino Linotype" w:eastAsia="MS Mincho" w:hAnsi="Palatino Linotype" w:cs="Arial"/>
          <w:b/>
          <w:bCs/>
          <w:color w:val="000000"/>
        </w:rPr>
        <w:t>Comisión Nacional de los Derechos Humanos</w:t>
      </w:r>
      <w:r w:rsidRPr="004F3E91">
        <w:rPr>
          <w:rFonts w:ascii="Palatino Linotype" w:eastAsia="MS Mincho" w:hAnsi="Palatino Linotype" w:cs="Arial"/>
          <w:color w:val="000000"/>
        </w:rPr>
        <w:t xml:space="preserve">; el cual contará con autonomía de </w:t>
      </w:r>
      <w:r w:rsidRPr="004F3E91">
        <w:rPr>
          <w:rFonts w:ascii="Palatino Linotype" w:eastAsia="MS Mincho" w:hAnsi="Palatino Linotype" w:cs="Arial"/>
          <w:color w:val="000000"/>
        </w:rPr>
        <w:lastRenderedPageBreak/>
        <w:t>gestión y presupuestaria, personalidad jurídica y patrimonio propios. Por su parte, las Constituciones de las entidades federativas establecerán y garantizarán la autonomía de los organismos de protección de los derechos humanos</w:t>
      </w:r>
      <w:r w:rsidR="00F2230E" w:rsidRPr="004F3E91">
        <w:rPr>
          <w:rStyle w:val="Refdenotaalpie"/>
          <w:rFonts w:ascii="Palatino Linotype" w:eastAsia="MS Mincho" w:hAnsi="Palatino Linotype" w:cs="Arial"/>
          <w:color w:val="000000"/>
        </w:rPr>
        <w:footnoteReference w:id="5"/>
      </w:r>
      <w:r w:rsidRPr="004F3E91">
        <w:rPr>
          <w:rFonts w:ascii="Palatino Linotype" w:eastAsia="MS Mincho" w:hAnsi="Palatino Linotype" w:cs="Arial"/>
          <w:color w:val="000000"/>
        </w:rPr>
        <w:t>.</w:t>
      </w:r>
    </w:p>
    <w:p w14:paraId="75356713"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
          <w:lang w:val="es-MX"/>
        </w:rPr>
      </w:pPr>
    </w:p>
    <w:p w14:paraId="11A5925E" w14:textId="2961A6D3"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En seguimiento al mandato constitucional, la Ley de la Comisión Nacional de los Derechos Humanos, establece que ésta es de </w:t>
      </w:r>
      <w:r w:rsidRPr="004F3E91">
        <w:rPr>
          <w:rFonts w:ascii="Palatino Linotype" w:eastAsia="MS Mincho" w:hAnsi="Palatino Linotype" w:cs="Arial"/>
          <w:color w:val="000000"/>
        </w:rPr>
        <w:t>orden público y de aplicación en todo el territorio nacional en materia de Derechos Humanos, respecto de los mexicanos y extranjeros que se encuentren en el país</w:t>
      </w:r>
      <w:r w:rsidRPr="004F3E91">
        <w:rPr>
          <w:rStyle w:val="Refdenotaalpie"/>
          <w:rFonts w:ascii="Palatino Linotype" w:eastAsia="MS Mincho" w:hAnsi="Palatino Linotype" w:cs="Arial"/>
          <w:color w:val="000000"/>
        </w:rPr>
        <w:footnoteReference w:id="6"/>
      </w:r>
      <w:r w:rsidRPr="004F3E91">
        <w:rPr>
          <w:rFonts w:ascii="Palatino Linotype" w:eastAsia="MS Mincho" w:hAnsi="Palatino Linotype" w:cs="Arial"/>
          <w:color w:val="000000"/>
        </w:rPr>
        <w:t>; asimismo, reconoce que la Comisión es un organismo que cuenta con autonomía de gestión y presupuestaria, personalidad jurídica y patrimonio propios, y tiene por objeto esencial la protección, observancia, promoción, estudio y divulgación de los derechos humanos que ampara el orden jurídico mexicano</w:t>
      </w:r>
      <w:r w:rsidRPr="004F3E91">
        <w:rPr>
          <w:rStyle w:val="Refdenotaalpie"/>
          <w:rFonts w:ascii="Palatino Linotype" w:eastAsia="MS Mincho" w:hAnsi="Palatino Linotype" w:cs="Arial"/>
          <w:color w:val="000000"/>
        </w:rPr>
        <w:footnoteReference w:id="7"/>
      </w:r>
      <w:r w:rsidRPr="004F3E91">
        <w:rPr>
          <w:rFonts w:ascii="Palatino Linotype" w:eastAsia="MS Mincho" w:hAnsi="Palatino Linotype" w:cs="Arial"/>
          <w:color w:val="000000"/>
        </w:rPr>
        <w:t>.</w:t>
      </w:r>
    </w:p>
    <w:p w14:paraId="149A6D3C"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
          <w:lang w:val="es-MX"/>
        </w:rPr>
      </w:pPr>
    </w:p>
    <w:p w14:paraId="60D8D195" w14:textId="54580CF7"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La</w:t>
      </w:r>
      <w:r w:rsidRPr="004F3E91">
        <w:rPr>
          <w:rFonts w:ascii="Palatino Linotype" w:eastAsia="MS Mincho" w:hAnsi="Palatino Linotype" w:cs="Arial"/>
          <w:color w:val="000000"/>
        </w:rPr>
        <w:t xml:space="preserve"> Comisión Nacional de Derechos Humanos tendrá competencia en todo el territorio nacional, para conocer de quejas relacionadas con presuntas violaciones a los derechos humanos cuando éstas fueren imputadas a autoridades y servidores públicos de carácter federal, con excepción de los del Poder Judicial de la Federación. En ese sentido, cuando o en un mismo hecho, estuvieren involucrados tanto autoridades o servidores públicos de la Federación, como de las Entidades Federativas o Municipios, la competencia se surtirá en favor de la Comisión Nacional</w:t>
      </w:r>
      <w:r w:rsidRPr="004F3E91">
        <w:rPr>
          <w:rStyle w:val="Refdenotaalpie"/>
          <w:rFonts w:ascii="Palatino Linotype" w:eastAsia="MS Mincho" w:hAnsi="Palatino Linotype" w:cs="Arial"/>
          <w:color w:val="000000"/>
        </w:rPr>
        <w:footnoteReference w:id="8"/>
      </w:r>
      <w:r w:rsidRPr="004F3E91">
        <w:rPr>
          <w:rFonts w:ascii="Palatino Linotype" w:eastAsia="MS Mincho" w:hAnsi="Palatino Linotype" w:cs="Arial"/>
          <w:color w:val="000000"/>
        </w:rPr>
        <w:t>.</w:t>
      </w:r>
    </w:p>
    <w:p w14:paraId="2DE006A1"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
          <w:lang w:val="es-MX"/>
        </w:rPr>
      </w:pPr>
    </w:p>
    <w:p w14:paraId="06D80788" w14:textId="54627388"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lastRenderedPageBreak/>
        <w:t xml:space="preserve">Ahora bien, por cuanto hace al procedimiento para presentar una queja o denuncia ante la Comisión Nacional de Derechos Humanos, el artículo 25 de la Ley de la Comisión Nacional de los Derechos Humanos establece que cualquier </w:t>
      </w:r>
      <w:r w:rsidRPr="004F3E91">
        <w:rPr>
          <w:rFonts w:ascii="Palatino Linotype" w:eastAsia="MS Mincho" w:hAnsi="Palatino Linotype" w:cs="Arial"/>
          <w:color w:val="000000"/>
        </w:rPr>
        <w:t>persona podrá denunciar presuntas violaciones a los derechos humanos y acudir ante las oficinas de la Comisión Nacional para presentar, ya sea directamente o por medio de representante, quejas contra dichas violaciones.</w:t>
      </w:r>
    </w:p>
    <w:p w14:paraId="53DDBF64" w14:textId="77777777" w:rsidR="001621E9" w:rsidRPr="004F3E91" w:rsidRDefault="001621E9" w:rsidP="001621E9">
      <w:pPr>
        <w:pStyle w:val="Prrafodelista"/>
        <w:spacing w:line="360" w:lineRule="auto"/>
        <w:ind w:left="0"/>
        <w:contextualSpacing/>
        <w:jc w:val="both"/>
        <w:rPr>
          <w:rFonts w:ascii="Palatino Linotype" w:eastAsia="MS Mincho" w:hAnsi="Palatino Linotype" w:cs="Arial"/>
          <w:i/>
          <w:lang w:val="es-MX"/>
        </w:rPr>
      </w:pPr>
    </w:p>
    <w:p w14:paraId="786CEC5F" w14:textId="4F67E80D"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La </w:t>
      </w:r>
      <w:r w:rsidRPr="004F3E91">
        <w:rPr>
          <w:rFonts w:ascii="Palatino Linotype" w:eastAsia="MS Mincho" w:hAnsi="Palatino Linotype" w:cs="Arial"/>
          <w:color w:val="000000"/>
        </w:rPr>
        <w:t>instancia respectiva deberá presentarse de forma oral, por escrito o por lenguaje de señas mexicanas y podrá formularse por cualquier medio de comunicación eléctrica, electrónica o telefónica y a través de mecanismos accesibles para personas con discapacidad</w:t>
      </w:r>
      <w:r w:rsidRPr="004F3E91">
        <w:rPr>
          <w:rStyle w:val="Refdenotaalpie"/>
          <w:rFonts w:ascii="Palatino Linotype" w:eastAsia="MS Mincho" w:hAnsi="Palatino Linotype" w:cs="Arial"/>
          <w:color w:val="000000"/>
        </w:rPr>
        <w:footnoteReference w:id="9"/>
      </w:r>
      <w:r w:rsidRPr="004F3E91">
        <w:rPr>
          <w:rFonts w:ascii="Palatino Linotype" w:eastAsia="MS Mincho" w:hAnsi="Palatino Linotype" w:cs="Arial"/>
          <w:color w:val="000000"/>
        </w:rPr>
        <w:t>.</w:t>
      </w:r>
    </w:p>
    <w:p w14:paraId="603E1695"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350E1FB2" w14:textId="62294C0D"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La </w:t>
      </w:r>
      <w:r w:rsidRPr="004F3E91">
        <w:rPr>
          <w:rFonts w:ascii="Palatino Linotype" w:eastAsia="MS Mincho" w:hAnsi="Palatino Linotype" w:cs="Arial"/>
          <w:color w:val="000000"/>
        </w:rPr>
        <w:t>Comisión Nacional deberá poner a disposición de los reclamantes formularios que faciliten el trámite, y en todos los casos ejercerá la suplencia en la deficiencia de la queja, para lo cual la Comisión orientará y apoyará a los comparecientes sobre el contenido de su queja o reclamación. Las quejas también podrán presentarse oralmente, cuando los comparecientes no puedan escribir o sean menores de edad. Tratándose de personas que no hablen o entiendan correctamente el idioma español, o de aquellas pertenecientes a los pueblos o comunidades indígenas que así lo requieran o personas con discapacidad auditiva, se les proporcionará gratuitamente un traductor o intérprete que tenga conocimiento de su lengua y cultura, o en su caso intérprete de lengua de señas mexicanas</w:t>
      </w:r>
      <w:r w:rsidRPr="004F3E91">
        <w:rPr>
          <w:rStyle w:val="Refdenotaalpie"/>
          <w:rFonts w:ascii="Palatino Linotype" w:eastAsia="MS Mincho" w:hAnsi="Palatino Linotype" w:cs="Arial"/>
          <w:color w:val="000000"/>
        </w:rPr>
        <w:footnoteReference w:id="10"/>
      </w:r>
      <w:r w:rsidRPr="004F3E91">
        <w:rPr>
          <w:rFonts w:ascii="Palatino Linotype" w:eastAsia="MS Mincho" w:hAnsi="Palatino Linotype" w:cs="Arial"/>
          <w:color w:val="000000"/>
        </w:rPr>
        <w:t>.</w:t>
      </w:r>
    </w:p>
    <w:p w14:paraId="049E2CFD"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58FDD950" w14:textId="6DB5476D" w:rsidR="001621E9" w:rsidRPr="004F3E91" w:rsidRDefault="00F2230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lang w:val="es-ES_tradnl"/>
        </w:rPr>
        <w:lastRenderedPageBreak/>
        <w:t xml:space="preserve">Una </w:t>
      </w:r>
      <w:r w:rsidRPr="004F3E91">
        <w:rPr>
          <w:rFonts w:ascii="Palatino Linotype" w:eastAsia="MS Mincho" w:hAnsi="Palatino Linotype" w:cs="Arial"/>
          <w:b/>
          <w:bCs/>
          <w:color w:val="000000"/>
        </w:rPr>
        <w:t>vez admitida la instancia, deberá ponerse en conocimiento de las autoridades señaladas como responsables utilizando en casos de urgencia cualquier medio de comunicación electrónica</w:t>
      </w:r>
      <w:r w:rsidRPr="004F3E91">
        <w:rPr>
          <w:rFonts w:ascii="Palatino Linotype" w:eastAsia="MS Mincho" w:hAnsi="Palatino Linotype" w:cs="Arial"/>
          <w:color w:val="000000"/>
        </w:rPr>
        <w:t>. En la misma comunicación se solicitará a dichas autoridades o servidores públicos que rindan un informe sobre los actos, omisiones o resoluciones que se les atribuyan en la queja, el cual deberán presentar dentro de un plazo máximo de quince días naturales y por los medios que sean convenientes, de acuerdo con el caso</w:t>
      </w:r>
      <w:r w:rsidRPr="004F3E91">
        <w:rPr>
          <w:rStyle w:val="Refdenotaalpie"/>
          <w:rFonts w:ascii="Palatino Linotype" w:eastAsia="MS Mincho" w:hAnsi="Palatino Linotype" w:cs="Arial"/>
          <w:color w:val="000000"/>
        </w:rPr>
        <w:footnoteReference w:id="11"/>
      </w:r>
      <w:r w:rsidRPr="004F3E91">
        <w:rPr>
          <w:rFonts w:ascii="Palatino Linotype" w:eastAsia="MS Mincho" w:hAnsi="Palatino Linotype" w:cs="Arial"/>
          <w:color w:val="000000"/>
        </w:rPr>
        <w:t>.</w:t>
      </w:r>
    </w:p>
    <w:p w14:paraId="3A3FBF39"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07F9EA02" w14:textId="412F2CEE" w:rsidR="00F2230E" w:rsidRPr="004F3E91" w:rsidRDefault="00BA69BA"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Por otro lado, el artículo 16 de la Constitución Política del Estado Libre y Soberano de México señala que la </w:t>
      </w:r>
      <w:r w:rsidRPr="004F3E91">
        <w:rPr>
          <w:rFonts w:ascii="Palatino Linotype" w:eastAsia="MS Mincho" w:hAnsi="Palatino Linotype" w:cs="Arial"/>
          <w:color w:val="000000"/>
        </w:rPr>
        <w:t>Legislatura del Estado establecerá un organismo autónomo para la protección de los derechos humanos que reconoce el orden jurídico mexicano, el cual conocerá de quejas en contra de actos u omisiones de naturaleza administrativa, provenientes de cualquier autoridad o servidor público del Estado, o de los municipios que violen los derechos humanos. Este organismo formulará recomendaciones públicas no vinculatorias, así como denuncias y quejas ante las autoridades respectivas.</w:t>
      </w:r>
    </w:p>
    <w:p w14:paraId="6C984E7A"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1C052052" w14:textId="3C7C5454" w:rsidR="00F2230E" w:rsidRPr="004F3E91" w:rsidRDefault="00BA69BA"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El </w:t>
      </w:r>
      <w:r w:rsidRPr="004F3E91">
        <w:rPr>
          <w:rFonts w:ascii="Palatino Linotype" w:eastAsia="MS Mincho" w:hAnsi="Palatino Linotype" w:cs="Arial"/>
          <w:color w:val="000000"/>
        </w:rPr>
        <w:t xml:space="preserve">organismo que establecerá la Legislatura del Estado se denominará </w:t>
      </w:r>
      <w:r w:rsidRPr="004F3E91">
        <w:rPr>
          <w:rFonts w:ascii="Palatino Linotype" w:eastAsia="MS Mincho" w:hAnsi="Palatino Linotype" w:cs="Arial"/>
          <w:b/>
          <w:bCs/>
          <w:color w:val="000000"/>
        </w:rPr>
        <w:t>Comisión de Derechos Humanos del Estado de México</w:t>
      </w:r>
      <w:r w:rsidRPr="004F3E91">
        <w:rPr>
          <w:rFonts w:ascii="Palatino Linotype" w:eastAsia="MS Mincho" w:hAnsi="Palatino Linotype" w:cs="Arial"/>
          <w:color w:val="000000"/>
        </w:rPr>
        <w:t>, contará con autonomía de gestión y presupuestaria, personalidad jurídica y patrimonio propio</w:t>
      </w:r>
      <w:r w:rsidRPr="004F3E91">
        <w:rPr>
          <w:rStyle w:val="Refdenotaalpie"/>
          <w:rFonts w:ascii="Palatino Linotype" w:eastAsia="MS Mincho" w:hAnsi="Palatino Linotype" w:cs="Arial"/>
          <w:color w:val="000000"/>
        </w:rPr>
        <w:footnoteReference w:id="12"/>
      </w:r>
      <w:r w:rsidRPr="004F3E91">
        <w:rPr>
          <w:rFonts w:ascii="Palatino Linotype" w:eastAsia="MS Mincho" w:hAnsi="Palatino Linotype" w:cs="Arial"/>
          <w:color w:val="000000"/>
        </w:rPr>
        <w:t>.</w:t>
      </w:r>
    </w:p>
    <w:p w14:paraId="7E4B6F9A"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6F04D39F" w14:textId="62E63D14" w:rsidR="00F2230E" w:rsidRPr="004F3E91" w:rsidRDefault="00BA69BA"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lastRenderedPageBreak/>
        <w:t>De conformidad con el numeral 13 de la Ley de la Comisión de Derechos Humanos del Estado de México, la Comisión Estatal tendrá entre sus atribuciones, las siguientes:</w:t>
      </w:r>
    </w:p>
    <w:p w14:paraId="42C86C24"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lang w:val="es-ES_tradnl"/>
        </w:rPr>
        <w:t xml:space="preserve">Conocer </w:t>
      </w:r>
      <w:r w:rsidRPr="004F3E91">
        <w:rPr>
          <w:rFonts w:ascii="Palatino Linotype" w:eastAsia="MS Mincho" w:hAnsi="Palatino Linotype" w:cs="Arial"/>
          <w:b/>
          <w:bCs/>
          <w:color w:val="000000"/>
        </w:rPr>
        <w:t>de quejas</w:t>
      </w:r>
      <w:r w:rsidRPr="004F3E91">
        <w:rPr>
          <w:rFonts w:ascii="Palatino Linotype" w:eastAsia="MS Mincho" w:hAnsi="Palatino Linotype" w:cs="Arial"/>
          <w:color w:val="000000"/>
        </w:rPr>
        <w:t xml:space="preserve"> o iniciar de oficio investigaciones, </w:t>
      </w:r>
      <w:r w:rsidRPr="004F3E91">
        <w:rPr>
          <w:rFonts w:ascii="Palatino Linotype" w:eastAsia="MS Mincho" w:hAnsi="Palatino Linotype" w:cs="Arial"/>
          <w:b/>
          <w:bCs/>
          <w:color w:val="000000"/>
        </w:rPr>
        <w:t>sobre presuntas violaciones a derechos humanos</w:t>
      </w:r>
      <w:r w:rsidRPr="004F3E91">
        <w:rPr>
          <w:rFonts w:ascii="Palatino Linotype" w:eastAsia="MS Mincho" w:hAnsi="Palatino Linotype" w:cs="Arial"/>
          <w:color w:val="000000"/>
        </w:rPr>
        <w:t xml:space="preserve">, por actos u omisiones de naturaleza administrativa de cualquier autoridad o servidor público estatal o municipal; </w:t>
      </w:r>
    </w:p>
    <w:p w14:paraId="7BD735E4"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rPr>
        <w:t>Conocer de quejas</w:t>
      </w:r>
      <w:r w:rsidRPr="004F3E91">
        <w:rPr>
          <w:rFonts w:ascii="Palatino Linotype" w:eastAsia="MS Mincho" w:hAnsi="Palatino Linotype" w:cs="Arial"/>
          <w:color w:val="000000"/>
        </w:rPr>
        <w:t xml:space="preserve"> o iniciar de oficio investigaciones, </w:t>
      </w:r>
      <w:r w:rsidRPr="004F3E91">
        <w:rPr>
          <w:rFonts w:ascii="Palatino Linotype" w:eastAsia="MS Mincho" w:hAnsi="Palatino Linotype" w:cs="Arial"/>
          <w:b/>
          <w:bCs/>
          <w:color w:val="000000"/>
        </w:rPr>
        <w:t>en contra de cualquier autoridad o servidor público</w:t>
      </w:r>
      <w:r w:rsidRPr="004F3E91">
        <w:rPr>
          <w:rFonts w:ascii="Palatino Linotype" w:eastAsia="MS Mincho" w:hAnsi="Palatino Linotype" w:cs="Arial"/>
          <w:color w:val="000000"/>
        </w:rPr>
        <w:t xml:space="preserve"> que con su tolerancia, consentimiento o negativa a ejercer las atribuciones que legalmente le correspondan, de lugar a presuntas violaciones a derechos humanos provenientes de quienes presten servicios permisionados o concesionados por los gobiernos estatal o municipales u ofrezcan servicios al público; </w:t>
      </w:r>
    </w:p>
    <w:p w14:paraId="14FBDF9C"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rPr>
        <w:t>Sustanciar los procedimientos que correspondan</w:t>
      </w:r>
      <w:r w:rsidRPr="004F3E91">
        <w:rPr>
          <w:rFonts w:ascii="Palatino Linotype" w:eastAsia="MS Mincho" w:hAnsi="Palatino Linotype" w:cs="Arial"/>
          <w:color w:val="000000"/>
        </w:rPr>
        <w:t xml:space="preserve">, en los términos previstos por esta Ley y demás disposiciones aplicables; </w:t>
      </w:r>
    </w:p>
    <w:p w14:paraId="3F936CEE"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 xml:space="preserve">Solicitar a las autoridades o servidores públicos competentes, las medidas precautorias o cautelares que estime necesarias; </w:t>
      </w:r>
    </w:p>
    <w:p w14:paraId="69EF7F62"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 xml:space="preserve">Requerir a cualquier autoridad o servidor público dentro del Estado, conforme a las disposiciones legales, la información que requiera sobre probables violaciones a los derechos humanos; </w:t>
      </w:r>
    </w:p>
    <w:p w14:paraId="12D50ACB"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 xml:space="preserve">Procurar la mediación o la conciliación entre las partes, a efecto de dar pronta solución al conflicto planteado, cuando la naturaleza del asunto lo permita; </w:t>
      </w:r>
    </w:p>
    <w:p w14:paraId="404ECF84"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b/>
          <w:bCs/>
          <w:color w:val="000000"/>
        </w:rPr>
        <w:lastRenderedPageBreak/>
        <w:t>Proporcionar orientación y asesoría jurídica a las personas que lo soliciten</w:t>
      </w:r>
      <w:r w:rsidRPr="004F3E91">
        <w:rPr>
          <w:rFonts w:ascii="Palatino Linotype" w:eastAsia="MS Mincho" w:hAnsi="Palatino Linotype" w:cs="Arial"/>
          <w:color w:val="000000"/>
        </w:rPr>
        <w:t xml:space="preserve">; </w:t>
      </w:r>
    </w:p>
    <w:p w14:paraId="172681A9"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 xml:space="preserve">Formular recomendaciones públicas no vinculatorias y demás resoluciones que contemple esta Ley; </w:t>
      </w:r>
    </w:p>
    <w:p w14:paraId="303260F3" w14:textId="77777777"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 xml:space="preserve">Emitir Pronunciamientos, Recomendaciones y Criterios, de carácter general, conducentes a una mejor protección de los derechos humanos; </w:t>
      </w:r>
    </w:p>
    <w:p w14:paraId="35C21FED" w14:textId="7640D4D8" w:rsidR="00BA69BA" w:rsidRPr="004F3E91" w:rsidRDefault="00BA69BA" w:rsidP="00BA69BA">
      <w:pPr>
        <w:pStyle w:val="Prrafodelista"/>
        <w:numPr>
          <w:ilvl w:val="1"/>
          <w:numId w:val="19"/>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s="Arial"/>
          <w:color w:val="000000"/>
        </w:rPr>
        <w:t>Formular informes especiales, así como las quejas o denuncias a que se refieren los artículos 102 apartado B de la Constitución Política de los Estados Unidos Mexicanos y 16 de la Constitución Política del Estado Libre y Soberano de México;</w:t>
      </w:r>
    </w:p>
    <w:p w14:paraId="79CF371A"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597B14BA" w14:textId="1BBEE8F3" w:rsidR="00F2230E" w:rsidRPr="004F3E91" w:rsidRDefault="00BA69BA"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Tal como sucede con la Comisión Nacional, de acuerdo con el artículo 60 de la Ley de la Comisión de Derechos Humanos del Estado de México, cualquier </w:t>
      </w:r>
      <w:r w:rsidRPr="004F3E91">
        <w:rPr>
          <w:rFonts w:ascii="Palatino Linotype" w:eastAsia="MS Mincho" w:hAnsi="Palatino Linotype" w:cs="Arial"/>
          <w:color w:val="000000"/>
        </w:rPr>
        <w:t>persona puede interponer queja ante la Comisión Estatal por la probable violación a sus derechos humanos o de terceros, derivado de actos u omisiones de naturaleza administrativa, provenientes de cualquier autoridad o servidor público del Estado o municipios.</w:t>
      </w:r>
    </w:p>
    <w:p w14:paraId="1A6EB3CF" w14:textId="77777777" w:rsidR="00F2230E" w:rsidRPr="004F3E91" w:rsidRDefault="00F2230E" w:rsidP="00F2230E">
      <w:pPr>
        <w:pStyle w:val="Prrafodelista"/>
        <w:spacing w:line="360" w:lineRule="auto"/>
        <w:ind w:left="0"/>
        <w:contextualSpacing/>
        <w:jc w:val="both"/>
        <w:rPr>
          <w:rFonts w:ascii="Palatino Linotype" w:eastAsia="MS Mincho" w:hAnsi="Palatino Linotype" w:cs="Arial"/>
          <w:i/>
          <w:lang w:val="es-MX"/>
        </w:rPr>
      </w:pPr>
    </w:p>
    <w:p w14:paraId="36BF33D8" w14:textId="61057511" w:rsidR="00F2230E" w:rsidRPr="004F3E91" w:rsidRDefault="00BA69BA"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Las quejas deberán </w:t>
      </w:r>
      <w:r w:rsidRPr="004F3E91">
        <w:rPr>
          <w:rFonts w:ascii="Palatino Linotype" w:eastAsia="MS Mincho" w:hAnsi="Palatino Linotype" w:cs="Arial"/>
          <w:color w:val="000000"/>
        </w:rPr>
        <w:t>presentarse dentro del plazo de un año, a partir del conocimiento que haya tenido el quejoso de la probable violación a derechos humanos</w:t>
      </w:r>
      <w:r w:rsidRPr="004F3E91">
        <w:rPr>
          <w:rStyle w:val="Refdenotaalpie"/>
          <w:rFonts w:ascii="Palatino Linotype" w:eastAsia="MS Mincho" w:hAnsi="Palatino Linotype" w:cs="Arial"/>
          <w:color w:val="000000"/>
        </w:rPr>
        <w:footnoteReference w:id="13"/>
      </w:r>
      <w:r w:rsidRPr="004F3E91">
        <w:rPr>
          <w:rFonts w:ascii="Palatino Linotype" w:eastAsia="MS Mincho" w:hAnsi="Palatino Linotype" w:cs="Arial"/>
          <w:color w:val="000000"/>
        </w:rPr>
        <w:t xml:space="preserve">; cuando se trate de violaciones graves a la integridad física o psíquica, de lesa humanidad, a la vida, ataques a la libertad personal fuera del procedimiento </w:t>
      </w:r>
      <w:r w:rsidRPr="004F3E91">
        <w:rPr>
          <w:rFonts w:ascii="Palatino Linotype" w:eastAsia="MS Mincho" w:hAnsi="Palatino Linotype" w:cs="Arial"/>
          <w:color w:val="000000"/>
        </w:rPr>
        <w:lastRenderedPageBreak/>
        <w:t>judicial, o alguno de los actos prohibidos por el artículo 22 de la Constitución Política de los Estados Unidos Mexicanos, la queja podrá presentarse en cualquier tiempo</w:t>
      </w:r>
      <w:r w:rsidRPr="004F3E91">
        <w:rPr>
          <w:rStyle w:val="Refdenotaalpie"/>
          <w:rFonts w:ascii="Palatino Linotype" w:eastAsia="MS Mincho" w:hAnsi="Palatino Linotype" w:cs="Arial"/>
          <w:color w:val="000000"/>
        </w:rPr>
        <w:footnoteReference w:id="14"/>
      </w:r>
      <w:r w:rsidRPr="004F3E91">
        <w:rPr>
          <w:rFonts w:ascii="Palatino Linotype" w:eastAsia="MS Mincho" w:hAnsi="Palatino Linotype" w:cs="Arial"/>
          <w:color w:val="000000"/>
        </w:rPr>
        <w:t>.</w:t>
      </w:r>
    </w:p>
    <w:p w14:paraId="308F9F87" w14:textId="77777777" w:rsidR="00BA69BA" w:rsidRPr="004F3E91" w:rsidRDefault="00BA69BA" w:rsidP="00BA69BA">
      <w:pPr>
        <w:pStyle w:val="Prrafodelista"/>
        <w:spacing w:line="360" w:lineRule="auto"/>
        <w:ind w:left="0"/>
        <w:contextualSpacing/>
        <w:jc w:val="both"/>
        <w:rPr>
          <w:rFonts w:ascii="Palatino Linotype" w:eastAsia="MS Mincho" w:hAnsi="Palatino Linotype" w:cs="Arial"/>
          <w:i/>
          <w:lang w:val="es-MX"/>
        </w:rPr>
      </w:pPr>
    </w:p>
    <w:p w14:paraId="273B22D4" w14:textId="0C02090A" w:rsidR="00BA69BA" w:rsidRPr="004F3E91" w:rsidRDefault="00BA69BA" w:rsidP="00017D49">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Las quejas podrán </w:t>
      </w:r>
      <w:r w:rsidRPr="004F3E91">
        <w:rPr>
          <w:rFonts w:ascii="Palatino Linotype" w:eastAsia="MS Mincho" w:hAnsi="Palatino Linotype" w:cs="Arial"/>
          <w:color w:val="000000"/>
        </w:rPr>
        <w:t>presentarse de manera física, en forma verbal o escrita, o por medios electrónicos</w:t>
      </w:r>
      <w:r w:rsidRPr="004F3E91">
        <w:rPr>
          <w:rStyle w:val="Refdenotaalpie"/>
          <w:rFonts w:ascii="Palatino Linotype" w:eastAsia="MS Mincho" w:hAnsi="Palatino Linotype" w:cs="Arial"/>
          <w:color w:val="000000"/>
        </w:rPr>
        <w:footnoteReference w:id="15"/>
      </w:r>
      <w:r w:rsidRPr="004F3E91">
        <w:rPr>
          <w:rFonts w:ascii="Palatino Linotype" w:eastAsia="MS Mincho" w:hAnsi="Palatino Linotype" w:cs="Arial"/>
          <w:color w:val="000000"/>
        </w:rPr>
        <w:t>.</w:t>
      </w:r>
      <w:r w:rsidR="0073776E" w:rsidRPr="004F3E91">
        <w:rPr>
          <w:rFonts w:ascii="Palatino Linotype" w:eastAsia="MS Mincho" w:hAnsi="Palatino Linotype" w:cs="Arial"/>
          <w:color w:val="000000"/>
        </w:rPr>
        <w:t xml:space="preserve"> Una vez admitida la queja o iniciada de oficio la investigación, se hará del conocimiento del superior jerárquico de las autoridades o servidores públicos señalados como probables responsables; en la misma comunicación se deberá solicitar un informe sobre las probables violaciones a derechos humanos</w:t>
      </w:r>
      <w:r w:rsidR="0073776E" w:rsidRPr="004F3E91">
        <w:rPr>
          <w:rStyle w:val="Refdenotaalpie"/>
          <w:rFonts w:ascii="Palatino Linotype" w:eastAsia="MS Mincho" w:hAnsi="Palatino Linotype" w:cs="Arial"/>
          <w:color w:val="000000"/>
        </w:rPr>
        <w:footnoteReference w:id="16"/>
      </w:r>
    </w:p>
    <w:p w14:paraId="264271E3" w14:textId="77777777" w:rsidR="00BA69BA" w:rsidRPr="004F3E91" w:rsidRDefault="00BA69BA" w:rsidP="00BA69BA">
      <w:pPr>
        <w:pStyle w:val="Prrafodelista"/>
        <w:spacing w:line="360" w:lineRule="auto"/>
        <w:ind w:left="0"/>
        <w:contextualSpacing/>
        <w:jc w:val="both"/>
        <w:rPr>
          <w:rFonts w:ascii="Palatino Linotype" w:eastAsia="MS Mincho" w:hAnsi="Palatino Linotype" w:cs="Arial"/>
          <w:i/>
          <w:lang w:val="es-MX"/>
        </w:rPr>
      </w:pPr>
    </w:p>
    <w:p w14:paraId="0169207E" w14:textId="41A69229" w:rsidR="00BA69BA" w:rsidRPr="004F3E91" w:rsidRDefault="0073776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Así las cosas, queda demostrado de manera fehaciente que la Comisión Nacional de Derechos Humanos, y la Comisión de Derechos Humanos del Estado de México, si bien son entes emanados del mandato constitucional contenido en el artículo 102, apartado B, de nuestra </w:t>
      </w:r>
      <w:r w:rsidRPr="004F3E91">
        <w:rPr>
          <w:rFonts w:ascii="Palatino Linotype" w:eastAsia="MS Mincho" w:hAnsi="Palatino Linotype" w:cs="Arial"/>
          <w:i/>
          <w:iCs/>
          <w:color w:val="000000"/>
          <w:lang w:val="es-ES_tradnl"/>
        </w:rPr>
        <w:t>Magna Carta</w:t>
      </w:r>
      <w:r w:rsidRPr="004F3E91">
        <w:rPr>
          <w:rFonts w:ascii="Palatino Linotype" w:eastAsia="MS Mincho" w:hAnsi="Palatino Linotype" w:cs="Arial"/>
          <w:color w:val="000000"/>
          <w:lang w:val="es-ES_tradnl"/>
        </w:rPr>
        <w:t>, el primero supone el organismo autónomo nacional encargado de tutelar y garantizar los derechos humanos en todo el país, mientras que el segundo se identifica como el organismo autónomo con gestión específica dentro del Estado de México.</w:t>
      </w:r>
    </w:p>
    <w:p w14:paraId="6D30BD4C" w14:textId="77777777" w:rsidR="00BA69BA" w:rsidRPr="004F3E91" w:rsidRDefault="00BA69BA" w:rsidP="00BA69BA">
      <w:pPr>
        <w:pStyle w:val="Prrafodelista"/>
        <w:spacing w:line="360" w:lineRule="auto"/>
        <w:ind w:left="0"/>
        <w:contextualSpacing/>
        <w:jc w:val="both"/>
        <w:rPr>
          <w:rFonts w:ascii="Palatino Linotype" w:eastAsia="MS Mincho" w:hAnsi="Palatino Linotype" w:cs="Arial"/>
          <w:i/>
          <w:lang w:val="es-MX"/>
        </w:rPr>
      </w:pPr>
    </w:p>
    <w:p w14:paraId="2C970D61" w14:textId="48F65AD0" w:rsidR="00BA69BA" w:rsidRPr="004F3E91" w:rsidRDefault="0073776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Luego entonces, por cuanto hace al informe proveído por el Defensor Municipal de Derechos Humanos respecto de los expedientes recibidos por parte de la Comisión de Derechos Humanos del Estado de México, este Organismo Garante concluye que </w:t>
      </w:r>
      <w:r w:rsidRPr="004F3E91">
        <w:rPr>
          <w:rFonts w:ascii="Palatino Linotype" w:eastAsia="MS Mincho" w:hAnsi="Palatino Linotype" w:cs="Arial"/>
          <w:b/>
          <w:bCs/>
          <w:color w:val="000000"/>
          <w:lang w:val="es-ES_tradnl"/>
        </w:rPr>
        <w:t>no colma</w:t>
      </w:r>
      <w:r w:rsidRPr="004F3E91">
        <w:rPr>
          <w:rFonts w:ascii="Palatino Linotype" w:eastAsia="MS Mincho" w:hAnsi="Palatino Linotype" w:cs="Arial"/>
          <w:color w:val="000000"/>
          <w:lang w:val="es-ES_tradnl"/>
        </w:rPr>
        <w:t xml:space="preserve"> el requerimiento relativo a las denuncias formuladas por </w:t>
      </w:r>
      <w:r w:rsidRPr="004F3E91">
        <w:rPr>
          <w:rFonts w:ascii="Palatino Linotype" w:eastAsia="MS Mincho" w:hAnsi="Palatino Linotype" w:cs="Arial"/>
          <w:color w:val="000000"/>
          <w:lang w:val="es-ES_tradnl"/>
        </w:rPr>
        <w:lastRenderedPageBreak/>
        <w:t>exceso de ruido ante la Comisión Nacional de Derechos Humanos, pues como se ha demostrado en líneas anteriores, ésta es un ente público diverso a la Comisión Estatal.</w:t>
      </w:r>
    </w:p>
    <w:p w14:paraId="2E06C33E" w14:textId="77777777" w:rsidR="0073776E" w:rsidRPr="004F3E91" w:rsidRDefault="0073776E" w:rsidP="0073776E">
      <w:pPr>
        <w:pStyle w:val="Prrafodelista"/>
        <w:spacing w:line="360" w:lineRule="auto"/>
        <w:ind w:left="0"/>
        <w:contextualSpacing/>
        <w:jc w:val="both"/>
        <w:rPr>
          <w:rFonts w:ascii="Palatino Linotype" w:eastAsia="MS Mincho" w:hAnsi="Palatino Linotype" w:cs="Arial"/>
          <w:i/>
          <w:lang w:val="es-MX"/>
        </w:rPr>
      </w:pPr>
    </w:p>
    <w:p w14:paraId="60EB8BFF" w14:textId="2AF791BD" w:rsidR="0073776E" w:rsidRPr="004F3E91" w:rsidRDefault="0073776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Razón de lo anterior, el </w:t>
      </w:r>
      <w:r w:rsidRPr="004F3E91">
        <w:rPr>
          <w:rFonts w:ascii="Palatino Linotype" w:eastAsia="MS Mincho" w:hAnsi="Palatino Linotype" w:cs="Arial"/>
          <w:b/>
          <w:bCs/>
          <w:color w:val="000000"/>
          <w:lang w:val="es-ES_tradnl"/>
        </w:rPr>
        <w:t>SUJETO OBLIGADO</w:t>
      </w:r>
      <w:r w:rsidRPr="004F3E91">
        <w:rPr>
          <w:rFonts w:ascii="Palatino Linotype" w:eastAsia="MS Mincho" w:hAnsi="Palatino Linotype" w:cs="Arial"/>
          <w:color w:val="000000"/>
          <w:lang w:val="es-ES_tradnl"/>
        </w:rPr>
        <w:t xml:space="preserve"> deberá realizar una nueva búsqueda exhaustiva y razonable en sus archivos, a fin de entregar al </w:t>
      </w:r>
      <w:r w:rsidRPr="004F3E91">
        <w:rPr>
          <w:rFonts w:ascii="Palatino Linotype" w:eastAsia="MS Mincho" w:hAnsi="Palatino Linotype" w:cs="Arial"/>
          <w:b/>
          <w:bCs/>
          <w:color w:val="000000"/>
          <w:lang w:val="es-ES_tradnl"/>
        </w:rPr>
        <w:t>RECURRENTE</w:t>
      </w:r>
      <w:r w:rsidRPr="004F3E91">
        <w:rPr>
          <w:rFonts w:ascii="Palatino Linotype" w:eastAsia="MS Mincho" w:hAnsi="Palatino Linotype" w:cs="Arial"/>
          <w:color w:val="000000"/>
          <w:lang w:val="es-ES_tradnl"/>
        </w:rPr>
        <w:t xml:space="preserve"> los documentos consistentes en las denuncias, y sus expedientes formados, interpuestas por exceso de ruido ante la </w:t>
      </w:r>
      <w:r w:rsidRPr="004F3E91">
        <w:rPr>
          <w:rFonts w:ascii="Palatino Linotype" w:eastAsia="MS Mincho" w:hAnsi="Palatino Linotype" w:cs="Arial"/>
          <w:b/>
          <w:bCs/>
          <w:color w:val="000000"/>
          <w:lang w:val="es-ES_tradnl"/>
        </w:rPr>
        <w:t>Comisión Nacional de Derechos Humanos</w:t>
      </w:r>
      <w:r w:rsidRPr="004F3E91">
        <w:rPr>
          <w:rFonts w:ascii="Palatino Linotype" w:eastAsia="MS Mincho" w:hAnsi="Palatino Linotype" w:cs="Arial"/>
          <w:color w:val="000000"/>
          <w:lang w:val="es-ES_tradnl"/>
        </w:rPr>
        <w:t xml:space="preserve"> por el período comprendido del uno (01) de enero de dos mil veintiuno al quince (15) de febrero de dos mil veintidós.</w:t>
      </w:r>
    </w:p>
    <w:p w14:paraId="769EBB13" w14:textId="77777777" w:rsidR="0073776E" w:rsidRPr="004F3E91" w:rsidRDefault="0073776E" w:rsidP="0073776E">
      <w:pPr>
        <w:pStyle w:val="Prrafodelista"/>
        <w:spacing w:line="360" w:lineRule="auto"/>
        <w:ind w:left="0"/>
        <w:contextualSpacing/>
        <w:jc w:val="both"/>
        <w:rPr>
          <w:rFonts w:ascii="Palatino Linotype" w:eastAsia="MS Mincho" w:hAnsi="Palatino Linotype" w:cs="Arial"/>
          <w:i/>
          <w:lang w:val="es-MX"/>
        </w:rPr>
      </w:pPr>
    </w:p>
    <w:p w14:paraId="7BCC8DEC" w14:textId="76779F13" w:rsidR="0073776E" w:rsidRPr="004F3E91" w:rsidRDefault="0073776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Por </w:t>
      </w:r>
      <w:r w:rsidRPr="004F3E91">
        <w:rPr>
          <w:rFonts w:ascii="Palatino Linotype" w:eastAsia="MS Mincho" w:hAnsi="Palatino Linotype" w:cs="Arial"/>
          <w:color w:val="000000"/>
        </w:rPr>
        <w:t xml:space="preserve">otro lado, si derivado de la búsqueda de la información, no se localizara en los archivos del </w:t>
      </w:r>
      <w:r w:rsidRPr="004F3E91">
        <w:rPr>
          <w:rFonts w:ascii="Palatino Linotype" w:eastAsia="MS Mincho" w:hAnsi="Palatino Linotype" w:cs="Arial"/>
          <w:b/>
          <w:color w:val="000000"/>
        </w:rPr>
        <w:t>SUJETO OBLIGADO</w:t>
      </w:r>
      <w:r w:rsidRPr="004F3E91">
        <w:rPr>
          <w:rFonts w:ascii="Palatino Linotype" w:eastAsia="MS Mincho" w:hAnsi="Palatino Linotype" w:cs="Arial"/>
          <w:color w:val="000000"/>
        </w:rPr>
        <w:t xml:space="preserve">, éste deberá atender las formalidades que establece el fundamento jurídico plasmado en el </w:t>
      </w:r>
      <w:r w:rsidRPr="004F3E91">
        <w:rPr>
          <w:rFonts w:ascii="Palatino Linotype" w:eastAsia="MS Mincho" w:hAnsi="Palatino Linotype" w:cs="Arial"/>
          <w:bCs/>
          <w:color w:val="000000"/>
        </w:rPr>
        <w:t>artículo 19 de la Ley de Transparencia y Acceso a la Información Pública del Estado de México y Municipios,</w:t>
      </w:r>
      <w:r w:rsidRPr="004F3E91">
        <w:rPr>
          <w:rFonts w:ascii="Palatino Linotype" w:eastAsia="MS Mincho" w:hAnsi="Palatino Linotype" w:cs="Arial"/>
          <w:color w:val="000000"/>
        </w:rPr>
        <w:t xml:space="preserve"> y que es del tenor literal siguiente:</w:t>
      </w:r>
    </w:p>
    <w:p w14:paraId="4E70D063" w14:textId="2D3C5566" w:rsidR="0073776E" w:rsidRPr="004F3E91" w:rsidRDefault="0073776E" w:rsidP="0073776E">
      <w:pPr>
        <w:pStyle w:val="Prrafodelista"/>
        <w:spacing w:line="360" w:lineRule="auto"/>
        <w:ind w:left="0"/>
        <w:contextualSpacing/>
        <w:jc w:val="both"/>
        <w:rPr>
          <w:rFonts w:ascii="Palatino Linotype" w:eastAsia="MS Mincho" w:hAnsi="Palatino Linotype" w:cs="Arial"/>
          <w:iCs/>
          <w:lang w:val="es-MX"/>
        </w:rPr>
      </w:pPr>
    </w:p>
    <w:p w14:paraId="32DE04E0" w14:textId="77777777" w:rsidR="0073776E" w:rsidRPr="004F3E91" w:rsidRDefault="0073776E" w:rsidP="0073776E">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w:t>
      </w:r>
      <w:r w:rsidRPr="004F3E91">
        <w:rPr>
          <w:rFonts w:ascii="Palatino Linotype" w:eastAsia="MS Mincho" w:hAnsi="Palatino Linotype" w:cs="Arial"/>
          <w:b/>
          <w:bCs/>
          <w:i/>
          <w:sz w:val="22"/>
          <w:szCs w:val="22"/>
          <w:lang w:val="es-MX"/>
        </w:rPr>
        <w:t>Artículo 19.</w:t>
      </w:r>
      <w:r w:rsidRPr="004F3E91">
        <w:rPr>
          <w:rFonts w:ascii="Palatino Linotype" w:eastAsia="MS Mincho" w:hAnsi="Palatino Linotype" w:cs="Arial"/>
          <w:i/>
          <w:sz w:val="22"/>
          <w:szCs w:val="22"/>
          <w:lang w:val="es-MX"/>
        </w:rPr>
        <w:t xml:space="preserve"> Se presume que la información debe existir si se refiere a las facultades, competencias y funciones que los ordenamientos jurídicos aplicables otorgan a los sujetos obligados.</w:t>
      </w:r>
    </w:p>
    <w:p w14:paraId="0A6DE5D0" w14:textId="77777777" w:rsidR="0073776E" w:rsidRPr="004F3E91" w:rsidRDefault="0073776E" w:rsidP="0073776E">
      <w:pPr>
        <w:pStyle w:val="Prrafodelista"/>
        <w:spacing w:line="276" w:lineRule="auto"/>
        <w:ind w:left="567" w:right="567"/>
        <w:contextualSpacing/>
        <w:jc w:val="both"/>
        <w:rPr>
          <w:rFonts w:ascii="Palatino Linotype" w:eastAsia="MS Mincho" w:hAnsi="Palatino Linotype" w:cs="Arial"/>
          <w:b/>
          <w:bCs/>
          <w:i/>
          <w:sz w:val="22"/>
          <w:szCs w:val="22"/>
          <w:lang w:val="es-MX"/>
        </w:rPr>
      </w:pPr>
      <w:r w:rsidRPr="004F3E91">
        <w:rPr>
          <w:rFonts w:ascii="Palatino Linotype" w:eastAsia="MS Mincho" w:hAnsi="Palatino Linotype" w:cs="Arial"/>
          <w:b/>
          <w:bCs/>
          <w:i/>
          <w:sz w:val="22"/>
          <w:szCs w:val="22"/>
          <w:lang w:val="es-MX"/>
        </w:rPr>
        <w:t>En los casos en que ciertas facultades, competencias o funciones no se hayan ejercido, se debe motivar la respuesta en función de las causas que motiven tal circunstancia.</w:t>
      </w:r>
    </w:p>
    <w:p w14:paraId="11462185" w14:textId="54B8E726" w:rsidR="0073776E" w:rsidRPr="004F3E91" w:rsidRDefault="0073776E" w:rsidP="0073776E">
      <w:pPr>
        <w:pStyle w:val="Prrafodelista"/>
        <w:spacing w:line="276" w:lineRule="auto"/>
        <w:ind w:left="567" w:right="567"/>
        <w:contextualSpacing/>
        <w:jc w:val="both"/>
        <w:rPr>
          <w:rFonts w:ascii="Palatino Linotype" w:eastAsia="MS Mincho" w:hAnsi="Palatino Linotype" w:cs="Arial"/>
          <w:i/>
          <w:sz w:val="22"/>
          <w:szCs w:val="22"/>
          <w:lang w:val="es-MX"/>
        </w:rPr>
      </w:pPr>
      <w:r w:rsidRPr="004F3E91">
        <w:rPr>
          <w:rFonts w:ascii="Palatino Linotype" w:eastAsia="MS Mincho" w:hAnsi="Palatino Linotype" w:cs="Arial"/>
          <w:i/>
          <w:sz w:val="22"/>
          <w:szCs w:val="22"/>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EA4EC96" w14:textId="2921D070" w:rsidR="0073776E" w:rsidRPr="004F3E91" w:rsidRDefault="0073776E" w:rsidP="0073776E">
      <w:pPr>
        <w:pStyle w:val="Prrafodelista"/>
        <w:spacing w:line="276" w:lineRule="auto"/>
        <w:ind w:left="567" w:right="567"/>
        <w:contextualSpacing/>
        <w:jc w:val="both"/>
        <w:rPr>
          <w:rFonts w:ascii="Palatino Linotype" w:eastAsia="MS Mincho" w:hAnsi="Palatino Linotype" w:cs="Arial"/>
          <w:iCs/>
          <w:sz w:val="22"/>
          <w:szCs w:val="22"/>
          <w:lang w:val="es-MX"/>
        </w:rPr>
      </w:pPr>
      <w:r w:rsidRPr="004F3E91">
        <w:rPr>
          <w:rFonts w:ascii="Palatino Linotype" w:eastAsia="MS Mincho" w:hAnsi="Palatino Linotype" w:cs="Arial"/>
          <w:iCs/>
          <w:sz w:val="22"/>
          <w:szCs w:val="22"/>
          <w:lang w:val="es-MX"/>
        </w:rPr>
        <w:t>(Énfasis añadido)</w:t>
      </w:r>
    </w:p>
    <w:p w14:paraId="029508C2" w14:textId="77777777" w:rsidR="0073776E" w:rsidRPr="004F3E91" w:rsidRDefault="0073776E" w:rsidP="0073776E">
      <w:pPr>
        <w:pStyle w:val="Prrafodelista"/>
        <w:spacing w:line="360" w:lineRule="auto"/>
        <w:ind w:left="0"/>
        <w:contextualSpacing/>
        <w:jc w:val="both"/>
        <w:rPr>
          <w:rFonts w:ascii="Palatino Linotype" w:eastAsia="MS Mincho" w:hAnsi="Palatino Linotype" w:cs="Arial"/>
          <w:iCs/>
          <w:lang w:val="es-MX"/>
        </w:rPr>
      </w:pPr>
    </w:p>
    <w:p w14:paraId="24509DB3" w14:textId="2A498B21" w:rsidR="0073776E" w:rsidRPr="004F3E91" w:rsidRDefault="0073776E"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MS Mincho" w:hAnsi="Palatino Linotype" w:cs="Arial"/>
          <w:color w:val="000000"/>
          <w:lang w:val="es-ES_tradnl"/>
        </w:rPr>
        <w:t xml:space="preserve">Por lo que de ser el caso que dicha información no haya sido generada, el </w:t>
      </w:r>
      <w:r w:rsidRPr="004F3E91">
        <w:rPr>
          <w:rFonts w:ascii="Palatino Linotype" w:eastAsia="MS Mincho" w:hAnsi="Palatino Linotype" w:cs="Arial"/>
          <w:b/>
          <w:color w:val="000000"/>
          <w:lang w:val="es-ES_tradnl"/>
        </w:rPr>
        <w:t xml:space="preserve">SUJETO OBLIGADO </w:t>
      </w:r>
      <w:r w:rsidRPr="004F3E91">
        <w:rPr>
          <w:rFonts w:ascii="Palatino Linotype" w:eastAsia="MS Mincho" w:hAnsi="Palatino Linotype" w:cs="Arial"/>
          <w:color w:val="000000"/>
          <w:lang w:val="es-ES_tradnl"/>
        </w:rPr>
        <w:t xml:space="preserve">deberá de manifestar </w:t>
      </w:r>
      <w:r w:rsidRPr="004F3E91">
        <w:rPr>
          <w:rFonts w:ascii="Palatino Linotype" w:eastAsia="MS Mincho" w:hAnsi="Palatino Linotype" w:cs="Arial"/>
          <w:b/>
          <w:color w:val="000000"/>
          <w:lang w:val="es-ES_tradnl"/>
        </w:rPr>
        <w:t>las razones que expliquen las causas por las que no se haya generado</w:t>
      </w:r>
      <w:r w:rsidRPr="004F3E91">
        <w:rPr>
          <w:rFonts w:ascii="Palatino Linotype" w:eastAsia="MS Mincho" w:hAnsi="Palatino Linotype" w:cs="Arial"/>
          <w:color w:val="000000"/>
          <w:lang w:val="es-ES_tradnl"/>
        </w:rPr>
        <w:t xml:space="preserve"> la información requerida en el presente asunto</w:t>
      </w:r>
      <w:r w:rsidR="00963686" w:rsidRPr="004F3E91">
        <w:rPr>
          <w:rFonts w:ascii="Palatino Linotype" w:eastAsia="MS Mincho" w:hAnsi="Palatino Linotype" w:cs="Arial"/>
          <w:color w:val="000000"/>
          <w:lang w:val="es-ES_tradnl"/>
        </w:rPr>
        <w:t>, de manera clara y precisa.</w:t>
      </w:r>
    </w:p>
    <w:p w14:paraId="626B49A0" w14:textId="48F47AC2" w:rsidR="00963686" w:rsidRPr="004F3E91" w:rsidRDefault="00963686" w:rsidP="00963686">
      <w:pPr>
        <w:pStyle w:val="Prrafodelista"/>
        <w:spacing w:line="360" w:lineRule="auto"/>
        <w:ind w:left="0"/>
        <w:contextualSpacing/>
        <w:jc w:val="both"/>
        <w:rPr>
          <w:rFonts w:ascii="Palatino Linotype" w:eastAsia="MS Mincho" w:hAnsi="Palatino Linotype" w:cs="Arial"/>
          <w:color w:val="000000"/>
          <w:lang w:val="es-ES_tradnl"/>
        </w:rPr>
      </w:pPr>
    </w:p>
    <w:p w14:paraId="66163313" w14:textId="438B19F5" w:rsidR="00963686" w:rsidRPr="004F3E91" w:rsidRDefault="00963686" w:rsidP="00963686">
      <w:pPr>
        <w:pStyle w:val="Prrafodelista"/>
        <w:spacing w:line="360" w:lineRule="auto"/>
        <w:ind w:left="0"/>
        <w:contextualSpacing/>
        <w:jc w:val="both"/>
        <w:outlineLvl w:val="2"/>
        <w:rPr>
          <w:rFonts w:ascii="Palatino Linotype" w:eastAsia="MS Mincho" w:hAnsi="Palatino Linotype" w:cs="Arial"/>
          <w:b/>
          <w:bCs/>
          <w:color w:val="000000"/>
          <w:lang w:val="es-ES_tradnl"/>
        </w:rPr>
      </w:pPr>
      <w:r w:rsidRPr="004F3E91">
        <w:rPr>
          <w:rFonts w:ascii="Palatino Linotype" w:eastAsia="MS Mincho" w:hAnsi="Palatino Linotype" w:cs="Arial"/>
          <w:b/>
          <w:bCs/>
          <w:color w:val="000000"/>
          <w:lang w:val="es-ES_tradnl"/>
        </w:rPr>
        <w:t>IV. Del cambio de modalidad en la entrega de los expedientes formados por denuncias relacionadas con ruido excesivo.</w:t>
      </w:r>
    </w:p>
    <w:p w14:paraId="5F7A3BDF" w14:textId="77777777" w:rsidR="00963686" w:rsidRPr="004F3E91" w:rsidRDefault="00963686" w:rsidP="00963686">
      <w:pPr>
        <w:pStyle w:val="Prrafodelista"/>
        <w:spacing w:line="360" w:lineRule="auto"/>
        <w:ind w:left="0"/>
        <w:contextualSpacing/>
        <w:jc w:val="both"/>
        <w:rPr>
          <w:rFonts w:ascii="Palatino Linotype" w:eastAsia="MS Mincho" w:hAnsi="Palatino Linotype" w:cs="Arial"/>
          <w:i/>
          <w:lang w:val="es-MX"/>
        </w:rPr>
      </w:pPr>
    </w:p>
    <w:p w14:paraId="538A60FB" w14:textId="77777777" w:rsidR="00963686" w:rsidRPr="004F3E91" w:rsidRDefault="00963686" w:rsidP="0096368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hAnsi="Palatino Linotype" w:cs="Arial"/>
          <w:lang w:val="es-MX" w:eastAsia="es-MX"/>
        </w:rPr>
        <w:t>E</w:t>
      </w:r>
      <w:r w:rsidRPr="004F3E91">
        <w:rPr>
          <w:rFonts w:ascii="Palatino Linotype" w:hAnsi="Palatino Linotype" w:cs="Arial"/>
          <w:lang w:eastAsia="es-MX"/>
        </w:rPr>
        <w:t xml:space="preserve">n principio, </w:t>
      </w:r>
      <w:r w:rsidRPr="004F3E91">
        <w:rPr>
          <w:rFonts w:ascii="Palatino Linotype" w:eastAsia="Calibri" w:hAnsi="Palatino Linotype" w:cs="Arial"/>
          <w:bCs/>
        </w:rPr>
        <w:t xml:space="preserve">es pertinente mencionar que si bien el Ente recurrido asumió contar con la información solicitada al pretender un cambio de modalidad, </w:t>
      </w:r>
      <w:r w:rsidRPr="004F3E91">
        <w:rPr>
          <w:rFonts w:ascii="Palatino Linotype" w:eastAsia="MS Mincho" w:hAnsi="Palatino Linotype"/>
          <w:lang w:eastAsia="es-ES_tradnl"/>
        </w:rPr>
        <w:t xml:space="preserve">el </w:t>
      </w:r>
      <w:r w:rsidRPr="004F3E91">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funciones y competencias </w:t>
      </w:r>
      <w:r w:rsidRPr="004F3E91">
        <w:rPr>
          <w:rFonts w:ascii="Palatino Linotype" w:eastAsia="Calibri" w:hAnsi="Palatino Linotype" w:cs="Arial"/>
          <w:b/>
          <w:bCs/>
          <w:color w:val="000000"/>
          <w:lang w:val="es-MX" w:eastAsia="en-US"/>
        </w:rPr>
        <w:t xml:space="preserve">considerando desde su origen la eventual publicidad de la información </w:t>
      </w:r>
      <w:r w:rsidRPr="004F3E91">
        <w:rPr>
          <w:rFonts w:ascii="Palatino Linotype" w:eastAsia="Calibri" w:hAnsi="Palatino Linotype" w:cs="Arial"/>
          <w:color w:val="000000"/>
          <w:lang w:val="es-MX" w:eastAsia="en-US"/>
        </w:rPr>
        <w:t>como a continuación se observa:</w:t>
      </w:r>
    </w:p>
    <w:p w14:paraId="7EB753A6" w14:textId="77777777" w:rsidR="00963686" w:rsidRPr="004F3E91" w:rsidRDefault="00963686" w:rsidP="00963686">
      <w:pPr>
        <w:spacing w:line="360" w:lineRule="auto"/>
        <w:jc w:val="both"/>
        <w:rPr>
          <w:rFonts w:ascii="Palatino Linotype" w:hAnsi="Palatino Linotype" w:cs="Arial"/>
        </w:rPr>
      </w:pPr>
    </w:p>
    <w:p w14:paraId="5A10F8AC" w14:textId="77777777" w:rsidR="00963686" w:rsidRPr="004F3E91" w:rsidRDefault="00963686" w:rsidP="00963686">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sidRPr="004F3E91">
        <w:rPr>
          <w:rFonts w:ascii="Palatino Linotype" w:eastAsia="Calibri" w:hAnsi="Palatino Linotype"/>
          <w:b/>
          <w:i/>
          <w:sz w:val="22"/>
          <w:lang w:val="es-MX" w:eastAsia="es-ES_tradnl"/>
        </w:rPr>
        <w:t>“Artículo 18.</w:t>
      </w:r>
      <w:r w:rsidRPr="004F3E91">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820B194" w14:textId="77777777" w:rsidR="00963686" w:rsidRPr="004F3E91" w:rsidRDefault="00963686" w:rsidP="00963686">
      <w:pPr>
        <w:spacing w:line="360" w:lineRule="auto"/>
        <w:jc w:val="both"/>
        <w:rPr>
          <w:rFonts w:ascii="Palatino Linotype" w:hAnsi="Palatino Linotype" w:cs="Arial"/>
        </w:rPr>
      </w:pPr>
    </w:p>
    <w:p w14:paraId="79496576" w14:textId="77777777" w:rsidR="00963686" w:rsidRPr="004F3E91" w:rsidRDefault="00963686" w:rsidP="00963686">
      <w:pPr>
        <w:numPr>
          <w:ilvl w:val="0"/>
          <w:numId w:val="2"/>
        </w:numPr>
        <w:tabs>
          <w:tab w:val="left" w:pos="426"/>
        </w:tabs>
        <w:spacing w:line="360" w:lineRule="auto"/>
        <w:ind w:left="0" w:firstLine="0"/>
        <w:jc w:val="both"/>
        <w:rPr>
          <w:rFonts w:ascii="Palatino Linotype" w:hAnsi="Palatino Linotype" w:cs="Arial"/>
        </w:rPr>
      </w:pPr>
      <w:r w:rsidRPr="004F3E91">
        <w:rPr>
          <w:rFonts w:ascii="Palatino Linotype" w:eastAsia="Calibri" w:hAnsi="Palatino Linotype" w:cs="Arial"/>
          <w:lang w:val="es-MX" w:eastAsia="en-US"/>
        </w:rPr>
        <w:t xml:space="preserve">En ese sentido, no debe de pasarse por alto para el </w:t>
      </w:r>
      <w:r w:rsidRPr="004F3E91">
        <w:rPr>
          <w:rFonts w:ascii="Palatino Linotype" w:eastAsia="Calibri" w:hAnsi="Palatino Linotype" w:cs="Arial"/>
          <w:b/>
          <w:lang w:val="es-MX" w:eastAsia="en-US"/>
        </w:rPr>
        <w:t>SUJETO OBLIGADO</w:t>
      </w:r>
      <w:r w:rsidRPr="004F3E91">
        <w:rPr>
          <w:rFonts w:ascii="Palatino Linotype" w:eastAsia="Calibri" w:hAnsi="Palatino Linotype" w:cs="Arial"/>
          <w:lang w:val="es-MX" w:eastAsia="en-US"/>
        </w:rPr>
        <w:t xml:space="preserve"> que el principio fundamental del acceso a la información pública, es la </w:t>
      </w:r>
      <w:r w:rsidRPr="004F3E91">
        <w:rPr>
          <w:rFonts w:ascii="Palatino Linotype" w:eastAsia="Calibri" w:hAnsi="Palatino Linotype" w:cs="Arial"/>
          <w:b/>
          <w:lang w:val="es-MX" w:eastAsia="en-US"/>
        </w:rPr>
        <w:t>máxima publicidad</w:t>
      </w:r>
      <w:r w:rsidRPr="004F3E91">
        <w:rPr>
          <w:rFonts w:ascii="Palatino Linotype" w:eastAsia="Calibri" w:hAnsi="Palatino Linotype" w:cs="Arial"/>
          <w:lang w:val="es-MX" w:eastAsia="en-US"/>
        </w:rPr>
        <w:t xml:space="preserve">, el cual encuentra reconocimiento legal conforme a lo dispuesto en la Constitución Política de los Estados Unidos Mexicanos, la Ley General de Transparencia y Acceso </w:t>
      </w:r>
      <w:r w:rsidRPr="004F3E91">
        <w:rPr>
          <w:rFonts w:ascii="Palatino Linotype" w:eastAsia="Calibri" w:hAnsi="Palatino Linotype" w:cs="Arial"/>
          <w:lang w:val="es-MX" w:eastAsia="en-US"/>
        </w:rPr>
        <w:lastRenderedPageBreak/>
        <w:t>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FC652E3" w14:textId="77777777" w:rsidR="00963686" w:rsidRPr="004F3E91" w:rsidRDefault="00963686" w:rsidP="00963686">
      <w:pPr>
        <w:spacing w:line="360" w:lineRule="auto"/>
        <w:jc w:val="both"/>
        <w:rPr>
          <w:rFonts w:ascii="Palatino Linotype" w:hAnsi="Palatino Linotype" w:cs="Arial"/>
        </w:rPr>
      </w:pPr>
    </w:p>
    <w:p w14:paraId="46667B0C" w14:textId="77777777" w:rsidR="00963686" w:rsidRPr="004F3E91" w:rsidRDefault="00963686" w:rsidP="00963686">
      <w:pPr>
        <w:spacing w:line="276" w:lineRule="auto"/>
        <w:ind w:left="567" w:right="567"/>
        <w:jc w:val="both"/>
        <w:rPr>
          <w:rFonts w:ascii="Palatino Linotype" w:eastAsia="Calibri" w:hAnsi="Palatino Linotype"/>
          <w:i/>
          <w:sz w:val="22"/>
          <w:lang w:val="es-MX" w:eastAsia="en-US"/>
        </w:rPr>
      </w:pPr>
      <w:r w:rsidRPr="004F3E91">
        <w:rPr>
          <w:rFonts w:ascii="Palatino Linotype" w:eastAsia="Calibri" w:hAnsi="Palatino Linotype"/>
          <w:i/>
          <w:sz w:val="22"/>
          <w:lang w:val="es-MX" w:eastAsia="en-US"/>
        </w:rPr>
        <w:t>“</w:t>
      </w:r>
      <w:r w:rsidRPr="004F3E91">
        <w:rPr>
          <w:rFonts w:ascii="Palatino Linotype" w:eastAsia="Calibri" w:hAnsi="Palatino Linotype"/>
          <w:b/>
          <w:i/>
          <w:sz w:val="22"/>
          <w:lang w:val="es-MX" w:eastAsia="en-US"/>
        </w:rPr>
        <w:t>Artículo 8.</w:t>
      </w:r>
      <w:r w:rsidRPr="004F3E91">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48B581E" w14:textId="77777777" w:rsidR="00963686" w:rsidRPr="004F3E91" w:rsidRDefault="00963686" w:rsidP="00963686">
      <w:pPr>
        <w:spacing w:line="276" w:lineRule="auto"/>
        <w:ind w:left="567" w:right="567"/>
        <w:jc w:val="both"/>
        <w:rPr>
          <w:rFonts w:ascii="Palatino Linotype" w:eastAsia="Calibri" w:hAnsi="Palatino Linotype"/>
          <w:i/>
          <w:sz w:val="22"/>
          <w:lang w:val="es-MX" w:eastAsia="en-US"/>
        </w:rPr>
      </w:pPr>
      <w:r w:rsidRPr="004F3E91">
        <w:rPr>
          <w:rFonts w:ascii="Palatino Linotype" w:eastAsia="Calibri" w:hAnsi="Palatino Linotype"/>
          <w:b/>
          <w:i/>
          <w:sz w:val="22"/>
          <w:lang w:val="es-MX" w:eastAsia="en-US"/>
        </w:rPr>
        <w:t>En la aplicación e interpretación de la presente Ley deberá prevalecer el principio de máxima publicidad,</w:t>
      </w:r>
      <w:r w:rsidRPr="004F3E91">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0C07228" w14:textId="77777777" w:rsidR="00963686" w:rsidRPr="004F3E91" w:rsidRDefault="00963686" w:rsidP="00963686">
      <w:pPr>
        <w:spacing w:line="276" w:lineRule="auto"/>
        <w:ind w:left="567" w:right="567"/>
        <w:jc w:val="both"/>
        <w:rPr>
          <w:rFonts w:ascii="Palatino Linotype" w:eastAsia="Calibri" w:hAnsi="Palatino Linotype"/>
          <w:i/>
          <w:sz w:val="22"/>
          <w:lang w:val="es-MX" w:eastAsia="en-US"/>
        </w:rPr>
      </w:pPr>
      <w:r w:rsidRPr="004F3E91">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1E83AA8" w14:textId="77777777" w:rsidR="00963686" w:rsidRPr="004F3E91" w:rsidRDefault="00963686" w:rsidP="00963686">
      <w:pPr>
        <w:spacing w:line="276" w:lineRule="auto"/>
        <w:ind w:left="567" w:right="567"/>
        <w:jc w:val="both"/>
        <w:rPr>
          <w:rFonts w:ascii="Palatino Linotype" w:eastAsia="Calibri" w:hAnsi="Palatino Linotype"/>
          <w:sz w:val="22"/>
          <w:lang w:val="es-MX" w:eastAsia="en-US"/>
        </w:rPr>
      </w:pPr>
      <w:r w:rsidRPr="004F3E91">
        <w:rPr>
          <w:rFonts w:ascii="Palatino Linotype" w:eastAsia="Calibri" w:hAnsi="Palatino Linotype"/>
          <w:sz w:val="22"/>
          <w:lang w:val="es-MX" w:eastAsia="en-US"/>
        </w:rPr>
        <w:t>(Énfasis añadido)</w:t>
      </w:r>
    </w:p>
    <w:p w14:paraId="451EF581" w14:textId="77777777" w:rsidR="00963686" w:rsidRPr="004F3E91" w:rsidRDefault="00963686" w:rsidP="00963686">
      <w:pPr>
        <w:spacing w:line="360" w:lineRule="auto"/>
        <w:jc w:val="both"/>
        <w:rPr>
          <w:rFonts w:ascii="Palatino Linotype" w:hAnsi="Palatino Linotype" w:cs="Arial"/>
        </w:rPr>
      </w:pPr>
    </w:p>
    <w:p w14:paraId="4FBD31BA" w14:textId="77777777" w:rsidR="00963686" w:rsidRPr="004F3E91" w:rsidRDefault="00963686" w:rsidP="00963686">
      <w:pPr>
        <w:numPr>
          <w:ilvl w:val="0"/>
          <w:numId w:val="2"/>
        </w:numPr>
        <w:spacing w:line="360" w:lineRule="auto"/>
        <w:ind w:left="0" w:firstLine="0"/>
        <w:jc w:val="both"/>
        <w:rPr>
          <w:rFonts w:ascii="Palatino Linotype" w:hAnsi="Palatino Linotype" w:cs="Arial"/>
        </w:rPr>
      </w:pPr>
      <w:r w:rsidRPr="004F3E91">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8299193" w14:textId="77777777" w:rsidR="00963686" w:rsidRPr="004F3E91" w:rsidRDefault="00963686" w:rsidP="00963686">
      <w:pPr>
        <w:spacing w:line="360" w:lineRule="auto"/>
        <w:jc w:val="both"/>
        <w:rPr>
          <w:rFonts w:ascii="Palatino Linotype" w:hAnsi="Palatino Linotype" w:cs="Arial"/>
        </w:rPr>
      </w:pPr>
    </w:p>
    <w:p w14:paraId="5DC2888C" w14:textId="77777777" w:rsidR="00963686" w:rsidRPr="004F3E91" w:rsidRDefault="00963686" w:rsidP="00963686">
      <w:pPr>
        <w:spacing w:line="276" w:lineRule="auto"/>
        <w:ind w:left="540" w:right="738"/>
        <w:contextualSpacing/>
        <w:jc w:val="both"/>
        <w:rPr>
          <w:rFonts w:ascii="Palatino Linotype" w:eastAsia="Calibri" w:hAnsi="Palatino Linotype"/>
          <w:i/>
          <w:sz w:val="22"/>
        </w:rPr>
      </w:pPr>
      <w:r w:rsidRPr="004F3E91">
        <w:rPr>
          <w:rFonts w:ascii="Palatino Linotype" w:eastAsia="Calibri" w:hAnsi="Palatino Linotype"/>
          <w:sz w:val="22"/>
        </w:rPr>
        <w:t>“</w:t>
      </w:r>
      <w:r w:rsidRPr="004F3E91">
        <w:rPr>
          <w:rFonts w:ascii="Palatino Linotype" w:eastAsia="Calibri" w:hAnsi="Palatino Linotype"/>
          <w:b/>
          <w:i/>
          <w:sz w:val="22"/>
        </w:rPr>
        <w:t>Artículo 7.</w:t>
      </w:r>
      <w:r w:rsidRPr="004F3E91">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AFD3C07" w14:textId="77777777" w:rsidR="00963686" w:rsidRPr="004F3E91" w:rsidRDefault="00963686" w:rsidP="00963686">
      <w:pPr>
        <w:spacing w:line="360" w:lineRule="auto"/>
        <w:jc w:val="both"/>
        <w:rPr>
          <w:rFonts w:ascii="Palatino Linotype" w:hAnsi="Palatino Linotype" w:cs="Arial"/>
        </w:rPr>
      </w:pPr>
    </w:p>
    <w:p w14:paraId="2FF491DD" w14:textId="77777777" w:rsidR="00963686" w:rsidRPr="004F3E91" w:rsidRDefault="00963686" w:rsidP="00963686">
      <w:pPr>
        <w:numPr>
          <w:ilvl w:val="0"/>
          <w:numId w:val="2"/>
        </w:numPr>
        <w:spacing w:line="360" w:lineRule="auto"/>
        <w:ind w:left="0" w:firstLine="0"/>
        <w:jc w:val="both"/>
        <w:rPr>
          <w:rFonts w:ascii="Palatino Linotype" w:hAnsi="Palatino Linotype" w:cs="Arial"/>
        </w:rPr>
      </w:pPr>
      <w:r w:rsidRPr="004F3E91">
        <w:rPr>
          <w:rFonts w:ascii="Palatino Linotype" w:eastAsia="Calibri" w:hAnsi="Palatino Linotype" w:cs="Arial"/>
          <w:bCs/>
          <w:lang w:val="es-MX" w:eastAsia="en-US"/>
        </w:rPr>
        <w:t xml:space="preserve">Además, la </w:t>
      </w:r>
      <w:r w:rsidRPr="004F3E91">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48CA366" w14:textId="77777777" w:rsidR="00963686" w:rsidRPr="004F3E91" w:rsidRDefault="00963686" w:rsidP="00963686">
      <w:pPr>
        <w:spacing w:line="360" w:lineRule="auto"/>
        <w:jc w:val="both"/>
        <w:rPr>
          <w:rFonts w:ascii="Palatino Linotype" w:hAnsi="Palatino Linotype" w:cs="Arial"/>
        </w:rPr>
      </w:pPr>
    </w:p>
    <w:p w14:paraId="32657146" w14:textId="77777777" w:rsidR="00963686" w:rsidRPr="004F3E91" w:rsidRDefault="00963686" w:rsidP="00963686">
      <w:pPr>
        <w:spacing w:line="276" w:lineRule="auto"/>
        <w:ind w:left="567" w:right="567"/>
        <w:contextualSpacing/>
        <w:jc w:val="both"/>
        <w:rPr>
          <w:rFonts w:ascii="Palatino Linotype" w:hAnsi="Palatino Linotype" w:cs="Arial"/>
          <w:i/>
          <w:sz w:val="22"/>
          <w:lang w:val="es-MX" w:eastAsia="en-US"/>
        </w:rPr>
      </w:pPr>
      <w:r w:rsidRPr="004F3E91">
        <w:rPr>
          <w:rFonts w:ascii="Palatino Linotype" w:hAnsi="Palatino Linotype" w:cs="Arial"/>
          <w:b/>
          <w:i/>
          <w:sz w:val="22"/>
          <w:lang w:eastAsia="en-US"/>
        </w:rPr>
        <w:t>“Artículo 23.</w:t>
      </w:r>
      <w:r w:rsidRPr="004F3E91">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8B74F83" w14:textId="77777777" w:rsidR="00963686" w:rsidRPr="004F3E91" w:rsidRDefault="00963686" w:rsidP="00963686">
      <w:pPr>
        <w:spacing w:line="276" w:lineRule="auto"/>
        <w:ind w:left="567" w:right="567"/>
        <w:contextualSpacing/>
        <w:jc w:val="both"/>
        <w:rPr>
          <w:rFonts w:ascii="Palatino Linotype" w:hAnsi="Palatino Linotype" w:cs="Arial"/>
          <w:i/>
          <w:sz w:val="22"/>
          <w:lang w:val="es-MX" w:eastAsia="en-US"/>
        </w:rPr>
      </w:pPr>
      <w:r w:rsidRPr="004F3E91">
        <w:rPr>
          <w:rFonts w:ascii="Palatino Linotype" w:eastAsia="MS Mincho" w:hAnsi="Palatino Linotype" w:cs="Arial"/>
          <w:sz w:val="22"/>
          <w:lang w:val="es-MX"/>
        </w:rPr>
        <w:t>(…)</w:t>
      </w:r>
    </w:p>
    <w:p w14:paraId="2B724090" w14:textId="77777777" w:rsidR="00963686" w:rsidRPr="004F3E91" w:rsidRDefault="00963686" w:rsidP="00963686">
      <w:pPr>
        <w:spacing w:line="276" w:lineRule="auto"/>
        <w:ind w:left="567" w:right="567"/>
        <w:contextualSpacing/>
        <w:jc w:val="both"/>
        <w:rPr>
          <w:rFonts w:ascii="Palatino Linotype" w:eastAsia="MS Mincho" w:hAnsi="Palatino Linotype" w:cs="Arial"/>
          <w:b/>
          <w:i/>
          <w:sz w:val="22"/>
          <w:lang w:val="es-MX"/>
        </w:rPr>
      </w:pPr>
      <w:r w:rsidRPr="004F3E91">
        <w:rPr>
          <w:rFonts w:ascii="Palatino Linotype" w:eastAsia="MS Mincho" w:hAnsi="Palatino Linotype" w:cs="Arial"/>
          <w:b/>
          <w:i/>
          <w:sz w:val="22"/>
        </w:rPr>
        <w:t>IV. Los ayuntamientos y las dependencias, organismos, órganos y entidades de la administración municipal</w:t>
      </w:r>
      <w:r w:rsidRPr="004F3E91">
        <w:rPr>
          <w:rFonts w:ascii="Palatino Linotype" w:eastAsia="MS Mincho" w:hAnsi="Palatino Linotype" w:cs="Arial"/>
          <w:b/>
          <w:i/>
          <w:sz w:val="22"/>
          <w:lang w:val="es-MX"/>
        </w:rPr>
        <w:t>;"</w:t>
      </w:r>
    </w:p>
    <w:p w14:paraId="5923A469" w14:textId="77777777" w:rsidR="00963686" w:rsidRPr="004F3E91" w:rsidRDefault="00963686" w:rsidP="00963686">
      <w:pPr>
        <w:tabs>
          <w:tab w:val="left" w:pos="851"/>
        </w:tabs>
        <w:spacing w:line="276" w:lineRule="auto"/>
        <w:ind w:left="567" w:right="567"/>
        <w:contextualSpacing/>
        <w:jc w:val="both"/>
        <w:rPr>
          <w:rFonts w:ascii="Palatino Linotype" w:hAnsi="Palatino Linotype" w:cs="Arial"/>
          <w:i/>
          <w:sz w:val="22"/>
          <w:lang w:val="es-MX" w:eastAsia="en-US"/>
        </w:rPr>
      </w:pPr>
      <w:r w:rsidRPr="004F3E91">
        <w:rPr>
          <w:rFonts w:ascii="Palatino Linotype" w:hAnsi="Palatino Linotype" w:cs="Arial"/>
          <w:i/>
          <w:sz w:val="22"/>
          <w:lang w:val="es-MX" w:eastAsia="en-US"/>
        </w:rPr>
        <w:t>(…)”</w:t>
      </w:r>
    </w:p>
    <w:p w14:paraId="476730A7" w14:textId="77777777" w:rsidR="00963686" w:rsidRPr="004F3E91" w:rsidRDefault="00963686" w:rsidP="00963686">
      <w:pPr>
        <w:tabs>
          <w:tab w:val="left" w:pos="851"/>
        </w:tabs>
        <w:spacing w:line="276" w:lineRule="auto"/>
        <w:ind w:left="567" w:right="567"/>
        <w:contextualSpacing/>
        <w:jc w:val="both"/>
        <w:rPr>
          <w:rFonts w:ascii="Palatino Linotype" w:hAnsi="Palatino Linotype" w:cs="Arial"/>
          <w:sz w:val="22"/>
          <w:lang w:val="es-MX" w:eastAsia="en-US"/>
        </w:rPr>
      </w:pPr>
      <w:r w:rsidRPr="004F3E91">
        <w:rPr>
          <w:rFonts w:ascii="Palatino Linotype" w:hAnsi="Palatino Linotype" w:cs="Arial"/>
          <w:sz w:val="22"/>
          <w:lang w:val="es-MX" w:eastAsia="en-US"/>
        </w:rPr>
        <w:t>(Énfasis añadido)</w:t>
      </w:r>
    </w:p>
    <w:p w14:paraId="5CC24EB5" w14:textId="77777777" w:rsidR="00963686" w:rsidRPr="004F3E91" w:rsidRDefault="00963686" w:rsidP="00963686">
      <w:pPr>
        <w:tabs>
          <w:tab w:val="left" w:pos="851"/>
        </w:tabs>
        <w:spacing w:line="360" w:lineRule="auto"/>
        <w:ind w:right="616"/>
        <w:contextualSpacing/>
        <w:jc w:val="both"/>
        <w:rPr>
          <w:rFonts w:ascii="Palatino Linotype" w:hAnsi="Palatino Linotype" w:cs="Arial"/>
          <w:i/>
          <w:lang w:val="es-MX" w:eastAsia="en-US"/>
        </w:rPr>
      </w:pPr>
    </w:p>
    <w:p w14:paraId="25526001" w14:textId="77777777" w:rsidR="00963686" w:rsidRPr="004F3E91" w:rsidRDefault="00963686" w:rsidP="00963686">
      <w:pPr>
        <w:numPr>
          <w:ilvl w:val="0"/>
          <w:numId w:val="2"/>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4F3E91">
        <w:rPr>
          <w:rFonts w:ascii="Palatino Linotype" w:hAnsi="Palatino Linotype" w:cs="Arial"/>
          <w:lang w:eastAsia="en-US"/>
        </w:rPr>
        <w:t>Una vez demostrada</w:t>
      </w:r>
      <w:r w:rsidRPr="004F3E91">
        <w:rPr>
          <w:rFonts w:ascii="Palatino Linotype" w:hAnsi="Palatino Linotype" w:cs="Arial"/>
          <w:lang w:val="es-ES_tradnl" w:eastAsia="en-US"/>
        </w:rPr>
        <w:t xml:space="preserve"> </w:t>
      </w:r>
      <w:r w:rsidRPr="004F3E91">
        <w:rPr>
          <w:rFonts w:ascii="Palatino Linotype" w:hAnsi="Palatino Linotype" w:cs="Arial"/>
          <w:lang w:eastAsia="en-US"/>
        </w:rPr>
        <w:t>la procedencia del acceso en términos de la Ley de Transparencia Estatal, e</w:t>
      </w:r>
      <w:r w:rsidRPr="004F3E91">
        <w:rPr>
          <w:rFonts w:ascii="Palatino Linotype" w:eastAsia="MS Mincho" w:hAnsi="Palatino Linotype" w:cs="Arial"/>
          <w:lang w:val="es-MX" w:eastAsia="es-MX"/>
        </w:rPr>
        <w:t xml:space="preserve">s indispensable traer a colación lo contenido en los artículos 158 y 164 de la Ley de Transparencia y Acceso a la Información Pública del Estado de México y Municipios, los cuales señalan que: </w:t>
      </w:r>
    </w:p>
    <w:p w14:paraId="6439CF91"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18DCD947" w14:textId="77777777" w:rsidR="00963686" w:rsidRPr="004F3E91" w:rsidRDefault="00963686" w:rsidP="00963686">
      <w:pPr>
        <w:spacing w:line="276" w:lineRule="auto"/>
        <w:ind w:left="567" w:right="567"/>
        <w:jc w:val="both"/>
        <w:rPr>
          <w:rFonts w:ascii="Palatino Linotype" w:hAnsi="Palatino Linotype"/>
          <w:i/>
          <w:sz w:val="22"/>
          <w:lang w:val="es-MX" w:eastAsia="es-MX"/>
        </w:rPr>
      </w:pPr>
      <w:r w:rsidRPr="004F3E91">
        <w:rPr>
          <w:rFonts w:ascii="Palatino Linotype" w:hAnsi="Palatino Linotype"/>
          <w:i/>
          <w:sz w:val="22"/>
          <w:lang w:val="es-MX" w:eastAsia="es-MX"/>
        </w:rPr>
        <w:t>“</w:t>
      </w:r>
      <w:r w:rsidRPr="004F3E91">
        <w:rPr>
          <w:rFonts w:ascii="Palatino Linotype" w:hAnsi="Palatino Linotype"/>
          <w:b/>
          <w:bCs/>
          <w:i/>
          <w:sz w:val="22"/>
          <w:lang w:val="es-MX" w:eastAsia="es-MX"/>
        </w:rPr>
        <w:t>Artículo 158.</w:t>
      </w:r>
      <w:r w:rsidRPr="004F3E91">
        <w:rPr>
          <w:rFonts w:ascii="Palatino Linotype" w:hAnsi="Palatino Linotype"/>
          <w:i/>
          <w:sz w:val="22"/>
          <w:lang w:val="es-MX" w:eastAsia="es-MX"/>
        </w:rPr>
        <w:t xml:space="preserve"> </w:t>
      </w:r>
      <w:r w:rsidRPr="004F3E91">
        <w:rPr>
          <w:rFonts w:ascii="Palatino Linotype" w:hAnsi="Palatino Linotype"/>
          <w:bCs/>
          <w:i/>
          <w:sz w:val="22"/>
          <w:lang w:val="es-MX" w:eastAsia="es-MX"/>
        </w:rPr>
        <w:t>De manera excepcional, cuando de forma fundada y motivada así lo determine el sujeto obligado</w:t>
      </w:r>
      <w:r w:rsidRPr="004F3E91">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4F3E91">
        <w:rPr>
          <w:rFonts w:ascii="Palatino Linotype" w:hAnsi="Palatino Linotype"/>
          <w:bCs/>
          <w:i/>
          <w:sz w:val="22"/>
          <w:lang w:val="es-MX" w:eastAsia="es-MX"/>
        </w:rPr>
        <w:t>cuya entrega o reproducción sobrepase las capacidades técnicas administrativas y humanas del sujeto obligado</w:t>
      </w:r>
      <w:r w:rsidRPr="004F3E91">
        <w:rPr>
          <w:rFonts w:ascii="Palatino Linotype" w:hAnsi="Palatino Linotype"/>
          <w:i/>
          <w:sz w:val="22"/>
          <w:lang w:val="es-MX" w:eastAsia="es-MX"/>
        </w:rPr>
        <w:t xml:space="preserve"> para cumplir con la solicitud, en los plazos establecidos para dichos efectos,</w:t>
      </w:r>
      <w:r w:rsidRPr="004F3E91">
        <w:rPr>
          <w:rFonts w:ascii="Palatino Linotype" w:hAnsi="Palatino Linotype"/>
          <w:bCs/>
          <w:i/>
          <w:sz w:val="22"/>
          <w:lang w:val="es-MX" w:eastAsia="es-MX"/>
        </w:rPr>
        <w:t xml:space="preserve"> se podrá poner a disposición del solicitante los documentos en consulta directa</w:t>
      </w:r>
      <w:r w:rsidRPr="004F3E91">
        <w:rPr>
          <w:rFonts w:ascii="Palatino Linotype" w:hAnsi="Palatino Linotype"/>
          <w:i/>
          <w:sz w:val="22"/>
          <w:lang w:val="es-MX" w:eastAsia="es-MX"/>
        </w:rPr>
        <w:t>, salvo la información clasificada”.</w:t>
      </w:r>
    </w:p>
    <w:p w14:paraId="6B8825F9" w14:textId="77777777" w:rsidR="00963686" w:rsidRPr="004F3E91" w:rsidRDefault="00963686" w:rsidP="00963686">
      <w:pPr>
        <w:spacing w:line="276" w:lineRule="auto"/>
        <w:ind w:left="567" w:right="567"/>
        <w:jc w:val="both"/>
        <w:rPr>
          <w:rFonts w:ascii="Palatino Linotype" w:hAnsi="Palatino Linotype"/>
          <w:i/>
          <w:sz w:val="22"/>
          <w:lang w:val="es-MX" w:eastAsia="es-MX"/>
        </w:rPr>
      </w:pPr>
    </w:p>
    <w:p w14:paraId="6125AF9A" w14:textId="77777777" w:rsidR="00963686" w:rsidRPr="004F3E91" w:rsidRDefault="00963686" w:rsidP="00963686">
      <w:pPr>
        <w:spacing w:line="276" w:lineRule="auto"/>
        <w:ind w:left="567" w:right="567"/>
        <w:jc w:val="both"/>
        <w:rPr>
          <w:rFonts w:ascii="Palatino Linotype" w:hAnsi="Palatino Linotype"/>
          <w:bCs/>
          <w:i/>
          <w:sz w:val="22"/>
          <w:lang w:val="es-MX" w:eastAsia="es-MX"/>
        </w:rPr>
      </w:pPr>
      <w:r w:rsidRPr="004F3E91">
        <w:rPr>
          <w:rFonts w:ascii="Palatino Linotype" w:hAnsi="Palatino Linotype"/>
          <w:i/>
          <w:sz w:val="22"/>
          <w:lang w:val="es-MX" w:eastAsia="es-MX"/>
        </w:rPr>
        <w:t>“</w:t>
      </w:r>
      <w:r w:rsidRPr="004F3E91">
        <w:rPr>
          <w:rFonts w:ascii="Palatino Linotype" w:hAnsi="Palatino Linotype"/>
          <w:b/>
          <w:bCs/>
          <w:i/>
          <w:sz w:val="22"/>
          <w:lang w:val="es-MX" w:eastAsia="es-MX"/>
        </w:rPr>
        <w:t>Artículo 164.</w:t>
      </w:r>
      <w:r w:rsidRPr="004F3E91">
        <w:rPr>
          <w:rFonts w:ascii="Palatino Linotype" w:hAnsi="Palatino Linotype"/>
          <w:i/>
          <w:sz w:val="22"/>
          <w:lang w:val="es-MX" w:eastAsia="es-MX"/>
        </w:rPr>
        <w:t xml:space="preserve"> </w:t>
      </w:r>
      <w:r w:rsidRPr="004F3E91">
        <w:rPr>
          <w:rFonts w:ascii="Palatino Linotype" w:hAnsi="Palatino Linotype"/>
          <w:bCs/>
          <w:i/>
          <w:sz w:val="22"/>
          <w:lang w:val="es-MX" w:eastAsia="es-MX"/>
        </w:rPr>
        <w:t>El acceso se dará en la modalidad de entrega</w:t>
      </w:r>
      <w:r w:rsidRPr="004F3E91">
        <w:rPr>
          <w:rFonts w:ascii="Palatino Linotype" w:hAnsi="Palatino Linotype"/>
          <w:i/>
          <w:sz w:val="22"/>
          <w:lang w:val="es-MX" w:eastAsia="es-MX"/>
        </w:rPr>
        <w:t xml:space="preserve"> y, en su caso, de envío elegidos por el solicitante</w:t>
      </w:r>
      <w:r w:rsidRPr="004F3E91">
        <w:rPr>
          <w:rFonts w:ascii="Palatino Linotype" w:hAnsi="Palatino Linotype"/>
          <w:bCs/>
          <w:i/>
          <w:sz w:val="22"/>
          <w:lang w:val="es-MX" w:eastAsia="es-MX"/>
        </w:rPr>
        <w:t xml:space="preserve">. Cuando la información no pueda entregarse o enviarse en la </w:t>
      </w:r>
      <w:r w:rsidRPr="004F3E91">
        <w:rPr>
          <w:rFonts w:ascii="Palatino Linotype" w:hAnsi="Palatino Linotype"/>
          <w:bCs/>
          <w:i/>
          <w:sz w:val="22"/>
          <w:lang w:val="es-MX" w:eastAsia="es-MX"/>
        </w:rPr>
        <w:lastRenderedPageBreak/>
        <w:t>modalidad solicitada, el sujeto obligado deberá ofrecer otra u otras modalidades de entrega.</w:t>
      </w:r>
    </w:p>
    <w:p w14:paraId="7DCE8161" w14:textId="77777777" w:rsidR="00963686" w:rsidRPr="004F3E91" w:rsidRDefault="00963686" w:rsidP="00963686">
      <w:pPr>
        <w:spacing w:line="276" w:lineRule="auto"/>
        <w:ind w:left="567" w:right="567"/>
        <w:jc w:val="both"/>
        <w:rPr>
          <w:rFonts w:ascii="Palatino Linotype" w:hAnsi="Palatino Linotype"/>
          <w:i/>
          <w:sz w:val="22"/>
          <w:lang w:val="es-MX" w:eastAsia="es-MX"/>
        </w:rPr>
      </w:pPr>
      <w:r w:rsidRPr="004F3E91">
        <w:rPr>
          <w:rFonts w:ascii="Palatino Linotype" w:hAnsi="Palatino Linotype"/>
          <w:bCs/>
          <w:i/>
          <w:sz w:val="22"/>
          <w:lang w:val="es-MX" w:eastAsia="es-MX"/>
        </w:rPr>
        <w:t>En cualquier caso, se deberá fundar y motivar la necesidad de ofrecer otras modalidades</w:t>
      </w:r>
      <w:r w:rsidRPr="004F3E91">
        <w:rPr>
          <w:rFonts w:ascii="Palatino Linotype" w:hAnsi="Palatino Linotype"/>
          <w:i/>
          <w:sz w:val="22"/>
          <w:lang w:val="es-MX" w:eastAsia="es-MX"/>
        </w:rPr>
        <w:t>”.</w:t>
      </w:r>
    </w:p>
    <w:p w14:paraId="76466FA7" w14:textId="77777777" w:rsidR="00963686" w:rsidRPr="004F3E91" w:rsidRDefault="00963686" w:rsidP="00963686">
      <w:pPr>
        <w:spacing w:line="360" w:lineRule="auto"/>
        <w:contextualSpacing/>
        <w:jc w:val="both"/>
        <w:rPr>
          <w:rFonts w:ascii="Palatino Linotype" w:eastAsia="MS Mincho" w:hAnsi="Palatino Linotype" w:cs="Arial"/>
          <w:i/>
          <w:lang w:val="es-MX" w:eastAsia="es-MX"/>
        </w:rPr>
      </w:pPr>
    </w:p>
    <w:p w14:paraId="07365EF8" w14:textId="77777777" w:rsidR="00963686" w:rsidRPr="004F3E91" w:rsidRDefault="00963686" w:rsidP="00963686">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Del artículo 158 transcrito </w:t>
      </w:r>
      <w:r w:rsidRPr="004F3E91">
        <w:rPr>
          <w:rFonts w:ascii="Palatino Linotype" w:eastAsia="MS Mincho" w:hAnsi="Palatino Linotype" w:cs="Arial"/>
          <w:i/>
          <w:lang w:val="es-MX" w:eastAsia="es-MX"/>
        </w:rPr>
        <w:t>supra</w:t>
      </w:r>
      <w:r w:rsidRPr="004F3E91">
        <w:rPr>
          <w:rFonts w:ascii="Palatino Linotype" w:eastAsia="MS Mincho" w:hAnsi="Palatino Linotype" w:cs="Arial"/>
          <w:lang w:val="es-MX" w:eastAsia="es-MX"/>
        </w:rPr>
        <w:t xml:space="preserve">, se tiene que, </w:t>
      </w:r>
      <w:r w:rsidRPr="004F3E91">
        <w:rPr>
          <w:rFonts w:ascii="Palatino Linotype" w:eastAsia="MS Mincho" w:hAnsi="Palatino Linotype" w:cs="Arial"/>
          <w:b/>
          <w:bCs/>
          <w:lang w:val="es-MX" w:eastAsia="es-MX"/>
        </w:rPr>
        <w:t>excepcionalmente</w:t>
      </w:r>
      <w:r w:rsidRPr="004F3E91">
        <w:rPr>
          <w:rFonts w:ascii="Palatino Linotype" w:eastAsia="MS Mincho" w:hAnsi="Palatino Linotype" w:cs="Arial"/>
          <w:lang w:val="es-MX" w:eastAsia="es-MX"/>
        </w:rPr>
        <w:t xml:space="preserve">, en el caso de que la información solicitada implique un análisis, estudio o procesamiento de documentos, cuya entrega o reproducción sobrepase las capacidades técnicas administrativas y humanas del </w:t>
      </w:r>
      <w:r w:rsidRPr="004F3E91">
        <w:rPr>
          <w:rFonts w:ascii="Palatino Linotype" w:eastAsia="MS Mincho" w:hAnsi="Palatino Linotype" w:cs="Arial"/>
          <w:b/>
          <w:lang w:val="es-MX" w:eastAsia="es-MX"/>
        </w:rPr>
        <w:t>SUJETO OBLIGADO</w:t>
      </w:r>
      <w:r w:rsidRPr="004F3E91">
        <w:rPr>
          <w:rFonts w:ascii="Palatino Linotype" w:eastAsia="MS Mincho" w:hAnsi="Palatino Linotype" w:cs="Arial"/>
          <w:lang w:val="es-MX" w:eastAsia="es-MX"/>
        </w:rPr>
        <w:t xml:space="preserve">, éste podrá poder a disposición los documentos vía </w:t>
      </w:r>
      <w:r w:rsidRPr="004F3E91">
        <w:rPr>
          <w:rFonts w:ascii="Palatino Linotype" w:eastAsia="MS Mincho" w:hAnsi="Palatino Linotype" w:cs="Arial"/>
          <w:i/>
          <w:lang w:val="es-MX" w:eastAsia="es-MX"/>
        </w:rPr>
        <w:t>In Situ</w:t>
      </w:r>
      <w:r w:rsidRPr="004F3E91">
        <w:rPr>
          <w:rFonts w:ascii="Palatino Linotype" w:eastAsia="MS Mincho" w:hAnsi="Palatino Linotype" w:cs="Arial"/>
          <w:lang w:val="es-MX" w:eastAsia="es-MX"/>
        </w:rPr>
        <w:t xml:space="preserve"> o Consulta Directa, </w:t>
      </w:r>
      <w:r w:rsidRPr="004F3E91">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4F3E91">
        <w:rPr>
          <w:rFonts w:ascii="Palatino Linotype" w:eastAsia="MS Mincho" w:hAnsi="Palatino Linotype" w:cs="Arial"/>
          <w:lang w:val="es-MX" w:eastAsia="es-MX"/>
        </w:rPr>
        <w:t xml:space="preserve">. </w:t>
      </w:r>
    </w:p>
    <w:p w14:paraId="4BE608F7"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 </w:t>
      </w:r>
    </w:p>
    <w:p w14:paraId="52F2C066" w14:textId="3BFD5FAD" w:rsidR="00963686" w:rsidRPr="004F3E91" w:rsidRDefault="00963686" w:rsidP="00963686">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Es decir, que del artículo anterior, se derivan tres hipótesis que en conjunto, y de manera fundada y motivada, validan el cambio de modalidad de entrega de la información y las cuales son, que las documentales a proporcionar </w:t>
      </w:r>
      <w:r w:rsidRPr="004F3E91">
        <w:rPr>
          <w:rFonts w:ascii="Palatino Linotype" w:eastAsia="MS Mincho" w:hAnsi="Palatino Linotype" w:cs="Arial"/>
          <w:b/>
          <w:lang w:val="es-MX" w:eastAsia="es-MX"/>
        </w:rPr>
        <w:t xml:space="preserve">sobrepasen las capacidades técnicas, administrativas </w:t>
      </w:r>
      <w:r w:rsidRPr="004F3E91">
        <w:rPr>
          <w:rFonts w:ascii="Palatino Linotype" w:eastAsia="MS Mincho" w:hAnsi="Palatino Linotype" w:cs="Arial"/>
          <w:lang w:val="es-MX" w:eastAsia="es-MX"/>
        </w:rPr>
        <w:t>y</w:t>
      </w:r>
      <w:r w:rsidRPr="004F3E91">
        <w:rPr>
          <w:rFonts w:ascii="Palatino Linotype" w:eastAsia="MS Mincho" w:hAnsi="Palatino Linotype" w:cs="Arial"/>
          <w:b/>
          <w:lang w:val="es-MX" w:eastAsia="es-MX"/>
        </w:rPr>
        <w:t xml:space="preserve"> humanas </w:t>
      </w:r>
      <w:r w:rsidRPr="004F3E91">
        <w:rPr>
          <w:rFonts w:ascii="Palatino Linotype" w:eastAsia="MS Mincho" w:hAnsi="Palatino Linotype" w:cs="Arial"/>
          <w:lang w:val="es-MX" w:eastAsia="es-MX"/>
        </w:rPr>
        <w:t>del</w:t>
      </w:r>
      <w:r w:rsidRPr="004F3E91">
        <w:rPr>
          <w:rFonts w:ascii="Palatino Linotype" w:eastAsia="MS Mincho" w:hAnsi="Palatino Linotype" w:cs="Arial"/>
          <w:b/>
          <w:lang w:val="es-MX" w:eastAsia="es-MX"/>
        </w:rPr>
        <w:t xml:space="preserve"> SUJETO OBLIGADO. </w:t>
      </w:r>
    </w:p>
    <w:p w14:paraId="45CBECA2"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3B41EC0D" w14:textId="11AEC4AA"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Para ello, cabe mencionar lo que se entiende por </w:t>
      </w:r>
      <w:r w:rsidRPr="004F3E91">
        <w:rPr>
          <w:rFonts w:ascii="Palatino Linotype" w:eastAsia="MS Mincho" w:hAnsi="Palatino Linotype" w:cs="Arial"/>
          <w:b/>
          <w:lang w:val="es-MX" w:eastAsia="es-MX"/>
        </w:rPr>
        <w:t>“capacidad”</w:t>
      </w:r>
      <w:r w:rsidRPr="004F3E91">
        <w:rPr>
          <w:rFonts w:ascii="Palatino Linotype" w:eastAsia="MS Mincho" w:hAnsi="Palatino Linotype" w:cs="Arial"/>
          <w:lang w:val="es-MX" w:eastAsia="es-MX"/>
        </w:rPr>
        <w:t>, que de manera general puede ser interpretado como la circunstancia o conjunto de condiciones, cualidades o aptitudes que permiten el desarrollo o el cumplimiento de una función o desempeño de un cargo.</w:t>
      </w:r>
    </w:p>
    <w:p w14:paraId="6B098975"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67EB4C6E"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w:t>
      </w:r>
      <w:r w:rsidRPr="004F3E91">
        <w:rPr>
          <w:rFonts w:ascii="Palatino Linotype" w:eastAsia="MS Mincho" w:hAnsi="Palatino Linotype" w:cs="Arial"/>
          <w:lang w:val="es-MX" w:eastAsia="es-MX"/>
        </w:rPr>
        <w:lastRenderedPageBreak/>
        <w:t xml:space="preserve">manera, tras registrar una cuenta en el sistema electrónico y realizar una solicitud de información, es posible darle seguimiento a la presentación, respuesta, inconformidad y resolución de la misma. </w:t>
      </w:r>
    </w:p>
    <w:p w14:paraId="48E00CC6"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5656E896"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w:t>
      </w:r>
      <w:r w:rsidRPr="004F3E91">
        <w:rPr>
          <w:rFonts w:ascii="Palatino Linotype" w:eastAsia="MS Mincho" w:hAnsi="Palatino Linotype" w:cs="Arial"/>
          <w:b/>
          <w:bCs/>
          <w:lang w:val="es-MX" w:eastAsia="es-MX"/>
        </w:rPr>
        <w:t>el citado sistema, tiene el soporte tecnológico para que se puedan adjuntar archivos con un peso aproximado de hasta 500Mb o un equivalente de hasta 8,000 hojas</w:t>
      </w:r>
      <w:r w:rsidRPr="004F3E91">
        <w:rPr>
          <w:rFonts w:ascii="Palatino Linotype" w:eastAsia="MS Mincho" w:hAnsi="Palatino Linotype" w:cs="Arial"/>
          <w:lang w:val="es-MX" w:eastAsia="es-MX"/>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5F25A878" w14:textId="77777777" w:rsidR="00963686" w:rsidRPr="004F3E91" w:rsidRDefault="00963686" w:rsidP="00963686">
      <w:pPr>
        <w:spacing w:line="360" w:lineRule="auto"/>
        <w:contextualSpacing/>
        <w:rPr>
          <w:rFonts w:ascii="Palatino Linotype" w:eastAsia="MS Mincho" w:hAnsi="Palatino Linotype" w:cs="Arial"/>
          <w:sz w:val="22"/>
          <w:lang w:val="es-MX" w:eastAsia="es-MX"/>
        </w:rPr>
      </w:pPr>
    </w:p>
    <w:p w14:paraId="4B5C80A0" w14:textId="0EB0658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Dicho lo anterior, no es ocioso recapitular que en el presente asunto </w:t>
      </w:r>
      <w:r w:rsidR="00796BCB" w:rsidRPr="004F3E91">
        <w:rPr>
          <w:rFonts w:ascii="Palatino Linotype" w:eastAsia="MS Mincho" w:hAnsi="Palatino Linotype" w:cs="Arial"/>
          <w:lang w:val="es-MX" w:eastAsia="es-MX"/>
        </w:rPr>
        <w:t xml:space="preserve">manifestó que </w:t>
      </w:r>
      <w:r w:rsidR="00796BCB" w:rsidRPr="004F3E91">
        <w:rPr>
          <w:rFonts w:ascii="Palatino Linotype" w:eastAsia="MS Mincho" w:hAnsi="Palatino Linotype" w:cs="Arial"/>
          <w:i/>
          <w:iCs/>
          <w:lang w:val="es-MX" w:eastAsia="es-MX"/>
        </w:rPr>
        <w:t xml:space="preserve">“en relación a las denuncias y su seguimiento documentativo al que hace referencia en la solicitud, (…) el soporte documental que obra dentro de los archivos de esta dependencia son, de 945 </w:t>
      </w:r>
      <w:r w:rsidR="00796BCB" w:rsidRPr="004F3E91">
        <w:rPr>
          <w:rFonts w:ascii="Palatino Linotype" w:eastAsia="MS Mincho" w:hAnsi="Palatino Linotype" w:cs="Arial"/>
          <w:lang w:val="es-MX" w:eastAsia="es-MX"/>
        </w:rPr>
        <w:t>[NOVECIENTAS CUARENTA Y CINCO]</w:t>
      </w:r>
      <w:r w:rsidR="00796BCB" w:rsidRPr="004F3E91">
        <w:rPr>
          <w:rFonts w:ascii="Palatino Linotype" w:eastAsia="MS Mincho" w:hAnsi="Palatino Linotype" w:cs="Arial"/>
          <w:i/>
          <w:iCs/>
          <w:lang w:val="es-MX" w:eastAsia="es-MX"/>
        </w:rPr>
        <w:t xml:space="preserve"> fojas, (…)”</w:t>
      </w:r>
      <w:r w:rsidR="00796BCB" w:rsidRPr="004F3E91">
        <w:rPr>
          <w:rFonts w:ascii="Palatino Linotype" w:eastAsia="MS Mincho" w:hAnsi="Palatino Linotype" w:cs="Arial"/>
          <w:lang w:val="es-MX" w:eastAsia="es-MX"/>
        </w:rPr>
        <w:t xml:space="preserve">, </w:t>
      </w:r>
      <w:r w:rsidR="00796BCB" w:rsidRPr="004F3E91">
        <w:rPr>
          <w:rFonts w:ascii="Palatino Linotype" w:eastAsia="MS Mincho" w:hAnsi="Palatino Linotype" w:cs="Arial"/>
          <w:b/>
          <w:bCs/>
          <w:lang w:val="es-MX" w:eastAsia="es-MX"/>
        </w:rPr>
        <w:t>cantidad que apenas rebasa el 11% de la capacidad del SAIMEX para entregar la información vía electrónica</w:t>
      </w:r>
      <w:r w:rsidR="00796BCB" w:rsidRPr="004F3E91">
        <w:rPr>
          <w:rFonts w:ascii="Palatino Linotype" w:eastAsia="MS Mincho" w:hAnsi="Palatino Linotype" w:cs="Arial"/>
          <w:lang w:val="es-MX" w:eastAsia="es-MX"/>
        </w:rPr>
        <w:t xml:space="preserve">. </w:t>
      </w:r>
    </w:p>
    <w:p w14:paraId="73BBF309"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42BCE59A" w14:textId="0BBF3093" w:rsidR="00963686" w:rsidRPr="004F3E91" w:rsidRDefault="00796BCB"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Por si fuera poco, este</w:t>
      </w:r>
      <w:r w:rsidR="00963686" w:rsidRPr="004F3E91">
        <w:rPr>
          <w:rFonts w:ascii="Palatino Linotype" w:eastAsia="MS Mincho" w:hAnsi="Palatino Linotype" w:cs="Arial"/>
          <w:lang w:val="es-MX" w:eastAsia="es-MX"/>
        </w:rPr>
        <w:t xml:space="preserve"> Órgano Garante se dio a la tarea de solicitar a la Dirección General de Informática del Instituto de Transparencia, información para saber si el </w:t>
      </w:r>
      <w:r w:rsidR="00963686" w:rsidRPr="004F3E91">
        <w:rPr>
          <w:rFonts w:ascii="Palatino Linotype" w:eastAsia="MS Mincho" w:hAnsi="Palatino Linotype" w:cs="Arial"/>
          <w:b/>
          <w:lang w:val="es-MX" w:eastAsia="es-MX"/>
        </w:rPr>
        <w:t>SUJETO OBLIGADO</w:t>
      </w:r>
      <w:r w:rsidR="00963686" w:rsidRPr="004F3E91">
        <w:rPr>
          <w:rFonts w:ascii="Palatino Linotype" w:eastAsia="MS Mincho" w:hAnsi="Palatino Linotype" w:cs="Arial"/>
          <w:lang w:val="es-MX" w:eastAsia="es-MX"/>
        </w:rPr>
        <w:t xml:space="preserve"> manifestó alguna incidencia para subir la información solicitada a través de la Plataforma SAIMEX; en respuesta, </w:t>
      </w:r>
      <w:r w:rsidR="00963686" w:rsidRPr="004F3E91">
        <w:rPr>
          <w:rFonts w:ascii="Palatino Linotype" w:eastAsia="MS Mincho" w:hAnsi="Palatino Linotype" w:cs="Arial"/>
          <w:b/>
          <w:bCs/>
          <w:lang w:val="es-MX" w:eastAsia="es-MX"/>
        </w:rPr>
        <w:t>la Dirección reportó que no se tenía ningún reporte de incidencia relacionado con el asunto</w:t>
      </w:r>
      <w:r w:rsidR="00963686" w:rsidRPr="004F3E91">
        <w:rPr>
          <w:rFonts w:ascii="Palatino Linotype" w:eastAsia="MS Mincho" w:hAnsi="Palatino Linotype" w:cs="Arial"/>
          <w:lang w:val="es-MX" w:eastAsia="es-MX"/>
        </w:rPr>
        <w:t xml:space="preserve">. Se </w:t>
      </w:r>
      <w:r w:rsidR="00963686" w:rsidRPr="004F3E91">
        <w:rPr>
          <w:rFonts w:ascii="Palatino Linotype" w:eastAsia="MS Mincho" w:hAnsi="Palatino Linotype" w:cs="Arial"/>
          <w:lang w:val="es-MX" w:eastAsia="es-MX"/>
        </w:rPr>
        <w:lastRenderedPageBreak/>
        <w:t>adjuntan las capturas de los correos de comunicación generados entre la Ponencia Resolutora y la Dirección de Informática:</w:t>
      </w:r>
    </w:p>
    <w:p w14:paraId="63C10EE6"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4ED76CDE" w14:textId="03EED007" w:rsidR="00963686" w:rsidRPr="004F3E91" w:rsidRDefault="00796BCB" w:rsidP="00963686">
      <w:pPr>
        <w:spacing w:line="360" w:lineRule="auto"/>
        <w:contextualSpacing/>
        <w:jc w:val="center"/>
        <w:rPr>
          <w:rFonts w:ascii="Palatino Linotype" w:eastAsia="MS Mincho" w:hAnsi="Palatino Linotype" w:cs="Arial"/>
          <w:lang w:val="es-MX" w:eastAsia="es-MX"/>
        </w:rPr>
      </w:pPr>
      <w:r w:rsidRPr="004F3E91">
        <w:rPr>
          <w:rFonts w:ascii="Palatino Linotype" w:eastAsia="MS Mincho" w:hAnsi="Palatino Linotype" w:cs="Arial"/>
          <w:noProof/>
          <w:lang w:val="es-MX" w:eastAsia="es-MX"/>
        </w:rPr>
        <w:drawing>
          <wp:inline distT="0" distB="0" distL="0" distR="0" wp14:anchorId="48A0F9EA" wp14:editId="6476698D">
            <wp:extent cx="4804824" cy="891415"/>
            <wp:effectExtent l="57150" t="57150" r="91440" b="99695"/>
            <wp:docPr id="5" name="Imagen 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con confianza baja"/>
                    <pic:cNvPicPr/>
                  </pic:nvPicPr>
                  <pic:blipFill>
                    <a:blip r:embed="rId14"/>
                    <a:stretch>
                      <a:fillRect/>
                    </a:stretch>
                  </pic:blipFill>
                  <pic:spPr>
                    <a:xfrm>
                      <a:off x="0" y="0"/>
                      <a:ext cx="4840775" cy="8980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AF5197" w14:textId="51442B49" w:rsidR="00796BCB" w:rsidRPr="004F3E91" w:rsidRDefault="00796BCB" w:rsidP="00963686">
      <w:pPr>
        <w:spacing w:line="360" w:lineRule="auto"/>
        <w:contextualSpacing/>
        <w:jc w:val="center"/>
        <w:rPr>
          <w:rFonts w:ascii="Palatino Linotype" w:eastAsia="MS Mincho" w:hAnsi="Palatino Linotype" w:cs="Arial"/>
          <w:lang w:val="es-MX" w:eastAsia="es-MX"/>
        </w:rPr>
      </w:pPr>
      <w:r w:rsidRPr="004F3E91">
        <w:rPr>
          <w:rFonts w:ascii="Palatino Linotype" w:eastAsia="MS Mincho" w:hAnsi="Palatino Linotype" w:cs="Arial"/>
          <w:noProof/>
          <w:lang w:val="es-MX" w:eastAsia="es-MX"/>
        </w:rPr>
        <w:drawing>
          <wp:inline distT="0" distB="0" distL="0" distR="0" wp14:anchorId="3F3D74AC" wp14:editId="3D2E2DED">
            <wp:extent cx="4771445" cy="825235"/>
            <wp:effectExtent l="57150" t="57150" r="86360" b="89535"/>
            <wp:docPr id="9" name="Imagen 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Correo electrónico&#10;&#10;Descripción generada automáticamente"/>
                    <pic:cNvPicPr/>
                  </pic:nvPicPr>
                  <pic:blipFill>
                    <a:blip r:embed="rId15"/>
                    <a:stretch>
                      <a:fillRect/>
                    </a:stretch>
                  </pic:blipFill>
                  <pic:spPr>
                    <a:xfrm>
                      <a:off x="0" y="0"/>
                      <a:ext cx="4843884" cy="8377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78728B"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66741EC8" w14:textId="05DDA3DC" w:rsidR="00963686" w:rsidRPr="004F3E91" w:rsidRDefault="00796BCB" w:rsidP="00796BCB">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Luego entonces, y toda vez que el propio </w:t>
      </w:r>
      <w:r w:rsidRPr="004F3E91">
        <w:rPr>
          <w:rFonts w:ascii="Palatino Linotype" w:eastAsia="MS Mincho" w:hAnsi="Palatino Linotype" w:cs="Arial"/>
          <w:b/>
          <w:bCs/>
          <w:lang w:val="es-MX" w:eastAsia="es-MX"/>
        </w:rPr>
        <w:t>SUJETO OBLIGADO</w:t>
      </w:r>
      <w:r w:rsidRPr="004F3E91">
        <w:rPr>
          <w:rFonts w:ascii="Palatino Linotype" w:eastAsia="MS Mincho" w:hAnsi="Palatino Linotype" w:cs="Arial"/>
          <w:lang w:val="es-MX" w:eastAsia="es-MX"/>
        </w:rPr>
        <w:t xml:space="preserve"> reportó que el soporte documental consistente en los expedientes formados por denuncias relacionadas con ruido excesivo ascendía, únicamente, a 945 (NOVECIENTAS CUARENTA Y CINCO) fojas, este Organismo Garante concluye que el Ayuntamiento de Toluca </w:t>
      </w:r>
      <w:r w:rsidR="00963686" w:rsidRPr="004F3E91">
        <w:rPr>
          <w:rFonts w:ascii="Palatino Linotype" w:eastAsia="MS Mincho" w:hAnsi="Palatino Linotype" w:cs="Arial"/>
          <w:lang w:val="es-MX" w:eastAsia="es-MX"/>
        </w:rPr>
        <w:t xml:space="preserve">no tiene </w:t>
      </w:r>
      <w:r w:rsidRPr="004F3E91">
        <w:rPr>
          <w:rFonts w:ascii="Palatino Linotype" w:eastAsia="MS Mincho" w:hAnsi="Palatino Linotype" w:cs="Arial"/>
          <w:lang w:val="es-MX" w:eastAsia="es-MX"/>
        </w:rPr>
        <w:t>ninguna</w:t>
      </w:r>
      <w:r w:rsidR="00963686" w:rsidRPr="004F3E91">
        <w:rPr>
          <w:rFonts w:ascii="Palatino Linotype" w:eastAsia="MS Mincho" w:hAnsi="Palatino Linotype" w:cs="Arial"/>
          <w:lang w:val="es-MX" w:eastAsia="es-MX"/>
        </w:rPr>
        <w:t xml:space="preserve"> incapacidad técnica para remitir la información vía SAIMEX. </w:t>
      </w:r>
    </w:p>
    <w:p w14:paraId="0FCDBB1F"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62904D48" w14:textId="24F01A96" w:rsidR="00963686" w:rsidRPr="004F3E91" w:rsidRDefault="00796BCB"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Ahora bien, por cuanto hace</w:t>
      </w:r>
      <w:r w:rsidR="00963686" w:rsidRPr="004F3E91">
        <w:rPr>
          <w:rFonts w:ascii="Palatino Linotype" w:eastAsia="MS Mincho" w:hAnsi="Palatino Linotype" w:cs="Arial"/>
          <w:lang w:val="es-MX" w:eastAsia="es-MX"/>
        </w:rPr>
        <w:t xml:space="preserv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00963686" w:rsidRPr="004F3E91">
        <w:rPr>
          <w:rFonts w:ascii="Palatino Linotype" w:eastAsia="MS Mincho" w:hAnsi="Palatino Linotype" w:cs="Arial"/>
          <w:b/>
          <w:lang w:val="es-MX" w:eastAsia="es-MX"/>
        </w:rPr>
        <w:t>eficiencia organizacional para efectuar funciones esenciales.</w:t>
      </w:r>
    </w:p>
    <w:p w14:paraId="54F1A5C3"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5571052D"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lastRenderedPageBreak/>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6BE0794B"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1D9A2C4F"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Desde una perspectiva institucional, la </w:t>
      </w:r>
      <w:r w:rsidRPr="004F3E91">
        <w:rPr>
          <w:rFonts w:ascii="Palatino Linotype" w:eastAsia="MS Mincho" w:hAnsi="Palatino Linotype" w:cs="Arial"/>
          <w:b/>
          <w:lang w:val="es-MX" w:eastAsia="es-MX"/>
        </w:rPr>
        <w:t xml:space="preserve">capacidad administrativa </w:t>
      </w:r>
      <w:r w:rsidRPr="004F3E91">
        <w:rPr>
          <w:rFonts w:ascii="Palatino Linotype" w:eastAsia="MS Mincho" w:hAnsi="Palatino Linotype" w:cs="Arial"/>
          <w:lang w:val="es-MX" w:eastAsia="es-MX"/>
        </w:rPr>
        <w:t xml:space="preserve">es entendida como </w:t>
      </w:r>
      <w:r w:rsidRPr="004F3E91">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4F3E91">
        <w:rPr>
          <w:rFonts w:ascii="Palatino Linotype" w:eastAsia="MS Mincho" w:hAnsi="Palatino Linotype" w:cs="Arial"/>
          <w:b/>
          <w:i/>
          <w:lang w:val="es-MX" w:eastAsia="es-MX"/>
        </w:rPr>
        <w:t xml:space="preserve">primero </w:t>
      </w:r>
      <w:r w:rsidRPr="004F3E91">
        <w:rPr>
          <w:rFonts w:ascii="Palatino Linotype" w:eastAsia="MS Mincho" w:hAnsi="Palatino Linotype" w:cs="Arial"/>
          <w:i/>
          <w:lang w:val="es-MX" w:eastAsia="es-MX"/>
        </w:rPr>
        <w:t xml:space="preserve">hace alusión al individuo, al </w:t>
      </w:r>
      <w:r w:rsidRPr="004F3E91">
        <w:rPr>
          <w:rFonts w:ascii="Palatino Linotype" w:eastAsia="MS Mincho" w:hAnsi="Palatino Linotype" w:cs="Arial"/>
          <w:b/>
          <w:i/>
          <w:lang w:val="es-MX" w:eastAsia="es-MX"/>
        </w:rPr>
        <w:t>recursos humano</w:t>
      </w:r>
      <w:r w:rsidRPr="004F3E91">
        <w:rPr>
          <w:rFonts w:ascii="Palatino Linotype" w:eastAsia="MS Mincho" w:hAnsi="Palatino Linotype" w:cs="Arial"/>
          <w:i/>
          <w:lang w:val="es-MX" w:eastAsia="es-MX"/>
        </w:rPr>
        <w:t xml:space="preserve">. En el segundo nivel, se ubica la </w:t>
      </w:r>
      <w:r w:rsidRPr="004F3E91">
        <w:rPr>
          <w:rFonts w:ascii="Palatino Linotype" w:eastAsia="MS Mincho" w:hAnsi="Palatino Linotype" w:cs="Arial"/>
          <w:b/>
          <w:i/>
          <w:lang w:val="es-MX" w:eastAsia="es-MX"/>
        </w:rPr>
        <w:t>capacidad de gestión</w:t>
      </w:r>
      <w:r w:rsidRPr="004F3E91">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4F3E91">
        <w:rPr>
          <w:rFonts w:ascii="Palatino Linotype" w:eastAsia="MS Mincho" w:hAnsi="Palatino Linotype" w:cs="Arial"/>
          <w:i/>
          <w:vertAlign w:val="superscript"/>
          <w:lang w:val="es-MX" w:eastAsia="es-MX"/>
        </w:rPr>
        <w:footnoteReference w:id="17"/>
      </w:r>
    </w:p>
    <w:p w14:paraId="3EA28221"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7B670500"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3A37C91C" w14:textId="77777777" w:rsidR="00963686" w:rsidRPr="004F3E91" w:rsidRDefault="00963686" w:rsidP="00963686">
      <w:pPr>
        <w:spacing w:line="360" w:lineRule="auto"/>
        <w:contextualSpacing/>
        <w:rPr>
          <w:rFonts w:ascii="Palatino Linotype" w:eastAsia="MS Mincho" w:hAnsi="Palatino Linotype" w:cs="Arial"/>
          <w:lang w:val="es-MX" w:eastAsia="es-MX"/>
        </w:rPr>
      </w:pPr>
    </w:p>
    <w:p w14:paraId="092B179C"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Ahora bien, respecto de las capacidades humanas, vale la pena precisar lo que se denomina por </w:t>
      </w:r>
      <w:r w:rsidRPr="004F3E91">
        <w:rPr>
          <w:rFonts w:ascii="Palatino Linotype" w:eastAsia="MS Mincho" w:hAnsi="Palatino Linotype" w:cs="Arial"/>
          <w:b/>
          <w:i/>
          <w:lang w:val="es-MX" w:eastAsia="es-MX"/>
        </w:rPr>
        <w:t>recursos humanos</w:t>
      </w:r>
      <w:r w:rsidRPr="004F3E91">
        <w:rPr>
          <w:rFonts w:ascii="Palatino Linotype" w:eastAsia="MS Mincho" w:hAnsi="Palatino Linotype" w:cs="Arial"/>
          <w:lang w:val="es-MX" w:eastAsia="es-MX"/>
        </w:rPr>
        <w:t xml:space="preserve">, lo cual podemos identificar como el conjunto de personas con las que cuenta una determinada organización, para desarrollar y </w:t>
      </w:r>
      <w:r w:rsidRPr="004F3E91">
        <w:rPr>
          <w:rFonts w:ascii="Palatino Linotype" w:eastAsia="MS Mincho" w:hAnsi="Palatino Linotype" w:cs="Arial"/>
          <w:lang w:val="es-MX" w:eastAsia="es-MX"/>
        </w:rPr>
        <w:lastRenderedPageBreak/>
        <w:t xml:space="preserve">ejecutar de manera correcta las acciones, actividades, labores y tareas que deben realizarse y que han sido solicitadas. </w:t>
      </w:r>
    </w:p>
    <w:p w14:paraId="55356661"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7CA5859B"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Las personas son la parte fundamental de una organización,</w:t>
      </w:r>
      <w:r w:rsidRPr="004F3E91">
        <w:rPr>
          <w:rFonts w:ascii="Palatino Linotype" w:eastAsia="MS Mincho" w:hAnsi="Palatino Linotype" w:cs="Arial"/>
          <w:b/>
          <w:lang w:val="es-MX" w:eastAsia="es-MX"/>
        </w:rPr>
        <w:t xml:space="preserve"> </w:t>
      </w:r>
      <w:r w:rsidRPr="004F3E91">
        <w:rPr>
          <w:rFonts w:ascii="Palatino Linotype" w:eastAsia="MS Mincho" w:hAnsi="Palatino Linotype" w:cs="Arial"/>
          <w:lang w:val="es-MX" w:eastAsia="es-MX"/>
        </w:rPr>
        <w:t xml:space="preserve">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75037A80"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217F6F9F" w14:textId="60DCE7B4"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eastAsia="MS Mincho" w:hAnsi="Palatino Linotype" w:cs="Arial"/>
          <w:lang w:val="es-MX" w:eastAsia="es-MX"/>
        </w:rPr>
        <w:t xml:space="preserve">No es ocioso reiterar que el artículo 158 de la Ley de Transparencia y Acceso a la Información Pública del Estado de México y Municipios, refiere que </w:t>
      </w:r>
      <w:r w:rsidRPr="004F3E91">
        <w:rPr>
          <w:rFonts w:ascii="Palatino Linotype" w:eastAsia="MS Mincho" w:hAnsi="Palatino Linotype" w:cs="Arial"/>
          <w:b/>
          <w:lang w:val="es-MX" w:eastAsia="es-MX"/>
        </w:rPr>
        <w:t>se debe fundar y motivar la incapacidad técnica, administrativa y humana</w:t>
      </w:r>
      <w:r w:rsidRPr="004F3E91">
        <w:rPr>
          <w:rFonts w:ascii="Palatino Linotype" w:eastAsia="MS Mincho" w:hAnsi="Palatino Linotype" w:cs="Arial"/>
          <w:lang w:val="es-MX" w:eastAsia="es-MX"/>
        </w:rPr>
        <w:t xml:space="preserve">. Empero, en el caso particular, </w:t>
      </w:r>
      <w:r w:rsidR="00627D67" w:rsidRPr="004F3E91">
        <w:rPr>
          <w:rFonts w:ascii="Palatino Linotype" w:eastAsia="MS Mincho" w:hAnsi="Palatino Linotype" w:cs="Arial"/>
          <w:lang w:val="es-MX" w:eastAsia="es-MX"/>
        </w:rPr>
        <w:t xml:space="preserve">el </w:t>
      </w:r>
      <w:r w:rsidR="00627D67" w:rsidRPr="004F3E91">
        <w:rPr>
          <w:rFonts w:ascii="Palatino Linotype" w:eastAsia="MS Mincho" w:hAnsi="Palatino Linotype" w:cs="Arial"/>
          <w:b/>
          <w:bCs/>
          <w:lang w:val="es-MX" w:eastAsia="es-MX"/>
        </w:rPr>
        <w:t>SUJETO OBLIGADO</w:t>
      </w:r>
      <w:r w:rsidRPr="004F3E91">
        <w:rPr>
          <w:rFonts w:ascii="Palatino Linotype" w:eastAsia="MS Mincho" w:hAnsi="Palatino Linotype" w:cs="Arial"/>
          <w:lang w:val="es-MX" w:eastAsia="es-MX"/>
        </w:rPr>
        <w:t xml:space="preserve"> </w:t>
      </w:r>
      <w:r w:rsidRPr="004F3E91">
        <w:rPr>
          <w:rFonts w:ascii="Palatino Linotype" w:eastAsia="MS Mincho" w:hAnsi="Palatino Linotype" w:cs="Arial"/>
          <w:b/>
          <w:bCs/>
          <w:lang w:val="es-MX" w:eastAsia="es-MX"/>
        </w:rPr>
        <w:t>no motivó las razones por las que requería cambiar la modalidad de entrega de la información</w:t>
      </w:r>
      <w:r w:rsidRPr="004F3E91">
        <w:rPr>
          <w:rFonts w:ascii="Palatino Linotype" w:eastAsia="MS Mincho" w:hAnsi="Palatino Linotype" w:cs="Arial"/>
          <w:lang w:val="es-MX" w:eastAsia="es-MX"/>
        </w:rPr>
        <w:t xml:space="preserve">, si no que, únicamente, de forma notablemente arbitraria, determinó entregar la información vía </w:t>
      </w:r>
      <w:r w:rsidRPr="004F3E91">
        <w:rPr>
          <w:rFonts w:ascii="Palatino Linotype" w:eastAsia="MS Mincho" w:hAnsi="Palatino Linotype" w:cs="Arial"/>
          <w:i/>
          <w:iCs/>
          <w:lang w:val="es-MX" w:eastAsia="es-MX"/>
        </w:rPr>
        <w:t>in situ</w:t>
      </w:r>
      <w:r w:rsidRPr="004F3E91">
        <w:rPr>
          <w:rFonts w:ascii="Palatino Linotype" w:eastAsia="MS Mincho" w:hAnsi="Palatino Linotype" w:cs="Arial"/>
          <w:lang w:val="es-MX" w:eastAsia="es-MX"/>
        </w:rPr>
        <w:t xml:space="preserve">, </w:t>
      </w:r>
      <w:r w:rsidR="00627D67" w:rsidRPr="004F3E91">
        <w:rPr>
          <w:rFonts w:ascii="Palatino Linotype" w:eastAsia="MS Mincho" w:hAnsi="Palatino Linotype" w:cs="Arial"/>
          <w:lang w:val="es-MX" w:eastAsia="es-MX"/>
        </w:rPr>
        <w:t xml:space="preserve">pues únicamente refirió </w:t>
      </w:r>
      <w:r w:rsidR="00627D67" w:rsidRPr="004F3E91">
        <w:rPr>
          <w:rFonts w:ascii="Palatino Linotype" w:eastAsia="MS Mincho" w:hAnsi="Palatino Linotype" w:cs="Arial"/>
          <w:i/>
          <w:iCs/>
          <w:lang w:val="es-MX" w:eastAsia="es-MX"/>
        </w:rPr>
        <w:t xml:space="preserve">“que esta Dependencia no cuenta </w:t>
      </w:r>
      <w:r w:rsidR="00627D67" w:rsidRPr="004F3E91">
        <w:rPr>
          <w:rFonts w:ascii="Palatino Linotype" w:eastAsia="MS Mincho" w:hAnsi="Palatino Linotype" w:cs="Arial"/>
          <w:lang w:val="es-MX" w:eastAsia="es-MX"/>
        </w:rPr>
        <w:t xml:space="preserve">[con] </w:t>
      </w:r>
      <w:r w:rsidR="00627D67" w:rsidRPr="004F3E91">
        <w:rPr>
          <w:rFonts w:ascii="Palatino Linotype" w:eastAsia="MS Mincho" w:hAnsi="Palatino Linotype" w:cs="Arial"/>
          <w:i/>
          <w:iCs/>
          <w:lang w:val="es-MX" w:eastAsia="es-MX"/>
        </w:rPr>
        <w:t>el recurso técnico, administrativo y humano para procesar la información”</w:t>
      </w:r>
      <w:r w:rsidR="00627D67" w:rsidRPr="004F3E91">
        <w:rPr>
          <w:rFonts w:ascii="Palatino Linotype" w:eastAsia="MS Mincho" w:hAnsi="Palatino Linotype" w:cs="Arial"/>
          <w:lang w:val="es-MX" w:eastAsia="es-MX"/>
        </w:rPr>
        <w:t xml:space="preserve">, </w:t>
      </w:r>
      <w:r w:rsidRPr="004F3E91">
        <w:rPr>
          <w:rFonts w:ascii="Palatino Linotype" w:eastAsia="MS Mincho" w:hAnsi="Palatino Linotype" w:cs="Arial"/>
          <w:b/>
          <w:bCs/>
          <w:lang w:val="es-MX" w:eastAsia="es-MX"/>
        </w:rPr>
        <w:t>dejando al RECURRENTE en un total estado de incertidumbre</w:t>
      </w:r>
      <w:r w:rsidRPr="004F3E91">
        <w:rPr>
          <w:rFonts w:ascii="Palatino Linotype" w:eastAsia="MS Mincho" w:hAnsi="Palatino Linotype" w:cs="Arial"/>
          <w:lang w:val="es-MX" w:eastAsia="es-MX"/>
        </w:rPr>
        <w:t>.</w:t>
      </w:r>
    </w:p>
    <w:p w14:paraId="30E9E8A0" w14:textId="77777777" w:rsidR="00963686" w:rsidRPr="004F3E91" w:rsidRDefault="00963686" w:rsidP="00963686">
      <w:pPr>
        <w:spacing w:line="360" w:lineRule="auto"/>
        <w:contextualSpacing/>
        <w:rPr>
          <w:rFonts w:ascii="Palatino Linotype" w:eastAsia="MS Mincho" w:hAnsi="Palatino Linotype" w:cs="Arial"/>
          <w:sz w:val="22"/>
          <w:lang w:val="es-MX" w:eastAsia="es-MX"/>
        </w:rPr>
      </w:pPr>
    </w:p>
    <w:p w14:paraId="188E0F01" w14:textId="77777777" w:rsidR="00963686" w:rsidRPr="004F3E91" w:rsidRDefault="00963686" w:rsidP="00963686">
      <w:pPr>
        <w:numPr>
          <w:ilvl w:val="0"/>
          <w:numId w:val="2"/>
        </w:numPr>
        <w:spacing w:line="360" w:lineRule="auto"/>
        <w:ind w:left="0" w:firstLine="0"/>
        <w:contextualSpacing/>
        <w:jc w:val="both"/>
        <w:rPr>
          <w:rFonts w:ascii="Palatino Linotype" w:eastAsia="MS Mincho" w:hAnsi="Palatino Linotype" w:cs="Arial"/>
          <w:lang w:val="es-MX" w:eastAsia="es-MX"/>
        </w:rPr>
      </w:pPr>
      <w:r w:rsidRPr="004F3E91">
        <w:rPr>
          <w:rFonts w:ascii="Palatino Linotype" w:hAnsi="Palatino Linotype"/>
          <w:lang w:eastAsia="es-MX"/>
        </w:rPr>
        <w:t xml:space="preserve">Es así que el </w:t>
      </w:r>
      <w:r w:rsidRPr="004F3E91">
        <w:rPr>
          <w:rFonts w:ascii="Palatino Linotype" w:hAnsi="Palatino Linotype"/>
          <w:b/>
          <w:lang w:eastAsia="es-MX"/>
        </w:rPr>
        <w:t>SUJETO OBLIGADO</w:t>
      </w:r>
      <w:r w:rsidRPr="004F3E91">
        <w:rPr>
          <w:rFonts w:ascii="Palatino Linotype" w:hAnsi="Palatino Linotype"/>
          <w:lang w:eastAsia="es-MX"/>
        </w:rPr>
        <w:t xml:space="preserve">, careciendo de toda fundamentación y motivación, pretendió realizar el cambio de modalidad de entrega a vía </w:t>
      </w:r>
      <w:r w:rsidRPr="004F3E91">
        <w:rPr>
          <w:rFonts w:ascii="Palatino Linotype" w:hAnsi="Palatino Linotype"/>
          <w:i/>
          <w:lang w:eastAsia="es-MX"/>
        </w:rPr>
        <w:t>In Situ</w:t>
      </w:r>
      <w:r w:rsidRPr="004F3E91">
        <w:rPr>
          <w:rFonts w:ascii="Palatino Linotype" w:hAnsi="Palatino Linotype"/>
          <w:lang w:eastAsia="es-MX"/>
        </w:rPr>
        <w:t xml:space="preserve">, aún y cuando el particular señaló como modalidad de entrega </w:t>
      </w:r>
      <w:r w:rsidRPr="004F3E91">
        <w:rPr>
          <w:rFonts w:ascii="Palatino Linotype" w:hAnsi="Palatino Linotype"/>
          <w:b/>
          <w:lang w:eastAsia="es-MX"/>
        </w:rPr>
        <w:t>a través del SAIMEX</w:t>
      </w:r>
      <w:r w:rsidRPr="004F3E91">
        <w:rPr>
          <w:rFonts w:ascii="Palatino Linotype" w:hAnsi="Palatino Linotype"/>
          <w:lang w:eastAsia="es-MX"/>
        </w:rPr>
        <w:t xml:space="preserve">, contraponiéndose a la normatividad en materia y al </w:t>
      </w:r>
      <w:r w:rsidRPr="004F3E91">
        <w:rPr>
          <w:rFonts w:ascii="Palatino Linotype" w:hAnsi="Palatino Linotype"/>
          <w:lang w:val="es-MX" w:eastAsia="es-MX"/>
        </w:rPr>
        <w:t>Criterio número 8/2013 del entonces Instituto Federal de Acceso a la Información, cuyo texto y sentido literal es el siguiente:</w:t>
      </w:r>
    </w:p>
    <w:p w14:paraId="1CE25AC7" w14:textId="77777777" w:rsidR="00963686" w:rsidRPr="004F3E91" w:rsidRDefault="00963686" w:rsidP="00963686">
      <w:pPr>
        <w:spacing w:line="360" w:lineRule="auto"/>
        <w:contextualSpacing/>
        <w:jc w:val="both"/>
        <w:rPr>
          <w:rFonts w:ascii="Palatino Linotype" w:eastAsia="MS Mincho" w:hAnsi="Palatino Linotype" w:cs="Arial"/>
          <w:lang w:val="es-MX" w:eastAsia="es-MX"/>
        </w:rPr>
      </w:pPr>
    </w:p>
    <w:p w14:paraId="32C14DB9" w14:textId="77777777" w:rsidR="00963686" w:rsidRPr="004F3E91" w:rsidRDefault="00963686" w:rsidP="00963686">
      <w:pPr>
        <w:spacing w:line="276" w:lineRule="auto"/>
        <w:ind w:left="567" w:right="567"/>
        <w:jc w:val="both"/>
        <w:rPr>
          <w:rFonts w:ascii="Palatino Linotype" w:hAnsi="Palatino Linotype"/>
          <w:i/>
          <w:sz w:val="22"/>
          <w:szCs w:val="22"/>
          <w:lang w:val="es-MX" w:eastAsia="es-MX"/>
        </w:rPr>
      </w:pPr>
      <w:r w:rsidRPr="004F3E91">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4F3E91">
        <w:rPr>
          <w:rFonts w:ascii="Palatino Linotype" w:hAnsi="Palatino Linotype" w:cs="Arial"/>
          <w:b/>
          <w:bCs/>
          <w:i/>
          <w:noProof/>
          <w:sz w:val="22"/>
          <w:szCs w:val="22"/>
          <w:lang w:val="es-MX" w:eastAsia="es-MX"/>
        </w:rPr>
        <w:t>TODAS</w:t>
      </w:r>
      <w:r w:rsidRPr="004F3E91">
        <w:rPr>
          <w:rFonts w:ascii="Palatino Linotype" w:hAnsi="Palatino Linotype"/>
          <w:b/>
          <w:bCs/>
          <w:i/>
          <w:sz w:val="22"/>
          <w:szCs w:val="22"/>
          <w:lang w:val="es-MX" w:eastAsia="es-MX"/>
        </w:rPr>
        <w:t xml:space="preserve"> LAS DEMÁS OPCIONES PREVISTAS EN LA LEY.</w:t>
      </w:r>
      <w:r w:rsidRPr="004F3E91">
        <w:rPr>
          <w:rFonts w:ascii="Palatino Linotype" w:hAnsi="Palatino Linotype"/>
          <w:bCs/>
          <w:i/>
          <w:sz w:val="22"/>
          <w:szCs w:val="22"/>
          <w:lang w:val="es-MX" w:eastAsia="es-MX"/>
        </w:rPr>
        <w:t xml:space="preserve"> “</w:t>
      </w:r>
      <w:r w:rsidRPr="004F3E91">
        <w:rPr>
          <w:rFonts w:ascii="Palatino Linotype" w:hAnsi="Palatino Linotype"/>
          <w:i/>
          <w:sz w:val="22"/>
          <w:szCs w:val="22"/>
          <w:lang w:val="es-MX" w:eastAsia="es-MX"/>
        </w:rPr>
        <w:t xml:space="preserve">De conformidad con lo dispuesto en los artículos 42 y 44 de la </w:t>
      </w:r>
      <w:r w:rsidRPr="004F3E91">
        <w:rPr>
          <w:rFonts w:ascii="Palatino Linotype" w:hAnsi="Palatino Linotype"/>
          <w:i/>
          <w:iCs/>
          <w:sz w:val="22"/>
          <w:szCs w:val="22"/>
          <w:lang w:val="es-MX" w:eastAsia="es-MX"/>
        </w:rPr>
        <w:t>Ley Federal de Transparencia y Acceso a la Información Pública Gubernamental</w:t>
      </w:r>
      <w:r w:rsidRPr="004F3E91">
        <w:rPr>
          <w:rFonts w:ascii="Palatino Linotype" w:hAnsi="Palatino Linotype"/>
          <w:i/>
          <w:sz w:val="22"/>
          <w:szCs w:val="22"/>
          <w:lang w:val="es-MX" w:eastAsia="es-MX"/>
        </w:rPr>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w:t>
      </w:r>
      <w:r w:rsidRPr="004F3E91">
        <w:rPr>
          <w:rFonts w:ascii="Palatino Linotype" w:hAnsi="Palatino Linotype"/>
          <w:b/>
          <w:bCs/>
          <w:i/>
          <w:sz w:val="22"/>
          <w:szCs w:val="22"/>
          <w:lang w:val="es-MX" w:eastAsia="es-MX"/>
        </w:rPr>
        <w:t xml:space="preserve">la entrega de la información en una modalidad distinta a la elegida por el particular sólo procede, </w:t>
      </w:r>
      <w:r w:rsidRPr="004F3E91">
        <w:rPr>
          <w:rFonts w:ascii="Palatino Linotype" w:hAnsi="Palatino Linotype"/>
          <w:b/>
          <w:bCs/>
          <w:i/>
          <w:sz w:val="22"/>
          <w:szCs w:val="22"/>
          <w:u w:val="single"/>
          <w:lang w:val="es-MX" w:eastAsia="es-MX"/>
        </w:rPr>
        <w:t>en caso de que se acredite la imposibilidad de atenderla</w:t>
      </w:r>
      <w:r w:rsidRPr="004F3E91">
        <w:rPr>
          <w:rFonts w:ascii="Palatino Linotype" w:hAnsi="Palatino Linotype"/>
          <w:i/>
          <w:sz w:val="22"/>
          <w:szCs w:val="22"/>
          <w:lang w:val="es-MX" w:eastAsia="es-MX"/>
        </w:rPr>
        <w:t xml:space="preserve">. Lo anterior, ya que si bien, los sujetos obligados deben privilegiar, en todo momento, el derecho de acceso a la información, ello no implica que desvíen su objeto sustancial en la atención y trámite de las solicitudes efectuadas bajo la tutela de dicho derecho. Así, </w:t>
      </w:r>
      <w:r w:rsidRPr="004F3E91">
        <w:rPr>
          <w:rFonts w:ascii="Palatino Linotype" w:hAnsi="Palatino Linotype"/>
          <w:b/>
          <w:bCs/>
          <w:i/>
          <w:sz w:val="22"/>
          <w:szCs w:val="22"/>
          <w:u w:val="single"/>
          <w:lang w:val="es-MX" w:eastAsia="es-MX"/>
        </w:rPr>
        <w:t>cuando se justifique el impedimento</w:t>
      </w:r>
      <w:r w:rsidRPr="004F3E91">
        <w:rPr>
          <w:rFonts w:ascii="Palatino Linotype" w:hAnsi="Palatino Linotype"/>
          <w:b/>
          <w:bCs/>
          <w:i/>
          <w:sz w:val="22"/>
          <w:szCs w:val="22"/>
          <w:lang w:val="es-MX" w:eastAsia="es-MX"/>
        </w:rPr>
        <w:t>, los sujetos obligados deberán notificar al particular la disposición de la información en todas las modalidades de entrega que permita el documento</w:t>
      </w:r>
      <w:r w:rsidRPr="004F3E91">
        <w:rPr>
          <w:rFonts w:ascii="Palatino Linotype" w:hAnsi="Palatino Linotype"/>
          <w:i/>
          <w:sz w:val="22"/>
          <w:szCs w:val="22"/>
          <w:lang w:val="es-MX" w:eastAsia="es-MX"/>
        </w:rPr>
        <w:t>,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p>
    <w:p w14:paraId="3CCF8C59" w14:textId="77777777" w:rsidR="00963686" w:rsidRPr="004F3E91" w:rsidRDefault="00963686" w:rsidP="00963686">
      <w:pPr>
        <w:spacing w:line="276" w:lineRule="auto"/>
        <w:ind w:left="567" w:right="567"/>
        <w:jc w:val="both"/>
        <w:rPr>
          <w:rFonts w:ascii="Palatino Linotype" w:hAnsi="Palatino Linotype"/>
          <w:iCs/>
          <w:sz w:val="22"/>
          <w:szCs w:val="22"/>
          <w:lang w:val="es-MX" w:eastAsia="es-MX"/>
        </w:rPr>
      </w:pPr>
      <w:r w:rsidRPr="004F3E91">
        <w:rPr>
          <w:rFonts w:ascii="Palatino Linotype" w:hAnsi="Palatino Linotype"/>
          <w:iCs/>
          <w:sz w:val="22"/>
          <w:szCs w:val="22"/>
          <w:lang w:val="es-MX" w:eastAsia="es-MX"/>
        </w:rPr>
        <w:t>(Énfasis añadido)</w:t>
      </w:r>
    </w:p>
    <w:p w14:paraId="0147F985" w14:textId="77777777" w:rsidR="00963686" w:rsidRPr="004F3E91" w:rsidRDefault="00963686" w:rsidP="00963686">
      <w:pPr>
        <w:spacing w:line="360" w:lineRule="auto"/>
        <w:ind w:left="567" w:right="567"/>
        <w:jc w:val="both"/>
        <w:rPr>
          <w:rFonts w:ascii="Palatino Linotype" w:hAnsi="Palatino Linotype"/>
          <w:i/>
          <w:sz w:val="22"/>
          <w:szCs w:val="22"/>
          <w:lang w:val="es-MX" w:eastAsia="es-MX"/>
        </w:rPr>
      </w:pPr>
    </w:p>
    <w:p w14:paraId="44F45A75" w14:textId="5D7CB32E" w:rsidR="00963686" w:rsidRPr="004F3E91" w:rsidRDefault="00963686"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Derivado de todo lo anteriormente señalado, este Órgano Garante concluye que el cambio de modalidad de entrega de la información no se encuentra debidamente fundado ni motivado</w:t>
      </w:r>
      <w:r w:rsidRPr="004F3E91">
        <w:rPr>
          <w:rFonts w:ascii="Palatino Linotype" w:eastAsia="MS Mincho" w:hAnsi="Palatino Linotype" w:cs="Arial"/>
          <w:i/>
          <w:lang w:val="es-MX" w:eastAsia="es-MX"/>
        </w:rPr>
        <w:t>;</w:t>
      </w:r>
      <w:r w:rsidRPr="004F3E91">
        <w:rPr>
          <w:rFonts w:ascii="Palatino Linotype" w:eastAsia="MS Mincho" w:hAnsi="Palatino Linotype" w:cs="Arial"/>
          <w:lang w:val="es-MX" w:eastAsia="es-MX"/>
        </w:rPr>
        <w:t xml:space="preserve"> en consecuencia, es dable ordenar al </w:t>
      </w:r>
      <w:r w:rsidRPr="004F3E91">
        <w:rPr>
          <w:rFonts w:ascii="Palatino Linotype" w:eastAsia="MS Mincho" w:hAnsi="Palatino Linotype" w:cs="Arial"/>
          <w:b/>
          <w:lang w:val="es-MX" w:eastAsia="es-MX"/>
        </w:rPr>
        <w:t>SUJETO OBLIGADO</w:t>
      </w:r>
      <w:r w:rsidRPr="004F3E91">
        <w:rPr>
          <w:rFonts w:ascii="Palatino Linotype" w:eastAsia="MS Mincho" w:hAnsi="Palatino Linotype" w:cs="Arial"/>
          <w:lang w:val="es-MX" w:eastAsia="es-MX"/>
        </w:rPr>
        <w:t xml:space="preserve"> la entrega de la información en la modalidad originalmente elegida por el particular a través de su solicitud de información </w:t>
      </w:r>
      <w:r w:rsidRPr="004F3E91">
        <w:rPr>
          <w:rFonts w:ascii="Palatino Linotype" w:eastAsia="MS Mincho" w:hAnsi="Palatino Linotype" w:cs="Arial"/>
          <w:b/>
          <w:bCs/>
          <w:lang w:val="es-MX" w:eastAsia="es-MX"/>
        </w:rPr>
        <w:t>00491/TOLUCA/IP/2022</w:t>
      </w:r>
      <w:r w:rsidRPr="004F3E91">
        <w:rPr>
          <w:rFonts w:ascii="Palatino Linotype" w:eastAsia="MS Mincho" w:hAnsi="Palatino Linotype" w:cs="Arial"/>
          <w:lang w:val="es-MX" w:eastAsia="es-MX"/>
        </w:rPr>
        <w:t>, esto es, vía SAIMEX.</w:t>
      </w:r>
    </w:p>
    <w:p w14:paraId="13F2C900" w14:textId="437ABB1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56683426" w14:textId="70B459A9" w:rsidR="00627D67" w:rsidRPr="004F3E91" w:rsidRDefault="00627D67" w:rsidP="00627D67">
      <w:pPr>
        <w:pStyle w:val="Ttulo2"/>
        <w:rPr>
          <w:rFonts w:ascii="Palatino Linotype" w:eastAsia="Calibri" w:hAnsi="Palatino Linotype" w:cs="Arial"/>
          <w:b/>
          <w:bCs/>
          <w:color w:val="auto"/>
          <w:lang w:val="es-MX" w:eastAsia="es-MX"/>
        </w:rPr>
      </w:pPr>
      <w:r w:rsidRPr="004F3E91">
        <w:rPr>
          <w:rFonts w:ascii="Palatino Linotype" w:eastAsia="Calibri" w:hAnsi="Palatino Linotype" w:cs="Arial"/>
          <w:b/>
          <w:bCs/>
          <w:color w:val="auto"/>
          <w:lang w:val="es-MX" w:eastAsia="es-MX"/>
        </w:rPr>
        <w:t>V. De la clasificación de la información.</w:t>
      </w:r>
    </w:p>
    <w:p w14:paraId="47D20F69"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12BB6B41" w14:textId="77777777" w:rsidR="00627D67" w:rsidRPr="004F3E91" w:rsidRDefault="00627D67" w:rsidP="00627D67">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t xml:space="preserve">La </w:t>
      </w:r>
      <w:r w:rsidRPr="004F3E91">
        <w:rPr>
          <w:rFonts w:ascii="Palatino Linotype" w:eastAsia="MS Mincho" w:hAnsi="Palatino Linotype"/>
          <w:color w:val="000000"/>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B0E4932" w14:textId="77777777" w:rsidR="00627D67" w:rsidRPr="004F3E91" w:rsidRDefault="00627D67" w:rsidP="00627D67">
      <w:pPr>
        <w:pStyle w:val="Prrafodelista"/>
        <w:spacing w:line="360" w:lineRule="auto"/>
        <w:ind w:left="0"/>
        <w:contextualSpacing/>
        <w:jc w:val="both"/>
        <w:rPr>
          <w:rFonts w:ascii="Palatino Linotype" w:eastAsia="MS Mincho" w:hAnsi="Palatino Linotype" w:cs="Arial"/>
          <w:i/>
          <w:lang w:val="es-MX"/>
        </w:rPr>
      </w:pPr>
    </w:p>
    <w:p w14:paraId="2E1ADFED" w14:textId="77777777" w:rsidR="00627D67" w:rsidRPr="004F3E91" w:rsidRDefault="00627D67" w:rsidP="00627D67">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t xml:space="preserve">Para </w:t>
      </w:r>
      <w:r w:rsidRPr="004F3E91">
        <w:rPr>
          <w:rFonts w:ascii="Palatino Linotype" w:eastAsia="MS Mincho" w:hAnsi="Palatino Linotype"/>
          <w:color w:val="000000"/>
        </w:rPr>
        <w:t xml:space="preserve">atender las solicitudes de información, los Sujetos Obligados contarán con un área denominada </w:t>
      </w:r>
      <w:r w:rsidRPr="004F3E91">
        <w:rPr>
          <w:rFonts w:ascii="Palatino Linotype" w:eastAsia="MS Mincho" w:hAnsi="Palatino Linotype"/>
          <w:b/>
          <w:bCs/>
          <w:color w:val="000000"/>
        </w:rPr>
        <w:t>Unidad de Transparencia</w:t>
      </w:r>
      <w:r w:rsidRPr="004F3E91">
        <w:rPr>
          <w:rFonts w:ascii="Palatino Linotype" w:eastAsia="MS Mincho" w:hAnsi="Palatino Linotype"/>
          <w:color w:val="000000"/>
          <w:vertAlign w:val="superscript"/>
        </w:rPr>
        <w:footnoteReference w:id="18"/>
      </w:r>
      <w:r w:rsidRPr="004F3E91">
        <w:rPr>
          <w:rFonts w:ascii="Palatino Linotype" w:eastAsia="MS Mincho" w:hAnsi="Palatino Linotype"/>
          <w:color w:val="000000"/>
        </w:rPr>
        <w:t xml:space="preserve">, la cual será presidida por un Titular, quien fungirá como enlace entre éstos y los solicitantes. Dicha Unidad </w:t>
      </w:r>
      <w:r w:rsidRPr="004F3E91">
        <w:rPr>
          <w:rFonts w:ascii="Palatino Linotype" w:eastAsia="MS Mincho" w:hAnsi="Palatino Linotype"/>
          <w:b/>
          <w:bCs/>
          <w:color w:val="000000"/>
        </w:rPr>
        <w:t>será la encargada de tramitar internamente la solicitud de información</w:t>
      </w:r>
      <w:r w:rsidRPr="004F3E91">
        <w:rPr>
          <w:rFonts w:ascii="Palatino Linotype" w:eastAsia="MS Mincho" w:hAnsi="Palatino Linotype"/>
          <w:color w:val="000000"/>
        </w:rPr>
        <w:t xml:space="preserve"> y tendrá la responsabilidad de verificar en cada caso que la misma no sea confidencial o reservada. Asimismo, contará con las facultades internas necesarias para </w:t>
      </w:r>
      <w:r w:rsidRPr="004F3E91">
        <w:rPr>
          <w:rFonts w:ascii="Palatino Linotype" w:eastAsia="MS Mincho" w:hAnsi="Palatino Linotype"/>
          <w:b/>
          <w:bCs/>
          <w:color w:val="000000"/>
        </w:rPr>
        <w:t xml:space="preserve">gestionar la atención a las solicitudes de información </w:t>
      </w:r>
      <w:r w:rsidRPr="004F3E91">
        <w:rPr>
          <w:rFonts w:ascii="Palatino Linotype" w:eastAsia="MS Mincho" w:hAnsi="Palatino Linotype"/>
          <w:color w:val="000000"/>
        </w:rPr>
        <w:t>en los términos de la Ley General y la Ley de Transparencia y Acceso a la Información Pública del Estado de México y Municipios</w:t>
      </w:r>
      <w:r w:rsidRPr="004F3E91">
        <w:rPr>
          <w:rFonts w:ascii="Palatino Linotype" w:eastAsia="MS Mincho" w:hAnsi="Palatino Linotype"/>
          <w:color w:val="000000"/>
          <w:vertAlign w:val="superscript"/>
        </w:rPr>
        <w:footnoteReference w:id="19"/>
      </w:r>
      <w:r w:rsidRPr="004F3E91">
        <w:rPr>
          <w:rFonts w:ascii="Palatino Linotype" w:eastAsia="MS Mincho" w:hAnsi="Palatino Linotype"/>
          <w:color w:val="000000"/>
        </w:rPr>
        <w:t>.</w:t>
      </w:r>
    </w:p>
    <w:p w14:paraId="580D5BFE" w14:textId="77777777" w:rsidR="00627D67" w:rsidRPr="004F3E91" w:rsidRDefault="00627D67" w:rsidP="00627D67">
      <w:pPr>
        <w:pStyle w:val="Prrafodelista"/>
        <w:spacing w:line="360" w:lineRule="auto"/>
        <w:ind w:left="0"/>
        <w:contextualSpacing/>
        <w:jc w:val="both"/>
        <w:rPr>
          <w:rFonts w:ascii="Palatino Linotype" w:eastAsia="MS Mincho" w:hAnsi="Palatino Linotype" w:cs="Arial"/>
          <w:i/>
          <w:lang w:val="es-MX"/>
        </w:rPr>
      </w:pPr>
    </w:p>
    <w:p w14:paraId="138EF166" w14:textId="77777777" w:rsidR="00627D67" w:rsidRPr="004F3E91" w:rsidRDefault="00627D67" w:rsidP="00627D67">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lastRenderedPageBreak/>
        <w:t xml:space="preserve">De </w:t>
      </w:r>
      <w:r w:rsidRPr="004F3E91">
        <w:rPr>
          <w:rFonts w:ascii="Palatino Linotype" w:eastAsia="MS Mincho" w:hAnsi="Palatino Linotype"/>
          <w:color w:val="000000"/>
        </w:rPr>
        <w:t>conformidad con lo dispuesto por el artículo 53 de la Ley de Transparencia y Acceso a la Información Pública del Estado de México y Municipios, las Unidades de Transparencia tendrán, entre sus atribuciones, las siguientes:</w:t>
      </w:r>
    </w:p>
    <w:p w14:paraId="6DCF8C86" w14:textId="77777777" w:rsidR="00627D67" w:rsidRPr="004F3E91" w:rsidRDefault="00627D67" w:rsidP="00627D67">
      <w:pPr>
        <w:pStyle w:val="Prrafodelista"/>
        <w:numPr>
          <w:ilvl w:val="1"/>
          <w:numId w:val="5"/>
        </w:numPr>
        <w:spacing w:line="360" w:lineRule="auto"/>
        <w:ind w:left="1134"/>
        <w:contextualSpacing/>
        <w:jc w:val="both"/>
        <w:rPr>
          <w:rFonts w:ascii="Palatino Linotype" w:eastAsia="MS Mincho" w:hAnsi="Palatino Linotype"/>
          <w:color w:val="000000"/>
        </w:rPr>
      </w:pPr>
      <w:r w:rsidRPr="004F3E91">
        <w:rPr>
          <w:rFonts w:ascii="Palatino Linotype" w:eastAsia="MS Mincho" w:hAnsi="Palatino Linotype"/>
          <w:color w:val="000000"/>
        </w:rPr>
        <w:t>Recibir, tramitar y dar respuesta a las solicitudes de acceso a la información;</w:t>
      </w:r>
    </w:p>
    <w:p w14:paraId="4E4EF2E8" w14:textId="77777777" w:rsidR="00627D67" w:rsidRPr="004F3E91" w:rsidRDefault="00627D67" w:rsidP="00627D67">
      <w:pPr>
        <w:pStyle w:val="Prrafodelista"/>
        <w:numPr>
          <w:ilvl w:val="1"/>
          <w:numId w:val="5"/>
        </w:numPr>
        <w:spacing w:line="360" w:lineRule="auto"/>
        <w:ind w:left="1134"/>
        <w:contextualSpacing/>
        <w:jc w:val="both"/>
        <w:rPr>
          <w:rFonts w:ascii="Palatino Linotype" w:eastAsia="MS Mincho" w:hAnsi="Palatino Linotype"/>
          <w:color w:val="000000"/>
        </w:rPr>
      </w:pPr>
      <w:r w:rsidRPr="004F3E91">
        <w:rPr>
          <w:rFonts w:ascii="Palatino Linotype" w:eastAsia="MS Mincho" w:hAnsi="Palatino Linotype"/>
          <w:color w:val="000000"/>
        </w:rPr>
        <w:t xml:space="preserve">Realizar, con efectividad, los trámites internos necesarios para la atención de las solicitudes de acceso a la información; </w:t>
      </w:r>
    </w:p>
    <w:p w14:paraId="45C97C6E" w14:textId="77777777" w:rsidR="00627D67" w:rsidRPr="004F3E91" w:rsidRDefault="00627D67" w:rsidP="00627D67">
      <w:pPr>
        <w:pStyle w:val="Prrafodelista"/>
        <w:numPr>
          <w:ilvl w:val="1"/>
          <w:numId w:val="5"/>
        </w:numPr>
        <w:spacing w:line="360" w:lineRule="auto"/>
        <w:ind w:left="1134"/>
        <w:contextualSpacing/>
        <w:jc w:val="both"/>
        <w:rPr>
          <w:rFonts w:ascii="Palatino Linotype" w:eastAsia="MS Mincho" w:hAnsi="Palatino Linotype"/>
          <w:color w:val="000000"/>
        </w:rPr>
      </w:pPr>
      <w:r w:rsidRPr="004F3E91">
        <w:rPr>
          <w:rFonts w:ascii="Palatino Linotype" w:eastAsia="MS Mincho" w:hAnsi="Palatino Linotype"/>
          <w:color w:val="000000"/>
        </w:rPr>
        <w:t xml:space="preserve">Entregar, en su caso, a los particulares la información solicitada; y </w:t>
      </w:r>
    </w:p>
    <w:p w14:paraId="5DB7731B" w14:textId="77777777" w:rsidR="00627D67" w:rsidRPr="004F3E91" w:rsidRDefault="00627D67" w:rsidP="00627D67">
      <w:pPr>
        <w:pStyle w:val="Prrafodelista"/>
        <w:numPr>
          <w:ilvl w:val="1"/>
          <w:numId w:val="5"/>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olor w:val="000000"/>
        </w:rPr>
        <w:t>Efectuar las notificaciones a los solicitantes.</w:t>
      </w:r>
    </w:p>
    <w:p w14:paraId="61C7C945" w14:textId="77777777" w:rsidR="00627D67" w:rsidRPr="004F3E91" w:rsidRDefault="00627D67" w:rsidP="00627D67">
      <w:pPr>
        <w:pStyle w:val="Prrafodelista"/>
        <w:spacing w:line="360" w:lineRule="auto"/>
        <w:ind w:left="0"/>
        <w:contextualSpacing/>
        <w:jc w:val="both"/>
        <w:rPr>
          <w:rFonts w:ascii="Palatino Linotype" w:eastAsia="MS Mincho" w:hAnsi="Palatino Linotype" w:cs="Arial"/>
          <w:i/>
          <w:lang w:val="es-MX"/>
        </w:rPr>
      </w:pPr>
    </w:p>
    <w:p w14:paraId="48813C93" w14:textId="77777777" w:rsidR="00627D67" w:rsidRPr="004F3E91" w:rsidRDefault="00627D67" w:rsidP="00627D67">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t xml:space="preserve">Otros </w:t>
      </w:r>
      <w:r w:rsidRPr="004F3E91">
        <w:rPr>
          <w:rFonts w:ascii="Palatino Linotype" w:eastAsia="MS Mincho" w:hAnsi="Palatino Linotype"/>
          <w:color w:val="000000"/>
        </w:rPr>
        <w:t>sujetos del proceso de atención a las solicitudes de información son los servidores públicos habilitados, quienes serán designados por el titular del Sujeto Obligado a propuesta del responsable de la Unidad de Transparencia</w:t>
      </w:r>
      <w:r w:rsidRPr="004F3E91">
        <w:rPr>
          <w:rFonts w:ascii="Palatino Linotype" w:eastAsia="MS Mincho" w:hAnsi="Palatino Linotype"/>
          <w:color w:val="000000"/>
          <w:vertAlign w:val="superscript"/>
        </w:rPr>
        <w:footnoteReference w:id="20"/>
      </w:r>
      <w:r w:rsidRPr="004F3E91">
        <w:rPr>
          <w:rFonts w:ascii="Palatino Linotype" w:eastAsia="MS Mincho" w:hAnsi="Palatino Linotype"/>
          <w:color w:val="000000"/>
        </w:rPr>
        <w:t xml:space="preserve"> y tendrán, entre sus atribuciones, las siguientes</w:t>
      </w:r>
      <w:r w:rsidRPr="004F3E91">
        <w:rPr>
          <w:rFonts w:ascii="Palatino Linotype" w:eastAsia="MS Mincho" w:hAnsi="Palatino Linotype"/>
          <w:color w:val="000000"/>
          <w:vertAlign w:val="superscript"/>
        </w:rPr>
        <w:footnoteReference w:id="21"/>
      </w:r>
      <w:r w:rsidRPr="004F3E91">
        <w:rPr>
          <w:rFonts w:ascii="Palatino Linotype" w:eastAsia="MS Mincho" w:hAnsi="Palatino Linotype"/>
          <w:color w:val="000000"/>
        </w:rPr>
        <w:t>:</w:t>
      </w:r>
    </w:p>
    <w:p w14:paraId="20FDAB72" w14:textId="77777777" w:rsidR="00627D67" w:rsidRPr="004F3E91" w:rsidRDefault="00627D67" w:rsidP="00627D67">
      <w:pPr>
        <w:pStyle w:val="Prrafodelista"/>
        <w:numPr>
          <w:ilvl w:val="1"/>
          <w:numId w:val="6"/>
        </w:numPr>
        <w:spacing w:line="360" w:lineRule="auto"/>
        <w:ind w:left="1134"/>
        <w:contextualSpacing/>
        <w:jc w:val="both"/>
        <w:rPr>
          <w:rFonts w:ascii="Palatino Linotype" w:eastAsia="MS Mincho" w:hAnsi="Palatino Linotype"/>
          <w:color w:val="000000"/>
        </w:rPr>
      </w:pPr>
      <w:r w:rsidRPr="004F3E91">
        <w:rPr>
          <w:rFonts w:ascii="Palatino Linotype" w:eastAsia="MS Mincho" w:hAnsi="Palatino Linotype"/>
          <w:color w:val="000000"/>
        </w:rPr>
        <w:t>Localizar la información que le solicite la Unidad de Transparencia; y</w:t>
      </w:r>
    </w:p>
    <w:p w14:paraId="3EA6F84D" w14:textId="77777777" w:rsidR="00627D67" w:rsidRPr="004F3E91" w:rsidRDefault="00627D67" w:rsidP="00627D67">
      <w:pPr>
        <w:pStyle w:val="Prrafodelista"/>
        <w:numPr>
          <w:ilvl w:val="1"/>
          <w:numId w:val="6"/>
        </w:numPr>
        <w:spacing w:line="360" w:lineRule="auto"/>
        <w:ind w:left="1134"/>
        <w:contextualSpacing/>
        <w:jc w:val="both"/>
        <w:rPr>
          <w:rFonts w:ascii="Palatino Linotype" w:eastAsia="MS Mincho" w:hAnsi="Palatino Linotype" w:cs="Arial"/>
          <w:i/>
          <w:lang w:val="es-MX"/>
        </w:rPr>
      </w:pPr>
      <w:r w:rsidRPr="004F3E91">
        <w:rPr>
          <w:rFonts w:ascii="Palatino Linotype" w:eastAsia="MS Mincho" w:hAnsi="Palatino Linotype"/>
          <w:color w:val="000000"/>
        </w:rPr>
        <w:t>Proporcionar la información que obre en los archivos y que le sea solicitada por la Unidad de Transparencia.</w:t>
      </w:r>
    </w:p>
    <w:p w14:paraId="26906B2E" w14:textId="77777777" w:rsidR="00627D67" w:rsidRPr="004F3E91" w:rsidRDefault="00627D67" w:rsidP="00627D67">
      <w:pPr>
        <w:pStyle w:val="Prrafodelista"/>
        <w:spacing w:line="360" w:lineRule="auto"/>
        <w:ind w:left="0"/>
        <w:contextualSpacing/>
        <w:jc w:val="both"/>
        <w:rPr>
          <w:rFonts w:ascii="Palatino Linotype" w:eastAsia="MS Mincho" w:hAnsi="Palatino Linotype" w:cs="Arial"/>
          <w:iCs/>
          <w:lang w:val="es-MX"/>
        </w:rPr>
      </w:pPr>
    </w:p>
    <w:p w14:paraId="48B376E2" w14:textId="34160875" w:rsidR="00627D67" w:rsidRPr="004F3E91" w:rsidRDefault="00627D67" w:rsidP="00627D67">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4F3E91">
        <w:rPr>
          <w:rFonts w:ascii="Palatino Linotype" w:eastAsia="Cambria" w:hAnsi="Palatino Linotype" w:cs="Arial"/>
          <w:lang w:val="es-MX" w:eastAsia="en-US"/>
        </w:rPr>
        <w:t xml:space="preserve">De </w:t>
      </w:r>
      <w:r w:rsidRPr="004F3E91">
        <w:rPr>
          <w:rFonts w:ascii="Palatino Linotype" w:eastAsia="MS Mincho" w:hAnsi="Palatino Linotype"/>
          <w:color w:val="000000"/>
        </w:rPr>
        <w:t xml:space="preserve">tal manera que cada una de las áreas administrativas del </w:t>
      </w:r>
      <w:r w:rsidRPr="004F3E91">
        <w:rPr>
          <w:rFonts w:ascii="Palatino Linotype" w:eastAsia="MS Mincho" w:hAnsi="Palatino Linotype"/>
          <w:b/>
          <w:bCs/>
          <w:color w:val="000000"/>
        </w:rPr>
        <w:t>SUJETO OBLIGADO</w:t>
      </w:r>
      <w:r w:rsidRPr="004F3E91">
        <w:rPr>
          <w:rFonts w:ascii="Palatino Linotype" w:eastAsia="MS Mincho" w:hAnsi="Palatino Linotype"/>
          <w:color w:val="000000"/>
        </w:rPr>
        <w:t xml:space="preserve"> deberá contar con un servidor público habilitado, quien será, a su vez, el enlace entre la Unidad de Transparencia y el área administrativa, y se encargará </w:t>
      </w:r>
      <w:r w:rsidRPr="004F3E91">
        <w:rPr>
          <w:rFonts w:ascii="Palatino Linotype" w:eastAsia="MS Mincho" w:hAnsi="Palatino Linotype"/>
          <w:color w:val="000000"/>
        </w:rPr>
        <w:lastRenderedPageBreak/>
        <w:t>de buscar, localizar y proporcionar la información que se requiera a través de las solicitudes de acceso a la información.</w:t>
      </w:r>
    </w:p>
    <w:p w14:paraId="3124C88D"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090D5710" w14:textId="02B4747E"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Ahora </w:t>
      </w:r>
      <w:r w:rsidRPr="004F3E91">
        <w:rPr>
          <w:rFonts w:ascii="Palatino Linotype" w:hAnsi="Palatino Linotype"/>
          <w:color w:val="000000" w:themeColor="text1"/>
          <w:lang w:val="es-ES_tradnl"/>
        </w:rPr>
        <w:t xml:space="preserve">bien, el artículo 122 de la Ley de Transparencia y Acceso a la Información Pública del Estado de México y Municipios, </w:t>
      </w:r>
      <w:r w:rsidRPr="004F3E91">
        <w:rPr>
          <w:rFonts w:ascii="Palatino Linotype" w:hAnsi="Palatino Linotype"/>
          <w:color w:val="000000" w:themeColor="text1"/>
        </w:rPr>
        <w:t xml:space="preserve">establece que la </w:t>
      </w:r>
      <w:r w:rsidRPr="004F3E91">
        <w:rPr>
          <w:rFonts w:ascii="Palatino Linotype" w:hAnsi="Palatino Linotype"/>
          <w:b/>
          <w:color w:val="000000" w:themeColor="text1"/>
        </w:rPr>
        <w:t>clasificación</w:t>
      </w:r>
      <w:r w:rsidRPr="004F3E91">
        <w:rPr>
          <w:rFonts w:ascii="Palatino Linotype" w:hAnsi="Palatino Linotype"/>
          <w:color w:val="000000" w:themeColor="text1"/>
        </w:rPr>
        <w:t xml:space="preserve"> es el proceso mediante el cual el </w:t>
      </w:r>
      <w:r w:rsidRPr="004F3E91">
        <w:rPr>
          <w:rFonts w:ascii="Palatino Linotype" w:hAnsi="Palatino Linotype"/>
          <w:b/>
          <w:color w:val="000000" w:themeColor="text1"/>
        </w:rPr>
        <w:t>SUJETO OBLIGADO</w:t>
      </w:r>
      <w:r w:rsidRPr="004F3E91">
        <w:rPr>
          <w:rFonts w:ascii="Palatino Linotype" w:hAnsi="Palatino Linotype"/>
          <w:color w:val="000000" w:themeColor="text1"/>
        </w:rPr>
        <w:t xml:space="preserve"> determina que la información en su poder </w:t>
      </w:r>
      <w:r w:rsidR="00AE7223" w:rsidRPr="004F3E91">
        <w:rPr>
          <w:rFonts w:ascii="Palatino Linotype" w:hAnsi="Palatino Linotype"/>
          <w:color w:val="000000" w:themeColor="text1"/>
        </w:rPr>
        <w:t>actualizar</w:t>
      </w:r>
      <w:r w:rsidRPr="004F3E91">
        <w:rPr>
          <w:rFonts w:ascii="Palatino Linotype" w:hAnsi="Palatino Linotype"/>
          <w:color w:val="000000" w:themeColor="text1"/>
        </w:rPr>
        <w:t xml:space="preserve"> alguno de los supuestos de reserva o confidencialidad contenidos en los artículos 140 o 143 de la Ley de mérito.</w:t>
      </w:r>
    </w:p>
    <w:p w14:paraId="780A04C8"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2899FF53" w14:textId="49183361"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Aunado </w:t>
      </w:r>
      <w:r w:rsidRPr="004F3E91">
        <w:rPr>
          <w:rFonts w:ascii="Palatino Linotype" w:hAnsi="Palatino Linotype"/>
          <w:color w:val="000000" w:themeColor="text1"/>
          <w:lang w:val="es-ES_tradnl"/>
        </w:rPr>
        <w:t xml:space="preserve">a lo anterior, </w:t>
      </w:r>
      <w:r w:rsidRPr="004F3E91">
        <w:rPr>
          <w:rFonts w:ascii="Palatino Linotype" w:hAnsi="Palatino Linotype"/>
          <w:color w:val="000000" w:themeColor="text1"/>
        </w:rPr>
        <w:t>la Ley de la materia establece que la clasificación de la información se llevará a cabo en el momento en que</w:t>
      </w:r>
      <w:r w:rsidRPr="004F3E91">
        <w:rPr>
          <w:rStyle w:val="Refdenotaalpie"/>
          <w:rFonts w:ascii="Palatino Linotype" w:hAnsi="Palatino Linotype"/>
          <w:color w:val="000000" w:themeColor="text1"/>
        </w:rPr>
        <w:footnoteReference w:id="22"/>
      </w:r>
      <w:r w:rsidRPr="004F3E91">
        <w:rPr>
          <w:rFonts w:ascii="Palatino Linotype" w:hAnsi="Palatino Linotype"/>
          <w:color w:val="000000" w:themeColor="text1"/>
        </w:rPr>
        <w:t>:</w:t>
      </w:r>
    </w:p>
    <w:p w14:paraId="26BAC25E" w14:textId="77777777" w:rsidR="00627D67" w:rsidRPr="004F3E91" w:rsidRDefault="00627D67" w:rsidP="00627D67">
      <w:pPr>
        <w:pStyle w:val="Prrafodelista"/>
        <w:numPr>
          <w:ilvl w:val="1"/>
          <w:numId w:val="21"/>
        </w:numPr>
        <w:tabs>
          <w:tab w:val="left" w:pos="426"/>
        </w:tabs>
        <w:spacing w:after="240" w:line="360" w:lineRule="auto"/>
        <w:ind w:left="1134" w:right="51"/>
        <w:contextualSpacing/>
        <w:jc w:val="both"/>
        <w:rPr>
          <w:rFonts w:ascii="Palatino Linotype" w:hAnsi="Palatino Linotype"/>
          <w:color w:val="000000" w:themeColor="text1"/>
        </w:rPr>
      </w:pPr>
      <w:r w:rsidRPr="004F3E91">
        <w:rPr>
          <w:rFonts w:ascii="Palatino Linotype" w:hAnsi="Palatino Linotype"/>
          <w:color w:val="000000" w:themeColor="text1"/>
        </w:rPr>
        <w:t xml:space="preserve">Se reciba una solicitud de acceso a la información; </w:t>
      </w:r>
    </w:p>
    <w:p w14:paraId="65BF5EF9" w14:textId="77777777" w:rsidR="00627D67" w:rsidRPr="004F3E91" w:rsidRDefault="00627D67" w:rsidP="00627D67">
      <w:pPr>
        <w:pStyle w:val="Prrafodelista"/>
        <w:numPr>
          <w:ilvl w:val="1"/>
          <w:numId w:val="21"/>
        </w:numPr>
        <w:tabs>
          <w:tab w:val="left" w:pos="426"/>
        </w:tabs>
        <w:spacing w:line="360" w:lineRule="auto"/>
        <w:ind w:left="1134" w:right="51"/>
        <w:contextualSpacing/>
        <w:jc w:val="both"/>
        <w:rPr>
          <w:rFonts w:ascii="Palatino Linotype" w:hAnsi="Palatino Linotype"/>
          <w:color w:val="000000" w:themeColor="text1"/>
        </w:rPr>
      </w:pPr>
      <w:r w:rsidRPr="004F3E91">
        <w:rPr>
          <w:rFonts w:ascii="Palatino Linotype" w:hAnsi="Palatino Linotype"/>
          <w:color w:val="000000" w:themeColor="text1"/>
        </w:rPr>
        <w:t xml:space="preserve">Se determine mediante resolución de autoridad competente; o </w:t>
      </w:r>
    </w:p>
    <w:p w14:paraId="4077EE0C" w14:textId="63289BA9" w:rsidR="00627D67" w:rsidRPr="004F3E91" w:rsidRDefault="00627D67" w:rsidP="00627D67">
      <w:pPr>
        <w:numPr>
          <w:ilvl w:val="1"/>
          <w:numId w:val="20"/>
        </w:numPr>
        <w:spacing w:line="360" w:lineRule="auto"/>
        <w:ind w:left="1134"/>
        <w:contextualSpacing/>
        <w:jc w:val="both"/>
        <w:rPr>
          <w:rFonts w:ascii="Palatino Linotype" w:eastAsia="Calibri" w:hAnsi="Palatino Linotype" w:cs="Arial"/>
          <w:lang w:val="es-MX" w:eastAsia="es-MX"/>
        </w:rPr>
      </w:pPr>
      <w:r w:rsidRPr="004F3E91">
        <w:rPr>
          <w:rFonts w:ascii="Palatino Linotype" w:hAnsi="Palatino Linotype"/>
          <w:color w:val="000000" w:themeColor="text1"/>
        </w:rPr>
        <w:t>Se generen versiones públicas para dar cumplimiento a las obligaciones de transparencia previstas en la Ley.</w:t>
      </w:r>
    </w:p>
    <w:p w14:paraId="7B094A10"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10D5BAC3" w14:textId="0CD40262"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w:t>
      </w:r>
      <w:r w:rsidRPr="004F3E91">
        <w:rPr>
          <w:rFonts w:ascii="Palatino Linotype" w:hAnsi="Palatino Linotype"/>
          <w:color w:val="000000" w:themeColor="text1"/>
        </w:rPr>
        <w:t xml:space="preserve">su parte, el tercer párrafo del artículo 122 de la Ley de mérito establece que </w:t>
      </w:r>
      <w:r w:rsidRPr="004F3E91">
        <w:rPr>
          <w:rFonts w:ascii="Palatino Linotype" w:hAnsi="Palatino Linotype"/>
          <w:b/>
          <w:color w:val="000000" w:themeColor="text1"/>
        </w:rPr>
        <w:t>los titulares de las áreas de los sujetos obligados serán los responsables de clasificar la información</w:t>
      </w:r>
      <w:r w:rsidRPr="004F3E91">
        <w:rPr>
          <w:rFonts w:ascii="Palatino Linotype" w:hAnsi="Palatino Linotype"/>
          <w:color w:val="000000" w:themeColor="text1"/>
        </w:rPr>
        <w:t>.</w:t>
      </w:r>
    </w:p>
    <w:p w14:paraId="63B0FEE4"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74C70B5A" w14:textId="4DB3366D"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En </w:t>
      </w:r>
      <w:r w:rsidRPr="004F3E91">
        <w:rPr>
          <w:rFonts w:ascii="Palatino Linotype" w:hAnsi="Palatino Linotype"/>
          <w:color w:val="000000" w:themeColor="text1"/>
        </w:rPr>
        <w:t xml:space="preserve">ese tenor, conviene señalar que </w:t>
      </w:r>
      <w:r w:rsidRPr="004F3E91">
        <w:rPr>
          <w:rFonts w:ascii="Palatino Linotype" w:hAnsi="Palatino Linotype"/>
          <w:b/>
          <w:color w:val="000000" w:themeColor="text1"/>
        </w:rPr>
        <w:t>en los casos en que se niegue el acceso a la información, por actualizarse alguno de los supuestos de clasificación</w:t>
      </w:r>
      <w:r w:rsidRPr="004F3E91">
        <w:rPr>
          <w:rFonts w:ascii="Palatino Linotype" w:hAnsi="Palatino Linotype"/>
          <w:color w:val="000000" w:themeColor="text1"/>
        </w:rPr>
        <w:t xml:space="preserve">, </w:t>
      </w:r>
      <w:r w:rsidRPr="004F3E91">
        <w:rPr>
          <w:rFonts w:ascii="Palatino Linotype" w:hAnsi="Palatino Linotype"/>
          <w:b/>
          <w:color w:val="000000" w:themeColor="text1"/>
        </w:rPr>
        <w:t>el Comité de Transparencia deberá confirmar, modificar o revocar la decisión</w:t>
      </w:r>
      <w:r w:rsidRPr="004F3E91">
        <w:rPr>
          <w:rFonts w:ascii="Palatino Linotype" w:hAnsi="Palatino Linotype"/>
          <w:color w:val="000000" w:themeColor="text1"/>
        </w:rPr>
        <w:t xml:space="preserve">; y, </w:t>
      </w:r>
      <w:r w:rsidRPr="004F3E91">
        <w:rPr>
          <w:rFonts w:ascii="Palatino Linotype" w:hAnsi="Palatino Linotype"/>
          <w:color w:val="000000" w:themeColor="text1"/>
        </w:rPr>
        <w:lastRenderedPageBreak/>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4F3E91">
        <w:rPr>
          <w:rFonts w:ascii="Palatino Linotype" w:hAnsi="Palatino Linotype"/>
          <w:b/>
          <w:color w:val="000000" w:themeColor="text1"/>
        </w:rPr>
        <w:t>prueba de daño</w:t>
      </w:r>
      <w:r w:rsidRPr="004F3E91">
        <w:rPr>
          <w:rStyle w:val="Refdenotaalpie"/>
          <w:rFonts w:ascii="Palatino Linotype" w:hAnsi="Palatino Linotype"/>
          <w:b/>
          <w:color w:val="000000" w:themeColor="text1"/>
        </w:rPr>
        <w:footnoteReference w:id="23"/>
      </w:r>
      <w:r w:rsidRPr="004F3E91">
        <w:rPr>
          <w:rFonts w:ascii="Palatino Linotype" w:hAnsi="Palatino Linotype"/>
          <w:color w:val="000000" w:themeColor="text1"/>
        </w:rPr>
        <w:t>.</w:t>
      </w:r>
    </w:p>
    <w:p w14:paraId="6DB44139"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27A0C446" w14:textId="4A2AAC1B"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Cabe </w:t>
      </w:r>
      <w:r w:rsidRPr="004F3E91">
        <w:rPr>
          <w:rFonts w:ascii="Palatino Linotype" w:hAnsi="Palatino Linotype"/>
          <w:color w:val="000000" w:themeColor="text1"/>
        </w:rPr>
        <w:t xml:space="preserve">destacar que, en la aplicación de la prueba de daño, el </w:t>
      </w:r>
      <w:r w:rsidRPr="004F3E91">
        <w:rPr>
          <w:rFonts w:ascii="Palatino Linotype" w:hAnsi="Palatino Linotype"/>
          <w:b/>
          <w:bCs/>
          <w:color w:val="000000" w:themeColor="text1"/>
        </w:rPr>
        <w:t>SUJETO OBLIGADO</w:t>
      </w:r>
      <w:r w:rsidRPr="004F3E91">
        <w:rPr>
          <w:rFonts w:ascii="Palatino Linotype" w:hAnsi="Palatino Linotype"/>
          <w:color w:val="000000" w:themeColor="text1"/>
        </w:rPr>
        <w:t xml:space="preserve"> deberá precisar las razones objetivas por las que la apertura de la información generaría una afectación, justificando que</w:t>
      </w:r>
      <w:r w:rsidRPr="004F3E91">
        <w:rPr>
          <w:rStyle w:val="Refdenotaalpie"/>
          <w:rFonts w:ascii="Palatino Linotype" w:hAnsi="Palatino Linotype"/>
          <w:color w:val="000000" w:themeColor="text1"/>
        </w:rPr>
        <w:footnoteReference w:id="24"/>
      </w:r>
      <w:r w:rsidRPr="004F3E91">
        <w:rPr>
          <w:rFonts w:ascii="Palatino Linotype" w:hAnsi="Palatino Linotype"/>
          <w:color w:val="000000" w:themeColor="text1"/>
        </w:rPr>
        <w:t>:</w:t>
      </w:r>
    </w:p>
    <w:p w14:paraId="0948AC2C" w14:textId="77777777" w:rsidR="00627D67" w:rsidRPr="004F3E91" w:rsidRDefault="00627D67" w:rsidP="00627D67">
      <w:pPr>
        <w:numPr>
          <w:ilvl w:val="1"/>
          <w:numId w:val="22"/>
        </w:numPr>
        <w:spacing w:line="360" w:lineRule="auto"/>
        <w:ind w:left="1134"/>
        <w:contextualSpacing/>
        <w:jc w:val="both"/>
        <w:rPr>
          <w:rFonts w:ascii="Palatino Linotype" w:hAnsi="Palatino Linotype"/>
          <w:color w:val="000000" w:themeColor="text1"/>
        </w:rPr>
      </w:pPr>
      <w:r w:rsidRPr="004F3E91">
        <w:rPr>
          <w:rFonts w:ascii="Palatino Linotype" w:hAnsi="Palatino Linotype"/>
          <w:color w:val="000000" w:themeColor="text1"/>
        </w:rPr>
        <w:t xml:space="preserve">La divulgación de la información representa un riesgo real, demostrable e identificable del perjuicio significativo al interés público o a la seguridad pública; </w:t>
      </w:r>
    </w:p>
    <w:p w14:paraId="4401BE18" w14:textId="77777777" w:rsidR="00627D67" w:rsidRPr="004F3E91" w:rsidRDefault="00627D67" w:rsidP="00627D67">
      <w:pPr>
        <w:numPr>
          <w:ilvl w:val="1"/>
          <w:numId w:val="22"/>
        </w:numPr>
        <w:spacing w:line="360" w:lineRule="auto"/>
        <w:ind w:left="1134"/>
        <w:contextualSpacing/>
        <w:jc w:val="both"/>
        <w:rPr>
          <w:rFonts w:ascii="Palatino Linotype" w:hAnsi="Palatino Linotype"/>
          <w:color w:val="000000" w:themeColor="text1"/>
        </w:rPr>
      </w:pPr>
      <w:r w:rsidRPr="004F3E91">
        <w:rPr>
          <w:rFonts w:ascii="Palatino Linotype" w:hAnsi="Palatino Linotype"/>
          <w:color w:val="000000" w:themeColor="text1"/>
        </w:rPr>
        <w:t xml:space="preserve">El riesgo de perjuicio que supondría la divulgación supera el interés público general de que se difunda; y </w:t>
      </w:r>
    </w:p>
    <w:p w14:paraId="621963F8" w14:textId="11E67BB5" w:rsidR="00627D67" w:rsidRPr="004F3E91" w:rsidRDefault="00627D67" w:rsidP="00627D67">
      <w:pPr>
        <w:numPr>
          <w:ilvl w:val="1"/>
          <w:numId w:val="22"/>
        </w:numPr>
        <w:spacing w:line="360" w:lineRule="auto"/>
        <w:ind w:left="1134"/>
        <w:contextualSpacing/>
        <w:jc w:val="both"/>
        <w:rPr>
          <w:rFonts w:ascii="Palatino Linotype" w:eastAsia="Calibri" w:hAnsi="Palatino Linotype" w:cs="Arial"/>
          <w:lang w:val="es-MX" w:eastAsia="es-MX"/>
        </w:rPr>
      </w:pPr>
      <w:r w:rsidRPr="004F3E91">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59EEC838"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24C61E0F" w14:textId="3DC3605B"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w:t>
      </w:r>
      <w:r w:rsidRPr="004F3E91">
        <w:rPr>
          <w:rFonts w:ascii="Palatino Linotype" w:hAnsi="Palatino Linotype"/>
          <w:color w:val="000000" w:themeColor="text1"/>
        </w:rPr>
        <w:t>su parte</w:t>
      </w:r>
      <w:r w:rsidRPr="004F3E91">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w:t>
      </w:r>
      <w:r w:rsidRPr="004F3E91">
        <w:rPr>
          <w:rFonts w:ascii="Palatino Linotype" w:eastAsia="MS Mincho" w:hAnsi="Palatino Linotype"/>
        </w:rPr>
        <w:lastRenderedPageBreak/>
        <w:t xml:space="preserve">motivar la clasificación también se deben acreditar las circunstancias de </w:t>
      </w:r>
      <w:r w:rsidRPr="004F3E91">
        <w:rPr>
          <w:rFonts w:ascii="Palatino Linotype" w:eastAsia="MS Mincho" w:hAnsi="Palatino Linotype"/>
          <w:b/>
        </w:rPr>
        <w:t>tiempo</w:t>
      </w:r>
      <w:r w:rsidRPr="004F3E91">
        <w:rPr>
          <w:rFonts w:ascii="Palatino Linotype" w:eastAsia="MS Mincho" w:hAnsi="Palatino Linotype"/>
        </w:rPr>
        <w:t xml:space="preserve">, </w:t>
      </w:r>
      <w:r w:rsidRPr="004F3E91">
        <w:rPr>
          <w:rFonts w:ascii="Palatino Linotype" w:eastAsia="MS Mincho" w:hAnsi="Palatino Linotype"/>
          <w:b/>
        </w:rPr>
        <w:t>modo</w:t>
      </w:r>
      <w:r w:rsidRPr="004F3E91">
        <w:rPr>
          <w:rFonts w:ascii="Palatino Linotype" w:eastAsia="MS Mincho" w:hAnsi="Palatino Linotype"/>
        </w:rPr>
        <w:t xml:space="preserve"> y </w:t>
      </w:r>
      <w:r w:rsidRPr="004F3E91">
        <w:rPr>
          <w:rFonts w:ascii="Palatino Linotype" w:eastAsia="MS Mincho" w:hAnsi="Palatino Linotype"/>
          <w:b/>
        </w:rPr>
        <w:t>lugar</w:t>
      </w:r>
      <w:r w:rsidRPr="004F3E91">
        <w:rPr>
          <w:rFonts w:ascii="Palatino Linotype" w:eastAsia="MS Mincho" w:hAnsi="Palatino Linotype"/>
        </w:rPr>
        <w:t>.</w:t>
      </w:r>
    </w:p>
    <w:p w14:paraId="3B63D9BB"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1925F887" w14:textId="7F3EF3F9"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Consecuencia </w:t>
      </w:r>
      <w:r w:rsidRPr="004F3E91">
        <w:rPr>
          <w:rFonts w:ascii="Palatino Linotype" w:hAnsi="Palatino Linotype"/>
          <w:color w:val="000000" w:themeColor="text1"/>
        </w:rPr>
        <w:t>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4F3E91">
        <w:rPr>
          <w:rStyle w:val="Refdenotaalpie"/>
          <w:rFonts w:ascii="Palatino Linotype" w:hAnsi="Palatino Linotype"/>
          <w:color w:val="000000" w:themeColor="text1"/>
        </w:rPr>
        <w:footnoteReference w:id="25"/>
      </w:r>
      <w:r w:rsidRPr="004F3E91">
        <w:rPr>
          <w:rFonts w:ascii="Palatino Linotype" w:hAnsi="Palatino Linotype"/>
          <w:color w:val="000000" w:themeColor="text1"/>
        </w:rPr>
        <w:t>.</w:t>
      </w:r>
    </w:p>
    <w:p w14:paraId="4B4D2F5E"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78CC9AAD" w14:textId="5D5215BE"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Al </w:t>
      </w:r>
      <w:r w:rsidRPr="004F3E91">
        <w:rPr>
          <w:rFonts w:ascii="Palatino Linotype" w:hAnsi="Palatino Linotype"/>
          <w:color w:val="000000" w:themeColor="text1"/>
        </w:rPr>
        <w:t xml:space="preserve">respecto, las </w:t>
      </w:r>
      <w:r w:rsidRPr="004F3E91">
        <w:rPr>
          <w:rFonts w:ascii="Palatino Linotype" w:eastAsia="MS Mincho" w:hAnsi="Palatino Linotype"/>
        </w:rPr>
        <w:t>disposiciones constitucionales y legales en la materia establecen los dos supuestos generales para clasificar la información: por reserva y por confidencialidad.</w:t>
      </w:r>
    </w:p>
    <w:p w14:paraId="1ED9AB86"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3A2EE721" w14:textId="40121A56"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w:t>
      </w:r>
      <w:r w:rsidRPr="004F3E91">
        <w:rPr>
          <w:rFonts w:ascii="Palatino Linotype" w:hAnsi="Palatino Linotype"/>
          <w:color w:val="000000" w:themeColor="text1"/>
          <w:lang w:val="es-ES_tradnl"/>
        </w:rPr>
        <w:t xml:space="preserve">cuanto hace a la reserva de la información, el </w:t>
      </w:r>
      <w:r w:rsidRPr="004F3E91">
        <w:rPr>
          <w:rFonts w:ascii="Palatino Linotype" w:hAnsi="Palatino Linotype"/>
          <w:color w:val="000000" w:themeColor="text1"/>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4F3E91">
        <w:rPr>
          <w:rFonts w:ascii="Palatino Linotype" w:hAnsi="Palatino Linotype"/>
          <w:b/>
          <w:color w:val="000000" w:themeColor="text1"/>
        </w:rPr>
        <w:t>reservada</w:t>
      </w:r>
      <w:r w:rsidRPr="004F3E91">
        <w:rPr>
          <w:rFonts w:ascii="Palatino Linotype" w:hAnsi="Palatino Linotype"/>
          <w:color w:val="000000" w:themeColor="text1"/>
        </w:rPr>
        <w:t>, conforme a los criterios siguientes:</w:t>
      </w:r>
    </w:p>
    <w:p w14:paraId="579A9B21" w14:textId="5E7F0DB2"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3D62230A"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i/>
          <w:sz w:val="22"/>
        </w:rPr>
        <w:t>“</w:t>
      </w:r>
      <w:r w:rsidRPr="004F3E91">
        <w:rPr>
          <w:rFonts w:ascii="Palatino Linotype" w:hAnsi="Palatino Linotype"/>
          <w:b/>
          <w:i/>
          <w:sz w:val="22"/>
        </w:rPr>
        <w:t>I.</w:t>
      </w:r>
      <w:r w:rsidRPr="004F3E91">
        <w:rPr>
          <w:rFonts w:ascii="Palatino Linotype" w:hAnsi="Palatino Linotype"/>
          <w:i/>
          <w:sz w:val="22"/>
        </w:rPr>
        <w:t xml:space="preserve"> Comprometa la seguridad pública y cuente con un propósito genuino y un efecto demostrable; </w:t>
      </w:r>
    </w:p>
    <w:p w14:paraId="78E718C9"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II.</w:t>
      </w:r>
      <w:r w:rsidRPr="004F3E91">
        <w:rPr>
          <w:rFonts w:ascii="Palatino Linotype" w:hAnsi="Palatino Linotype"/>
          <w:i/>
          <w:sz w:val="22"/>
        </w:rPr>
        <w:t xml:space="preserve"> Pueda menoscabar la conducción de las negociaciones y relaciones internacionales; </w:t>
      </w:r>
    </w:p>
    <w:p w14:paraId="54AED546"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lastRenderedPageBreak/>
        <w:t>III.</w:t>
      </w:r>
      <w:r w:rsidRPr="004F3E91">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238BAD1"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IV.</w:t>
      </w:r>
      <w:r w:rsidRPr="004F3E91">
        <w:rPr>
          <w:rFonts w:ascii="Palatino Linotype" w:hAnsi="Palatino Linotype"/>
          <w:i/>
          <w:sz w:val="22"/>
        </w:rPr>
        <w:t xml:space="preserve"> Ponga en riesgo la vida, la seguridad o la salud de una persona física; </w:t>
      </w:r>
    </w:p>
    <w:p w14:paraId="6563BC57"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V.</w:t>
      </w:r>
      <w:r w:rsidRPr="004F3E91">
        <w:rPr>
          <w:rFonts w:ascii="Palatino Linotype" w:hAnsi="Palatino Linotype"/>
          <w:i/>
          <w:sz w:val="22"/>
        </w:rPr>
        <w:t xml:space="preserve"> Aquella cuya divulgación obstruya o pueda causar un serio perjuicio a: </w:t>
      </w:r>
    </w:p>
    <w:p w14:paraId="3E3D3C55" w14:textId="77777777" w:rsidR="00627D67" w:rsidRPr="004F3E91" w:rsidRDefault="00627D67" w:rsidP="00627D67">
      <w:pPr>
        <w:pStyle w:val="Prrafodelista"/>
        <w:tabs>
          <w:tab w:val="left" w:pos="426"/>
        </w:tabs>
        <w:spacing w:line="276" w:lineRule="auto"/>
        <w:ind w:left="851" w:right="567"/>
        <w:jc w:val="both"/>
        <w:rPr>
          <w:rFonts w:ascii="Palatino Linotype" w:hAnsi="Palatino Linotype"/>
          <w:i/>
          <w:sz w:val="22"/>
        </w:rPr>
      </w:pPr>
      <w:r w:rsidRPr="004F3E91">
        <w:rPr>
          <w:rFonts w:ascii="Palatino Linotype" w:hAnsi="Palatino Linotype"/>
          <w:b/>
          <w:i/>
          <w:sz w:val="22"/>
        </w:rPr>
        <w:t>1.</w:t>
      </w:r>
      <w:r w:rsidRPr="004F3E91">
        <w:rPr>
          <w:rFonts w:ascii="Palatino Linotype" w:hAnsi="Palatino Linotype"/>
          <w:i/>
          <w:sz w:val="22"/>
        </w:rPr>
        <w:t xml:space="preserve"> Las actividades de fiscalización, verificación, inspección, comprobación y auditoría sobre el cumplimiento de las Leyes; o </w:t>
      </w:r>
    </w:p>
    <w:p w14:paraId="4E4063D7" w14:textId="77777777" w:rsidR="00627D67" w:rsidRPr="004F3E91" w:rsidRDefault="00627D67" w:rsidP="00627D67">
      <w:pPr>
        <w:pStyle w:val="Prrafodelista"/>
        <w:tabs>
          <w:tab w:val="left" w:pos="426"/>
        </w:tabs>
        <w:spacing w:line="276" w:lineRule="auto"/>
        <w:ind w:left="851" w:right="567"/>
        <w:jc w:val="both"/>
        <w:rPr>
          <w:rFonts w:ascii="Palatino Linotype" w:hAnsi="Palatino Linotype"/>
          <w:i/>
          <w:sz w:val="22"/>
        </w:rPr>
      </w:pPr>
      <w:r w:rsidRPr="004F3E91">
        <w:rPr>
          <w:rFonts w:ascii="Palatino Linotype" w:hAnsi="Palatino Linotype"/>
          <w:b/>
          <w:i/>
          <w:sz w:val="22"/>
        </w:rPr>
        <w:t>2.</w:t>
      </w:r>
      <w:r w:rsidRPr="004F3E91">
        <w:rPr>
          <w:rFonts w:ascii="Palatino Linotype" w:hAnsi="Palatino Linotype"/>
          <w:i/>
          <w:sz w:val="22"/>
        </w:rPr>
        <w:t xml:space="preserve"> La recaudación de las contribuciones. </w:t>
      </w:r>
    </w:p>
    <w:p w14:paraId="17431C94"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VI.</w:t>
      </w:r>
      <w:r w:rsidRPr="004F3E91">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4AC1BB5"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VII.</w:t>
      </w:r>
      <w:r w:rsidRPr="004F3E91">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59AF9C3C"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VIII.</w:t>
      </w:r>
      <w:r w:rsidRPr="004F3E91">
        <w:rPr>
          <w:rFonts w:ascii="Palatino Linotype" w:hAnsi="Palatino Linotype"/>
          <w:i/>
          <w:sz w:val="22"/>
        </w:rPr>
        <w:t xml:space="preserve"> Vulnere la conducción de los expedientes judiciales o de los procedimientos administrativos seguidos en forma de juicio, en tanto no hayan quedado firmes; </w:t>
      </w:r>
    </w:p>
    <w:p w14:paraId="41098D74"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IX.</w:t>
      </w:r>
      <w:r w:rsidRPr="004F3E91">
        <w:rPr>
          <w:rFonts w:ascii="Palatino Linotype" w:hAnsi="Palatino Linotype"/>
          <w:i/>
          <w:sz w:val="22"/>
        </w:rPr>
        <w:t xml:space="preserve"> Se encuentre contenida dentro de las investigaciones de hechos que la Ley señale como delitos y se tramiten ante el Ministerio Público; </w:t>
      </w:r>
    </w:p>
    <w:p w14:paraId="268464F2"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b/>
          <w:i/>
          <w:sz w:val="22"/>
        </w:rPr>
        <w:t>X.</w:t>
      </w:r>
      <w:r w:rsidRPr="004F3E91">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0216E88"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sz w:val="22"/>
        </w:rPr>
      </w:pPr>
      <w:r w:rsidRPr="004F3E91">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B3D54C8" w14:textId="5D9A3058" w:rsidR="00627D67" w:rsidRPr="004F3E91" w:rsidRDefault="00627D67" w:rsidP="00627D67">
      <w:pPr>
        <w:spacing w:line="276" w:lineRule="auto"/>
        <w:ind w:left="567" w:right="567"/>
        <w:contextualSpacing/>
        <w:jc w:val="both"/>
        <w:rPr>
          <w:rFonts w:ascii="Palatino Linotype" w:eastAsia="Calibri" w:hAnsi="Palatino Linotype" w:cs="Arial"/>
          <w:lang w:val="es-MX" w:eastAsia="es-MX"/>
        </w:rPr>
      </w:pPr>
      <w:r w:rsidRPr="004F3E91">
        <w:rPr>
          <w:rFonts w:ascii="Palatino Linotype" w:hAnsi="Palatino Linotype"/>
          <w:b/>
          <w:i/>
          <w:sz w:val="22"/>
        </w:rPr>
        <w:t>XI.</w:t>
      </w:r>
      <w:r w:rsidRPr="004F3E91">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5D2A1F1B"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5515AFEC" w14:textId="66A587F4"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lastRenderedPageBreak/>
        <w:t xml:space="preserve">Mientras </w:t>
      </w:r>
      <w:r w:rsidRPr="004F3E91">
        <w:rPr>
          <w:rFonts w:ascii="Palatino Linotype" w:hAnsi="Palatino Linotype"/>
          <w:color w:val="000000" w:themeColor="text1"/>
        </w:rPr>
        <w:t xml:space="preserve">que el artículo 143 de la Ley de mérito reconoce que se considerará a información </w:t>
      </w:r>
      <w:r w:rsidRPr="004F3E91">
        <w:rPr>
          <w:rFonts w:ascii="Palatino Linotype" w:hAnsi="Palatino Linotype"/>
          <w:b/>
          <w:color w:val="000000" w:themeColor="text1"/>
        </w:rPr>
        <w:t>confidencial</w:t>
      </w:r>
      <w:r w:rsidRPr="004F3E91">
        <w:rPr>
          <w:rFonts w:ascii="Palatino Linotype" w:hAnsi="Palatino Linotype"/>
          <w:color w:val="000000" w:themeColor="text1"/>
        </w:rPr>
        <w:t>, la clasificada como tal, de manera permanente, por su naturaleza, cuando:</w:t>
      </w:r>
    </w:p>
    <w:p w14:paraId="2897B1AB" w14:textId="5D4D6FFB"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381D3E2D"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color w:val="000000" w:themeColor="text1"/>
          <w:sz w:val="22"/>
        </w:rPr>
      </w:pPr>
      <w:r w:rsidRPr="004F3E91">
        <w:rPr>
          <w:rFonts w:ascii="Palatino Linotype" w:hAnsi="Palatino Linotype"/>
          <w:i/>
          <w:color w:val="000000" w:themeColor="text1"/>
          <w:sz w:val="22"/>
        </w:rPr>
        <w:t>“</w:t>
      </w:r>
      <w:r w:rsidRPr="004F3E91">
        <w:rPr>
          <w:rFonts w:ascii="Palatino Linotype" w:hAnsi="Palatino Linotype"/>
          <w:b/>
          <w:i/>
          <w:color w:val="000000" w:themeColor="text1"/>
          <w:sz w:val="22"/>
        </w:rPr>
        <w:t>I.</w:t>
      </w:r>
      <w:r w:rsidRPr="004F3E91">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44C10E8C" w14:textId="77777777" w:rsidR="00627D67" w:rsidRPr="004F3E91" w:rsidRDefault="00627D67" w:rsidP="00627D67">
      <w:pPr>
        <w:pStyle w:val="Prrafodelista"/>
        <w:tabs>
          <w:tab w:val="left" w:pos="426"/>
        </w:tabs>
        <w:spacing w:line="276" w:lineRule="auto"/>
        <w:ind w:left="567" w:right="567"/>
        <w:jc w:val="both"/>
        <w:rPr>
          <w:rFonts w:ascii="Palatino Linotype" w:hAnsi="Palatino Linotype"/>
          <w:i/>
          <w:color w:val="000000" w:themeColor="text1"/>
          <w:sz w:val="22"/>
        </w:rPr>
      </w:pPr>
      <w:r w:rsidRPr="004F3E91">
        <w:rPr>
          <w:rFonts w:ascii="Palatino Linotype" w:hAnsi="Palatino Linotype"/>
          <w:b/>
          <w:i/>
          <w:color w:val="000000" w:themeColor="text1"/>
          <w:sz w:val="22"/>
        </w:rPr>
        <w:t>II.</w:t>
      </w:r>
      <w:r w:rsidRPr="004F3E91">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ECDDEA0" w14:textId="51910D88" w:rsidR="00627D67" w:rsidRPr="004F3E91" w:rsidRDefault="00627D67" w:rsidP="00627D67">
      <w:pPr>
        <w:pStyle w:val="Prrafodelista"/>
        <w:tabs>
          <w:tab w:val="left" w:pos="426"/>
        </w:tabs>
        <w:spacing w:line="276" w:lineRule="auto"/>
        <w:ind w:left="567" w:right="567"/>
        <w:jc w:val="both"/>
        <w:rPr>
          <w:rFonts w:ascii="Palatino Linotype" w:eastAsia="Calibri" w:hAnsi="Palatino Linotype" w:cs="Arial"/>
          <w:lang w:val="es-MX" w:eastAsia="es-MX"/>
        </w:rPr>
      </w:pPr>
      <w:r w:rsidRPr="004F3E91">
        <w:rPr>
          <w:rFonts w:ascii="Palatino Linotype" w:hAnsi="Palatino Linotype"/>
          <w:b/>
          <w:i/>
          <w:color w:val="000000" w:themeColor="text1"/>
          <w:sz w:val="22"/>
        </w:rPr>
        <w:t>III.</w:t>
      </w:r>
      <w:r w:rsidRPr="004F3E91">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21AC5998"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0429D9F3" w14:textId="1A8A6398"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4F3E91">
        <w:rPr>
          <w:rFonts w:ascii="Palatino Linotype" w:eastAsia="MS Mincho" w:hAnsi="Palatino Linotype" w:cs="Arial"/>
          <w:b/>
          <w:lang w:val="es-MX" w:eastAsia="es-MX"/>
        </w:rPr>
        <w:t>reserva</w:t>
      </w:r>
      <w:r w:rsidRPr="004F3E91">
        <w:rPr>
          <w:rFonts w:ascii="Palatino Linotype" w:eastAsia="MS Mincho" w:hAnsi="Palatino Linotype" w:cs="Arial"/>
          <w:lang w:val="es-MX" w:eastAsia="es-MX"/>
        </w:rPr>
        <w:t xml:space="preserve"> o </w:t>
      </w:r>
      <w:r w:rsidRPr="004F3E91">
        <w:rPr>
          <w:rFonts w:ascii="Palatino Linotype" w:eastAsia="MS Mincho" w:hAnsi="Palatino Linotype" w:cs="Arial"/>
          <w:b/>
          <w:lang w:val="es-MX" w:eastAsia="es-MX"/>
        </w:rPr>
        <w:t>confidencialidad</w:t>
      </w:r>
      <w:r w:rsidRPr="004F3E91">
        <w:rPr>
          <w:rFonts w:ascii="Palatino Linotype" w:eastAsia="MS Mincho" w:hAnsi="Palatino Linotype" w:cs="Arial"/>
          <w:lang w:val="es-MX" w:eastAsia="es-MX"/>
        </w:rPr>
        <w:t xml:space="preserve"> previstos en la Ley General y la Ley de Transparencia y Acceso a la Información Pública del Estado de México y Municipios, aduciendo analogía o mayoría de razón</w:t>
      </w:r>
      <w:r w:rsidRPr="004F3E91">
        <w:rPr>
          <w:rFonts w:ascii="Palatino Linotype" w:eastAsia="MS Mincho" w:hAnsi="Palatino Linotype" w:cs="Arial"/>
          <w:vertAlign w:val="superscript"/>
          <w:lang w:val="es-MX" w:eastAsia="es-MX"/>
        </w:rPr>
        <w:footnoteReference w:id="26"/>
      </w:r>
      <w:r w:rsidRPr="004F3E91">
        <w:rPr>
          <w:rFonts w:ascii="Palatino Linotype" w:eastAsia="MS Mincho" w:hAnsi="Palatino Linotype" w:cs="Arial"/>
          <w:lang w:val="es-MX" w:eastAsia="es-MX"/>
        </w:rPr>
        <w:t>.</w:t>
      </w:r>
    </w:p>
    <w:p w14:paraId="192525D6"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6F02AB5E" w14:textId="73CA9AB6"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Una </w:t>
      </w:r>
      <w:r w:rsidR="0020782A" w:rsidRPr="004F3E91">
        <w:rPr>
          <w:rFonts w:ascii="Palatino Linotype" w:eastAsia="MS Mincho" w:hAnsi="Palatino Linotype" w:cs="Arial"/>
          <w:lang w:val="es-MX" w:eastAsia="es-MX"/>
        </w:rPr>
        <w:t xml:space="preserve">vez establecido lo anterior, </w:t>
      </w:r>
      <w:r w:rsidR="00C13D2E" w:rsidRPr="004F3E91">
        <w:rPr>
          <w:rFonts w:ascii="Palatino Linotype" w:eastAsia="MS Mincho" w:hAnsi="Palatino Linotype" w:cs="Arial"/>
          <w:lang w:val="es-MX" w:eastAsia="es-MX"/>
        </w:rPr>
        <w:t xml:space="preserve">del análisis realizado al contenido del Acta de la Centésima Octava Sesión Extraordinaria del Comité de Transparencia, celebrada el veintiocho (28) de febrero de dos mil veintidós, se advierte que el Comité de Transparencia del Ayuntamiento de Toluca, confirmó la propuesta de clasificación como </w:t>
      </w:r>
      <w:r w:rsidR="00C13D2E" w:rsidRPr="004F3E91">
        <w:rPr>
          <w:rFonts w:ascii="Palatino Linotype" w:eastAsia="MS Mincho" w:hAnsi="Palatino Linotype" w:cs="Arial"/>
          <w:b/>
          <w:bCs/>
          <w:lang w:val="es-MX" w:eastAsia="es-MX"/>
        </w:rPr>
        <w:t>información confidencial</w:t>
      </w:r>
      <w:r w:rsidR="00C13D2E" w:rsidRPr="004F3E91">
        <w:rPr>
          <w:rFonts w:ascii="Palatino Linotype" w:eastAsia="MS Mincho" w:hAnsi="Palatino Linotype" w:cs="Arial"/>
          <w:lang w:val="es-MX" w:eastAsia="es-MX"/>
        </w:rPr>
        <w:t xml:space="preserve"> respecto de los datos personales contenidos en los expedientes formados por las denuncias en materia ambiental, </w:t>
      </w:r>
      <w:r w:rsidR="00C13D2E" w:rsidRPr="004F3E91">
        <w:rPr>
          <w:rFonts w:ascii="Palatino Linotype" w:eastAsia="MS Mincho" w:hAnsi="Palatino Linotype" w:cs="Arial"/>
          <w:lang w:val="es-MX" w:eastAsia="es-MX"/>
        </w:rPr>
        <w:lastRenderedPageBreak/>
        <w:t>generadas del uno (01) de enero de dos mil veintiuno al quince (15) de febrero de dos mil veintidós, mismos que consisten en:</w:t>
      </w:r>
    </w:p>
    <w:p w14:paraId="3E9E3E04" w14:textId="6D4474D6"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Nombre completo del denunciante.</w:t>
      </w:r>
    </w:p>
    <w:p w14:paraId="7643321F" w14:textId="2A103F64"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Teléfono y teléfono celular.</w:t>
      </w:r>
    </w:p>
    <w:p w14:paraId="4C5CA90F" w14:textId="2E1B48EC"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Correo electrónico.</w:t>
      </w:r>
    </w:p>
    <w:p w14:paraId="67C947E5" w14:textId="4FAF6AC3"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Domicilio del denunciante.</w:t>
      </w:r>
    </w:p>
    <w:p w14:paraId="179F9894" w14:textId="20AEF1A7"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b/>
          <w:bCs/>
          <w:lang w:val="es-MX" w:eastAsia="es-MX"/>
        </w:rPr>
        <w:t>Datos del problema.</w:t>
      </w:r>
    </w:p>
    <w:p w14:paraId="7D6DE900" w14:textId="5800C503"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Nombre o razón social del establecimiento, comercio o servicio denunciado.</w:t>
      </w:r>
    </w:p>
    <w:p w14:paraId="3092D6AA" w14:textId="508974B2"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Nombre completo del denunciado.</w:t>
      </w:r>
    </w:p>
    <w:p w14:paraId="444EA855" w14:textId="3436B61B"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Teléfono y teléfono celular.</w:t>
      </w:r>
    </w:p>
    <w:p w14:paraId="31F4F8C9" w14:textId="0F544609"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Domicilio del denunciado.</w:t>
      </w:r>
    </w:p>
    <w:p w14:paraId="2F0F7D98" w14:textId="6A3C5F9C"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b/>
          <w:bCs/>
          <w:lang w:val="es-MX" w:eastAsia="es-MX"/>
        </w:rPr>
        <w:t>Indicaciones.</w:t>
      </w:r>
    </w:p>
    <w:p w14:paraId="292CD604" w14:textId="25257D59"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b/>
          <w:bCs/>
          <w:lang w:val="es-MX" w:eastAsia="es-MX"/>
        </w:rPr>
        <w:t>Observaciones.</w:t>
      </w:r>
    </w:p>
    <w:p w14:paraId="2A46986C" w14:textId="51552A53"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b/>
          <w:bCs/>
          <w:lang w:val="es-MX" w:eastAsia="es-MX"/>
        </w:rPr>
        <w:t>Nombre de la persona que atiende la visita.</w:t>
      </w:r>
    </w:p>
    <w:p w14:paraId="4B4585B2" w14:textId="6AE2AFDC"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Domicilio correcto.</w:t>
      </w:r>
    </w:p>
    <w:p w14:paraId="158177DF" w14:textId="6657F42A"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Firma, croquis y referencias de ubicación del problema denunciado.</w:t>
      </w:r>
    </w:p>
    <w:p w14:paraId="573ED7A2" w14:textId="7F17FE09"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Firmas autógrafas y rúbricas de las partes intervinientes.</w:t>
      </w:r>
    </w:p>
    <w:p w14:paraId="56799FD8" w14:textId="6EE5D2B5"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b/>
          <w:bCs/>
          <w:lang w:val="es-MX" w:eastAsia="es-MX"/>
        </w:rPr>
      </w:pPr>
      <w:r w:rsidRPr="004F3E91">
        <w:rPr>
          <w:rFonts w:ascii="Palatino Linotype" w:eastAsia="MS Mincho" w:hAnsi="Palatino Linotype" w:cs="Arial"/>
          <w:lang w:val="es-MX" w:eastAsia="es-MX"/>
        </w:rPr>
        <w:t>Nombre y firma en acuerdos o compromisos, así como en seguimiento y algún otro que, por sí mismos, determinen localización o contacto con alguna de las partes intervinientes del protocolo de atención a denuncia.</w:t>
      </w:r>
    </w:p>
    <w:p w14:paraId="11F0FA18" w14:textId="591A7B52"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 xml:space="preserve">Datos personales como, nombre completo, firma, en acción o situación detectada sobre la descripción detallada de hechos o circunstancias, acción o que puedan revelar aspectos como origen racial o étnico, estado de salud físico o mental, presente o futura, información genética, </w:t>
      </w:r>
      <w:r w:rsidRPr="004F3E91">
        <w:rPr>
          <w:rFonts w:ascii="Palatino Linotype" w:eastAsia="Calibri" w:hAnsi="Palatino Linotype" w:cs="Arial"/>
          <w:lang w:val="es-MX" w:eastAsia="es-MX"/>
        </w:rPr>
        <w:lastRenderedPageBreak/>
        <w:t>creencias religiosas, filosóficas, morales, opiniones políticas, preferencia sexual.</w:t>
      </w:r>
    </w:p>
    <w:p w14:paraId="67F9E475" w14:textId="4443C3B7"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Datos de la identificación presentada, folio del INE, pasaporte o licencia de conducir.</w:t>
      </w:r>
    </w:p>
    <w:p w14:paraId="76B81D9E" w14:textId="6663A0BC" w:rsidR="00C13D2E" w:rsidRPr="004F3E91" w:rsidRDefault="00C13D2E"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Calibri" w:hAnsi="Palatino Linotype" w:cs="Arial"/>
          <w:b/>
          <w:bCs/>
          <w:lang w:val="es-MX" w:eastAsia="es-MX"/>
        </w:rPr>
        <w:t xml:space="preserve">Número de folios en formatos de denuncia anónima 089 y en formato </w:t>
      </w:r>
      <w:r w:rsidR="00ED59E9" w:rsidRPr="004F3E91">
        <w:rPr>
          <w:rFonts w:ascii="Palatino Linotype" w:eastAsia="Calibri" w:hAnsi="Palatino Linotype" w:cs="Arial"/>
          <w:b/>
          <w:bCs/>
          <w:lang w:val="es-MX" w:eastAsia="es-MX"/>
        </w:rPr>
        <w:t xml:space="preserve">de la </w:t>
      </w:r>
      <w:r w:rsidRPr="004F3E91">
        <w:rPr>
          <w:rFonts w:ascii="Palatino Linotype" w:eastAsia="Calibri" w:hAnsi="Palatino Linotype" w:cs="Arial"/>
          <w:b/>
          <w:bCs/>
          <w:lang w:val="es-MX" w:eastAsia="es-MX"/>
        </w:rPr>
        <w:t>PROPAEM</w:t>
      </w:r>
      <w:r w:rsidRPr="004F3E91">
        <w:rPr>
          <w:rFonts w:ascii="Palatino Linotype" w:eastAsia="Calibri" w:hAnsi="Palatino Linotype" w:cs="Arial"/>
          <w:lang w:val="es-MX" w:eastAsia="es-MX"/>
        </w:rPr>
        <w:t>.</w:t>
      </w:r>
    </w:p>
    <w:p w14:paraId="16D9D392" w14:textId="76CF66BF" w:rsidR="00ED59E9" w:rsidRPr="004F3E91" w:rsidRDefault="00ED59E9"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Características físicas.</w:t>
      </w:r>
    </w:p>
    <w:p w14:paraId="0DA59A7C" w14:textId="269BB032" w:rsidR="00ED59E9" w:rsidRPr="004F3E91" w:rsidRDefault="00ED59E9" w:rsidP="00C13D2E">
      <w:pPr>
        <w:numPr>
          <w:ilvl w:val="1"/>
          <w:numId w:val="23"/>
        </w:numPr>
        <w:spacing w:line="360" w:lineRule="auto"/>
        <w:ind w:left="1134"/>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Oficios de respuesta generados en atención a denuncias:</w:t>
      </w:r>
    </w:p>
    <w:p w14:paraId="3DC3351F" w14:textId="62E1FDF9" w:rsidR="00ED59E9" w:rsidRPr="004F3E91" w:rsidRDefault="00ED59E9" w:rsidP="00ED59E9">
      <w:pPr>
        <w:numPr>
          <w:ilvl w:val="2"/>
          <w:numId w:val="24"/>
        </w:numPr>
        <w:spacing w:line="360" w:lineRule="auto"/>
        <w:ind w:left="1701"/>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Nombre completo.</w:t>
      </w:r>
    </w:p>
    <w:p w14:paraId="12D92150" w14:textId="6207FADE" w:rsidR="00ED59E9" w:rsidRPr="004F3E91" w:rsidRDefault="00ED59E9" w:rsidP="00ED59E9">
      <w:pPr>
        <w:numPr>
          <w:ilvl w:val="2"/>
          <w:numId w:val="24"/>
        </w:numPr>
        <w:spacing w:line="360" w:lineRule="auto"/>
        <w:ind w:left="1701"/>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Domicilio del solicitante.</w:t>
      </w:r>
    </w:p>
    <w:p w14:paraId="672FF761" w14:textId="1F7BCB83" w:rsidR="00ED59E9" w:rsidRPr="004F3E91" w:rsidRDefault="00ED59E9" w:rsidP="00ED59E9">
      <w:pPr>
        <w:numPr>
          <w:ilvl w:val="2"/>
          <w:numId w:val="24"/>
        </w:numPr>
        <w:spacing w:line="360" w:lineRule="auto"/>
        <w:ind w:left="1701"/>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Correo electrónico.</w:t>
      </w:r>
    </w:p>
    <w:p w14:paraId="6B3B20BA" w14:textId="6487B3F5" w:rsidR="00ED59E9" w:rsidRPr="004F3E91" w:rsidRDefault="00ED59E9" w:rsidP="00ED59E9">
      <w:pPr>
        <w:numPr>
          <w:ilvl w:val="2"/>
          <w:numId w:val="24"/>
        </w:numPr>
        <w:spacing w:line="360" w:lineRule="auto"/>
        <w:ind w:left="1701"/>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En caso de delegaciones, logo del oficio de petición, firmas autógrafas y rúbricas.</w:t>
      </w:r>
    </w:p>
    <w:p w14:paraId="66C1009D"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64D42A8B" w14:textId="5F754D0C" w:rsidR="00627D67" w:rsidRPr="004F3E91" w:rsidRDefault="00ED59E9"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Al respecto, este Organismo Garante encuentra fundada y motivada la pretensión del </w:t>
      </w:r>
      <w:r w:rsidRPr="004F3E91">
        <w:rPr>
          <w:rFonts w:ascii="Palatino Linotype" w:eastAsia="MS Mincho" w:hAnsi="Palatino Linotype" w:cs="Arial"/>
          <w:b/>
          <w:bCs/>
          <w:lang w:val="es-MX" w:eastAsia="es-MX"/>
        </w:rPr>
        <w:t>SUJETO OBLIGADO</w:t>
      </w:r>
      <w:r w:rsidRPr="004F3E91">
        <w:rPr>
          <w:rFonts w:ascii="Palatino Linotype" w:eastAsia="MS Mincho" w:hAnsi="Palatino Linotype" w:cs="Arial"/>
          <w:lang w:val="es-MX" w:eastAsia="es-MX"/>
        </w:rPr>
        <w:t xml:space="preserve"> de clasificar, por confidencialidad, los datos personales expuestos en el párrafo anterior bajo la causal de clasificación establecida en la fracción I del numeral 143 de la Ley de Transparencia y Acceso a la Información Pública del Estado de México y Municipios</w:t>
      </w:r>
      <w:r w:rsidRPr="004F3E91">
        <w:rPr>
          <w:rStyle w:val="Refdenotaalpie"/>
          <w:rFonts w:ascii="Palatino Linotype" w:eastAsia="MS Mincho" w:hAnsi="Palatino Linotype" w:cs="Arial"/>
          <w:lang w:val="es-MX" w:eastAsia="es-MX"/>
        </w:rPr>
        <w:footnoteReference w:id="27"/>
      </w:r>
      <w:r w:rsidRPr="004F3E91">
        <w:rPr>
          <w:rFonts w:ascii="Palatino Linotype" w:eastAsia="MS Mincho" w:hAnsi="Palatino Linotype" w:cs="Arial"/>
          <w:lang w:val="es-MX" w:eastAsia="es-MX"/>
        </w:rPr>
        <w:t>, a excepción de las siguientes:</w:t>
      </w:r>
    </w:p>
    <w:p w14:paraId="3219B7DA" w14:textId="34FA7C02" w:rsidR="00ED59E9" w:rsidRPr="004F3E91" w:rsidRDefault="00ED59E9" w:rsidP="00ED59E9">
      <w:pPr>
        <w:numPr>
          <w:ilvl w:val="1"/>
          <w:numId w:val="25"/>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Indicaciones.</w:t>
      </w:r>
    </w:p>
    <w:p w14:paraId="08742156" w14:textId="0B3894AF" w:rsidR="00ED59E9" w:rsidRPr="004F3E91" w:rsidRDefault="00ED59E9" w:rsidP="00ED59E9">
      <w:pPr>
        <w:numPr>
          <w:ilvl w:val="1"/>
          <w:numId w:val="25"/>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Observaciones.</w:t>
      </w:r>
    </w:p>
    <w:p w14:paraId="14ACA391" w14:textId="4137181F" w:rsidR="00ED59E9" w:rsidRPr="004F3E91" w:rsidRDefault="00ED59E9" w:rsidP="00ED59E9">
      <w:pPr>
        <w:numPr>
          <w:ilvl w:val="1"/>
          <w:numId w:val="25"/>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lastRenderedPageBreak/>
        <w:t>Nombre de la persona que atiende la visita.</w:t>
      </w:r>
    </w:p>
    <w:p w14:paraId="3391BF58" w14:textId="78921416" w:rsidR="00ED59E9" w:rsidRPr="004F3E91" w:rsidRDefault="00ED59E9" w:rsidP="00ED59E9">
      <w:pPr>
        <w:numPr>
          <w:ilvl w:val="1"/>
          <w:numId w:val="25"/>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Número de folios en formatos de denuncia anónima y en el formato de la PROPAEM.</w:t>
      </w:r>
    </w:p>
    <w:p w14:paraId="0D36091D"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69C6E613" w14:textId="727479A8" w:rsidR="00627D67" w:rsidRPr="004F3E91" w:rsidRDefault="00ED59E9"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cuanto hace a las </w:t>
      </w:r>
      <w:r w:rsidRPr="004F3E91">
        <w:rPr>
          <w:rFonts w:ascii="Palatino Linotype" w:eastAsia="MS Mincho" w:hAnsi="Palatino Linotype" w:cs="Arial"/>
          <w:b/>
          <w:bCs/>
          <w:lang w:val="es-MX" w:eastAsia="es-MX"/>
        </w:rPr>
        <w:t>indicaciones</w:t>
      </w:r>
      <w:r w:rsidRPr="004F3E91">
        <w:rPr>
          <w:rFonts w:ascii="Palatino Linotype" w:eastAsia="MS Mincho" w:hAnsi="Palatino Linotype" w:cs="Arial"/>
          <w:lang w:val="es-MX" w:eastAsia="es-MX"/>
        </w:rPr>
        <w:t xml:space="preserve"> y </w:t>
      </w:r>
      <w:r w:rsidRPr="004F3E91">
        <w:rPr>
          <w:rFonts w:ascii="Palatino Linotype" w:eastAsia="MS Mincho" w:hAnsi="Palatino Linotype" w:cs="Arial"/>
          <w:b/>
          <w:bCs/>
          <w:lang w:val="es-MX" w:eastAsia="es-MX"/>
        </w:rPr>
        <w:t>observaciones</w:t>
      </w:r>
      <w:r w:rsidRPr="004F3E91">
        <w:rPr>
          <w:rFonts w:ascii="Palatino Linotype" w:eastAsia="MS Mincho" w:hAnsi="Palatino Linotype" w:cs="Arial"/>
          <w:lang w:val="es-MX" w:eastAsia="es-MX"/>
        </w:rPr>
        <w:t xml:space="preserve"> contenidas en un Acta de Levantamiento de Hechos, o Denuncia, estos rubros comúnmente contienen la narración de las actividades realizadas por el o los servidores públicos quienes atendieron a la queja o denuncia que excitó la actividad administrativa del Ayuntamiento de Toluca; por lo tanto, no son rubros susceptibles de ser clasificados, al consistir en la descripción del actuar administrativo de los servidores públicos frente a los actos de molestia o </w:t>
      </w:r>
      <w:r w:rsidR="005B0DEA" w:rsidRPr="004F3E91">
        <w:rPr>
          <w:rFonts w:ascii="Palatino Linotype" w:eastAsia="MS Mincho" w:hAnsi="Palatino Linotype" w:cs="Arial"/>
          <w:lang w:val="es-MX" w:eastAsia="es-MX"/>
        </w:rPr>
        <w:t>diferencias suscitadas entre particulares.</w:t>
      </w:r>
    </w:p>
    <w:p w14:paraId="724F7AD0"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6AB21B92" w14:textId="22497823" w:rsidR="00627D67" w:rsidRPr="004F3E91" w:rsidRDefault="005B0DEA"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En ese sentido, y considerando que los documentos serán entregados habiendo suprimido los nombres, domicilios, y cualquier dato que pudiera hacer identificables a los particulares que intervinieron en las denuncias realizadas por exceso de ruido, se considera que procede difundirse el contenido del actuar administrativo.</w:t>
      </w:r>
    </w:p>
    <w:p w14:paraId="793C3A89"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43410E63" w14:textId="6344F7BE" w:rsidR="00627D67" w:rsidRPr="004F3E91" w:rsidRDefault="005B0DEA"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cuanto hace al </w:t>
      </w:r>
      <w:r w:rsidRPr="004F3E91">
        <w:rPr>
          <w:rFonts w:ascii="Palatino Linotype" w:eastAsia="MS Mincho" w:hAnsi="Palatino Linotype" w:cs="Arial"/>
          <w:b/>
          <w:bCs/>
          <w:lang w:val="es-MX" w:eastAsia="es-MX"/>
        </w:rPr>
        <w:t>nombre de la persona que atiende la visita</w:t>
      </w:r>
      <w:r w:rsidRPr="004F3E91">
        <w:rPr>
          <w:rFonts w:ascii="Palatino Linotype" w:eastAsia="MS Mincho" w:hAnsi="Palatino Linotype" w:cs="Arial"/>
          <w:lang w:val="es-MX" w:eastAsia="es-MX"/>
        </w:rPr>
        <w:t>, no podría ser nadie más que una o un servidor público que, en representación del Ayuntamiento de Toluca, específicamente de la Dirección General de Medio Ambiente, acude a levantar un Acta o Informe donde se recabe el siniestro o evento que derivó en una denuncia por exceso de ruido.</w:t>
      </w:r>
    </w:p>
    <w:p w14:paraId="5EEA272A"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5DD11297" w14:textId="5A01155F" w:rsidR="00627D67" w:rsidRPr="004F3E91" w:rsidRDefault="005B0DEA"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lastRenderedPageBreak/>
        <w:t xml:space="preserve">En ese sentido, conviene recordar al </w:t>
      </w:r>
      <w:r w:rsidRPr="004F3E91">
        <w:rPr>
          <w:rFonts w:ascii="Palatino Linotype" w:eastAsia="MS Mincho" w:hAnsi="Palatino Linotype" w:cs="Arial"/>
          <w:b/>
          <w:bCs/>
          <w:lang w:val="es-MX" w:eastAsia="es-MX"/>
        </w:rPr>
        <w:t>SUJETO OBLIGADO</w:t>
      </w:r>
      <w:r w:rsidRPr="004F3E91">
        <w:rPr>
          <w:rFonts w:ascii="Palatino Linotype" w:eastAsia="MS Mincho" w:hAnsi="Palatino Linotype" w:cs="Arial"/>
          <w:lang w:val="es-MX" w:eastAsia="es-MX"/>
        </w:rPr>
        <w:t xml:space="preserve"> que el nombre y firma de los servidores públicos asentados en cualquier documento que se genere, posea y/o administre en ejercicio de las funciones, </w:t>
      </w:r>
      <w:r w:rsidRPr="004F3E91">
        <w:rPr>
          <w:rFonts w:ascii="Palatino Linotype" w:eastAsia="MS Mincho" w:hAnsi="Palatino Linotype" w:cs="Arial"/>
          <w:b/>
          <w:bCs/>
          <w:lang w:val="es-MX" w:eastAsia="es-MX"/>
        </w:rPr>
        <w:t>es información pública</w:t>
      </w:r>
      <w:r w:rsidRPr="004F3E91">
        <w:rPr>
          <w:rFonts w:ascii="Palatino Linotype" w:eastAsia="MS Mincho" w:hAnsi="Palatino Linotype" w:cs="Arial"/>
          <w:lang w:val="es-MX" w:eastAsia="es-MX"/>
        </w:rPr>
        <w:t>, ya que el personal adscrito al Ayuntamiento de Toluca actúa como representante directo del propio ente municipal, y no en carácter de particulares</w:t>
      </w:r>
      <w:r w:rsidR="008E5D6E" w:rsidRPr="004F3E91">
        <w:rPr>
          <w:rFonts w:ascii="Palatino Linotype" w:eastAsia="MS Mincho" w:hAnsi="Palatino Linotype" w:cs="Arial"/>
          <w:lang w:val="es-MX" w:eastAsia="es-MX"/>
        </w:rPr>
        <w:t>. Salvo esporádicas excepciones cuando se trate de personal operativo encargado de realizar acciones tendientes a procurar la seguridad, pues en estos casos sí sería procedente su reserva.</w:t>
      </w:r>
    </w:p>
    <w:p w14:paraId="4B09087F"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7F654A7E" w14:textId="6CCEE183" w:rsidR="00627D67" w:rsidRPr="004F3E91" w:rsidRDefault="005B0DEA"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 xml:space="preserve">Sustenta lo anterior </w:t>
      </w:r>
      <w:r w:rsidR="008E5D6E" w:rsidRPr="004F3E91">
        <w:rPr>
          <w:rFonts w:ascii="Palatino Linotype" w:eastAsia="Calibri" w:hAnsi="Palatino Linotype" w:cs="Arial"/>
          <w:lang w:val="es-MX" w:eastAsia="es-MX"/>
        </w:rPr>
        <w:t>el</w:t>
      </w:r>
      <w:r w:rsidRPr="004F3E91">
        <w:rPr>
          <w:rFonts w:ascii="Palatino Linotype" w:eastAsia="Calibri" w:hAnsi="Palatino Linotype" w:cs="Arial"/>
          <w:lang w:val="es-MX" w:eastAsia="es-MX"/>
        </w:rPr>
        <w:t xml:space="preserve"> Criterio de Interpretación </w:t>
      </w:r>
      <w:r w:rsidR="008E5D6E" w:rsidRPr="004F3E91">
        <w:rPr>
          <w:rFonts w:ascii="Palatino Linotype" w:eastAsia="Calibri" w:hAnsi="Palatino Linotype" w:cs="Arial"/>
          <w:lang w:val="es-MX" w:eastAsia="es-MX"/>
        </w:rPr>
        <w:t xml:space="preserve">006/2019, 012/2017 y </w:t>
      </w:r>
      <w:r w:rsidRPr="004F3E91">
        <w:rPr>
          <w:rFonts w:ascii="Palatino Linotype" w:eastAsia="Calibri" w:hAnsi="Palatino Linotype" w:cs="Arial"/>
          <w:lang w:val="es-MX" w:eastAsia="es-MX"/>
        </w:rPr>
        <w:t>002/2019</w:t>
      </w:r>
      <w:r w:rsidR="008E5D6E" w:rsidRPr="004F3E91">
        <w:rPr>
          <w:rFonts w:ascii="Palatino Linotype" w:eastAsia="Calibri" w:hAnsi="Palatino Linotype" w:cs="Arial"/>
          <w:lang w:val="es-MX" w:eastAsia="es-MX"/>
        </w:rPr>
        <w:t xml:space="preserve"> emitidos por el Instituto Nacional de Transparencia, Acceso a la Información y Protección de Datos Personales, cuyo rubro y texto establecen lo siguiente:</w:t>
      </w:r>
    </w:p>
    <w:p w14:paraId="3FAA9C4B" w14:textId="36EA3E3C"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56BC8BF9" w14:textId="4D35959D" w:rsidR="008E5D6E" w:rsidRPr="004F3E91" w:rsidRDefault="008E5D6E" w:rsidP="005B0DEA">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NOMBRES DE SERVIDORES PÚBLICOS DEDICADOS A ACTIVIDADES EN MATERIA DE SEGURIDAD, POR EXCEPCIÓN PUEDEN CONSIDERARSE INFORMACIÓN RESERVADA. “</w:t>
      </w:r>
      <w:r w:rsidRPr="004F3E91">
        <w:rPr>
          <w:rFonts w:ascii="Palatino Linotype" w:eastAsia="Calibri" w:hAnsi="Palatino Linotype" w:cs="Arial"/>
          <w:i/>
          <w:iCs/>
          <w:sz w:val="22"/>
          <w:szCs w:val="22"/>
          <w:lang w:val="es-MX" w:eastAsia="es-MX"/>
        </w:rPr>
        <w:t xml:space="preserve">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w:t>
      </w:r>
      <w:r w:rsidRPr="004F3E91">
        <w:rPr>
          <w:rFonts w:ascii="Palatino Linotype" w:eastAsia="Calibri" w:hAnsi="Palatino Linotype" w:cs="Arial"/>
          <w:i/>
          <w:iCs/>
          <w:sz w:val="22"/>
          <w:szCs w:val="22"/>
          <w:lang w:val="es-MX" w:eastAsia="es-MX"/>
        </w:rPr>
        <w:lastRenderedPageBreak/>
        <w:t>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221242A" w14:textId="77777777" w:rsidR="008E5D6E" w:rsidRPr="004F3E91" w:rsidRDefault="008E5D6E" w:rsidP="005B0DEA">
      <w:pPr>
        <w:spacing w:line="276" w:lineRule="auto"/>
        <w:ind w:left="567" w:right="567"/>
        <w:contextualSpacing/>
        <w:jc w:val="both"/>
        <w:rPr>
          <w:rFonts w:ascii="Palatino Linotype" w:eastAsia="Calibri" w:hAnsi="Palatino Linotype" w:cs="Arial"/>
          <w:b/>
          <w:bCs/>
          <w:i/>
          <w:iCs/>
          <w:sz w:val="22"/>
          <w:szCs w:val="22"/>
          <w:lang w:val="es-MX" w:eastAsia="es-MX"/>
        </w:rPr>
      </w:pPr>
    </w:p>
    <w:p w14:paraId="78120A25" w14:textId="1A52B61D" w:rsidR="008E5D6E" w:rsidRPr="004F3E91" w:rsidRDefault="008E5D6E" w:rsidP="005B0DEA">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RÉGIMEN DE SUBCONTRATACIÓN POR SUJETOS OBLIGADOS. PUBLICIDAD DEL NOMBRE DE LOS TRABAJADORES CONTRATADOS A TRAVÉS DE. “</w:t>
      </w:r>
      <w:r w:rsidRPr="004F3E91">
        <w:rPr>
          <w:rFonts w:ascii="Palatino Linotype" w:eastAsia="Calibri" w:hAnsi="Palatino Linotype" w:cs="Arial"/>
          <w:i/>
          <w:iCs/>
          <w:sz w:val="22"/>
          <w:szCs w:val="22"/>
          <w:lang w:val="es-MX" w:eastAsia="es-MX"/>
        </w:rPr>
        <w:t>Los nombres de las personas físicas contratadas con recursos públicos, a través de una empresa de outsourcing, aun cuando no se trate de servidores públicos, reviste la naturaleza de información pública; lo anterior, siempre y cuando realicen actividades operativas y administrativas necesarias para el cumplimiento de su objeto, y que éstas se encuentren directamente relacionadas con las funciones propias que tienen los servidores públicos adscritos al mismo sujeto obligado.”</w:t>
      </w:r>
    </w:p>
    <w:p w14:paraId="3D55389B" w14:textId="77777777" w:rsidR="008E5D6E" w:rsidRPr="004F3E91" w:rsidRDefault="008E5D6E" w:rsidP="005B0DEA">
      <w:pPr>
        <w:spacing w:line="276" w:lineRule="auto"/>
        <w:ind w:left="567" w:right="567"/>
        <w:contextualSpacing/>
        <w:jc w:val="both"/>
        <w:rPr>
          <w:rFonts w:ascii="Palatino Linotype" w:eastAsia="Calibri" w:hAnsi="Palatino Linotype" w:cs="Arial"/>
          <w:b/>
          <w:bCs/>
          <w:i/>
          <w:iCs/>
          <w:sz w:val="22"/>
          <w:szCs w:val="22"/>
          <w:lang w:val="es-MX" w:eastAsia="es-MX"/>
        </w:rPr>
      </w:pPr>
    </w:p>
    <w:p w14:paraId="536245F5" w14:textId="64BB1498" w:rsidR="005B0DEA" w:rsidRPr="004F3E91" w:rsidRDefault="005B0DEA" w:rsidP="005B0DEA">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FIRMA Y RÚBRICA DE SERVIDORES PÚBLICOS.</w:t>
      </w:r>
      <w:r w:rsidRPr="004F3E91">
        <w:rPr>
          <w:rFonts w:ascii="Palatino Linotype" w:eastAsia="Calibri" w:hAnsi="Palatino Linotype" w:cs="Arial"/>
          <w:i/>
          <w:iCs/>
          <w:sz w:val="22"/>
          <w:szCs w:val="22"/>
          <w:lang w:val="es-MX"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9E3B367" w14:textId="77777777" w:rsidR="005B0DEA" w:rsidRPr="004F3E91" w:rsidRDefault="005B0DEA" w:rsidP="00627D67">
      <w:pPr>
        <w:spacing w:line="360" w:lineRule="auto"/>
        <w:contextualSpacing/>
        <w:jc w:val="both"/>
        <w:rPr>
          <w:rFonts w:ascii="Palatino Linotype" w:eastAsia="Calibri" w:hAnsi="Palatino Linotype" w:cs="Arial"/>
          <w:lang w:val="es-MX" w:eastAsia="es-MX"/>
        </w:rPr>
      </w:pPr>
    </w:p>
    <w:p w14:paraId="7388A124" w14:textId="42ED3E6F" w:rsidR="00627D67" w:rsidRPr="004F3E91" w:rsidRDefault="00627D6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F</w:t>
      </w:r>
      <w:r w:rsidR="008E5D6E" w:rsidRPr="004F3E91">
        <w:rPr>
          <w:rFonts w:ascii="Palatino Linotype" w:eastAsia="MS Mincho" w:hAnsi="Palatino Linotype" w:cs="Arial"/>
          <w:lang w:val="es-MX" w:eastAsia="es-MX"/>
        </w:rPr>
        <w:t xml:space="preserve">inalmente, por cuanto hace a los números de folio asignados a denuncias anónimas, o en formato de la Procuraduría de Protección al Ambiente del Estado de México, no se considera que éstos se relacionen de ninguna manera con datos personales de los denunciantes, pues el número de folio consiste en un código numérico o alfanumérico otorgado de forma consecutiva a cada una de las quejas y/o denuncias que se reciban en el ayuntamiento; por lo tanto, siempre y cuando estos folios no consideren datos o números recabados de la esfera privada de los particulares (tales como nombre, apellidos, iniciales, edad, fecha de nacimiento, etc.), no ha lugar a restringir su acceso, pues únicamente consisten en </w:t>
      </w:r>
      <w:r w:rsidR="000F5982" w:rsidRPr="004F3E91">
        <w:rPr>
          <w:rFonts w:ascii="Palatino Linotype" w:eastAsia="MS Mincho" w:hAnsi="Palatino Linotype" w:cs="Arial"/>
          <w:lang w:val="es-MX" w:eastAsia="es-MX"/>
        </w:rPr>
        <w:t xml:space="preserve">el folio único </w:t>
      </w:r>
      <w:r w:rsidR="000F5982" w:rsidRPr="004F3E91">
        <w:rPr>
          <w:rFonts w:ascii="Palatino Linotype" w:eastAsia="MS Mincho" w:hAnsi="Palatino Linotype" w:cs="Arial"/>
          <w:lang w:val="es-MX" w:eastAsia="es-MX"/>
        </w:rPr>
        <w:lastRenderedPageBreak/>
        <w:t>de identificación de un expediente sustanciado dentro de la Dirección General de Medio Ambiente, y que su conocimiento no implica que un tercero pueda acceder a su contenido.</w:t>
      </w:r>
    </w:p>
    <w:p w14:paraId="5AA32873"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44658F55" w14:textId="14FDE01C" w:rsidR="009679BE" w:rsidRPr="004F3E91" w:rsidRDefault="009679BE" w:rsidP="00D3649B">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Continuando con el análisis del Acta de la Centésima Octava Sesión Extraordinaria del Comité de Transparencia, se advierte que en su </w:t>
      </w:r>
      <w:r w:rsidRPr="004F3E91">
        <w:rPr>
          <w:rFonts w:ascii="Palatino Linotype" w:eastAsia="MS Mincho" w:hAnsi="Palatino Linotype" w:cs="Arial"/>
          <w:b/>
          <w:bCs/>
          <w:lang w:val="es-MX" w:eastAsia="es-MX"/>
        </w:rPr>
        <w:t>punto 4</w:t>
      </w:r>
      <w:r w:rsidRPr="004F3E91">
        <w:rPr>
          <w:rFonts w:ascii="Palatino Linotype" w:eastAsia="MS Mincho" w:hAnsi="Palatino Linotype" w:cs="Arial"/>
          <w:lang w:val="es-MX" w:eastAsia="es-MX"/>
        </w:rPr>
        <w:t xml:space="preserve"> del orden del día se analizó y aprobó la propuesta de </w:t>
      </w:r>
      <w:r w:rsidRPr="004F3E91">
        <w:rPr>
          <w:rFonts w:ascii="Palatino Linotype" w:eastAsia="MS Mincho" w:hAnsi="Palatino Linotype" w:cs="Arial"/>
          <w:b/>
          <w:bCs/>
          <w:lang w:val="es-MX" w:eastAsia="es-MX"/>
        </w:rPr>
        <w:t>clasificación como información reservada de forma total</w:t>
      </w:r>
      <w:r w:rsidRPr="004F3E91">
        <w:rPr>
          <w:rFonts w:ascii="Palatino Linotype" w:eastAsia="MS Mincho" w:hAnsi="Palatino Linotype" w:cs="Arial"/>
          <w:lang w:val="es-MX" w:eastAsia="es-MX"/>
        </w:rPr>
        <w:t xml:space="preserve">, por un periodo de seis meses, la información relativa a los </w:t>
      </w:r>
      <w:r w:rsidRPr="004F3E91">
        <w:rPr>
          <w:rFonts w:ascii="Palatino Linotype" w:eastAsia="MS Mincho" w:hAnsi="Palatino Linotype" w:cs="Arial"/>
          <w:b/>
          <w:bCs/>
          <w:lang w:val="es-MX" w:eastAsia="es-MX"/>
        </w:rPr>
        <w:t>expedientes de denuncia en materia ambiental</w:t>
      </w:r>
      <w:r w:rsidRPr="004F3E91">
        <w:rPr>
          <w:rFonts w:ascii="Palatino Linotype" w:eastAsia="MS Mincho" w:hAnsi="Palatino Linotype" w:cs="Arial"/>
          <w:lang w:val="es-MX" w:eastAsia="es-MX"/>
        </w:rPr>
        <w:t xml:space="preserve"> presentada por la Dirección General de Medio Ambiente. </w:t>
      </w:r>
    </w:p>
    <w:p w14:paraId="6A8B3F6D" w14:textId="77777777" w:rsidR="009679BE" w:rsidRPr="004F3E91" w:rsidRDefault="009679BE" w:rsidP="009679BE">
      <w:pPr>
        <w:spacing w:line="360" w:lineRule="auto"/>
        <w:contextualSpacing/>
        <w:jc w:val="both"/>
        <w:rPr>
          <w:rFonts w:ascii="Palatino Linotype" w:eastAsia="Calibri" w:hAnsi="Palatino Linotype" w:cs="Arial"/>
          <w:lang w:val="es-MX" w:eastAsia="es-MX"/>
        </w:rPr>
      </w:pPr>
    </w:p>
    <w:p w14:paraId="2E6CB730" w14:textId="785CDD14" w:rsidR="00627D67" w:rsidRPr="004F3E91" w:rsidRDefault="009679BE"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ende, a </w:t>
      </w:r>
      <w:r w:rsidRPr="004F3E91">
        <w:rPr>
          <w:rFonts w:ascii="Palatino Linotype" w:hAnsi="Palatino Linotype"/>
        </w:rPr>
        <w:t xml:space="preserve">fin de conseguir un análisis fehaciente del cumplimiento de las </w:t>
      </w:r>
      <w:r w:rsidRPr="004F3E91">
        <w:rPr>
          <w:rFonts w:ascii="Palatino Linotype" w:hAnsi="Palatino Linotype" w:cs="Arial"/>
        </w:rPr>
        <w:t>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 se considera idóneo elaborar la siguiente tabla informativa:</w:t>
      </w:r>
    </w:p>
    <w:p w14:paraId="07DCBBB1" w14:textId="21940C7C" w:rsidR="00627D67" w:rsidRPr="004F3E91" w:rsidRDefault="00627D67" w:rsidP="00627D67">
      <w:pPr>
        <w:spacing w:line="360" w:lineRule="auto"/>
        <w:contextualSpacing/>
        <w:jc w:val="both"/>
        <w:rPr>
          <w:rFonts w:ascii="Palatino Linotype" w:eastAsia="Calibri" w:hAnsi="Palatino Linotype" w:cs="Arial"/>
          <w:lang w:val="es-MX"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9679BE" w:rsidRPr="004F3E91" w14:paraId="6CC3CFBB" w14:textId="77777777" w:rsidTr="00845419">
        <w:tc>
          <w:tcPr>
            <w:tcW w:w="1560" w:type="dxa"/>
            <w:tcBorders>
              <w:top w:val="nil"/>
              <w:left w:val="nil"/>
            </w:tcBorders>
          </w:tcPr>
          <w:p w14:paraId="477F3CC8" w14:textId="77777777" w:rsidR="009679BE" w:rsidRPr="004F3E91" w:rsidRDefault="009679BE" w:rsidP="00845419">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774B94E7" w14:textId="77777777" w:rsidR="009679BE" w:rsidRPr="004F3E91" w:rsidRDefault="009679BE" w:rsidP="00845419">
            <w:pPr>
              <w:pStyle w:val="Prrafodelista"/>
              <w:spacing w:after="120"/>
              <w:ind w:left="47"/>
              <w:jc w:val="center"/>
              <w:rPr>
                <w:rFonts w:ascii="Palatino Linotype" w:hAnsi="Palatino Linotype"/>
                <w:b/>
                <w:sz w:val="20"/>
                <w:szCs w:val="20"/>
              </w:rPr>
            </w:pPr>
            <w:r w:rsidRPr="004F3E91">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299C505D" w14:textId="77777777" w:rsidR="009679BE" w:rsidRPr="004F3E91" w:rsidRDefault="009679BE" w:rsidP="00845419">
            <w:pPr>
              <w:pStyle w:val="Prrafodelista"/>
              <w:spacing w:after="120"/>
              <w:ind w:left="47"/>
              <w:jc w:val="center"/>
              <w:rPr>
                <w:rFonts w:ascii="Palatino Linotype" w:hAnsi="Palatino Linotype"/>
                <w:b/>
              </w:rPr>
            </w:pPr>
            <w:r w:rsidRPr="004F3E91">
              <w:rPr>
                <w:rFonts w:ascii="Palatino Linotype" w:hAnsi="Palatino Linotype"/>
                <w:b/>
              </w:rPr>
              <w:t>Contenido</w:t>
            </w:r>
          </w:p>
        </w:tc>
      </w:tr>
      <w:tr w:rsidR="009679BE" w:rsidRPr="004F3E91" w14:paraId="1F21CEA1" w14:textId="77777777" w:rsidTr="00845419">
        <w:tc>
          <w:tcPr>
            <w:tcW w:w="1560" w:type="dxa"/>
            <w:vAlign w:val="center"/>
          </w:tcPr>
          <w:p w14:paraId="2F0531DF"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t>Número de folio de la solicitud</w:t>
            </w:r>
          </w:p>
        </w:tc>
        <w:tc>
          <w:tcPr>
            <w:tcW w:w="1417" w:type="dxa"/>
            <w:tcBorders>
              <w:top w:val="single" w:sz="4" w:space="0" w:color="auto"/>
            </w:tcBorders>
            <w:vAlign w:val="center"/>
          </w:tcPr>
          <w:p w14:paraId="7556F214" w14:textId="77777777" w:rsidR="009679BE" w:rsidRPr="004F3E91" w:rsidRDefault="009679BE" w:rsidP="00845419">
            <w:pPr>
              <w:spacing w:after="120"/>
              <w:ind w:left="47"/>
              <w:jc w:val="center"/>
              <w:rPr>
                <w:rFonts w:ascii="Palatino Linotype" w:hAnsi="Palatino Linotype"/>
                <w:b/>
              </w:rPr>
            </w:pPr>
            <w:r w:rsidRPr="004F3E91">
              <w:rPr>
                <w:rFonts w:ascii="Palatino Linotype" w:hAnsi="Palatino Linotype"/>
                <w:b/>
              </w:rPr>
              <w:t>Sí</w:t>
            </w:r>
          </w:p>
        </w:tc>
        <w:tc>
          <w:tcPr>
            <w:tcW w:w="6095" w:type="dxa"/>
            <w:tcBorders>
              <w:top w:val="single" w:sz="4" w:space="0" w:color="auto"/>
            </w:tcBorders>
            <w:vAlign w:val="center"/>
          </w:tcPr>
          <w:p w14:paraId="2391E0B4" w14:textId="77777777" w:rsidR="009679BE" w:rsidRPr="004F3E91" w:rsidRDefault="009679BE" w:rsidP="00845419">
            <w:pPr>
              <w:spacing w:after="120"/>
              <w:ind w:left="-115"/>
              <w:jc w:val="center"/>
              <w:rPr>
                <w:rFonts w:ascii="Palatino Linotype" w:hAnsi="Palatino Linotype"/>
                <w:sz w:val="2"/>
              </w:rPr>
            </w:pPr>
          </w:p>
          <w:p w14:paraId="2E66218C" w14:textId="6CC1FA3C" w:rsidR="009679BE" w:rsidRPr="004F3E91" w:rsidRDefault="008A683E" w:rsidP="00845419">
            <w:pPr>
              <w:spacing w:after="120"/>
              <w:ind w:left="-115"/>
              <w:jc w:val="center"/>
              <w:rPr>
                <w:rFonts w:ascii="Palatino Linotype" w:hAnsi="Palatino Linotype"/>
              </w:rPr>
            </w:pPr>
            <w:r w:rsidRPr="004F3E91">
              <w:rPr>
                <w:rFonts w:ascii="Palatino Linotype" w:hAnsi="Palatino Linotype"/>
                <w:noProof/>
                <w:lang w:val="es-MX" w:eastAsia="es-MX"/>
              </w:rPr>
              <w:drawing>
                <wp:inline distT="0" distB="0" distL="0" distR="0" wp14:anchorId="68A9CD73" wp14:editId="47CC6894">
                  <wp:extent cx="3351502" cy="922960"/>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4397" cy="929265"/>
                          </a:xfrm>
                          <a:prstGeom prst="rect">
                            <a:avLst/>
                          </a:prstGeom>
                        </pic:spPr>
                      </pic:pic>
                    </a:graphicData>
                  </a:graphic>
                </wp:inline>
              </w:drawing>
            </w:r>
          </w:p>
        </w:tc>
      </w:tr>
      <w:tr w:rsidR="009679BE" w:rsidRPr="004F3E91" w14:paraId="6E6D08B4" w14:textId="77777777" w:rsidTr="00845419">
        <w:tc>
          <w:tcPr>
            <w:tcW w:w="1560" w:type="dxa"/>
            <w:vAlign w:val="center"/>
          </w:tcPr>
          <w:p w14:paraId="6F00B700"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lastRenderedPageBreak/>
              <w:t>Referencia de la información solicitada</w:t>
            </w:r>
          </w:p>
        </w:tc>
        <w:tc>
          <w:tcPr>
            <w:tcW w:w="1417" w:type="dxa"/>
            <w:vAlign w:val="center"/>
          </w:tcPr>
          <w:p w14:paraId="097963E7" w14:textId="77777777" w:rsidR="009679BE" w:rsidRPr="004F3E91" w:rsidRDefault="009679BE" w:rsidP="00845419">
            <w:pPr>
              <w:spacing w:after="120"/>
              <w:ind w:left="47"/>
              <w:jc w:val="center"/>
              <w:rPr>
                <w:rFonts w:ascii="Palatino Linotype" w:hAnsi="Palatino Linotype"/>
                <w:b/>
              </w:rPr>
            </w:pPr>
            <w:r w:rsidRPr="004F3E91">
              <w:rPr>
                <w:rFonts w:ascii="Palatino Linotype" w:hAnsi="Palatino Linotype"/>
                <w:b/>
              </w:rPr>
              <w:t>Sí</w:t>
            </w:r>
          </w:p>
        </w:tc>
        <w:tc>
          <w:tcPr>
            <w:tcW w:w="6095" w:type="dxa"/>
            <w:vAlign w:val="center"/>
          </w:tcPr>
          <w:p w14:paraId="10FA53C9" w14:textId="2DB8A125" w:rsidR="009679BE" w:rsidRPr="004F3E91" w:rsidRDefault="008A683E" w:rsidP="00845419">
            <w:pPr>
              <w:spacing w:after="120"/>
              <w:jc w:val="center"/>
              <w:rPr>
                <w:rFonts w:ascii="Palatino Linotype" w:hAnsi="Palatino Linotype"/>
                <w:b/>
              </w:rPr>
            </w:pPr>
            <w:r w:rsidRPr="004F3E91">
              <w:rPr>
                <w:rFonts w:ascii="Palatino Linotype" w:hAnsi="Palatino Linotype"/>
                <w:b/>
                <w:noProof/>
                <w:lang w:val="es-MX" w:eastAsia="es-MX"/>
              </w:rPr>
              <w:drawing>
                <wp:inline distT="0" distB="0" distL="0" distR="0" wp14:anchorId="1F0AC8CF" wp14:editId="19DD9EE3">
                  <wp:extent cx="3407161" cy="1633165"/>
                  <wp:effectExtent l="0" t="0" r="317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339" cy="1652424"/>
                          </a:xfrm>
                          <a:prstGeom prst="rect">
                            <a:avLst/>
                          </a:prstGeom>
                        </pic:spPr>
                      </pic:pic>
                    </a:graphicData>
                  </a:graphic>
                </wp:inline>
              </w:drawing>
            </w:r>
          </w:p>
        </w:tc>
      </w:tr>
      <w:tr w:rsidR="009679BE" w:rsidRPr="004F3E91" w14:paraId="723ECC5E" w14:textId="77777777" w:rsidTr="00845419">
        <w:tc>
          <w:tcPr>
            <w:tcW w:w="1560" w:type="dxa"/>
            <w:vAlign w:val="center"/>
          </w:tcPr>
          <w:p w14:paraId="67F3D48E"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102E2C79" w14:textId="77777777" w:rsidR="009679BE" w:rsidRPr="004F3E91" w:rsidRDefault="009679BE" w:rsidP="00845419">
            <w:pPr>
              <w:spacing w:after="120"/>
              <w:ind w:left="47"/>
              <w:jc w:val="center"/>
              <w:rPr>
                <w:rFonts w:ascii="Palatino Linotype" w:hAnsi="Palatino Linotype"/>
                <w:b/>
              </w:rPr>
            </w:pPr>
            <w:r w:rsidRPr="004F3E91">
              <w:rPr>
                <w:rFonts w:ascii="Palatino Linotype" w:hAnsi="Palatino Linotype"/>
                <w:b/>
              </w:rPr>
              <w:t>Sí</w:t>
            </w:r>
          </w:p>
        </w:tc>
        <w:tc>
          <w:tcPr>
            <w:tcW w:w="6095" w:type="dxa"/>
            <w:vAlign w:val="center"/>
          </w:tcPr>
          <w:p w14:paraId="1A4F96AB" w14:textId="77777777" w:rsidR="009679BE" w:rsidRPr="004F3E91" w:rsidRDefault="008A683E" w:rsidP="00845419">
            <w:pPr>
              <w:spacing w:after="120"/>
              <w:jc w:val="center"/>
              <w:rPr>
                <w:rFonts w:ascii="Palatino Linotype" w:hAnsi="Palatino Linotype"/>
                <w:b/>
                <w:noProof/>
                <w:lang w:eastAsia="es-MX"/>
              </w:rPr>
            </w:pPr>
            <w:r w:rsidRPr="004F3E91">
              <w:rPr>
                <w:rFonts w:ascii="Palatino Linotype" w:hAnsi="Palatino Linotype"/>
                <w:b/>
                <w:noProof/>
                <w:lang w:val="es-MX" w:eastAsia="es-MX"/>
              </w:rPr>
              <w:drawing>
                <wp:inline distT="0" distB="0" distL="0" distR="0" wp14:anchorId="3BBCC194" wp14:editId="028687B1">
                  <wp:extent cx="3184525" cy="910561"/>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3353" cy="915945"/>
                          </a:xfrm>
                          <a:prstGeom prst="rect">
                            <a:avLst/>
                          </a:prstGeom>
                        </pic:spPr>
                      </pic:pic>
                    </a:graphicData>
                  </a:graphic>
                </wp:inline>
              </w:drawing>
            </w:r>
          </w:p>
          <w:p w14:paraId="5F2D91CA" w14:textId="0681BC64" w:rsidR="008A683E" w:rsidRPr="004F3E91" w:rsidRDefault="008A683E" w:rsidP="00845419">
            <w:pPr>
              <w:spacing w:after="120"/>
              <w:jc w:val="center"/>
              <w:rPr>
                <w:rFonts w:ascii="Palatino Linotype" w:hAnsi="Palatino Linotype"/>
                <w:b/>
                <w:noProof/>
                <w:lang w:eastAsia="es-MX"/>
              </w:rPr>
            </w:pPr>
            <w:r w:rsidRPr="004F3E91">
              <w:rPr>
                <w:rFonts w:ascii="Palatino Linotype" w:hAnsi="Palatino Linotype"/>
                <w:b/>
                <w:noProof/>
                <w:lang w:val="es-MX" w:eastAsia="es-MX"/>
              </w:rPr>
              <w:drawing>
                <wp:inline distT="0" distB="0" distL="0" distR="0" wp14:anchorId="3A24EA59" wp14:editId="46F8862D">
                  <wp:extent cx="3105012" cy="1165634"/>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4550" cy="1172969"/>
                          </a:xfrm>
                          <a:prstGeom prst="rect">
                            <a:avLst/>
                          </a:prstGeom>
                        </pic:spPr>
                      </pic:pic>
                    </a:graphicData>
                  </a:graphic>
                </wp:inline>
              </w:drawing>
            </w:r>
          </w:p>
        </w:tc>
      </w:tr>
      <w:tr w:rsidR="008A683E" w:rsidRPr="004F3E91" w14:paraId="23CA5AC7" w14:textId="77777777" w:rsidTr="00845419">
        <w:tc>
          <w:tcPr>
            <w:tcW w:w="1560" w:type="dxa"/>
            <w:vAlign w:val="center"/>
          </w:tcPr>
          <w:p w14:paraId="6E33381E" w14:textId="77777777" w:rsidR="008A683E" w:rsidRPr="004F3E91" w:rsidRDefault="008A683E" w:rsidP="00845419">
            <w:pPr>
              <w:tabs>
                <w:tab w:val="left" w:pos="317"/>
              </w:tabs>
              <w:spacing w:after="120"/>
              <w:jc w:val="center"/>
              <w:rPr>
                <w:rFonts w:ascii="Palatino Linotype" w:hAnsi="Palatino Linotype"/>
                <w:b/>
                <w:sz w:val="16"/>
                <w:szCs w:val="16"/>
              </w:rPr>
            </w:pPr>
            <w:r w:rsidRPr="004F3E91">
              <w:rPr>
                <w:rFonts w:ascii="Palatino Linotype" w:hAnsi="Palatino Linotype"/>
                <w:b/>
                <w:sz w:val="16"/>
                <w:szCs w:val="16"/>
              </w:rPr>
              <w:t>Fundamento y Motivación Legal</w:t>
            </w:r>
          </w:p>
        </w:tc>
        <w:tc>
          <w:tcPr>
            <w:tcW w:w="1417" w:type="dxa"/>
            <w:vAlign w:val="center"/>
          </w:tcPr>
          <w:p w14:paraId="3DFCCE69" w14:textId="0D954444" w:rsidR="008A683E" w:rsidRPr="004F3E91" w:rsidRDefault="008A683E" w:rsidP="00845419">
            <w:pPr>
              <w:spacing w:after="120"/>
              <w:ind w:left="47"/>
              <w:jc w:val="center"/>
              <w:rPr>
                <w:rFonts w:ascii="Palatino Linotype" w:hAnsi="Palatino Linotype"/>
                <w:b/>
              </w:rPr>
            </w:pPr>
            <w:r w:rsidRPr="004F3E91">
              <w:rPr>
                <w:rFonts w:ascii="Palatino Linotype" w:hAnsi="Palatino Linotype"/>
                <w:b/>
              </w:rPr>
              <w:t>No.</w:t>
            </w:r>
          </w:p>
        </w:tc>
        <w:tc>
          <w:tcPr>
            <w:tcW w:w="6095" w:type="dxa"/>
            <w:vMerge w:val="restart"/>
            <w:vAlign w:val="center"/>
          </w:tcPr>
          <w:p w14:paraId="745CB64B" w14:textId="386C6E70" w:rsidR="008A683E" w:rsidRPr="004F3E91" w:rsidRDefault="008A683E" w:rsidP="008A683E">
            <w:pPr>
              <w:spacing w:after="120"/>
              <w:ind w:left="47"/>
              <w:jc w:val="both"/>
              <w:rPr>
                <w:rFonts w:ascii="Palatino Linotype" w:hAnsi="Palatino Linotype"/>
                <w:bCs/>
              </w:rPr>
            </w:pPr>
            <w:r w:rsidRPr="004F3E91">
              <w:rPr>
                <w:rFonts w:ascii="Palatino Linotype" w:hAnsi="Palatino Linotype"/>
                <w:bCs/>
              </w:rPr>
              <w:t>Dentro del Acuerdo de Clasificación no se advierte ningún fundamento o motivación legal que vincule la competencia de la Dirección General de Medio Ambiente con la sustanciación de los expedientes de denuncia.</w:t>
            </w:r>
          </w:p>
        </w:tc>
      </w:tr>
      <w:tr w:rsidR="008A683E" w:rsidRPr="004F3E91" w14:paraId="66FA94CA" w14:textId="77777777" w:rsidTr="00845419">
        <w:tc>
          <w:tcPr>
            <w:tcW w:w="1560" w:type="dxa"/>
            <w:vAlign w:val="center"/>
          </w:tcPr>
          <w:p w14:paraId="25093DC4" w14:textId="77777777" w:rsidR="008A683E" w:rsidRPr="004F3E91" w:rsidRDefault="008A683E" w:rsidP="00845419">
            <w:pPr>
              <w:spacing w:after="120"/>
              <w:jc w:val="center"/>
              <w:rPr>
                <w:rFonts w:ascii="Palatino Linotype" w:hAnsi="Palatino Linotype"/>
                <w:b/>
                <w:sz w:val="16"/>
                <w:szCs w:val="16"/>
              </w:rPr>
            </w:pPr>
            <w:r w:rsidRPr="004F3E91">
              <w:rPr>
                <w:rFonts w:ascii="Palatino Linotype" w:hAnsi="Palatino Linotype"/>
                <w:b/>
                <w:sz w:val="16"/>
                <w:szCs w:val="16"/>
              </w:rPr>
              <w:t>Conexión entre los fundamentos y motivos que dieron origen a la Reserva de la información</w:t>
            </w:r>
          </w:p>
        </w:tc>
        <w:tc>
          <w:tcPr>
            <w:tcW w:w="1417" w:type="dxa"/>
            <w:vAlign w:val="center"/>
          </w:tcPr>
          <w:p w14:paraId="6E9347E4" w14:textId="77777777" w:rsidR="008A683E" w:rsidRPr="004F3E91" w:rsidRDefault="008A683E" w:rsidP="00845419">
            <w:pPr>
              <w:spacing w:after="120"/>
              <w:ind w:left="47"/>
              <w:jc w:val="center"/>
              <w:rPr>
                <w:rFonts w:ascii="Palatino Linotype" w:hAnsi="Palatino Linotype"/>
                <w:b/>
              </w:rPr>
            </w:pPr>
            <w:r w:rsidRPr="004F3E91">
              <w:rPr>
                <w:rFonts w:ascii="Palatino Linotype" w:hAnsi="Palatino Linotype"/>
                <w:b/>
              </w:rPr>
              <w:t xml:space="preserve">No </w:t>
            </w:r>
          </w:p>
        </w:tc>
        <w:tc>
          <w:tcPr>
            <w:tcW w:w="6095" w:type="dxa"/>
            <w:vMerge/>
            <w:vAlign w:val="center"/>
          </w:tcPr>
          <w:p w14:paraId="77B146EB" w14:textId="3F51B1B7" w:rsidR="008A683E" w:rsidRPr="004F3E91" w:rsidRDefault="008A683E" w:rsidP="008A683E">
            <w:pPr>
              <w:pStyle w:val="Prrafodelista"/>
              <w:spacing w:after="120"/>
              <w:ind w:left="29" w:firstLine="18"/>
              <w:jc w:val="both"/>
            </w:pPr>
          </w:p>
        </w:tc>
      </w:tr>
      <w:tr w:rsidR="009679BE" w:rsidRPr="004F3E91" w14:paraId="26F14CA8" w14:textId="77777777" w:rsidTr="00845419">
        <w:tc>
          <w:tcPr>
            <w:tcW w:w="9072" w:type="dxa"/>
            <w:gridSpan w:val="3"/>
            <w:shd w:val="clear" w:color="auto" w:fill="D9D9D9" w:themeFill="background1" w:themeFillShade="D9"/>
            <w:vAlign w:val="center"/>
          </w:tcPr>
          <w:p w14:paraId="362AE71E" w14:textId="77777777" w:rsidR="009679BE" w:rsidRPr="004F3E91" w:rsidRDefault="009679BE" w:rsidP="00845419">
            <w:pPr>
              <w:pStyle w:val="Prrafodelista"/>
              <w:spacing w:after="120"/>
              <w:ind w:left="29" w:firstLine="18"/>
              <w:jc w:val="center"/>
              <w:rPr>
                <w:rFonts w:ascii="Palatino Linotype" w:hAnsi="Palatino Linotype"/>
              </w:rPr>
            </w:pPr>
            <w:r w:rsidRPr="004F3E91">
              <w:rPr>
                <w:rFonts w:ascii="Palatino Linotype" w:hAnsi="Palatino Linotype"/>
                <w:b/>
              </w:rPr>
              <w:t>Prueba de Daño</w:t>
            </w:r>
          </w:p>
        </w:tc>
      </w:tr>
      <w:tr w:rsidR="009679BE" w:rsidRPr="004F3E91" w14:paraId="076B70C3" w14:textId="77777777" w:rsidTr="00845419">
        <w:tc>
          <w:tcPr>
            <w:tcW w:w="1560" w:type="dxa"/>
            <w:vAlign w:val="center"/>
          </w:tcPr>
          <w:p w14:paraId="12168BF2"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lastRenderedPageBreak/>
              <w:t>Riesgo Real, Demostrable e Identificable</w:t>
            </w:r>
          </w:p>
          <w:p w14:paraId="06037E43"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t>(Modo, Tiempo y Lugar)</w:t>
            </w:r>
          </w:p>
        </w:tc>
        <w:tc>
          <w:tcPr>
            <w:tcW w:w="1417" w:type="dxa"/>
            <w:vAlign w:val="center"/>
          </w:tcPr>
          <w:p w14:paraId="4F0F7E6C" w14:textId="6211D541" w:rsidR="009679BE" w:rsidRPr="004F3E91" w:rsidRDefault="008A683E" w:rsidP="00845419">
            <w:pPr>
              <w:pStyle w:val="Prrafodelista"/>
              <w:spacing w:after="120"/>
              <w:ind w:left="29" w:firstLine="18"/>
              <w:jc w:val="center"/>
              <w:rPr>
                <w:rFonts w:ascii="Palatino Linotype" w:hAnsi="Palatino Linotype"/>
                <w:b/>
              </w:rPr>
            </w:pPr>
            <w:r w:rsidRPr="004F3E91">
              <w:rPr>
                <w:rFonts w:ascii="Palatino Linotype" w:hAnsi="Palatino Linotype"/>
                <w:b/>
              </w:rPr>
              <w:t>No</w:t>
            </w:r>
          </w:p>
        </w:tc>
        <w:tc>
          <w:tcPr>
            <w:tcW w:w="6095" w:type="dxa"/>
            <w:vAlign w:val="center"/>
          </w:tcPr>
          <w:p w14:paraId="12F07A36" w14:textId="77777777" w:rsidR="009679BE" w:rsidRPr="004F3E91" w:rsidRDefault="008A683E" w:rsidP="00845419">
            <w:pPr>
              <w:pStyle w:val="Prrafodelista"/>
              <w:spacing w:after="120"/>
              <w:ind w:left="29" w:firstLine="18"/>
              <w:jc w:val="center"/>
              <w:rPr>
                <w:rFonts w:ascii="Palatino Linotype" w:hAnsi="Palatino Linotype"/>
              </w:rPr>
            </w:pPr>
            <w:r w:rsidRPr="004F3E91">
              <w:rPr>
                <w:rFonts w:ascii="Palatino Linotype" w:hAnsi="Palatino Linotype"/>
                <w:noProof/>
                <w:lang w:val="es-MX" w:eastAsia="es-MX"/>
              </w:rPr>
              <w:drawing>
                <wp:inline distT="0" distB="0" distL="0" distR="0" wp14:anchorId="181DB675" wp14:editId="4B902D11">
                  <wp:extent cx="2882375" cy="2524468"/>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8744" cy="2530046"/>
                          </a:xfrm>
                          <a:prstGeom prst="rect">
                            <a:avLst/>
                          </a:prstGeom>
                        </pic:spPr>
                      </pic:pic>
                    </a:graphicData>
                  </a:graphic>
                </wp:inline>
              </w:drawing>
            </w:r>
          </w:p>
          <w:p w14:paraId="04428816" w14:textId="05449408" w:rsidR="008A683E" w:rsidRPr="004F3E91" w:rsidRDefault="008A683E" w:rsidP="00845419">
            <w:pPr>
              <w:pStyle w:val="Prrafodelista"/>
              <w:spacing w:after="120"/>
              <w:ind w:left="29" w:firstLine="18"/>
              <w:jc w:val="center"/>
              <w:rPr>
                <w:rFonts w:ascii="Palatino Linotype" w:hAnsi="Palatino Linotype"/>
              </w:rPr>
            </w:pPr>
            <w:r w:rsidRPr="004F3E91">
              <w:rPr>
                <w:rFonts w:ascii="Palatino Linotype" w:hAnsi="Palatino Linotype"/>
                <w:noProof/>
                <w:lang w:val="es-MX" w:eastAsia="es-MX"/>
              </w:rPr>
              <w:drawing>
                <wp:inline distT="0" distB="0" distL="0" distR="0" wp14:anchorId="32EFB8C5" wp14:editId="58430C17">
                  <wp:extent cx="2953937" cy="908942"/>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1012" cy="920350"/>
                          </a:xfrm>
                          <a:prstGeom prst="rect">
                            <a:avLst/>
                          </a:prstGeom>
                        </pic:spPr>
                      </pic:pic>
                    </a:graphicData>
                  </a:graphic>
                </wp:inline>
              </w:drawing>
            </w:r>
          </w:p>
        </w:tc>
      </w:tr>
      <w:tr w:rsidR="009679BE" w:rsidRPr="004F3E91" w14:paraId="78DF477E" w14:textId="77777777" w:rsidTr="00845419">
        <w:tc>
          <w:tcPr>
            <w:tcW w:w="1560" w:type="dxa"/>
            <w:vAlign w:val="center"/>
          </w:tcPr>
          <w:p w14:paraId="3FD1A83B" w14:textId="77777777" w:rsidR="009679BE" w:rsidRPr="004F3E91" w:rsidRDefault="009679BE" w:rsidP="00845419">
            <w:pPr>
              <w:spacing w:after="120"/>
              <w:jc w:val="center"/>
              <w:rPr>
                <w:rFonts w:ascii="Palatino Linotype" w:hAnsi="Palatino Linotype"/>
                <w:b/>
                <w:sz w:val="16"/>
                <w:szCs w:val="16"/>
              </w:rPr>
            </w:pPr>
            <w:r w:rsidRPr="004F3E91">
              <w:rPr>
                <w:rFonts w:ascii="Palatino Linotype" w:hAnsi="Palatino Linotype"/>
                <w:b/>
                <w:sz w:val="16"/>
                <w:szCs w:val="16"/>
              </w:rPr>
              <w:t>Temporalidad de la Reserva de la información</w:t>
            </w:r>
          </w:p>
        </w:tc>
        <w:tc>
          <w:tcPr>
            <w:tcW w:w="1417" w:type="dxa"/>
            <w:vAlign w:val="center"/>
          </w:tcPr>
          <w:p w14:paraId="692FAC88" w14:textId="4327165D" w:rsidR="009679BE" w:rsidRPr="004F3E91" w:rsidRDefault="008A683E" w:rsidP="00845419">
            <w:pPr>
              <w:pStyle w:val="Prrafodelista"/>
              <w:spacing w:after="120"/>
              <w:ind w:left="29" w:firstLine="18"/>
              <w:jc w:val="center"/>
              <w:rPr>
                <w:rFonts w:ascii="Palatino Linotype" w:hAnsi="Palatino Linotype"/>
                <w:b/>
              </w:rPr>
            </w:pPr>
            <w:r w:rsidRPr="004F3E91">
              <w:rPr>
                <w:rFonts w:ascii="Palatino Linotype" w:hAnsi="Palatino Linotype"/>
                <w:b/>
              </w:rPr>
              <w:t>No</w:t>
            </w:r>
          </w:p>
        </w:tc>
        <w:tc>
          <w:tcPr>
            <w:tcW w:w="6095" w:type="dxa"/>
            <w:vAlign w:val="center"/>
          </w:tcPr>
          <w:p w14:paraId="068D616D" w14:textId="3DECD48C" w:rsidR="009679BE" w:rsidRPr="004F3E91" w:rsidRDefault="008A683E" w:rsidP="00845419">
            <w:pPr>
              <w:pStyle w:val="Prrafodelista"/>
              <w:spacing w:after="120"/>
              <w:ind w:left="29" w:firstLine="18"/>
              <w:jc w:val="center"/>
              <w:rPr>
                <w:rFonts w:ascii="Palatino Linotype" w:hAnsi="Palatino Linotype"/>
              </w:rPr>
            </w:pPr>
            <w:r w:rsidRPr="004F3E91">
              <w:rPr>
                <w:rFonts w:ascii="Palatino Linotype" w:hAnsi="Palatino Linotype"/>
                <w:noProof/>
                <w:lang w:val="es-MX" w:eastAsia="es-MX"/>
              </w:rPr>
              <w:drawing>
                <wp:inline distT="0" distB="0" distL="0" distR="0" wp14:anchorId="41A2CAFD" wp14:editId="09E69771">
                  <wp:extent cx="3264038" cy="92330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8273" cy="930157"/>
                          </a:xfrm>
                          <a:prstGeom prst="rect">
                            <a:avLst/>
                          </a:prstGeom>
                        </pic:spPr>
                      </pic:pic>
                    </a:graphicData>
                  </a:graphic>
                </wp:inline>
              </w:drawing>
            </w:r>
          </w:p>
        </w:tc>
      </w:tr>
      <w:tr w:rsidR="009679BE" w:rsidRPr="004F3E91" w14:paraId="12531006" w14:textId="77777777" w:rsidTr="00845419">
        <w:trPr>
          <w:trHeight w:val="3517"/>
        </w:trPr>
        <w:tc>
          <w:tcPr>
            <w:tcW w:w="1560" w:type="dxa"/>
            <w:vAlign w:val="center"/>
          </w:tcPr>
          <w:p w14:paraId="28C6B61E" w14:textId="77777777" w:rsidR="009679BE" w:rsidRPr="004F3E91" w:rsidRDefault="009679BE" w:rsidP="00845419">
            <w:pPr>
              <w:tabs>
                <w:tab w:val="left" w:pos="317"/>
              </w:tabs>
              <w:spacing w:after="120"/>
              <w:jc w:val="center"/>
              <w:rPr>
                <w:rFonts w:ascii="Palatino Linotype" w:hAnsi="Palatino Linotype"/>
                <w:b/>
                <w:sz w:val="16"/>
                <w:szCs w:val="16"/>
              </w:rPr>
            </w:pPr>
            <w:r w:rsidRPr="004F3E91">
              <w:rPr>
                <w:rFonts w:ascii="Palatino Linotype" w:hAnsi="Palatino Linotype"/>
                <w:b/>
                <w:sz w:val="16"/>
                <w:szCs w:val="16"/>
              </w:rPr>
              <w:t>Autoridades competentes.</w:t>
            </w:r>
          </w:p>
        </w:tc>
        <w:tc>
          <w:tcPr>
            <w:tcW w:w="1417" w:type="dxa"/>
            <w:vAlign w:val="center"/>
          </w:tcPr>
          <w:p w14:paraId="6A4574C9" w14:textId="77777777" w:rsidR="009679BE" w:rsidRPr="004F3E91" w:rsidRDefault="009679BE" w:rsidP="00845419">
            <w:pPr>
              <w:pStyle w:val="Prrafodelista"/>
              <w:spacing w:after="120"/>
              <w:ind w:left="29" w:firstLine="18"/>
              <w:jc w:val="center"/>
              <w:rPr>
                <w:rFonts w:ascii="Palatino Linotype" w:hAnsi="Palatino Linotype"/>
                <w:b/>
              </w:rPr>
            </w:pPr>
            <w:r w:rsidRPr="004F3E91">
              <w:rPr>
                <w:rFonts w:ascii="Palatino Linotype" w:hAnsi="Palatino Linotype"/>
                <w:b/>
              </w:rPr>
              <w:t>Sí</w:t>
            </w:r>
          </w:p>
        </w:tc>
        <w:tc>
          <w:tcPr>
            <w:tcW w:w="6095" w:type="dxa"/>
          </w:tcPr>
          <w:p w14:paraId="23E48F1D" w14:textId="2D6F54B1" w:rsidR="009679BE" w:rsidRPr="004F3E91" w:rsidRDefault="00752362" w:rsidP="00752362">
            <w:pPr>
              <w:jc w:val="both"/>
            </w:pPr>
            <w:r w:rsidRPr="004F3E91">
              <w:rPr>
                <w:noProof/>
                <w:lang w:val="es-MX" w:eastAsia="es-MX"/>
              </w:rPr>
              <w:drawing>
                <wp:inline distT="0" distB="0" distL="0" distR="0" wp14:anchorId="590F96A1" wp14:editId="1B1A6292">
                  <wp:extent cx="1840754" cy="2301960"/>
                  <wp:effectExtent l="0" t="0" r="762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8845" cy="2312079"/>
                          </a:xfrm>
                          <a:prstGeom prst="rect">
                            <a:avLst/>
                          </a:prstGeom>
                        </pic:spPr>
                      </pic:pic>
                    </a:graphicData>
                  </a:graphic>
                </wp:inline>
              </w:drawing>
            </w:r>
            <w:r w:rsidRPr="004F3E91">
              <w:rPr>
                <w:noProof/>
                <w:lang w:val="es-MX" w:eastAsia="es-MX"/>
              </w:rPr>
              <w:drawing>
                <wp:inline distT="0" distB="0" distL="0" distR="0" wp14:anchorId="2310DE99" wp14:editId="1A828289">
                  <wp:extent cx="1721485" cy="225265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7690" cy="2260779"/>
                          </a:xfrm>
                          <a:prstGeom prst="rect">
                            <a:avLst/>
                          </a:prstGeom>
                        </pic:spPr>
                      </pic:pic>
                    </a:graphicData>
                  </a:graphic>
                </wp:inline>
              </w:drawing>
            </w:r>
          </w:p>
        </w:tc>
      </w:tr>
    </w:tbl>
    <w:p w14:paraId="63D0DC64" w14:textId="77777777" w:rsidR="009679BE" w:rsidRPr="004F3E91" w:rsidRDefault="009679BE" w:rsidP="00627D67">
      <w:pPr>
        <w:spacing w:line="360" w:lineRule="auto"/>
        <w:contextualSpacing/>
        <w:jc w:val="both"/>
        <w:rPr>
          <w:rFonts w:ascii="Palatino Linotype" w:eastAsia="Calibri" w:hAnsi="Palatino Linotype" w:cs="Arial"/>
          <w:lang w:val="es-MX" w:eastAsia="es-MX"/>
        </w:rPr>
      </w:pPr>
    </w:p>
    <w:p w14:paraId="19DEC3FA" w14:textId="1CF63103" w:rsidR="00627D67" w:rsidRPr="004F3E91" w:rsidRDefault="0075236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lastRenderedPageBreak/>
        <w:t xml:space="preserve">De lo anterior se colige que </w:t>
      </w:r>
      <w:r w:rsidRPr="004F3E91">
        <w:rPr>
          <w:rFonts w:ascii="Palatino Linotype" w:eastAsia="MS Mincho" w:hAnsi="Palatino Linotype" w:cs="Arial"/>
          <w:b/>
          <w:bCs/>
          <w:lang w:val="es-MX" w:eastAsia="es-MX"/>
        </w:rPr>
        <w:t>el SUJETO OBLIGADO no hizo un análisis minucioso para acreditar, a través de una adecuada prueba de daño, las razones y motivos que justifiquen la necesidad de reserva de forma total los expedientes de las denuncias con números de folio 077, 079 y 0107</w:t>
      </w:r>
      <w:r w:rsidRPr="004F3E91">
        <w:rPr>
          <w:rFonts w:ascii="Palatino Linotype" w:eastAsia="MS Mincho" w:hAnsi="Palatino Linotype" w:cs="Arial"/>
          <w:lang w:val="es-MX" w:eastAsia="es-MX"/>
        </w:rPr>
        <w:t xml:space="preserve">, pues únicamente se limitó a referir que los expediente de mérito no se habían concluido en su totalidad, pues se encontraban en distintas etapas procedimentales susceptibles de </w:t>
      </w:r>
      <w:r w:rsidRPr="004F3E91">
        <w:rPr>
          <w:rFonts w:ascii="Palatino Linotype" w:eastAsia="MS Mincho" w:hAnsi="Palatino Linotype" w:cs="Arial"/>
          <w:i/>
          <w:iCs/>
          <w:lang w:val="es-MX" w:eastAsia="es-MX"/>
        </w:rPr>
        <w:t>recaer en procedimiento administrativo</w:t>
      </w:r>
      <w:r w:rsidRPr="004F3E91">
        <w:rPr>
          <w:rFonts w:ascii="Palatino Linotype" w:eastAsia="MS Mincho" w:hAnsi="Palatino Linotype" w:cs="Arial"/>
          <w:lang w:val="es-MX" w:eastAsia="es-MX"/>
        </w:rPr>
        <w:t>.</w:t>
      </w:r>
    </w:p>
    <w:p w14:paraId="70979EF9"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4CF0F9F8" w14:textId="757C190D" w:rsidR="00627D67" w:rsidRPr="004F3E91" w:rsidRDefault="0075236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No se omite referir que, aparte del Acuerdo de Clasificación antes señalado, el </w:t>
      </w:r>
      <w:r w:rsidRPr="004F3E91">
        <w:rPr>
          <w:rFonts w:ascii="Palatino Linotype" w:eastAsia="MS Mincho" w:hAnsi="Palatino Linotype" w:cs="Arial"/>
          <w:b/>
          <w:bCs/>
          <w:lang w:val="es-MX" w:eastAsia="es-MX"/>
        </w:rPr>
        <w:t>SUJET</w:t>
      </w:r>
      <w:r w:rsidR="00F041F2" w:rsidRPr="004F3E91">
        <w:rPr>
          <w:rFonts w:ascii="Palatino Linotype" w:eastAsia="MS Mincho" w:hAnsi="Palatino Linotype" w:cs="Arial"/>
          <w:b/>
          <w:bCs/>
          <w:lang w:val="es-MX" w:eastAsia="es-MX"/>
        </w:rPr>
        <w:t>O</w:t>
      </w:r>
      <w:r w:rsidRPr="004F3E91">
        <w:rPr>
          <w:rFonts w:ascii="Palatino Linotype" w:eastAsia="MS Mincho" w:hAnsi="Palatino Linotype" w:cs="Arial"/>
          <w:b/>
          <w:bCs/>
          <w:lang w:val="es-MX" w:eastAsia="es-MX"/>
        </w:rPr>
        <w:t xml:space="preserve"> OBLIGADO</w:t>
      </w:r>
      <w:r w:rsidRPr="004F3E91">
        <w:rPr>
          <w:rFonts w:ascii="Palatino Linotype" w:eastAsia="MS Mincho" w:hAnsi="Palatino Linotype" w:cs="Arial"/>
          <w:lang w:val="es-MX" w:eastAsia="es-MX"/>
        </w:rPr>
        <w:t xml:space="preserve"> también presentó el Acta de la Centésima Décima Cuarta Sesión Extraordinaria del Comité de Transparencia, celebrada el diecisiete (17) de febrero de dos mil veintidós, </w:t>
      </w:r>
      <w:r w:rsidR="00F041F2" w:rsidRPr="004F3E91">
        <w:rPr>
          <w:rFonts w:ascii="Palatino Linotype" w:eastAsia="MS Mincho" w:hAnsi="Palatino Linotype" w:cs="Arial"/>
          <w:lang w:val="es-MX" w:eastAsia="es-MX"/>
        </w:rPr>
        <w:t xml:space="preserve">en la que se analizó la propuesta de </w:t>
      </w:r>
      <w:r w:rsidR="00F041F2" w:rsidRPr="004F3E91">
        <w:rPr>
          <w:rFonts w:ascii="Palatino Linotype" w:eastAsia="MS Mincho" w:hAnsi="Palatino Linotype" w:cs="Arial"/>
          <w:b/>
          <w:bCs/>
          <w:lang w:val="es-MX" w:eastAsia="es-MX"/>
        </w:rPr>
        <w:t>clasificación, como información reservada de forma total, por un periodo de dos años, los expedientes de quejas sustanciados en la Defensoría Municipal de Derechos Humanos</w:t>
      </w:r>
      <w:r w:rsidR="00F041F2" w:rsidRPr="004F3E91">
        <w:rPr>
          <w:rFonts w:ascii="Palatino Linotype" w:eastAsia="MS Mincho" w:hAnsi="Palatino Linotype" w:cs="Arial"/>
          <w:lang w:val="es-MX" w:eastAsia="es-MX"/>
        </w:rPr>
        <w:t xml:space="preserve">, y que el Comité de Transparencia determinó procedente </w:t>
      </w:r>
      <w:r w:rsidR="00F041F2" w:rsidRPr="004F3E91">
        <w:rPr>
          <w:rFonts w:ascii="Palatino Linotype" w:eastAsia="MS Mincho" w:hAnsi="Palatino Linotype" w:cs="Arial"/>
          <w:b/>
          <w:bCs/>
          <w:u w:val="double"/>
          <w:lang w:val="es-MX" w:eastAsia="es-MX"/>
        </w:rPr>
        <w:t>a pesar de que la propuesta se sustanció con base en la Ley de Transparencia y Acceso a la Información Pública del Estado de México y Municipios abrogada el cuatro (04) de mayo de dos mil dieciséis</w:t>
      </w:r>
      <w:r w:rsidR="00F041F2" w:rsidRPr="004F3E91">
        <w:rPr>
          <w:rFonts w:ascii="Palatino Linotype" w:eastAsia="MS Mincho" w:hAnsi="Palatino Linotype" w:cs="Arial"/>
          <w:b/>
          <w:bCs/>
          <w:lang w:val="es-MX" w:eastAsia="es-MX"/>
        </w:rPr>
        <w:t>.</w:t>
      </w:r>
    </w:p>
    <w:p w14:paraId="2BB971D5" w14:textId="77777777" w:rsidR="00627D67" w:rsidRPr="004F3E91" w:rsidRDefault="00627D67" w:rsidP="00627D67">
      <w:pPr>
        <w:spacing w:line="360" w:lineRule="auto"/>
        <w:contextualSpacing/>
        <w:jc w:val="both"/>
        <w:rPr>
          <w:rFonts w:ascii="Palatino Linotype" w:eastAsia="Calibri" w:hAnsi="Palatino Linotype" w:cs="Arial"/>
          <w:lang w:val="es-MX" w:eastAsia="es-MX"/>
        </w:rPr>
      </w:pPr>
    </w:p>
    <w:p w14:paraId="0CEC25AD" w14:textId="6B1575E0" w:rsidR="00627D67" w:rsidRPr="004F3E91" w:rsidRDefault="00F041F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En urgencia de lo anterior, este Organismo Garante hace un llamado enérgico al Comité de Transparencia del Ayuntamiento de Toluca para que en futuros ejercicios de clasificación, se advoque de forma precisa al procedimiento establecido por la Ley General y la Ley Estatal de Transparencia, pues </w:t>
      </w:r>
      <w:r w:rsidRPr="004F3E91">
        <w:rPr>
          <w:rFonts w:ascii="Palatino Linotype" w:eastAsia="MS Mincho" w:hAnsi="Palatino Linotype" w:cs="Arial"/>
          <w:b/>
          <w:bCs/>
          <w:lang w:val="es-MX" w:eastAsia="es-MX"/>
        </w:rPr>
        <w:t>el restringir el acceso a información de forma tan negligente y arbitraria como ocurre en el presente asunto puede conllevar a un procedimiento de responsabilidad</w:t>
      </w:r>
      <w:r w:rsidRPr="004F3E91">
        <w:rPr>
          <w:rFonts w:ascii="Palatino Linotype" w:eastAsia="MS Mincho" w:hAnsi="Palatino Linotype" w:cs="Arial"/>
          <w:lang w:val="es-MX" w:eastAsia="es-MX"/>
        </w:rPr>
        <w:t>.</w:t>
      </w:r>
    </w:p>
    <w:p w14:paraId="0414E263" w14:textId="77777777" w:rsidR="00F041F2" w:rsidRPr="004F3E91" w:rsidRDefault="00F041F2" w:rsidP="00F041F2">
      <w:pPr>
        <w:spacing w:line="360" w:lineRule="auto"/>
        <w:contextualSpacing/>
        <w:jc w:val="both"/>
        <w:rPr>
          <w:rFonts w:ascii="Palatino Linotype" w:eastAsia="Calibri" w:hAnsi="Palatino Linotype" w:cs="Arial"/>
          <w:lang w:val="es-MX" w:eastAsia="es-MX"/>
        </w:rPr>
      </w:pPr>
    </w:p>
    <w:p w14:paraId="358150CF" w14:textId="45639D67" w:rsidR="00F041F2" w:rsidRPr="004F3E91" w:rsidRDefault="00BC4983"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No obstante lo anterior, es imperativo destacar que la pretensión del </w:t>
      </w:r>
      <w:r w:rsidRPr="004F3E91">
        <w:rPr>
          <w:rFonts w:ascii="Palatino Linotype" w:eastAsia="MS Mincho" w:hAnsi="Palatino Linotype" w:cs="Arial"/>
          <w:b/>
          <w:bCs/>
          <w:lang w:val="es-MX" w:eastAsia="es-MX"/>
        </w:rPr>
        <w:t>SUJETO OBLIGADO</w:t>
      </w:r>
      <w:r w:rsidRPr="004F3E91">
        <w:rPr>
          <w:rFonts w:ascii="Palatino Linotype" w:eastAsia="MS Mincho" w:hAnsi="Palatino Linotype" w:cs="Arial"/>
          <w:lang w:val="es-MX" w:eastAsia="es-MX"/>
        </w:rPr>
        <w:t xml:space="preserve"> de reservar la información de algunos expedientes formado por denuncias por exceso de ruido se basa en la causal de reserva contenida en el artículo 140, fracción VIII, de la Ley de Transparencia y Acceso a la Información Pública del Estado de México y Municipios que, como hemos visto, consiste en lo siguiente:</w:t>
      </w:r>
    </w:p>
    <w:p w14:paraId="49B68093" w14:textId="199A5329" w:rsidR="00F041F2" w:rsidRPr="004F3E91" w:rsidRDefault="00F041F2" w:rsidP="00F041F2">
      <w:pPr>
        <w:spacing w:line="360" w:lineRule="auto"/>
        <w:contextualSpacing/>
        <w:jc w:val="both"/>
        <w:rPr>
          <w:rFonts w:ascii="Palatino Linotype" w:eastAsia="Calibri" w:hAnsi="Palatino Linotype" w:cs="Arial"/>
          <w:lang w:val="es-MX" w:eastAsia="es-MX"/>
        </w:rPr>
      </w:pPr>
    </w:p>
    <w:p w14:paraId="5074FE19" w14:textId="56FB661F"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val="es-MX" w:eastAsia="es-MX"/>
        </w:rPr>
        <w:t>“</w:t>
      </w:r>
      <w:r w:rsidRPr="004F3E91">
        <w:rPr>
          <w:rFonts w:ascii="Palatino Linotype" w:eastAsia="Calibri" w:hAnsi="Palatino Linotype" w:cs="Arial"/>
          <w:b/>
          <w:bCs/>
          <w:i/>
          <w:iCs/>
          <w:sz w:val="22"/>
          <w:szCs w:val="22"/>
          <w:lang w:eastAsia="es-MX"/>
        </w:rPr>
        <w:t>Artículo 140.</w:t>
      </w:r>
      <w:r w:rsidRPr="004F3E91">
        <w:rPr>
          <w:rFonts w:ascii="Palatino Linotype" w:eastAsia="Calibri" w:hAnsi="Palatino Linotype" w:cs="Arial"/>
          <w:i/>
          <w:iCs/>
          <w:sz w:val="22"/>
          <w:szCs w:val="22"/>
          <w:lang w:eastAsia="es-MX"/>
        </w:rPr>
        <w:t xml:space="preserve"> El acceso a la información pública será restringido excepcionalmente, cuando por razones de interés público, ésta sea clasificada como reservada, conforme a los criterios siguientes:</w:t>
      </w:r>
    </w:p>
    <w:p w14:paraId="05898FBA" w14:textId="0157DCB4"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eastAsia="es-MX"/>
        </w:rPr>
        <w:t>(…)</w:t>
      </w:r>
    </w:p>
    <w:p w14:paraId="22BA9F03" w14:textId="015C2273"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b/>
          <w:bCs/>
          <w:i/>
          <w:iCs/>
          <w:sz w:val="22"/>
          <w:szCs w:val="22"/>
          <w:lang w:eastAsia="es-MX"/>
        </w:rPr>
        <w:t>VIII.</w:t>
      </w:r>
      <w:r w:rsidRPr="004F3E91">
        <w:rPr>
          <w:rFonts w:ascii="Palatino Linotype" w:eastAsia="Calibri" w:hAnsi="Palatino Linotype" w:cs="Arial"/>
          <w:i/>
          <w:iCs/>
          <w:sz w:val="22"/>
          <w:szCs w:val="22"/>
          <w:lang w:eastAsia="es-MX"/>
        </w:rPr>
        <w:t xml:space="preserve"> Vulnere la conducción de los expedientes judiciales o de los procedimientos administrativos seguidos en forma de juicio, en tanto no hayan quedado firmes;</w:t>
      </w:r>
    </w:p>
    <w:p w14:paraId="6A77DE8A" w14:textId="02F82D7D" w:rsidR="00BC4983" w:rsidRPr="004F3E91" w:rsidRDefault="00BC4983" w:rsidP="00BC4983">
      <w:pPr>
        <w:spacing w:line="276" w:lineRule="auto"/>
        <w:ind w:left="567" w:right="567"/>
        <w:contextualSpacing/>
        <w:jc w:val="both"/>
        <w:rPr>
          <w:rFonts w:ascii="Palatino Linotype" w:eastAsia="Calibri" w:hAnsi="Palatino Linotype" w:cs="Arial"/>
          <w:sz w:val="22"/>
          <w:szCs w:val="22"/>
          <w:lang w:eastAsia="es-MX"/>
        </w:rPr>
      </w:pPr>
      <w:r w:rsidRPr="004F3E91">
        <w:rPr>
          <w:rFonts w:ascii="Palatino Linotype" w:eastAsia="Calibri" w:hAnsi="Palatino Linotype" w:cs="Arial"/>
          <w:i/>
          <w:iCs/>
          <w:sz w:val="22"/>
          <w:szCs w:val="22"/>
          <w:lang w:eastAsia="es-MX"/>
        </w:rPr>
        <w:t>(…)”</w:t>
      </w:r>
    </w:p>
    <w:p w14:paraId="726E2952" w14:textId="77777777" w:rsidR="00BC4983" w:rsidRPr="004F3E91" w:rsidRDefault="00BC4983" w:rsidP="00F041F2">
      <w:pPr>
        <w:spacing w:line="360" w:lineRule="auto"/>
        <w:contextualSpacing/>
        <w:jc w:val="both"/>
        <w:rPr>
          <w:rFonts w:ascii="Palatino Linotype" w:eastAsia="Calibri" w:hAnsi="Palatino Linotype" w:cs="Arial"/>
          <w:lang w:val="es-MX" w:eastAsia="es-MX"/>
        </w:rPr>
      </w:pPr>
    </w:p>
    <w:p w14:paraId="1C47C936" w14:textId="051EC73C" w:rsidR="00F041F2" w:rsidRPr="004F3E91" w:rsidRDefault="00BC4983"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En ese sentido, conviene señalar que nuestra Ley Estatal armoniza las causales de reserva de la información reconocidas en el artículo 113 de la Ley General de Transparencia y Acceso a la Información Pública, mismo que, en su fracción XI, establece:</w:t>
      </w:r>
    </w:p>
    <w:p w14:paraId="3F90C91A" w14:textId="08CDF7EE" w:rsidR="00F041F2" w:rsidRPr="004F3E91" w:rsidRDefault="00F041F2" w:rsidP="00F041F2">
      <w:pPr>
        <w:spacing w:line="360" w:lineRule="auto"/>
        <w:contextualSpacing/>
        <w:jc w:val="both"/>
        <w:rPr>
          <w:rFonts w:ascii="Palatino Linotype" w:eastAsia="Calibri" w:hAnsi="Palatino Linotype" w:cs="Arial"/>
          <w:lang w:val="es-MX" w:eastAsia="es-MX"/>
        </w:rPr>
      </w:pPr>
    </w:p>
    <w:p w14:paraId="60AD229A" w14:textId="024FF808"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val="es-MX" w:eastAsia="es-MX"/>
        </w:rPr>
        <w:t>“</w:t>
      </w:r>
      <w:r w:rsidRPr="004F3E91">
        <w:rPr>
          <w:rFonts w:ascii="Palatino Linotype" w:eastAsia="Calibri" w:hAnsi="Palatino Linotype" w:cs="Arial"/>
          <w:b/>
          <w:bCs/>
          <w:i/>
          <w:iCs/>
          <w:sz w:val="22"/>
          <w:szCs w:val="22"/>
          <w:lang w:eastAsia="es-MX"/>
        </w:rPr>
        <w:t>Artículo 113.</w:t>
      </w:r>
      <w:r w:rsidRPr="004F3E91">
        <w:rPr>
          <w:rFonts w:ascii="Palatino Linotype" w:eastAsia="Calibri" w:hAnsi="Palatino Linotype" w:cs="Arial"/>
          <w:i/>
          <w:iCs/>
          <w:sz w:val="22"/>
          <w:szCs w:val="22"/>
          <w:lang w:eastAsia="es-MX"/>
        </w:rPr>
        <w:t xml:space="preserve"> Como información reservada podrá clasificarse aquella cuya publicación:</w:t>
      </w:r>
    </w:p>
    <w:p w14:paraId="50EAFB62" w14:textId="31E7F7A3"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eastAsia="es-MX"/>
        </w:rPr>
        <w:t>(…)</w:t>
      </w:r>
    </w:p>
    <w:p w14:paraId="2B1406DA" w14:textId="3B9C5647"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b/>
          <w:bCs/>
          <w:i/>
          <w:iCs/>
          <w:sz w:val="22"/>
          <w:szCs w:val="22"/>
          <w:lang w:eastAsia="es-MX"/>
        </w:rPr>
        <w:t>XI.</w:t>
      </w:r>
      <w:r w:rsidRPr="004F3E91">
        <w:rPr>
          <w:rFonts w:ascii="Palatino Linotype" w:eastAsia="Calibri" w:hAnsi="Palatino Linotype" w:cs="Arial"/>
          <w:i/>
          <w:iCs/>
          <w:sz w:val="22"/>
          <w:szCs w:val="22"/>
          <w:lang w:eastAsia="es-MX"/>
        </w:rPr>
        <w:t xml:space="preserve"> Vulnere la conducción de los Expedientes judiciales o de los procedimientos administrativos seguidos en forma de juicio, en tanto no hayan causado estado;</w:t>
      </w:r>
    </w:p>
    <w:p w14:paraId="77A6B0FD" w14:textId="2BD5A769" w:rsidR="00BC4983" w:rsidRPr="004F3E91" w:rsidRDefault="00BC4983" w:rsidP="00BC4983">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eastAsia="es-MX"/>
        </w:rPr>
        <w:t>(…)”</w:t>
      </w:r>
    </w:p>
    <w:p w14:paraId="65B1AD34" w14:textId="77777777" w:rsidR="00BC4983" w:rsidRPr="004F3E91" w:rsidRDefault="00BC4983" w:rsidP="00F041F2">
      <w:pPr>
        <w:spacing w:line="360" w:lineRule="auto"/>
        <w:contextualSpacing/>
        <w:jc w:val="both"/>
        <w:rPr>
          <w:rFonts w:ascii="Palatino Linotype" w:eastAsia="Calibri" w:hAnsi="Palatino Linotype" w:cs="Arial"/>
          <w:lang w:val="es-MX" w:eastAsia="es-MX"/>
        </w:rPr>
      </w:pPr>
    </w:p>
    <w:p w14:paraId="70DED38B" w14:textId="7E02717E" w:rsidR="00F041F2" w:rsidRPr="004F3E91" w:rsidRDefault="00805C0C"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Correlativo a lo anterior, los Lineamientos Generales en Materia de Clasificación y Desclasificación de la Información, así Como para la Elaboración de </w:t>
      </w:r>
      <w:r w:rsidRPr="004F3E91">
        <w:rPr>
          <w:rFonts w:ascii="Palatino Linotype" w:eastAsia="MS Mincho" w:hAnsi="Palatino Linotype" w:cs="Arial"/>
          <w:lang w:val="es-MX" w:eastAsia="es-MX"/>
        </w:rPr>
        <w:lastRenderedPageBreak/>
        <w:t xml:space="preserve">Versiones Públicas (los Lineamientos), elaborados por el Sistema Nacional de Transparencia, Acceso a la Información Pública y Protección de Datos Personales, </w:t>
      </w:r>
      <w:r w:rsidRPr="004F3E91">
        <w:rPr>
          <w:rFonts w:ascii="Palatino Linotype" w:eastAsia="MS Mincho" w:hAnsi="Palatino Linotype" w:cs="Arial"/>
          <w:lang w:eastAsia="es-MX"/>
        </w:rPr>
        <w:t>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Pr="004F3E91">
        <w:rPr>
          <w:rStyle w:val="Refdenotaalpie"/>
          <w:rFonts w:ascii="Palatino Linotype" w:eastAsia="MS Mincho" w:hAnsi="Palatino Linotype" w:cs="Arial"/>
          <w:lang w:eastAsia="es-MX"/>
        </w:rPr>
        <w:footnoteReference w:id="28"/>
      </w:r>
      <w:r w:rsidRPr="004F3E91">
        <w:rPr>
          <w:rFonts w:ascii="Palatino Linotype" w:eastAsia="MS Mincho" w:hAnsi="Palatino Linotype" w:cs="Arial"/>
          <w:lang w:eastAsia="es-MX"/>
        </w:rPr>
        <w:t>.</w:t>
      </w:r>
    </w:p>
    <w:p w14:paraId="31C4E8BE" w14:textId="77777777" w:rsidR="00F041F2" w:rsidRPr="004F3E91" w:rsidRDefault="00F041F2" w:rsidP="00F041F2">
      <w:pPr>
        <w:spacing w:line="360" w:lineRule="auto"/>
        <w:contextualSpacing/>
        <w:jc w:val="both"/>
        <w:rPr>
          <w:rFonts w:ascii="Palatino Linotype" w:eastAsia="Calibri" w:hAnsi="Palatino Linotype" w:cs="Arial"/>
          <w:lang w:val="es-MX" w:eastAsia="es-MX"/>
        </w:rPr>
      </w:pPr>
    </w:p>
    <w:p w14:paraId="2E81746B" w14:textId="2D175A12" w:rsidR="00F041F2" w:rsidRPr="004F3E91" w:rsidRDefault="00805C0C"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Por cuanto hace a la información susceptible de ser reservada con base en la fracción XI del artículo 113 de la Ley General, el Lineamiento Trigésimo establece lo siguiente: </w:t>
      </w:r>
    </w:p>
    <w:p w14:paraId="237997AA" w14:textId="73E73216"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3308CAEA" w14:textId="77777777" w:rsidR="00805C0C" w:rsidRPr="004F3E91" w:rsidRDefault="00805C0C" w:rsidP="00805C0C">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val="es-MX" w:eastAsia="es-MX"/>
        </w:rPr>
        <w:t>“</w:t>
      </w:r>
      <w:r w:rsidRPr="004F3E91">
        <w:rPr>
          <w:rFonts w:ascii="Palatino Linotype" w:eastAsia="Calibri" w:hAnsi="Palatino Linotype" w:cs="Arial"/>
          <w:b/>
          <w:bCs/>
          <w:i/>
          <w:iCs/>
          <w:sz w:val="22"/>
          <w:szCs w:val="22"/>
          <w:lang w:val="es-MX" w:eastAsia="es-MX"/>
        </w:rPr>
        <w:t>Trigésimo.</w:t>
      </w:r>
      <w:r w:rsidRPr="004F3E91">
        <w:rPr>
          <w:rFonts w:ascii="Palatino Linotype" w:eastAsia="Calibri" w:hAnsi="Palatino Linotype" w:cs="Arial"/>
          <w:i/>
          <w:iCs/>
          <w:sz w:val="22"/>
          <w:szCs w:val="22"/>
          <w:lang w:val="es-MX" w:eastAsia="es-MX"/>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735D2F79" w14:textId="56BFBFD4" w:rsidR="00805C0C" w:rsidRPr="004F3E91" w:rsidRDefault="00805C0C" w:rsidP="00805C0C">
      <w:pPr>
        <w:spacing w:line="276" w:lineRule="auto"/>
        <w:ind w:left="851"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I.</w:t>
      </w:r>
      <w:r w:rsidRPr="004F3E91">
        <w:rPr>
          <w:rFonts w:ascii="Palatino Linotype" w:eastAsia="Calibri" w:hAnsi="Palatino Linotype" w:cs="Arial"/>
          <w:i/>
          <w:iCs/>
          <w:sz w:val="22"/>
          <w:szCs w:val="22"/>
          <w:lang w:val="es-MX" w:eastAsia="es-MX"/>
        </w:rPr>
        <w:t xml:space="preserve"> La existencia de un juicio o procedimiento administrativo materialmente jurisdiccional, que se encuentre en trámite, y</w:t>
      </w:r>
    </w:p>
    <w:p w14:paraId="58F32533" w14:textId="71BE2BDA" w:rsidR="00805C0C" w:rsidRPr="004F3E91" w:rsidRDefault="00805C0C" w:rsidP="00805C0C">
      <w:pPr>
        <w:spacing w:line="276" w:lineRule="auto"/>
        <w:ind w:left="851"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II.</w:t>
      </w:r>
      <w:r w:rsidRPr="004F3E91">
        <w:rPr>
          <w:rFonts w:ascii="Palatino Linotype" w:eastAsia="Calibri" w:hAnsi="Palatino Linotype" w:cs="Arial"/>
          <w:i/>
          <w:iCs/>
          <w:sz w:val="22"/>
          <w:szCs w:val="22"/>
          <w:lang w:val="es-MX" w:eastAsia="es-MX"/>
        </w:rPr>
        <w:t xml:space="preserve"> Que la información solicitada se refiera a actuaciones, diligencias o constancias propias del procedimiento.</w:t>
      </w:r>
    </w:p>
    <w:p w14:paraId="6AA679D6" w14:textId="77777777" w:rsidR="00805C0C" w:rsidRPr="004F3E91" w:rsidRDefault="00805C0C" w:rsidP="00805C0C">
      <w:pPr>
        <w:spacing w:line="276" w:lineRule="auto"/>
        <w:ind w:left="567" w:right="567"/>
        <w:contextualSpacing/>
        <w:jc w:val="both"/>
        <w:rPr>
          <w:rFonts w:ascii="Palatino Linotype" w:eastAsia="Calibri" w:hAnsi="Palatino Linotype" w:cs="Arial"/>
          <w:i/>
          <w:iCs/>
          <w:sz w:val="22"/>
          <w:szCs w:val="22"/>
          <w:lang w:val="es-MX" w:eastAsia="es-MX"/>
        </w:rPr>
      </w:pPr>
    </w:p>
    <w:p w14:paraId="02E6F344" w14:textId="07E80222" w:rsidR="00805C0C" w:rsidRPr="004F3E91" w:rsidRDefault="00805C0C" w:rsidP="00805C0C">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val="es-MX" w:eastAsia="es-MX"/>
        </w:rPr>
        <w:t>Para los efectos del primer párrafo de este numeral, se considera procedimiento seguido en forma de juicio a aquel formalmente administrativo, pero materialmente jurisdiccional; esto es, en el que concurran los siguientes elementos:</w:t>
      </w:r>
    </w:p>
    <w:p w14:paraId="710F3418" w14:textId="77777777" w:rsidR="00805C0C" w:rsidRPr="004F3E91" w:rsidRDefault="00805C0C" w:rsidP="00805C0C">
      <w:pPr>
        <w:spacing w:line="276" w:lineRule="auto"/>
        <w:ind w:left="851"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1.</w:t>
      </w:r>
      <w:r w:rsidRPr="004F3E91">
        <w:rPr>
          <w:rFonts w:ascii="Palatino Linotype" w:eastAsia="Calibri" w:hAnsi="Palatino Linotype" w:cs="Arial"/>
          <w:i/>
          <w:iCs/>
          <w:sz w:val="22"/>
          <w:szCs w:val="22"/>
          <w:lang w:val="es-MX" w:eastAsia="es-MX"/>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6F4E65FE" w14:textId="77777777" w:rsidR="00805C0C" w:rsidRPr="004F3E91" w:rsidRDefault="00805C0C" w:rsidP="00805C0C">
      <w:pPr>
        <w:spacing w:line="276" w:lineRule="auto"/>
        <w:ind w:left="851"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b/>
          <w:bCs/>
          <w:i/>
          <w:iCs/>
          <w:sz w:val="22"/>
          <w:szCs w:val="22"/>
          <w:lang w:val="es-MX" w:eastAsia="es-MX"/>
        </w:rPr>
        <w:t>2.</w:t>
      </w:r>
      <w:r w:rsidRPr="004F3E91">
        <w:rPr>
          <w:rFonts w:ascii="Palatino Linotype" w:eastAsia="Calibri" w:hAnsi="Palatino Linotype" w:cs="Arial"/>
          <w:i/>
          <w:iCs/>
          <w:sz w:val="22"/>
          <w:szCs w:val="22"/>
          <w:lang w:val="es-MX" w:eastAsia="es-MX"/>
        </w:rPr>
        <w:t xml:space="preserve"> Que se cumplan las formalidades esenciales del procedimiento.</w:t>
      </w:r>
    </w:p>
    <w:p w14:paraId="07797620" w14:textId="3DB46899" w:rsidR="00805C0C" w:rsidRPr="004F3E91" w:rsidRDefault="00805C0C" w:rsidP="00805C0C">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val="es-MX" w:eastAsia="es-MX"/>
        </w:rPr>
        <w:lastRenderedPageBreak/>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1B8299FC"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251BF86E" w14:textId="24F18D56" w:rsidR="00805C0C" w:rsidRPr="004F3E91" w:rsidRDefault="00805C0C"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De lo anterior se coligue que para acreditar vulneración en</w:t>
      </w:r>
      <w:r w:rsidRPr="004F3E91">
        <w:rPr>
          <w:rFonts w:ascii="Palatino Linotype" w:eastAsia="MS Mincho" w:hAnsi="Palatino Linotype" w:cs="Arial"/>
          <w:i/>
          <w:iCs/>
          <w:lang w:eastAsia="es-MX"/>
        </w:rPr>
        <w:t xml:space="preserve"> </w:t>
      </w:r>
      <w:r w:rsidRPr="004F3E91">
        <w:rPr>
          <w:rFonts w:ascii="Palatino Linotype" w:eastAsia="MS Mincho" w:hAnsi="Palatino Linotype" w:cs="Arial"/>
          <w:lang w:eastAsia="es-MX"/>
        </w:rPr>
        <w:t>la conducción de los Expedientes judiciales o de los procedimientos administrativos seguidos en forma de juicio, en tanto no hayan causado estado, deberán acreditarse dos elementos:</w:t>
      </w:r>
    </w:p>
    <w:p w14:paraId="61C7DA22" w14:textId="66D9933B" w:rsidR="00797622" w:rsidRPr="004F3E91" w:rsidRDefault="00797622" w:rsidP="00797622">
      <w:pPr>
        <w:numPr>
          <w:ilvl w:val="1"/>
          <w:numId w:val="26"/>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eastAsia="es-MX"/>
        </w:rPr>
        <w:t>Que exista un juicio o procedimiento administrativo materialmente jurisdiccional, que se encuentre en trámite; y</w:t>
      </w:r>
    </w:p>
    <w:p w14:paraId="43F22D1A" w14:textId="2CE65CBB" w:rsidR="00797622" w:rsidRPr="004F3E91" w:rsidRDefault="00797622" w:rsidP="00797622">
      <w:pPr>
        <w:numPr>
          <w:ilvl w:val="1"/>
          <w:numId w:val="26"/>
        </w:numPr>
        <w:spacing w:line="360" w:lineRule="auto"/>
        <w:ind w:left="1134"/>
        <w:contextualSpacing/>
        <w:jc w:val="both"/>
        <w:rPr>
          <w:rFonts w:ascii="Palatino Linotype" w:eastAsia="Calibri" w:hAnsi="Palatino Linotype" w:cs="Arial"/>
          <w:lang w:val="es-MX" w:eastAsia="es-MX"/>
        </w:rPr>
      </w:pPr>
      <w:r w:rsidRPr="004F3E91">
        <w:rPr>
          <w:rFonts w:ascii="Palatino Linotype" w:eastAsia="MS Mincho" w:hAnsi="Palatino Linotype" w:cs="Arial"/>
          <w:lang w:eastAsia="es-MX"/>
        </w:rPr>
        <w:t>Que la información solicitada se refiera a actuaciones, diligencias o constancias propias del procedimiento.</w:t>
      </w:r>
    </w:p>
    <w:p w14:paraId="6E1E2EBB"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5D80A2A8" w14:textId="42F5DE0C" w:rsidR="00805C0C" w:rsidRPr="004F3E91" w:rsidRDefault="0079762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Calibri" w:hAnsi="Palatino Linotype" w:cs="Arial"/>
          <w:lang w:val="es-MX" w:eastAsia="es-MX"/>
        </w:rPr>
        <w:t xml:space="preserve">Ahora bien, a fin de acreditar el primer elemento se debe demostrar: </w:t>
      </w:r>
      <w:r w:rsidRPr="004F3E91">
        <w:rPr>
          <w:rFonts w:ascii="Palatino Linotype" w:eastAsia="MS Mincho" w:hAnsi="Palatino Linotype" w:cs="Arial"/>
          <w:b/>
          <w:bCs/>
          <w:lang w:eastAsia="es-MX"/>
        </w:rPr>
        <w:t>a)</w:t>
      </w:r>
      <w:r w:rsidRPr="004F3E91">
        <w:rPr>
          <w:rFonts w:ascii="Palatino Linotype" w:eastAsia="MS Mincho" w:hAnsi="Palatino Linotype" w:cs="Arial"/>
          <w:lang w:eastAsia="es-MX"/>
        </w:rPr>
        <w:t xml:space="preserve"> Que se trate de un procedimiento en el que el </w:t>
      </w:r>
      <w:r w:rsidRPr="004F3E91">
        <w:rPr>
          <w:rFonts w:ascii="Palatino Linotype" w:eastAsia="MS Mincho" w:hAnsi="Palatino Linotype" w:cs="Arial"/>
          <w:b/>
          <w:bCs/>
          <w:lang w:eastAsia="es-MX"/>
        </w:rPr>
        <w:t>SUJETO OBLIGADO</w:t>
      </w:r>
      <w:r w:rsidRPr="004F3E91">
        <w:rPr>
          <w:rFonts w:ascii="Palatino Linotype" w:eastAsia="MS Mincho" w:hAnsi="Palatino Linotype" w:cs="Arial"/>
          <w:lang w:eastAsia="es-MX"/>
        </w:rPr>
        <w:t xml:space="preserve"> dirima una controversia entre partes contendientes; y, </w:t>
      </w:r>
      <w:r w:rsidRPr="004F3E91">
        <w:rPr>
          <w:rFonts w:ascii="Palatino Linotype" w:eastAsia="MS Mincho" w:hAnsi="Palatino Linotype" w:cs="Arial"/>
          <w:b/>
          <w:bCs/>
          <w:lang w:eastAsia="es-MX"/>
        </w:rPr>
        <w:t>b)</w:t>
      </w:r>
      <w:r w:rsidRPr="004F3E91">
        <w:rPr>
          <w:rFonts w:ascii="Palatino Linotype" w:eastAsia="MS Mincho" w:hAnsi="Palatino Linotype" w:cs="Arial"/>
          <w:lang w:eastAsia="es-MX"/>
        </w:rPr>
        <w:t xml:space="preserve"> Que se cumplan las formalidades esenciales del procedimiento.</w:t>
      </w:r>
    </w:p>
    <w:p w14:paraId="1AA2F4A5"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6A065633" w14:textId="5E9034B1" w:rsidR="00805C0C" w:rsidRPr="004F3E91" w:rsidRDefault="0030449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A efecto de comprobar lo anterior, debemos traer a estudio lo dispuesto por</w:t>
      </w:r>
      <w:r w:rsidR="00797622" w:rsidRPr="004F3E91">
        <w:rPr>
          <w:rFonts w:ascii="Palatino Linotype" w:eastAsia="MS Mincho" w:hAnsi="Palatino Linotype" w:cs="Arial"/>
          <w:lang w:val="es-MX" w:eastAsia="es-MX"/>
        </w:rPr>
        <w:t xml:space="preserve"> el artículo 3.49 del Código Reglamentario Municipal de Toluca, el cual señala lo siguiente:</w:t>
      </w:r>
    </w:p>
    <w:p w14:paraId="4E17F814" w14:textId="5CFE8552"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69440144" w14:textId="77777777"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val="es-MX" w:eastAsia="es-MX"/>
        </w:rPr>
        <w:t>“</w:t>
      </w:r>
      <w:r w:rsidRPr="004F3E91">
        <w:rPr>
          <w:rFonts w:ascii="Palatino Linotype" w:eastAsia="Calibri" w:hAnsi="Palatino Linotype" w:cs="Arial"/>
          <w:b/>
          <w:bCs/>
          <w:i/>
          <w:iCs/>
          <w:sz w:val="22"/>
          <w:szCs w:val="22"/>
          <w:lang w:val="es-MX" w:eastAsia="es-MX"/>
        </w:rPr>
        <w:t>Artículo 3.49.</w:t>
      </w:r>
      <w:r w:rsidRPr="004F3E91">
        <w:rPr>
          <w:rFonts w:ascii="Palatino Linotype" w:eastAsia="Calibri" w:hAnsi="Palatino Linotype" w:cs="Arial"/>
          <w:i/>
          <w:iCs/>
          <w:sz w:val="22"/>
          <w:szCs w:val="22"/>
          <w:lang w:val="es-MX" w:eastAsia="es-MX"/>
        </w:rPr>
        <w:t xml:space="preserve"> La o el titular de la Dirección General de Medio Ambiente tendrá las </w:t>
      </w:r>
    </w:p>
    <w:p w14:paraId="2B4D92E7" w14:textId="7AECB0D5"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val="es-MX" w:eastAsia="es-MX"/>
        </w:rPr>
        <w:t>siguientes atribuciones:</w:t>
      </w:r>
    </w:p>
    <w:p w14:paraId="6548E0AD" w14:textId="7E20289C"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val="es-MX" w:eastAsia="es-MX"/>
        </w:rPr>
      </w:pPr>
      <w:r w:rsidRPr="004F3E91">
        <w:rPr>
          <w:rFonts w:ascii="Palatino Linotype" w:eastAsia="Calibri" w:hAnsi="Palatino Linotype" w:cs="Arial"/>
          <w:i/>
          <w:iCs/>
          <w:sz w:val="22"/>
          <w:szCs w:val="22"/>
          <w:lang w:val="es-MX" w:eastAsia="es-MX"/>
        </w:rPr>
        <w:t>(…)</w:t>
      </w:r>
    </w:p>
    <w:p w14:paraId="32C2D2B2" w14:textId="5E11C78C"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b/>
          <w:bCs/>
          <w:i/>
          <w:iCs/>
          <w:sz w:val="22"/>
          <w:szCs w:val="22"/>
          <w:lang w:eastAsia="es-MX"/>
        </w:rPr>
        <w:lastRenderedPageBreak/>
        <w:t>XV.</w:t>
      </w:r>
      <w:r w:rsidRPr="004F3E91">
        <w:rPr>
          <w:rFonts w:ascii="Palatino Linotype" w:eastAsia="Calibri" w:hAnsi="Palatino Linotype" w:cs="Arial"/>
          <w:i/>
          <w:iCs/>
          <w:sz w:val="22"/>
          <w:szCs w:val="22"/>
          <w:lang w:eastAsia="es-MX"/>
        </w:rPr>
        <w:t xml:space="preserve"> Ordenar la inspección para verificar el cumplimiento de la normatividad ambiental y en su caso, </w:t>
      </w:r>
      <w:r w:rsidRPr="004F3E91">
        <w:rPr>
          <w:rFonts w:ascii="Palatino Linotype" w:eastAsia="Calibri" w:hAnsi="Palatino Linotype" w:cs="Arial"/>
          <w:b/>
          <w:bCs/>
          <w:i/>
          <w:iCs/>
          <w:sz w:val="22"/>
          <w:szCs w:val="22"/>
          <w:lang w:eastAsia="es-MX"/>
        </w:rPr>
        <w:t>sancionar las infracciones, previa instauración del procedimiento administrativo correspondiente</w:t>
      </w:r>
      <w:r w:rsidRPr="004F3E91">
        <w:rPr>
          <w:rFonts w:ascii="Palatino Linotype" w:eastAsia="Calibri" w:hAnsi="Palatino Linotype" w:cs="Arial"/>
          <w:i/>
          <w:iCs/>
          <w:sz w:val="22"/>
          <w:szCs w:val="22"/>
          <w:lang w:eastAsia="es-MX"/>
        </w:rPr>
        <w:t>;</w:t>
      </w:r>
    </w:p>
    <w:p w14:paraId="6B213CC5" w14:textId="1E35C8C6"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eastAsia="es-MX"/>
        </w:rPr>
        <w:t>(…)</w:t>
      </w:r>
    </w:p>
    <w:p w14:paraId="791B7082" w14:textId="77777777"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b/>
          <w:bCs/>
          <w:i/>
          <w:iCs/>
          <w:sz w:val="22"/>
          <w:szCs w:val="22"/>
          <w:lang w:eastAsia="es-MX"/>
        </w:rPr>
        <w:t>XIX.</w:t>
      </w:r>
      <w:r w:rsidRPr="004F3E91">
        <w:rPr>
          <w:rFonts w:ascii="Palatino Linotype" w:eastAsia="Calibri" w:hAnsi="Palatino Linotype" w:cs="Arial"/>
          <w:i/>
          <w:iCs/>
          <w:sz w:val="22"/>
          <w:szCs w:val="22"/>
          <w:lang w:eastAsia="es-MX"/>
        </w:rPr>
        <w:t xml:space="preserve"> </w:t>
      </w:r>
      <w:r w:rsidRPr="004F3E91">
        <w:rPr>
          <w:rFonts w:ascii="Palatino Linotype" w:eastAsia="Calibri" w:hAnsi="Palatino Linotype" w:cs="Arial"/>
          <w:b/>
          <w:bCs/>
          <w:i/>
          <w:iCs/>
          <w:sz w:val="22"/>
          <w:szCs w:val="22"/>
          <w:lang w:eastAsia="es-MX"/>
        </w:rPr>
        <w:t>Aplicar las disposiciones jurídicas en materia de prevención y control de la contaminación ambiental</w:t>
      </w:r>
      <w:r w:rsidRPr="004F3E91">
        <w:rPr>
          <w:rFonts w:ascii="Palatino Linotype" w:eastAsia="Calibri" w:hAnsi="Palatino Linotype" w:cs="Arial"/>
          <w:i/>
          <w:iCs/>
          <w:sz w:val="22"/>
          <w:szCs w:val="22"/>
          <w:lang w:eastAsia="es-MX"/>
        </w:rPr>
        <w:t xml:space="preserve"> causada por fuentes móviles o fijas, que sean de jurisdicción municipal; </w:t>
      </w:r>
    </w:p>
    <w:p w14:paraId="1064198B" w14:textId="2CB819F9"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b/>
          <w:bCs/>
          <w:i/>
          <w:iCs/>
          <w:sz w:val="22"/>
          <w:szCs w:val="22"/>
          <w:lang w:eastAsia="es-MX"/>
        </w:rPr>
        <w:t>XX.</w:t>
      </w:r>
      <w:r w:rsidRPr="004F3E91">
        <w:rPr>
          <w:rFonts w:ascii="Palatino Linotype" w:eastAsia="Calibri" w:hAnsi="Palatino Linotype" w:cs="Arial"/>
          <w:i/>
          <w:iCs/>
          <w:sz w:val="22"/>
          <w:szCs w:val="22"/>
          <w:lang w:eastAsia="es-MX"/>
        </w:rPr>
        <w:t xml:space="preserve"> </w:t>
      </w:r>
      <w:r w:rsidRPr="004F3E91">
        <w:rPr>
          <w:rFonts w:ascii="Palatino Linotype" w:eastAsia="Calibri" w:hAnsi="Palatino Linotype" w:cs="Arial"/>
          <w:b/>
          <w:bCs/>
          <w:i/>
          <w:iCs/>
          <w:sz w:val="22"/>
          <w:szCs w:val="22"/>
          <w:lang w:eastAsia="es-MX"/>
        </w:rPr>
        <w:t>Ejercer las facultades municipales en materia de medio ambiente</w:t>
      </w:r>
      <w:r w:rsidRPr="004F3E91">
        <w:rPr>
          <w:rFonts w:ascii="Palatino Linotype" w:eastAsia="Calibri" w:hAnsi="Palatino Linotype" w:cs="Arial"/>
          <w:i/>
          <w:iCs/>
          <w:sz w:val="22"/>
          <w:szCs w:val="22"/>
          <w:lang w:eastAsia="es-MX"/>
        </w:rPr>
        <w:t>, en términos de las disposiciones legales aplicables;</w:t>
      </w:r>
    </w:p>
    <w:p w14:paraId="2DC92AEB" w14:textId="1F5D4E8F" w:rsidR="00797622" w:rsidRPr="004F3E91" w:rsidRDefault="00797622" w:rsidP="00797622">
      <w:pPr>
        <w:spacing w:line="276" w:lineRule="auto"/>
        <w:ind w:left="567" w:right="567"/>
        <w:contextualSpacing/>
        <w:jc w:val="both"/>
        <w:rPr>
          <w:rFonts w:ascii="Palatino Linotype" w:eastAsia="Calibri" w:hAnsi="Palatino Linotype" w:cs="Arial"/>
          <w:i/>
          <w:iCs/>
          <w:sz w:val="22"/>
          <w:szCs w:val="22"/>
          <w:lang w:eastAsia="es-MX"/>
        </w:rPr>
      </w:pPr>
      <w:r w:rsidRPr="004F3E91">
        <w:rPr>
          <w:rFonts w:ascii="Palatino Linotype" w:eastAsia="Calibri" w:hAnsi="Palatino Linotype" w:cs="Arial"/>
          <w:i/>
          <w:iCs/>
          <w:sz w:val="22"/>
          <w:szCs w:val="22"/>
          <w:lang w:eastAsia="es-MX"/>
        </w:rPr>
        <w:t>(…)”</w:t>
      </w:r>
    </w:p>
    <w:p w14:paraId="599B8D4E" w14:textId="1EE99528" w:rsidR="00797622" w:rsidRPr="004F3E91" w:rsidRDefault="00797622" w:rsidP="00797622">
      <w:pPr>
        <w:spacing w:line="276" w:lineRule="auto"/>
        <w:ind w:left="567" w:right="567"/>
        <w:contextualSpacing/>
        <w:jc w:val="both"/>
        <w:rPr>
          <w:rFonts w:ascii="Palatino Linotype" w:eastAsia="Calibri" w:hAnsi="Palatino Linotype" w:cs="Arial"/>
          <w:sz w:val="22"/>
          <w:szCs w:val="22"/>
          <w:lang w:val="es-MX" w:eastAsia="es-MX"/>
        </w:rPr>
      </w:pPr>
      <w:r w:rsidRPr="004F3E91">
        <w:rPr>
          <w:rFonts w:ascii="Palatino Linotype" w:eastAsia="Calibri" w:hAnsi="Palatino Linotype" w:cs="Arial"/>
          <w:sz w:val="22"/>
          <w:szCs w:val="22"/>
          <w:lang w:eastAsia="es-MX"/>
        </w:rPr>
        <w:t>(Énfasis añadido)</w:t>
      </w:r>
    </w:p>
    <w:p w14:paraId="34FE181D" w14:textId="77777777" w:rsidR="00797622" w:rsidRPr="004F3E91" w:rsidRDefault="00797622" w:rsidP="00805C0C">
      <w:pPr>
        <w:spacing w:line="360" w:lineRule="auto"/>
        <w:contextualSpacing/>
        <w:jc w:val="both"/>
        <w:rPr>
          <w:rFonts w:ascii="Palatino Linotype" w:eastAsia="Calibri" w:hAnsi="Palatino Linotype" w:cs="Arial"/>
          <w:lang w:val="es-MX" w:eastAsia="es-MX"/>
        </w:rPr>
      </w:pPr>
    </w:p>
    <w:p w14:paraId="6EBE4C62" w14:textId="75CE0CBA" w:rsidR="00805C0C" w:rsidRPr="004F3E91" w:rsidRDefault="0079762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Luego entonces, se advierte que el Ayuntamiento de Toluca, a través de la </w:t>
      </w:r>
      <w:r w:rsidRPr="004F3E91">
        <w:rPr>
          <w:rFonts w:ascii="Palatino Linotype" w:eastAsia="MS Mincho" w:hAnsi="Palatino Linotype" w:cs="Arial"/>
          <w:b/>
          <w:bCs/>
          <w:lang w:val="es-MX" w:eastAsia="es-MX"/>
        </w:rPr>
        <w:t>Dirección General de Medio Ambiente</w:t>
      </w:r>
      <w:r w:rsidRPr="004F3E91">
        <w:rPr>
          <w:rFonts w:ascii="Palatino Linotype" w:eastAsia="MS Mincho" w:hAnsi="Palatino Linotype" w:cs="Arial"/>
          <w:lang w:val="es-MX" w:eastAsia="es-MX"/>
        </w:rPr>
        <w:t xml:space="preserve">, se encargará de recibir, sustanciar y resolver las quejas y denuncias relacionadas con </w:t>
      </w:r>
      <w:r w:rsidRPr="004F3E91">
        <w:rPr>
          <w:rFonts w:ascii="Palatino Linotype" w:eastAsia="MS Mincho" w:hAnsi="Palatino Linotype" w:cs="Arial"/>
          <w:b/>
          <w:bCs/>
          <w:lang w:val="es-MX" w:eastAsia="es-MX"/>
        </w:rPr>
        <w:t>ruido excesivo</w:t>
      </w:r>
      <w:r w:rsidRPr="004F3E91">
        <w:rPr>
          <w:rFonts w:ascii="Palatino Linotype" w:eastAsia="MS Mincho" w:hAnsi="Palatino Linotype" w:cs="Arial"/>
          <w:lang w:val="es-MX" w:eastAsia="es-MX"/>
        </w:rPr>
        <w:t xml:space="preserve"> que presenten los particulares vecinos del Municipio de Toluca</w:t>
      </w:r>
      <w:r w:rsidR="00304497" w:rsidRPr="004F3E91">
        <w:rPr>
          <w:rFonts w:ascii="Palatino Linotype" w:eastAsia="MS Mincho" w:hAnsi="Palatino Linotype" w:cs="Arial"/>
          <w:lang w:val="es-MX" w:eastAsia="es-MX"/>
        </w:rPr>
        <w:t>; y, a su vez, instaurará los procedimientos administrativos respectivos para culminar, de ser procedente, en la imposición de sanciones.</w:t>
      </w:r>
    </w:p>
    <w:p w14:paraId="583404FA"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2E260E17" w14:textId="6458B885" w:rsidR="00805C0C" w:rsidRPr="004F3E91" w:rsidRDefault="0030449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Así, por cuanto hace al primer elemento de acreditación reconocido por el Lineamiento Trigésimo, siempre y cuando los expedientes formados por quejas o denuncias por </w:t>
      </w:r>
      <w:r w:rsidRPr="004F3E91">
        <w:rPr>
          <w:rFonts w:ascii="Palatino Linotype" w:eastAsia="MS Mincho" w:hAnsi="Palatino Linotype" w:cs="Arial"/>
          <w:b/>
          <w:bCs/>
          <w:lang w:val="es-MX" w:eastAsia="es-MX"/>
        </w:rPr>
        <w:t>ruido excesivo</w:t>
      </w:r>
      <w:r w:rsidRPr="004F3E91">
        <w:rPr>
          <w:rFonts w:ascii="Palatino Linotype" w:eastAsia="MS Mincho" w:hAnsi="Palatino Linotype" w:cs="Arial"/>
          <w:lang w:val="es-MX" w:eastAsia="es-MX"/>
        </w:rPr>
        <w:t xml:space="preserve"> aún</w:t>
      </w:r>
      <w:r w:rsidRPr="004F3E91">
        <w:rPr>
          <w:rFonts w:ascii="Palatino Linotype" w:eastAsia="MS Mincho" w:hAnsi="Palatino Linotype" w:cs="Arial"/>
          <w:lang w:eastAsia="es-MX"/>
        </w:rPr>
        <w:t xml:space="preserve"> se encuentren en trámite, será procedente el considerar su reserva total; lo cual se concatena con el segundo </w:t>
      </w:r>
      <w:r w:rsidRPr="004F3E91">
        <w:rPr>
          <w:rFonts w:ascii="Palatino Linotype" w:eastAsia="MS Mincho" w:hAnsi="Palatino Linotype" w:cs="Arial"/>
          <w:lang w:val="es-MX" w:eastAsia="es-MX"/>
        </w:rPr>
        <w:t>elemento de acreditación reconocido por el Lineamiento Trigésimo, pues el particular requirió la acceder a la respuesta de la autoridad municipal, así como todo el soporte documental de los expedientes, o lo que es lo mismo, las</w:t>
      </w:r>
      <w:r w:rsidRPr="004F3E91">
        <w:rPr>
          <w:rFonts w:ascii="Palatino Linotype" w:eastAsia="MS Mincho" w:hAnsi="Palatino Linotype" w:cs="Arial"/>
          <w:lang w:eastAsia="es-MX"/>
        </w:rPr>
        <w:t xml:space="preserve"> actuaciones, diligencias o constancias propias del procedimiento.</w:t>
      </w:r>
    </w:p>
    <w:p w14:paraId="6F80C9DE"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4CB381D8" w14:textId="5EF639B2" w:rsidR="00805C0C" w:rsidRPr="004F3E91" w:rsidRDefault="00304497"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lastRenderedPageBreak/>
        <w:t xml:space="preserve">Atento </w:t>
      </w:r>
      <w:r w:rsidRPr="004F3E91">
        <w:rPr>
          <w:rFonts w:ascii="Palatino Linotype" w:hAnsi="Palatino Linotype" w:cs="Arial"/>
          <w:color w:val="000000" w:themeColor="text1"/>
        </w:rPr>
        <w:t xml:space="preserve">al análisis anterior, este Organismo Garante concluye que, si bien es cierto que el </w:t>
      </w:r>
      <w:r w:rsidRPr="004F3E91">
        <w:rPr>
          <w:rFonts w:ascii="Palatino Linotype" w:hAnsi="Palatino Linotype" w:cs="Arial"/>
          <w:b/>
          <w:bCs/>
          <w:color w:val="000000" w:themeColor="text1"/>
        </w:rPr>
        <w:t>SUJETO OBLIGADO</w:t>
      </w:r>
      <w:r w:rsidRPr="004F3E91">
        <w:rPr>
          <w:rFonts w:ascii="Palatino Linotype" w:hAnsi="Palatino Linotype" w:cs="Arial"/>
          <w:color w:val="000000" w:themeColor="text1"/>
        </w:rPr>
        <w:t xml:space="preserve"> realizó un ejercicio de clasificación</w:t>
      </w:r>
      <w:r w:rsidR="000B6492" w:rsidRPr="004F3E91">
        <w:rPr>
          <w:rFonts w:ascii="Palatino Linotype" w:hAnsi="Palatino Linotype" w:cs="Arial"/>
          <w:color w:val="000000" w:themeColor="text1"/>
        </w:rPr>
        <w:t xml:space="preserve"> por demás deficiente y negligente, también lo que el entregar expedientes formados por denuncias de ruido excesivo que aún se encuentren en trámite </w:t>
      </w:r>
      <w:r w:rsidR="000B6492" w:rsidRPr="004F3E91">
        <w:rPr>
          <w:rFonts w:ascii="Palatino Linotype" w:hAnsi="Palatino Linotype" w:cs="Arial"/>
          <w:b/>
          <w:bCs/>
          <w:color w:val="000000" w:themeColor="text1"/>
        </w:rPr>
        <w:t>puede vulnerar la conducción del procedimiento, pues éstos no han quedado firmes.</w:t>
      </w:r>
    </w:p>
    <w:p w14:paraId="6CD12D65" w14:textId="77777777" w:rsidR="00805C0C" w:rsidRPr="004F3E91" w:rsidRDefault="00805C0C" w:rsidP="00805C0C">
      <w:pPr>
        <w:spacing w:line="360" w:lineRule="auto"/>
        <w:contextualSpacing/>
        <w:jc w:val="both"/>
        <w:rPr>
          <w:rFonts w:ascii="Palatino Linotype" w:eastAsia="Calibri" w:hAnsi="Palatino Linotype" w:cs="Arial"/>
          <w:lang w:val="es-MX" w:eastAsia="es-MX"/>
        </w:rPr>
      </w:pPr>
    </w:p>
    <w:p w14:paraId="1580A1FD" w14:textId="29C4385B" w:rsidR="00805C0C" w:rsidRPr="004F3E91" w:rsidRDefault="000B6492" w:rsidP="00963686">
      <w:pPr>
        <w:numPr>
          <w:ilvl w:val="0"/>
          <w:numId w:val="2"/>
        </w:numPr>
        <w:spacing w:line="360" w:lineRule="auto"/>
        <w:ind w:left="0" w:firstLine="0"/>
        <w:contextualSpacing/>
        <w:jc w:val="both"/>
        <w:rPr>
          <w:rFonts w:ascii="Palatino Linotype" w:eastAsia="Calibri" w:hAnsi="Palatino Linotype" w:cs="Arial"/>
          <w:lang w:val="es-MX" w:eastAsia="es-MX"/>
        </w:rPr>
      </w:pPr>
      <w:r w:rsidRPr="004F3E91">
        <w:rPr>
          <w:rFonts w:ascii="Palatino Linotype" w:eastAsia="MS Mincho" w:hAnsi="Palatino Linotype" w:cs="Arial"/>
          <w:lang w:val="es-MX" w:eastAsia="es-MX"/>
        </w:rPr>
        <w:t xml:space="preserve">Razón de lo anterior, este Organismo Garante encuentra conforme a derecho el </w:t>
      </w:r>
      <w:r w:rsidRPr="004F3E91">
        <w:rPr>
          <w:rFonts w:ascii="Palatino Linotype" w:eastAsia="MS Mincho" w:hAnsi="Palatino Linotype" w:cs="Arial"/>
          <w:b/>
          <w:bCs/>
          <w:lang w:val="es-MX" w:eastAsia="es-MX"/>
        </w:rPr>
        <w:t>ordenar</w:t>
      </w:r>
      <w:r w:rsidRPr="004F3E91">
        <w:rPr>
          <w:rFonts w:ascii="Palatino Linotype" w:eastAsia="MS Mincho" w:hAnsi="Palatino Linotype" w:cs="Arial"/>
          <w:lang w:val="es-MX" w:eastAsia="es-MX"/>
        </w:rPr>
        <w:t xml:space="preserve"> la entrega de los </w:t>
      </w:r>
      <w:r w:rsidRPr="004F3E91">
        <w:rPr>
          <w:rFonts w:ascii="Palatino Linotype" w:hAnsi="Palatino Linotype" w:cs="Arial"/>
          <w:color w:val="000000" w:themeColor="text1"/>
        </w:rPr>
        <w:t xml:space="preserve">expedientes formados por denuncias de ruido excesivo, que se encuentren concluidos, en versión pública; y, por otro lado, por cuanto hace a los expediente que aún se encuentren en trámite, deberá hacer entrega del Acuerdo de Clasificación </w:t>
      </w:r>
      <w:r w:rsidRPr="004F3E91">
        <w:rPr>
          <w:rFonts w:ascii="Palatino Linotype" w:hAnsi="Palatino Linotype" w:cs="Arial"/>
          <w:b/>
          <w:bCs/>
          <w:color w:val="000000" w:themeColor="text1"/>
        </w:rPr>
        <w:t>debidamente fundado y motivado</w:t>
      </w:r>
      <w:r w:rsidRPr="004F3E91">
        <w:rPr>
          <w:rFonts w:ascii="Palatino Linotype" w:hAnsi="Palatino Linotype" w:cs="Arial"/>
          <w:color w:val="000000" w:themeColor="text1"/>
        </w:rPr>
        <w:t xml:space="preserve"> que sustente su reserva total hasta en tanto no hayan quedado firmes.</w:t>
      </w:r>
    </w:p>
    <w:p w14:paraId="3EFB4ADB" w14:textId="77777777" w:rsidR="00760BB9" w:rsidRPr="004F3E91" w:rsidRDefault="00760BB9" w:rsidP="00F56D3C">
      <w:pPr>
        <w:spacing w:line="360" w:lineRule="auto"/>
        <w:contextualSpacing/>
        <w:jc w:val="both"/>
        <w:rPr>
          <w:rFonts w:ascii="Palatino Linotype" w:eastAsia="Calibri" w:hAnsi="Palatino Linotype" w:cs="Arial"/>
          <w:lang w:val="es-MX" w:eastAsia="es-MX"/>
        </w:rPr>
      </w:pPr>
    </w:p>
    <w:p w14:paraId="6A1FFC8D" w14:textId="1FBB0774" w:rsidR="007D1970" w:rsidRPr="004F3E91" w:rsidRDefault="00357D14" w:rsidP="00F56D3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45" w:name="_Toc89350464"/>
      <w:bookmarkStart w:id="46" w:name="_Toc94119619"/>
      <w:bookmarkStart w:id="47" w:name="_Toc105085579"/>
      <w:r w:rsidRPr="004F3E91">
        <w:rPr>
          <w:rFonts w:ascii="Palatino Linotype" w:hAnsi="Palatino Linotype"/>
          <w:b/>
          <w:bCs/>
          <w:color w:val="000000"/>
          <w:lang w:val="es-MX" w:eastAsia="es-MX"/>
        </w:rPr>
        <w:t>QUINTO</w:t>
      </w:r>
      <w:r w:rsidR="007D1970" w:rsidRPr="004F3E91">
        <w:rPr>
          <w:rFonts w:ascii="Palatino Linotype" w:hAnsi="Palatino Linotype"/>
          <w:b/>
          <w:bCs/>
          <w:color w:val="000000"/>
          <w:lang w:val="es-MX" w:eastAsia="es-MX"/>
        </w:rPr>
        <w:t>. De la versión pública.</w:t>
      </w:r>
      <w:bookmarkEnd w:id="45"/>
      <w:bookmarkEnd w:id="46"/>
      <w:bookmarkEnd w:id="47"/>
    </w:p>
    <w:p w14:paraId="68289200" w14:textId="77777777" w:rsidR="007D1970" w:rsidRPr="004F3E91" w:rsidRDefault="007D1970" w:rsidP="00F56D3C">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4F3E91" w:rsidRDefault="007D1970" w:rsidP="00B07863">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4F3E91">
        <w:rPr>
          <w:rFonts w:ascii="Palatino Linotype" w:hAnsi="Palatino Linotype"/>
          <w:color w:val="000000"/>
          <w:lang w:val="es-MX" w:eastAsia="es-MX"/>
        </w:rPr>
        <w:t>Debe destacarse que, debido a la naturaleza de la información solicitada</w:t>
      </w:r>
      <w:r w:rsidR="007833FC" w:rsidRPr="004F3E91">
        <w:rPr>
          <w:rFonts w:ascii="Palatino Linotype" w:hAnsi="Palatino Linotype"/>
          <w:color w:val="000000"/>
          <w:lang w:val="es-MX" w:eastAsia="es-MX"/>
        </w:rPr>
        <w:t>,</w:t>
      </w:r>
      <w:r w:rsidRPr="004F3E91">
        <w:rPr>
          <w:rFonts w:ascii="Palatino Linotype" w:hAnsi="Palatino Linotype"/>
          <w:b/>
          <w:color w:val="000000"/>
          <w:lang w:val="es-MX" w:eastAsia="es-MX"/>
        </w:rPr>
        <w:t xml:space="preserve"> </w:t>
      </w:r>
      <w:r w:rsidRPr="004F3E91">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w:t>
      </w:r>
      <w:r w:rsidR="007833FC" w:rsidRPr="004F3E91">
        <w:rPr>
          <w:rFonts w:ascii="Palatino Linotype" w:hAnsi="Palatino Linotype"/>
          <w:color w:val="000000"/>
          <w:lang w:val="es-MX" w:eastAsia="es-MX"/>
        </w:rPr>
        <w:t>,</w:t>
      </w:r>
      <w:r w:rsidRPr="004F3E91">
        <w:rPr>
          <w:rFonts w:ascii="Palatino Linotype" w:hAnsi="Palatino Linotype"/>
          <w:color w:val="000000"/>
          <w:lang w:val="es-MX" w:eastAsia="es-MX"/>
        </w:rPr>
        <w:t xml:space="preserve"> en su caso</w:t>
      </w:r>
      <w:r w:rsidR="007833FC" w:rsidRPr="004F3E91">
        <w:rPr>
          <w:rFonts w:ascii="Palatino Linotype" w:hAnsi="Palatino Linotype"/>
          <w:color w:val="000000"/>
          <w:lang w:val="es-MX" w:eastAsia="es-MX"/>
        </w:rPr>
        <w:t>,</w:t>
      </w:r>
      <w:r w:rsidRPr="004F3E91">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4F3E91" w:rsidRDefault="007D1970" w:rsidP="00B07863">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4F3E91" w:rsidRDefault="007D1970" w:rsidP="00B07863">
      <w:pPr>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4F3E91">
        <w:rPr>
          <w:rFonts w:ascii="Palatino Linotype" w:hAnsi="Palatino Linotype"/>
          <w:color w:val="000000"/>
          <w:lang w:val="es-MX" w:eastAsia="es-MX"/>
        </w:rPr>
        <w:t xml:space="preserve">La </w:t>
      </w:r>
      <w:r w:rsidRPr="004F3E91">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w:t>
      </w:r>
      <w:r w:rsidRPr="004F3E91">
        <w:rPr>
          <w:rFonts w:ascii="Palatino Linotype" w:eastAsia="MS Mincho" w:hAnsi="Palatino Linotype"/>
          <w:lang w:val="es-MX" w:eastAsia="es-MX"/>
        </w:rPr>
        <w:lastRenderedPageBreak/>
        <w:t xml:space="preserve">de acceso a la información. </w:t>
      </w:r>
      <w:r w:rsidRPr="004F3E91">
        <w:rPr>
          <w:rFonts w:ascii="Palatino Linotype" w:hAnsi="Palatino Linotype" w:cs="Arial"/>
          <w:color w:val="000000"/>
          <w:lang w:val="es-MX" w:eastAsia="es-MX"/>
        </w:rPr>
        <w:t xml:space="preserve">Actualmente, el grave problema que enfrentamos son los Acuerdos de Clasificación de la Información que emiten los </w:t>
      </w:r>
      <w:r w:rsidRPr="004F3E91">
        <w:rPr>
          <w:rFonts w:ascii="Palatino Linotype" w:hAnsi="Palatino Linotype" w:cs="Arial"/>
          <w:b/>
          <w:color w:val="000000"/>
          <w:lang w:val="es-MX" w:eastAsia="es-MX"/>
        </w:rPr>
        <w:t>SUJETOS OBLIGADOS</w:t>
      </w:r>
      <w:r w:rsidRPr="004F3E91">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97FB682" w14:textId="77777777" w:rsidR="007D1970" w:rsidRPr="004F3E91" w:rsidRDefault="007D1970" w:rsidP="00F56D3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4F3E91"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4F3E91" w:rsidRDefault="007D1970" w:rsidP="007833FC">
            <w:pPr>
              <w:spacing w:line="276" w:lineRule="auto"/>
              <w:rPr>
                <w:rFonts w:ascii="Palatino Linotype" w:hAnsi="Palatino Linotype"/>
                <w:sz w:val="20"/>
                <w:szCs w:val="20"/>
                <w:lang w:val="es-MX" w:eastAsia="es-MX"/>
              </w:rPr>
            </w:pPr>
            <w:r w:rsidRPr="004F3E91">
              <w:rPr>
                <w:rFonts w:ascii="Palatino Linotype" w:hAnsi="Palatino Linotype"/>
                <w:sz w:val="20"/>
                <w:szCs w:val="20"/>
                <w:lang w:val="es-MX" w:eastAsia="es-MX"/>
              </w:rPr>
              <w:t>a) Requisitos previos.</w:t>
            </w:r>
          </w:p>
        </w:tc>
        <w:tc>
          <w:tcPr>
            <w:tcW w:w="6990" w:type="dxa"/>
          </w:tcPr>
          <w:p w14:paraId="696C77BA" w14:textId="77777777" w:rsidR="007D1970" w:rsidRPr="004F3E91"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4F3E91"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4F3E91"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4F3E91"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4F3E91">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4F3E91">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4F3E91">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7D1970" w:rsidRPr="004F3E91"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4F3E91" w:rsidRDefault="007D1970" w:rsidP="007833FC">
            <w:pPr>
              <w:spacing w:line="276" w:lineRule="auto"/>
              <w:rPr>
                <w:rFonts w:ascii="Palatino Linotype" w:hAnsi="Palatino Linotype"/>
                <w:sz w:val="20"/>
                <w:szCs w:val="20"/>
                <w:lang w:val="es-MX" w:eastAsia="es-MX"/>
              </w:rPr>
            </w:pPr>
            <w:r w:rsidRPr="004F3E91">
              <w:rPr>
                <w:rFonts w:ascii="Palatino Linotype" w:hAnsi="Palatino Linotype"/>
                <w:sz w:val="20"/>
                <w:szCs w:val="20"/>
                <w:lang w:val="es-MX" w:eastAsia="es-MX"/>
              </w:rPr>
              <w:t>b) Supuestos de clasificación.</w:t>
            </w:r>
          </w:p>
        </w:tc>
        <w:tc>
          <w:tcPr>
            <w:tcW w:w="6990" w:type="dxa"/>
          </w:tcPr>
          <w:p w14:paraId="4080BC5B"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4F3E91"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4F3E91">
              <w:rPr>
                <w:rFonts w:ascii="Palatino Linotype" w:hAnsi="Palatino Linotype" w:cs="Arial"/>
                <w:sz w:val="20"/>
                <w:szCs w:val="20"/>
                <w:lang w:val="es-MX" w:eastAsia="es-MX"/>
              </w:rPr>
              <w:t xml:space="preserve">El </w:t>
            </w:r>
            <w:r w:rsidRPr="004F3E91">
              <w:rPr>
                <w:rFonts w:ascii="Palatino Linotype" w:hAnsi="Palatino Linotype" w:cs="Arial"/>
                <w:b/>
                <w:sz w:val="20"/>
                <w:szCs w:val="20"/>
                <w:lang w:val="es-MX" w:eastAsia="es-MX"/>
              </w:rPr>
              <w:t>SUJETO OBLIGADO</w:t>
            </w:r>
            <w:r w:rsidRPr="004F3E91">
              <w:rPr>
                <w:rFonts w:ascii="Palatino Linotype" w:hAnsi="Palatino Linotype" w:cs="Arial"/>
                <w:sz w:val="20"/>
                <w:szCs w:val="20"/>
                <w:lang w:val="es-MX" w:eastAsia="es-MX"/>
              </w:rPr>
              <w:t xml:space="preserve"> debe identificar claramente el tipo de información y hacer un juicio de subsunción o encaje para acreditar que el supuesto de </w:t>
            </w:r>
            <w:r w:rsidRPr="004F3E91">
              <w:rPr>
                <w:rFonts w:ascii="Palatino Linotype" w:hAnsi="Palatino Linotype" w:cs="Arial"/>
                <w:sz w:val="20"/>
                <w:szCs w:val="20"/>
                <w:lang w:val="es-MX" w:eastAsia="es-MX"/>
              </w:rPr>
              <w:lastRenderedPageBreak/>
              <w:t>hecho corresponde estrictamente con la hipótesis jurídica. Esto también lo debe de realizar el servidor público habilitado y el titular del área que administra la información.</w:t>
            </w:r>
          </w:p>
        </w:tc>
      </w:tr>
      <w:tr w:rsidR="007D1970" w:rsidRPr="004F3E91"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4F3E91" w:rsidRDefault="007D1970" w:rsidP="007833FC">
            <w:pPr>
              <w:spacing w:line="276" w:lineRule="auto"/>
              <w:rPr>
                <w:rFonts w:ascii="Palatino Linotype" w:hAnsi="Palatino Linotype"/>
                <w:sz w:val="20"/>
                <w:szCs w:val="20"/>
                <w:lang w:val="es-MX" w:eastAsia="es-MX"/>
              </w:rPr>
            </w:pPr>
            <w:r w:rsidRPr="004F3E91">
              <w:rPr>
                <w:rFonts w:ascii="Palatino Linotype" w:hAnsi="Palatino Linotype"/>
                <w:sz w:val="20"/>
                <w:szCs w:val="20"/>
                <w:lang w:val="es-MX" w:eastAsia="es-MX"/>
              </w:rPr>
              <w:lastRenderedPageBreak/>
              <w:t>c) Formalidades para emitir el acuerdo de clasificación.</w:t>
            </w:r>
          </w:p>
        </w:tc>
        <w:tc>
          <w:tcPr>
            <w:tcW w:w="6990" w:type="dxa"/>
          </w:tcPr>
          <w:p w14:paraId="6FE03A70" w14:textId="77777777" w:rsidR="007D1970" w:rsidRPr="004F3E91"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4F3E91"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Es necesario que </w:t>
            </w:r>
            <w:r w:rsidRPr="004F3E91">
              <w:rPr>
                <w:rFonts w:ascii="Palatino Linotype" w:hAnsi="Palatino Linotype" w:cs="Arial"/>
                <w:b/>
                <w:sz w:val="20"/>
                <w:szCs w:val="20"/>
                <w:u w:val="single"/>
                <w:lang w:val="es-MX" w:eastAsia="es-MX"/>
              </w:rPr>
              <w:t>el acto reúna con los requisitos elementales</w:t>
            </w:r>
            <w:r w:rsidRPr="004F3E91">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4F3E91"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4F3E91">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4F3E91"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4F3E91" w:rsidRDefault="007D1970" w:rsidP="007833FC">
            <w:pPr>
              <w:spacing w:line="276" w:lineRule="auto"/>
              <w:rPr>
                <w:rFonts w:ascii="Palatino Linotype" w:hAnsi="Palatino Linotype"/>
                <w:sz w:val="20"/>
                <w:szCs w:val="20"/>
                <w:lang w:val="es-MX" w:eastAsia="es-MX"/>
              </w:rPr>
            </w:pPr>
          </w:p>
          <w:p w14:paraId="6176D2C8" w14:textId="77777777" w:rsidR="007D1970" w:rsidRPr="004F3E91" w:rsidRDefault="007D1970" w:rsidP="007833FC">
            <w:pPr>
              <w:spacing w:line="276" w:lineRule="auto"/>
              <w:jc w:val="both"/>
              <w:rPr>
                <w:rFonts w:ascii="Palatino Linotype" w:hAnsi="Palatino Linotype"/>
                <w:sz w:val="20"/>
                <w:szCs w:val="20"/>
                <w:lang w:val="es-MX" w:eastAsia="es-MX"/>
              </w:rPr>
            </w:pPr>
            <w:r w:rsidRPr="004F3E91">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3E91">
              <w:rPr>
                <w:rFonts w:ascii="Palatino Linotype" w:hAnsi="Palatino Linotype" w:cs="Arial"/>
                <w:b/>
                <w:sz w:val="20"/>
                <w:szCs w:val="20"/>
                <w:lang w:val="es-MX" w:eastAsia="es-MX"/>
              </w:rPr>
              <w:t>Sujetos Obligados</w:t>
            </w:r>
            <w:r w:rsidRPr="004F3E91">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De lo anterior, se desprende que para una correcta </w:t>
            </w:r>
            <w:r w:rsidRPr="004F3E91">
              <w:rPr>
                <w:rFonts w:ascii="Palatino Linotype" w:hAnsi="Palatino Linotype" w:cs="Arial"/>
                <w:b/>
                <w:sz w:val="20"/>
                <w:szCs w:val="20"/>
                <w:lang w:val="es-MX" w:eastAsia="es-MX"/>
              </w:rPr>
              <w:t>clasificación total o parcial</w:t>
            </w:r>
            <w:r w:rsidRPr="004F3E91">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0731B4D8" w14:textId="77777777" w:rsidR="007D1970" w:rsidRPr="004F3E91"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lastRenderedPageBreak/>
              <w:t xml:space="preserve">Ahora bien, </w:t>
            </w:r>
            <w:r w:rsidRPr="004F3E91">
              <w:rPr>
                <w:rFonts w:ascii="Palatino Linotype" w:hAnsi="Palatino Linotype" w:cs="Arial"/>
                <w:b/>
                <w:sz w:val="20"/>
                <w:szCs w:val="20"/>
                <w:u w:val="single"/>
                <w:lang w:val="es-MX" w:eastAsia="es-MX"/>
              </w:rPr>
              <w:t>para cada caso además de fundar y motivar</w:t>
            </w:r>
            <w:r w:rsidRPr="004F3E91">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4F3E91">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1970" w:rsidRPr="004F3E91"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4F3E91" w:rsidRDefault="007D1970" w:rsidP="007833FC">
            <w:pPr>
              <w:spacing w:line="276" w:lineRule="auto"/>
              <w:ind w:right="49"/>
              <w:jc w:val="both"/>
              <w:rPr>
                <w:rFonts w:ascii="Palatino Linotype" w:hAnsi="Palatino Linotype" w:cs="Arial"/>
                <w:sz w:val="20"/>
                <w:szCs w:val="20"/>
                <w:lang w:val="es-MX" w:eastAsia="es-MX"/>
              </w:rPr>
            </w:pPr>
            <w:r w:rsidRPr="004F3E91">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21A45EAE" w14:textId="77777777" w:rsidR="007D1970" w:rsidRPr="004F3E91"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4F3E91"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4F3E91"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4F3E91">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4F3E91"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4F3E91">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482B2" w14:textId="77777777" w:rsidR="007D1970" w:rsidRPr="004F3E91" w:rsidRDefault="007D1970" w:rsidP="007833FC">
      <w:pPr>
        <w:tabs>
          <w:tab w:val="left" w:pos="426"/>
        </w:tabs>
        <w:spacing w:line="360" w:lineRule="auto"/>
        <w:contextualSpacing/>
        <w:jc w:val="both"/>
        <w:rPr>
          <w:rFonts w:ascii="Palatino Linotype" w:hAnsi="Palatino Linotype" w:cs="Arial"/>
          <w:lang w:eastAsia="en-US"/>
        </w:rPr>
      </w:pPr>
    </w:p>
    <w:p w14:paraId="19640888" w14:textId="77777777" w:rsidR="007D1970" w:rsidRPr="004F3E91" w:rsidRDefault="007D1970" w:rsidP="007833FC">
      <w:pPr>
        <w:tabs>
          <w:tab w:val="left" w:pos="426"/>
        </w:tabs>
        <w:spacing w:line="360" w:lineRule="auto"/>
        <w:contextualSpacing/>
        <w:jc w:val="both"/>
        <w:rPr>
          <w:rFonts w:ascii="Palatino Linotype" w:hAnsi="Palatino Linotype"/>
          <w:lang w:val="es-ES_tradnl"/>
        </w:rPr>
      </w:pPr>
    </w:p>
    <w:p w14:paraId="66839595" w14:textId="7F0FE05C" w:rsidR="00EA0165" w:rsidRPr="004F3E91" w:rsidRDefault="00C81739" w:rsidP="007833FC">
      <w:pPr>
        <w:pStyle w:val="Ttulo1"/>
        <w:spacing w:before="0" w:line="360" w:lineRule="auto"/>
        <w:jc w:val="both"/>
        <w:rPr>
          <w:rFonts w:ascii="Palatino Linotype" w:eastAsia="MS Mincho" w:hAnsi="Palatino Linotype"/>
          <w:sz w:val="24"/>
          <w:szCs w:val="24"/>
          <w:lang w:val="es-ES_tradnl"/>
        </w:rPr>
      </w:pPr>
      <w:bookmarkStart w:id="48" w:name="_Toc34310247"/>
      <w:bookmarkStart w:id="49" w:name="_Toc34849558"/>
      <w:bookmarkStart w:id="50" w:name="_Toc53659481"/>
      <w:bookmarkStart w:id="51" w:name="_Toc67598514"/>
      <w:bookmarkStart w:id="52" w:name="_Toc69999203"/>
      <w:bookmarkStart w:id="53" w:name="_Toc73033012"/>
      <w:bookmarkStart w:id="54" w:name="_Toc105085580"/>
      <w:bookmarkStart w:id="55" w:name="_Toc466371865"/>
      <w:bookmarkStart w:id="56" w:name="_Toc466377653"/>
      <w:bookmarkEnd w:id="38"/>
      <w:bookmarkEnd w:id="39"/>
      <w:bookmarkEnd w:id="40"/>
      <w:bookmarkEnd w:id="41"/>
      <w:bookmarkEnd w:id="42"/>
      <w:r w:rsidRPr="004F3E91">
        <w:rPr>
          <w:rFonts w:ascii="Palatino Linotype" w:eastAsia="MS Gothic" w:hAnsi="Palatino Linotype"/>
          <w:b/>
          <w:color w:val="auto"/>
          <w:sz w:val="24"/>
          <w:szCs w:val="24"/>
          <w:lang w:val="es-ES_tradnl" w:eastAsia="es-ES_tradnl"/>
        </w:rPr>
        <w:t>SEXTO</w:t>
      </w:r>
      <w:r w:rsidR="008F1049" w:rsidRPr="004F3E91">
        <w:rPr>
          <w:rFonts w:ascii="Palatino Linotype" w:eastAsia="MS Gothic" w:hAnsi="Palatino Linotype"/>
          <w:b/>
          <w:color w:val="auto"/>
          <w:sz w:val="24"/>
          <w:szCs w:val="24"/>
          <w:lang w:val="es-ES_tradnl" w:eastAsia="es-ES_tradnl"/>
        </w:rPr>
        <w:t xml:space="preserve">. </w:t>
      </w:r>
      <w:bookmarkStart w:id="57" w:name="_Toc67588008"/>
      <w:bookmarkStart w:id="58" w:name="_Toc68804770"/>
      <w:bookmarkEnd w:id="48"/>
      <w:bookmarkEnd w:id="49"/>
      <w:bookmarkEnd w:id="50"/>
      <w:bookmarkEnd w:id="51"/>
      <w:bookmarkEnd w:id="52"/>
      <w:bookmarkEnd w:id="53"/>
      <w:r w:rsidR="00EA0165" w:rsidRPr="004F3E91">
        <w:rPr>
          <w:rFonts w:ascii="Palatino Linotype" w:eastAsia="MS Mincho" w:hAnsi="Palatino Linotype"/>
          <w:b/>
          <w:color w:val="000000"/>
          <w:sz w:val="24"/>
          <w:szCs w:val="24"/>
          <w:lang w:val="es-ES_tradnl"/>
        </w:rPr>
        <w:t>De la decisión.</w:t>
      </w:r>
      <w:bookmarkEnd w:id="54"/>
      <w:bookmarkEnd w:id="57"/>
      <w:bookmarkEnd w:id="58"/>
      <w:r w:rsidR="00EA0165" w:rsidRPr="004F3E91">
        <w:rPr>
          <w:rFonts w:ascii="Palatino Linotype" w:eastAsia="MS Mincho" w:hAnsi="Palatino Linotype"/>
          <w:b/>
          <w:color w:val="000000"/>
          <w:sz w:val="24"/>
          <w:szCs w:val="24"/>
          <w:lang w:val="es-ES_tradnl"/>
        </w:rPr>
        <w:t xml:space="preserve"> </w:t>
      </w:r>
    </w:p>
    <w:p w14:paraId="7C81DCC8" w14:textId="77777777" w:rsidR="007833FC" w:rsidRPr="004F3E91"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00B00494" w14:textId="1FE5C439" w:rsidR="00C81739" w:rsidRPr="004F3E91"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4F3E91">
        <w:rPr>
          <w:rFonts w:ascii="Palatino Linotype" w:hAnsi="Palatino Linotype" w:cs="Tahoma"/>
          <w:lang w:val="es-MX"/>
        </w:rPr>
        <w:t xml:space="preserve">A lo largo del presente estudio se estableció que el </w:t>
      </w:r>
      <w:r w:rsidRPr="004F3E91">
        <w:rPr>
          <w:rFonts w:ascii="Palatino Linotype" w:hAnsi="Palatino Linotype" w:cs="Tahoma"/>
          <w:b/>
          <w:bCs/>
          <w:lang w:val="es-MX"/>
        </w:rPr>
        <w:t>SUJETO OBLIGADO</w:t>
      </w:r>
      <w:r w:rsidRPr="004F3E91">
        <w:rPr>
          <w:rFonts w:ascii="Palatino Linotype" w:hAnsi="Palatino Linotype" w:cs="Tahoma"/>
          <w:lang w:val="es-MX"/>
        </w:rPr>
        <w:t xml:space="preserve"> no había fundado ni motivado su justificación de cambiar la modalidad de entrega de la información a Consulta Directa o </w:t>
      </w:r>
      <w:r w:rsidRPr="004F3E91">
        <w:rPr>
          <w:rFonts w:ascii="Palatino Linotype" w:hAnsi="Palatino Linotype" w:cs="Tahoma"/>
          <w:i/>
          <w:iCs/>
          <w:lang w:val="es-MX"/>
        </w:rPr>
        <w:t>in situ</w:t>
      </w:r>
      <w:r w:rsidRPr="004F3E91">
        <w:rPr>
          <w:rFonts w:ascii="Palatino Linotype" w:hAnsi="Palatino Linotype" w:cs="Tahoma"/>
          <w:lang w:val="es-MX"/>
        </w:rPr>
        <w:t>, por ello, y una vez analizada la naturaleza de lo solicitado, se determinó procedente el ordenar la entrega, vía SAIMEX, y en versión pública, de</w:t>
      </w:r>
      <w:r w:rsidR="000B6492" w:rsidRPr="004F3E91">
        <w:rPr>
          <w:rFonts w:ascii="Palatino Linotype" w:hAnsi="Palatino Linotype" w:cs="Tahoma"/>
          <w:lang w:val="es-MX"/>
        </w:rPr>
        <w:t xml:space="preserve"> los</w:t>
      </w:r>
      <w:r w:rsidR="000B6492" w:rsidRPr="004F3E91">
        <w:rPr>
          <w:rFonts w:ascii="Palatino Linotype" w:hAnsi="Palatino Linotype" w:cs="Arial"/>
          <w:color w:val="000000" w:themeColor="text1"/>
        </w:rPr>
        <w:t xml:space="preserve"> expedientes formados por denuncias de ruido excesivo</w:t>
      </w:r>
      <w:r w:rsidR="000B6492" w:rsidRPr="004F3E91">
        <w:rPr>
          <w:rFonts w:ascii="Palatino Linotype" w:hAnsi="Palatino Linotype" w:cs="Tahoma"/>
        </w:rPr>
        <w:t xml:space="preserve"> que hayan quedado firmes, así como el Acuerdo de Clasificación que sustente la reserva de los expedientes que aún se encuentren en trámite.</w:t>
      </w:r>
    </w:p>
    <w:p w14:paraId="4D207157" w14:textId="77777777" w:rsidR="00C81739" w:rsidRPr="004F3E91" w:rsidRDefault="00C81739" w:rsidP="00C81739">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6F1416DF" w:rsidR="000200EF" w:rsidRPr="004F3E91"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4F3E91">
        <w:rPr>
          <w:rFonts w:ascii="Palatino Linotype" w:hAnsi="Palatino Linotype" w:cs="Tahoma"/>
          <w:lang w:val="es-ES_tradnl"/>
        </w:rPr>
        <w:lastRenderedPageBreak/>
        <w:t>Con</w:t>
      </w:r>
      <w:r w:rsidR="00EA0165" w:rsidRPr="004F3E91">
        <w:rPr>
          <w:rFonts w:ascii="Palatino Linotype" w:hAnsi="Palatino Linotype" w:cs="Tahoma"/>
          <w:lang w:val="es-MX"/>
        </w:rPr>
        <w:t xml:space="preserve"> base en todo lo expuesto, y con fundamento en el artículo 186, fracción II</w:t>
      </w:r>
      <w:r w:rsidR="002F750C" w:rsidRPr="004F3E91">
        <w:rPr>
          <w:rFonts w:ascii="Palatino Linotype" w:hAnsi="Palatino Linotype" w:cs="Tahoma"/>
          <w:lang w:val="es-MX"/>
        </w:rPr>
        <w:t>I</w:t>
      </w:r>
      <w:r w:rsidR="00EA0165" w:rsidRPr="004F3E91">
        <w:rPr>
          <w:rFonts w:ascii="Palatino Linotype" w:hAnsi="Palatino Linotype" w:cs="Tahoma"/>
          <w:lang w:val="es-MX"/>
        </w:rPr>
        <w:t xml:space="preserve">, de la Ley de Transparencia y Acceso a la Información Pública del Estado de México y Municipios, este Instituto </w:t>
      </w:r>
      <w:r w:rsidR="007833FC" w:rsidRPr="004F3E91">
        <w:rPr>
          <w:rFonts w:ascii="Palatino Linotype" w:hAnsi="Palatino Linotype" w:cs="Tahoma"/>
          <w:lang w:val="es-MX"/>
        </w:rPr>
        <w:t>concluye conforme a derecho el</w:t>
      </w:r>
      <w:r w:rsidR="00EA0165" w:rsidRPr="004F3E91">
        <w:rPr>
          <w:rFonts w:ascii="Palatino Linotype" w:hAnsi="Palatino Linotype" w:cs="Tahoma"/>
          <w:b/>
          <w:lang w:val="es-MX"/>
        </w:rPr>
        <w:t xml:space="preserve"> </w:t>
      </w:r>
      <w:r w:rsidR="008934B8" w:rsidRPr="004F3E91">
        <w:rPr>
          <w:rFonts w:ascii="Palatino Linotype" w:hAnsi="Palatino Linotype" w:cs="Tahoma"/>
          <w:b/>
          <w:lang w:val="es-MX"/>
        </w:rPr>
        <w:t>MODIFICAR</w:t>
      </w:r>
      <w:r w:rsidR="0049105B" w:rsidRPr="004F3E91">
        <w:rPr>
          <w:rFonts w:ascii="Palatino Linotype" w:hAnsi="Palatino Linotype" w:cs="Tahoma"/>
          <w:b/>
          <w:lang w:val="es-MX"/>
        </w:rPr>
        <w:t xml:space="preserve"> </w:t>
      </w:r>
      <w:r w:rsidR="00F12C04" w:rsidRPr="004F3E91">
        <w:rPr>
          <w:rFonts w:ascii="Palatino Linotype" w:hAnsi="Palatino Linotype" w:cs="Tahoma"/>
          <w:lang w:val="es-MX"/>
        </w:rPr>
        <w:t xml:space="preserve">la respuesta otorgada por </w:t>
      </w:r>
      <w:r w:rsidR="007833FC" w:rsidRPr="004F3E91">
        <w:rPr>
          <w:rFonts w:ascii="Palatino Linotype" w:hAnsi="Palatino Linotype" w:cs="Tahoma"/>
          <w:lang w:val="es-MX"/>
        </w:rPr>
        <w:t>el</w:t>
      </w:r>
      <w:r w:rsidR="005555CB" w:rsidRPr="004F3E91">
        <w:rPr>
          <w:rFonts w:ascii="Verdana" w:hAnsi="Verdana"/>
          <w:b/>
          <w:bCs/>
          <w:color w:val="000000"/>
          <w:sz w:val="14"/>
          <w:szCs w:val="14"/>
        </w:rPr>
        <w:t xml:space="preserve"> </w:t>
      </w:r>
      <w:r w:rsidR="0041030E" w:rsidRPr="004F3E91">
        <w:rPr>
          <w:rFonts w:ascii="Palatino Linotype" w:hAnsi="Palatino Linotype" w:cs="Tahoma"/>
          <w:b/>
          <w:bCs/>
        </w:rPr>
        <w:t>Ayuntamiento de Toluca</w:t>
      </w:r>
      <w:r w:rsidR="002D0310" w:rsidRPr="004F3E91">
        <w:rPr>
          <w:rFonts w:ascii="Palatino Linotype" w:hAnsi="Palatino Linotype" w:cs="Tahoma"/>
          <w:b/>
          <w:bCs/>
          <w:lang w:val="es-ES_tradnl"/>
        </w:rPr>
        <w:t xml:space="preserve"> </w:t>
      </w:r>
      <w:r w:rsidR="007F4FC6" w:rsidRPr="004F3E91">
        <w:rPr>
          <w:rFonts w:ascii="Palatino Linotype" w:eastAsia="MS Mincho" w:hAnsi="Palatino Linotype"/>
          <w:lang w:val="es-ES_tradnl"/>
        </w:rPr>
        <w:t xml:space="preserve">y </w:t>
      </w:r>
      <w:r w:rsidR="007F4FC6" w:rsidRPr="004F3E91">
        <w:rPr>
          <w:rFonts w:ascii="Palatino Linotype" w:eastAsia="MS Mincho" w:hAnsi="Palatino Linotype"/>
          <w:b/>
          <w:lang w:val="es-ES_tradnl"/>
        </w:rPr>
        <w:t>ordenar</w:t>
      </w:r>
      <w:r w:rsidR="007F4FC6" w:rsidRPr="004F3E91">
        <w:rPr>
          <w:rFonts w:ascii="Palatino Linotype" w:eastAsia="MS Mincho" w:hAnsi="Palatino Linotype"/>
          <w:lang w:val="es-ES_tradnl"/>
        </w:rPr>
        <w:t xml:space="preserve"> la entrega de </w:t>
      </w:r>
      <w:r w:rsidR="007833FC" w:rsidRPr="004F3E91">
        <w:rPr>
          <w:rFonts w:ascii="Palatino Linotype" w:eastAsia="MS Mincho" w:hAnsi="Palatino Linotype"/>
          <w:lang w:val="es-ES_tradnl"/>
        </w:rPr>
        <w:t>la información solicitada,</w:t>
      </w:r>
      <w:r w:rsidR="00C23716" w:rsidRPr="004F3E91">
        <w:rPr>
          <w:rFonts w:ascii="Palatino Linotype" w:eastAsia="MS Mincho" w:hAnsi="Palatino Linotype"/>
          <w:lang w:val="es-ES_tradnl"/>
        </w:rPr>
        <w:t xml:space="preserve"> en versión pública de ser procedente,</w:t>
      </w:r>
      <w:r w:rsidR="007833FC" w:rsidRPr="004F3E91">
        <w:rPr>
          <w:rFonts w:ascii="Palatino Linotype" w:eastAsia="MS Mincho" w:hAnsi="Palatino Linotype"/>
          <w:lang w:val="es-ES_tradnl"/>
        </w:rPr>
        <w:t xml:space="preserve"> en la modalidad originalmente establecida por </w:t>
      </w:r>
      <w:r w:rsidR="003F6272" w:rsidRPr="004F3E91">
        <w:rPr>
          <w:rFonts w:ascii="Palatino Linotype" w:eastAsia="MS Mincho" w:hAnsi="Palatino Linotype"/>
          <w:lang w:val="es-ES_tradnl"/>
        </w:rPr>
        <w:t>el</w:t>
      </w:r>
      <w:r w:rsidR="007833FC" w:rsidRPr="004F3E91">
        <w:rPr>
          <w:rFonts w:ascii="Palatino Linotype" w:eastAsia="MS Mincho" w:hAnsi="Palatino Linotype"/>
          <w:lang w:val="es-ES_tradnl"/>
        </w:rPr>
        <w:t xml:space="preserve"> particular a través de la solicitud de información </w:t>
      </w:r>
      <w:r w:rsidR="0041030E" w:rsidRPr="004F3E91">
        <w:rPr>
          <w:rFonts w:ascii="Palatino Linotype" w:eastAsia="MS Mincho" w:hAnsi="Palatino Linotype"/>
          <w:b/>
          <w:lang w:val="es-ES_tradnl"/>
        </w:rPr>
        <w:t>00491/TOLUCA/IP/2022</w:t>
      </w:r>
      <w:r w:rsidR="007833FC" w:rsidRPr="004F3E91">
        <w:rPr>
          <w:rFonts w:ascii="Palatino Linotype" w:eastAsia="MS Mincho" w:hAnsi="Palatino Linotype"/>
          <w:lang w:val="es-ES_tradnl"/>
        </w:rPr>
        <w:t>.</w:t>
      </w:r>
    </w:p>
    <w:p w14:paraId="4280CEA1" w14:textId="77777777" w:rsidR="007833FC" w:rsidRPr="004F3E91" w:rsidRDefault="007833FC" w:rsidP="00B07863">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6C22F439" w:rsidR="000A7170" w:rsidRPr="004F3E91" w:rsidRDefault="00EA0165"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color w:val="000000"/>
        </w:rPr>
      </w:pPr>
      <w:r w:rsidRPr="004F3E91">
        <w:rPr>
          <w:rFonts w:ascii="Palatino Linotype" w:eastAsia="MS Mincho" w:hAnsi="Palatino Linotype"/>
          <w:color w:val="000000"/>
        </w:rPr>
        <w:t xml:space="preserve">Por lo anteriormente expuesto y fundado, este </w:t>
      </w:r>
      <w:r w:rsidRPr="004F3E91">
        <w:rPr>
          <w:rFonts w:ascii="Palatino Linotype" w:eastAsia="MS Mincho" w:hAnsi="Palatino Linotype"/>
          <w:b/>
          <w:bCs/>
          <w:color w:val="000000"/>
        </w:rPr>
        <w:t>ÓRGANO GARANTE</w:t>
      </w:r>
      <w:r w:rsidRPr="004F3E91">
        <w:rPr>
          <w:rFonts w:ascii="Palatino Linotype" w:eastAsia="MS Mincho" w:hAnsi="Palatino Linotype"/>
          <w:color w:val="000000"/>
        </w:rPr>
        <w:t xml:space="preserve"> emite los siguientes:</w:t>
      </w:r>
      <w:bookmarkStart w:id="59" w:name="_Toc495427547"/>
      <w:bookmarkStart w:id="60" w:name="_Toc497905366"/>
      <w:r w:rsidR="00C23716" w:rsidRPr="004F3E91">
        <w:rPr>
          <w:rFonts w:ascii="Palatino Linotype" w:eastAsia="MS Mincho" w:hAnsi="Palatino Linotype"/>
          <w:color w:val="000000"/>
        </w:rPr>
        <w:t xml:space="preserve"> --------------------------------------------------------------------------------------------------------------------------------------------------------------------------------------------------------------------------------------------------------------------------------------------------------------------</w:t>
      </w:r>
    </w:p>
    <w:p w14:paraId="1400155D" w14:textId="020347C9" w:rsidR="003F6272" w:rsidRPr="004F3E91" w:rsidRDefault="003F6272">
      <w:pPr>
        <w:rPr>
          <w:rFonts w:ascii="Palatino Linotype" w:eastAsia="MS Mincho" w:hAnsi="Palatino Linotype"/>
          <w:color w:val="000000"/>
        </w:rPr>
      </w:pPr>
    </w:p>
    <w:p w14:paraId="52E597A6" w14:textId="77777777" w:rsidR="000B6492" w:rsidRPr="004F3E91" w:rsidRDefault="000B6492">
      <w:pPr>
        <w:rPr>
          <w:rFonts w:ascii="Palatino Linotype" w:eastAsia="MS Mincho" w:hAnsi="Palatino Linotype"/>
          <w:color w:val="000000"/>
        </w:rPr>
      </w:pPr>
    </w:p>
    <w:p w14:paraId="7434775D" w14:textId="4C2BD6F7" w:rsidR="00985D90" w:rsidRPr="004F3E91"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61" w:name="_Toc105085581"/>
      <w:r w:rsidRPr="004F3E91">
        <w:rPr>
          <w:rFonts w:ascii="Palatino Linotype" w:hAnsi="Palatino Linotype"/>
          <w:b/>
          <w:color w:val="000000" w:themeColor="text1"/>
          <w:sz w:val="24"/>
          <w:szCs w:val="24"/>
          <w:lang w:val="es-ES_tradnl"/>
        </w:rPr>
        <w:t>R E S O L U T I V O S</w:t>
      </w:r>
      <w:bookmarkEnd w:id="55"/>
      <w:bookmarkEnd w:id="56"/>
      <w:bookmarkEnd w:id="59"/>
      <w:bookmarkEnd w:id="60"/>
      <w:bookmarkEnd w:id="61"/>
    </w:p>
    <w:p w14:paraId="58323CEB" w14:textId="77777777" w:rsidR="00C23716" w:rsidRPr="004F3E91" w:rsidRDefault="00C23716" w:rsidP="007833FC">
      <w:pPr>
        <w:spacing w:line="360" w:lineRule="auto"/>
        <w:ind w:right="48"/>
        <w:jc w:val="both"/>
        <w:rPr>
          <w:rFonts w:ascii="Palatino Linotype" w:hAnsi="Palatino Linotype" w:cs="Arial"/>
          <w:b/>
          <w:szCs w:val="20"/>
          <w:lang w:val="es-MX"/>
        </w:rPr>
      </w:pPr>
    </w:p>
    <w:p w14:paraId="317595F0" w14:textId="4D2709D8" w:rsidR="007D1970" w:rsidRPr="004F3E91" w:rsidRDefault="007D1970" w:rsidP="007833FC">
      <w:pPr>
        <w:spacing w:line="360" w:lineRule="auto"/>
        <w:ind w:right="48"/>
        <w:jc w:val="both"/>
        <w:rPr>
          <w:rFonts w:ascii="Palatino Linotype" w:hAnsi="Palatino Linotype" w:cs="Arial"/>
          <w:bCs/>
          <w:szCs w:val="20"/>
          <w:lang w:val="es-MX"/>
        </w:rPr>
      </w:pPr>
      <w:r w:rsidRPr="004F3E91">
        <w:rPr>
          <w:rFonts w:ascii="Palatino Linotype" w:hAnsi="Palatino Linotype" w:cs="Arial"/>
          <w:b/>
          <w:szCs w:val="20"/>
          <w:lang w:val="es-MX"/>
        </w:rPr>
        <w:t xml:space="preserve">PRIMERO. </w:t>
      </w:r>
      <w:r w:rsidRPr="004F3E91">
        <w:rPr>
          <w:rFonts w:ascii="Palatino Linotype" w:hAnsi="Palatino Linotype" w:cs="Arial"/>
          <w:szCs w:val="20"/>
          <w:lang w:val="es-MX"/>
        </w:rPr>
        <w:t xml:space="preserve">Resultan </w:t>
      </w:r>
      <w:r w:rsidR="000B6492" w:rsidRPr="004F3E91">
        <w:rPr>
          <w:rFonts w:ascii="Palatino Linotype" w:hAnsi="Palatino Linotype" w:cs="Arial"/>
          <w:szCs w:val="20"/>
          <w:lang w:val="es-MX"/>
        </w:rPr>
        <w:t xml:space="preserve">parcialmente </w:t>
      </w:r>
      <w:r w:rsidRPr="004F3E91">
        <w:rPr>
          <w:rFonts w:ascii="Palatino Linotype" w:hAnsi="Palatino Linotype" w:cs="Arial"/>
          <w:szCs w:val="20"/>
          <w:lang w:val="es-MX"/>
        </w:rPr>
        <w:t>fundadas las</w:t>
      </w:r>
      <w:r w:rsidRPr="004F3E91">
        <w:rPr>
          <w:rFonts w:ascii="Palatino Linotype" w:hAnsi="Palatino Linotype" w:cs="Arial"/>
          <w:b/>
          <w:szCs w:val="20"/>
          <w:lang w:val="es-MX"/>
        </w:rPr>
        <w:t xml:space="preserve"> </w:t>
      </w:r>
      <w:r w:rsidRPr="004F3E91">
        <w:rPr>
          <w:rFonts w:ascii="Palatino Linotype" w:hAnsi="Palatino Linotype" w:cs="Arial"/>
          <w:szCs w:val="20"/>
        </w:rPr>
        <w:t xml:space="preserve">razones o motivos de inconformidad hechos valer </w:t>
      </w:r>
      <w:r w:rsidR="005E63C7" w:rsidRPr="004F3E91">
        <w:rPr>
          <w:rFonts w:ascii="Palatino Linotype" w:eastAsia="Calibri" w:hAnsi="Palatino Linotype" w:cs="Arial"/>
          <w:szCs w:val="20"/>
        </w:rPr>
        <w:t>en el recurso de revisión</w:t>
      </w:r>
      <w:r w:rsidR="005E63C7" w:rsidRPr="004F3E91">
        <w:rPr>
          <w:rFonts w:ascii="Palatino Linotype" w:eastAsia="Calibri" w:hAnsi="Palatino Linotype" w:cs="Arial"/>
          <w:b/>
          <w:bCs/>
          <w:szCs w:val="20"/>
        </w:rPr>
        <w:t> </w:t>
      </w:r>
      <w:r w:rsidR="0041030E" w:rsidRPr="004F3E91">
        <w:rPr>
          <w:rFonts w:ascii="Palatino Linotype" w:eastAsia="Calibri" w:hAnsi="Palatino Linotype" w:cs="Arial"/>
          <w:b/>
          <w:bCs/>
          <w:szCs w:val="20"/>
        </w:rPr>
        <w:t>03943/INFOEM/IP/RR/2022</w:t>
      </w:r>
      <w:r w:rsidRPr="004F3E91">
        <w:rPr>
          <w:rFonts w:ascii="Palatino Linotype" w:hAnsi="Palatino Linotype" w:cs="Arial"/>
          <w:b/>
          <w:bCs/>
          <w:szCs w:val="20"/>
          <w:lang w:val="es-MX"/>
        </w:rPr>
        <w:t xml:space="preserve">, </w:t>
      </w:r>
      <w:r w:rsidRPr="004F3E91">
        <w:rPr>
          <w:rFonts w:ascii="Palatino Linotype" w:hAnsi="Palatino Linotype" w:cs="Arial"/>
          <w:bCs/>
          <w:szCs w:val="20"/>
          <w:lang w:val="es-MX"/>
        </w:rPr>
        <w:t>en términos de</w:t>
      </w:r>
      <w:r w:rsidR="006334DE" w:rsidRPr="004F3E91">
        <w:rPr>
          <w:rFonts w:ascii="Palatino Linotype" w:hAnsi="Palatino Linotype" w:cs="Arial"/>
          <w:bCs/>
          <w:szCs w:val="20"/>
          <w:lang w:val="es-MX"/>
        </w:rPr>
        <w:t xml:space="preserve"> </w:t>
      </w:r>
      <w:r w:rsidRPr="004F3E91">
        <w:rPr>
          <w:rFonts w:ascii="Palatino Linotype" w:hAnsi="Palatino Linotype" w:cs="Arial"/>
          <w:bCs/>
          <w:szCs w:val="20"/>
          <w:lang w:val="es-MX"/>
        </w:rPr>
        <w:t>l</w:t>
      </w:r>
      <w:r w:rsidR="006334DE" w:rsidRPr="004F3E91">
        <w:rPr>
          <w:rFonts w:ascii="Palatino Linotype" w:hAnsi="Palatino Linotype" w:cs="Arial"/>
          <w:bCs/>
          <w:szCs w:val="20"/>
          <w:lang w:val="es-MX"/>
        </w:rPr>
        <w:t>os</w:t>
      </w:r>
      <w:r w:rsidRPr="004F3E91">
        <w:rPr>
          <w:rFonts w:ascii="Palatino Linotype" w:hAnsi="Palatino Linotype" w:cs="Arial"/>
          <w:bCs/>
          <w:szCs w:val="20"/>
          <w:lang w:val="es-MX"/>
        </w:rPr>
        <w:t xml:space="preserve"> </w:t>
      </w:r>
      <w:r w:rsidRPr="004F3E91">
        <w:rPr>
          <w:rFonts w:ascii="Palatino Linotype" w:hAnsi="Palatino Linotype" w:cs="Arial"/>
          <w:b/>
          <w:bCs/>
          <w:szCs w:val="20"/>
          <w:lang w:val="es-MX"/>
        </w:rPr>
        <w:t>Considerando</w:t>
      </w:r>
      <w:r w:rsidR="006334DE" w:rsidRPr="004F3E91">
        <w:rPr>
          <w:rFonts w:ascii="Palatino Linotype" w:hAnsi="Palatino Linotype" w:cs="Arial"/>
          <w:b/>
          <w:bCs/>
          <w:szCs w:val="20"/>
          <w:lang w:val="es-MX"/>
        </w:rPr>
        <w:t>s</w:t>
      </w:r>
      <w:r w:rsidRPr="004F3E91">
        <w:rPr>
          <w:rFonts w:ascii="Palatino Linotype" w:hAnsi="Palatino Linotype" w:cs="Arial"/>
          <w:bCs/>
          <w:szCs w:val="20"/>
          <w:lang w:val="es-MX"/>
        </w:rPr>
        <w:t xml:space="preserve"> </w:t>
      </w:r>
      <w:r w:rsidR="006334DE" w:rsidRPr="004F3E91">
        <w:rPr>
          <w:rFonts w:ascii="Palatino Linotype" w:hAnsi="Palatino Linotype" w:cs="Arial"/>
          <w:b/>
          <w:bCs/>
          <w:szCs w:val="20"/>
          <w:lang w:val="es-MX"/>
        </w:rPr>
        <w:t xml:space="preserve">CUARTO y QUINTO </w:t>
      </w:r>
      <w:r w:rsidRPr="004F3E91">
        <w:rPr>
          <w:rFonts w:ascii="Palatino Linotype" w:hAnsi="Palatino Linotype" w:cs="Arial"/>
          <w:bCs/>
          <w:szCs w:val="20"/>
          <w:lang w:val="es-MX"/>
        </w:rPr>
        <w:t>de la presente resolución.</w:t>
      </w:r>
    </w:p>
    <w:p w14:paraId="1A57E35B" w14:textId="77777777" w:rsidR="00C23716" w:rsidRPr="004F3E91" w:rsidRDefault="00C23716" w:rsidP="007833FC">
      <w:pPr>
        <w:spacing w:line="360" w:lineRule="auto"/>
        <w:ind w:right="48"/>
        <w:jc w:val="both"/>
        <w:rPr>
          <w:rFonts w:ascii="Palatino Linotype" w:eastAsia="Calibri" w:hAnsi="Palatino Linotype" w:cs="Arial"/>
          <w:szCs w:val="20"/>
        </w:rPr>
      </w:pPr>
    </w:p>
    <w:p w14:paraId="1A49E98A" w14:textId="0DB7D13E" w:rsidR="005E63C7" w:rsidRPr="004F3E91" w:rsidRDefault="007D1970" w:rsidP="007833FC">
      <w:pPr>
        <w:spacing w:line="360" w:lineRule="auto"/>
        <w:ind w:right="48"/>
        <w:jc w:val="both"/>
        <w:rPr>
          <w:rFonts w:ascii="Palatino Linotype" w:hAnsi="Palatino Linotype" w:cs="Arial"/>
          <w:bCs/>
          <w:szCs w:val="20"/>
          <w:lang w:val="es-MX"/>
        </w:rPr>
      </w:pPr>
      <w:bookmarkStart w:id="62" w:name="_Toc477891768"/>
      <w:bookmarkStart w:id="63" w:name="_Toc477891858"/>
      <w:bookmarkStart w:id="64" w:name="_Toc481576259"/>
      <w:bookmarkStart w:id="65" w:name="_Toc492590391"/>
      <w:bookmarkStart w:id="66" w:name="_Toc462653937"/>
      <w:bookmarkStart w:id="67" w:name="_Toc453696502"/>
      <w:bookmarkStart w:id="68" w:name="_Toc454301155"/>
      <w:r w:rsidRPr="004F3E91">
        <w:rPr>
          <w:rFonts w:ascii="Palatino Linotype" w:hAnsi="Palatino Linotype"/>
          <w:b/>
          <w:szCs w:val="20"/>
          <w:lang w:val="es-MX"/>
        </w:rPr>
        <w:t>SEGUNDO.</w:t>
      </w:r>
      <w:r w:rsidRPr="004F3E91">
        <w:rPr>
          <w:rFonts w:ascii="Palatino Linotype" w:eastAsia="DengXian Light" w:hAnsi="Palatino Linotype"/>
          <w:color w:val="2F5496"/>
          <w:sz w:val="36"/>
          <w:szCs w:val="26"/>
          <w:lang w:val="es-MX"/>
        </w:rPr>
        <w:t xml:space="preserve"> </w:t>
      </w:r>
      <w:bookmarkEnd w:id="62"/>
      <w:bookmarkEnd w:id="63"/>
      <w:bookmarkEnd w:id="64"/>
      <w:bookmarkEnd w:id="65"/>
      <w:bookmarkEnd w:id="66"/>
      <w:bookmarkEnd w:id="67"/>
      <w:bookmarkEnd w:id="68"/>
      <w:r w:rsidRPr="004F3E91">
        <w:rPr>
          <w:rFonts w:ascii="Palatino Linotype" w:eastAsia="Calibri" w:hAnsi="Palatino Linotype" w:cs="Arial"/>
          <w:szCs w:val="20"/>
        </w:rPr>
        <w:t>Se</w:t>
      </w:r>
      <w:r w:rsidRPr="004F3E91">
        <w:rPr>
          <w:rFonts w:ascii="Palatino Linotype" w:eastAsia="Calibri" w:hAnsi="Palatino Linotype" w:cs="Arial"/>
          <w:b/>
          <w:szCs w:val="20"/>
        </w:rPr>
        <w:t xml:space="preserve"> </w:t>
      </w:r>
      <w:r w:rsidR="008934B8" w:rsidRPr="004F3E91">
        <w:rPr>
          <w:rFonts w:ascii="Palatino Linotype" w:eastAsia="Calibri" w:hAnsi="Palatino Linotype" w:cs="Arial"/>
          <w:b/>
          <w:szCs w:val="20"/>
        </w:rPr>
        <w:t>MODIFICA</w:t>
      </w:r>
      <w:r w:rsidRPr="004F3E91">
        <w:rPr>
          <w:rFonts w:ascii="Palatino Linotype" w:eastAsia="Calibri" w:hAnsi="Palatino Linotype" w:cs="Arial"/>
          <w:b/>
          <w:szCs w:val="20"/>
        </w:rPr>
        <w:t xml:space="preserve"> </w:t>
      </w:r>
      <w:r w:rsidRPr="004F3E91">
        <w:rPr>
          <w:rFonts w:ascii="Palatino Linotype" w:eastAsia="Calibri" w:hAnsi="Palatino Linotype" w:cs="Arial"/>
          <w:szCs w:val="20"/>
        </w:rPr>
        <w:t xml:space="preserve">la respuesta emitida por el </w:t>
      </w:r>
      <w:r w:rsidR="0041030E" w:rsidRPr="004F3E91">
        <w:rPr>
          <w:rFonts w:ascii="Palatino Linotype" w:eastAsia="Calibri" w:hAnsi="Palatino Linotype" w:cs="Tahoma"/>
          <w:b/>
          <w:szCs w:val="22"/>
          <w:lang w:val="es-MX" w:eastAsia="en-US"/>
        </w:rPr>
        <w:t>Ayuntamiento de Toluca</w:t>
      </w:r>
      <w:r w:rsidR="00C23716" w:rsidRPr="004F3E91">
        <w:rPr>
          <w:rFonts w:ascii="Palatino Linotype" w:eastAsia="Calibri" w:hAnsi="Palatino Linotype" w:cs="Tahoma"/>
          <w:szCs w:val="22"/>
          <w:lang w:val="es-MX" w:eastAsia="en-US"/>
        </w:rPr>
        <w:t>,</w:t>
      </w:r>
      <w:r w:rsidRPr="004F3E91">
        <w:rPr>
          <w:rFonts w:ascii="Palatino Linotype" w:eastAsia="Calibri" w:hAnsi="Palatino Linotype" w:cs="Tahoma"/>
          <w:b/>
          <w:szCs w:val="22"/>
          <w:lang w:eastAsia="en-US"/>
        </w:rPr>
        <w:t xml:space="preserve"> </w:t>
      </w:r>
      <w:r w:rsidRPr="004F3E91">
        <w:rPr>
          <w:rFonts w:ascii="Palatino Linotype" w:eastAsia="Calibri" w:hAnsi="Palatino Linotype" w:cs="Arial"/>
          <w:szCs w:val="20"/>
        </w:rPr>
        <w:t>y se</w:t>
      </w:r>
      <w:r w:rsidRPr="004F3E91">
        <w:rPr>
          <w:rFonts w:ascii="Palatino Linotype" w:eastAsia="Calibri" w:hAnsi="Palatino Linotype" w:cs="Arial"/>
          <w:b/>
          <w:szCs w:val="20"/>
        </w:rPr>
        <w:t xml:space="preserve"> ORDENA </w:t>
      </w:r>
      <w:r w:rsidRPr="004F3E91">
        <w:rPr>
          <w:rFonts w:ascii="Palatino Linotype" w:hAnsi="Palatino Linotype" w:cs="Arial"/>
          <w:szCs w:val="20"/>
        </w:rPr>
        <w:t>entregar</w:t>
      </w:r>
      <w:r w:rsidR="00C23716" w:rsidRPr="004F3E91">
        <w:rPr>
          <w:rFonts w:ascii="Palatino Linotype" w:hAnsi="Palatino Linotype" w:cs="Arial"/>
          <w:szCs w:val="20"/>
        </w:rPr>
        <w:t>,</w:t>
      </w:r>
      <w:r w:rsidRPr="004F3E91">
        <w:rPr>
          <w:rFonts w:ascii="Palatino Linotype" w:hAnsi="Palatino Linotype" w:cs="Arial"/>
          <w:szCs w:val="20"/>
        </w:rPr>
        <w:t xml:space="preserve"> vía Sistema de Accesos a la Información Mexiquense (SAIMEX), de ser procedente en versión pública</w:t>
      </w:r>
      <w:r w:rsidRPr="004F3E91">
        <w:rPr>
          <w:rFonts w:ascii="Palatino Linotype" w:hAnsi="Palatino Linotype" w:cs="Arial"/>
          <w:color w:val="000000"/>
          <w:lang w:val="es-MX" w:eastAsia="es-MX"/>
        </w:rPr>
        <w:t>,</w:t>
      </w:r>
      <w:r w:rsidR="005E63C7" w:rsidRPr="004F3E91">
        <w:rPr>
          <w:rFonts w:ascii="Palatino Linotype" w:hAnsi="Palatino Linotype" w:cs="Arial"/>
          <w:szCs w:val="20"/>
        </w:rPr>
        <w:t xml:space="preserve"> </w:t>
      </w:r>
      <w:r w:rsidRPr="004F3E91">
        <w:rPr>
          <w:rFonts w:ascii="Palatino Linotype" w:hAnsi="Palatino Linotype" w:cs="Arial"/>
          <w:szCs w:val="20"/>
        </w:rPr>
        <w:t xml:space="preserve">la siguiente </w:t>
      </w:r>
      <w:r w:rsidRPr="004F3E91">
        <w:rPr>
          <w:rFonts w:ascii="Palatino Linotype" w:hAnsi="Palatino Linotype" w:cs="Arial"/>
          <w:bCs/>
          <w:szCs w:val="20"/>
          <w:lang w:val="es-MX"/>
        </w:rPr>
        <w:t>información:</w:t>
      </w:r>
    </w:p>
    <w:p w14:paraId="1F50959A" w14:textId="77777777" w:rsidR="00C23716" w:rsidRPr="004F3E91"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29BC56DB" w14:textId="636A72C7" w:rsidR="000B6492" w:rsidRPr="004F3E91" w:rsidRDefault="00C46C69"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4F3E91">
        <w:rPr>
          <w:rFonts w:ascii="Palatino Linotype" w:eastAsia="MS Mincho" w:hAnsi="Palatino Linotype" w:cs="Arial"/>
          <w:b/>
          <w:lang w:val="es-ES_tradnl" w:eastAsia="es-MX"/>
        </w:rPr>
        <w:lastRenderedPageBreak/>
        <w:t>Las quejas</w:t>
      </w:r>
      <w:r w:rsidR="000B6492" w:rsidRPr="004F3E91">
        <w:rPr>
          <w:rFonts w:ascii="Palatino Linotype" w:eastAsia="MS Mincho" w:hAnsi="Palatino Linotype" w:cs="Arial"/>
          <w:b/>
          <w:lang w:val="es-ES_tradnl" w:eastAsia="es-MX"/>
        </w:rPr>
        <w:t xml:space="preserve"> y/o denuncias interpuestas por exceso de ruido, ante la </w:t>
      </w:r>
      <w:r w:rsidR="000B6492" w:rsidRPr="004F3E91">
        <w:rPr>
          <w:rFonts w:ascii="Palatino Linotype" w:eastAsia="MS Mincho" w:hAnsi="Palatino Linotype" w:cs="Arial"/>
          <w:b/>
          <w:bCs/>
          <w:lang w:val="es-ES_tradnl" w:eastAsia="es-MX"/>
        </w:rPr>
        <w:t>Comisión Nacional de Derechos Humanos,</w:t>
      </w:r>
      <w:r w:rsidR="000B6492" w:rsidRPr="004F3E91">
        <w:rPr>
          <w:rFonts w:ascii="Palatino Linotype" w:eastAsia="MS Mincho" w:hAnsi="Palatino Linotype" w:cs="Arial"/>
          <w:b/>
          <w:lang w:val="es-ES_tradnl" w:eastAsia="es-MX"/>
        </w:rPr>
        <w:t xml:space="preserve"> </w:t>
      </w:r>
      <w:r w:rsidRPr="004F3E91">
        <w:rPr>
          <w:rFonts w:ascii="Palatino Linotype" w:eastAsia="MS Mincho" w:hAnsi="Palatino Linotype" w:cs="Arial"/>
          <w:b/>
          <w:lang w:val="es-ES_tradnl" w:eastAsia="es-MX"/>
        </w:rPr>
        <w:t xml:space="preserve">y que hayan sido notificadas al Ayuntamiento de Toluca, </w:t>
      </w:r>
      <w:r w:rsidR="000B6492" w:rsidRPr="004F3E91">
        <w:rPr>
          <w:rFonts w:ascii="Palatino Linotype" w:eastAsia="MS Mincho" w:hAnsi="Palatino Linotype" w:cs="Arial"/>
          <w:b/>
          <w:lang w:val="es-ES_tradnl" w:eastAsia="es-MX"/>
        </w:rPr>
        <w:t>por el período comprendido del uno (01) de enero de dos mil veintiuno al quince (15) de febrero de dos mil veintidós</w:t>
      </w:r>
      <w:r w:rsidR="001E5ACF" w:rsidRPr="004F3E91">
        <w:rPr>
          <w:rFonts w:ascii="Palatino Linotype" w:eastAsia="MS Mincho" w:hAnsi="Palatino Linotype" w:cs="Arial"/>
          <w:b/>
          <w:lang w:val="es-ES_tradnl" w:eastAsia="es-MX"/>
        </w:rPr>
        <w:t>.</w:t>
      </w:r>
    </w:p>
    <w:p w14:paraId="09A72DC8" w14:textId="177DF3DF" w:rsidR="007D1970" w:rsidRPr="004F3E91" w:rsidRDefault="008934B8"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4F3E91">
        <w:rPr>
          <w:rFonts w:ascii="Palatino Linotype" w:eastAsia="MS Mincho" w:hAnsi="Palatino Linotype" w:cs="Arial"/>
          <w:b/>
          <w:lang w:eastAsia="es-MX"/>
        </w:rPr>
        <w:t xml:space="preserve">Expedientes </w:t>
      </w:r>
      <w:r w:rsidR="000B6492" w:rsidRPr="004F3E91">
        <w:rPr>
          <w:rFonts w:ascii="Palatino Linotype" w:eastAsia="MS Mincho" w:hAnsi="Palatino Linotype" w:cs="Arial"/>
          <w:b/>
          <w:lang w:eastAsia="es-MX"/>
        </w:rPr>
        <w:t xml:space="preserve">formados con motivo de las quejas y/o denuncias </w:t>
      </w:r>
      <w:r w:rsidR="00C46C69" w:rsidRPr="004F3E91">
        <w:rPr>
          <w:rFonts w:ascii="Palatino Linotype" w:eastAsia="MS Mincho" w:hAnsi="Palatino Linotype" w:cs="Arial"/>
          <w:b/>
          <w:lang w:eastAsia="es-MX"/>
        </w:rPr>
        <w:t>concluidas, presentadas por ruido excesivo</w:t>
      </w:r>
      <w:r w:rsidR="000B6492" w:rsidRPr="004F3E91">
        <w:rPr>
          <w:rFonts w:ascii="Palatino Linotype" w:eastAsia="MS Mincho" w:hAnsi="Palatino Linotype" w:cs="Arial"/>
          <w:b/>
          <w:lang w:eastAsia="es-MX"/>
        </w:rPr>
        <w:t>, del uno (01) de enero de dos mil veintiuno al quince (15) de febrero de dos mil veintidós.</w:t>
      </w:r>
    </w:p>
    <w:p w14:paraId="58902138" w14:textId="722E7F05" w:rsidR="008934B8" w:rsidRPr="004F3E91" w:rsidRDefault="000B6492"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4F3E91">
        <w:rPr>
          <w:rFonts w:ascii="Palatino Linotype" w:eastAsia="MS Mincho" w:hAnsi="Palatino Linotype" w:cs="Arial"/>
          <w:b/>
          <w:lang w:eastAsia="es-MX"/>
        </w:rPr>
        <w:t xml:space="preserve">Acuerdo </w:t>
      </w:r>
      <w:r w:rsidRPr="004F3E91">
        <w:rPr>
          <w:rFonts w:ascii="Palatino Linotype" w:hAnsi="Palatino Linotype"/>
          <w:b/>
          <w:bCs/>
          <w:color w:val="000000"/>
        </w:rPr>
        <w:t xml:space="preserve">de Clasificación que determine la adecuada reserva de la información relacionada con los expedientes </w:t>
      </w:r>
      <w:r w:rsidRPr="004F3E91">
        <w:rPr>
          <w:rFonts w:ascii="Palatino Linotype" w:eastAsia="MS Mincho" w:hAnsi="Palatino Linotype" w:cs="Arial"/>
          <w:b/>
          <w:lang w:eastAsia="es-MX"/>
        </w:rPr>
        <w:t>formados con motivo de las quejas y/o denuncias presentadas por ruido excesivo, que aún se encuentren en trámite,</w:t>
      </w:r>
      <w:r w:rsidR="001E5ACF" w:rsidRPr="004F3E91">
        <w:rPr>
          <w:rFonts w:ascii="Palatino Linotype" w:eastAsia="MS Mincho" w:hAnsi="Palatino Linotype" w:cs="Arial"/>
          <w:b/>
          <w:lang w:eastAsia="es-MX"/>
        </w:rPr>
        <w:t xml:space="preserve"> interpuestos</w:t>
      </w:r>
      <w:r w:rsidRPr="004F3E91">
        <w:rPr>
          <w:rFonts w:ascii="Palatino Linotype" w:eastAsia="MS Mincho" w:hAnsi="Palatino Linotype" w:cs="Arial"/>
          <w:b/>
          <w:lang w:eastAsia="es-MX"/>
        </w:rPr>
        <w:t xml:space="preserve"> del uno (01) de enero de dos mil veintiuno al quince (15) de febrero de dos mil veintidós</w:t>
      </w:r>
      <w:r w:rsidRPr="004F3E91">
        <w:rPr>
          <w:rFonts w:ascii="Palatino Linotype" w:hAnsi="Palatino Linotype"/>
          <w:b/>
          <w:bCs/>
          <w:color w:val="000000"/>
        </w:rPr>
        <w:t>.</w:t>
      </w:r>
    </w:p>
    <w:p w14:paraId="16ACD0E9" w14:textId="77777777" w:rsidR="00C23716" w:rsidRPr="004F3E91" w:rsidRDefault="00C23716" w:rsidP="00C23716">
      <w:pPr>
        <w:spacing w:line="360" w:lineRule="auto"/>
        <w:contextualSpacing/>
        <w:jc w:val="both"/>
        <w:rPr>
          <w:rFonts w:ascii="Palatino Linotype" w:hAnsi="Palatino Linotype"/>
          <w:iCs/>
          <w:color w:val="000000"/>
          <w:lang w:val="es-ES_tradnl" w:eastAsia="es-MX"/>
        </w:rPr>
      </w:pPr>
    </w:p>
    <w:p w14:paraId="479C31C6" w14:textId="7E03D248" w:rsidR="00140B8C" w:rsidRPr="004F3E91" w:rsidRDefault="00140B8C" w:rsidP="00140B8C">
      <w:pPr>
        <w:tabs>
          <w:tab w:val="left" w:pos="993"/>
        </w:tabs>
        <w:spacing w:line="360" w:lineRule="auto"/>
        <w:jc w:val="both"/>
        <w:rPr>
          <w:rFonts w:ascii="Palatino Linotype" w:eastAsia="Calibri" w:hAnsi="Palatino Linotype" w:cs="Arial"/>
        </w:rPr>
      </w:pPr>
      <w:r w:rsidRPr="004F3E91">
        <w:rPr>
          <w:rFonts w:ascii="Palatino Linotype" w:hAnsi="Palatino Linotype"/>
          <w:color w:val="000000"/>
        </w:rPr>
        <w:t xml:space="preserve">Para </w:t>
      </w:r>
      <w:r w:rsidRPr="004F3E91">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4F3E91">
        <w:rPr>
          <w:rFonts w:ascii="Palatino Linotype" w:eastAsia="Calibri" w:hAnsi="Palatino Linotype" w:cs="Arial"/>
          <w:b/>
        </w:rPr>
        <w:t>RECURRENTE</w:t>
      </w:r>
      <w:r w:rsidRPr="004F3E91">
        <w:rPr>
          <w:rFonts w:ascii="Palatino Linotype" w:eastAsia="Calibri" w:hAnsi="Palatino Linotype" w:cs="Arial"/>
        </w:rPr>
        <w:t>.</w:t>
      </w:r>
    </w:p>
    <w:p w14:paraId="73A714F5" w14:textId="6BDBDE22" w:rsidR="00963686" w:rsidRPr="004F3E91" w:rsidRDefault="00963686" w:rsidP="00140B8C">
      <w:pPr>
        <w:tabs>
          <w:tab w:val="left" w:pos="993"/>
        </w:tabs>
        <w:spacing w:line="360" w:lineRule="auto"/>
        <w:jc w:val="both"/>
        <w:rPr>
          <w:rFonts w:ascii="Palatino Linotype" w:eastAsia="Calibri" w:hAnsi="Palatino Linotype" w:cs="Arial"/>
        </w:rPr>
      </w:pPr>
    </w:p>
    <w:p w14:paraId="5ED0F84A" w14:textId="723C4C01" w:rsidR="001E5ACF" w:rsidRPr="004F3E91" w:rsidRDefault="001E5ACF" w:rsidP="001E5ACF">
      <w:pPr>
        <w:tabs>
          <w:tab w:val="left" w:pos="993"/>
        </w:tabs>
        <w:spacing w:line="360" w:lineRule="auto"/>
        <w:jc w:val="both"/>
        <w:rPr>
          <w:rFonts w:ascii="Palatino Linotype" w:eastAsia="Calibri" w:hAnsi="Palatino Linotype" w:cs="Arial"/>
          <w:lang w:val="es-ES_tradnl"/>
        </w:rPr>
      </w:pPr>
      <w:r w:rsidRPr="004F3E91">
        <w:rPr>
          <w:rFonts w:ascii="Palatino Linotype" w:eastAsia="Calibri" w:hAnsi="Palatino Linotype" w:cs="Arial"/>
          <w:lang w:val="es-MX"/>
        </w:rPr>
        <w:t xml:space="preserve">Para el caso de que la información señalada en el </w:t>
      </w:r>
      <w:r w:rsidRPr="004F3E91">
        <w:rPr>
          <w:rFonts w:ascii="Palatino Linotype" w:eastAsia="Calibri" w:hAnsi="Palatino Linotype" w:cs="Arial"/>
          <w:b/>
          <w:bCs/>
          <w:lang w:val="es-MX"/>
        </w:rPr>
        <w:t>inciso I</w:t>
      </w:r>
      <w:r w:rsidRPr="004F3E91">
        <w:rPr>
          <w:rFonts w:ascii="Palatino Linotype" w:eastAsia="Calibri" w:hAnsi="Palatino Linotype" w:cs="Arial"/>
          <w:lang w:val="es-MX"/>
        </w:rPr>
        <w:t>, no hubiera sido generada, poseída o administrada, el </w:t>
      </w:r>
      <w:r w:rsidRPr="004F3E91">
        <w:rPr>
          <w:rFonts w:ascii="Palatino Linotype" w:eastAsia="Calibri" w:hAnsi="Palatino Linotype" w:cs="Arial"/>
          <w:b/>
          <w:bCs/>
          <w:lang w:val="es-MX"/>
        </w:rPr>
        <w:t>SUJETO OBLIGADO</w:t>
      </w:r>
      <w:r w:rsidRPr="004F3E91">
        <w:rPr>
          <w:rFonts w:ascii="Palatino Linotype" w:eastAsia="Calibri" w:hAnsi="Palatino Linotype" w:cs="Arial"/>
          <w:lang w:val="es-MX"/>
        </w:rPr>
        <w:t xml:space="preserve"> deberá explicar al </w:t>
      </w:r>
      <w:r w:rsidRPr="004F3E91">
        <w:rPr>
          <w:rFonts w:ascii="Palatino Linotype" w:eastAsia="Calibri" w:hAnsi="Palatino Linotype" w:cs="Arial"/>
          <w:b/>
          <w:bCs/>
          <w:lang w:val="es-MX"/>
        </w:rPr>
        <w:t>RECURRENTE</w:t>
      </w:r>
      <w:r w:rsidRPr="004F3E91">
        <w:rPr>
          <w:rFonts w:ascii="Palatino Linotype" w:eastAsia="Calibri" w:hAnsi="Palatino Linotype" w:cs="Arial"/>
          <w:lang w:val="es-MX"/>
        </w:rPr>
        <w:t xml:space="preserve"> las razones por las que no se cuenta con la información de manera clara y precisa.</w:t>
      </w:r>
    </w:p>
    <w:p w14:paraId="05BC5B47" w14:textId="77777777" w:rsidR="0058724F" w:rsidRPr="004F3E91" w:rsidRDefault="0058724F" w:rsidP="00140B8C">
      <w:pPr>
        <w:tabs>
          <w:tab w:val="left" w:pos="993"/>
        </w:tabs>
        <w:spacing w:line="360" w:lineRule="auto"/>
        <w:jc w:val="both"/>
        <w:rPr>
          <w:rFonts w:ascii="Palatino Linotype" w:eastAsia="Calibri" w:hAnsi="Palatino Linotype" w:cs="Arial"/>
          <w:lang w:val="es-ES_tradnl"/>
        </w:rPr>
      </w:pPr>
    </w:p>
    <w:p w14:paraId="37F5A788" w14:textId="7BDB9D30" w:rsidR="00F26464" w:rsidRPr="004F3E91"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4F3E91">
        <w:rPr>
          <w:rFonts w:ascii="Palatino Linotype" w:hAnsi="Palatino Linotype" w:cs="Arial"/>
          <w:b/>
          <w:bCs/>
          <w:color w:val="222222"/>
          <w:lang w:val="es-ES_tradnl" w:eastAsia="es-MX"/>
        </w:rPr>
        <w:lastRenderedPageBreak/>
        <w:t xml:space="preserve">TERCERO. </w:t>
      </w:r>
      <w:r w:rsidRPr="004F3E91">
        <w:rPr>
          <w:rFonts w:ascii="Palatino Linotype" w:hAnsi="Palatino Linotype" w:cs="Arial"/>
          <w:b/>
          <w:color w:val="222222"/>
          <w:lang w:val="es-ES_tradnl" w:eastAsia="es-MX"/>
        </w:rPr>
        <w:t>Notifíquese</w:t>
      </w:r>
      <w:r w:rsidRPr="004F3E91">
        <w:rPr>
          <w:rFonts w:ascii="Palatino Linotype" w:hAnsi="Palatino Linotype" w:cs="Arial"/>
          <w:b/>
          <w:bCs/>
          <w:color w:val="222222"/>
          <w:lang w:val="es-ES_tradnl" w:eastAsia="es-MX"/>
        </w:rPr>
        <w:t xml:space="preserve"> </w:t>
      </w:r>
      <w:r w:rsidRPr="004F3E91">
        <w:rPr>
          <w:rFonts w:ascii="Palatino Linotype" w:hAnsi="Palatino Linotype" w:cs="Arial"/>
          <w:color w:val="222222"/>
          <w:lang w:val="es-ES_tradnl" w:eastAsia="es-MX"/>
        </w:rPr>
        <w:t>a</w:t>
      </w:r>
      <w:r w:rsidR="004B2F77" w:rsidRPr="004F3E91">
        <w:rPr>
          <w:rFonts w:ascii="Palatino Linotype" w:hAnsi="Palatino Linotype" w:cs="Arial"/>
          <w:color w:val="222222"/>
          <w:lang w:val="es-ES_tradnl" w:eastAsia="es-MX"/>
        </w:rPr>
        <w:t xml:space="preserve"> </w:t>
      </w:r>
      <w:r w:rsidRPr="004F3E91">
        <w:rPr>
          <w:rFonts w:ascii="Palatino Linotype" w:hAnsi="Palatino Linotype" w:cs="Arial"/>
          <w:color w:val="222222"/>
          <w:lang w:val="es-ES_tradnl" w:eastAsia="es-MX"/>
        </w:rPr>
        <w:t>l</w:t>
      </w:r>
      <w:r w:rsidR="004B2F77" w:rsidRPr="004F3E91">
        <w:rPr>
          <w:rFonts w:ascii="Palatino Linotype" w:hAnsi="Palatino Linotype" w:cs="Arial"/>
          <w:color w:val="222222"/>
          <w:lang w:val="es-ES_tradnl" w:eastAsia="es-MX"/>
        </w:rPr>
        <w:t>a</w:t>
      </w:r>
      <w:r w:rsidRPr="004F3E91">
        <w:rPr>
          <w:rFonts w:ascii="Palatino Linotype" w:hAnsi="Palatino Linotype" w:cs="Arial"/>
          <w:color w:val="222222"/>
          <w:lang w:val="es-ES_tradnl" w:eastAsia="es-MX"/>
        </w:rPr>
        <w:t xml:space="preserve"> Titular de la Unidad de Transparencia del </w:t>
      </w:r>
      <w:r w:rsidRPr="004F3E91">
        <w:rPr>
          <w:rFonts w:ascii="Palatino Linotype" w:hAnsi="Palatino Linotype" w:cs="Arial"/>
          <w:b/>
          <w:bCs/>
          <w:color w:val="222222"/>
          <w:lang w:val="es-ES_tradnl" w:eastAsia="es-MX"/>
        </w:rPr>
        <w:t xml:space="preserve">SUJETO OBLIGADO </w:t>
      </w:r>
      <w:r w:rsidRPr="004F3E91">
        <w:rPr>
          <w:rFonts w:ascii="Palatino Linotype" w:hAnsi="Palatino Linotype" w:cs="Arial"/>
          <w:bCs/>
          <w:color w:val="222222"/>
          <w:lang w:val="es-ES_tradnl" w:eastAsia="es-MX"/>
        </w:rPr>
        <w:t>la presente resolución</w:t>
      </w:r>
      <w:r w:rsidR="00C23716" w:rsidRPr="004F3E91">
        <w:rPr>
          <w:rFonts w:ascii="Palatino Linotype" w:hAnsi="Palatino Linotype" w:cs="Arial"/>
          <w:bCs/>
          <w:color w:val="222222"/>
          <w:lang w:val="es-ES_tradnl" w:eastAsia="es-MX"/>
        </w:rPr>
        <w:t>,</w:t>
      </w:r>
      <w:r w:rsidRPr="004F3E91">
        <w:rPr>
          <w:rFonts w:ascii="Palatino Linotype" w:hAnsi="Palatino Linotype" w:cs="Arial"/>
          <w:bCs/>
          <w:color w:val="222222"/>
          <w:lang w:val="es-ES_tradnl" w:eastAsia="es-MX"/>
        </w:rPr>
        <w:t xml:space="preserve"> vía Sistema de Acceso a la Información Mexiquense (SAIMEX)</w:t>
      </w:r>
      <w:r w:rsidRPr="004F3E91">
        <w:rPr>
          <w:rFonts w:ascii="Palatino Linotype" w:hAnsi="Palatino Linotype" w:cs="Arial"/>
          <w:color w:val="222222"/>
          <w:lang w:val="es-ES_tradnl" w:eastAsia="es-MX"/>
        </w:rPr>
        <w:t>, para que conforme a los artículos 186</w:t>
      </w:r>
      <w:r w:rsidR="00140B8C" w:rsidRPr="004F3E91">
        <w:rPr>
          <w:rFonts w:ascii="Palatino Linotype" w:hAnsi="Palatino Linotype" w:cs="Arial"/>
          <w:color w:val="222222"/>
          <w:lang w:val="es-ES_tradnl" w:eastAsia="es-MX"/>
        </w:rPr>
        <w:t>,</w:t>
      </w:r>
      <w:r w:rsidRPr="004F3E91">
        <w:rPr>
          <w:rFonts w:ascii="Palatino Linotype" w:hAnsi="Palatino Linotype" w:cs="Arial"/>
          <w:color w:val="222222"/>
          <w:lang w:val="es-ES_tradnl" w:eastAsia="es-MX"/>
        </w:rPr>
        <w:t xml:space="preserve"> último párrafo, 189</w:t>
      </w:r>
      <w:r w:rsidR="00140B8C" w:rsidRPr="004F3E91">
        <w:rPr>
          <w:rFonts w:ascii="Palatino Linotype" w:hAnsi="Palatino Linotype" w:cs="Arial"/>
          <w:color w:val="222222"/>
          <w:lang w:val="es-ES_tradnl" w:eastAsia="es-MX"/>
        </w:rPr>
        <w:t>,</w:t>
      </w:r>
      <w:r w:rsidRPr="004F3E91">
        <w:rPr>
          <w:rFonts w:ascii="Palatino Linotype" w:hAnsi="Palatino Linotype" w:cs="Arial"/>
          <w:color w:val="222222"/>
          <w:lang w:val="es-ES_tradnl" w:eastAsia="es-MX"/>
        </w:rPr>
        <w:t xml:space="preserve"> párrafo segundo</w:t>
      </w:r>
      <w:r w:rsidR="00140B8C" w:rsidRPr="004F3E91">
        <w:rPr>
          <w:rFonts w:ascii="Palatino Linotype" w:hAnsi="Palatino Linotype" w:cs="Arial"/>
          <w:color w:val="222222"/>
          <w:lang w:val="es-ES_tradnl" w:eastAsia="es-MX"/>
        </w:rPr>
        <w:t>,</w:t>
      </w:r>
      <w:r w:rsidRPr="004F3E91">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4F3E91"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026F15BB" w:rsidR="005E63C7" w:rsidRPr="004F3E91"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4F3E91">
        <w:rPr>
          <w:rFonts w:ascii="Palatino Linotype" w:eastAsia="Calibri" w:hAnsi="Palatino Linotype" w:cs="Arial"/>
          <w:b/>
          <w:bCs/>
          <w:color w:val="000000"/>
          <w:lang w:val="es-MX" w:eastAsia="en-US"/>
        </w:rPr>
        <w:t>CUARTO.</w:t>
      </w:r>
      <w:r w:rsidRPr="004F3E91">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w:t>
      </w:r>
      <w:r w:rsidR="00140B8C" w:rsidRPr="004F3E91">
        <w:rPr>
          <w:rFonts w:ascii="Palatino Linotype" w:eastAsia="Calibri" w:hAnsi="Palatino Linotype" w:cs="Arial"/>
          <w:b/>
          <w:bCs/>
          <w:color w:val="000000"/>
          <w:lang w:val="es-MX" w:eastAsia="en-US"/>
        </w:rPr>
        <w:t>SUJETO OBLIGADO</w:t>
      </w:r>
      <w:r w:rsidRPr="004F3E91">
        <w:rPr>
          <w:rFonts w:ascii="Palatino Linotype" w:eastAsia="Calibri" w:hAnsi="Palatino Linotype" w:cs="Arial"/>
          <w:bCs/>
          <w:color w:val="000000"/>
          <w:lang w:val="es-MX" w:eastAsia="en-US"/>
        </w:rPr>
        <w:t xml:space="preserve"> podrá</w:t>
      </w:r>
      <w:r w:rsidR="00140B8C" w:rsidRPr="004F3E91">
        <w:rPr>
          <w:rFonts w:ascii="Palatino Linotype" w:eastAsia="Calibri" w:hAnsi="Palatino Linotype" w:cs="Arial"/>
          <w:bCs/>
          <w:color w:val="000000"/>
          <w:lang w:val="es-MX" w:eastAsia="en-US"/>
        </w:rPr>
        <w:t>,</w:t>
      </w:r>
      <w:r w:rsidRPr="004F3E91">
        <w:rPr>
          <w:rFonts w:ascii="Palatino Linotype" w:eastAsia="Calibri" w:hAnsi="Palatino Linotype" w:cs="Arial"/>
          <w:bCs/>
          <w:color w:val="000000"/>
          <w:lang w:val="es-MX" w:eastAsia="en-US"/>
        </w:rPr>
        <w:t xml:space="preserve"> </w:t>
      </w:r>
      <w:r w:rsidR="00140B8C" w:rsidRPr="004F3E91">
        <w:rPr>
          <w:rFonts w:ascii="Palatino Linotype" w:eastAsia="Calibri" w:hAnsi="Palatino Linotype" w:cs="Arial"/>
          <w:bCs/>
          <w:color w:val="000000"/>
          <w:lang w:val="es-MX" w:eastAsia="en-US"/>
        </w:rPr>
        <w:t xml:space="preserve">de manera fundada y motivada, </w:t>
      </w:r>
      <w:r w:rsidRPr="004F3E91">
        <w:rPr>
          <w:rFonts w:ascii="Palatino Linotype" w:eastAsia="Calibri" w:hAnsi="Palatino Linotype" w:cs="Arial"/>
          <w:bCs/>
          <w:color w:val="000000"/>
          <w:lang w:val="es-MX" w:eastAsia="en-US"/>
        </w:rPr>
        <w:t>solicitar una ampliación de plazo para el cumplimiento de la presente resolución.</w:t>
      </w:r>
    </w:p>
    <w:p w14:paraId="7656A58F" w14:textId="77777777" w:rsidR="005E63C7" w:rsidRPr="004F3E91" w:rsidRDefault="005E63C7" w:rsidP="007833FC">
      <w:pPr>
        <w:spacing w:line="360" w:lineRule="auto"/>
        <w:rPr>
          <w:rFonts w:ascii="Palatino Linotype" w:eastAsia="MS Mincho" w:hAnsi="Palatino Linotype"/>
        </w:rPr>
      </w:pPr>
    </w:p>
    <w:p w14:paraId="751A5722" w14:textId="733C11C7" w:rsidR="005E63C7" w:rsidRPr="004F3E91" w:rsidRDefault="005E63C7" w:rsidP="007833FC">
      <w:pPr>
        <w:shd w:val="clear" w:color="auto" w:fill="FFFFFF"/>
        <w:spacing w:line="360" w:lineRule="auto"/>
        <w:jc w:val="both"/>
        <w:rPr>
          <w:rFonts w:ascii="Palatino Linotype" w:hAnsi="Palatino Linotype"/>
          <w:color w:val="000000" w:themeColor="text1"/>
          <w:lang w:val="es-ES_tradnl"/>
        </w:rPr>
      </w:pPr>
      <w:r w:rsidRPr="004F3E91">
        <w:rPr>
          <w:rFonts w:ascii="Palatino Linotype" w:hAnsi="Palatino Linotype" w:cs="Arial"/>
          <w:b/>
          <w:lang w:val="es-ES_tradnl"/>
        </w:rPr>
        <w:t xml:space="preserve">QUINTO. </w:t>
      </w:r>
      <w:r w:rsidRPr="004F3E91">
        <w:rPr>
          <w:rFonts w:ascii="Palatino Linotype" w:hAnsi="Palatino Linotype"/>
          <w:b/>
          <w:bCs/>
          <w:color w:val="222222"/>
        </w:rPr>
        <w:t xml:space="preserve">Notifíquese </w:t>
      </w:r>
      <w:r w:rsidRPr="004F3E91">
        <w:rPr>
          <w:rFonts w:ascii="Palatino Linotype" w:hAnsi="Palatino Linotype"/>
          <w:bCs/>
          <w:color w:val="222222"/>
        </w:rPr>
        <w:t xml:space="preserve">al </w:t>
      </w:r>
      <w:r w:rsidRPr="004F3E91">
        <w:rPr>
          <w:rFonts w:ascii="Palatino Linotype" w:hAnsi="Palatino Linotype"/>
          <w:b/>
          <w:bCs/>
          <w:color w:val="222222"/>
        </w:rPr>
        <w:t>RECURRENTE</w:t>
      </w:r>
      <w:r w:rsidRPr="004F3E91">
        <w:rPr>
          <w:rFonts w:ascii="Palatino Linotype" w:hAnsi="Palatino Linotype"/>
          <w:bCs/>
          <w:color w:val="222222"/>
        </w:rPr>
        <w:t xml:space="preserve"> </w:t>
      </w:r>
      <w:r w:rsidRPr="004F3E91">
        <w:rPr>
          <w:rFonts w:ascii="Palatino Linotype" w:hAnsi="Palatino Linotype"/>
          <w:lang w:val="es-ES_tradnl"/>
        </w:rPr>
        <w:t xml:space="preserve">la presente resolución vía </w:t>
      </w:r>
      <w:r w:rsidRPr="004F3E91">
        <w:rPr>
          <w:rFonts w:ascii="Palatino Linotype" w:hAnsi="Palatino Linotype" w:cs="Arial"/>
          <w:lang w:val="es-ES_tradnl"/>
        </w:rPr>
        <w:t>Sistema de Acceso a la Información Mexiquense (SAIMEX).</w:t>
      </w:r>
    </w:p>
    <w:p w14:paraId="0E8D9AAE" w14:textId="77777777" w:rsidR="005E63C7" w:rsidRPr="004F3E91" w:rsidRDefault="005E63C7" w:rsidP="007833FC">
      <w:pPr>
        <w:shd w:val="clear" w:color="auto" w:fill="FFFFFF"/>
        <w:spacing w:line="360" w:lineRule="auto"/>
        <w:jc w:val="both"/>
        <w:rPr>
          <w:rFonts w:ascii="Palatino Linotype" w:hAnsi="Palatino Linotype"/>
          <w:lang w:val="es-ES_tradnl"/>
        </w:rPr>
      </w:pPr>
    </w:p>
    <w:p w14:paraId="49AC01AD" w14:textId="6C42C0EE" w:rsidR="00F26464" w:rsidRPr="004F3E91" w:rsidRDefault="005E63C7" w:rsidP="007833FC">
      <w:pPr>
        <w:spacing w:line="360" w:lineRule="auto"/>
        <w:ind w:right="-93"/>
        <w:jc w:val="both"/>
        <w:rPr>
          <w:rFonts w:ascii="Palatino Linotype" w:eastAsia="MS Mincho" w:hAnsi="Palatino Linotype"/>
        </w:rPr>
      </w:pPr>
      <w:r w:rsidRPr="004F3E91">
        <w:rPr>
          <w:rFonts w:ascii="Palatino Linotype" w:eastAsia="MS Mincho" w:hAnsi="Palatino Linotype"/>
          <w:b/>
          <w:lang w:val="es-MX"/>
        </w:rPr>
        <w:t>SEXTO.</w:t>
      </w:r>
      <w:r w:rsidRPr="004F3E91">
        <w:rPr>
          <w:rFonts w:ascii="Palatino Linotype" w:eastAsia="MS Mincho" w:hAnsi="Palatino Linotype"/>
          <w:lang w:val="es-MX"/>
        </w:rPr>
        <w:t xml:space="preserve"> </w:t>
      </w:r>
      <w:r w:rsidRPr="004F3E91">
        <w:rPr>
          <w:rFonts w:ascii="Palatino Linotype" w:eastAsia="MS Mincho" w:hAnsi="Palatino Linotype"/>
        </w:rPr>
        <w:t xml:space="preserve">Se </w:t>
      </w:r>
      <w:r w:rsidR="00E53335" w:rsidRPr="004F3E91">
        <w:rPr>
          <w:rFonts w:ascii="Palatino Linotype" w:eastAsia="MS Mincho" w:hAnsi="Palatino Linotype"/>
          <w:color w:val="000000" w:themeColor="text1"/>
        </w:rPr>
        <w:t>hace del conocimiento del</w:t>
      </w:r>
      <w:r w:rsidR="00E53335" w:rsidRPr="004F3E91">
        <w:rPr>
          <w:rFonts w:ascii="Palatino Linotype" w:eastAsia="MS Mincho" w:hAnsi="Palatino Linotype"/>
          <w:b/>
          <w:color w:val="000000" w:themeColor="text1"/>
        </w:rPr>
        <w:t xml:space="preserve"> RECURRENTE </w:t>
      </w:r>
      <w:r w:rsidR="00E53335" w:rsidRPr="004F3E91">
        <w:rPr>
          <w:rFonts w:ascii="Palatino Linotype" w:eastAsia="MS Mincho" w:hAnsi="Palatino Linotype"/>
          <w:color w:val="000000" w:themeColor="text1"/>
        </w:rPr>
        <w:t xml:space="preserve">que, </w:t>
      </w:r>
      <w:r w:rsidR="001E5ACF" w:rsidRPr="004F3E91">
        <w:rPr>
          <w:rFonts w:ascii="Palatino Linotype" w:eastAsia="MS Mincho" w:hAnsi="Palatino Linotype"/>
          <w:color w:val="000000" w:themeColor="text1"/>
        </w:rPr>
        <w:t>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1AFEB68C" w14:textId="24B2BC31" w:rsidR="00AE7223" w:rsidRDefault="00AE7223" w:rsidP="00AE7223">
      <w:pPr>
        <w:spacing w:before="240" w:after="240" w:line="360" w:lineRule="auto"/>
        <w:jc w:val="both"/>
        <w:rPr>
          <w:rFonts w:ascii="Palatino Linotype" w:hAnsi="Palatino Linotype"/>
        </w:rPr>
      </w:pPr>
      <w:r w:rsidRPr="004F3E91">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30AA2" w:rsidRPr="004F3E91">
        <w:rPr>
          <w:rFonts w:ascii="Palatino Linotype" w:hAnsi="Palatino Linotype"/>
        </w:rPr>
        <w:t xml:space="preserve"> EMITIENDO VOTO PARTICULAR</w:t>
      </w:r>
      <w:r w:rsidRPr="004F3E91">
        <w:rPr>
          <w:rFonts w:ascii="Palatino Linotype" w:hAnsi="Palatino Linotype"/>
        </w:rPr>
        <w:t xml:space="preserve"> Y GUADALUPE RAMÍREZ PEÑA EN LA CUADRAGÉSIMA TERCERA SESIÓN ORDINARIA CELEBRADA EL TREINTA (30) DE NOVIEMBRE DE DOS MIL VEINTIDÓS, ANTE EL SECRETARIO TÉCNICO DEL PLENO ALEXIS TAPIA RAMÍREZ.</w:t>
      </w:r>
      <w:bookmarkStart w:id="69" w:name="_GoBack"/>
      <w:bookmarkEnd w:id="69"/>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25"/>
      <w:footerReference w:type="default" r:id="rId26"/>
      <w:headerReference w:type="first" r:id="rId27"/>
      <w:footerReference w:type="first" r:id="rId28"/>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7A8DD" w14:textId="77777777" w:rsidR="00E94629" w:rsidRDefault="00E94629" w:rsidP="00C80F8C">
      <w:r>
        <w:separator/>
      </w:r>
    </w:p>
  </w:endnote>
  <w:endnote w:type="continuationSeparator" w:id="0">
    <w:p w14:paraId="4DE61BA2" w14:textId="77777777" w:rsidR="00E94629" w:rsidRDefault="00E946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41030E" w:rsidRPr="00817AAB" w:rsidRDefault="0041030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F3E91">
      <w:rPr>
        <w:rFonts w:ascii="Palatino Linotype" w:hAnsi="Palatino Linotype" w:cs="Arial"/>
        <w:b/>
        <w:bCs/>
        <w:noProof/>
      </w:rPr>
      <w:t>65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F3E91">
      <w:rPr>
        <w:rFonts w:ascii="Palatino Linotype" w:hAnsi="Palatino Linotype" w:cs="Arial"/>
        <w:b/>
        <w:bCs/>
        <w:noProof/>
      </w:rPr>
      <w:t>68</w:t>
    </w:r>
    <w:r w:rsidRPr="00817AAB">
      <w:rPr>
        <w:rFonts w:ascii="Palatino Linotype" w:hAnsi="Palatino Linotype" w:cs="Arial"/>
        <w:b/>
        <w:bCs/>
      </w:rPr>
      <w:fldChar w:fldCharType="end"/>
    </w:r>
  </w:p>
  <w:p w14:paraId="1192A578" w14:textId="77777777" w:rsidR="0041030E" w:rsidRDefault="0041030E" w:rsidP="00935A0D">
    <w:pPr>
      <w:pStyle w:val="Piedepgina"/>
      <w:rPr>
        <w:rFonts w:ascii="Times New Roman" w:hAnsi="Times New Roman" w:cs="Times New Roman"/>
      </w:rPr>
    </w:pPr>
  </w:p>
  <w:p w14:paraId="14A770F8" w14:textId="3FC3D22C" w:rsidR="0041030E" w:rsidRDefault="0041030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41030E" w:rsidRDefault="0041030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F3E9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F3E91">
      <w:rPr>
        <w:rFonts w:ascii="Arial" w:hAnsi="Arial" w:cs="Arial"/>
        <w:b/>
        <w:bCs/>
        <w:noProof/>
        <w:sz w:val="20"/>
        <w:szCs w:val="20"/>
      </w:rPr>
      <w:t>68</w:t>
    </w:r>
    <w:r>
      <w:rPr>
        <w:rFonts w:ascii="Arial" w:hAnsi="Arial" w:cs="Arial"/>
        <w:b/>
        <w:bCs/>
        <w:sz w:val="20"/>
        <w:szCs w:val="20"/>
      </w:rPr>
      <w:fldChar w:fldCharType="end"/>
    </w:r>
  </w:p>
  <w:p w14:paraId="5D98ABD5" w14:textId="06A7AC22" w:rsidR="0041030E" w:rsidRDefault="004103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29DC8" w14:textId="77777777" w:rsidR="00E94629" w:rsidRDefault="00E94629" w:rsidP="00C80F8C">
      <w:r>
        <w:separator/>
      </w:r>
    </w:p>
  </w:footnote>
  <w:footnote w:type="continuationSeparator" w:id="0">
    <w:p w14:paraId="24CA3718" w14:textId="77777777" w:rsidR="00E94629" w:rsidRDefault="00E94629" w:rsidP="00C80F8C">
      <w:r>
        <w:continuationSeparator/>
      </w:r>
    </w:p>
  </w:footnote>
  <w:footnote w:id="1">
    <w:p w14:paraId="77A579AA" w14:textId="77777777" w:rsidR="0041030E" w:rsidRDefault="0041030E"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41030E" w:rsidRDefault="0041030E"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41030E" w:rsidRDefault="0041030E"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41030E" w:rsidRDefault="0041030E"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75C17B59" w14:textId="65F38D8B" w:rsidR="00F2230E" w:rsidRDefault="00F2230E">
      <w:pPr>
        <w:pStyle w:val="Textonotapie"/>
      </w:pPr>
      <w:r>
        <w:rPr>
          <w:rStyle w:val="Refdenotaalpie"/>
        </w:rPr>
        <w:footnoteRef/>
      </w:r>
      <w:r>
        <w:t xml:space="preserve"> Artículo 102, apartado B, Constitución Política de los Estados Unidos Mexicanos.</w:t>
      </w:r>
    </w:p>
  </w:footnote>
  <w:footnote w:id="6">
    <w:p w14:paraId="3F794D68" w14:textId="2000A580" w:rsidR="00F2230E" w:rsidRDefault="00F2230E">
      <w:pPr>
        <w:pStyle w:val="Textonotapie"/>
      </w:pPr>
      <w:r>
        <w:rPr>
          <w:rStyle w:val="Refdenotaalpie"/>
        </w:rPr>
        <w:footnoteRef/>
      </w:r>
      <w:r>
        <w:t xml:space="preserve"> Artículo 1, Ley de la Comisión Nacional de los Derechos Humanos.</w:t>
      </w:r>
    </w:p>
  </w:footnote>
  <w:footnote w:id="7">
    <w:p w14:paraId="2249B2B6" w14:textId="725C8E42" w:rsidR="00F2230E" w:rsidRDefault="00F2230E">
      <w:pPr>
        <w:pStyle w:val="Textonotapie"/>
      </w:pPr>
      <w:r>
        <w:rPr>
          <w:rStyle w:val="Refdenotaalpie"/>
        </w:rPr>
        <w:footnoteRef/>
      </w:r>
      <w:r>
        <w:t xml:space="preserve"> Artículo 2, Ídem.</w:t>
      </w:r>
    </w:p>
  </w:footnote>
  <w:footnote w:id="8">
    <w:p w14:paraId="50F65524" w14:textId="36FF1B59" w:rsidR="00F2230E" w:rsidRDefault="00F2230E">
      <w:pPr>
        <w:pStyle w:val="Textonotapie"/>
      </w:pPr>
      <w:r>
        <w:rPr>
          <w:rStyle w:val="Refdenotaalpie"/>
        </w:rPr>
        <w:footnoteRef/>
      </w:r>
      <w:r>
        <w:t xml:space="preserve"> Artículo 3, Ídem.</w:t>
      </w:r>
    </w:p>
  </w:footnote>
  <w:footnote w:id="9">
    <w:p w14:paraId="16DEE8FC" w14:textId="2C4E2905" w:rsidR="00F2230E" w:rsidRDefault="00F2230E">
      <w:pPr>
        <w:pStyle w:val="Textonotapie"/>
      </w:pPr>
      <w:r>
        <w:rPr>
          <w:rStyle w:val="Refdenotaalpie"/>
        </w:rPr>
        <w:footnoteRef/>
      </w:r>
      <w:r>
        <w:t xml:space="preserve"> Artículo 27, Ley de la Comisión Nacional de Derechos Humanos.</w:t>
      </w:r>
    </w:p>
  </w:footnote>
  <w:footnote w:id="10">
    <w:p w14:paraId="65576CFB" w14:textId="319E3AFE" w:rsidR="00F2230E" w:rsidRDefault="00F2230E">
      <w:pPr>
        <w:pStyle w:val="Textonotapie"/>
      </w:pPr>
      <w:r>
        <w:rPr>
          <w:rStyle w:val="Refdenotaalpie"/>
        </w:rPr>
        <w:footnoteRef/>
      </w:r>
      <w:r>
        <w:t xml:space="preserve"> Artículo 29, Ídem.</w:t>
      </w:r>
    </w:p>
  </w:footnote>
  <w:footnote w:id="11">
    <w:p w14:paraId="5E8203BA" w14:textId="5CB880F8" w:rsidR="00F2230E" w:rsidRDefault="00F2230E">
      <w:pPr>
        <w:pStyle w:val="Textonotapie"/>
      </w:pPr>
      <w:r>
        <w:rPr>
          <w:rStyle w:val="Refdenotaalpie"/>
        </w:rPr>
        <w:footnoteRef/>
      </w:r>
      <w:r>
        <w:t xml:space="preserve"> Artículo 34, Ley de la Comisión Nacional de Derechos Humanos.</w:t>
      </w:r>
    </w:p>
  </w:footnote>
  <w:footnote w:id="12">
    <w:p w14:paraId="3368057E" w14:textId="2D9D0D32" w:rsidR="00BA69BA" w:rsidRDefault="00BA69BA">
      <w:pPr>
        <w:pStyle w:val="Textonotapie"/>
      </w:pPr>
      <w:r>
        <w:rPr>
          <w:rStyle w:val="Refdenotaalpie"/>
        </w:rPr>
        <w:footnoteRef/>
      </w:r>
      <w:r>
        <w:t xml:space="preserve"> Artículo 16, Constitución Política del Estado Libre y Soberano de México.</w:t>
      </w:r>
    </w:p>
  </w:footnote>
  <w:footnote w:id="13">
    <w:p w14:paraId="7B6437B9" w14:textId="79A3CC2E" w:rsidR="00BA69BA" w:rsidRDefault="00BA69BA">
      <w:pPr>
        <w:pStyle w:val="Textonotapie"/>
      </w:pPr>
      <w:r>
        <w:rPr>
          <w:rStyle w:val="Refdenotaalpie"/>
        </w:rPr>
        <w:footnoteRef/>
      </w:r>
      <w:r>
        <w:t xml:space="preserve"> Artículo 61, Ley de la Comisión de Derechos Humanos del Estado de México.</w:t>
      </w:r>
    </w:p>
  </w:footnote>
  <w:footnote w:id="14">
    <w:p w14:paraId="2969007E" w14:textId="49833416" w:rsidR="00BA69BA" w:rsidRDefault="00BA69BA">
      <w:pPr>
        <w:pStyle w:val="Textonotapie"/>
      </w:pPr>
      <w:r>
        <w:rPr>
          <w:rStyle w:val="Refdenotaalpie"/>
        </w:rPr>
        <w:footnoteRef/>
      </w:r>
      <w:r>
        <w:t xml:space="preserve"> Artículo 62, Ley de la Comisión de Derechos Humanos del Estado de México.</w:t>
      </w:r>
    </w:p>
  </w:footnote>
  <w:footnote w:id="15">
    <w:p w14:paraId="33F8B8BC" w14:textId="787976BB" w:rsidR="00BA69BA" w:rsidRDefault="00BA69BA">
      <w:pPr>
        <w:pStyle w:val="Textonotapie"/>
      </w:pPr>
      <w:r>
        <w:rPr>
          <w:rStyle w:val="Refdenotaalpie"/>
        </w:rPr>
        <w:footnoteRef/>
      </w:r>
      <w:r>
        <w:t xml:space="preserve"> Artículo 63, Ídem.</w:t>
      </w:r>
    </w:p>
  </w:footnote>
  <w:footnote w:id="16">
    <w:p w14:paraId="4521769C" w14:textId="7C69E742" w:rsidR="0073776E" w:rsidRDefault="0073776E">
      <w:pPr>
        <w:pStyle w:val="Textonotapie"/>
      </w:pPr>
      <w:r>
        <w:rPr>
          <w:rStyle w:val="Refdenotaalpie"/>
        </w:rPr>
        <w:footnoteRef/>
      </w:r>
      <w:r>
        <w:t xml:space="preserve"> Artículo 77, Ídem.</w:t>
      </w:r>
    </w:p>
  </w:footnote>
  <w:footnote w:id="17">
    <w:p w14:paraId="053AD90F" w14:textId="77777777" w:rsidR="00963686" w:rsidRDefault="00963686" w:rsidP="00963686">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18">
    <w:p w14:paraId="17CE7F76" w14:textId="77777777" w:rsidR="00627D67" w:rsidRDefault="00627D67" w:rsidP="00627D67">
      <w:pPr>
        <w:pStyle w:val="Textonotapie"/>
      </w:pPr>
      <w:r>
        <w:rPr>
          <w:rStyle w:val="Refdenotaalpie"/>
        </w:rPr>
        <w:footnoteRef/>
      </w:r>
      <w:r>
        <w:t xml:space="preserve"> Artículo 50, Ley de Transparencia y Acceso a la Información Pública del Estado de México y Municipios.</w:t>
      </w:r>
    </w:p>
  </w:footnote>
  <w:footnote w:id="19">
    <w:p w14:paraId="67FC99A5" w14:textId="77777777" w:rsidR="00627D67" w:rsidRDefault="00627D67" w:rsidP="00627D67">
      <w:pPr>
        <w:pStyle w:val="Textonotapie"/>
      </w:pPr>
      <w:r>
        <w:rPr>
          <w:rStyle w:val="Refdenotaalpie"/>
        </w:rPr>
        <w:footnoteRef/>
      </w:r>
      <w:r>
        <w:t xml:space="preserve"> Artículo 51, Ídem.</w:t>
      </w:r>
    </w:p>
  </w:footnote>
  <w:footnote w:id="20">
    <w:p w14:paraId="609F4F97" w14:textId="77777777" w:rsidR="00627D67" w:rsidRDefault="00627D67" w:rsidP="00627D67">
      <w:pPr>
        <w:pStyle w:val="Textonotapie"/>
      </w:pPr>
      <w:r>
        <w:rPr>
          <w:rStyle w:val="Refdenotaalpie"/>
        </w:rPr>
        <w:footnoteRef/>
      </w:r>
      <w:r>
        <w:t xml:space="preserve"> Artículo 58, Ley de Transparencia y Acceso a la Información Pública del Estado de México y Municipios.</w:t>
      </w:r>
    </w:p>
  </w:footnote>
  <w:footnote w:id="21">
    <w:p w14:paraId="5ABD4F56" w14:textId="77777777" w:rsidR="00627D67" w:rsidRDefault="00627D67" w:rsidP="00627D67">
      <w:pPr>
        <w:pStyle w:val="Textonotapie"/>
      </w:pPr>
      <w:r>
        <w:rPr>
          <w:rStyle w:val="Refdenotaalpie"/>
        </w:rPr>
        <w:footnoteRef/>
      </w:r>
      <w:r>
        <w:t xml:space="preserve"> Artículo 59, Ídem.</w:t>
      </w:r>
    </w:p>
  </w:footnote>
  <w:footnote w:id="22">
    <w:p w14:paraId="3B6CE21B" w14:textId="77777777" w:rsidR="00627D67" w:rsidRDefault="00627D67" w:rsidP="00627D67">
      <w:pPr>
        <w:pStyle w:val="Textonotapie"/>
      </w:pPr>
      <w:r>
        <w:rPr>
          <w:rStyle w:val="Refdenotaalpie"/>
        </w:rPr>
        <w:footnoteRef/>
      </w:r>
      <w:r>
        <w:t xml:space="preserve"> Artículo 132, Ley de Transparencia y Acceso a la Información Pública del Estado de México y Municipios.</w:t>
      </w:r>
    </w:p>
  </w:footnote>
  <w:footnote w:id="23">
    <w:p w14:paraId="6F3BC4E4" w14:textId="77777777" w:rsidR="00627D67" w:rsidRDefault="00627D67" w:rsidP="00627D67">
      <w:pPr>
        <w:pStyle w:val="Textonotapie"/>
      </w:pPr>
      <w:r>
        <w:rPr>
          <w:rStyle w:val="Refdenotaalpie"/>
        </w:rPr>
        <w:footnoteRef/>
      </w:r>
      <w:r>
        <w:t xml:space="preserve"> Artículo 128, Ley de Transparencia y Acceso a la Información Pública del Estado de México y Municipios.</w:t>
      </w:r>
    </w:p>
  </w:footnote>
  <w:footnote w:id="24">
    <w:p w14:paraId="46524F49" w14:textId="77777777" w:rsidR="00627D67" w:rsidRDefault="00627D67" w:rsidP="00627D67">
      <w:pPr>
        <w:pStyle w:val="Textonotapie"/>
      </w:pPr>
      <w:r>
        <w:rPr>
          <w:rStyle w:val="Refdenotaalpie"/>
        </w:rPr>
        <w:footnoteRef/>
      </w:r>
      <w:r>
        <w:t xml:space="preserve"> Artículo 129, Ídem.</w:t>
      </w:r>
    </w:p>
  </w:footnote>
  <w:footnote w:id="25">
    <w:p w14:paraId="2D228A40" w14:textId="77777777" w:rsidR="00627D67" w:rsidRDefault="00627D67" w:rsidP="00627D67">
      <w:pPr>
        <w:pStyle w:val="Textonotapie"/>
      </w:pPr>
      <w:r>
        <w:rPr>
          <w:rStyle w:val="Refdenotaalpie"/>
        </w:rPr>
        <w:footnoteRef/>
      </w:r>
      <w:r>
        <w:t xml:space="preserve"> Artículo 134, Ley de Transparencia y Acceso a la Información Pública del Estado de México y Municipios.</w:t>
      </w:r>
    </w:p>
  </w:footnote>
  <w:footnote w:id="26">
    <w:p w14:paraId="4A1B8806" w14:textId="77777777" w:rsidR="00627D67" w:rsidRDefault="00627D67" w:rsidP="00627D67">
      <w:pPr>
        <w:pStyle w:val="Textonotapie"/>
      </w:pPr>
      <w:r>
        <w:rPr>
          <w:rStyle w:val="Refdenotaalpie"/>
        </w:rPr>
        <w:footnoteRef/>
      </w:r>
      <w:r>
        <w:t xml:space="preserve"> Artículo 130, Ley de Transparencia y Acceso a la Información Pública del Estado de México y Municipios.</w:t>
      </w:r>
    </w:p>
  </w:footnote>
  <w:footnote w:id="27">
    <w:p w14:paraId="3F2C7516" w14:textId="131EC811" w:rsidR="00ED59E9" w:rsidRDefault="00ED59E9" w:rsidP="00ED59E9">
      <w:pPr>
        <w:pStyle w:val="Textonotapie"/>
        <w:jc w:val="both"/>
      </w:pPr>
      <w:r>
        <w:rPr>
          <w:rStyle w:val="Refdenotaalpie"/>
        </w:rPr>
        <w:footnoteRef/>
      </w:r>
      <w:r>
        <w:t xml:space="preserve"> “</w:t>
      </w:r>
      <w:r w:rsidRPr="00ED59E9">
        <w:rPr>
          <w:b/>
          <w:bCs/>
        </w:rPr>
        <w:t>Artículo 143.</w:t>
      </w:r>
      <w:r>
        <w:t xml:space="preserve"> Para los efectos de esta Ley se considera información confidencial, la clasificada como </w:t>
      </w:r>
    </w:p>
    <w:p w14:paraId="27949CA5" w14:textId="77777777" w:rsidR="00ED59E9" w:rsidRDefault="00ED59E9" w:rsidP="00ED59E9">
      <w:pPr>
        <w:pStyle w:val="Textonotapie"/>
        <w:jc w:val="both"/>
      </w:pPr>
      <w:r>
        <w:t>tal, de manera permanente, por su naturaleza, cuando:</w:t>
      </w:r>
    </w:p>
    <w:p w14:paraId="0B4A1CA5" w14:textId="77777777" w:rsidR="00ED59E9" w:rsidRDefault="00ED59E9" w:rsidP="00ED59E9">
      <w:pPr>
        <w:pStyle w:val="Textonotapie"/>
        <w:jc w:val="both"/>
      </w:pPr>
      <w:r w:rsidRPr="00ED59E9">
        <w:rPr>
          <w:b/>
          <w:bCs/>
        </w:rPr>
        <w:t>I.</w:t>
      </w:r>
      <w:r>
        <w:t xml:space="preserve"> Se refiera a la información privada y los datos personales concernientes a una persona física o </w:t>
      </w:r>
    </w:p>
    <w:p w14:paraId="5BF1B870" w14:textId="777DCB68" w:rsidR="00ED59E9" w:rsidRDefault="00ED59E9" w:rsidP="00ED59E9">
      <w:pPr>
        <w:pStyle w:val="Textonotapie"/>
        <w:jc w:val="both"/>
      </w:pPr>
      <w:r>
        <w:t>jurídico colectiva identificada o identificable;</w:t>
      </w:r>
    </w:p>
    <w:p w14:paraId="2FF148FF" w14:textId="7E1654AD" w:rsidR="00ED59E9" w:rsidRDefault="00ED59E9" w:rsidP="00ED59E9">
      <w:pPr>
        <w:pStyle w:val="Textonotapie"/>
        <w:jc w:val="both"/>
      </w:pPr>
      <w:r>
        <w:t>(…)”</w:t>
      </w:r>
    </w:p>
  </w:footnote>
  <w:footnote w:id="28">
    <w:p w14:paraId="594BB529" w14:textId="2697A047" w:rsidR="00805C0C" w:rsidRDefault="00805C0C">
      <w:pPr>
        <w:pStyle w:val="Textonotapie"/>
      </w:pPr>
      <w:r>
        <w:rPr>
          <w:rStyle w:val="Refdenotaalpie"/>
        </w:rPr>
        <w:footnoteRef/>
      </w:r>
      <w:r>
        <w:t xml:space="preserve"> Artículo Primero, </w:t>
      </w:r>
      <w:r w:rsidRPr="00805C0C">
        <w:rPr>
          <w:lang w:val="es-ES"/>
        </w:rPr>
        <w:t>Lineamientos Generales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41030E" w14:paraId="6B4E3B81" w14:textId="77777777" w:rsidTr="001B198C">
      <w:tc>
        <w:tcPr>
          <w:tcW w:w="2693" w:type="dxa"/>
          <w:vAlign w:val="center"/>
          <w:hideMark/>
        </w:tcPr>
        <w:p w14:paraId="0ABBC6C0" w14:textId="1226DAAF" w:rsidR="0041030E" w:rsidRPr="00B4299A" w:rsidRDefault="0041030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7F9B6FD2" w:rsidR="0041030E" w:rsidRPr="00B4299A" w:rsidRDefault="0041030E" w:rsidP="001B198C">
          <w:pPr>
            <w:ind w:right="514"/>
            <w:rPr>
              <w:rFonts w:ascii="Palatino Linotype" w:hAnsi="Palatino Linotype"/>
              <w:b/>
              <w:szCs w:val="22"/>
              <w:lang w:val="es-ES_tradnl"/>
            </w:rPr>
          </w:pPr>
          <w:r>
            <w:rPr>
              <w:rFonts w:ascii="Palatino Linotype" w:hAnsi="Palatino Linotype"/>
              <w:b/>
              <w:bCs/>
              <w:szCs w:val="22"/>
            </w:rPr>
            <w:t>03943</w:t>
          </w:r>
          <w:r w:rsidRPr="0074521C">
            <w:rPr>
              <w:rFonts w:ascii="Palatino Linotype" w:hAnsi="Palatino Linotype"/>
              <w:b/>
              <w:bCs/>
              <w:szCs w:val="22"/>
            </w:rPr>
            <w:t>/INFOEM/IP/RR/2022</w:t>
          </w:r>
        </w:p>
      </w:tc>
    </w:tr>
    <w:tr w:rsidR="0041030E" w14:paraId="31CB780F" w14:textId="77777777" w:rsidTr="001B198C">
      <w:trPr>
        <w:trHeight w:val="228"/>
      </w:trPr>
      <w:tc>
        <w:tcPr>
          <w:tcW w:w="2693" w:type="dxa"/>
          <w:vAlign w:val="center"/>
          <w:hideMark/>
        </w:tcPr>
        <w:p w14:paraId="4F49CB4A" w14:textId="6966D32E" w:rsidR="0041030E" w:rsidRPr="00B4299A" w:rsidRDefault="0041030E" w:rsidP="0041030E">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6D5E443A" w:rsidR="0041030E" w:rsidRPr="00B4299A" w:rsidRDefault="0041030E" w:rsidP="0041030E">
          <w:pPr>
            <w:ind w:right="514"/>
            <w:jc w:val="both"/>
            <w:rPr>
              <w:rFonts w:ascii="Palatino Linotype" w:hAnsi="Palatino Linotype"/>
              <w:b/>
              <w:szCs w:val="22"/>
              <w:lang w:val="es-ES_tradnl"/>
            </w:rPr>
          </w:pPr>
          <w:r>
            <w:rPr>
              <w:rFonts w:ascii="Palatino Linotype" w:eastAsia="Calibri" w:hAnsi="Palatino Linotype"/>
              <w:b/>
              <w:bCs/>
              <w:szCs w:val="22"/>
              <w:lang w:eastAsia="en-US"/>
            </w:rPr>
            <w:t>Ayuntamiento de Toluca</w:t>
          </w:r>
        </w:p>
      </w:tc>
    </w:tr>
    <w:tr w:rsidR="0041030E" w14:paraId="69050F56" w14:textId="77777777" w:rsidTr="001B198C">
      <w:tc>
        <w:tcPr>
          <w:tcW w:w="2693" w:type="dxa"/>
          <w:vAlign w:val="center"/>
          <w:hideMark/>
        </w:tcPr>
        <w:p w14:paraId="65C9B735" w14:textId="75C78F81" w:rsidR="0041030E" w:rsidRPr="00B4299A" w:rsidRDefault="0041030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41030E" w:rsidRPr="00B4299A" w:rsidRDefault="0041030E"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5662C650" w:rsidR="0041030E" w:rsidRDefault="0041030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6AF5387">
          <wp:simplePos x="0" y="0"/>
          <wp:positionH relativeFrom="page">
            <wp:posOffset>76200</wp:posOffset>
          </wp:positionH>
          <wp:positionV relativeFrom="paragraph">
            <wp:posOffset>-1019175</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1030E" w:rsidRDefault="0041030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41030E" w14:paraId="477E149B" w14:textId="77777777" w:rsidTr="001B198C">
      <w:trPr>
        <w:trHeight w:val="277"/>
      </w:trPr>
      <w:tc>
        <w:tcPr>
          <w:tcW w:w="2693" w:type="dxa"/>
          <w:vAlign w:val="center"/>
          <w:hideMark/>
        </w:tcPr>
        <w:p w14:paraId="5C0586E4" w14:textId="55C5576A" w:rsidR="0041030E" w:rsidRPr="009B3353" w:rsidRDefault="0041030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3D09D461" w:rsidR="0041030E" w:rsidRPr="009B3353" w:rsidRDefault="0041030E" w:rsidP="001B198C">
          <w:pPr>
            <w:ind w:right="1028"/>
            <w:rPr>
              <w:rFonts w:ascii="Palatino Linotype" w:hAnsi="Palatino Linotype"/>
              <w:b/>
              <w:szCs w:val="22"/>
              <w:lang w:val="es-ES_tradnl"/>
            </w:rPr>
          </w:pPr>
          <w:r>
            <w:rPr>
              <w:rFonts w:ascii="Palatino Linotype" w:hAnsi="Palatino Linotype"/>
              <w:b/>
              <w:bCs/>
              <w:szCs w:val="22"/>
            </w:rPr>
            <w:t>03943</w:t>
          </w:r>
          <w:r w:rsidRPr="0074521C">
            <w:rPr>
              <w:rFonts w:ascii="Palatino Linotype" w:hAnsi="Palatino Linotype"/>
              <w:b/>
              <w:bCs/>
              <w:szCs w:val="22"/>
            </w:rPr>
            <w:t>/INFOEM/IP/RR/2022</w:t>
          </w:r>
        </w:p>
      </w:tc>
    </w:tr>
    <w:tr w:rsidR="0041030E" w14:paraId="5B5BE21C" w14:textId="77777777" w:rsidTr="001B198C">
      <w:tc>
        <w:tcPr>
          <w:tcW w:w="2693" w:type="dxa"/>
          <w:vAlign w:val="center"/>
          <w:hideMark/>
        </w:tcPr>
        <w:p w14:paraId="4AE96902" w14:textId="4E063913" w:rsidR="0041030E" w:rsidRPr="009B3353" w:rsidRDefault="0041030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573F676C" w:rsidR="0041030E" w:rsidRPr="009B3353" w:rsidRDefault="004F3E91" w:rsidP="001B198C">
          <w:pPr>
            <w:ind w:right="1028"/>
            <w:rPr>
              <w:rFonts w:ascii="Palatino Linotype" w:hAnsi="Palatino Linotype"/>
              <w:b/>
              <w:szCs w:val="22"/>
              <w:lang w:val="es-ES_tradnl"/>
            </w:rPr>
          </w:pPr>
          <w:r>
            <w:rPr>
              <w:rFonts w:ascii="Palatino Linotype" w:hAnsi="Palatino Linotype"/>
              <w:b/>
              <w:szCs w:val="22"/>
              <w:lang w:val="es-ES_tradnl"/>
            </w:rPr>
            <w:t xml:space="preserve">XXXX XXX XXX </w:t>
          </w:r>
        </w:p>
      </w:tc>
    </w:tr>
    <w:tr w:rsidR="0041030E" w14:paraId="22601A11" w14:textId="77777777" w:rsidTr="001B198C">
      <w:trPr>
        <w:trHeight w:val="228"/>
      </w:trPr>
      <w:tc>
        <w:tcPr>
          <w:tcW w:w="2693" w:type="dxa"/>
          <w:vAlign w:val="center"/>
          <w:hideMark/>
        </w:tcPr>
        <w:p w14:paraId="6EFE221D" w14:textId="49C5F800" w:rsidR="0041030E" w:rsidRPr="009B3353" w:rsidRDefault="0041030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15F481D7" w:rsidR="0041030E" w:rsidRPr="009B3353" w:rsidRDefault="0041030E" w:rsidP="0041030E">
          <w:pPr>
            <w:ind w:right="1028"/>
            <w:jc w:val="both"/>
            <w:rPr>
              <w:rFonts w:ascii="Palatino Linotype" w:eastAsia="Calibri" w:hAnsi="Palatino Linotype"/>
              <w:b/>
              <w:szCs w:val="22"/>
              <w:lang w:val="es-MX" w:eastAsia="en-US"/>
            </w:rPr>
          </w:pPr>
          <w:r>
            <w:rPr>
              <w:rFonts w:ascii="Palatino Linotype" w:eastAsia="Calibri" w:hAnsi="Palatino Linotype"/>
              <w:b/>
              <w:bCs/>
              <w:szCs w:val="22"/>
              <w:lang w:eastAsia="en-US"/>
            </w:rPr>
            <w:t>Ayuntamiento de Toluca</w:t>
          </w:r>
        </w:p>
      </w:tc>
    </w:tr>
    <w:tr w:rsidR="0041030E" w14:paraId="2D6C630E" w14:textId="77777777" w:rsidTr="001B198C">
      <w:tc>
        <w:tcPr>
          <w:tcW w:w="2693" w:type="dxa"/>
          <w:vAlign w:val="center"/>
          <w:hideMark/>
        </w:tcPr>
        <w:p w14:paraId="5BD4C6DB" w14:textId="7CF21504" w:rsidR="0041030E" w:rsidRPr="009B3353" w:rsidRDefault="0041030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41030E" w:rsidRPr="009B3353" w:rsidRDefault="0041030E"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32A10D48" w:rsidR="0041030E" w:rsidRDefault="0041030E" w:rsidP="00C47D1B">
    <w:pPr>
      <w:pStyle w:val="Encabezado"/>
    </w:pPr>
    <w:r>
      <w:rPr>
        <w:noProof/>
        <w:lang w:val="es-MX" w:eastAsia="es-MX"/>
      </w:rPr>
      <w:drawing>
        <wp:anchor distT="0" distB="0" distL="114300" distR="114300" simplePos="0" relativeHeight="251659264" behindDoc="1" locked="0" layoutInCell="1" allowOverlap="1" wp14:anchorId="0F18532F" wp14:editId="78761A2A">
          <wp:simplePos x="0" y="0"/>
          <wp:positionH relativeFrom="page">
            <wp:posOffset>57785</wp:posOffset>
          </wp:positionH>
          <wp:positionV relativeFrom="paragraph">
            <wp:posOffset>-1266190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4927ED6"/>
    <w:multiLevelType w:val="hybridMultilevel"/>
    <w:tmpl w:val="E8FEEC04"/>
    <w:lvl w:ilvl="0" w:tplc="FFFFFFFF">
      <w:start w:val="10"/>
      <w:numFmt w:val="decimal"/>
      <w:lvlText w:val="%1."/>
      <w:lvlJc w:val="left"/>
      <w:pPr>
        <w:ind w:left="360" w:hanging="360"/>
      </w:pPr>
      <w:rPr>
        <w:rFonts w:hint="default"/>
        <w:b/>
        <w:i w:val="0"/>
      </w:rPr>
    </w:lvl>
    <w:lvl w:ilvl="1" w:tplc="F4C60022">
      <w:start w:val="1"/>
      <w:numFmt w:val="upperRoman"/>
      <w:lvlText w:val="%2."/>
      <w:lvlJc w:val="right"/>
      <w:pPr>
        <w:ind w:left="1440" w:hanging="360"/>
      </w:pPr>
      <w:rPr>
        <w:b/>
        <w:bCs/>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303A70"/>
    <w:multiLevelType w:val="hybridMultilevel"/>
    <w:tmpl w:val="69AE96AE"/>
    <w:lvl w:ilvl="0" w:tplc="FFFFFFFF">
      <w:start w:val="10"/>
      <w:numFmt w:val="decimal"/>
      <w:lvlText w:val="%1."/>
      <w:lvlJc w:val="left"/>
      <w:pPr>
        <w:ind w:left="360" w:hanging="360"/>
      </w:pPr>
      <w:rPr>
        <w:rFonts w:hint="default"/>
        <w:b/>
        <w:i w:val="0"/>
      </w:rPr>
    </w:lvl>
    <w:lvl w:ilvl="1" w:tplc="03E4972C">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9300348"/>
    <w:multiLevelType w:val="hybridMultilevel"/>
    <w:tmpl w:val="CE5E7822"/>
    <w:lvl w:ilvl="0" w:tplc="FFFFFFFF">
      <w:start w:val="10"/>
      <w:numFmt w:val="decimal"/>
      <w:lvlText w:val="%1."/>
      <w:lvlJc w:val="left"/>
      <w:pPr>
        <w:ind w:left="360" w:hanging="360"/>
      </w:pPr>
      <w:rPr>
        <w:rFonts w:hint="default"/>
        <w:b/>
        <w:i w:val="0"/>
      </w:rPr>
    </w:lvl>
    <w:lvl w:ilvl="1" w:tplc="FFFFFFFF">
      <w:start w:val="1"/>
      <w:numFmt w:val="upperRoman"/>
      <w:lvlText w:val="%2."/>
      <w:lvlJc w:val="right"/>
      <w:pPr>
        <w:ind w:left="1440" w:hanging="360"/>
      </w:pPr>
      <w:rPr>
        <w:b/>
        <w:bCs/>
        <w:i w:val="0"/>
        <w:iCs/>
      </w:rPr>
    </w:lvl>
    <w:lvl w:ilvl="2" w:tplc="1BA622C0">
      <w:start w:val="1"/>
      <w:numFmt w:val="lowerLetter"/>
      <w:lvlText w:val="%3)"/>
      <w:lvlJc w:val="left"/>
      <w:pPr>
        <w:ind w:left="2340" w:hanging="360"/>
      </w:pPr>
      <w:rPr>
        <w:b/>
        <w:bCs/>
        <w:i w:val="0"/>
        <w:i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170203"/>
    <w:multiLevelType w:val="hybridMultilevel"/>
    <w:tmpl w:val="E8DAB150"/>
    <w:lvl w:ilvl="0" w:tplc="FFFFFFFF">
      <w:start w:val="1"/>
      <w:numFmt w:val="decimal"/>
      <w:lvlText w:val="%1."/>
      <w:lvlJc w:val="left"/>
      <w:pPr>
        <w:ind w:left="720" w:hanging="360"/>
      </w:pPr>
      <w:rPr>
        <w:rFonts w:ascii="Palatino Linotype" w:hAnsi="Palatino Linotype" w:hint="default"/>
        <w:b/>
        <w:i w:val="0"/>
        <w:sz w:val="24"/>
        <w:szCs w:val="24"/>
      </w:rPr>
    </w:lvl>
    <w:lvl w:ilvl="1" w:tplc="CECABC36">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339691D"/>
    <w:multiLevelType w:val="hybridMultilevel"/>
    <w:tmpl w:val="93FC9D4E"/>
    <w:lvl w:ilvl="0" w:tplc="FFFFFFFF">
      <w:start w:val="1"/>
      <w:numFmt w:val="decimal"/>
      <w:lvlText w:val="%1."/>
      <w:lvlJc w:val="left"/>
      <w:pPr>
        <w:ind w:left="720" w:hanging="360"/>
      </w:pPr>
      <w:rPr>
        <w:rFonts w:ascii="Palatino Linotype" w:hAnsi="Palatino Linotype" w:hint="default"/>
        <w:b/>
        <w:i w:val="0"/>
        <w:sz w:val="24"/>
        <w:szCs w:val="24"/>
      </w:rPr>
    </w:lvl>
    <w:lvl w:ilvl="1" w:tplc="35209C4A">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6EF6AAD"/>
    <w:multiLevelType w:val="hybridMultilevel"/>
    <w:tmpl w:val="DBA6262E"/>
    <w:lvl w:ilvl="0" w:tplc="FFFFFFFF">
      <w:start w:val="1"/>
      <w:numFmt w:val="upperRoman"/>
      <w:lvlText w:val="%1."/>
      <w:lvlJc w:val="right"/>
      <w:pPr>
        <w:ind w:left="1211" w:hanging="360"/>
      </w:pPr>
      <w:rPr>
        <w:rFonts w:hint="default"/>
      </w:rPr>
    </w:lvl>
    <w:lvl w:ilvl="1" w:tplc="080A0017">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
    <w:nsid w:val="2B59347C"/>
    <w:multiLevelType w:val="hybridMultilevel"/>
    <w:tmpl w:val="64B4BCB2"/>
    <w:lvl w:ilvl="0" w:tplc="FFFFFFFF">
      <w:start w:val="1"/>
      <w:numFmt w:val="decimal"/>
      <w:lvlText w:val="%1."/>
      <w:lvlJc w:val="left"/>
      <w:pPr>
        <w:ind w:left="720" w:hanging="360"/>
      </w:pPr>
      <w:rPr>
        <w:rFonts w:ascii="Palatino Linotype" w:hAnsi="Palatino Linotype" w:hint="default"/>
        <w:b/>
        <w:i w:val="0"/>
        <w:sz w:val="24"/>
        <w:szCs w:val="24"/>
      </w:rPr>
    </w:lvl>
    <w:lvl w:ilvl="1" w:tplc="A3B02C8A">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2011219"/>
    <w:multiLevelType w:val="hybridMultilevel"/>
    <w:tmpl w:val="89D4EE0C"/>
    <w:lvl w:ilvl="0" w:tplc="FFFFFFFF">
      <w:start w:val="1"/>
      <w:numFmt w:val="decimal"/>
      <w:lvlText w:val="%1."/>
      <w:lvlJc w:val="left"/>
      <w:pPr>
        <w:ind w:left="720" w:hanging="360"/>
      </w:pPr>
      <w:rPr>
        <w:rFonts w:ascii="Palatino Linotype" w:hAnsi="Palatino Linotype" w:hint="default"/>
        <w:b/>
        <w:i w:val="0"/>
        <w:sz w:val="24"/>
        <w:szCs w:val="24"/>
      </w:rPr>
    </w:lvl>
    <w:lvl w:ilvl="1" w:tplc="E1E4869E">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4317490"/>
    <w:multiLevelType w:val="hybridMultilevel"/>
    <w:tmpl w:val="4BC2BD9E"/>
    <w:lvl w:ilvl="0" w:tplc="92BE0B36">
      <w:start w:val="1"/>
      <w:numFmt w:val="decimal"/>
      <w:lvlText w:val="%1."/>
      <w:lvlJc w:val="left"/>
      <w:pPr>
        <w:ind w:left="360" w:hanging="360"/>
      </w:pPr>
      <w:rPr>
        <w:rFonts w:ascii="Palatino Linotype" w:hAnsi="Palatino Linotype" w:hint="default"/>
        <w:b/>
        <w:i w:val="0"/>
        <w:color w:val="auto"/>
        <w:sz w:val="24"/>
      </w:rPr>
    </w:lvl>
    <w:lvl w:ilvl="1" w:tplc="65C47E58">
      <w:start w:val="1"/>
      <w:numFmt w:val="lowerLetter"/>
      <w:lvlText w:val="%2)"/>
      <w:lvlJc w:val="left"/>
      <w:pPr>
        <w:ind w:left="1800" w:hanging="720"/>
      </w:pPr>
      <w:rPr>
        <w:b/>
      </w:rPr>
    </w:lvl>
    <w:lvl w:ilvl="2" w:tplc="C8A2758A">
      <w:start w:val="1"/>
      <w:numFmt w:val="lowerRoman"/>
      <w:lvlText w:val="%3."/>
      <w:lvlJc w:val="righ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817C8C"/>
    <w:multiLevelType w:val="hybridMultilevel"/>
    <w:tmpl w:val="AC3639BC"/>
    <w:lvl w:ilvl="0" w:tplc="FFFFFFFF">
      <w:start w:val="1"/>
      <w:numFmt w:val="decimal"/>
      <w:lvlText w:val="%1."/>
      <w:lvlJc w:val="left"/>
      <w:pPr>
        <w:ind w:left="720" w:hanging="360"/>
      </w:pPr>
      <w:rPr>
        <w:rFonts w:ascii="Palatino Linotype" w:hAnsi="Palatino Linotype" w:hint="default"/>
        <w:b/>
        <w:i w:val="0"/>
        <w:sz w:val="24"/>
        <w:szCs w:val="24"/>
      </w:rPr>
    </w:lvl>
    <w:lvl w:ilvl="1" w:tplc="440499AA">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3461E3D"/>
    <w:multiLevelType w:val="hybridMultilevel"/>
    <w:tmpl w:val="912A61B8"/>
    <w:lvl w:ilvl="0" w:tplc="ADAC0F46">
      <w:start w:val="1"/>
      <w:numFmt w:val="upperRoman"/>
      <w:lvlText w:val="%1."/>
      <w:lvlJc w:val="right"/>
      <w:pPr>
        <w:ind w:left="720" w:hanging="360"/>
      </w:pPr>
      <w:rPr>
        <w:rFonts w:hint="default"/>
        <w:b/>
      </w:rPr>
    </w:lvl>
    <w:lvl w:ilvl="1" w:tplc="62B63956">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CD41CE"/>
    <w:multiLevelType w:val="hybridMultilevel"/>
    <w:tmpl w:val="DCE0129A"/>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F4E714E">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054A5C"/>
    <w:multiLevelType w:val="hybridMultilevel"/>
    <w:tmpl w:val="36F846B6"/>
    <w:lvl w:ilvl="0" w:tplc="FFFFFFFF">
      <w:start w:val="1"/>
      <w:numFmt w:val="decimal"/>
      <w:lvlText w:val="%1."/>
      <w:lvlJc w:val="left"/>
      <w:pPr>
        <w:ind w:left="720" w:hanging="360"/>
      </w:pPr>
      <w:rPr>
        <w:rFonts w:ascii="Palatino Linotype" w:hAnsi="Palatino Linotype" w:hint="default"/>
        <w:b/>
        <w:i w:val="0"/>
        <w:sz w:val="24"/>
        <w:szCs w:val="24"/>
      </w:rPr>
    </w:lvl>
    <w:lvl w:ilvl="1" w:tplc="FFFFFFFF">
      <w:start w:val="1"/>
      <w:numFmt w:val="upperRoman"/>
      <w:lvlText w:val="%2."/>
      <w:lvlJc w:val="right"/>
      <w:pPr>
        <w:ind w:left="1440" w:hanging="360"/>
      </w:pPr>
      <w:rPr>
        <w:b/>
        <w:bCs/>
      </w:rPr>
    </w:lvl>
    <w:lvl w:ilvl="2" w:tplc="223A742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1AF6CC2"/>
    <w:multiLevelType w:val="hybridMultilevel"/>
    <w:tmpl w:val="604CC636"/>
    <w:lvl w:ilvl="0" w:tplc="FFFFFFFF">
      <w:start w:val="1"/>
      <w:numFmt w:val="decimal"/>
      <w:lvlText w:val="%1."/>
      <w:lvlJc w:val="left"/>
      <w:pPr>
        <w:ind w:left="720" w:hanging="360"/>
      </w:pPr>
      <w:rPr>
        <w:rFonts w:ascii="Palatino Linotype" w:hAnsi="Palatino Linotype" w:hint="default"/>
        <w:b/>
        <w:i w:val="0"/>
        <w:sz w:val="24"/>
        <w:szCs w:val="24"/>
      </w:rPr>
    </w:lvl>
    <w:lvl w:ilvl="1" w:tplc="7AD22688">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A4125F4"/>
    <w:multiLevelType w:val="hybridMultilevel"/>
    <w:tmpl w:val="533E0980"/>
    <w:lvl w:ilvl="0" w:tplc="ADAC0F46">
      <w:start w:val="1"/>
      <w:numFmt w:val="upperRoman"/>
      <w:lvlText w:val="%1."/>
      <w:lvlJc w:val="righ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330E30"/>
    <w:multiLevelType w:val="hybridMultilevel"/>
    <w:tmpl w:val="66D690E2"/>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CF4BB7"/>
    <w:multiLevelType w:val="hybridMultilevel"/>
    <w:tmpl w:val="20C68F82"/>
    <w:lvl w:ilvl="0" w:tplc="FFFFFFFF">
      <w:start w:val="1"/>
      <w:numFmt w:val="decimal"/>
      <w:lvlText w:val="%1."/>
      <w:lvlJc w:val="left"/>
      <w:pPr>
        <w:ind w:left="720" w:hanging="360"/>
      </w:pPr>
      <w:rPr>
        <w:rFonts w:ascii="Palatino Linotype" w:hAnsi="Palatino Linotype" w:hint="default"/>
        <w:b/>
        <w:i w:val="0"/>
        <w:sz w:val="24"/>
        <w:szCs w:val="24"/>
      </w:rPr>
    </w:lvl>
    <w:lvl w:ilvl="1" w:tplc="0A5E2F7E">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59E20E8"/>
    <w:multiLevelType w:val="hybridMultilevel"/>
    <w:tmpl w:val="6B2CD590"/>
    <w:lvl w:ilvl="0" w:tplc="FFFFFFFF">
      <w:start w:val="1"/>
      <w:numFmt w:val="decimal"/>
      <w:lvlText w:val="%1."/>
      <w:lvlJc w:val="left"/>
      <w:pPr>
        <w:ind w:left="720" w:hanging="360"/>
      </w:pPr>
      <w:rPr>
        <w:rFonts w:ascii="Palatino Linotype" w:hAnsi="Palatino Linotype" w:hint="default"/>
        <w:b/>
        <w:i w:val="0"/>
        <w:sz w:val="24"/>
        <w:szCs w:val="24"/>
      </w:rPr>
    </w:lvl>
    <w:lvl w:ilvl="1" w:tplc="7A26705E">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94F4C09"/>
    <w:multiLevelType w:val="hybridMultilevel"/>
    <w:tmpl w:val="6B283A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6A661D48"/>
    <w:multiLevelType w:val="hybridMultilevel"/>
    <w:tmpl w:val="364EBADA"/>
    <w:lvl w:ilvl="0" w:tplc="FFFFFFFF">
      <w:start w:val="10"/>
      <w:numFmt w:val="decimal"/>
      <w:lvlText w:val="%1."/>
      <w:lvlJc w:val="left"/>
      <w:pPr>
        <w:ind w:left="360" w:hanging="360"/>
      </w:pPr>
      <w:rPr>
        <w:rFonts w:hint="default"/>
        <w:b/>
        <w:i w:val="0"/>
      </w:rPr>
    </w:lvl>
    <w:lvl w:ilvl="1" w:tplc="F1E2FDDA">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3204EE"/>
    <w:multiLevelType w:val="hybridMultilevel"/>
    <w:tmpl w:val="6360E724"/>
    <w:lvl w:ilvl="0" w:tplc="AAE0F64C">
      <w:start w:val="1"/>
      <w:numFmt w:val="decimal"/>
      <w:lvlText w:val="%1."/>
      <w:lvlJc w:val="left"/>
      <w:pPr>
        <w:ind w:left="720" w:hanging="360"/>
      </w:pPr>
      <w:rPr>
        <w:rFonts w:ascii="Palatino Linotype" w:hAnsi="Palatino Linotype" w:hint="default"/>
        <w:b/>
        <w:i w:val="0"/>
        <w:sz w:val="24"/>
        <w:szCs w:val="24"/>
      </w:rPr>
    </w:lvl>
    <w:lvl w:ilvl="1" w:tplc="D7241BF4">
      <w:start w:val="1"/>
      <w:numFmt w:val="lowerLetter"/>
      <w:lvlText w:val="%2."/>
      <w:lvlJc w:val="left"/>
      <w:pPr>
        <w:ind w:left="1440" w:hanging="360"/>
      </w:pPr>
      <w:rPr>
        <w:b/>
        <w:bCs/>
        <w:i w:val="0"/>
        <w:i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8A7F52"/>
    <w:multiLevelType w:val="hybridMultilevel"/>
    <w:tmpl w:val="93D27AB4"/>
    <w:lvl w:ilvl="0" w:tplc="FFFFFFFF">
      <w:start w:val="1"/>
      <w:numFmt w:val="decimal"/>
      <w:lvlText w:val="%1."/>
      <w:lvlJc w:val="left"/>
      <w:pPr>
        <w:ind w:left="720" w:hanging="360"/>
      </w:pPr>
      <w:rPr>
        <w:rFonts w:ascii="Palatino Linotype" w:hAnsi="Palatino Linotype" w:hint="default"/>
        <w:b/>
        <w:i w:val="0"/>
        <w:sz w:val="24"/>
        <w:szCs w:val="24"/>
      </w:rPr>
    </w:lvl>
    <w:lvl w:ilvl="1" w:tplc="F0A2F94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4"/>
  </w:num>
  <w:num w:numId="3">
    <w:abstractNumId w:val="5"/>
  </w:num>
  <w:num w:numId="4">
    <w:abstractNumId w:val="0"/>
  </w:num>
  <w:num w:numId="5">
    <w:abstractNumId w:val="2"/>
  </w:num>
  <w:num w:numId="6">
    <w:abstractNumId w:val="22"/>
  </w:num>
  <w:num w:numId="7">
    <w:abstractNumId w:val="1"/>
  </w:num>
  <w:num w:numId="8">
    <w:abstractNumId w:val="8"/>
  </w:num>
  <w:num w:numId="9">
    <w:abstractNumId w:val="17"/>
  </w:num>
  <w:num w:numId="10">
    <w:abstractNumId w:val="13"/>
  </w:num>
  <w:num w:numId="11">
    <w:abstractNumId w:val="18"/>
  </w:num>
  <w:num w:numId="12">
    <w:abstractNumId w:val="14"/>
  </w:num>
  <w:num w:numId="13">
    <w:abstractNumId w:val="16"/>
  </w:num>
  <w:num w:numId="14">
    <w:abstractNumId w:val="20"/>
  </w:num>
  <w:num w:numId="15">
    <w:abstractNumId w:val="11"/>
  </w:num>
  <w:num w:numId="16">
    <w:abstractNumId w:val="3"/>
  </w:num>
  <w:num w:numId="17">
    <w:abstractNumId w:val="21"/>
  </w:num>
  <w:num w:numId="18">
    <w:abstractNumId w:val="12"/>
  </w:num>
  <w:num w:numId="19">
    <w:abstractNumId w:val="6"/>
  </w:num>
  <w:num w:numId="20">
    <w:abstractNumId w:val="9"/>
  </w:num>
  <w:num w:numId="21">
    <w:abstractNumId w:val="23"/>
  </w:num>
  <w:num w:numId="22">
    <w:abstractNumId w:val="25"/>
  </w:num>
  <w:num w:numId="23">
    <w:abstractNumId w:val="19"/>
  </w:num>
  <w:num w:numId="24">
    <w:abstractNumId w:val="15"/>
  </w:num>
  <w:num w:numId="25">
    <w:abstractNumId w:val="7"/>
  </w:num>
  <w:num w:numId="2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170"/>
    <w:rsid w:val="000A7C0E"/>
    <w:rsid w:val="000B07E5"/>
    <w:rsid w:val="000B0BF3"/>
    <w:rsid w:val="000B1236"/>
    <w:rsid w:val="000B1437"/>
    <w:rsid w:val="000B1693"/>
    <w:rsid w:val="000B17D0"/>
    <w:rsid w:val="000B2B61"/>
    <w:rsid w:val="000B2CE3"/>
    <w:rsid w:val="000B2FE2"/>
    <w:rsid w:val="000B3FFD"/>
    <w:rsid w:val="000B4571"/>
    <w:rsid w:val="000B4E3D"/>
    <w:rsid w:val="000B5351"/>
    <w:rsid w:val="000B57CE"/>
    <w:rsid w:val="000B5961"/>
    <w:rsid w:val="000B6492"/>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3C7A"/>
    <w:rsid w:val="000F4598"/>
    <w:rsid w:val="000F5982"/>
    <w:rsid w:val="000F64A8"/>
    <w:rsid w:val="000F71B5"/>
    <w:rsid w:val="000F7FE2"/>
    <w:rsid w:val="001002A8"/>
    <w:rsid w:val="0010152C"/>
    <w:rsid w:val="00101832"/>
    <w:rsid w:val="00103E4C"/>
    <w:rsid w:val="00104E08"/>
    <w:rsid w:val="00104E35"/>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30D"/>
    <w:rsid w:val="00114D4B"/>
    <w:rsid w:val="00114DDF"/>
    <w:rsid w:val="00115AAD"/>
    <w:rsid w:val="00116064"/>
    <w:rsid w:val="00117030"/>
    <w:rsid w:val="0012062D"/>
    <w:rsid w:val="00120D7C"/>
    <w:rsid w:val="001210A4"/>
    <w:rsid w:val="001219E7"/>
    <w:rsid w:val="001223F8"/>
    <w:rsid w:val="001227CA"/>
    <w:rsid w:val="00124762"/>
    <w:rsid w:val="00124D16"/>
    <w:rsid w:val="00126994"/>
    <w:rsid w:val="00126F04"/>
    <w:rsid w:val="00127CCA"/>
    <w:rsid w:val="00130642"/>
    <w:rsid w:val="001306E4"/>
    <w:rsid w:val="00130703"/>
    <w:rsid w:val="00130AA5"/>
    <w:rsid w:val="00130BA7"/>
    <w:rsid w:val="00132044"/>
    <w:rsid w:val="00132CE1"/>
    <w:rsid w:val="00135154"/>
    <w:rsid w:val="00135D98"/>
    <w:rsid w:val="00136083"/>
    <w:rsid w:val="001362C2"/>
    <w:rsid w:val="00137C1F"/>
    <w:rsid w:val="00140B8C"/>
    <w:rsid w:val="00141F78"/>
    <w:rsid w:val="00141FA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1E9"/>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4A6"/>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5ACF"/>
    <w:rsid w:val="001E64BE"/>
    <w:rsid w:val="001E6925"/>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0782A"/>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58C"/>
    <w:rsid w:val="00235FB4"/>
    <w:rsid w:val="00236540"/>
    <w:rsid w:val="00236E44"/>
    <w:rsid w:val="00237482"/>
    <w:rsid w:val="00241AC1"/>
    <w:rsid w:val="002423FE"/>
    <w:rsid w:val="00242C4A"/>
    <w:rsid w:val="0024380A"/>
    <w:rsid w:val="0024404E"/>
    <w:rsid w:val="002440EB"/>
    <w:rsid w:val="002441D0"/>
    <w:rsid w:val="00244265"/>
    <w:rsid w:val="00244A14"/>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AA7"/>
    <w:rsid w:val="002B0A1D"/>
    <w:rsid w:val="002B0C27"/>
    <w:rsid w:val="002B0EF8"/>
    <w:rsid w:val="002B1708"/>
    <w:rsid w:val="002B1960"/>
    <w:rsid w:val="002B2467"/>
    <w:rsid w:val="002B257D"/>
    <w:rsid w:val="002B27E7"/>
    <w:rsid w:val="002B2B24"/>
    <w:rsid w:val="002B393B"/>
    <w:rsid w:val="002B3A2C"/>
    <w:rsid w:val="002B3E09"/>
    <w:rsid w:val="002B45EF"/>
    <w:rsid w:val="002B45F2"/>
    <w:rsid w:val="002B4950"/>
    <w:rsid w:val="002B62AF"/>
    <w:rsid w:val="002B7438"/>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CDB"/>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4497"/>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57D14"/>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3297"/>
    <w:rsid w:val="00394E20"/>
    <w:rsid w:val="0039652B"/>
    <w:rsid w:val="0039699A"/>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1D89"/>
    <w:rsid w:val="003C1E90"/>
    <w:rsid w:val="003C375A"/>
    <w:rsid w:val="003C4A72"/>
    <w:rsid w:val="003C4A79"/>
    <w:rsid w:val="003C4C4B"/>
    <w:rsid w:val="003C5222"/>
    <w:rsid w:val="003C5460"/>
    <w:rsid w:val="003C55F5"/>
    <w:rsid w:val="003C5A54"/>
    <w:rsid w:val="003C5B34"/>
    <w:rsid w:val="003C5BCA"/>
    <w:rsid w:val="003C689A"/>
    <w:rsid w:val="003C71F6"/>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4D"/>
    <w:rsid w:val="003F09F0"/>
    <w:rsid w:val="003F0CD4"/>
    <w:rsid w:val="003F2BA9"/>
    <w:rsid w:val="003F3041"/>
    <w:rsid w:val="003F3A6C"/>
    <w:rsid w:val="003F3F5B"/>
    <w:rsid w:val="003F52C2"/>
    <w:rsid w:val="003F58C3"/>
    <w:rsid w:val="003F5CBA"/>
    <w:rsid w:val="003F61FF"/>
    <w:rsid w:val="003F6272"/>
    <w:rsid w:val="003F6A1E"/>
    <w:rsid w:val="003F733C"/>
    <w:rsid w:val="003F7346"/>
    <w:rsid w:val="0040233B"/>
    <w:rsid w:val="00402A30"/>
    <w:rsid w:val="004030E3"/>
    <w:rsid w:val="00403FAA"/>
    <w:rsid w:val="00404666"/>
    <w:rsid w:val="004053FB"/>
    <w:rsid w:val="004058AB"/>
    <w:rsid w:val="0040596D"/>
    <w:rsid w:val="00405A99"/>
    <w:rsid w:val="0041030E"/>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2D8A"/>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040"/>
    <w:rsid w:val="00441BF3"/>
    <w:rsid w:val="00443270"/>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3707"/>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F77"/>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A6"/>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3E91"/>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7CC"/>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24F"/>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163E"/>
    <w:rsid w:val="005A232E"/>
    <w:rsid w:val="005A2689"/>
    <w:rsid w:val="005A3328"/>
    <w:rsid w:val="005A52D3"/>
    <w:rsid w:val="005A6845"/>
    <w:rsid w:val="005A7138"/>
    <w:rsid w:val="005A757D"/>
    <w:rsid w:val="005A7C3F"/>
    <w:rsid w:val="005B00B6"/>
    <w:rsid w:val="005B087C"/>
    <w:rsid w:val="005B0DEA"/>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27D67"/>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CD0"/>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6B6"/>
    <w:rsid w:val="006B73F9"/>
    <w:rsid w:val="006B7AA1"/>
    <w:rsid w:val="006C05FB"/>
    <w:rsid w:val="006C1330"/>
    <w:rsid w:val="006C1711"/>
    <w:rsid w:val="006C2008"/>
    <w:rsid w:val="006C24A5"/>
    <w:rsid w:val="006C24CD"/>
    <w:rsid w:val="006C3292"/>
    <w:rsid w:val="006C5263"/>
    <w:rsid w:val="006C5282"/>
    <w:rsid w:val="006C60B5"/>
    <w:rsid w:val="006C693D"/>
    <w:rsid w:val="006C7C29"/>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0652"/>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1E71"/>
    <w:rsid w:val="00723ED3"/>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3776E"/>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62"/>
    <w:rsid w:val="0075239A"/>
    <w:rsid w:val="00754866"/>
    <w:rsid w:val="00755299"/>
    <w:rsid w:val="00755944"/>
    <w:rsid w:val="00755DC0"/>
    <w:rsid w:val="00757444"/>
    <w:rsid w:val="00757D2A"/>
    <w:rsid w:val="00757F23"/>
    <w:rsid w:val="00760BB9"/>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4002"/>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6BCB"/>
    <w:rsid w:val="0079716A"/>
    <w:rsid w:val="00797622"/>
    <w:rsid w:val="007A00D5"/>
    <w:rsid w:val="007A02EB"/>
    <w:rsid w:val="007A0327"/>
    <w:rsid w:val="007A0699"/>
    <w:rsid w:val="007A1080"/>
    <w:rsid w:val="007A1177"/>
    <w:rsid w:val="007A11F1"/>
    <w:rsid w:val="007A1A5F"/>
    <w:rsid w:val="007A2132"/>
    <w:rsid w:val="007A29CA"/>
    <w:rsid w:val="007A32BE"/>
    <w:rsid w:val="007A33E2"/>
    <w:rsid w:val="007A35F6"/>
    <w:rsid w:val="007A49CE"/>
    <w:rsid w:val="007A4E83"/>
    <w:rsid w:val="007A583C"/>
    <w:rsid w:val="007A5F1A"/>
    <w:rsid w:val="007A698D"/>
    <w:rsid w:val="007A7693"/>
    <w:rsid w:val="007B0197"/>
    <w:rsid w:val="007B15EA"/>
    <w:rsid w:val="007B33CC"/>
    <w:rsid w:val="007B5B76"/>
    <w:rsid w:val="007B6CA0"/>
    <w:rsid w:val="007B70B3"/>
    <w:rsid w:val="007B7166"/>
    <w:rsid w:val="007B755C"/>
    <w:rsid w:val="007C025F"/>
    <w:rsid w:val="007C09AA"/>
    <w:rsid w:val="007C0AFD"/>
    <w:rsid w:val="007C1698"/>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4B63"/>
    <w:rsid w:val="00805A48"/>
    <w:rsid w:val="00805C0C"/>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3E0"/>
    <w:rsid w:val="00886BFC"/>
    <w:rsid w:val="00887493"/>
    <w:rsid w:val="008876EF"/>
    <w:rsid w:val="008900BC"/>
    <w:rsid w:val="0089164B"/>
    <w:rsid w:val="00891989"/>
    <w:rsid w:val="00891BF9"/>
    <w:rsid w:val="0089236D"/>
    <w:rsid w:val="00892AF9"/>
    <w:rsid w:val="00892AFC"/>
    <w:rsid w:val="00892BC4"/>
    <w:rsid w:val="008934B8"/>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683E"/>
    <w:rsid w:val="008A7014"/>
    <w:rsid w:val="008A734C"/>
    <w:rsid w:val="008A7C97"/>
    <w:rsid w:val="008A7EBE"/>
    <w:rsid w:val="008B0803"/>
    <w:rsid w:val="008B1154"/>
    <w:rsid w:val="008B1273"/>
    <w:rsid w:val="008B18BC"/>
    <w:rsid w:val="008B1D10"/>
    <w:rsid w:val="008B2258"/>
    <w:rsid w:val="008B36C5"/>
    <w:rsid w:val="008B4E1B"/>
    <w:rsid w:val="008B542E"/>
    <w:rsid w:val="008B590E"/>
    <w:rsid w:val="008B5BE2"/>
    <w:rsid w:val="008B5C38"/>
    <w:rsid w:val="008B6E93"/>
    <w:rsid w:val="008B7691"/>
    <w:rsid w:val="008B7C3E"/>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5D6E"/>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4953"/>
    <w:rsid w:val="009052E1"/>
    <w:rsid w:val="00905508"/>
    <w:rsid w:val="0090585F"/>
    <w:rsid w:val="00905A0D"/>
    <w:rsid w:val="0090665D"/>
    <w:rsid w:val="00911559"/>
    <w:rsid w:val="00912A8A"/>
    <w:rsid w:val="00913103"/>
    <w:rsid w:val="0091329D"/>
    <w:rsid w:val="00914FCF"/>
    <w:rsid w:val="00914FDF"/>
    <w:rsid w:val="0091599A"/>
    <w:rsid w:val="00916253"/>
    <w:rsid w:val="00916B08"/>
    <w:rsid w:val="00917B8D"/>
    <w:rsid w:val="00917EB1"/>
    <w:rsid w:val="00921109"/>
    <w:rsid w:val="00921436"/>
    <w:rsid w:val="009224C5"/>
    <w:rsid w:val="009233BF"/>
    <w:rsid w:val="00923433"/>
    <w:rsid w:val="00923961"/>
    <w:rsid w:val="009239BB"/>
    <w:rsid w:val="00923D62"/>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0B01"/>
    <w:rsid w:val="00951598"/>
    <w:rsid w:val="00952919"/>
    <w:rsid w:val="009542AC"/>
    <w:rsid w:val="00954A59"/>
    <w:rsid w:val="00955029"/>
    <w:rsid w:val="00955ADE"/>
    <w:rsid w:val="009573BD"/>
    <w:rsid w:val="0095790B"/>
    <w:rsid w:val="0096079C"/>
    <w:rsid w:val="0096089C"/>
    <w:rsid w:val="0096146C"/>
    <w:rsid w:val="00962E4E"/>
    <w:rsid w:val="00963686"/>
    <w:rsid w:val="00964C60"/>
    <w:rsid w:val="00964E79"/>
    <w:rsid w:val="00964F37"/>
    <w:rsid w:val="0096576D"/>
    <w:rsid w:val="00966711"/>
    <w:rsid w:val="00966926"/>
    <w:rsid w:val="00966C2B"/>
    <w:rsid w:val="00966FEC"/>
    <w:rsid w:val="009679BE"/>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362"/>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513"/>
    <w:rsid w:val="009A6863"/>
    <w:rsid w:val="009A6A8A"/>
    <w:rsid w:val="009A78A9"/>
    <w:rsid w:val="009A78F0"/>
    <w:rsid w:val="009A7C52"/>
    <w:rsid w:val="009B08DD"/>
    <w:rsid w:val="009B0D90"/>
    <w:rsid w:val="009B299F"/>
    <w:rsid w:val="009B29BB"/>
    <w:rsid w:val="009B3353"/>
    <w:rsid w:val="009B33CD"/>
    <w:rsid w:val="009B3BD2"/>
    <w:rsid w:val="009B40B2"/>
    <w:rsid w:val="009B498E"/>
    <w:rsid w:val="009B5319"/>
    <w:rsid w:val="009B55C4"/>
    <w:rsid w:val="009B5F4C"/>
    <w:rsid w:val="009B64B0"/>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D751B"/>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6519"/>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938"/>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223"/>
    <w:rsid w:val="00AE73E2"/>
    <w:rsid w:val="00AE757B"/>
    <w:rsid w:val="00AF02C2"/>
    <w:rsid w:val="00AF0927"/>
    <w:rsid w:val="00AF12E2"/>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07863"/>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A40"/>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BA"/>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4983"/>
    <w:rsid w:val="00BC5040"/>
    <w:rsid w:val="00BC63BC"/>
    <w:rsid w:val="00BC6602"/>
    <w:rsid w:val="00BC6991"/>
    <w:rsid w:val="00BC704A"/>
    <w:rsid w:val="00BC7267"/>
    <w:rsid w:val="00BD000E"/>
    <w:rsid w:val="00BD0947"/>
    <w:rsid w:val="00BD1191"/>
    <w:rsid w:val="00BD1625"/>
    <w:rsid w:val="00BD1943"/>
    <w:rsid w:val="00BD1BDB"/>
    <w:rsid w:val="00BD24F0"/>
    <w:rsid w:val="00BD2C46"/>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59F"/>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3D2E"/>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4B1"/>
    <w:rsid w:val="00C4284F"/>
    <w:rsid w:val="00C42ACD"/>
    <w:rsid w:val="00C4317A"/>
    <w:rsid w:val="00C45222"/>
    <w:rsid w:val="00C4591F"/>
    <w:rsid w:val="00C459AC"/>
    <w:rsid w:val="00C4622D"/>
    <w:rsid w:val="00C46263"/>
    <w:rsid w:val="00C46981"/>
    <w:rsid w:val="00C46C69"/>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3E"/>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739"/>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4CDE"/>
    <w:rsid w:val="00D75214"/>
    <w:rsid w:val="00D756D5"/>
    <w:rsid w:val="00D75922"/>
    <w:rsid w:val="00D77B71"/>
    <w:rsid w:val="00D804E1"/>
    <w:rsid w:val="00D80AC4"/>
    <w:rsid w:val="00D81F7D"/>
    <w:rsid w:val="00D83994"/>
    <w:rsid w:val="00D83CE5"/>
    <w:rsid w:val="00D8465C"/>
    <w:rsid w:val="00D84DD6"/>
    <w:rsid w:val="00D85008"/>
    <w:rsid w:val="00D85C95"/>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BA2"/>
    <w:rsid w:val="00DA4C11"/>
    <w:rsid w:val="00DA528D"/>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0BE1"/>
    <w:rsid w:val="00DC10E2"/>
    <w:rsid w:val="00DC215D"/>
    <w:rsid w:val="00DC241A"/>
    <w:rsid w:val="00DC2975"/>
    <w:rsid w:val="00DC3B0F"/>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179A9"/>
    <w:rsid w:val="00E2007F"/>
    <w:rsid w:val="00E20329"/>
    <w:rsid w:val="00E207FE"/>
    <w:rsid w:val="00E209C5"/>
    <w:rsid w:val="00E20B6F"/>
    <w:rsid w:val="00E21052"/>
    <w:rsid w:val="00E21313"/>
    <w:rsid w:val="00E22220"/>
    <w:rsid w:val="00E222BF"/>
    <w:rsid w:val="00E2306B"/>
    <w:rsid w:val="00E233FF"/>
    <w:rsid w:val="00E23E16"/>
    <w:rsid w:val="00E24F10"/>
    <w:rsid w:val="00E2538E"/>
    <w:rsid w:val="00E30119"/>
    <w:rsid w:val="00E30AA2"/>
    <w:rsid w:val="00E3149E"/>
    <w:rsid w:val="00E31DB5"/>
    <w:rsid w:val="00E31FC0"/>
    <w:rsid w:val="00E324A7"/>
    <w:rsid w:val="00E32EF4"/>
    <w:rsid w:val="00E33369"/>
    <w:rsid w:val="00E3370D"/>
    <w:rsid w:val="00E34890"/>
    <w:rsid w:val="00E35635"/>
    <w:rsid w:val="00E36289"/>
    <w:rsid w:val="00E3649B"/>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335"/>
    <w:rsid w:val="00E53A19"/>
    <w:rsid w:val="00E5452C"/>
    <w:rsid w:val="00E54E16"/>
    <w:rsid w:val="00E54F16"/>
    <w:rsid w:val="00E5532F"/>
    <w:rsid w:val="00E554D7"/>
    <w:rsid w:val="00E55E95"/>
    <w:rsid w:val="00E56BC5"/>
    <w:rsid w:val="00E56D08"/>
    <w:rsid w:val="00E56D19"/>
    <w:rsid w:val="00E57C06"/>
    <w:rsid w:val="00E619AC"/>
    <w:rsid w:val="00E61E9D"/>
    <w:rsid w:val="00E625A0"/>
    <w:rsid w:val="00E62DB9"/>
    <w:rsid w:val="00E62DC6"/>
    <w:rsid w:val="00E63F59"/>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629"/>
    <w:rsid w:val="00E94E45"/>
    <w:rsid w:val="00E954B7"/>
    <w:rsid w:val="00E9550C"/>
    <w:rsid w:val="00E95D22"/>
    <w:rsid w:val="00E95D75"/>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027"/>
    <w:rsid w:val="00EC75E9"/>
    <w:rsid w:val="00ED05A8"/>
    <w:rsid w:val="00ED12AE"/>
    <w:rsid w:val="00ED3020"/>
    <w:rsid w:val="00ED34BE"/>
    <w:rsid w:val="00ED4629"/>
    <w:rsid w:val="00ED4E84"/>
    <w:rsid w:val="00ED59E9"/>
    <w:rsid w:val="00ED6699"/>
    <w:rsid w:val="00ED6A67"/>
    <w:rsid w:val="00ED7CAF"/>
    <w:rsid w:val="00ED7D9E"/>
    <w:rsid w:val="00ED7FAB"/>
    <w:rsid w:val="00EE00F1"/>
    <w:rsid w:val="00EE03B1"/>
    <w:rsid w:val="00EE16E2"/>
    <w:rsid w:val="00EE17A7"/>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1F2"/>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6DA0"/>
    <w:rsid w:val="00F172EE"/>
    <w:rsid w:val="00F179D8"/>
    <w:rsid w:val="00F17D6C"/>
    <w:rsid w:val="00F20045"/>
    <w:rsid w:val="00F20655"/>
    <w:rsid w:val="00F2098F"/>
    <w:rsid w:val="00F216D7"/>
    <w:rsid w:val="00F21EBC"/>
    <w:rsid w:val="00F2230E"/>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1EAA"/>
    <w:rsid w:val="00F4347B"/>
    <w:rsid w:val="00F43FEC"/>
    <w:rsid w:val="00F45839"/>
    <w:rsid w:val="00F4715B"/>
    <w:rsid w:val="00F47385"/>
    <w:rsid w:val="00F47EF8"/>
    <w:rsid w:val="00F50030"/>
    <w:rsid w:val="00F5164C"/>
    <w:rsid w:val="00F533A1"/>
    <w:rsid w:val="00F552FA"/>
    <w:rsid w:val="00F555BE"/>
    <w:rsid w:val="00F567A8"/>
    <w:rsid w:val="00F56D3C"/>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375B"/>
    <w:rsid w:val="00F84BAA"/>
    <w:rsid w:val="00F84D35"/>
    <w:rsid w:val="00F86921"/>
    <w:rsid w:val="00F8725D"/>
    <w:rsid w:val="00F87360"/>
    <w:rsid w:val="00F87384"/>
    <w:rsid w:val="00F87C72"/>
    <w:rsid w:val="00F87F8D"/>
    <w:rsid w:val="00F907B2"/>
    <w:rsid w:val="00F90BD9"/>
    <w:rsid w:val="00F90DE0"/>
    <w:rsid w:val="00F92058"/>
    <w:rsid w:val="00F923A7"/>
    <w:rsid w:val="00F930FF"/>
    <w:rsid w:val="00F944D7"/>
    <w:rsid w:val="00F95F34"/>
    <w:rsid w:val="00F97892"/>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56D3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Ttulo3Car">
    <w:name w:val="Título 3 Car"/>
    <w:basedOn w:val="Fuentedeprrafopredeter"/>
    <w:link w:val="Ttulo3"/>
    <w:uiPriority w:val="9"/>
    <w:semiHidden/>
    <w:rsid w:val="00F56D3C"/>
    <w:rPr>
      <w:rFonts w:asciiTheme="majorHAnsi" w:eastAsiaTheme="majorEastAsia" w:hAnsiTheme="majorHAnsi" w:cstheme="majorBidi"/>
      <w:color w:val="243F60" w:themeColor="accent1" w:themeShade="7F"/>
      <w:lang w:val="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B66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750652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696850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076460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43483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291119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1127216">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179780">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4224670">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668650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033171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83042172">
      <w:bodyDiv w:val="1"/>
      <w:marLeft w:val="0"/>
      <w:marRight w:val="0"/>
      <w:marTop w:val="0"/>
      <w:marBottom w:val="0"/>
      <w:divBdr>
        <w:top w:val="none" w:sz="0" w:space="0" w:color="auto"/>
        <w:left w:val="none" w:sz="0" w:space="0" w:color="auto"/>
        <w:bottom w:val="none" w:sz="0" w:space="0" w:color="auto"/>
        <w:right w:val="none" w:sz="0" w:space="0" w:color="auto"/>
      </w:divBdr>
    </w:div>
    <w:div w:id="1499228344">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059297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72185497">
      <w:bodyDiv w:val="1"/>
      <w:marLeft w:val="0"/>
      <w:marRight w:val="0"/>
      <w:marTop w:val="0"/>
      <w:marBottom w:val="0"/>
      <w:divBdr>
        <w:top w:val="none" w:sz="0" w:space="0" w:color="auto"/>
        <w:left w:val="none" w:sz="0" w:space="0" w:color="auto"/>
        <w:bottom w:val="none" w:sz="0" w:space="0" w:color="auto"/>
        <w:right w:val="none" w:sz="0" w:space="0" w:color="auto"/>
      </w:divBdr>
      <w:divsChild>
        <w:div w:id="1966495557">
          <w:marLeft w:val="0"/>
          <w:marRight w:val="0"/>
          <w:marTop w:val="0"/>
          <w:marBottom w:val="101"/>
          <w:divBdr>
            <w:top w:val="none" w:sz="0" w:space="0" w:color="auto"/>
            <w:left w:val="none" w:sz="0" w:space="0" w:color="auto"/>
            <w:bottom w:val="none" w:sz="0" w:space="0" w:color="auto"/>
            <w:right w:val="none" w:sz="0" w:space="0" w:color="auto"/>
          </w:divBdr>
        </w:div>
        <w:div w:id="90664505">
          <w:marLeft w:val="864"/>
          <w:marRight w:val="0"/>
          <w:marTop w:val="0"/>
          <w:marBottom w:val="101"/>
          <w:divBdr>
            <w:top w:val="none" w:sz="0" w:space="0" w:color="auto"/>
            <w:left w:val="none" w:sz="0" w:space="0" w:color="auto"/>
            <w:bottom w:val="none" w:sz="0" w:space="0" w:color="auto"/>
            <w:right w:val="none" w:sz="0" w:space="0" w:color="auto"/>
          </w:divBdr>
        </w:div>
        <w:div w:id="697241375">
          <w:marLeft w:val="864"/>
          <w:marRight w:val="0"/>
          <w:marTop w:val="0"/>
          <w:marBottom w:val="101"/>
          <w:divBdr>
            <w:top w:val="none" w:sz="0" w:space="0" w:color="auto"/>
            <w:left w:val="none" w:sz="0" w:space="0" w:color="auto"/>
            <w:bottom w:val="none" w:sz="0" w:space="0" w:color="auto"/>
            <w:right w:val="none" w:sz="0" w:space="0" w:color="auto"/>
          </w:divBdr>
        </w:div>
        <w:div w:id="655955539">
          <w:marLeft w:val="0"/>
          <w:marRight w:val="0"/>
          <w:marTop w:val="0"/>
          <w:marBottom w:val="101"/>
          <w:divBdr>
            <w:top w:val="none" w:sz="0" w:space="0" w:color="auto"/>
            <w:left w:val="none" w:sz="0" w:space="0" w:color="auto"/>
            <w:bottom w:val="none" w:sz="0" w:space="0" w:color="auto"/>
            <w:right w:val="none" w:sz="0" w:space="0" w:color="auto"/>
          </w:divBdr>
        </w:div>
        <w:div w:id="2077706611">
          <w:marLeft w:val="0"/>
          <w:marRight w:val="0"/>
          <w:marTop w:val="0"/>
          <w:marBottom w:val="101"/>
          <w:divBdr>
            <w:top w:val="none" w:sz="0" w:space="0" w:color="auto"/>
            <w:left w:val="none" w:sz="0" w:space="0" w:color="auto"/>
            <w:bottom w:val="none" w:sz="0" w:space="0" w:color="auto"/>
            <w:right w:val="none" w:sz="0" w:space="0" w:color="auto"/>
          </w:divBdr>
        </w:div>
        <w:div w:id="1804615392">
          <w:marLeft w:val="0"/>
          <w:marRight w:val="0"/>
          <w:marTop w:val="0"/>
          <w:marBottom w:val="101"/>
          <w:divBdr>
            <w:top w:val="none" w:sz="0" w:space="0" w:color="auto"/>
            <w:left w:val="none" w:sz="0" w:space="0" w:color="auto"/>
            <w:bottom w:val="none" w:sz="0" w:space="0" w:color="auto"/>
            <w:right w:val="none" w:sz="0" w:space="0" w:color="auto"/>
          </w:divBdr>
        </w:div>
        <w:div w:id="923953886">
          <w:marLeft w:val="0"/>
          <w:marRight w:val="0"/>
          <w:marTop w:val="0"/>
          <w:marBottom w:val="101"/>
          <w:divBdr>
            <w:top w:val="none" w:sz="0" w:space="0" w:color="auto"/>
            <w:left w:val="none" w:sz="0" w:space="0" w:color="auto"/>
            <w:bottom w:val="none" w:sz="0" w:space="0" w:color="auto"/>
            <w:right w:val="none" w:sz="0" w:space="0" w:color="auto"/>
          </w:divBdr>
        </w:div>
      </w:divsChild>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saimex.org.mx/saimex/solicitud/downloadAttach/1409870.page"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09870.pag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saimex.org.mx/saimex/solicitud/downloadAttach/1409870.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409870.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EACA1-E465-4FCB-AC49-BF6D3109C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68</Pages>
  <Words>15729</Words>
  <Characters>86514</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2021-10-21T22:39:00Z</cp:lastPrinted>
  <dcterms:created xsi:type="dcterms:W3CDTF">2022-11-22T19:26:00Z</dcterms:created>
  <dcterms:modified xsi:type="dcterms:W3CDTF">2022-12-12T17:17:00Z</dcterms:modified>
</cp:coreProperties>
</file>