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87DAD4" w14:textId="03F43920" w:rsidR="005F2C76" w:rsidRDefault="00B433C9" w:rsidP="00D43CF1">
      <w:pPr>
        <w:spacing w:before="240" w:line="360" w:lineRule="auto"/>
        <w:jc w:val="both"/>
        <w:rPr>
          <w:rFonts w:ascii="Palatino Linotype" w:eastAsia="Times New Roman" w:hAnsi="Palatino Linotype" w:cs="Arial"/>
          <w:color w:val="000000"/>
          <w:sz w:val="24"/>
          <w:szCs w:val="24"/>
          <w:lang w:eastAsia="es-MX"/>
        </w:rPr>
      </w:pPr>
      <w:r w:rsidRPr="005860CB">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671DF8">
        <w:rPr>
          <w:rFonts w:ascii="Palatino Linotype" w:eastAsia="Times New Roman" w:hAnsi="Palatino Linotype" w:cs="Arial"/>
          <w:color w:val="000000"/>
          <w:sz w:val="24"/>
          <w:szCs w:val="24"/>
          <w:lang w:eastAsia="es-MX"/>
        </w:rPr>
        <w:t>nueve</w:t>
      </w:r>
      <w:r w:rsidR="009F0D3C">
        <w:rPr>
          <w:rFonts w:ascii="Palatino Linotype" w:eastAsia="Times New Roman" w:hAnsi="Palatino Linotype" w:cs="Arial"/>
          <w:color w:val="000000"/>
          <w:sz w:val="24"/>
          <w:szCs w:val="24"/>
          <w:lang w:eastAsia="es-MX"/>
        </w:rPr>
        <w:t xml:space="preserve"> de noviembre</w:t>
      </w:r>
      <w:r w:rsidR="00E01289">
        <w:rPr>
          <w:rFonts w:ascii="Palatino Linotype" w:eastAsia="Times New Roman" w:hAnsi="Palatino Linotype" w:cs="Arial"/>
          <w:color w:val="000000"/>
          <w:sz w:val="24"/>
          <w:szCs w:val="24"/>
          <w:lang w:eastAsia="es-MX"/>
        </w:rPr>
        <w:t xml:space="preserve"> de dos mil veintidós. </w:t>
      </w:r>
      <w:r w:rsidR="000C1477">
        <w:rPr>
          <w:rFonts w:ascii="Palatino Linotype" w:eastAsia="Times New Roman" w:hAnsi="Palatino Linotype" w:cs="Arial"/>
          <w:color w:val="000000"/>
          <w:sz w:val="24"/>
          <w:szCs w:val="24"/>
          <w:lang w:eastAsia="es-MX"/>
        </w:rPr>
        <w:t xml:space="preserve"> </w:t>
      </w:r>
      <w:r w:rsidR="00C07B2D">
        <w:rPr>
          <w:rFonts w:ascii="Palatino Linotype" w:eastAsia="Times New Roman" w:hAnsi="Palatino Linotype" w:cs="Arial"/>
          <w:color w:val="000000"/>
          <w:sz w:val="24"/>
          <w:szCs w:val="24"/>
          <w:lang w:eastAsia="es-MX"/>
        </w:rPr>
        <w:t xml:space="preserve"> </w:t>
      </w:r>
      <w:r w:rsidR="00972CF8">
        <w:rPr>
          <w:rFonts w:ascii="Palatino Linotype" w:eastAsia="Times New Roman" w:hAnsi="Palatino Linotype" w:cs="Arial"/>
          <w:color w:val="000000"/>
          <w:sz w:val="24"/>
          <w:szCs w:val="24"/>
          <w:lang w:eastAsia="es-MX"/>
        </w:rPr>
        <w:t xml:space="preserve"> </w:t>
      </w:r>
    </w:p>
    <w:p w14:paraId="0A88F455" w14:textId="702DF538" w:rsidR="00E01289" w:rsidRPr="00E01289" w:rsidRDefault="00B433C9" w:rsidP="00B433C9">
      <w:pPr>
        <w:tabs>
          <w:tab w:val="left" w:pos="1701"/>
        </w:tabs>
        <w:spacing w:before="240" w:line="360" w:lineRule="auto"/>
        <w:jc w:val="both"/>
        <w:rPr>
          <w:rFonts w:ascii="Palatino Linotype" w:hAnsi="Palatino Linotype" w:cs="Arial"/>
          <w:sz w:val="24"/>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w:t>
      </w:r>
      <w:r w:rsidR="005F2C76">
        <w:rPr>
          <w:rFonts w:ascii="Palatino Linotype" w:hAnsi="Palatino Linotype" w:cs="Arial"/>
          <w:sz w:val="24"/>
        </w:rPr>
        <w:t xml:space="preserve"> </w:t>
      </w:r>
      <w:r w:rsidR="00E01289">
        <w:rPr>
          <w:rFonts w:ascii="Palatino Linotype" w:hAnsi="Palatino Linotype" w:cs="Arial"/>
          <w:b/>
          <w:bCs/>
          <w:sz w:val="24"/>
        </w:rPr>
        <w:t>13345</w:t>
      </w:r>
      <w:r w:rsidR="00A339E6">
        <w:rPr>
          <w:rFonts w:ascii="Palatino Linotype" w:hAnsi="Palatino Linotype" w:cs="Arial"/>
          <w:b/>
          <w:bCs/>
          <w:sz w:val="24"/>
        </w:rPr>
        <w:t>/INFOEM/IP/RR/2022</w:t>
      </w:r>
      <w:r w:rsidR="005F2C76">
        <w:rPr>
          <w:rFonts w:ascii="Palatino Linotype" w:hAnsi="Palatino Linotype" w:cs="Arial"/>
          <w:b/>
          <w:bCs/>
          <w:sz w:val="24"/>
        </w:rPr>
        <w:t xml:space="preserve">, </w:t>
      </w:r>
      <w:r w:rsidR="00C01E1C">
        <w:rPr>
          <w:rFonts w:ascii="Palatino Linotype" w:hAnsi="Palatino Linotype" w:cs="Arial"/>
          <w:sz w:val="24"/>
        </w:rPr>
        <w:t>interpuesto por</w:t>
      </w:r>
      <w:r w:rsidR="00752A9A">
        <w:rPr>
          <w:rFonts w:ascii="Palatino Linotype" w:hAnsi="Palatino Linotype" w:cs="Arial"/>
          <w:sz w:val="24"/>
        </w:rPr>
        <w:t xml:space="preserve"> </w:t>
      </w:r>
      <w:r w:rsidR="00E01289">
        <w:rPr>
          <w:rFonts w:ascii="Palatino Linotype" w:hAnsi="Palatino Linotype" w:cs="Arial"/>
          <w:sz w:val="24"/>
        </w:rPr>
        <w:t xml:space="preserve">la </w:t>
      </w:r>
      <w:r w:rsidR="00E01289">
        <w:rPr>
          <w:rFonts w:ascii="Palatino Linotype" w:hAnsi="Palatino Linotype" w:cs="Arial"/>
          <w:b/>
          <w:bCs/>
          <w:sz w:val="24"/>
        </w:rPr>
        <w:t xml:space="preserve">C. </w:t>
      </w:r>
      <w:r w:rsidR="008E6104">
        <w:rPr>
          <w:rFonts w:ascii="Palatino Linotype" w:hAnsi="Palatino Linotype" w:cs="Arial"/>
          <w:b/>
          <w:bCs/>
          <w:sz w:val="24"/>
        </w:rPr>
        <w:t>XXXXXXXXXXXXXXXXX</w:t>
      </w:r>
      <w:bookmarkStart w:id="0" w:name="_GoBack"/>
      <w:bookmarkEnd w:id="0"/>
      <w:r w:rsidR="00E01289">
        <w:rPr>
          <w:rFonts w:ascii="Palatino Linotype" w:hAnsi="Palatino Linotype" w:cs="Arial"/>
          <w:b/>
          <w:bCs/>
          <w:sz w:val="24"/>
        </w:rPr>
        <w:t xml:space="preserve">, </w:t>
      </w:r>
      <w:r w:rsidR="00E01289">
        <w:rPr>
          <w:rFonts w:ascii="Palatino Linotype" w:hAnsi="Palatino Linotype" w:cs="Arial"/>
          <w:sz w:val="24"/>
        </w:rPr>
        <w:t xml:space="preserve">en lo sucesivo </w:t>
      </w:r>
      <w:r w:rsidR="00E01289">
        <w:rPr>
          <w:rFonts w:ascii="Palatino Linotype" w:hAnsi="Palatino Linotype" w:cs="Arial"/>
          <w:b/>
          <w:bCs/>
          <w:sz w:val="24"/>
        </w:rPr>
        <w:t xml:space="preserve">La Recurrente, </w:t>
      </w:r>
      <w:r w:rsidR="00E01289">
        <w:rPr>
          <w:rFonts w:ascii="Palatino Linotype" w:hAnsi="Palatino Linotype" w:cs="Arial"/>
          <w:sz w:val="24"/>
        </w:rPr>
        <w:t xml:space="preserve">en contra de la respuesta del </w:t>
      </w:r>
      <w:r w:rsidR="00E01289">
        <w:rPr>
          <w:rFonts w:ascii="Palatino Linotype" w:hAnsi="Palatino Linotype" w:cs="Arial"/>
          <w:b/>
          <w:bCs/>
          <w:sz w:val="24"/>
        </w:rPr>
        <w:t xml:space="preserve">Organismo Público Descentralizado para la Prestación de Los Servicios de Agua Potable Drenaje y Tratamiento de Aguas Residuales del Municipio de Huixquilucan México, denominado “Sistema Aguas de Huixquilucan”, </w:t>
      </w:r>
      <w:r w:rsidR="00E01289">
        <w:rPr>
          <w:rFonts w:ascii="Palatino Linotype" w:hAnsi="Palatino Linotype" w:cs="Arial"/>
          <w:sz w:val="24"/>
        </w:rPr>
        <w:t xml:space="preserve">en lo subsecuente </w:t>
      </w:r>
      <w:r w:rsidR="00E01289">
        <w:rPr>
          <w:rFonts w:ascii="Palatino Linotype" w:hAnsi="Palatino Linotype" w:cs="Arial"/>
          <w:b/>
          <w:bCs/>
          <w:sz w:val="24"/>
        </w:rPr>
        <w:t xml:space="preserve">El Sujeto Obligado, </w:t>
      </w:r>
      <w:r w:rsidR="00E01289">
        <w:rPr>
          <w:rFonts w:ascii="Palatino Linotype" w:hAnsi="Palatino Linotype" w:cs="Arial"/>
          <w:sz w:val="24"/>
        </w:rPr>
        <w:t xml:space="preserve">se procede a dictar la presente resolución. </w:t>
      </w:r>
    </w:p>
    <w:p w14:paraId="27533C5A" w14:textId="77777777" w:rsidR="00E01289" w:rsidRDefault="00E01289" w:rsidP="00B433C9">
      <w:pPr>
        <w:tabs>
          <w:tab w:val="left" w:pos="1701"/>
        </w:tabs>
        <w:spacing w:before="240" w:line="360" w:lineRule="auto"/>
        <w:jc w:val="both"/>
        <w:rPr>
          <w:rFonts w:ascii="Palatino Linotype" w:hAnsi="Palatino Linotype" w:cs="Arial"/>
          <w:sz w:val="24"/>
        </w:rPr>
      </w:pPr>
    </w:p>
    <w:p w14:paraId="4094D3E4" w14:textId="284367AF" w:rsidR="00B433C9" w:rsidRPr="00F205B9" w:rsidRDefault="00B433C9" w:rsidP="00B433C9">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2891B26A" w14:textId="77777777" w:rsidR="00B433C9" w:rsidRDefault="00B433C9" w:rsidP="00B433C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4A385DD5" w14:textId="3E098FAE" w:rsidR="00E01289" w:rsidRDefault="00B433C9" w:rsidP="00B433C9">
      <w:pPr>
        <w:spacing w:before="240" w:line="360" w:lineRule="auto"/>
        <w:jc w:val="both"/>
        <w:rPr>
          <w:rFonts w:ascii="Palatino Linotype" w:hAnsi="Palatino Linotype" w:cs="Arial"/>
          <w:sz w:val="24"/>
        </w:rPr>
      </w:pPr>
      <w:r>
        <w:rPr>
          <w:rFonts w:ascii="Palatino Linotype" w:hAnsi="Palatino Linotype" w:cs="Arial"/>
          <w:sz w:val="24"/>
        </w:rPr>
        <w:t xml:space="preserve">Con fecha </w:t>
      </w:r>
      <w:r w:rsidR="00E01289">
        <w:rPr>
          <w:rFonts w:ascii="Palatino Linotype" w:hAnsi="Palatino Linotype" w:cs="Arial"/>
          <w:sz w:val="24"/>
        </w:rPr>
        <w:t xml:space="preserve">cinco de julio de dos mil veintidós, </w:t>
      </w:r>
      <w:r w:rsidR="00E01289" w:rsidRPr="00CE4CE3">
        <w:rPr>
          <w:rFonts w:ascii="Palatino Linotype" w:hAnsi="Palatino Linotype" w:cs="Arial"/>
          <w:b/>
          <w:bCs/>
          <w:sz w:val="24"/>
        </w:rPr>
        <w:t xml:space="preserve">El </w:t>
      </w:r>
      <w:r w:rsidR="00A11ED6">
        <w:rPr>
          <w:rFonts w:ascii="Palatino Linotype" w:hAnsi="Palatino Linotype" w:cs="Arial"/>
          <w:b/>
          <w:bCs/>
          <w:sz w:val="24"/>
        </w:rPr>
        <w:t xml:space="preserve">Recurrente, </w:t>
      </w:r>
      <w:r w:rsidR="00A11ED6">
        <w:rPr>
          <w:rFonts w:ascii="Palatino Linotype" w:hAnsi="Palatino Linotype" w:cs="Arial"/>
          <w:sz w:val="24"/>
        </w:rPr>
        <w:t>presentó</w:t>
      </w:r>
      <w:r w:rsidR="00E01289">
        <w:rPr>
          <w:rFonts w:ascii="Palatino Linotype" w:hAnsi="Palatino Linotype" w:cs="Arial"/>
          <w:sz w:val="24"/>
        </w:rPr>
        <w:t xml:space="preserve"> a través del Sistema de Acceso a la Información Mexiquense </w:t>
      </w:r>
      <w:r w:rsidR="00E01289">
        <w:rPr>
          <w:rFonts w:ascii="Palatino Linotype" w:hAnsi="Palatino Linotype" w:cs="Arial"/>
          <w:b/>
          <w:sz w:val="24"/>
        </w:rPr>
        <w:t xml:space="preserve">(SAIMEX) </w:t>
      </w:r>
      <w:r w:rsidR="00E01289">
        <w:rPr>
          <w:rFonts w:ascii="Palatino Linotype" w:hAnsi="Palatino Linotype" w:cs="Arial"/>
          <w:sz w:val="24"/>
        </w:rPr>
        <w:t xml:space="preserve">ante </w:t>
      </w:r>
      <w:r w:rsidR="00E01289">
        <w:rPr>
          <w:rFonts w:ascii="Palatino Linotype" w:hAnsi="Palatino Linotype" w:cs="Arial"/>
          <w:b/>
          <w:sz w:val="24"/>
        </w:rPr>
        <w:t>El Sujeto Obligado</w:t>
      </w:r>
      <w:r w:rsidR="00E01289">
        <w:rPr>
          <w:rFonts w:ascii="Palatino Linotype" w:hAnsi="Palatino Linotype" w:cs="Arial"/>
          <w:sz w:val="24"/>
        </w:rPr>
        <w:t xml:space="preserve">, solicitud de acceso a la información pública, registrada bajo el número de expediente </w:t>
      </w:r>
      <w:r w:rsidR="00E01289">
        <w:rPr>
          <w:rFonts w:ascii="Palatino Linotype" w:hAnsi="Palatino Linotype" w:cs="Arial"/>
          <w:b/>
          <w:bCs/>
          <w:sz w:val="24"/>
        </w:rPr>
        <w:lastRenderedPageBreak/>
        <w:t xml:space="preserve">00107/OASHUIXQUI/IP/2022, </w:t>
      </w:r>
      <w:r w:rsidR="00E01289">
        <w:rPr>
          <w:rFonts w:ascii="Palatino Linotype" w:hAnsi="Palatino Linotype" w:cs="Arial"/>
          <w:sz w:val="24"/>
        </w:rPr>
        <w:t>mediante la cual solicitó información en el tenor siguiente:</w:t>
      </w:r>
    </w:p>
    <w:p w14:paraId="7E2FAEF9" w14:textId="531A040C" w:rsidR="00E01289" w:rsidRPr="00C81BA9" w:rsidRDefault="00C81BA9" w:rsidP="00C81BA9">
      <w:pPr>
        <w:pStyle w:val="Citas"/>
        <w:rPr>
          <w:b/>
          <w:bCs/>
          <w:sz w:val="24"/>
        </w:rPr>
      </w:pPr>
      <w:r>
        <w:t xml:space="preserve">“listado de todos los juicios y procedimientos judiciales que lleva el sistema de aguas de enero 2022 a la fecha , asi como procedimientos administrativos de ejecución llevados acabo por el sistema de aguas de enero de 2022 a la fecha” </w:t>
      </w:r>
      <w:r>
        <w:rPr>
          <w:b/>
          <w:bCs/>
        </w:rPr>
        <w:t>(Sic)</w:t>
      </w:r>
    </w:p>
    <w:p w14:paraId="19E86044" w14:textId="77777777" w:rsidR="008B1AD9" w:rsidRDefault="008B1AD9" w:rsidP="00B433C9">
      <w:pPr>
        <w:spacing w:before="240" w:line="360" w:lineRule="auto"/>
        <w:jc w:val="both"/>
        <w:rPr>
          <w:rFonts w:ascii="Palatino Linotype" w:hAnsi="Palatino Linotype" w:cs="Arial"/>
          <w:sz w:val="24"/>
        </w:rPr>
      </w:pPr>
      <w:r>
        <w:rPr>
          <w:rFonts w:ascii="Palatino Linotype" w:hAnsi="Palatino Linotype" w:cs="Arial"/>
          <w:b/>
          <w:sz w:val="24"/>
        </w:rPr>
        <w:t xml:space="preserve">Modalidad de entrega: </w:t>
      </w:r>
      <w:r>
        <w:rPr>
          <w:rFonts w:ascii="Palatino Linotype" w:hAnsi="Palatino Linotype" w:cs="Arial"/>
          <w:sz w:val="24"/>
        </w:rPr>
        <w:t xml:space="preserve">A través del SAIMEX. </w:t>
      </w:r>
    </w:p>
    <w:p w14:paraId="7F3535B6" w14:textId="77777777" w:rsidR="00752A9A" w:rsidRDefault="00752A9A" w:rsidP="00B433C9">
      <w:pPr>
        <w:spacing w:before="240" w:line="360" w:lineRule="auto"/>
        <w:jc w:val="both"/>
        <w:rPr>
          <w:rFonts w:ascii="Palatino Linotype" w:hAnsi="Palatino Linotype" w:cs="Arial"/>
          <w:b/>
          <w:sz w:val="28"/>
        </w:rPr>
      </w:pPr>
    </w:p>
    <w:p w14:paraId="2745D23E" w14:textId="08249A04" w:rsidR="00B433C9" w:rsidRDefault="005D3E85" w:rsidP="00B433C9">
      <w:pPr>
        <w:spacing w:before="240" w:line="360" w:lineRule="auto"/>
        <w:jc w:val="both"/>
        <w:rPr>
          <w:rFonts w:ascii="Palatino Linotype" w:hAnsi="Palatino Linotype" w:cs="Arial"/>
          <w:b/>
          <w:sz w:val="28"/>
        </w:rPr>
      </w:pPr>
      <w:r>
        <w:rPr>
          <w:rFonts w:ascii="Palatino Linotype" w:hAnsi="Palatino Linotype" w:cs="Arial"/>
          <w:b/>
          <w:sz w:val="28"/>
        </w:rPr>
        <w:t>SEGUNDO</w:t>
      </w:r>
      <w:r w:rsidR="00B433C9">
        <w:rPr>
          <w:rFonts w:ascii="Palatino Linotype" w:hAnsi="Palatino Linotype" w:cs="Arial"/>
          <w:b/>
          <w:sz w:val="28"/>
        </w:rPr>
        <w:t xml:space="preserve">. </w:t>
      </w:r>
      <w:r w:rsidR="00B433C9" w:rsidRPr="00165D6E">
        <w:rPr>
          <w:rFonts w:ascii="Palatino Linotype" w:hAnsi="Palatino Linotype" w:cs="Arial"/>
          <w:b/>
          <w:sz w:val="28"/>
          <w:szCs w:val="20"/>
        </w:rPr>
        <w:t xml:space="preserve">De la respuesta </w:t>
      </w:r>
      <w:r w:rsidR="00B433C9">
        <w:rPr>
          <w:rFonts w:ascii="Palatino Linotype" w:hAnsi="Palatino Linotype" w:cs="Arial"/>
          <w:b/>
          <w:sz w:val="28"/>
          <w:szCs w:val="20"/>
        </w:rPr>
        <w:t>del Sujeto Obligado</w:t>
      </w:r>
      <w:r w:rsidR="00B433C9" w:rsidRPr="00165D6E">
        <w:rPr>
          <w:rFonts w:ascii="Palatino Linotype" w:hAnsi="Palatino Linotype" w:cs="Arial"/>
          <w:b/>
          <w:sz w:val="28"/>
          <w:szCs w:val="20"/>
        </w:rPr>
        <w:t>.</w:t>
      </w:r>
    </w:p>
    <w:p w14:paraId="0B3E15C8" w14:textId="09B1687A" w:rsidR="00C81BA9" w:rsidRDefault="00B433C9" w:rsidP="00123898">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el expediente electrónico </w:t>
      </w:r>
      <w:r>
        <w:rPr>
          <w:rFonts w:ascii="Palatino Linotype" w:hAnsi="Palatino Linotype" w:cs="Arial"/>
          <w:b/>
          <w:sz w:val="24"/>
          <w:szCs w:val="24"/>
        </w:rPr>
        <w:t xml:space="preserve">SAIMEX, </w:t>
      </w:r>
      <w:r>
        <w:rPr>
          <w:rFonts w:ascii="Palatino Linotype" w:hAnsi="Palatino Linotype" w:cs="Arial"/>
          <w:sz w:val="24"/>
          <w:szCs w:val="24"/>
        </w:rPr>
        <w:t xml:space="preserve">se aprecia que </w:t>
      </w:r>
      <w:r w:rsidR="008B1AD9">
        <w:rPr>
          <w:rFonts w:ascii="Palatino Linotype" w:hAnsi="Palatino Linotype" w:cs="Arial"/>
          <w:sz w:val="24"/>
          <w:szCs w:val="24"/>
        </w:rPr>
        <w:t>el</w:t>
      </w:r>
      <w:r w:rsidR="00972CF8">
        <w:rPr>
          <w:rFonts w:ascii="Palatino Linotype" w:hAnsi="Palatino Linotype" w:cs="Arial"/>
          <w:sz w:val="24"/>
          <w:szCs w:val="24"/>
        </w:rPr>
        <w:t xml:space="preserve"> </w:t>
      </w:r>
      <w:r w:rsidR="00C81BA9">
        <w:rPr>
          <w:rFonts w:ascii="Palatino Linotype" w:hAnsi="Palatino Linotype" w:cs="Arial"/>
          <w:sz w:val="24"/>
          <w:szCs w:val="24"/>
        </w:rPr>
        <w:t xml:space="preserve">nueve de agosto de los corrientes, </w:t>
      </w:r>
      <w:r w:rsidR="00C81BA9">
        <w:rPr>
          <w:rFonts w:ascii="Palatino Linotype" w:hAnsi="Palatino Linotype" w:cs="Arial"/>
          <w:b/>
          <w:bCs/>
          <w:sz w:val="24"/>
          <w:szCs w:val="24"/>
        </w:rPr>
        <w:t xml:space="preserve">El Sujeto Obligado </w:t>
      </w:r>
      <w:r w:rsidR="00C81BA9">
        <w:rPr>
          <w:rFonts w:ascii="Palatino Linotype" w:hAnsi="Palatino Linotype" w:cs="Arial"/>
          <w:sz w:val="24"/>
          <w:szCs w:val="24"/>
        </w:rPr>
        <w:t xml:space="preserve">dio respuesta a la solicitud de información en los siguientes términos: </w:t>
      </w:r>
    </w:p>
    <w:p w14:paraId="7601BB07" w14:textId="29237343" w:rsidR="00C81BA9" w:rsidRPr="00C81BA9" w:rsidRDefault="00C81BA9" w:rsidP="00C81BA9">
      <w:pPr>
        <w:pStyle w:val="Citas"/>
      </w:pPr>
      <w:r w:rsidRPr="00C81BA9">
        <w:t>“En respuesta a la solicitud recibida, nos permitimos hacer de su conocimiento que con fundamento en el artículo 53, Fracciones: II, V y VI de la Ley de Transparencia y Acceso a la Información Pública del Estado de México y Municipios, le contestamos que:</w:t>
      </w:r>
    </w:p>
    <w:p w14:paraId="5009ACAD" w14:textId="649F1EA1" w:rsidR="00C81BA9" w:rsidRPr="00C81BA9" w:rsidRDefault="00C81BA9" w:rsidP="00C81BA9">
      <w:pPr>
        <w:pStyle w:val="Citas"/>
        <w:rPr>
          <w:b/>
          <w:bCs/>
        </w:rPr>
      </w:pPr>
      <w:r w:rsidRPr="00C81BA9">
        <w:t xml:space="preserve">En atención a la solicitud de información registrada con el número de folio 00107/OASHUIXQUI/IP/2022 se adjunta respuesta por parte del Servidor Público </w:t>
      </w:r>
      <w:r w:rsidRPr="00C81BA9">
        <w:lastRenderedPageBreak/>
        <w:t>Habilitado competente de dar contestación. Por lo anterior, pido se tenga por satisfecha su solicitud de información en términos del artículo 166 primer párrafo de la Ley de Transparencia y Acceso a la Información Pública del Estado de México y Municipios</w:t>
      </w:r>
      <w:r>
        <w:t xml:space="preserve">” </w:t>
      </w:r>
      <w:r>
        <w:rPr>
          <w:b/>
          <w:bCs/>
        </w:rPr>
        <w:t>(Sic)</w:t>
      </w:r>
    </w:p>
    <w:p w14:paraId="453BE1D5" w14:textId="158932C5" w:rsidR="00C81BA9" w:rsidRPr="00C81BA9" w:rsidRDefault="00C81BA9" w:rsidP="00123898">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 mayor abundamiento, se advierte que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adjuntó el documento electrónico </w:t>
      </w:r>
      <w:r>
        <w:rPr>
          <w:rFonts w:ascii="Palatino Linotype" w:hAnsi="Palatino Linotype" w:cs="Arial"/>
          <w:b/>
          <w:bCs/>
          <w:sz w:val="24"/>
          <w:szCs w:val="24"/>
        </w:rPr>
        <w:t xml:space="preserve">“Solventacion Saimex.pdf”, </w:t>
      </w:r>
      <w:r>
        <w:rPr>
          <w:rFonts w:ascii="Palatino Linotype" w:hAnsi="Palatino Linotype" w:cs="Arial"/>
          <w:sz w:val="24"/>
          <w:szCs w:val="24"/>
        </w:rPr>
        <w:t xml:space="preserve">mismo que se tiene por reproducido en virtud de que será materia de análisis en el considerando respectivo. </w:t>
      </w:r>
    </w:p>
    <w:p w14:paraId="24E3B14F" w14:textId="77777777" w:rsidR="00C81BA9" w:rsidRDefault="00C81BA9" w:rsidP="00123898">
      <w:pPr>
        <w:spacing w:before="240" w:line="360" w:lineRule="auto"/>
        <w:jc w:val="both"/>
        <w:rPr>
          <w:rFonts w:ascii="Palatino Linotype" w:hAnsi="Palatino Linotype" w:cs="Arial"/>
          <w:sz w:val="24"/>
          <w:szCs w:val="24"/>
        </w:rPr>
      </w:pPr>
    </w:p>
    <w:p w14:paraId="259B6E09" w14:textId="754D27EB" w:rsidR="00B433C9" w:rsidRDefault="005D3E85" w:rsidP="00B433C9">
      <w:pPr>
        <w:spacing w:before="240" w:line="360" w:lineRule="auto"/>
        <w:jc w:val="both"/>
        <w:rPr>
          <w:rFonts w:ascii="Palatino Linotype" w:hAnsi="Palatino Linotype" w:cs="Arial"/>
          <w:b/>
          <w:sz w:val="28"/>
        </w:rPr>
      </w:pPr>
      <w:r>
        <w:rPr>
          <w:rFonts w:ascii="Palatino Linotype" w:hAnsi="Palatino Linotype" w:cs="Arial"/>
          <w:b/>
          <w:sz w:val="28"/>
        </w:rPr>
        <w:t>TERCERO</w:t>
      </w:r>
      <w:r w:rsidR="00B433C9">
        <w:rPr>
          <w:rFonts w:ascii="Palatino Linotype" w:hAnsi="Palatino Linotype" w:cs="Arial"/>
          <w:b/>
          <w:sz w:val="28"/>
        </w:rPr>
        <w:t xml:space="preserve">. </w:t>
      </w:r>
      <w:r w:rsidR="00B433C9">
        <w:rPr>
          <w:rFonts w:ascii="Palatino Linotype" w:hAnsi="Palatino Linotype"/>
          <w:b/>
          <w:sz w:val="28"/>
        </w:rPr>
        <w:t>Del recurso de revisión.</w:t>
      </w:r>
    </w:p>
    <w:p w14:paraId="51F9C539" w14:textId="14F57767" w:rsidR="00C81BA9" w:rsidRDefault="00B433C9" w:rsidP="00B433C9">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 respuesta por </w:t>
      </w:r>
      <w:r w:rsidR="003838B4">
        <w:rPr>
          <w:rFonts w:ascii="Palatino Linotype" w:hAnsi="Palatino Linotype" w:cs="Arial"/>
          <w:b/>
          <w:sz w:val="24"/>
          <w:szCs w:val="24"/>
        </w:rPr>
        <w:t xml:space="preserve">El Sujeto Obligado, </w:t>
      </w:r>
      <w:r w:rsidR="00C81BA9">
        <w:rPr>
          <w:rFonts w:ascii="Palatino Linotype" w:hAnsi="Palatino Linotype" w:cs="Arial"/>
          <w:b/>
          <w:sz w:val="24"/>
          <w:szCs w:val="24"/>
        </w:rPr>
        <w:t>La</w:t>
      </w:r>
      <w:r>
        <w:rPr>
          <w:rFonts w:ascii="Palatino Linotype" w:hAnsi="Palatino Linotype" w:cs="Arial"/>
          <w:b/>
          <w:sz w:val="24"/>
          <w:szCs w:val="24"/>
        </w:rPr>
        <w:t xml:space="preserve"> Recurrente </w:t>
      </w:r>
      <w:r>
        <w:rPr>
          <w:rFonts w:ascii="Palatino Linotype" w:hAnsi="Palatino Linotype" w:cs="Arial"/>
          <w:sz w:val="24"/>
          <w:szCs w:val="24"/>
        </w:rPr>
        <w:t>interpuso recurso de revisión, en fecha</w:t>
      </w:r>
      <w:r w:rsidR="00D81029">
        <w:rPr>
          <w:rFonts w:ascii="Palatino Linotype" w:hAnsi="Palatino Linotype" w:cs="Arial"/>
          <w:sz w:val="24"/>
          <w:szCs w:val="24"/>
        </w:rPr>
        <w:t xml:space="preserve"> </w:t>
      </w:r>
      <w:r w:rsidR="00C81BA9">
        <w:rPr>
          <w:rFonts w:ascii="Palatino Linotype" w:hAnsi="Palatino Linotype" w:cs="Arial"/>
          <w:sz w:val="24"/>
          <w:szCs w:val="24"/>
        </w:rPr>
        <w:t xml:space="preserve">dieciséis de agosto del presente, el cual fue registrado en el sistema electrónico con el expediente número </w:t>
      </w:r>
      <w:r w:rsidR="00C81BA9">
        <w:rPr>
          <w:rFonts w:ascii="Palatino Linotype" w:hAnsi="Palatino Linotype" w:cs="Arial"/>
          <w:b/>
          <w:bCs/>
          <w:sz w:val="24"/>
          <w:szCs w:val="24"/>
        </w:rPr>
        <w:t xml:space="preserve">13345/INFOEM/IP/RR/2022, </w:t>
      </w:r>
      <w:r w:rsidR="00C81BA9">
        <w:rPr>
          <w:rFonts w:ascii="Palatino Linotype" w:hAnsi="Palatino Linotype" w:cs="Arial"/>
          <w:sz w:val="24"/>
          <w:szCs w:val="24"/>
        </w:rPr>
        <w:t>en el cual arguye las siguientes manifestaciones:</w:t>
      </w:r>
    </w:p>
    <w:p w14:paraId="3506AC14" w14:textId="77777777" w:rsidR="00B433C9" w:rsidRDefault="00B433C9" w:rsidP="00B433C9">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5C0448BD" w14:textId="299C7D3B" w:rsidR="00B433C9" w:rsidRPr="00712E3A" w:rsidRDefault="00B433C9" w:rsidP="005C57BA">
      <w:pPr>
        <w:pStyle w:val="Citas"/>
        <w:tabs>
          <w:tab w:val="left" w:pos="3750"/>
        </w:tabs>
        <w:rPr>
          <w:b/>
        </w:rPr>
      </w:pPr>
      <w:r w:rsidRPr="00C81BA9">
        <w:t>“</w:t>
      </w:r>
      <w:r w:rsidR="00C81BA9" w:rsidRPr="00C81BA9">
        <w:t>INFORMACION INCOMPLETA, EL LISTADO NO CONTIENE NOMBRES</w:t>
      </w:r>
      <w:r w:rsidR="00F516E3" w:rsidRPr="00C81BA9">
        <w:t>”</w:t>
      </w:r>
      <w:r w:rsidRPr="003838B4">
        <w:t xml:space="preserve"> </w:t>
      </w:r>
      <w:r w:rsidR="00F516E3" w:rsidRPr="00F516E3">
        <w:rPr>
          <w:b/>
          <w:bCs/>
        </w:rPr>
        <w:t>(Sic)</w:t>
      </w:r>
    </w:p>
    <w:p w14:paraId="3AD30E1D" w14:textId="77777777" w:rsidR="00B433C9" w:rsidRDefault="00B433C9" w:rsidP="00B433C9">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4DD14BAC" w14:textId="7B32AF87" w:rsidR="00B433C9" w:rsidRPr="00712E3A" w:rsidRDefault="00B433C9" w:rsidP="00E725D5">
      <w:pPr>
        <w:pStyle w:val="Citas"/>
      </w:pPr>
      <w:r w:rsidRPr="00C81BA9">
        <w:lastRenderedPageBreak/>
        <w:t>“</w:t>
      </w:r>
      <w:r w:rsidR="00C81BA9" w:rsidRPr="00C81BA9">
        <w:t>INFORMACION INCOMPLETA</w:t>
      </w:r>
      <w:r w:rsidRPr="00C81BA9">
        <w:t>”</w:t>
      </w:r>
      <w:r w:rsidRPr="00E616AC">
        <w:t xml:space="preserve"> </w:t>
      </w:r>
      <w:r w:rsidR="00F516E3">
        <w:rPr>
          <w:b/>
        </w:rPr>
        <w:t>(Sic)</w:t>
      </w:r>
    </w:p>
    <w:p w14:paraId="59D04919" w14:textId="77777777" w:rsidR="002642D3" w:rsidRDefault="002642D3" w:rsidP="00B433C9">
      <w:pPr>
        <w:spacing w:before="240" w:line="360" w:lineRule="auto"/>
        <w:jc w:val="both"/>
        <w:rPr>
          <w:rFonts w:ascii="Palatino Linotype" w:hAnsi="Palatino Linotype" w:cs="Arial"/>
          <w:bCs/>
          <w:sz w:val="24"/>
          <w:szCs w:val="24"/>
        </w:rPr>
      </w:pPr>
    </w:p>
    <w:p w14:paraId="454F7370" w14:textId="235E8749" w:rsidR="00B433C9" w:rsidRDefault="005D3E85" w:rsidP="00B433C9">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B433C9" w:rsidRPr="008551ED">
        <w:rPr>
          <w:rFonts w:ascii="Palatino Linotype" w:hAnsi="Palatino Linotype" w:cs="Arial"/>
          <w:b/>
          <w:sz w:val="24"/>
          <w:szCs w:val="24"/>
        </w:rPr>
        <w:t xml:space="preserve">. </w:t>
      </w:r>
      <w:r w:rsidR="00B433C9" w:rsidRPr="0087163A">
        <w:rPr>
          <w:rFonts w:ascii="Palatino Linotype" w:hAnsi="Palatino Linotype" w:cs="Arial"/>
          <w:b/>
          <w:sz w:val="28"/>
          <w:szCs w:val="28"/>
        </w:rPr>
        <w:t>Del turno del recurso de revisión.</w:t>
      </w:r>
    </w:p>
    <w:p w14:paraId="1933F77F" w14:textId="33AE5D88" w:rsidR="002642D3" w:rsidRDefault="00B433C9" w:rsidP="002642D3">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w:t>
      </w:r>
      <w:r w:rsidR="0040673A">
        <w:rPr>
          <w:rFonts w:ascii="Palatino Linotype" w:hAnsi="Palatino Linotype" w:cs="Arial"/>
          <w:sz w:val="24"/>
          <w:szCs w:val="24"/>
        </w:rPr>
        <w:t>a</w:t>
      </w:r>
      <w:r w:rsidR="00A51F37">
        <w:rPr>
          <w:rFonts w:ascii="Palatino Linotype" w:hAnsi="Palatino Linotype" w:cs="Arial"/>
          <w:sz w:val="24"/>
          <w:szCs w:val="24"/>
        </w:rPr>
        <w:t>l</w:t>
      </w:r>
      <w:r w:rsidR="0040673A">
        <w:rPr>
          <w:rFonts w:ascii="Palatino Linotype" w:hAnsi="Palatino Linotype" w:cs="Arial"/>
          <w:sz w:val="24"/>
          <w:szCs w:val="24"/>
        </w:rPr>
        <w:t xml:space="preserve"> Comisionad</w:t>
      </w:r>
      <w:r w:rsidR="00A51F37">
        <w:rPr>
          <w:rFonts w:ascii="Palatino Linotype" w:hAnsi="Palatino Linotype" w:cs="Arial"/>
          <w:sz w:val="24"/>
          <w:szCs w:val="24"/>
        </w:rPr>
        <w:t>o</w:t>
      </w:r>
      <w:r w:rsidR="00576D51">
        <w:rPr>
          <w:rFonts w:ascii="Palatino Linotype" w:hAnsi="Palatino Linotype" w:cs="Arial"/>
          <w:sz w:val="24"/>
          <w:szCs w:val="24"/>
        </w:rPr>
        <w:t xml:space="preserve"> </w:t>
      </w:r>
      <w:r w:rsidR="00E926B4">
        <w:rPr>
          <w:rFonts w:ascii="Palatino Linotype" w:hAnsi="Palatino Linotype" w:cs="Arial"/>
          <w:sz w:val="24"/>
          <w:szCs w:val="24"/>
        </w:rPr>
        <w:t>presidente</w:t>
      </w:r>
      <w:r w:rsidR="00411E6F">
        <w:rPr>
          <w:rFonts w:ascii="Palatino Linotype" w:hAnsi="Palatino Linotype" w:cs="Arial"/>
          <w:sz w:val="24"/>
          <w:szCs w:val="24"/>
        </w:rPr>
        <w:t xml:space="preserve"> </w:t>
      </w:r>
      <w:r w:rsidR="00A51F37">
        <w:rPr>
          <w:rFonts w:ascii="Palatino Linotype" w:hAnsi="Palatino Linotype" w:cs="Arial"/>
          <w:b/>
          <w:sz w:val="24"/>
          <w:szCs w:val="24"/>
        </w:rPr>
        <w:t>José Martínez Vilchis</w:t>
      </w:r>
      <w:r w:rsidR="00576D51">
        <w:rPr>
          <w:rFonts w:ascii="Palatino Linotype" w:hAnsi="Palatino Linotype" w:cs="Arial"/>
          <w:b/>
          <w:sz w:val="24"/>
          <w:szCs w:val="24"/>
        </w:rPr>
        <w:t xml:space="preserve">, </w:t>
      </w:r>
      <w:r>
        <w:rPr>
          <w:rFonts w:ascii="Palatino Linotype" w:hAnsi="Palatino Linotype" w:cs="Arial"/>
          <w:sz w:val="24"/>
          <w:szCs w:val="24"/>
        </w:rPr>
        <w:t>por medio del sistema electrónico en términos del arábigo 185 fracción I de la Ley de Transparencia y Acceso a la información Pública del Estado de México y Municipios, del cual recayó acuerdo de admisión en fecha</w:t>
      </w:r>
      <w:r w:rsidR="00D81029">
        <w:rPr>
          <w:rFonts w:ascii="Palatino Linotype" w:hAnsi="Palatino Linotype" w:cs="Arial"/>
          <w:sz w:val="24"/>
          <w:szCs w:val="24"/>
        </w:rPr>
        <w:t xml:space="preserve"> </w:t>
      </w:r>
      <w:r w:rsidR="00C81BA9">
        <w:rPr>
          <w:rFonts w:ascii="Palatino Linotype" w:hAnsi="Palatino Linotype" w:cs="Arial"/>
          <w:sz w:val="24"/>
          <w:szCs w:val="24"/>
        </w:rPr>
        <w:t xml:space="preserve">diecinueve de agosto de los corrientes, </w:t>
      </w:r>
      <w:r w:rsidR="002642D3">
        <w:rPr>
          <w:rFonts w:ascii="Palatino Linotype" w:hAnsi="Palatino Linotype" w:cs="Arial"/>
          <w:sz w:val="24"/>
          <w:szCs w:val="24"/>
        </w:rPr>
        <w:t>determinándose en él, un plazo de siete días para que las partes manifestaran lo que a su derecho corresponda en términos del numeral ya citado.</w:t>
      </w:r>
    </w:p>
    <w:p w14:paraId="3BF6E92E" w14:textId="77777777" w:rsidR="00712E3A" w:rsidRDefault="00712E3A" w:rsidP="00B433C9">
      <w:pPr>
        <w:spacing w:before="240" w:line="360" w:lineRule="auto"/>
        <w:jc w:val="both"/>
        <w:rPr>
          <w:rFonts w:ascii="Palatino Linotype" w:hAnsi="Palatino Linotype" w:cs="Arial"/>
          <w:sz w:val="24"/>
          <w:szCs w:val="24"/>
        </w:rPr>
      </w:pPr>
    </w:p>
    <w:p w14:paraId="0A5C5FA8" w14:textId="5E166F90" w:rsidR="00B433C9" w:rsidRDefault="005D3E85" w:rsidP="00B433C9">
      <w:pPr>
        <w:pStyle w:val="Prrafodelista"/>
        <w:spacing w:line="360" w:lineRule="auto"/>
        <w:ind w:left="0"/>
        <w:jc w:val="both"/>
        <w:rPr>
          <w:rFonts w:ascii="Palatino Linotype" w:hAnsi="Palatino Linotype" w:cs="Arial"/>
          <w:b/>
        </w:rPr>
      </w:pPr>
      <w:r>
        <w:rPr>
          <w:rFonts w:ascii="Palatino Linotype" w:hAnsi="Palatino Linotype" w:cs="Arial"/>
          <w:b/>
          <w:sz w:val="28"/>
        </w:rPr>
        <w:t>QUINTO</w:t>
      </w:r>
      <w:r w:rsidR="00B433C9" w:rsidRPr="00AC0CCC">
        <w:rPr>
          <w:rFonts w:ascii="Palatino Linotype" w:hAnsi="Palatino Linotype" w:cs="Arial"/>
          <w:b/>
          <w:sz w:val="28"/>
          <w:szCs w:val="28"/>
        </w:rPr>
        <w:t xml:space="preserve">. </w:t>
      </w:r>
      <w:r w:rsidR="00B433C9" w:rsidRPr="0087163A">
        <w:rPr>
          <w:rFonts w:ascii="Palatino Linotype" w:hAnsi="Palatino Linotype" w:cs="Arial"/>
          <w:b/>
          <w:sz w:val="28"/>
          <w:szCs w:val="28"/>
        </w:rPr>
        <w:t>De la etapa de instrucción.</w:t>
      </w:r>
    </w:p>
    <w:p w14:paraId="5A8D468D" w14:textId="68782C20" w:rsidR="003E45BD" w:rsidRPr="00415A67" w:rsidRDefault="003E45BD" w:rsidP="003E45BD">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Así, en la etapa de instrucción, de las constancias que obran en el expediente electrónico del recurso de revisión se advierte que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rindió su informe justificado en fecha </w:t>
      </w:r>
      <w:r w:rsidRPr="003E45BD">
        <w:rPr>
          <w:rFonts w:ascii="Palatino Linotype" w:hAnsi="Palatino Linotype" w:cs="Arial"/>
          <w:b/>
          <w:bCs/>
          <w:sz w:val="24"/>
          <w:szCs w:val="24"/>
        </w:rPr>
        <w:t xml:space="preserve">treinta de </w:t>
      </w:r>
      <w:r>
        <w:rPr>
          <w:rFonts w:ascii="Palatino Linotype" w:hAnsi="Palatino Linotype" w:cs="Arial"/>
          <w:b/>
          <w:bCs/>
          <w:sz w:val="24"/>
          <w:szCs w:val="24"/>
        </w:rPr>
        <w:t xml:space="preserve">agosto de dos mil </w:t>
      </w:r>
      <w:r w:rsidR="00456D9F">
        <w:rPr>
          <w:rFonts w:ascii="Palatino Linotype" w:hAnsi="Palatino Linotype" w:cs="Arial"/>
          <w:b/>
          <w:bCs/>
          <w:sz w:val="24"/>
          <w:szCs w:val="24"/>
        </w:rPr>
        <w:t>veintidós, mismo</w:t>
      </w:r>
      <w:r>
        <w:rPr>
          <w:rFonts w:ascii="Palatino Linotype" w:hAnsi="Palatino Linotype" w:cs="Arial"/>
          <w:sz w:val="24"/>
          <w:szCs w:val="24"/>
        </w:rPr>
        <w:t xml:space="preserve"> que no fue puesto a la vista de </w:t>
      </w:r>
      <w:r>
        <w:rPr>
          <w:rFonts w:ascii="Palatino Linotype" w:hAnsi="Palatino Linotype" w:cs="Arial"/>
          <w:b/>
          <w:bCs/>
          <w:sz w:val="24"/>
          <w:szCs w:val="24"/>
        </w:rPr>
        <w:t xml:space="preserve">La Recurrente </w:t>
      </w:r>
      <w:r>
        <w:rPr>
          <w:rFonts w:ascii="Palatino Linotype" w:hAnsi="Palatino Linotype" w:cs="Arial"/>
          <w:sz w:val="24"/>
          <w:szCs w:val="24"/>
        </w:rPr>
        <w:t xml:space="preserve">por contener datos personales, lo que imposibilitó su difusión, en términos de lo dispuesto por el párrafo segundo del numeral 16 de la Constitución general. </w:t>
      </w:r>
    </w:p>
    <w:p w14:paraId="78D87473" w14:textId="77777777" w:rsidR="003E45BD" w:rsidRDefault="003E45BD" w:rsidP="003E45BD">
      <w:pPr>
        <w:spacing w:after="0" w:line="360" w:lineRule="auto"/>
        <w:jc w:val="both"/>
        <w:rPr>
          <w:rFonts w:ascii="Palatino Linotype" w:hAnsi="Palatino Linotype" w:cs="Arial"/>
          <w:sz w:val="24"/>
          <w:szCs w:val="24"/>
        </w:rPr>
      </w:pPr>
    </w:p>
    <w:p w14:paraId="2A0EB9F8" w14:textId="3FB640AB" w:rsidR="003E45BD" w:rsidRDefault="003E45BD" w:rsidP="003E45BD">
      <w:pPr>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Por lo cual se decretó instrucción con fecha </w:t>
      </w:r>
      <w:r>
        <w:rPr>
          <w:rFonts w:ascii="Palatino Linotype" w:hAnsi="Palatino Linotype" w:cs="Arial"/>
          <w:b/>
          <w:bCs/>
          <w:sz w:val="24"/>
          <w:szCs w:val="24"/>
        </w:rPr>
        <w:t xml:space="preserve">ocho de septiembre de dos mil veintidós, </w:t>
      </w:r>
      <w:r>
        <w:rPr>
          <w:rFonts w:ascii="Palatino Linotype" w:hAnsi="Palatino Linotype" w:cs="Arial"/>
          <w:sz w:val="24"/>
          <w:szCs w:val="24"/>
        </w:rPr>
        <w:t xml:space="preserve">en términos del artículo 185 Fracción VI de la Ley de Transparencia y Acceso a la Información Pública del Estado de México y Municipios, iniciando el término legal para dictar resolución definitiva del asunto. </w:t>
      </w:r>
    </w:p>
    <w:p w14:paraId="7E18AAF6" w14:textId="1EC71B25" w:rsidR="003E45BD" w:rsidRDefault="003E45BD" w:rsidP="003E45BD">
      <w:pPr>
        <w:spacing w:before="240" w:line="360" w:lineRule="auto"/>
        <w:jc w:val="both"/>
        <w:rPr>
          <w:rFonts w:ascii="Palatino Linotype" w:hAnsi="Palatino Linotype" w:cs="Arial"/>
          <w:sz w:val="24"/>
          <w:szCs w:val="24"/>
        </w:rPr>
      </w:pPr>
      <w:r w:rsidRPr="0036654D">
        <w:rPr>
          <w:rFonts w:ascii="Palatino Linotype" w:hAnsi="Palatino Linotype" w:cs="Arial"/>
          <w:sz w:val="24"/>
          <w:szCs w:val="24"/>
        </w:rPr>
        <w:t xml:space="preserve">Así,  en </w:t>
      </w:r>
      <w:r w:rsidRPr="00E926B4">
        <w:rPr>
          <w:rFonts w:ascii="Palatino Linotype" w:hAnsi="Palatino Linotype" w:cs="Arial"/>
          <w:sz w:val="24"/>
          <w:szCs w:val="24"/>
        </w:rPr>
        <w:t xml:space="preserve">fecha </w:t>
      </w:r>
      <w:r w:rsidR="00456D9F" w:rsidRPr="00E926B4">
        <w:rPr>
          <w:rFonts w:ascii="Palatino Linotype" w:hAnsi="Palatino Linotype" w:cs="Arial"/>
          <w:b/>
          <w:bCs/>
          <w:sz w:val="24"/>
          <w:szCs w:val="24"/>
        </w:rPr>
        <w:t>cinco</w:t>
      </w:r>
      <w:r w:rsidRPr="00E926B4">
        <w:rPr>
          <w:rFonts w:ascii="Palatino Linotype" w:hAnsi="Palatino Linotype" w:cs="Arial"/>
          <w:b/>
          <w:bCs/>
          <w:sz w:val="24"/>
          <w:szCs w:val="24"/>
        </w:rPr>
        <w:t xml:space="preserve"> de octubre de dos</w:t>
      </w:r>
      <w:r>
        <w:rPr>
          <w:rFonts w:ascii="Palatino Linotype" w:hAnsi="Palatino Linotype" w:cs="Arial"/>
          <w:b/>
          <w:bCs/>
          <w:sz w:val="24"/>
          <w:szCs w:val="24"/>
        </w:rPr>
        <w:t xml:space="preserve"> mil veintidós, </w:t>
      </w:r>
      <w:r w:rsidRPr="005C7C26">
        <w:rPr>
          <w:rFonts w:ascii="Palatino Linotype" w:hAnsi="Palatino Linotype" w:cs="Arial"/>
          <w:sz w:val="24"/>
          <w:szCs w:val="24"/>
        </w:rPr>
        <w:t>e</w:t>
      </w:r>
      <w:r>
        <w:rPr>
          <w:rFonts w:ascii="Palatino Linotype" w:hAnsi="Palatino Linotype" w:cs="Arial"/>
          <w:sz w:val="24"/>
          <w:szCs w:val="24"/>
        </w:rPr>
        <w:t xml:space="preserve">n el expediente electrónico del recurso de revisión </w:t>
      </w:r>
      <w:r>
        <w:rPr>
          <w:rFonts w:ascii="Palatino Linotype" w:hAnsi="Palatino Linotype" w:cs="Arial"/>
          <w:sz w:val="24"/>
        </w:rPr>
        <w:t xml:space="preserve">se amplió plazo para dictar resolución, en términos del </w:t>
      </w:r>
      <w:r w:rsidRPr="0053191B">
        <w:rPr>
          <w:rFonts w:ascii="Palatino Linotype" w:hAnsi="Palatino Linotype" w:cs="Arial"/>
          <w:sz w:val="24"/>
          <w:szCs w:val="24"/>
        </w:rPr>
        <w:t>artículo 181 de la Ley de Transparencia y Acceso a la Información del Estado de México y Municipios.</w:t>
      </w:r>
      <w:r>
        <w:rPr>
          <w:rFonts w:ascii="Palatino Linotype" w:hAnsi="Palatino Linotype" w:cs="Arial"/>
          <w:sz w:val="24"/>
          <w:szCs w:val="24"/>
        </w:rPr>
        <w:t xml:space="preserve"> </w:t>
      </w:r>
    </w:p>
    <w:p w14:paraId="1363ABF0" w14:textId="77777777" w:rsidR="003E45BD" w:rsidRPr="001F3B43" w:rsidRDefault="003E45BD" w:rsidP="003E45BD">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Este organismo garante no pasa por alto justificar, </w:t>
      </w:r>
      <w:r w:rsidRPr="001F3B43">
        <w:rPr>
          <w:rFonts w:ascii="Palatino Linotype" w:hAnsi="Palatino Linotype" w:cstheme="majorHAnsi"/>
          <w:bCs/>
          <w:sz w:val="24"/>
          <w:szCs w:val="24"/>
        </w:rPr>
        <w:t xml:space="preserve">que el plazo para emitir resolución en el presente asunto </w:t>
      </w:r>
      <w:r w:rsidRPr="001F3B43">
        <w:rPr>
          <w:rFonts w:ascii="Palatino Linotype" w:hAnsi="Palatino Linotype" w:cstheme="majorHAnsi"/>
          <w:sz w:val="24"/>
          <w:szCs w:val="24"/>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71C7C05F" w14:textId="77777777" w:rsidR="003E45BD" w:rsidRPr="001F3B43" w:rsidRDefault="003E45BD" w:rsidP="003E45BD">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Por ello, es menester precisar que si bien se ha excedido el plazo para resolver el presente medio de impugnación, de conformidad con la ley de la materia, </w:t>
      </w:r>
      <w:r w:rsidRPr="001F3B43">
        <w:rPr>
          <w:rFonts w:ascii="Palatino Linotype" w:hAnsi="Palatino Linotype" w:cstheme="majorHAnsi"/>
          <w:bCs/>
          <w:sz w:val="24"/>
          <w:szCs w:val="24"/>
        </w:rPr>
        <w:t>el plazo para emitir resolución</w:t>
      </w:r>
      <w:r w:rsidRPr="001F3B43">
        <w:rPr>
          <w:rFonts w:ascii="Palatino Linotype" w:hAnsi="Palatino Linotype" w:cstheme="majorHAnsi"/>
          <w:sz w:val="24"/>
          <w:szCs w:val="24"/>
        </w:rPr>
        <w:t xml:space="preserve"> se encuentra justificado en los elementos para medir su razonabilidad de asuntos conforme a los parámetros establecidos por diversos órganos </w:t>
      </w:r>
      <w:r w:rsidRPr="001F3B43">
        <w:rPr>
          <w:rFonts w:ascii="Palatino Linotype" w:hAnsi="Palatino Linotype" w:cstheme="majorHAnsi"/>
          <w:sz w:val="24"/>
          <w:szCs w:val="24"/>
        </w:rPr>
        <w:lastRenderedPageBreak/>
        <w:t>jurisdiccionales federales, aplicables también en procedimientos análogos, como el que nos ocupa.</w:t>
      </w:r>
    </w:p>
    <w:p w14:paraId="172BE078" w14:textId="77777777" w:rsidR="003E45BD" w:rsidRPr="001F3B43" w:rsidRDefault="003E45BD" w:rsidP="003E45BD">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94F1B10" w14:textId="77777777" w:rsidR="003E45BD" w:rsidRPr="001F3B43" w:rsidRDefault="003E45BD" w:rsidP="003E45BD">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3ACDE285" w14:textId="77777777" w:rsidR="003E45BD" w:rsidRPr="001F3B43" w:rsidRDefault="003E45BD" w:rsidP="003E45BD">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Por ello, excepcionalmente, si un asunto es resuelto con posterioridad a los plazos señalados por la norma debe analizarse la razonabilidad del tiempo necesario para su resolución, atentos a los siguientes criterios:  </w:t>
      </w:r>
    </w:p>
    <w:p w14:paraId="0777DA84" w14:textId="77777777" w:rsidR="003E45BD" w:rsidRPr="001F3B43" w:rsidRDefault="003E45BD" w:rsidP="003E45BD">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w:t>
      </w:r>
      <w:r>
        <w:rPr>
          <w:rFonts w:ascii="Palatino Linotype" w:hAnsi="Palatino Linotype" w:cstheme="majorHAnsi"/>
          <w:sz w:val="24"/>
          <w:szCs w:val="24"/>
        </w:rPr>
        <w:t xml:space="preserve"> </w:t>
      </w:r>
      <w:r w:rsidRPr="001F3B43">
        <w:rPr>
          <w:rFonts w:ascii="Palatino Linotype" w:hAnsi="Palatino Linotype" w:cstheme="majorHAnsi"/>
          <w:sz w:val="24"/>
          <w:szCs w:val="24"/>
        </w:rPr>
        <w:t>Complejidad del asunto: La complejidad de la prueba, la pluralidad de sujetos procesales, el tiempo transcurrido, las características y contexto del recurso.</w:t>
      </w:r>
    </w:p>
    <w:p w14:paraId="1C06B766" w14:textId="77777777" w:rsidR="003E45BD" w:rsidRPr="001F3B43" w:rsidRDefault="003E45BD" w:rsidP="003E45BD">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b)     Actividad Procesal del interesado: Acciones u omisiones del interesado.</w:t>
      </w:r>
    </w:p>
    <w:p w14:paraId="48B6756F" w14:textId="77777777" w:rsidR="003E45BD" w:rsidRPr="001F3B43" w:rsidRDefault="003E45BD" w:rsidP="003E45BD">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c) </w:t>
      </w:r>
      <w:r>
        <w:rPr>
          <w:rFonts w:ascii="Palatino Linotype" w:hAnsi="Palatino Linotype" w:cstheme="majorHAnsi"/>
          <w:sz w:val="24"/>
          <w:szCs w:val="24"/>
        </w:rPr>
        <w:t xml:space="preserve"> </w:t>
      </w:r>
      <w:r w:rsidRPr="001F3B43">
        <w:rPr>
          <w:rFonts w:ascii="Palatino Linotype" w:hAnsi="Palatino Linotype" w:cstheme="majorHAnsi"/>
          <w:sz w:val="24"/>
          <w:szCs w:val="24"/>
        </w:rPr>
        <w:t>Conducta de la Autoridad: Las Acciones u omisiones realizadas en el procedimiento. Así como si la autoridad actuó con la debida diligencia.</w:t>
      </w:r>
    </w:p>
    <w:p w14:paraId="1AC3F1B4" w14:textId="77777777" w:rsidR="003E45BD" w:rsidRPr="001F3B43" w:rsidRDefault="003E45BD" w:rsidP="003E45BD">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lastRenderedPageBreak/>
        <w:t>d)</w:t>
      </w:r>
      <w:r>
        <w:rPr>
          <w:rFonts w:ascii="Palatino Linotype" w:hAnsi="Palatino Linotype" w:cstheme="majorHAnsi"/>
          <w:sz w:val="24"/>
          <w:szCs w:val="24"/>
        </w:rPr>
        <w:t xml:space="preserve">   </w:t>
      </w:r>
      <w:r w:rsidRPr="001F3B43">
        <w:rPr>
          <w:rFonts w:ascii="Palatino Linotype" w:hAnsi="Palatino Linotype" w:cstheme="majorHAnsi"/>
          <w:sz w:val="24"/>
          <w:szCs w:val="24"/>
        </w:rPr>
        <w:t>La afectación generada en la situación jurídica de la persona involucrada en el proceso: Violación a sus derechos humanos.</w:t>
      </w:r>
    </w:p>
    <w:p w14:paraId="57DF0B94" w14:textId="77777777" w:rsidR="003E45BD" w:rsidRPr="001F3B43" w:rsidRDefault="003E45BD" w:rsidP="003E45BD">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2CC0E66" w14:textId="77777777" w:rsidR="003E45BD" w:rsidRPr="001F3B43" w:rsidRDefault="003E45BD" w:rsidP="003E45BD">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09512C89" w14:textId="77777777" w:rsidR="003E45BD" w:rsidRPr="001F3B43" w:rsidRDefault="003E45BD" w:rsidP="003E45BD">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w:t>
      </w:r>
      <w:r w:rsidRPr="001F3B43">
        <w:rPr>
          <w:rFonts w:ascii="Palatino Linotype" w:hAnsi="Palatino Linotype" w:cstheme="majorHAnsi"/>
          <w:sz w:val="24"/>
          <w:szCs w:val="24"/>
        </w:rPr>
        <w:lastRenderedPageBreak/>
        <w:t>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A263035" w14:textId="77777777" w:rsidR="003E45BD" w:rsidRPr="001F3B43" w:rsidRDefault="003E45BD" w:rsidP="003E45BD">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Al respecto, también son de considerar los criterios sostenidos por el Cuarto Tribunal Colegiado en Materia Administrativa del Primer Circuito, cuyos rubros y datos de identificación son los siguientes:</w:t>
      </w:r>
    </w:p>
    <w:p w14:paraId="761409B6" w14:textId="77777777" w:rsidR="003E45BD" w:rsidRPr="001F3B43" w:rsidRDefault="003E45BD" w:rsidP="003E45BD">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“PLAZO RAZONABLE PARA RESOLVER. DIMENSIÓN Y EFECTOS DE ESTE CONCEPTO CUANDO SE ADUCE EXCESIVA CARGA DE TRABAJO.” consultable en el Seminario Judicial de la Federación y su gaceta, con el registro digital 2002351.</w:t>
      </w:r>
    </w:p>
    <w:p w14:paraId="79C58E9D" w14:textId="77777777" w:rsidR="003E45BD" w:rsidRPr="001F3B43" w:rsidRDefault="003E45BD" w:rsidP="003E45BD">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“PLAZO RAZONABLE PARA RESOLVER. CONCEPTO Y ELEMENTOS QUE LO INTEGRAN A LA LUZ DEL DERECHO INTERNACIONAL DE LOS DERECHOS HUMANOS.”, visible en el Seminario Judicial de la Federación y su gaceta, con el registro digital 2002350.</w:t>
      </w:r>
    </w:p>
    <w:p w14:paraId="2AFD14D9" w14:textId="77777777" w:rsidR="003E45BD" w:rsidRPr="00B01D73" w:rsidRDefault="003E45BD" w:rsidP="003E45BD">
      <w:pPr>
        <w:spacing w:line="360" w:lineRule="auto"/>
        <w:jc w:val="both"/>
        <w:rPr>
          <w:rFonts w:ascii="Palatino Linotype" w:hAnsi="Palatino Linotype"/>
          <w:sz w:val="24"/>
          <w:szCs w:val="24"/>
        </w:rPr>
      </w:pPr>
      <w:r w:rsidRPr="001F3B43">
        <w:rPr>
          <w:rFonts w:ascii="Palatino Linotype" w:hAnsi="Palatino Linotype" w:cstheme="majorHAnsi"/>
          <w:bCs/>
          <w:sz w:val="24"/>
          <w:szCs w:val="24"/>
        </w:rPr>
        <w:t>Por ello, este organismo garante comprometido con la tutela de los derechos humanos confiados, señala que este exceso del plazo legal para resolver el presente asunto, resulta de carácter excepcional.</w:t>
      </w:r>
    </w:p>
    <w:p w14:paraId="528DBAF8" w14:textId="7005D7EF" w:rsidR="007E4FA1" w:rsidRPr="005D0901" w:rsidRDefault="007E4FA1" w:rsidP="007E4FA1">
      <w:pPr>
        <w:spacing w:before="240" w:line="360" w:lineRule="auto"/>
        <w:jc w:val="center"/>
        <w:rPr>
          <w:rFonts w:ascii="Palatino Linotype" w:hAnsi="Palatino Linotype" w:cs="Arial"/>
          <w:b/>
          <w:sz w:val="24"/>
        </w:rPr>
      </w:pPr>
      <w:r w:rsidRPr="005D0901">
        <w:rPr>
          <w:rFonts w:ascii="Palatino Linotype" w:hAnsi="Palatino Linotype" w:cs="Arial"/>
          <w:b/>
          <w:sz w:val="24"/>
        </w:rPr>
        <w:lastRenderedPageBreak/>
        <w:t xml:space="preserve">C O N S I D E R A N D O </w:t>
      </w:r>
    </w:p>
    <w:p w14:paraId="224AAA9D" w14:textId="77777777" w:rsidR="007E4FA1" w:rsidRDefault="007E4FA1" w:rsidP="007E4FA1">
      <w:pPr>
        <w:spacing w:before="240" w:line="360" w:lineRule="auto"/>
        <w:jc w:val="both"/>
        <w:rPr>
          <w:rFonts w:ascii="Palatino Linotype" w:hAnsi="Palatino Linotype" w:cs="Arial"/>
          <w:sz w:val="24"/>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1E4BE51C" w14:textId="77777777" w:rsidR="00A51F37" w:rsidRDefault="00A51F37" w:rsidP="00A51F37">
      <w:pPr>
        <w:spacing w:before="240" w:line="360" w:lineRule="auto"/>
        <w:jc w:val="both"/>
        <w:rPr>
          <w:rFonts w:ascii="Palatino Linotype" w:eastAsia="Calibri" w:hAnsi="Palatino Linotype"/>
          <w:b/>
          <w:color w:val="000000" w:themeColor="text1"/>
          <w:sz w:val="24"/>
          <w:szCs w:val="24"/>
        </w:rPr>
      </w:pPr>
      <w:r>
        <w:rPr>
          <w:rFonts w:ascii="Palatino Linotype" w:hAnsi="Palatino Linotype" w:cs="Arial"/>
          <w:sz w:val="24"/>
          <w:szCs w:val="24"/>
          <w:lang w:val="es-ES"/>
        </w:rPr>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cs="Arial"/>
          <w:b/>
          <w:sz w:val="24"/>
          <w:szCs w:val="24"/>
          <w:lang w:val="es-ES"/>
        </w:rPr>
        <w:t xml:space="preserve">la parte recurrente </w:t>
      </w:r>
      <w:r>
        <w:rPr>
          <w:rFonts w:ascii="Palatino Linotype" w:hAnsi="Palatino Linotype" w:cs="Arial"/>
          <w:sz w:val="24"/>
          <w:szCs w:val="24"/>
          <w:lang w:val="es-ES"/>
        </w:rPr>
        <w:t xml:space="preserve">conforme a lo dispuesto en los artículos 1, párrafos segundo y tercero, </w:t>
      </w:r>
      <w:r>
        <w:rPr>
          <w:rFonts w:ascii="Palatino Linotype" w:eastAsia="Calibri" w:hAnsi="Palatino Linotype"/>
          <w:color w:val="000000" w:themeColor="text1"/>
          <w:sz w:val="24"/>
          <w:szCs w:val="24"/>
        </w:rPr>
        <w:t xml:space="preserve">6, apartado A, fracción IV de la </w:t>
      </w:r>
      <w:r>
        <w:rPr>
          <w:rFonts w:ascii="Palatino Linotype" w:eastAsia="Calibri" w:hAnsi="Palatino Linotype"/>
          <w:b/>
          <w:color w:val="000000" w:themeColor="text1"/>
          <w:sz w:val="24"/>
          <w:szCs w:val="24"/>
        </w:rPr>
        <w:t>Constitución Política de los Estados Unidos Mexicanos</w:t>
      </w:r>
      <w:r>
        <w:rPr>
          <w:rFonts w:ascii="Palatino Linotype" w:eastAsia="Calibri" w:hAnsi="Palatino Linotype"/>
          <w:color w:val="000000" w:themeColor="text1"/>
          <w:sz w:val="24"/>
          <w:szCs w:val="24"/>
        </w:rPr>
        <w:t xml:space="preserve">; 5, párrafos trigésimo, trigésimo primero y trigésimo segundo, fracciones IV y V, de la </w:t>
      </w:r>
      <w:r>
        <w:rPr>
          <w:rFonts w:ascii="Palatino Linotype" w:eastAsia="Calibri" w:hAnsi="Palatino Linotype"/>
          <w:b/>
          <w:color w:val="000000" w:themeColor="text1"/>
          <w:sz w:val="24"/>
          <w:szCs w:val="24"/>
        </w:rPr>
        <w:t>Constitución Política del Estado Libre y Soberano de México</w:t>
      </w:r>
      <w:r>
        <w:rPr>
          <w:rFonts w:ascii="Palatino Linotype" w:eastAsia="Calibri" w:hAnsi="Palatino Linotype"/>
          <w:color w:val="000000" w:themeColor="text1"/>
          <w:sz w:val="24"/>
          <w:szCs w:val="24"/>
        </w:rPr>
        <w:t xml:space="preserve">; artículos 1, 2 fracción II, 13, 29, 36 fracciones I y II, 176, 178, 179, 181 párrafo tercero y 185 </w:t>
      </w:r>
      <w:r>
        <w:rPr>
          <w:rFonts w:ascii="Palatino Linotype" w:eastAsia="Calibri" w:hAnsi="Palatino Linotype" w:cs="Arial"/>
          <w:color w:val="000000" w:themeColor="text1"/>
          <w:sz w:val="24"/>
          <w:szCs w:val="24"/>
        </w:rPr>
        <w:t xml:space="preserve">de la </w:t>
      </w:r>
      <w:r>
        <w:rPr>
          <w:rFonts w:ascii="Palatino Linotype" w:eastAsia="Calibri" w:hAnsi="Palatino Linotype" w:cs="Arial"/>
          <w:b/>
          <w:color w:val="000000" w:themeColor="text1"/>
          <w:sz w:val="24"/>
          <w:szCs w:val="24"/>
        </w:rPr>
        <w:t>Ley de Transparencia y Acceso a la Información Pública del Estado de México y Municipios</w:t>
      </w:r>
      <w:r>
        <w:rPr>
          <w:rFonts w:ascii="Palatino Linotype" w:eastAsia="Calibri" w:hAnsi="Palatino Linotype" w:cs="Arial"/>
          <w:color w:val="000000" w:themeColor="text1"/>
          <w:sz w:val="24"/>
          <w:szCs w:val="24"/>
        </w:rPr>
        <w:t xml:space="preserve">; y 10, 7, 9 fracciones I y XXIV, y 11 del </w:t>
      </w:r>
      <w:r>
        <w:rPr>
          <w:rFonts w:ascii="Palatino Linotype" w:eastAsia="Calibri" w:hAnsi="Palatino Linotype" w:cs="Arial"/>
          <w:b/>
          <w:color w:val="000000" w:themeColor="text1"/>
          <w:sz w:val="24"/>
          <w:szCs w:val="24"/>
        </w:rPr>
        <w:t>Reglamento Interior del Instituto de Transparencia, Acceso a la Información Pública y Protección de Datos Personales del Estado de México y Municipios.</w:t>
      </w:r>
    </w:p>
    <w:p w14:paraId="1D08593C" w14:textId="77777777" w:rsidR="007E4FA1" w:rsidRDefault="007E4FA1" w:rsidP="003A6975">
      <w:pPr>
        <w:spacing w:before="240" w:line="360" w:lineRule="auto"/>
        <w:jc w:val="both"/>
        <w:rPr>
          <w:rFonts w:ascii="Palatino Linotype" w:hAnsi="Palatino Linotype" w:cs="Arial"/>
          <w:sz w:val="24"/>
          <w:szCs w:val="24"/>
        </w:rPr>
      </w:pPr>
    </w:p>
    <w:p w14:paraId="645411A9" w14:textId="77777777" w:rsidR="006168E4" w:rsidRDefault="006168E4" w:rsidP="00694828">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08366973"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 xml:space="preserve">tiene el fin y </w:t>
      </w:r>
      <w:r w:rsidRPr="00B10F60">
        <w:rPr>
          <w:rFonts w:ascii="Palatino Linotype" w:hAnsi="Palatino Linotype" w:cs="Arial"/>
        </w:rPr>
        <w:lastRenderedPageBreak/>
        <w:t>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w:t>
      </w:r>
      <w:r w:rsidR="007216DB">
        <w:rPr>
          <w:rFonts w:ascii="Palatino Linotype" w:hAnsi="Palatino Linotype" w:cs="Arial"/>
        </w:rPr>
        <w:t>los</w:t>
      </w:r>
      <w:r>
        <w:rPr>
          <w:rFonts w:ascii="Palatino Linotype" w:hAnsi="Palatino Linotype" w:cs="Arial"/>
        </w:rPr>
        <w:t xml:space="preserve"> expediente</w:t>
      </w:r>
      <w:r w:rsidR="007216DB">
        <w:rPr>
          <w:rFonts w:ascii="Palatino Linotype" w:hAnsi="Palatino Linotype" w:cs="Arial"/>
        </w:rPr>
        <w:t>s</w:t>
      </w:r>
      <w:r>
        <w:rPr>
          <w:rFonts w:ascii="Palatino Linotype" w:hAnsi="Palatino Linotype" w:cs="Arial"/>
        </w:rPr>
        <w:t xml:space="preserve"> electrónico</w:t>
      </w:r>
      <w:r w:rsidR="007216DB">
        <w:rPr>
          <w:rFonts w:ascii="Palatino Linotype" w:hAnsi="Palatino Linotype" w:cs="Arial"/>
        </w:rPr>
        <w:t>s</w:t>
      </w:r>
      <w:r>
        <w:rPr>
          <w:rFonts w:ascii="Palatino Linotype" w:hAnsi="Palatino Linotype" w:cs="Arial"/>
        </w:rPr>
        <w:t xml:space="preserve">,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38B9E702" w14:textId="77777777" w:rsidR="00DF0E8B" w:rsidRDefault="00DF0E8B" w:rsidP="00480C32">
      <w:pPr>
        <w:pStyle w:val="Prrafodelista"/>
        <w:autoSpaceDE w:val="0"/>
        <w:autoSpaceDN w:val="0"/>
        <w:adjustRightInd w:val="0"/>
        <w:spacing w:before="240" w:after="160" w:line="360" w:lineRule="auto"/>
        <w:ind w:left="0"/>
        <w:jc w:val="both"/>
        <w:rPr>
          <w:rFonts w:ascii="Palatino Linotype" w:hAnsi="Palatino Linotype" w:cs="Arial"/>
          <w:b/>
          <w:sz w:val="28"/>
        </w:rPr>
      </w:pPr>
    </w:p>
    <w:p w14:paraId="74F14DE3" w14:textId="77777777" w:rsidR="001659F5" w:rsidRDefault="001659F5" w:rsidP="001659F5">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14:paraId="6845EEAE" w14:textId="77777777" w:rsidR="001659F5" w:rsidRPr="00514E66" w:rsidRDefault="001659F5" w:rsidP="001659F5">
      <w:pPr>
        <w:pStyle w:val="Prrafodelista"/>
        <w:autoSpaceDE w:val="0"/>
        <w:autoSpaceDN w:val="0"/>
        <w:adjustRightInd w:val="0"/>
        <w:spacing w:before="240" w:after="160" w:line="360" w:lineRule="auto"/>
        <w:ind w:left="0"/>
        <w:jc w:val="both"/>
        <w:rPr>
          <w:rFonts w:ascii="Palatino Linotype" w:hAnsi="Palatino Linotype" w:cs="Arial"/>
        </w:rPr>
      </w:pPr>
      <w:r w:rsidRPr="00514E66">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DE274BB" w14:textId="77777777" w:rsidR="001659F5" w:rsidRDefault="001659F5" w:rsidP="001659F5">
      <w:pPr>
        <w:pStyle w:val="Prrafodelista"/>
        <w:autoSpaceDE w:val="0"/>
        <w:autoSpaceDN w:val="0"/>
        <w:adjustRightInd w:val="0"/>
        <w:spacing w:line="360" w:lineRule="auto"/>
        <w:ind w:left="0"/>
        <w:jc w:val="both"/>
        <w:rPr>
          <w:rFonts w:ascii="Palatino Linotype" w:hAnsi="Palatino Linotype" w:cs="Arial"/>
        </w:rPr>
      </w:pPr>
      <w:r w:rsidRPr="00514E66">
        <w:rPr>
          <w:rFonts w:ascii="Palatino Linotype" w:hAnsi="Palatino Linotype" w:cs="Arial"/>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w:t>
      </w:r>
      <w:r w:rsidRPr="00514E66">
        <w:rPr>
          <w:rFonts w:ascii="Palatino Linotype" w:hAnsi="Palatino Linotype" w:cs="Arial"/>
        </w:rPr>
        <w:lastRenderedPageBreak/>
        <w:t>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514E66">
        <w:rPr>
          <w:rStyle w:val="Refdenotaalpie"/>
          <w:rFonts w:ascii="Palatino Linotype" w:hAnsi="Palatino Linotype" w:cs="Arial"/>
        </w:rPr>
        <w:footnoteReference w:id="1"/>
      </w:r>
      <w:r w:rsidRPr="00514E66">
        <w:rPr>
          <w:rFonts w:ascii="Palatino Linotype" w:hAnsi="Palatino Linotype" w:cs="Arial"/>
        </w:rPr>
        <w:t>.</w:t>
      </w:r>
      <w:r>
        <w:rPr>
          <w:rFonts w:ascii="Palatino Linotype" w:hAnsi="Palatino Linotype" w:cs="Arial"/>
        </w:rPr>
        <w:t xml:space="preserve"> Así las cosas, del análisis de los</w:t>
      </w:r>
      <w:r w:rsidRPr="00514E66">
        <w:rPr>
          <w:rFonts w:ascii="Palatino Linotype" w:hAnsi="Palatino Linotype" w:cs="Arial"/>
        </w:rPr>
        <w:t xml:space="preserve"> expediente</w:t>
      </w:r>
      <w:r>
        <w:rPr>
          <w:rFonts w:ascii="Palatino Linotype" w:hAnsi="Palatino Linotype" w:cs="Arial"/>
        </w:rPr>
        <w:t>s</w:t>
      </w:r>
      <w:r w:rsidRPr="00514E66">
        <w:rPr>
          <w:rFonts w:ascii="Palatino Linotype" w:hAnsi="Palatino Linotype" w:cs="Arial"/>
        </w:rPr>
        <w:t xml:space="preserve"> electrónico</w:t>
      </w:r>
      <w:r>
        <w:rPr>
          <w:rFonts w:ascii="Palatino Linotype" w:hAnsi="Palatino Linotype" w:cs="Arial"/>
        </w:rPr>
        <w:t>s</w:t>
      </w:r>
      <w:r w:rsidRPr="00514E66">
        <w:rPr>
          <w:rFonts w:ascii="Palatino Linotype" w:hAnsi="Palatino Linotype" w:cs="Arial"/>
        </w:rPr>
        <w:t xml:space="preserve"> no se advierte ninguna causa de improcedencia que se actualice ni mucho menos alguna hecha valer por alguna de las partes, procediendo al estudio del fondo del asunto, en los siguientes términos.</w:t>
      </w:r>
    </w:p>
    <w:p w14:paraId="526DC7C9" w14:textId="77777777" w:rsidR="00D06E12" w:rsidRPr="00480C32" w:rsidRDefault="00D06E12" w:rsidP="00525093">
      <w:pPr>
        <w:spacing w:after="0" w:line="360" w:lineRule="auto"/>
        <w:jc w:val="both"/>
        <w:rPr>
          <w:rFonts w:ascii="Palatino Linotype" w:hAnsi="Palatino Linotype" w:cs="Arial"/>
          <w:b/>
          <w:sz w:val="28"/>
          <w:lang w:val="es-ES"/>
        </w:rPr>
      </w:pPr>
    </w:p>
    <w:p w14:paraId="2FF12C52" w14:textId="77777777" w:rsidR="008F5D20" w:rsidRDefault="008F5D20" w:rsidP="008F5D20">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r>
        <w:rPr>
          <w:rFonts w:ascii="Palatino Linotype" w:hAnsi="Palatino Linotype"/>
          <w:b/>
          <w:sz w:val="28"/>
          <w:szCs w:val="28"/>
        </w:rPr>
        <w:tab/>
      </w:r>
    </w:p>
    <w:p w14:paraId="523E1224" w14:textId="77777777" w:rsidR="008F5D20" w:rsidRDefault="008F5D20" w:rsidP="008F5D2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324ACC71" w14:textId="5F7F1552" w:rsidR="008F5D20" w:rsidRPr="002869E1" w:rsidRDefault="008F5D20" w:rsidP="008F5D20">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 xml:space="preserve">el derecho de acceso a la información </w:t>
      </w:r>
      <w:r w:rsidR="003D6CF6" w:rsidRPr="002869E1">
        <w:rPr>
          <w:rFonts w:ascii="Palatino Linotype" w:eastAsia="Times New Roman" w:hAnsi="Palatino Linotype" w:cs="Times New Roman"/>
          <w:sz w:val="24"/>
          <w:szCs w:val="24"/>
          <w:lang w:eastAsia="es-ES"/>
        </w:rPr>
        <w:t>pública</w:t>
      </w:r>
      <w:r w:rsidRPr="002869E1">
        <w:rPr>
          <w:rFonts w:ascii="Palatino Linotype" w:eastAsia="Times New Roman" w:hAnsi="Palatino Linotype" w:cs="Times New Roman"/>
          <w:sz w:val="24"/>
          <w:szCs w:val="24"/>
          <w:lang w:eastAsia="es-ES"/>
        </w:rPr>
        <w:t xml:space="preserve"> implica que cualquier persona conozca la información contenida en los documentos que se encuentren en los archivos de los sujetos obligados, conforme a los artículos 4, 12, 24 último párrafo y 160 de la Ley local en la materia, que a la letra citan:</w:t>
      </w:r>
    </w:p>
    <w:p w14:paraId="7A91CAF6"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6243D3F"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w:t>
      </w:r>
      <w:r w:rsidRPr="006010FE">
        <w:rPr>
          <w:rFonts w:ascii="Palatino Linotype" w:eastAsia="Times New Roman" w:hAnsi="Palatino Linotype" w:cs="Times New Roman"/>
          <w:i/>
          <w:lang w:eastAsia="es-ES"/>
        </w:rPr>
        <w:lastRenderedPageBreak/>
        <w:t>publicidad de la información. Solo podrá ser clasificada excepcionalmente como reservada temporalmente por razones de interés público, en los términos de las causas legítimas y estrictamente necesarias previstas por esta Ley.</w:t>
      </w:r>
    </w:p>
    <w:p w14:paraId="774E79B8"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18A06DE6"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5DA4D350"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174B9E33"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4B00C0DA" w14:textId="77777777" w:rsidR="008F5D20" w:rsidRPr="006010FE" w:rsidRDefault="008F5D20" w:rsidP="008F5D20">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76F3391E"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6BE33080"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lastRenderedPageBreak/>
        <w:t>Los sujetos obligados solo proporcionarán la información pública que generen, administren o posean en el ejercicio de sus atribuciones.”</w:t>
      </w:r>
    </w:p>
    <w:p w14:paraId="05C8A167"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7CE4AC7A"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BB9D022" w14:textId="77777777" w:rsidR="008F5D20" w:rsidRDefault="008F5D20" w:rsidP="008F5D20">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446A90A6" w14:textId="77777777" w:rsidR="003F38EB" w:rsidRDefault="003F38EB" w:rsidP="008F5D20">
      <w:pPr>
        <w:spacing w:after="0" w:line="360" w:lineRule="auto"/>
        <w:jc w:val="both"/>
        <w:rPr>
          <w:rFonts w:ascii="Palatino Linotype" w:eastAsia="Times New Roman" w:hAnsi="Palatino Linotype" w:cs="Times New Roman"/>
          <w:sz w:val="24"/>
          <w:szCs w:val="24"/>
          <w:lang w:eastAsia="es-ES"/>
        </w:rPr>
      </w:pPr>
    </w:p>
    <w:p w14:paraId="1368A4F5" w14:textId="77777777" w:rsidR="008F5D20" w:rsidRPr="006010FE" w:rsidRDefault="008F5D20" w:rsidP="008F5D20">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308D054D" w14:textId="77777777" w:rsidR="008F5D20" w:rsidRDefault="008F5D20" w:rsidP="008F5D20">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6B90837F" w14:textId="61CDB9A5" w:rsidR="001659F5" w:rsidRDefault="00D870AC" w:rsidP="00D870AC">
      <w:pPr>
        <w:spacing w:before="240" w:line="360" w:lineRule="auto"/>
        <w:jc w:val="both"/>
        <w:rPr>
          <w:rFonts w:ascii="Palatino Linotype" w:hAnsi="Palatino Linotype"/>
          <w:sz w:val="24"/>
          <w:szCs w:val="24"/>
        </w:rPr>
      </w:pPr>
      <w:r w:rsidRPr="00A279CF">
        <w:rPr>
          <w:rFonts w:ascii="Palatino Linotype" w:hAnsi="Palatino Linotype"/>
          <w:sz w:val="24"/>
          <w:szCs w:val="24"/>
        </w:rPr>
        <w:lastRenderedPageBreak/>
        <w:t xml:space="preserve">Una vez sentado lo anterior, en una aproximación inicial, es procedente mencionar que mediante la solicitud de información </w:t>
      </w:r>
      <w:r w:rsidR="00453020">
        <w:rPr>
          <w:rFonts w:ascii="Palatino Linotype" w:hAnsi="Palatino Linotype"/>
          <w:sz w:val="24"/>
          <w:szCs w:val="24"/>
        </w:rPr>
        <w:t>fue</w:t>
      </w:r>
      <w:r w:rsidR="001659F5">
        <w:rPr>
          <w:rFonts w:ascii="Palatino Linotype" w:hAnsi="Palatino Linotype"/>
          <w:sz w:val="24"/>
          <w:szCs w:val="24"/>
        </w:rPr>
        <w:t xml:space="preserve">ron formulados </w:t>
      </w:r>
      <w:r w:rsidR="001659F5">
        <w:rPr>
          <w:rFonts w:ascii="Palatino Linotype" w:hAnsi="Palatino Linotype"/>
          <w:b/>
          <w:bCs/>
          <w:sz w:val="24"/>
          <w:szCs w:val="24"/>
        </w:rPr>
        <w:t xml:space="preserve">2 -dos- </w:t>
      </w:r>
      <w:r w:rsidR="001659F5">
        <w:rPr>
          <w:rFonts w:ascii="Palatino Linotype" w:hAnsi="Palatino Linotype"/>
          <w:sz w:val="24"/>
          <w:szCs w:val="24"/>
        </w:rPr>
        <w:t xml:space="preserve">requerimientos respecto de los cuales se delimitó como elemento temporal </w:t>
      </w:r>
      <w:r w:rsidR="001659F5">
        <w:rPr>
          <w:rFonts w:ascii="Palatino Linotype" w:hAnsi="Palatino Linotype"/>
          <w:i/>
          <w:iCs/>
          <w:sz w:val="24"/>
          <w:szCs w:val="24"/>
        </w:rPr>
        <w:t>“</w:t>
      </w:r>
      <w:r w:rsidR="00B5326D">
        <w:rPr>
          <w:rFonts w:ascii="Palatino Linotype" w:hAnsi="Palatino Linotype"/>
          <w:i/>
          <w:iCs/>
          <w:sz w:val="24"/>
          <w:szCs w:val="24"/>
        </w:rPr>
        <w:t xml:space="preserve">de enero 2022 a la fecha” </w:t>
      </w:r>
      <w:r w:rsidR="00B5326D">
        <w:rPr>
          <w:rFonts w:ascii="Palatino Linotype" w:hAnsi="Palatino Linotype"/>
          <w:sz w:val="24"/>
          <w:szCs w:val="24"/>
        </w:rPr>
        <w:t xml:space="preserve">y </w:t>
      </w:r>
      <w:r w:rsidR="00B5326D">
        <w:rPr>
          <w:rFonts w:ascii="Palatino Linotype" w:hAnsi="Palatino Linotype"/>
          <w:i/>
          <w:iCs/>
          <w:sz w:val="24"/>
          <w:szCs w:val="24"/>
        </w:rPr>
        <w:t xml:space="preserve">“de enero de 2022 a la fecha”. </w:t>
      </w:r>
    </w:p>
    <w:p w14:paraId="2C57E4A8" w14:textId="41A128F6" w:rsidR="00B5326D" w:rsidRPr="00B5326D" w:rsidRDefault="00B5326D" w:rsidP="00D870AC">
      <w:pPr>
        <w:spacing w:before="240" w:line="360" w:lineRule="auto"/>
        <w:jc w:val="both"/>
        <w:rPr>
          <w:rFonts w:ascii="Palatino Linotype" w:hAnsi="Palatino Linotype"/>
          <w:sz w:val="24"/>
          <w:szCs w:val="24"/>
        </w:rPr>
      </w:pPr>
      <w:r>
        <w:rPr>
          <w:rFonts w:ascii="Palatino Linotype" w:hAnsi="Palatino Linotype"/>
          <w:sz w:val="24"/>
          <w:szCs w:val="24"/>
        </w:rPr>
        <w:t xml:space="preserve">Bajo este contexto, al tomar en consideración el elemento temporal debe de ser delimitado del uno de enero al cinco de julio de dos mil veintidós, éste último al corresponder a la fecha en que se ejerció el derecho de acceso a la información pública.  </w:t>
      </w:r>
    </w:p>
    <w:p w14:paraId="6C37821E" w14:textId="77777777" w:rsidR="00B5326D" w:rsidRPr="0051062B" w:rsidRDefault="00B5326D" w:rsidP="00B5326D">
      <w:pPr>
        <w:autoSpaceDE w:val="0"/>
        <w:autoSpaceDN w:val="0"/>
        <w:adjustRightInd w:val="0"/>
        <w:spacing w:before="240" w:line="360" w:lineRule="auto"/>
        <w:jc w:val="both"/>
        <w:rPr>
          <w:rFonts w:ascii="Palatino Linotype" w:hAnsi="Palatino Linotype"/>
          <w:sz w:val="24"/>
          <w:szCs w:val="24"/>
        </w:rPr>
      </w:pPr>
      <w:r>
        <w:rPr>
          <w:rFonts w:ascii="Palatino Linotype" w:hAnsi="Palatino Linotype"/>
          <w:sz w:val="24"/>
          <w:szCs w:val="24"/>
        </w:rPr>
        <w:t xml:space="preserve">Dicha precisión, </w:t>
      </w:r>
      <w:r w:rsidRPr="0051062B">
        <w:rPr>
          <w:rFonts w:ascii="Palatino Linotype" w:hAnsi="Palatino Linotype"/>
          <w:sz w:val="24"/>
          <w:szCs w:val="24"/>
        </w:rPr>
        <w:t xml:space="preserve">con fundamento en los artículos 13 y 181 cuarto párrafo de la Ley en materia, los cuales a la letra rezan: </w:t>
      </w:r>
    </w:p>
    <w:p w14:paraId="2887B0B6" w14:textId="77777777" w:rsidR="00B5326D" w:rsidRPr="0051062B" w:rsidRDefault="00B5326D" w:rsidP="00B5326D">
      <w:pPr>
        <w:pStyle w:val="Citas"/>
      </w:pPr>
      <w:r w:rsidRPr="0051062B">
        <w:rPr>
          <w:b/>
          <w:bCs/>
        </w:rPr>
        <w:t xml:space="preserve">“Artículo 13. </w:t>
      </w:r>
      <w:r w:rsidRPr="0051062B">
        <w:t>El Instituto, en el ámbito de sus atribuciones, deberá suplir cualquier deficiencia para garantizar el ejercicio del derecho de acceso a la información.</w:t>
      </w:r>
    </w:p>
    <w:p w14:paraId="7892FAAC" w14:textId="77777777" w:rsidR="00B5326D" w:rsidRPr="0051062B" w:rsidRDefault="00B5326D" w:rsidP="00B5326D">
      <w:pPr>
        <w:pStyle w:val="Citas"/>
        <w:rPr>
          <w:b/>
        </w:rPr>
      </w:pPr>
      <w:r w:rsidRPr="0051062B">
        <w:rPr>
          <w:b/>
        </w:rPr>
        <w:t xml:space="preserve">Artículo 181. … </w:t>
      </w:r>
    </w:p>
    <w:p w14:paraId="39A7A068" w14:textId="77777777" w:rsidR="00B5326D" w:rsidRDefault="00B5326D" w:rsidP="00B5326D">
      <w:pPr>
        <w:pStyle w:val="Citas"/>
        <w:rPr>
          <w:b/>
        </w:rPr>
      </w:pPr>
      <w:r w:rsidRPr="0051062B">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1062B">
        <w:rPr>
          <w:b/>
        </w:rPr>
        <w:t>[Sic]</w:t>
      </w:r>
    </w:p>
    <w:p w14:paraId="6EC17C70" w14:textId="77777777" w:rsidR="00B5326D" w:rsidRDefault="00B5326D" w:rsidP="00B5326D">
      <w:pPr>
        <w:spacing w:before="240" w:line="360" w:lineRule="auto"/>
        <w:jc w:val="both"/>
        <w:rPr>
          <w:rFonts w:ascii="Palatino Linotype" w:hAnsi="Palatino Linotype"/>
          <w:sz w:val="24"/>
          <w:szCs w:val="24"/>
        </w:rPr>
      </w:pPr>
    </w:p>
    <w:p w14:paraId="0FCFB98B" w14:textId="77777777" w:rsidR="00B5326D" w:rsidRPr="00A33EF8" w:rsidRDefault="00B5326D" w:rsidP="00B5326D">
      <w:pPr>
        <w:spacing w:before="240" w:line="360" w:lineRule="auto"/>
        <w:jc w:val="both"/>
        <w:rPr>
          <w:rFonts w:ascii="Palatino Linotype" w:hAnsi="Palatino Linotype"/>
          <w:sz w:val="24"/>
          <w:szCs w:val="24"/>
        </w:rPr>
      </w:pPr>
      <w:r w:rsidRPr="00A33EF8">
        <w:rPr>
          <w:rFonts w:ascii="Palatino Linotype" w:hAnsi="Palatino Linotype"/>
          <w:sz w:val="24"/>
          <w:szCs w:val="24"/>
        </w:rPr>
        <w:lastRenderedPageBreak/>
        <w:t xml:space="preserve">Bajo estas líneas argumentativas, al </w:t>
      </w:r>
      <w:r>
        <w:rPr>
          <w:rFonts w:ascii="Palatino Linotype" w:hAnsi="Palatino Linotype"/>
          <w:sz w:val="24"/>
          <w:szCs w:val="24"/>
        </w:rPr>
        <w:t>retomar y delimitar los</w:t>
      </w:r>
      <w:r w:rsidRPr="00A33EF8">
        <w:rPr>
          <w:rFonts w:ascii="Palatino Linotype" w:hAnsi="Palatino Linotype"/>
          <w:sz w:val="24"/>
          <w:szCs w:val="24"/>
        </w:rPr>
        <w:t xml:space="preserve"> requerimiento</w:t>
      </w:r>
      <w:r>
        <w:rPr>
          <w:rFonts w:ascii="Palatino Linotype" w:hAnsi="Palatino Linotype"/>
          <w:sz w:val="24"/>
          <w:szCs w:val="24"/>
        </w:rPr>
        <w:t>s</w:t>
      </w:r>
      <w:r w:rsidRPr="00A33EF8">
        <w:rPr>
          <w:rFonts w:ascii="Palatino Linotype" w:hAnsi="Palatino Linotype"/>
          <w:sz w:val="24"/>
          <w:szCs w:val="24"/>
        </w:rPr>
        <w:t xml:space="preserve"> formulado</w:t>
      </w:r>
      <w:r>
        <w:rPr>
          <w:rFonts w:ascii="Palatino Linotype" w:hAnsi="Palatino Linotype"/>
          <w:sz w:val="24"/>
          <w:szCs w:val="24"/>
        </w:rPr>
        <w:t>s</w:t>
      </w:r>
      <w:r w:rsidRPr="00A33EF8">
        <w:rPr>
          <w:rFonts w:ascii="Palatino Linotype" w:hAnsi="Palatino Linotype"/>
          <w:sz w:val="24"/>
          <w:szCs w:val="24"/>
        </w:rPr>
        <w:t xml:space="preserve"> por </w:t>
      </w:r>
      <w:r>
        <w:rPr>
          <w:rFonts w:ascii="Palatino Linotype" w:hAnsi="Palatino Linotype"/>
          <w:sz w:val="24"/>
          <w:szCs w:val="24"/>
        </w:rPr>
        <w:t>el</w:t>
      </w:r>
      <w:r w:rsidRPr="00A33EF8">
        <w:rPr>
          <w:rFonts w:ascii="Palatino Linotype" w:hAnsi="Palatino Linotype"/>
          <w:sz w:val="24"/>
          <w:szCs w:val="24"/>
        </w:rPr>
        <w:t xml:space="preserve"> ahora </w:t>
      </w:r>
      <w:r w:rsidRPr="00A33EF8">
        <w:rPr>
          <w:rFonts w:ascii="Palatino Linotype" w:hAnsi="Palatino Linotype"/>
          <w:b/>
          <w:sz w:val="24"/>
          <w:szCs w:val="24"/>
        </w:rPr>
        <w:t xml:space="preserve">Recurrente, </w:t>
      </w:r>
      <w:r w:rsidRPr="00A33EF8">
        <w:rPr>
          <w:rFonts w:ascii="Palatino Linotype" w:hAnsi="Palatino Linotype"/>
          <w:sz w:val="24"/>
          <w:szCs w:val="24"/>
        </w:rPr>
        <w:t xml:space="preserve">de manera objetiva se precisa que versa en conocer la siguiente información: </w:t>
      </w:r>
    </w:p>
    <w:p w14:paraId="79D0BEA7" w14:textId="5740E1E8" w:rsidR="00B00592" w:rsidRDefault="00B5326D" w:rsidP="00B5326D">
      <w:pPr>
        <w:pStyle w:val="Prrafodelista"/>
        <w:numPr>
          <w:ilvl w:val="0"/>
          <w:numId w:val="37"/>
        </w:numPr>
        <w:spacing w:before="240" w:line="360" w:lineRule="auto"/>
        <w:jc w:val="both"/>
        <w:rPr>
          <w:rFonts w:ascii="Palatino Linotype" w:hAnsi="Palatino Linotype"/>
        </w:rPr>
      </w:pPr>
      <w:r>
        <w:rPr>
          <w:rFonts w:ascii="Palatino Linotype" w:hAnsi="Palatino Linotype"/>
        </w:rPr>
        <w:t xml:space="preserve">Listado </w:t>
      </w:r>
      <w:r w:rsidR="00B00592">
        <w:rPr>
          <w:rFonts w:ascii="Palatino Linotype" w:hAnsi="Palatino Linotype"/>
        </w:rPr>
        <w:t>de juicios</w:t>
      </w:r>
      <w:r>
        <w:rPr>
          <w:rFonts w:ascii="Palatino Linotype" w:hAnsi="Palatino Linotype"/>
        </w:rPr>
        <w:t xml:space="preserve"> y procedimientos judiciales, del periodo comprendido del uno de enero al cinco de julio de dos mil veintidós.</w:t>
      </w:r>
    </w:p>
    <w:p w14:paraId="143DF66E" w14:textId="052B1815" w:rsidR="001659F5" w:rsidRPr="00B5326D" w:rsidRDefault="00B5326D" w:rsidP="00B5326D">
      <w:pPr>
        <w:pStyle w:val="Prrafodelista"/>
        <w:numPr>
          <w:ilvl w:val="0"/>
          <w:numId w:val="37"/>
        </w:numPr>
        <w:spacing w:before="240" w:line="360" w:lineRule="auto"/>
        <w:jc w:val="both"/>
        <w:rPr>
          <w:rFonts w:ascii="Palatino Linotype" w:hAnsi="Palatino Linotype"/>
        </w:rPr>
      </w:pPr>
      <w:r>
        <w:rPr>
          <w:rFonts w:ascii="Palatino Linotype" w:hAnsi="Palatino Linotype"/>
        </w:rPr>
        <w:t xml:space="preserve"> </w:t>
      </w:r>
      <w:r w:rsidR="00B00592">
        <w:rPr>
          <w:rFonts w:ascii="Palatino Linotype" w:hAnsi="Palatino Linotype"/>
        </w:rPr>
        <w:t xml:space="preserve">Listado de procedimientos administrativos de ejecución, del periodo comprendido del uno de enero al cinco de julio de dos mil veintidós. </w:t>
      </w:r>
    </w:p>
    <w:p w14:paraId="47F52D6A" w14:textId="246D036C" w:rsidR="00453020" w:rsidRDefault="00453020" w:rsidP="00B5326D">
      <w:pPr>
        <w:spacing w:before="240" w:line="360" w:lineRule="auto"/>
        <w:jc w:val="both"/>
        <w:rPr>
          <w:rFonts w:ascii="Palatino Linotype" w:hAnsi="Palatino Linotype"/>
          <w:sz w:val="24"/>
          <w:szCs w:val="24"/>
        </w:rPr>
      </w:pPr>
      <w:r>
        <w:rPr>
          <w:rFonts w:ascii="Palatino Linotype" w:hAnsi="Palatino Linotype"/>
          <w:sz w:val="24"/>
          <w:szCs w:val="24"/>
        </w:rPr>
        <w:t xml:space="preserve"> </w:t>
      </w:r>
    </w:p>
    <w:p w14:paraId="13DD604E" w14:textId="77777777" w:rsidR="007724CD" w:rsidRDefault="007724CD" w:rsidP="007724CD">
      <w:pPr>
        <w:spacing w:after="0" w:line="360" w:lineRule="auto"/>
        <w:jc w:val="both"/>
        <w:rPr>
          <w:rFonts w:ascii="Palatino Linotype" w:hAnsi="Palatino Linotype" w:cs="Arial"/>
          <w:noProof/>
          <w:color w:val="000000"/>
          <w:sz w:val="24"/>
          <w:lang w:eastAsia="es-MX"/>
        </w:rPr>
      </w:pPr>
      <w:r>
        <w:rPr>
          <w:rFonts w:ascii="Palatino Linotype" w:hAnsi="Palatino Linotype" w:cs="Arial"/>
          <w:sz w:val="24"/>
          <w:szCs w:val="24"/>
        </w:rPr>
        <w:t xml:space="preserve">Bajo este contexto, a efecto de identificar las unidades administrativas competentes se traen a colación los </w:t>
      </w:r>
      <w:r>
        <w:rPr>
          <w:rFonts w:ascii="Palatino Linotype" w:hAnsi="Palatino Linotype" w:cs="Arial"/>
          <w:noProof/>
          <w:color w:val="000000"/>
          <w:sz w:val="24"/>
          <w:lang w:eastAsia="es-MX"/>
        </w:rPr>
        <w:t>artículos 24, fracción XII, y 92, fracción II de la Ley de Transparencia local, porciones normativas cuyo contenido literal es el siguiente:</w:t>
      </w:r>
    </w:p>
    <w:p w14:paraId="2EC44529" w14:textId="77777777" w:rsidR="007724CD" w:rsidRPr="009535E0" w:rsidRDefault="007724CD" w:rsidP="007724CD">
      <w:pPr>
        <w:tabs>
          <w:tab w:val="left" w:pos="709"/>
        </w:tabs>
        <w:spacing w:before="240" w:line="360" w:lineRule="auto"/>
        <w:ind w:left="851" w:right="851"/>
        <w:jc w:val="both"/>
        <w:rPr>
          <w:rFonts w:ascii="Palatino Linotype" w:hAnsi="Palatino Linotype"/>
          <w:i/>
        </w:rPr>
      </w:pPr>
      <w:r>
        <w:rPr>
          <w:rFonts w:ascii="Palatino Linotype" w:hAnsi="Palatino Linotype"/>
          <w:i/>
        </w:rPr>
        <w:t>“</w:t>
      </w:r>
      <w:r w:rsidRPr="009535E0">
        <w:rPr>
          <w:rFonts w:ascii="Palatino Linotype" w:hAnsi="Palatino Linotype"/>
          <w:i/>
        </w:rPr>
        <w:t>Artículo 24. Para el cumplimiento de los objetivos de esta Ley, los sujetos obligados deberán cumplir con las siguientes obligaciones, según corresponda, de acuerdo a su naturaleza:</w:t>
      </w:r>
    </w:p>
    <w:p w14:paraId="3A9E11E8" w14:textId="77777777" w:rsidR="007724CD" w:rsidRPr="00C231A5" w:rsidRDefault="007724CD" w:rsidP="007724CD">
      <w:pPr>
        <w:tabs>
          <w:tab w:val="left" w:pos="709"/>
        </w:tabs>
        <w:spacing w:before="240" w:line="360" w:lineRule="auto"/>
        <w:ind w:left="851" w:right="851"/>
        <w:jc w:val="both"/>
        <w:rPr>
          <w:rFonts w:ascii="Palatino Linotype" w:hAnsi="Palatino Linotype"/>
          <w:b/>
          <w:i/>
        </w:rPr>
      </w:pPr>
      <w:r w:rsidRPr="00C231A5">
        <w:rPr>
          <w:rFonts w:ascii="Palatino Linotype" w:hAnsi="Palatino Linotype"/>
          <w:b/>
          <w:i/>
        </w:rPr>
        <w:t>(…)</w:t>
      </w:r>
    </w:p>
    <w:p w14:paraId="5D21CD38" w14:textId="77777777" w:rsidR="007724CD" w:rsidRPr="009535E0" w:rsidRDefault="007724CD" w:rsidP="007724CD">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lastRenderedPageBreak/>
        <w:t>XII. Publicar y mantener actualizada la información relativa a las obligaciones generales de transparencia previstas en la presente Ley o determinadas así por el Instituto, y en general aquella que sea de interés público;</w:t>
      </w:r>
    </w:p>
    <w:p w14:paraId="74CAB24F" w14:textId="77777777" w:rsidR="007724CD" w:rsidRPr="00C231A5" w:rsidRDefault="007724CD" w:rsidP="007724CD">
      <w:pPr>
        <w:tabs>
          <w:tab w:val="left" w:pos="709"/>
        </w:tabs>
        <w:spacing w:before="240" w:line="360" w:lineRule="auto"/>
        <w:ind w:left="851" w:right="851"/>
        <w:jc w:val="both"/>
        <w:rPr>
          <w:rFonts w:ascii="Palatino Linotype" w:hAnsi="Palatino Linotype"/>
          <w:b/>
          <w:i/>
        </w:rPr>
      </w:pPr>
      <w:r w:rsidRPr="00C231A5">
        <w:rPr>
          <w:rFonts w:ascii="Palatino Linotype" w:hAnsi="Palatino Linotype"/>
          <w:b/>
          <w:i/>
        </w:rPr>
        <w:t>(…)</w:t>
      </w:r>
    </w:p>
    <w:p w14:paraId="1F278028" w14:textId="77777777" w:rsidR="007724CD" w:rsidRPr="009535E0" w:rsidRDefault="007724CD" w:rsidP="007724CD">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96C30F5" w14:textId="77777777" w:rsidR="007724CD" w:rsidRDefault="007724CD" w:rsidP="007724CD">
      <w:pPr>
        <w:pStyle w:val="INFOEM"/>
      </w:pPr>
      <w:r>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569F0A35" w14:textId="77777777" w:rsidR="007724CD" w:rsidRPr="00A94BBE" w:rsidRDefault="007724CD" w:rsidP="007724CD">
      <w:pPr>
        <w:pStyle w:val="INFOEM"/>
        <w:rPr>
          <w:b/>
        </w:rPr>
      </w:pPr>
      <w:r>
        <w:t xml:space="preserve"> (…)” </w:t>
      </w:r>
      <w:r>
        <w:rPr>
          <w:b/>
        </w:rPr>
        <w:t xml:space="preserve">[Sic] </w:t>
      </w:r>
    </w:p>
    <w:p w14:paraId="0529137D" w14:textId="7F5B4353" w:rsidR="007724CD" w:rsidRDefault="007724CD" w:rsidP="00B5326D">
      <w:pPr>
        <w:spacing w:before="240" w:line="360" w:lineRule="auto"/>
        <w:jc w:val="both"/>
      </w:pPr>
    </w:p>
    <w:p w14:paraId="148FD166" w14:textId="77777777" w:rsidR="007724CD" w:rsidRPr="007051A0" w:rsidRDefault="007724CD" w:rsidP="007724CD">
      <w:pPr>
        <w:spacing w:before="240" w:line="360" w:lineRule="auto"/>
        <w:jc w:val="both"/>
        <w:rPr>
          <w:rFonts w:ascii="Palatino Linotype" w:hAnsi="Palatino Linotype"/>
        </w:rPr>
      </w:pPr>
      <w:r>
        <w:rPr>
          <w:rFonts w:ascii="Palatino Linotype" w:hAnsi="Palatino Linotype"/>
          <w:bCs/>
          <w:sz w:val="24"/>
          <w:szCs w:val="24"/>
        </w:rPr>
        <w:t xml:space="preserve">Robustece lo anterior, las siguientes imágenes ilustrativas, correspondientes al organigrama del </w:t>
      </w:r>
      <w:r>
        <w:rPr>
          <w:rFonts w:ascii="Palatino Linotype" w:hAnsi="Palatino Linotype"/>
          <w:b/>
          <w:bCs/>
          <w:sz w:val="24"/>
          <w:szCs w:val="24"/>
        </w:rPr>
        <w:t>Sujeto Obligado:</w:t>
      </w:r>
    </w:p>
    <w:p w14:paraId="6B32BD29" w14:textId="77777777" w:rsidR="007724CD" w:rsidRPr="004938E6" w:rsidRDefault="007724CD" w:rsidP="00B5326D">
      <w:pPr>
        <w:spacing w:before="240" w:line="360" w:lineRule="auto"/>
        <w:jc w:val="both"/>
      </w:pPr>
    </w:p>
    <w:p w14:paraId="2F03FE1B" w14:textId="692B91D3" w:rsidR="007724CD" w:rsidRDefault="005069F3" w:rsidP="00385FFF">
      <w:pPr>
        <w:pStyle w:val="Citas"/>
        <w:ind w:left="0" w:right="0"/>
        <w:rPr>
          <w:i w:val="0"/>
          <w:iCs/>
          <w:sz w:val="24"/>
          <w:szCs w:val="24"/>
        </w:rPr>
      </w:pPr>
      <w:r>
        <w:rPr>
          <w:i w:val="0"/>
          <w:iCs/>
          <w:noProof/>
          <w:sz w:val="24"/>
          <w:szCs w:val="24"/>
          <w:lang w:eastAsia="es-MX"/>
        </w:rPr>
        <w:lastRenderedPageBreak/>
        <w:drawing>
          <wp:anchor distT="0" distB="0" distL="114300" distR="114300" simplePos="0" relativeHeight="251698176" behindDoc="0" locked="0" layoutInCell="1" allowOverlap="1" wp14:anchorId="61CE96E7" wp14:editId="486BC9B7">
            <wp:simplePos x="0" y="0"/>
            <wp:positionH relativeFrom="column">
              <wp:posOffset>3015615</wp:posOffset>
            </wp:positionH>
            <wp:positionV relativeFrom="paragraph">
              <wp:posOffset>3855720</wp:posOffset>
            </wp:positionV>
            <wp:extent cx="2241550" cy="749300"/>
            <wp:effectExtent l="19050" t="19050" r="25400" b="12700"/>
            <wp:wrapThrough wrapText="bothSides">
              <wp:wrapPolygon edited="0">
                <wp:start x="-184" y="-549"/>
                <wp:lineTo x="-184" y="21417"/>
                <wp:lineTo x="21661" y="21417"/>
                <wp:lineTo x="21661" y="-549"/>
                <wp:lineTo x="-184" y="-549"/>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41550" cy="7493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i w:val="0"/>
          <w:iCs/>
          <w:noProof/>
          <w:sz w:val="24"/>
          <w:szCs w:val="24"/>
          <w:lang w:eastAsia="es-MX"/>
        </w:rPr>
        <w:drawing>
          <wp:anchor distT="0" distB="0" distL="114300" distR="114300" simplePos="0" relativeHeight="251697152" behindDoc="0" locked="0" layoutInCell="1" allowOverlap="1" wp14:anchorId="5B6CE0D5" wp14:editId="44BCC406">
            <wp:simplePos x="0" y="0"/>
            <wp:positionH relativeFrom="column">
              <wp:posOffset>469265</wp:posOffset>
            </wp:positionH>
            <wp:positionV relativeFrom="paragraph">
              <wp:posOffset>3855720</wp:posOffset>
            </wp:positionV>
            <wp:extent cx="2247900" cy="730250"/>
            <wp:effectExtent l="19050" t="19050" r="19050" b="12700"/>
            <wp:wrapThrough wrapText="bothSides">
              <wp:wrapPolygon edited="0">
                <wp:start x="-183" y="-563"/>
                <wp:lineTo x="-183" y="21412"/>
                <wp:lineTo x="21600" y="21412"/>
                <wp:lineTo x="21600" y="-563"/>
                <wp:lineTo x="-183" y="-563"/>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7900" cy="7302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i w:val="0"/>
          <w:iCs/>
          <w:noProof/>
          <w:sz w:val="24"/>
          <w:szCs w:val="24"/>
          <w:lang w:eastAsia="es-MX"/>
        </w:rPr>
        <w:drawing>
          <wp:anchor distT="0" distB="0" distL="114300" distR="114300" simplePos="0" relativeHeight="251688958" behindDoc="0" locked="0" layoutInCell="1" allowOverlap="1" wp14:anchorId="31F1B8CF" wp14:editId="4D3BB773">
            <wp:simplePos x="0" y="0"/>
            <wp:positionH relativeFrom="column">
              <wp:posOffset>120015</wp:posOffset>
            </wp:positionH>
            <wp:positionV relativeFrom="paragraph">
              <wp:posOffset>20320</wp:posOffset>
            </wp:positionV>
            <wp:extent cx="5759450" cy="3460115"/>
            <wp:effectExtent l="19050" t="19050" r="12700" b="26035"/>
            <wp:wrapThrough wrapText="bothSides">
              <wp:wrapPolygon edited="0">
                <wp:start x="-71" y="-119"/>
                <wp:lineTo x="-71" y="21644"/>
                <wp:lineTo x="21576" y="21644"/>
                <wp:lineTo x="21576" y="-119"/>
                <wp:lineTo x="-71" y="-119"/>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9450" cy="34601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E62CE55" w14:textId="1BC94551" w:rsidR="007724CD" w:rsidRDefault="007724CD" w:rsidP="00385FFF">
      <w:pPr>
        <w:pStyle w:val="Citas"/>
        <w:ind w:left="0" w:right="0"/>
        <w:rPr>
          <w:i w:val="0"/>
          <w:iCs/>
          <w:sz w:val="24"/>
          <w:szCs w:val="24"/>
        </w:rPr>
      </w:pPr>
    </w:p>
    <w:p w14:paraId="7186A7D0" w14:textId="18E3DAA2" w:rsidR="007724CD" w:rsidRDefault="005069F3" w:rsidP="00385FFF">
      <w:pPr>
        <w:pStyle w:val="Citas"/>
        <w:ind w:left="0" w:right="0"/>
        <w:rPr>
          <w:i w:val="0"/>
          <w:iCs/>
          <w:sz w:val="24"/>
          <w:szCs w:val="24"/>
        </w:rPr>
      </w:pPr>
      <w:r>
        <w:rPr>
          <w:i w:val="0"/>
          <w:iCs/>
          <w:noProof/>
          <w:sz w:val="24"/>
          <w:szCs w:val="24"/>
          <w:lang w:eastAsia="es-MX"/>
        </w:rPr>
        <w:drawing>
          <wp:anchor distT="0" distB="0" distL="114300" distR="114300" simplePos="0" relativeHeight="251699200" behindDoc="0" locked="0" layoutInCell="1" allowOverlap="1" wp14:anchorId="1B99D19F" wp14:editId="4B48247E">
            <wp:simplePos x="0" y="0"/>
            <wp:positionH relativeFrom="column">
              <wp:posOffset>3015615</wp:posOffset>
            </wp:positionH>
            <wp:positionV relativeFrom="paragraph">
              <wp:posOffset>444500</wp:posOffset>
            </wp:positionV>
            <wp:extent cx="2241550" cy="755650"/>
            <wp:effectExtent l="19050" t="19050" r="25400" b="25400"/>
            <wp:wrapThrough wrapText="bothSides">
              <wp:wrapPolygon edited="0">
                <wp:start x="-184" y="-545"/>
                <wp:lineTo x="-184" y="21782"/>
                <wp:lineTo x="21661" y="21782"/>
                <wp:lineTo x="21661" y="-545"/>
                <wp:lineTo x="-184" y="-545"/>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1550" cy="7556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i w:val="0"/>
          <w:iCs/>
          <w:noProof/>
          <w:sz w:val="24"/>
          <w:szCs w:val="24"/>
          <w:lang w:eastAsia="es-MX"/>
        </w:rPr>
        <w:drawing>
          <wp:anchor distT="0" distB="0" distL="114300" distR="114300" simplePos="0" relativeHeight="251700224" behindDoc="0" locked="0" layoutInCell="1" allowOverlap="1" wp14:anchorId="122FEF72" wp14:editId="6C3052D3">
            <wp:simplePos x="0" y="0"/>
            <wp:positionH relativeFrom="column">
              <wp:posOffset>469265</wp:posOffset>
            </wp:positionH>
            <wp:positionV relativeFrom="paragraph">
              <wp:posOffset>443230</wp:posOffset>
            </wp:positionV>
            <wp:extent cx="2247900" cy="749300"/>
            <wp:effectExtent l="19050" t="19050" r="19050" b="12700"/>
            <wp:wrapThrough wrapText="bothSides">
              <wp:wrapPolygon edited="0">
                <wp:start x="-183" y="-549"/>
                <wp:lineTo x="-183" y="21417"/>
                <wp:lineTo x="21600" y="21417"/>
                <wp:lineTo x="21600" y="-549"/>
                <wp:lineTo x="-183" y="-549"/>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47900" cy="7493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A90F1ED" w14:textId="62C0C8CA" w:rsidR="007724CD" w:rsidRDefault="007724CD" w:rsidP="00385FFF">
      <w:pPr>
        <w:pStyle w:val="Citas"/>
        <w:ind w:left="0" w:right="0"/>
        <w:rPr>
          <w:i w:val="0"/>
          <w:iCs/>
          <w:sz w:val="24"/>
          <w:szCs w:val="24"/>
        </w:rPr>
      </w:pPr>
    </w:p>
    <w:p w14:paraId="0AC2AE9F" w14:textId="77777777" w:rsidR="005069F3" w:rsidRDefault="005069F3" w:rsidP="00385FFF">
      <w:pPr>
        <w:pStyle w:val="Citas"/>
        <w:ind w:left="0" w:right="0"/>
        <w:rPr>
          <w:i w:val="0"/>
          <w:iCs/>
          <w:sz w:val="24"/>
          <w:szCs w:val="24"/>
        </w:rPr>
      </w:pPr>
    </w:p>
    <w:p w14:paraId="28B7260D" w14:textId="77777777" w:rsidR="005069F3" w:rsidRDefault="005069F3" w:rsidP="00385FFF">
      <w:pPr>
        <w:pStyle w:val="Citas"/>
        <w:ind w:left="0" w:right="0"/>
        <w:rPr>
          <w:i w:val="0"/>
          <w:iCs/>
          <w:sz w:val="24"/>
          <w:szCs w:val="24"/>
        </w:rPr>
      </w:pPr>
    </w:p>
    <w:p w14:paraId="4C490FA0" w14:textId="20FA67D7" w:rsidR="005069F3" w:rsidRDefault="005069F3" w:rsidP="005069F3">
      <w:pPr>
        <w:spacing w:line="360" w:lineRule="auto"/>
        <w:jc w:val="both"/>
        <w:rPr>
          <w:rFonts w:ascii="Palatino Linotype" w:hAnsi="Palatino Linotype" w:cs="Arial"/>
          <w:sz w:val="24"/>
          <w:szCs w:val="24"/>
        </w:rPr>
      </w:pPr>
      <w:r w:rsidRPr="008D595F">
        <w:rPr>
          <w:rFonts w:ascii="Palatino Linotype" w:hAnsi="Palatino Linotype" w:cs="Arial"/>
          <w:sz w:val="24"/>
          <w:szCs w:val="24"/>
        </w:rPr>
        <w:lastRenderedPageBreak/>
        <w:t xml:space="preserve">De lo expuesto con anterioridad, se desprende que </w:t>
      </w:r>
      <w:r w:rsidRPr="008D595F">
        <w:rPr>
          <w:rFonts w:ascii="Palatino Linotype" w:hAnsi="Palatino Linotype" w:cs="Arial"/>
          <w:b/>
          <w:sz w:val="24"/>
          <w:szCs w:val="24"/>
        </w:rPr>
        <w:t xml:space="preserve">El Sujeto Obligado </w:t>
      </w:r>
      <w:r w:rsidRPr="008D595F">
        <w:rPr>
          <w:rFonts w:ascii="Palatino Linotype" w:hAnsi="Palatino Linotype" w:cs="Arial"/>
          <w:sz w:val="24"/>
          <w:szCs w:val="24"/>
        </w:rPr>
        <w:t xml:space="preserve">se auxilia de diversas Direcciones, Subdirecciones, Departamentos y Unidades Administrativas para cumplir con sus fines y objetivos, resultando de nuestro más amplio interés la </w:t>
      </w:r>
      <w:r>
        <w:rPr>
          <w:rFonts w:ascii="Palatino Linotype" w:hAnsi="Palatino Linotype" w:cs="Arial"/>
          <w:sz w:val="24"/>
          <w:szCs w:val="24"/>
        </w:rPr>
        <w:t xml:space="preserve">Unidad Jurídica y de Género; Dirección de Comercialización; Gerencia de Cobranza; Departamento de Cobranza y Ejecución Fiscal. </w:t>
      </w:r>
    </w:p>
    <w:p w14:paraId="0C0D4733" w14:textId="37F79500" w:rsidR="005069F3" w:rsidRPr="005069F3" w:rsidRDefault="005069F3" w:rsidP="00385FFF">
      <w:pPr>
        <w:pStyle w:val="Citas"/>
        <w:ind w:left="0" w:right="0"/>
        <w:rPr>
          <w:i w:val="0"/>
          <w:iCs/>
          <w:sz w:val="24"/>
          <w:szCs w:val="24"/>
        </w:rPr>
      </w:pPr>
      <w:r w:rsidRPr="005069F3">
        <w:rPr>
          <w:i w:val="0"/>
          <w:iCs/>
          <w:noProof/>
          <w:sz w:val="24"/>
          <w:szCs w:val="24"/>
        </w:rPr>
        <w:t xml:space="preserve">En virtud de lo anterior, para delimitar las fronteras </w:t>
      </w:r>
      <w:r>
        <w:rPr>
          <w:i w:val="0"/>
          <w:iCs/>
          <w:noProof/>
          <w:sz w:val="24"/>
          <w:szCs w:val="24"/>
        </w:rPr>
        <w:t>competenciales de las unidades administrativas en cita, resulta oportuno traer a colación los artículos</w:t>
      </w:r>
      <w:r w:rsidR="002B44FD">
        <w:rPr>
          <w:i w:val="0"/>
          <w:iCs/>
          <w:noProof/>
          <w:sz w:val="24"/>
          <w:szCs w:val="24"/>
        </w:rPr>
        <w:t xml:space="preserve"> </w:t>
      </w:r>
      <w:r w:rsidR="005C76A9">
        <w:rPr>
          <w:i w:val="0"/>
          <w:iCs/>
          <w:noProof/>
          <w:sz w:val="24"/>
          <w:szCs w:val="24"/>
        </w:rPr>
        <w:t xml:space="preserve">30 y 376 del Código Financiero del Estado de México y Municipios; así como los numerales </w:t>
      </w:r>
      <w:r w:rsidR="002B44FD" w:rsidRPr="002B44FD">
        <w:rPr>
          <w:i w:val="0"/>
          <w:iCs/>
          <w:sz w:val="24"/>
          <w:szCs w:val="24"/>
        </w:rPr>
        <w:t>23, 26 fracciones I, XIII, XV y XVI, 61, 66 fracción IV, 67 fracciones I y IV de</w:t>
      </w:r>
      <w:r w:rsidR="002B44FD">
        <w:rPr>
          <w:i w:val="0"/>
          <w:iCs/>
          <w:sz w:val="24"/>
          <w:szCs w:val="24"/>
        </w:rPr>
        <w:t xml:space="preserve">l Reglamento Interno del Organismo Público Descentralizado para la Prestación de los Servicios de Agua Potable, Drenaje y Tratamiento de Aguas Residuales del Municipio de Huixquilucan, porciones normativas que disponen a la literalidad lo siguiente: </w:t>
      </w:r>
    </w:p>
    <w:p w14:paraId="732AC82B" w14:textId="11CDD402" w:rsidR="007D2290" w:rsidRPr="007D2290" w:rsidRDefault="007D2290" w:rsidP="007D2290">
      <w:pPr>
        <w:pStyle w:val="Citas"/>
        <w:jc w:val="center"/>
        <w:rPr>
          <w:b/>
          <w:bCs/>
        </w:rPr>
      </w:pPr>
      <w:r w:rsidRPr="007D2290">
        <w:rPr>
          <w:b/>
          <w:bCs/>
        </w:rPr>
        <w:t>CÓDIGO FINANCIERO DEL ESTADO DE MÉXICO Y MUNICIPIOS</w:t>
      </w:r>
    </w:p>
    <w:p w14:paraId="614EF749" w14:textId="4B3BB6B4" w:rsidR="007D2290" w:rsidRPr="005C76A9" w:rsidRDefault="007D2290" w:rsidP="002B44FD">
      <w:pPr>
        <w:pStyle w:val="Citas"/>
        <w:rPr>
          <w:b/>
          <w:bCs/>
          <w:u w:val="single"/>
        </w:rPr>
      </w:pPr>
      <w:r w:rsidRPr="005C76A9">
        <w:rPr>
          <w:b/>
          <w:bCs/>
          <w:u w:val="single"/>
        </w:rPr>
        <w:t>“Artículo 30.- La falta de pago de un crédito fiscal en la fecha o dentro del plazo fijado por este Código, dará lugar a que sea exigible mediante el procedimiento administrativo de ejecución.</w:t>
      </w:r>
    </w:p>
    <w:p w14:paraId="1C4787B1" w14:textId="7717CB56" w:rsidR="007D2290" w:rsidRDefault="007D2290" w:rsidP="002B44FD">
      <w:pPr>
        <w:pStyle w:val="Citas"/>
      </w:pPr>
      <w:r>
        <w:t>(…)</w:t>
      </w:r>
    </w:p>
    <w:p w14:paraId="12CD32EB" w14:textId="77777777" w:rsidR="007D2290" w:rsidRPr="005C76A9" w:rsidRDefault="007D2290" w:rsidP="002B44FD">
      <w:pPr>
        <w:pStyle w:val="Citas"/>
        <w:rPr>
          <w:b/>
          <w:bCs/>
          <w:u w:val="single"/>
        </w:rPr>
      </w:pPr>
      <w:r w:rsidRPr="005C76A9">
        <w:rPr>
          <w:b/>
          <w:bCs/>
          <w:u w:val="single"/>
        </w:rPr>
        <w:lastRenderedPageBreak/>
        <w:t xml:space="preserve">Artículo 376.- Las autoridades fiscales estatales y municipales exigirán el pago de los créditos fiscales que no hubieren sido cubiertos o garantizados dentro de los plazos señalados por la ley, mediante el procedimiento administrativo de ejecución, conforme a las normas de esta sección. En ningún caso se aplicará este procedimiento para el cobro de productos. </w:t>
      </w:r>
    </w:p>
    <w:p w14:paraId="2640C70D" w14:textId="77777777" w:rsidR="007D2290" w:rsidRDefault="007D2290" w:rsidP="002B44FD">
      <w:pPr>
        <w:pStyle w:val="Citas"/>
      </w:pPr>
      <w:r>
        <w:t xml:space="preserve">No se iniciará el procedimiento administrativo de ejecución, hasta que venza el plazo de diez días siguientes a la fecha en que surta efectos la notificación de los actos administrativos que determinen un crédito fiscal. </w:t>
      </w:r>
    </w:p>
    <w:p w14:paraId="66E0AB22" w14:textId="0C3259CC" w:rsidR="007D2290" w:rsidRPr="005C76A9" w:rsidRDefault="007D2290" w:rsidP="002B44FD">
      <w:pPr>
        <w:pStyle w:val="Citas"/>
        <w:rPr>
          <w:b/>
          <w:bCs/>
        </w:rPr>
      </w:pPr>
      <w:r>
        <w:t>La actualización a que se refiere el artículo 30 de éste Código y los accesorios a que se refiere el artículo 12 de este mismo ordenamiento que se causen durante el procedimiento administrativo de ejecución, se harán efectivos con el crédito inicial, sin necesidad de ninguna formalidad especial, pero será necesario que la autoridad funde y motive el procedimiento utilizado para determinar la actualización y los accesorios que se causen durante la aplicación de dicho procedimiento.”</w:t>
      </w:r>
      <w:r w:rsidR="005C76A9">
        <w:t xml:space="preserve"> </w:t>
      </w:r>
      <w:r w:rsidR="005C76A9">
        <w:rPr>
          <w:b/>
          <w:bCs/>
        </w:rPr>
        <w:t>(Sic)</w:t>
      </w:r>
    </w:p>
    <w:p w14:paraId="6BFD7FAC" w14:textId="77777777" w:rsidR="007D2290" w:rsidRDefault="007D2290" w:rsidP="002B44FD">
      <w:pPr>
        <w:pStyle w:val="Citas"/>
      </w:pPr>
    </w:p>
    <w:p w14:paraId="7A49273C" w14:textId="3717730B" w:rsidR="007D2290" w:rsidRPr="005C76A9" w:rsidRDefault="005C76A9" w:rsidP="005C76A9">
      <w:pPr>
        <w:pStyle w:val="Citas"/>
        <w:rPr>
          <w:b/>
          <w:bCs/>
        </w:rPr>
      </w:pPr>
      <w:r w:rsidRPr="005C76A9">
        <w:rPr>
          <w:b/>
          <w:bCs/>
        </w:rPr>
        <w:t>REGLAMENTO INTERNO DEL ORGANISMO PÚBLICO DESCENTRALIZADO PARA LA PRESTACIÓN DE LOS SERVICIOS DE AGUA POTABLE, DRENAJE Y TRATAMIENTO DE AGUAS RESIDUALES DEL MUNICIPIO DE HUIXQUILUCAN</w:t>
      </w:r>
    </w:p>
    <w:p w14:paraId="7479902A" w14:textId="2D719AB7" w:rsidR="00EA52D9" w:rsidRDefault="002B44FD" w:rsidP="002B44FD">
      <w:pPr>
        <w:pStyle w:val="Citas"/>
      </w:pPr>
      <w:r>
        <w:lastRenderedPageBreak/>
        <w:t>“</w:t>
      </w:r>
      <w:r w:rsidR="00EA52D9">
        <w:t xml:space="preserve">ARTÍCULO 23.- Para el desempeño de sus atribuciones, la Secretaría Técnica, contará con las siguientes unidades administrativas: </w:t>
      </w:r>
    </w:p>
    <w:p w14:paraId="70979487" w14:textId="77777777" w:rsidR="00EA52D9" w:rsidRDefault="00EA52D9" w:rsidP="002B44FD">
      <w:pPr>
        <w:pStyle w:val="Citas"/>
      </w:pPr>
      <w:r>
        <w:t xml:space="preserve">I. Unidad de Información, Planeación, Programación y Evaluación; </w:t>
      </w:r>
    </w:p>
    <w:p w14:paraId="6D9457C4" w14:textId="77777777" w:rsidR="00EA52D9" w:rsidRDefault="00EA52D9" w:rsidP="002B44FD">
      <w:pPr>
        <w:pStyle w:val="Citas"/>
      </w:pPr>
      <w:r>
        <w:t xml:space="preserve">II. Unidad de Mejora Regulatoria; y </w:t>
      </w:r>
    </w:p>
    <w:p w14:paraId="4C792BE5" w14:textId="6EF7FF0C" w:rsidR="002E7B5B" w:rsidRPr="005C76A9" w:rsidRDefault="00EA52D9" w:rsidP="002B44FD">
      <w:pPr>
        <w:pStyle w:val="Citas"/>
        <w:rPr>
          <w:b/>
          <w:bCs/>
          <w:u w:val="single"/>
        </w:rPr>
      </w:pPr>
      <w:r w:rsidRPr="005C76A9">
        <w:rPr>
          <w:b/>
          <w:bCs/>
          <w:u w:val="single"/>
        </w:rPr>
        <w:t>III. Unidad Jurídica y de Género.</w:t>
      </w:r>
    </w:p>
    <w:p w14:paraId="6234830E" w14:textId="36D6EA8A" w:rsidR="00EA52D9" w:rsidRDefault="00EA52D9" w:rsidP="002B44FD">
      <w:pPr>
        <w:pStyle w:val="Citas"/>
      </w:pPr>
      <w:r>
        <w:t>ARTÍCULO 26.- La Unidad Jurídica y de Género tendrá las siguientes atribuciones:</w:t>
      </w:r>
    </w:p>
    <w:p w14:paraId="6DF08207" w14:textId="0328DD23" w:rsidR="00EA52D9" w:rsidRDefault="00EA52D9" w:rsidP="002B44FD">
      <w:pPr>
        <w:pStyle w:val="Citas"/>
      </w:pPr>
      <w:r>
        <w:t>I. La defensa jurídica institucional, representar jurídicamente al Organismo, previa delegación de atribuciones que le otorgue el Consejo Directivo y/o el Director o Directora General por escrito, de conformidad con lo previsto en la legislación civil y sus correlativas, ante los Tribunales Federales y del Fuero Común y ante cualquier autoridad administrativa en los asuntos en que tenga interés o injerencia jurídica, incluyendo el ejercicio de todos los derechos procesales que las leyes reconocen a las partes y promover el juicio de amparo en contra de los actos y leyes que afecten la esfera jurídica del Organismo;</w:t>
      </w:r>
    </w:p>
    <w:p w14:paraId="51B8471A" w14:textId="18A26037" w:rsidR="00EA52D9" w:rsidRDefault="00EA52D9" w:rsidP="002B44FD">
      <w:pPr>
        <w:pStyle w:val="Citas"/>
      </w:pPr>
      <w:r>
        <w:t>(…)</w:t>
      </w:r>
    </w:p>
    <w:p w14:paraId="2851EA1C" w14:textId="710006F1" w:rsidR="00EA52D9" w:rsidRPr="005C76A9" w:rsidRDefault="00EA52D9" w:rsidP="002B44FD">
      <w:pPr>
        <w:pStyle w:val="Citas"/>
        <w:rPr>
          <w:b/>
          <w:bCs/>
          <w:u w:val="single"/>
        </w:rPr>
      </w:pPr>
      <w:r w:rsidRPr="005C76A9">
        <w:rPr>
          <w:b/>
          <w:bCs/>
          <w:u w:val="single"/>
        </w:rPr>
        <w:t>XIII. Representar a la Dirección General y a las unidades administrativas del Organismo en toda clase de juicios;</w:t>
      </w:r>
    </w:p>
    <w:p w14:paraId="503AC56E" w14:textId="77777777" w:rsidR="00EA52D9" w:rsidRPr="00EA52D9" w:rsidRDefault="00EA52D9" w:rsidP="002B44FD">
      <w:pPr>
        <w:pStyle w:val="Citas"/>
        <w:rPr>
          <w:b/>
          <w:bCs/>
          <w:u w:val="single"/>
        </w:rPr>
      </w:pPr>
      <w:r w:rsidRPr="00EA52D9">
        <w:rPr>
          <w:b/>
          <w:bCs/>
          <w:u w:val="single"/>
        </w:rPr>
        <w:lastRenderedPageBreak/>
        <w:t xml:space="preserve">XV. Comparecer con las atribuciones que legalmente corresponden en los juicios y procedimientos legales en los que el Organismo o sus autoridades sean parte; </w:t>
      </w:r>
    </w:p>
    <w:p w14:paraId="29172E9C" w14:textId="79B4DC75" w:rsidR="00EA52D9" w:rsidRDefault="00EA52D9" w:rsidP="002B44FD">
      <w:pPr>
        <w:pStyle w:val="Citas"/>
        <w:rPr>
          <w:b/>
          <w:bCs/>
          <w:u w:val="single"/>
        </w:rPr>
      </w:pPr>
      <w:r w:rsidRPr="00EA52D9">
        <w:rPr>
          <w:b/>
          <w:bCs/>
          <w:u w:val="single"/>
        </w:rPr>
        <w:t>XVI. Realizar los proyectos de demandas, promociones, acuerdos y resoluciones administrativas que sean atribución de otras áreas y en las que intervenga el Organismo;</w:t>
      </w:r>
    </w:p>
    <w:p w14:paraId="2A7A69FE" w14:textId="599544FB" w:rsidR="00EA52D9" w:rsidRDefault="00EA52D9" w:rsidP="002B44FD">
      <w:pPr>
        <w:pStyle w:val="Citas"/>
        <w:rPr>
          <w:b/>
          <w:bCs/>
          <w:u w:val="single"/>
        </w:rPr>
      </w:pPr>
      <w:r>
        <w:rPr>
          <w:b/>
          <w:bCs/>
          <w:u w:val="single"/>
        </w:rPr>
        <w:t>(…)</w:t>
      </w:r>
    </w:p>
    <w:p w14:paraId="54F07DD7" w14:textId="77777777" w:rsidR="002B44FD" w:rsidRDefault="00EA52D9" w:rsidP="002B44FD">
      <w:pPr>
        <w:pStyle w:val="Citas"/>
      </w:pPr>
      <w:r>
        <w:t xml:space="preserve">ARTÍCULO 61.- Para el ejercicio de sus atribuciones, la Dirección de Comercialización tendrá las siguientes unidades administrativas a su cargo: </w:t>
      </w:r>
    </w:p>
    <w:p w14:paraId="29CA17C1" w14:textId="77777777" w:rsidR="002B44FD" w:rsidRDefault="00EA52D9" w:rsidP="002B44FD">
      <w:pPr>
        <w:pStyle w:val="Citas"/>
      </w:pPr>
      <w:r>
        <w:t xml:space="preserve">1. Gerencia Comercial, que a su vez cuenta con: </w:t>
      </w:r>
    </w:p>
    <w:p w14:paraId="54E788FB" w14:textId="77777777" w:rsidR="002B44FD" w:rsidRDefault="00EA52D9" w:rsidP="002B44FD">
      <w:pPr>
        <w:pStyle w:val="Citas"/>
      </w:pPr>
      <w:r>
        <w:t xml:space="preserve">1.1. Departamento de ingresos y servicio al cliente; </w:t>
      </w:r>
    </w:p>
    <w:p w14:paraId="0BDCD3BE" w14:textId="77777777" w:rsidR="002B44FD" w:rsidRDefault="00EA52D9" w:rsidP="002B44FD">
      <w:pPr>
        <w:pStyle w:val="Citas"/>
      </w:pPr>
      <w:r>
        <w:t xml:space="preserve">1.2. Departamento de contratación y padrón; y </w:t>
      </w:r>
    </w:p>
    <w:p w14:paraId="5B3B81DE" w14:textId="77777777" w:rsidR="002B44FD" w:rsidRDefault="00EA52D9" w:rsidP="002B44FD">
      <w:pPr>
        <w:pStyle w:val="Citas"/>
      </w:pPr>
      <w:r>
        <w:t xml:space="preserve">1.3. Departamento de administración comercial. </w:t>
      </w:r>
    </w:p>
    <w:p w14:paraId="4E8444B9" w14:textId="31B3D693" w:rsidR="00EA52D9" w:rsidRPr="00EA52D9" w:rsidRDefault="00EA52D9" w:rsidP="002B44FD">
      <w:pPr>
        <w:pStyle w:val="Citas"/>
        <w:rPr>
          <w:b/>
          <w:bCs/>
          <w:u w:val="single"/>
        </w:rPr>
      </w:pPr>
      <w:r w:rsidRPr="00EA52D9">
        <w:rPr>
          <w:b/>
          <w:bCs/>
          <w:u w:val="single"/>
        </w:rPr>
        <w:t>2. Gerencia de cobranza, que a su vez cuenta con:</w:t>
      </w:r>
    </w:p>
    <w:p w14:paraId="25A5356A" w14:textId="77777777" w:rsidR="002B44FD" w:rsidRDefault="00EA52D9" w:rsidP="002B44FD">
      <w:pPr>
        <w:pStyle w:val="Citas"/>
      </w:pPr>
      <w:r>
        <w:t xml:space="preserve">2.1. Departamento de cobranza y ejecución fiscal. </w:t>
      </w:r>
    </w:p>
    <w:p w14:paraId="0A7B89DF" w14:textId="14F211E5" w:rsidR="00EA52D9" w:rsidRPr="00EA52D9" w:rsidRDefault="00EA52D9" w:rsidP="002B44FD">
      <w:pPr>
        <w:pStyle w:val="Citas"/>
        <w:rPr>
          <w:b/>
          <w:bCs/>
          <w:u w:val="single"/>
        </w:rPr>
      </w:pPr>
      <w:r>
        <w:t>2.2. Departamento de micromedición e inspecciones</w:t>
      </w:r>
    </w:p>
    <w:p w14:paraId="622CDDF7" w14:textId="1DD84EA8" w:rsidR="00EA52D9" w:rsidRDefault="00EA52D9" w:rsidP="002B44FD">
      <w:pPr>
        <w:pStyle w:val="Citas"/>
      </w:pPr>
      <w:r>
        <w:lastRenderedPageBreak/>
        <w:t>ARTÍCULO 66.- La Gerencia de Cobranza tendrá para el desarrollo de sus actividades las siguientes facultades:</w:t>
      </w:r>
    </w:p>
    <w:p w14:paraId="0E4E49C4" w14:textId="2279F40A" w:rsidR="00EA52D9" w:rsidRDefault="00EA52D9" w:rsidP="002B44FD">
      <w:pPr>
        <w:pStyle w:val="Citas"/>
      </w:pPr>
      <w:r>
        <w:t>(…)</w:t>
      </w:r>
    </w:p>
    <w:p w14:paraId="3B93E8A4" w14:textId="13047DCA" w:rsidR="00EA52D9" w:rsidRPr="002B44FD" w:rsidRDefault="00EA52D9" w:rsidP="002B44FD">
      <w:pPr>
        <w:pStyle w:val="Citas"/>
        <w:rPr>
          <w:b/>
          <w:bCs/>
          <w:u w:val="single"/>
        </w:rPr>
      </w:pPr>
      <w:r w:rsidRPr="002B44FD">
        <w:rPr>
          <w:b/>
          <w:bCs/>
          <w:u w:val="single"/>
        </w:rPr>
        <w:t>IV. Aplicar correctamente los procedimientos de ejecución con apego a las disposiciones legales vigentes;</w:t>
      </w:r>
    </w:p>
    <w:p w14:paraId="2E5A5C77" w14:textId="26CF4E58" w:rsidR="00EA52D9" w:rsidRDefault="00EA52D9" w:rsidP="002B44FD">
      <w:pPr>
        <w:pStyle w:val="Citas"/>
      </w:pPr>
      <w:r>
        <w:t>(…)</w:t>
      </w:r>
    </w:p>
    <w:p w14:paraId="79FD3ADD" w14:textId="54AB9694" w:rsidR="00EA52D9" w:rsidRDefault="00EA52D9" w:rsidP="002B44FD">
      <w:pPr>
        <w:pStyle w:val="Citas"/>
      </w:pPr>
      <w:r>
        <w:t>ARTÍCULO 67.- El Departamento de Cobranza y Ejecución Fiscal, tendrá las siguientes atribuciones:</w:t>
      </w:r>
    </w:p>
    <w:p w14:paraId="55BC88E7" w14:textId="53FB485C" w:rsidR="00EA52D9" w:rsidRDefault="00EA52D9" w:rsidP="002B44FD">
      <w:pPr>
        <w:pStyle w:val="Citas"/>
      </w:pPr>
      <w:r>
        <w:t>I. Ejercer las atribuciones de Autoridad Fiscal que le delegue expresamente por escrito el Director de Comercialización;</w:t>
      </w:r>
    </w:p>
    <w:p w14:paraId="6A13CBC9" w14:textId="61E1225A" w:rsidR="00EA52D9" w:rsidRDefault="00EA52D9" w:rsidP="002B44FD">
      <w:pPr>
        <w:pStyle w:val="Citas"/>
      </w:pPr>
      <w:r>
        <w:t>(…)</w:t>
      </w:r>
    </w:p>
    <w:p w14:paraId="14EFCC8F" w14:textId="25FA9249" w:rsidR="00EA52D9" w:rsidRPr="002B44FD" w:rsidRDefault="00EA52D9" w:rsidP="002B44FD">
      <w:pPr>
        <w:pStyle w:val="Citas"/>
        <w:rPr>
          <w:b/>
          <w:bCs/>
          <w:u w:val="single"/>
        </w:rPr>
      </w:pPr>
      <w:r w:rsidRPr="002B44FD">
        <w:rPr>
          <w:b/>
          <w:bCs/>
          <w:u w:val="single"/>
        </w:rPr>
        <w:t>IV. Aplicar correctamente los procedimientos de ejecución con apego a las disposiciones legales vigentes;</w:t>
      </w:r>
    </w:p>
    <w:p w14:paraId="18CAB830" w14:textId="2C192C9A" w:rsidR="002B44FD" w:rsidRPr="002B44FD" w:rsidRDefault="002B44FD" w:rsidP="002B44FD">
      <w:pPr>
        <w:pStyle w:val="Citas"/>
        <w:rPr>
          <w:b/>
          <w:bCs/>
        </w:rPr>
      </w:pPr>
      <w:r>
        <w:t xml:space="preserve">(…)” </w:t>
      </w:r>
      <w:r>
        <w:rPr>
          <w:b/>
          <w:bCs/>
        </w:rPr>
        <w:t>(Sic)</w:t>
      </w:r>
    </w:p>
    <w:p w14:paraId="7E3EF4DE" w14:textId="5044D884" w:rsidR="00EA52D9" w:rsidRDefault="00EA52D9" w:rsidP="00385FFF">
      <w:pPr>
        <w:spacing w:after="0" w:line="360" w:lineRule="auto"/>
        <w:jc w:val="both"/>
      </w:pPr>
    </w:p>
    <w:p w14:paraId="2D3459AB" w14:textId="59D92CE6" w:rsidR="002B44FD" w:rsidRDefault="002B44FD" w:rsidP="002B44FD">
      <w:pPr>
        <w:spacing w:line="360" w:lineRule="auto"/>
        <w:jc w:val="both"/>
        <w:rPr>
          <w:rFonts w:ascii="Palatino Linotype" w:hAnsi="Palatino Linotype" w:cs="Arial"/>
          <w:sz w:val="24"/>
          <w:szCs w:val="24"/>
        </w:rPr>
      </w:pPr>
      <w:r w:rsidRPr="00B61C39">
        <w:rPr>
          <w:rFonts w:ascii="Palatino Linotype" w:hAnsi="Palatino Linotype" w:cs="Arial"/>
          <w:sz w:val="24"/>
          <w:szCs w:val="24"/>
        </w:rPr>
        <w:t xml:space="preserve">Del análisis sistemático y armónico de la normatividad previamente plasmada se desprende que </w:t>
      </w:r>
      <w:r>
        <w:rPr>
          <w:rFonts w:ascii="Palatino Linotype" w:hAnsi="Palatino Linotype" w:cs="Arial"/>
          <w:sz w:val="24"/>
          <w:szCs w:val="24"/>
        </w:rPr>
        <w:t xml:space="preserve">la Unidad Jurídica y de Género </w:t>
      </w:r>
      <w:r w:rsidR="00865672">
        <w:rPr>
          <w:rFonts w:ascii="Palatino Linotype" w:hAnsi="Palatino Linotype" w:cs="Arial"/>
          <w:sz w:val="24"/>
          <w:szCs w:val="24"/>
        </w:rPr>
        <w:t xml:space="preserve">representa jurídicamente al organismo, </w:t>
      </w:r>
      <w:r w:rsidR="00865672">
        <w:rPr>
          <w:rFonts w:ascii="Palatino Linotype" w:hAnsi="Palatino Linotype" w:cs="Arial"/>
          <w:sz w:val="24"/>
          <w:szCs w:val="24"/>
        </w:rPr>
        <w:lastRenderedPageBreak/>
        <w:t>y participa en diversos procedimientos jurisdiccionales</w:t>
      </w:r>
      <w:r w:rsidR="005C76A9">
        <w:rPr>
          <w:rFonts w:ascii="Palatino Linotype" w:hAnsi="Palatino Linotype" w:cs="Arial"/>
          <w:sz w:val="24"/>
          <w:szCs w:val="24"/>
        </w:rPr>
        <w:t xml:space="preserve">. </w:t>
      </w:r>
      <w:r w:rsidR="00865672">
        <w:rPr>
          <w:rFonts w:ascii="Palatino Linotype" w:hAnsi="Palatino Linotype" w:cs="Arial"/>
          <w:sz w:val="24"/>
          <w:szCs w:val="24"/>
        </w:rPr>
        <w:t xml:space="preserve">En contraste, la </w:t>
      </w:r>
      <w:r w:rsidR="007D2290" w:rsidRPr="007D2290">
        <w:rPr>
          <w:rFonts w:ascii="Palatino Linotype" w:hAnsi="Palatino Linotype" w:cs="Arial"/>
          <w:sz w:val="24"/>
          <w:szCs w:val="24"/>
        </w:rPr>
        <w:t>Dirección de Comercialización, Gerencia de Cobranza, así como el Departamento de Cobranza y Ejecución Fiscal</w:t>
      </w:r>
      <w:r w:rsidR="007D2290">
        <w:rPr>
          <w:rFonts w:ascii="Palatino Linotype" w:hAnsi="Palatino Linotype" w:cs="Arial"/>
          <w:sz w:val="24"/>
          <w:szCs w:val="24"/>
        </w:rPr>
        <w:t xml:space="preserve"> fungen como las unidades administrativas competentes para aplicar los procedimientos de ejecución, </w:t>
      </w:r>
      <w:r w:rsidR="005C76A9">
        <w:rPr>
          <w:rFonts w:ascii="Palatino Linotype" w:hAnsi="Palatino Linotype" w:cs="Arial"/>
          <w:sz w:val="24"/>
          <w:szCs w:val="24"/>
        </w:rPr>
        <w:t>como mecanismos para exigir el pago de créditos fiscales.</w:t>
      </w:r>
      <w:r w:rsidR="007D2290">
        <w:rPr>
          <w:rFonts w:ascii="Palatino Linotype" w:hAnsi="Palatino Linotype" w:cs="Arial"/>
          <w:sz w:val="24"/>
          <w:szCs w:val="24"/>
        </w:rPr>
        <w:t xml:space="preserve"> </w:t>
      </w:r>
    </w:p>
    <w:p w14:paraId="793F34BB" w14:textId="49A935C0" w:rsidR="00407C65" w:rsidRDefault="00407C65" w:rsidP="00B61C39">
      <w:pPr>
        <w:spacing w:line="360" w:lineRule="auto"/>
        <w:jc w:val="both"/>
        <w:rPr>
          <w:rFonts w:ascii="Palatino Linotype" w:hAnsi="Palatino Linotype" w:cs="Arial"/>
          <w:sz w:val="24"/>
          <w:szCs w:val="24"/>
        </w:rPr>
      </w:pPr>
      <w:r>
        <w:rPr>
          <w:rFonts w:ascii="Palatino Linotype" w:hAnsi="Palatino Linotype" w:cs="Arial"/>
          <w:sz w:val="24"/>
          <w:szCs w:val="24"/>
        </w:rPr>
        <w:t xml:space="preserve">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5DA862EF" w14:textId="674C7067" w:rsidR="00407C65" w:rsidRDefault="00407C65" w:rsidP="00407C65">
      <w:pPr>
        <w:pStyle w:val="Citas"/>
      </w:pPr>
      <w:r>
        <w:t xml:space="preserve">“Artículo 18. Los sujetos obligados deberán documentar todo acto que derive del ejercicio de sus facultades, competencias o funciones, considerando desde su origen la eventual publicidad y reutilización de la información que generen. </w:t>
      </w:r>
    </w:p>
    <w:p w14:paraId="2C7C80FC" w14:textId="77777777" w:rsidR="00407C65" w:rsidRDefault="00407C65" w:rsidP="00407C65">
      <w:pPr>
        <w:pStyle w:val="Citas"/>
      </w:pPr>
      <w:r>
        <w:t xml:space="preserve">Artículo 19. Se presume que la información debe existir si se refiere a las facultades, competencias y funciones que los ordenamientos jurídicos aplicables otorgan a los sujetos obligados. </w:t>
      </w:r>
    </w:p>
    <w:p w14:paraId="53E5A07D" w14:textId="77777777" w:rsidR="00407C65" w:rsidRDefault="00407C65" w:rsidP="00407C65">
      <w:pPr>
        <w:pStyle w:val="Citas"/>
      </w:pPr>
      <w:r>
        <w:t xml:space="preserve">En los casos en que ciertas facultades, competencias o funciones no se hayan ejercido, se debe motivar la respuesta en función de las causas que motiven tal circunstancia. </w:t>
      </w:r>
    </w:p>
    <w:p w14:paraId="45925431" w14:textId="004C4077" w:rsidR="006A49CE" w:rsidRPr="00407C65" w:rsidRDefault="00407C65" w:rsidP="00407C65">
      <w:pPr>
        <w:pStyle w:val="Citas"/>
        <w:rPr>
          <w:b/>
          <w:bCs/>
          <w:sz w:val="24"/>
          <w:szCs w:val="24"/>
        </w:rPr>
      </w:pPr>
      <w:r>
        <w:t xml:space="preserve">Si el sujeto obligado, en el ejercicio de sus atribuciones, debía generar, poseer o administrar la información, pero ésta no se encuentra, el Comité de transparencia </w:t>
      </w:r>
      <w:r>
        <w:lastRenderedPageBreak/>
        <w:t xml:space="preserve">deberá emitir un acuerdo de inexistencia, debidamente fundado y motivado, en el que detalle las razones del por qué no obra en sus archivos.” </w:t>
      </w:r>
      <w:r>
        <w:rPr>
          <w:b/>
          <w:bCs/>
        </w:rPr>
        <w:t>(Sic)</w:t>
      </w:r>
    </w:p>
    <w:p w14:paraId="0EB6008D" w14:textId="78213F91" w:rsidR="00C36624" w:rsidRDefault="00C36624" w:rsidP="00B61C39">
      <w:pPr>
        <w:spacing w:line="360" w:lineRule="auto"/>
        <w:jc w:val="both"/>
        <w:rPr>
          <w:rFonts w:ascii="Palatino Linotype" w:hAnsi="Palatino Linotype" w:cs="Arial"/>
          <w:sz w:val="24"/>
          <w:szCs w:val="24"/>
        </w:rPr>
      </w:pPr>
    </w:p>
    <w:p w14:paraId="39BBC60D" w14:textId="798F2D64" w:rsidR="005C76A9" w:rsidRDefault="00167F28" w:rsidP="00167F28">
      <w:pPr>
        <w:autoSpaceDE w:val="0"/>
        <w:autoSpaceDN w:val="0"/>
        <w:adjustRightInd w:val="0"/>
        <w:spacing w:before="240" w:line="360" w:lineRule="auto"/>
        <w:ind w:right="-18"/>
        <w:jc w:val="both"/>
        <w:rPr>
          <w:rFonts w:ascii="Palatino Linotype" w:hAnsi="Palatino Linotype"/>
          <w:bCs/>
          <w:iCs/>
          <w:sz w:val="24"/>
          <w:szCs w:val="24"/>
        </w:rPr>
      </w:pPr>
      <w:r>
        <w:rPr>
          <w:rFonts w:ascii="Palatino Linotype" w:hAnsi="Palatino Linotype"/>
          <w:bCs/>
          <w:iCs/>
          <w:sz w:val="24"/>
          <w:szCs w:val="24"/>
        </w:rPr>
        <w:t xml:space="preserve">Una vez sentado lo anterior, como se mencionó en el antecedente segundo, </w:t>
      </w:r>
      <w:r>
        <w:rPr>
          <w:rFonts w:ascii="Palatino Linotype" w:hAnsi="Palatino Linotype"/>
          <w:b/>
          <w:iCs/>
          <w:sz w:val="24"/>
          <w:szCs w:val="24"/>
        </w:rPr>
        <w:t xml:space="preserve">El Sujeto Obligado </w:t>
      </w:r>
      <w:r>
        <w:rPr>
          <w:rFonts w:ascii="Palatino Linotype" w:hAnsi="Palatino Linotype"/>
          <w:bCs/>
          <w:iCs/>
          <w:sz w:val="24"/>
          <w:szCs w:val="24"/>
        </w:rPr>
        <w:t xml:space="preserve">en fecha </w:t>
      </w:r>
      <w:r w:rsidR="005C76A9">
        <w:rPr>
          <w:rFonts w:ascii="Palatino Linotype" w:hAnsi="Palatino Linotype"/>
          <w:bCs/>
          <w:iCs/>
          <w:sz w:val="24"/>
          <w:szCs w:val="24"/>
        </w:rPr>
        <w:t>nueve de agosto de dos mil veintidós, rindió su respuesta a la solicitud de información formulada por el particular, adjuntando para tal efecto lo siguiente:</w:t>
      </w:r>
    </w:p>
    <w:p w14:paraId="5B80F717" w14:textId="12766298" w:rsidR="00781FE8" w:rsidRPr="00781FE8" w:rsidRDefault="005C76A9" w:rsidP="005C76A9">
      <w:pPr>
        <w:pStyle w:val="Prrafodelista"/>
        <w:numPr>
          <w:ilvl w:val="0"/>
          <w:numId w:val="38"/>
        </w:numPr>
        <w:autoSpaceDE w:val="0"/>
        <w:autoSpaceDN w:val="0"/>
        <w:adjustRightInd w:val="0"/>
        <w:spacing w:before="240" w:line="360" w:lineRule="auto"/>
        <w:ind w:right="-18"/>
        <w:jc w:val="both"/>
        <w:rPr>
          <w:rFonts w:ascii="Palatino Linotype" w:hAnsi="Palatino Linotype"/>
          <w:b/>
          <w:iCs/>
        </w:rPr>
      </w:pPr>
      <w:r>
        <w:rPr>
          <w:rFonts w:ascii="Palatino Linotype" w:hAnsi="Palatino Linotype"/>
          <w:b/>
          <w:iCs/>
        </w:rPr>
        <w:t xml:space="preserve">“Solventacion SAIMEX.pdf”: </w:t>
      </w:r>
      <w:r w:rsidR="00781FE8">
        <w:rPr>
          <w:rFonts w:ascii="Palatino Linotype" w:hAnsi="Palatino Linotype"/>
          <w:bCs/>
          <w:iCs/>
        </w:rPr>
        <w:t xml:space="preserve">Oficio </w:t>
      </w:r>
      <w:r w:rsidR="00781FE8">
        <w:rPr>
          <w:rFonts w:ascii="Palatino Linotype" w:hAnsi="Palatino Linotype"/>
          <w:b/>
          <w:iCs/>
        </w:rPr>
        <w:t xml:space="preserve">OPD/DG/ST/UJy/097/2022 </w:t>
      </w:r>
      <w:r w:rsidR="00781FE8">
        <w:rPr>
          <w:rFonts w:ascii="Palatino Linotype" w:hAnsi="Palatino Linotype"/>
          <w:bCs/>
          <w:iCs/>
        </w:rPr>
        <w:t>signado por la Titular de la Unidad Jurídica y de Género y dirigido a la Titular de la Unidad de Transparencia, de fecha veintisiete de julio de dos mil veintidós, en lo medular y con relación a los procedimientos administrativos de ejecución refiere que no corresponden a esa área, por ello, no se cuenta con archivo</w:t>
      </w:r>
      <w:r w:rsidR="002527DD">
        <w:rPr>
          <w:rFonts w:ascii="Palatino Linotype" w:hAnsi="Palatino Linotype"/>
          <w:bCs/>
          <w:iCs/>
        </w:rPr>
        <w:t>s</w:t>
      </w:r>
      <w:r w:rsidR="00781FE8">
        <w:rPr>
          <w:rFonts w:ascii="Palatino Linotype" w:hAnsi="Palatino Linotype"/>
          <w:bCs/>
          <w:iCs/>
        </w:rPr>
        <w:t xml:space="preserve"> respecto de dicho tópico. </w:t>
      </w:r>
    </w:p>
    <w:p w14:paraId="05328B15" w14:textId="7D941B59" w:rsidR="00781FE8" w:rsidRDefault="00781FE8" w:rsidP="00781FE8">
      <w:pPr>
        <w:pStyle w:val="Prrafodelista"/>
        <w:autoSpaceDE w:val="0"/>
        <w:autoSpaceDN w:val="0"/>
        <w:adjustRightInd w:val="0"/>
        <w:spacing w:before="240" w:line="360" w:lineRule="auto"/>
        <w:ind w:left="720" w:right="-18"/>
        <w:jc w:val="both"/>
        <w:rPr>
          <w:rFonts w:ascii="Palatino Linotype" w:hAnsi="Palatino Linotype"/>
          <w:bCs/>
          <w:iCs/>
        </w:rPr>
      </w:pPr>
      <w:r>
        <w:rPr>
          <w:rFonts w:ascii="Palatino Linotype" w:hAnsi="Palatino Linotype"/>
          <w:bCs/>
          <w:iCs/>
        </w:rPr>
        <w:t>En contraste, con relación a los juicios y procedimientos judiciales adjunta tabla que refleja número de expediente, tipo de juicio y radicación. Sirve de sustento la siguiente imagen ilustrativa:</w:t>
      </w:r>
    </w:p>
    <w:p w14:paraId="191F4FA3" w14:textId="42CA7948" w:rsidR="00781FE8" w:rsidRPr="00781FE8" w:rsidRDefault="00781FE8" w:rsidP="00781FE8">
      <w:pPr>
        <w:pStyle w:val="Prrafodelista"/>
        <w:autoSpaceDE w:val="0"/>
        <w:autoSpaceDN w:val="0"/>
        <w:adjustRightInd w:val="0"/>
        <w:spacing w:before="240" w:line="360" w:lineRule="auto"/>
        <w:ind w:left="720" w:right="-18"/>
        <w:jc w:val="both"/>
        <w:rPr>
          <w:rFonts w:ascii="Palatino Linotype" w:hAnsi="Palatino Linotype"/>
          <w:bCs/>
          <w:iCs/>
        </w:rPr>
      </w:pPr>
      <w:r>
        <w:rPr>
          <w:rFonts w:ascii="Palatino Linotype" w:hAnsi="Palatino Linotype"/>
          <w:bCs/>
          <w:iCs/>
          <w:noProof/>
          <w:lang w:val="es-MX" w:eastAsia="es-MX"/>
        </w:rPr>
        <mc:AlternateContent>
          <mc:Choice Requires="wps">
            <w:drawing>
              <wp:anchor distT="0" distB="0" distL="114300" distR="114300" simplePos="0" relativeHeight="251701248" behindDoc="0" locked="0" layoutInCell="1" allowOverlap="1" wp14:anchorId="6C9BA309" wp14:editId="657B8B53">
                <wp:simplePos x="0" y="0"/>
                <wp:positionH relativeFrom="column">
                  <wp:posOffset>-102235</wp:posOffset>
                </wp:positionH>
                <wp:positionV relativeFrom="paragraph">
                  <wp:posOffset>109220</wp:posOffset>
                </wp:positionV>
                <wp:extent cx="6299200" cy="971550"/>
                <wp:effectExtent l="0" t="0" r="25400" b="19050"/>
                <wp:wrapNone/>
                <wp:docPr id="11" name="Straight Connector 11"/>
                <wp:cNvGraphicFramePr/>
                <a:graphic xmlns:a="http://schemas.openxmlformats.org/drawingml/2006/main">
                  <a:graphicData uri="http://schemas.microsoft.com/office/word/2010/wordprocessingShape">
                    <wps:wsp>
                      <wps:cNvCnPr/>
                      <wps:spPr>
                        <a:xfrm>
                          <a:off x="0" y="0"/>
                          <a:ext cx="6299200" cy="971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13EF4ED0" id="Straight Connector 11"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8.05pt,8.6pt" to="487.95pt,8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giZogEAAJkDAAAOAAAAZHJzL2Uyb0RvYy54bWysU8tu2zAQvBfoPxC8x5IMJI0FyzkkSC9B&#10;GjTtBzDU0iJAcgmSteS/75K25aAtUCTIheJjZ3ZndrW+maxhOwhRo+t4s6g5Ayex127b8Z8/7i+u&#10;OYtJuF4YdNDxPUR+s/n8aT36FpY4oOkhMCJxsR19x4eUfFtVUQ5gRVygB0ePCoMViY5hW/VBjMRu&#10;TbWs66tqxND7gBJipNu7wyPfFH6lQKZvSkVIzHScaktlDWV9yWu1WYt2G4QftDyWId5RhRXaUdKZ&#10;6k4kwX4F/ReV1TJgRJUWEm2FSmkJRQOpaeo/1DwPwkPRQuZEP9sUP45WPu5u3VMgG0Yf2+ifQlYx&#10;qWDzl+pjUzFrP5sFU2KSLq+WqxV1gDNJb6svzeVlcbM6o32I6SugZXnTcaNdFiNasXuIiTJS6CmE&#10;Duf8ZZf2BnKwcd9BMd1Txqagy2jArQlsJ6ipQkpwqcmNJL4SnWFKGzMD6/8Dj/EZCmVs3gKeESUz&#10;ujSDrXYY/pU9TaeS1SH+5MBBd7bgBft96UyxhvpfFB5nNQ/Y63OBn/+ozW8AAAD//wMAUEsDBBQA&#10;BgAIAAAAIQBOJvpL4QAAAAoBAAAPAAAAZHJzL2Rvd25yZXYueG1sTI/BasJAEIbvQt9hmUJvukmg&#10;WtNsRIRSKxTRFuxxzU6TtNnZkF1NfPuOp3qc+T/++SZbDLYRZ+x87UhBPIlAIBXO1FQq+Px4GT+B&#10;8EGT0Y0jVHBBD4v8bpTp1Liednjeh1JwCflUK6hCaFMpfVGh1X7iWiTOvl1ndeCxK6XpdM/ltpFJ&#10;FE2l1TXxhUq3uKqw+N2frIL3br1eLTeXH9p+2f6QbA7bt+FVqYf7YfkMIuAQ/mG46rM65Ox0dCcy&#10;XjQKxvE0ZpSDWQKCgfnscQ7ieF1ECcg8k7cv5H8AAAD//wMAUEsBAi0AFAAGAAgAAAAhALaDOJL+&#10;AAAA4QEAABMAAAAAAAAAAAAAAAAAAAAAAFtDb250ZW50X1R5cGVzXS54bWxQSwECLQAUAAYACAAA&#10;ACEAOP0h/9YAAACUAQAACwAAAAAAAAAAAAAAAAAvAQAAX3JlbHMvLnJlbHNQSwECLQAUAAYACAAA&#10;ACEA4BoImaIBAACZAwAADgAAAAAAAAAAAAAAAAAuAgAAZHJzL2Uyb0RvYy54bWxQSwECLQAUAAYA&#10;CAAAACEATib6S+EAAAAKAQAADwAAAAAAAAAAAAAAAAD8AwAAZHJzL2Rvd25yZXYueG1sUEsFBgAA&#10;AAAEAAQA8wAAAAoFAAAAAA==&#10;" strokecolor="#5b9bd5 [3204]" strokeweight=".5pt">
                <v:stroke joinstyle="miter"/>
              </v:line>
            </w:pict>
          </mc:Fallback>
        </mc:AlternateContent>
      </w:r>
    </w:p>
    <w:p w14:paraId="4D95A3F4" w14:textId="77777777" w:rsidR="005C76A9" w:rsidRDefault="005C76A9" w:rsidP="00167F28">
      <w:pPr>
        <w:autoSpaceDE w:val="0"/>
        <w:autoSpaceDN w:val="0"/>
        <w:adjustRightInd w:val="0"/>
        <w:spacing w:before="240" w:line="360" w:lineRule="auto"/>
        <w:ind w:right="-18"/>
        <w:jc w:val="both"/>
        <w:rPr>
          <w:rFonts w:ascii="Palatino Linotype" w:hAnsi="Palatino Linotype"/>
          <w:bCs/>
          <w:iCs/>
          <w:sz w:val="24"/>
          <w:szCs w:val="24"/>
        </w:rPr>
      </w:pPr>
    </w:p>
    <w:p w14:paraId="55999B36" w14:textId="3B61C55D" w:rsidR="005C76A9" w:rsidRDefault="00781FE8" w:rsidP="00167F28">
      <w:pPr>
        <w:autoSpaceDE w:val="0"/>
        <w:autoSpaceDN w:val="0"/>
        <w:adjustRightInd w:val="0"/>
        <w:spacing w:before="240" w:line="360" w:lineRule="auto"/>
        <w:ind w:right="-18"/>
        <w:jc w:val="both"/>
        <w:rPr>
          <w:rFonts w:ascii="Palatino Linotype" w:hAnsi="Palatino Linotype"/>
          <w:bCs/>
          <w:iCs/>
          <w:sz w:val="24"/>
          <w:szCs w:val="24"/>
        </w:rPr>
      </w:pPr>
      <w:r>
        <w:rPr>
          <w:rFonts w:ascii="Palatino Linotype" w:hAnsi="Palatino Linotype"/>
          <w:bCs/>
          <w:iCs/>
          <w:noProof/>
          <w:sz w:val="24"/>
          <w:szCs w:val="24"/>
          <w:lang w:eastAsia="es-MX"/>
        </w:rPr>
        <w:lastRenderedPageBreak/>
        <w:drawing>
          <wp:anchor distT="0" distB="0" distL="114300" distR="114300" simplePos="0" relativeHeight="251702272" behindDoc="0" locked="0" layoutInCell="1" allowOverlap="1" wp14:anchorId="6E7E665F" wp14:editId="0DF8D9A7">
            <wp:simplePos x="0" y="0"/>
            <wp:positionH relativeFrom="column">
              <wp:posOffset>18415</wp:posOffset>
            </wp:positionH>
            <wp:positionV relativeFrom="paragraph">
              <wp:posOffset>64770</wp:posOffset>
            </wp:positionV>
            <wp:extent cx="5753100" cy="3187700"/>
            <wp:effectExtent l="19050" t="19050" r="19050" b="12700"/>
            <wp:wrapThrough wrapText="bothSides">
              <wp:wrapPolygon edited="0">
                <wp:start x="-72" y="-129"/>
                <wp:lineTo x="-72" y="21557"/>
                <wp:lineTo x="21600" y="21557"/>
                <wp:lineTo x="21600" y="-129"/>
                <wp:lineTo x="-72" y="-129"/>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31877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0ABBDD8" w14:textId="46D320A3" w:rsidR="00781FE8" w:rsidRDefault="00781FE8" w:rsidP="00167F28">
      <w:pPr>
        <w:autoSpaceDE w:val="0"/>
        <w:autoSpaceDN w:val="0"/>
        <w:adjustRightInd w:val="0"/>
        <w:spacing w:before="240" w:line="360" w:lineRule="auto"/>
        <w:ind w:right="-18"/>
        <w:jc w:val="both"/>
        <w:rPr>
          <w:rFonts w:ascii="Palatino Linotype" w:hAnsi="Palatino Linotype"/>
          <w:bCs/>
          <w:iCs/>
          <w:sz w:val="24"/>
          <w:szCs w:val="24"/>
        </w:rPr>
      </w:pPr>
      <w:r>
        <w:rPr>
          <w:rFonts w:ascii="Palatino Linotype" w:hAnsi="Palatino Linotype"/>
          <w:bCs/>
          <w:iCs/>
          <w:sz w:val="24"/>
          <w:szCs w:val="24"/>
        </w:rPr>
        <w:t xml:space="preserve">De ahí que deba arribarse a la premisa de que </w:t>
      </w:r>
      <w:r w:rsidR="00AA3915">
        <w:rPr>
          <w:rFonts w:ascii="Palatino Linotype" w:hAnsi="Palatino Linotype"/>
          <w:bCs/>
          <w:iCs/>
          <w:sz w:val="24"/>
          <w:szCs w:val="24"/>
        </w:rPr>
        <w:t xml:space="preserve">la respuesta del </w:t>
      </w:r>
      <w:r w:rsidR="00AA3915">
        <w:rPr>
          <w:rFonts w:ascii="Palatino Linotype" w:hAnsi="Palatino Linotype"/>
          <w:b/>
          <w:iCs/>
          <w:sz w:val="24"/>
          <w:szCs w:val="24"/>
        </w:rPr>
        <w:t xml:space="preserve">Sujeto Obligado </w:t>
      </w:r>
      <w:r w:rsidR="00AA3915">
        <w:rPr>
          <w:rFonts w:ascii="Palatino Linotype" w:hAnsi="Palatino Linotype"/>
          <w:bCs/>
          <w:iCs/>
          <w:sz w:val="24"/>
          <w:szCs w:val="24"/>
        </w:rPr>
        <w:t xml:space="preserve">atendió parcialmente la solicitud de información </w:t>
      </w:r>
      <w:r w:rsidR="00AA3915">
        <w:rPr>
          <w:rFonts w:ascii="Palatino Linotype" w:hAnsi="Palatino Linotype"/>
          <w:b/>
          <w:iCs/>
          <w:sz w:val="24"/>
          <w:szCs w:val="24"/>
        </w:rPr>
        <w:t xml:space="preserve">00107/OASHUIXQUI/IP/2022 </w:t>
      </w:r>
      <w:r w:rsidR="00AA3915">
        <w:rPr>
          <w:rFonts w:ascii="Palatino Linotype" w:hAnsi="Palatino Linotype"/>
          <w:bCs/>
          <w:iCs/>
          <w:sz w:val="24"/>
          <w:szCs w:val="24"/>
        </w:rPr>
        <w:t xml:space="preserve">al colmar el requerimiento identificado con el numeral </w:t>
      </w:r>
      <w:r w:rsidR="00AA3915">
        <w:rPr>
          <w:rFonts w:ascii="Palatino Linotype" w:hAnsi="Palatino Linotype"/>
          <w:b/>
          <w:iCs/>
          <w:sz w:val="24"/>
          <w:szCs w:val="24"/>
        </w:rPr>
        <w:t xml:space="preserve">1 -uno- </w:t>
      </w:r>
      <w:r w:rsidR="00AA3915">
        <w:rPr>
          <w:rFonts w:ascii="Palatino Linotype" w:hAnsi="Palatino Linotype"/>
          <w:bCs/>
          <w:iCs/>
          <w:sz w:val="24"/>
          <w:szCs w:val="24"/>
        </w:rPr>
        <w:t xml:space="preserve">al haber dado cuenta mediante documento </w:t>
      </w:r>
      <w:r w:rsidR="00AA3915">
        <w:rPr>
          <w:rFonts w:ascii="Palatino Linotype" w:hAnsi="Palatino Linotype"/>
          <w:bCs/>
          <w:i/>
          <w:sz w:val="24"/>
          <w:szCs w:val="24"/>
        </w:rPr>
        <w:t xml:space="preserve">“ad hoc” </w:t>
      </w:r>
      <w:r w:rsidR="00AA3915">
        <w:rPr>
          <w:rFonts w:ascii="Palatino Linotype" w:hAnsi="Palatino Linotype"/>
          <w:bCs/>
          <w:iCs/>
          <w:sz w:val="24"/>
          <w:szCs w:val="24"/>
        </w:rPr>
        <w:t xml:space="preserve">respecto de los juicios y procedimientos judiciales. </w:t>
      </w:r>
    </w:p>
    <w:p w14:paraId="03A25B08" w14:textId="31F8281C" w:rsidR="00D15963" w:rsidRDefault="00AA3915" w:rsidP="00167F28">
      <w:pPr>
        <w:autoSpaceDE w:val="0"/>
        <w:autoSpaceDN w:val="0"/>
        <w:adjustRightInd w:val="0"/>
        <w:spacing w:before="240" w:line="360" w:lineRule="auto"/>
        <w:ind w:right="-18"/>
        <w:jc w:val="both"/>
        <w:rPr>
          <w:rFonts w:ascii="Palatino Linotype" w:hAnsi="Palatino Linotype"/>
          <w:bCs/>
          <w:iCs/>
          <w:sz w:val="24"/>
          <w:szCs w:val="24"/>
        </w:rPr>
      </w:pPr>
      <w:r>
        <w:rPr>
          <w:rFonts w:ascii="Palatino Linotype" w:hAnsi="Palatino Linotype"/>
          <w:bCs/>
          <w:iCs/>
          <w:sz w:val="24"/>
          <w:szCs w:val="24"/>
        </w:rPr>
        <w:t xml:space="preserve">En contraste, con relación al requerimiento identificado con el numeral </w:t>
      </w:r>
      <w:r>
        <w:rPr>
          <w:rFonts w:ascii="Palatino Linotype" w:hAnsi="Palatino Linotype"/>
          <w:b/>
          <w:iCs/>
          <w:sz w:val="24"/>
          <w:szCs w:val="24"/>
        </w:rPr>
        <w:t xml:space="preserve">2 -dos- </w:t>
      </w:r>
      <w:r>
        <w:rPr>
          <w:rFonts w:ascii="Palatino Linotype" w:hAnsi="Palatino Linotype"/>
          <w:bCs/>
          <w:iCs/>
          <w:sz w:val="24"/>
          <w:szCs w:val="24"/>
        </w:rPr>
        <w:t>(</w:t>
      </w:r>
      <w:r w:rsidR="00D15963">
        <w:rPr>
          <w:rFonts w:ascii="Palatino Linotype" w:hAnsi="Palatino Linotype"/>
          <w:bCs/>
          <w:iCs/>
          <w:sz w:val="24"/>
          <w:szCs w:val="24"/>
        </w:rPr>
        <w:t xml:space="preserve">listado de procedimientos administrativos de ejecución) se advierte </w:t>
      </w:r>
      <w:r w:rsidR="00916028">
        <w:rPr>
          <w:rFonts w:ascii="Palatino Linotype" w:hAnsi="Palatino Linotype"/>
          <w:bCs/>
          <w:iCs/>
          <w:sz w:val="24"/>
          <w:szCs w:val="24"/>
        </w:rPr>
        <w:t>que,</w:t>
      </w:r>
      <w:r w:rsidR="00D15963">
        <w:rPr>
          <w:rFonts w:ascii="Palatino Linotype" w:hAnsi="Palatino Linotype"/>
          <w:bCs/>
          <w:iCs/>
          <w:sz w:val="24"/>
          <w:szCs w:val="24"/>
        </w:rPr>
        <w:t xml:space="preserve"> mediante respuesta primigenia, el Titular de la Unidad Jurídica y de Género se limitó a señalar que no </w:t>
      </w:r>
      <w:r w:rsidR="00D15963">
        <w:rPr>
          <w:rFonts w:ascii="Palatino Linotype" w:hAnsi="Palatino Linotype"/>
          <w:bCs/>
          <w:iCs/>
          <w:sz w:val="24"/>
          <w:szCs w:val="24"/>
        </w:rPr>
        <w:lastRenderedPageBreak/>
        <w:t xml:space="preserve">resulta ámbito de su competencia, luego entonces, se arriba a la premisa de que </w:t>
      </w:r>
      <w:r w:rsidR="00D15963">
        <w:rPr>
          <w:rFonts w:ascii="Palatino Linotype" w:hAnsi="Palatino Linotype"/>
          <w:b/>
          <w:iCs/>
          <w:sz w:val="24"/>
          <w:szCs w:val="24"/>
        </w:rPr>
        <w:t xml:space="preserve">El Sujeto Obligado </w:t>
      </w:r>
      <w:r w:rsidR="00D15963">
        <w:rPr>
          <w:rFonts w:ascii="Palatino Linotype" w:hAnsi="Palatino Linotype"/>
          <w:bCs/>
          <w:iCs/>
          <w:sz w:val="24"/>
          <w:szCs w:val="24"/>
        </w:rPr>
        <w:t xml:space="preserve">inobservó el numeral 162 de la Ley de Transparencia local, </w:t>
      </w:r>
      <w:r w:rsidR="00F250C5">
        <w:rPr>
          <w:rFonts w:ascii="Palatino Linotype" w:hAnsi="Palatino Linotype"/>
          <w:bCs/>
          <w:iCs/>
          <w:sz w:val="24"/>
          <w:szCs w:val="24"/>
        </w:rPr>
        <w:t>porción normativa que señala a la literalidad lo siguiente:</w:t>
      </w:r>
    </w:p>
    <w:p w14:paraId="57446DB4" w14:textId="56DACD5B" w:rsidR="00781FE8" w:rsidRPr="00D15963" w:rsidRDefault="00D15963" w:rsidP="00D15963">
      <w:pPr>
        <w:pStyle w:val="Citas"/>
        <w:rPr>
          <w:bCs/>
          <w:iCs/>
          <w:sz w:val="24"/>
          <w:szCs w:val="24"/>
        </w:rPr>
      </w:pPr>
      <w:r>
        <w:t xml:space="preserve">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r>
        <w:rPr>
          <w:bCs/>
          <w:iCs/>
          <w:sz w:val="24"/>
          <w:szCs w:val="24"/>
        </w:rPr>
        <w:t xml:space="preserve"> </w:t>
      </w:r>
    </w:p>
    <w:p w14:paraId="3FF7AF40" w14:textId="152BD8F2" w:rsidR="00781FE8" w:rsidRDefault="00781FE8" w:rsidP="00167F28">
      <w:pPr>
        <w:autoSpaceDE w:val="0"/>
        <w:autoSpaceDN w:val="0"/>
        <w:adjustRightInd w:val="0"/>
        <w:spacing w:before="240" w:line="360" w:lineRule="auto"/>
        <w:ind w:right="-18"/>
        <w:jc w:val="both"/>
        <w:rPr>
          <w:rFonts w:ascii="Palatino Linotype" w:hAnsi="Palatino Linotype"/>
          <w:bCs/>
          <w:iCs/>
          <w:sz w:val="24"/>
          <w:szCs w:val="24"/>
        </w:rPr>
      </w:pPr>
    </w:p>
    <w:p w14:paraId="518BE6BB" w14:textId="6DD56D0E" w:rsidR="005820D9" w:rsidRDefault="00F250C5" w:rsidP="00167F28">
      <w:pPr>
        <w:autoSpaceDE w:val="0"/>
        <w:autoSpaceDN w:val="0"/>
        <w:adjustRightInd w:val="0"/>
        <w:spacing w:before="240" w:line="360" w:lineRule="auto"/>
        <w:ind w:right="-18"/>
        <w:jc w:val="both"/>
        <w:rPr>
          <w:rFonts w:ascii="Palatino Linotype" w:hAnsi="Palatino Linotype"/>
          <w:bCs/>
          <w:iCs/>
          <w:sz w:val="24"/>
          <w:szCs w:val="24"/>
        </w:rPr>
      </w:pPr>
      <w:r>
        <w:rPr>
          <w:rFonts w:ascii="Palatino Linotype" w:hAnsi="Palatino Linotype"/>
          <w:bCs/>
          <w:iCs/>
          <w:sz w:val="24"/>
          <w:szCs w:val="24"/>
        </w:rPr>
        <w:t xml:space="preserve">Inconforme con la respuesta rendida por </w:t>
      </w:r>
      <w:r w:rsidR="00796524">
        <w:rPr>
          <w:rFonts w:ascii="Palatino Linotype" w:hAnsi="Palatino Linotype"/>
          <w:b/>
          <w:iCs/>
          <w:sz w:val="24"/>
          <w:szCs w:val="24"/>
        </w:rPr>
        <w:t xml:space="preserve">El Sujeto Obligado, La Recurrente </w:t>
      </w:r>
      <w:r w:rsidR="00796524">
        <w:rPr>
          <w:rFonts w:ascii="Palatino Linotype" w:hAnsi="Palatino Linotype"/>
          <w:bCs/>
          <w:iCs/>
          <w:sz w:val="24"/>
          <w:szCs w:val="24"/>
        </w:rPr>
        <w:t xml:space="preserve">interpuso recurso de revisión en fecha dieciséis de agosto, admitiéndose el diecinueve de agosto de dos mil veintidós, señalando como acto impugnado </w:t>
      </w:r>
      <w:r w:rsidR="005820D9">
        <w:rPr>
          <w:rFonts w:ascii="Palatino Linotype" w:hAnsi="Palatino Linotype"/>
          <w:bCs/>
          <w:iCs/>
          <w:sz w:val="24"/>
          <w:szCs w:val="24"/>
        </w:rPr>
        <w:t xml:space="preserve">que la información remitida se encuentra incompleta al no reflejar nombres. Y como razones o motivos de inconformidad que la información se encuentra incompleta. </w:t>
      </w:r>
    </w:p>
    <w:p w14:paraId="2FC5973E" w14:textId="45361244" w:rsidR="005820D9" w:rsidRDefault="005820D9" w:rsidP="00167F28">
      <w:pPr>
        <w:autoSpaceDE w:val="0"/>
        <w:autoSpaceDN w:val="0"/>
        <w:adjustRightInd w:val="0"/>
        <w:spacing w:before="240" w:line="360" w:lineRule="auto"/>
        <w:ind w:right="-18"/>
        <w:jc w:val="both"/>
        <w:rPr>
          <w:rFonts w:ascii="Palatino Linotype" w:hAnsi="Palatino Linotype"/>
          <w:bCs/>
          <w:iCs/>
          <w:sz w:val="24"/>
          <w:szCs w:val="24"/>
        </w:rPr>
      </w:pPr>
      <w:r>
        <w:rPr>
          <w:rFonts w:ascii="Palatino Linotype" w:hAnsi="Palatino Linotype"/>
          <w:bCs/>
          <w:iCs/>
          <w:sz w:val="24"/>
          <w:szCs w:val="24"/>
        </w:rPr>
        <w:t xml:space="preserve">Para su mejor entendimiento la información solicitada, así como el acto impugnado y motivos de inconformidad se exponen a continuación: </w:t>
      </w:r>
    </w:p>
    <w:p w14:paraId="4667A45A" w14:textId="1D1A040A" w:rsidR="00375262" w:rsidRDefault="00375262" w:rsidP="00167F28">
      <w:pPr>
        <w:autoSpaceDE w:val="0"/>
        <w:autoSpaceDN w:val="0"/>
        <w:adjustRightInd w:val="0"/>
        <w:spacing w:before="240" w:line="360" w:lineRule="auto"/>
        <w:ind w:right="-18"/>
        <w:jc w:val="both"/>
        <w:rPr>
          <w:rFonts w:ascii="Palatino Linotype" w:hAnsi="Palatino Linotype"/>
          <w:bCs/>
          <w:iCs/>
          <w:sz w:val="24"/>
          <w:szCs w:val="24"/>
        </w:rPr>
      </w:pPr>
      <w:r>
        <w:rPr>
          <w:rFonts w:ascii="Palatino Linotype" w:hAnsi="Palatino Linotype"/>
          <w:bCs/>
          <w:iCs/>
          <w:noProof/>
          <w:sz w:val="24"/>
          <w:szCs w:val="24"/>
          <w:lang w:eastAsia="es-MX"/>
        </w:rPr>
        <mc:AlternateContent>
          <mc:Choice Requires="wps">
            <w:drawing>
              <wp:anchor distT="0" distB="0" distL="114300" distR="114300" simplePos="0" relativeHeight="251703296" behindDoc="0" locked="0" layoutInCell="1" allowOverlap="1" wp14:anchorId="0A19B2F3" wp14:editId="5A46ED02">
                <wp:simplePos x="0" y="0"/>
                <wp:positionH relativeFrom="column">
                  <wp:posOffset>-133985</wp:posOffset>
                </wp:positionH>
                <wp:positionV relativeFrom="paragraph">
                  <wp:posOffset>12065</wp:posOffset>
                </wp:positionV>
                <wp:extent cx="6286500" cy="1295400"/>
                <wp:effectExtent l="0" t="0" r="19050" b="19050"/>
                <wp:wrapNone/>
                <wp:docPr id="17" name="Straight Connector 17"/>
                <wp:cNvGraphicFramePr/>
                <a:graphic xmlns:a="http://schemas.openxmlformats.org/drawingml/2006/main">
                  <a:graphicData uri="http://schemas.microsoft.com/office/word/2010/wordprocessingShape">
                    <wps:wsp>
                      <wps:cNvCnPr/>
                      <wps:spPr>
                        <a:xfrm>
                          <a:off x="0" y="0"/>
                          <a:ext cx="6286500" cy="1295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555BDD58" id="Straight Connector 17"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10.55pt,.95pt" to="484.45pt,1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KbuoAEAAJoDAAAOAAAAZHJzL2Uyb0RvYy54bWysU8tu2zAQvBfoPxC815KMxEgFyz4kSC9F&#10;G7TNBzDU0iLAF5asJf99l7QtB02BIkEuFJfcmd0ZrtbbyRq2B4zau443i5ozcNL32u06/vjr/tMN&#10;ZzEJ1wvjHXT8AJFvNx8/rMfQwtIP3vSAjEhcbMfQ8SGl0FZVlANYERc+gKNL5dGKRCHuqh7FSOzW&#10;VMu6XlWjxz6glxAjnd4dL/mm8CsFMn1XKkJipuPUWyorlvUpr9VmLdodijBoeWpDvKELK7SjojPV&#10;nUiC/Ub9gspqiT56lRbS28orpSUUDaSmqf9S83MQAYoWMieG2ab4frTy2/7WPSDZMIbYxvCAWcWk&#10;0OYv9cemYtZhNgumxCQdrpY3q+uaPJV01yw/X19RQDzVBR4wpi/gLcubjhvtshrRiv3XmI6p5xTC&#10;XRoou3QwkJON+wGK6Z5KNgVdZgNuDbK9oFcVUoJLzal0yc4wpY2ZgfX/gaf8DIUyN68Bz4hS2bs0&#10;g612Hv9VPU3nltUx/+zAUXe24Mn3h/I0xRoagGLuaVjzhD2PC/zyS23+AAAA//8DAFBLAwQUAAYA&#10;CAAAACEAPVAJreAAAAAJAQAADwAAAGRycy9kb3ducmV2LnhtbEyPwWrCQBCG74W+wzKF3nSTQMXE&#10;bESEUisU0Rbscc2OSdrsbMiuJr59p6f2NsP38883+XK0rbhi7xtHCuJpBAKpdKahSsHH+/NkDsIH&#10;TUa3jlDBDT0si/u7XGfGDbTH6yFUgkvIZ1pBHUKXSenLGq32U9chMTu73urAa19J0+uBy20rkyia&#10;Sasb4gu17nBdY/l9uFgFb/1ms15tb1+0+7TDMdked6/ji1KPD+NqASLgGP7C8KvP6lCw08ldyHjR&#10;KpgkccxRBikI5ulszsNJQRI9pSCLXP7/oPgBAAD//wMAUEsBAi0AFAAGAAgAAAAhALaDOJL+AAAA&#10;4QEAABMAAAAAAAAAAAAAAAAAAAAAAFtDb250ZW50X1R5cGVzXS54bWxQSwECLQAUAAYACAAAACEA&#10;OP0h/9YAAACUAQAACwAAAAAAAAAAAAAAAAAvAQAAX3JlbHMvLnJlbHNQSwECLQAUAAYACAAAACEA&#10;3iSm7qABAACaAwAADgAAAAAAAAAAAAAAAAAuAgAAZHJzL2Uyb0RvYy54bWxQSwECLQAUAAYACAAA&#10;ACEAPVAJreAAAAAJAQAADwAAAAAAAAAAAAAAAAD6AwAAZHJzL2Rvd25yZXYueG1sUEsFBgAAAAAE&#10;AAQA8wAAAAcFAAAAAA==&#10;" strokecolor="#5b9bd5 [3204]" strokeweight=".5pt">
                <v:stroke joinstyle="miter"/>
              </v:line>
            </w:pict>
          </mc:Fallback>
        </mc:AlternateContent>
      </w:r>
    </w:p>
    <w:p w14:paraId="049113F2" w14:textId="77777777" w:rsidR="00375262" w:rsidRDefault="00375262" w:rsidP="00167F28">
      <w:pPr>
        <w:autoSpaceDE w:val="0"/>
        <w:autoSpaceDN w:val="0"/>
        <w:adjustRightInd w:val="0"/>
        <w:spacing w:before="240" w:line="360" w:lineRule="auto"/>
        <w:ind w:right="-18"/>
        <w:jc w:val="both"/>
        <w:rPr>
          <w:rFonts w:ascii="Palatino Linotype" w:hAnsi="Palatino Linotype"/>
          <w:bCs/>
          <w:iCs/>
          <w:sz w:val="24"/>
          <w:szCs w:val="24"/>
        </w:rPr>
      </w:pPr>
    </w:p>
    <w:tbl>
      <w:tblPr>
        <w:tblStyle w:val="Tablaconcuadrcula"/>
        <w:tblW w:w="0" w:type="auto"/>
        <w:tblLook w:val="04A0" w:firstRow="1" w:lastRow="0" w:firstColumn="1" w:lastColumn="0" w:noHBand="0" w:noVBand="1"/>
      </w:tblPr>
      <w:tblGrid>
        <w:gridCol w:w="4525"/>
        <w:gridCol w:w="4526"/>
      </w:tblGrid>
      <w:tr w:rsidR="005820D9" w:rsidRPr="00D27FA6" w14:paraId="7F6A7EC4" w14:textId="77777777" w:rsidTr="0006135A">
        <w:trPr>
          <w:trHeight w:val="545"/>
        </w:trPr>
        <w:tc>
          <w:tcPr>
            <w:tcW w:w="4525" w:type="dxa"/>
            <w:vAlign w:val="center"/>
          </w:tcPr>
          <w:p w14:paraId="0F042E9B" w14:textId="4F98F12A" w:rsidR="005820D9" w:rsidRPr="00D27FA6" w:rsidRDefault="005820D9" w:rsidP="0006135A">
            <w:pPr>
              <w:pStyle w:val="Prrafodelista"/>
              <w:autoSpaceDE w:val="0"/>
              <w:autoSpaceDN w:val="0"/>
              <w:adjustRightInd w:val="0"/>
              <w:spacing w:line="360" w:lineRule="auto"/>
              <w:ind w:left="0" w:right="-114"/>
              <w:jc w:val="center"/>
              <w:rPr>
                <w:rFonts w:ascii="Palatino Linotype" w:hAnsi="Palatino Linotype" w:cs="Arial"/>
                <w:b/>
              </w:rPr>
            </w:pPr>
            <w:r>
              <w:rPr>
                <w:rFonts w:ascii="Palatino Linotype" w:hAnsi="Palatino Linotype" w:cs="Arial"/>
                <w:b/>
              </w:rPr>
              <w:lastRenderedPageBreak/>
              <w:t xml:space="preserve">Solicitud de </w:t>
            </w:r>
            <w:r w:rsidR="005B3E03">
              <w:rPr>
                <w:rFonts w:ascii="Palatino Linotype" w:hAnsi="Palatino Linotype" w:cs="Arial"/>
                <w:b/>
              </w:rPr>
              <w:t>información 00107/OASHUIXQUI/IP/2022</w:t>
            </w:r>
          </w:p>
        </w:tc>
        <w:tc>
          <w:tcPr>
            <w:tcW w:w="4526" w:type="dxa"/>
            <w:vAlign w:val="center"/>
          </w:tcPr>
          <w:p w14:paraId="2E7CA8F5" w14:textId="304B7162" w:rsidR="005820D9" w:rsidRPr="00D27FA6" w:rsidRDefault="005820D9" w:rsidP="0006135A">
            <w:pPr>
              <w:pStyle w:val="Prrafodelista"/>
              <w:autoSpaceDE w:val="0"/>
              <w:autoSpaceDN w:val="0"/>
              <w:adjustRightInd w:val="0"/>
              <w:spacing w:line="360" w:lineRule="auto"/>
              <w:ind w:left="0" w:right="17"/>
              <w:jc w:val="center"/>
              <w:rPr>
                <w:rFonts w:ascii="Palatino Linotype" w:hAnsi="Palatino Linotype" w:cs="Arial"/>
                <w:b/>
              </w:rPr>
            </w:pPr>
            <w:r>
              <w:rPr>
                <w:rFonts w:ascii="Palatino Linotype" w:hAnsi="Palatino Linotype" w:cs="Arial"/>
                <w:b/>
              </w:rPr>
              <w:t>ACTO IMPUGNADO Y RAZONES O MOTIVOS DE INCONFORMIDAD</w:t>
            </w:r>
          </w:p>
        </w:tc>
      </w:tr>
      <w:tr w:rsidR="005820D9" w:rsidRPr="00D27FA6" w14:paraId="38FBB100" w14:textId="77777777" w:rsidTr="005B3E03">
        <w:trPr>
          <w:trHeight w:val="545"/>
        </w:trPr>
        <w:tc>
          <w:tcPr>
            <w:tcW w:w="4525" w:type="dxa"/>
            <w:vAlign w:val="center"/>
          </w:tcPr>
          <w:p w14:paraId="49B9900D" w14:textId="77777777" w:rsidR="005B3E03" w:rsidRPr="00C81BA9" w:rsidRDefault="005B3E03" w:rsidP="005B3E03">
            <w:pPr>
              <w:pStyle w:val="Citas"/>
              <w:ind w:left="160" w:right="10"/>
              <w:rPr>
                <w:b/>
                <w:bCs/>
                <w:sz w:val="24"/>
              </w:rPr>
            </w:pPr>
            <w:r>
              <w:t xml:space="preserve">“listado de todos los juicios y procedimientos judiciales que lleva el sistema de aguas de enero 2022 a la fecha , asi como procedimientos administrativos de ejecución llevados acabo por el sistema de aguas de enero de 2022 a la fecha” </w:t>
            </w:r>
            <w:r>
              <w:rPr>
                <w:b/>
                <w:bCs/>
              </w:rPr>
              <w:t>(Sic)</w:t>
            </w:r>
          </w:p>
          <w:p w14:paraId="338E1526" w14:textId="77DEC918" w:rsidR="005820D9" w:rsidRPr="00BD7899" w:rsidRDefault="005820D9" w:rsidP="005B3E03">
            <w:pPr>
              <w:pStyle w:val="Citas"/>
              <w:ind w:left="29" w:right="27"/>
              <w:jc w:val="center"/>
              <w:rPr>
                <w:b/>
                <w:bCs/>
                <w:i w:val="0"/>
                <w:iCs/>
              </w:rPr>
            </w:pPr>
          </w:p>
        </w:tc>
        <w:tc>
          <w:tcPr>
            <w:tcW w:w="4526" w:type="dxa"/>
            <w:vAlign w:val="center"/>
          </w:tcPr>
          <w:p w14:paraId="63C9E8C6" w14:textId="77777777" w:rsidR="005820D9" w:rsidRDefault="005820D9" w:rsidP="005820D9">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53F3E49F" w14:textId="77777777" w:rsidR="005820D9" w:rsidRPr="00712E3A" w:rsidRDefault="005820D9" w:rsidP="005820D9">
            <w:pPr>
              <w:pStyle w:val="Citas"/>
              <w:tabs>
                <w:tab w:val="left" w:pos="3750"/>
              </w:tabs>
              <w:ind w:left="130" w:right="130"/>
              <w:rPr>
                <w:b/>
              </w:rPr>
            </w:pPr>
            <w:r w:rsidRPr="00C81BA9">
              <w:t xml:space="preserve">“INFORMACION INCOMPLETA, </w:t>
            </w:r>
            <w:r w:rsidRPr="002527DD">
              <w:rPr>
                <w:b/>
                <w:bCs/>
                <w:u w:val="single"/>
              </w:rPr>
              <w:t>EL LISTADO NO CONTIENE NOMBRES”</w:t>
            </w:r>
            <w:r w:rsidRPr="003838B4">
              <w:t xml:space="preserve"> </w:t>
            </w:r>
            <w:r w:rsidRPr="00F516E3">
              <w:rPr>
                <w:b/>
                <w:bCs/>
              </w:rPr>
              <w:t>(Sic)</w:t>
            </w:r>
          </w:p>
          <w:p w14:paraId="4E9688CB" w14:textId="77777777" w:rsidR="005820D9" w:rsidRDefault="005820D9" w:rsidP="005820D9">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000AB635" w14:textId="77777777" w:rsidR="005820D9" w:rsidRPr="00712E3A" w:rsidRDefault="005820D9" w:rsidP="005820D9">
            <w:pPr>
              <w:pStyle w:val="Citas"/>
              <w:ind w:left="130" w:right="310"/>
            </w:pPr>
            <w:r w:rsidRPr="00C81BA9">
              <w:t>“INFORMACION INCOMPLETA”</w:t>
            </w:r>
            <w:r w:rsidRPr="00E616AC">
              <w:t xml:space="preserve"> </w:t>
            </w:r>
            <w:r>
              <w:rPr>
                <w:b/>
              </w:rPr>
              <w:t>(Sic)</w:t>
            </w:r>
          </w:p>
          <w:p w14:paraId="6CCE14AA" w14:textId="59497ADE" w:rsidR="005820D9" w:rsidRPr="00BD7899" w:rsidRDefault="005820D9" w:rsidP="0006135A">
            <w:pPr>
              <w:pStyle w:val="Citas"/>
              <w:ind w:left="40" w:right="17"/>
              <w:rPr>
                <w:b/>
                <w:bCs/>
                <w:i w:val="0"/>
              </w:rPr>
            </w:pPr>
          </w:p>
        </w:tc>
      </w:tr>
    </w:tbl>
    <w:p w14:paraId="0D4FEB2B" w14:textId="4DFD916F" w:rsidR="005820D9" w:rsidRDefault="005820D9" w:rsidP="00167F28">
      <w:pPr>
        <w:autoSpaceDE w:val="0"/>
        <w:autoSpaceDN w:val="0"/>
        <w:adjustRightInd w:val="0"/>
        <w:spacing w:before="240" w:line="360" w:lineRule="auto"/>
        <w:ind w:right="-18"/>
        <w:jc w:val="both"/>
        <w:rPr>
          <w:rFonts w:ascii="Palatino Linotype" w:hAnsi="Palatino Linotype"/>
          <w:bCs/>
          <w:iCs/>
          <w:sz w:val="24"/>
          <w:szCs w:val="24"/>
        </w:rPr>
      </w:pPr>
    </w:p>
    <w:p w14:paraId="7878EA7F" w14:textId="77777777" w:rsidR="005B3E03" w:rsidRPr="00D24648" w:rsidRDefault="005B3E03" w:rsidP="005B3E03">
      <w:pPr>
        <w:tabs>
          <w:tab w:val="left" w:pos="7088"/>
        </w:tabs>
        <w:spacing w:line="360" w:lineRule="auto"/>
        <w:jc w:val="both"/>
        <w:rPr>
          <w:rFonts w:ascii="Palatino Linotype" w:hAnsi="Palatino Linotype" w:cs="Arial"/>
          <w:sz w:val="24"/>
          <w:szCs w:val="24"/>
        </w:rPr>
      </w:pPr>
      <w:r>
        <w:rPr>
          <w:rFonts w:ascii="Palatino Linotype" w:hAnsi="Palatino Linotype"/>
          <w:sz w:val="24"/>
          <w:szCs w:val="24"/>
        </w:rPr>
        <w:t xml:space="preserve">Por ello, resulta claro que </w:t>
      </w:r>
      <w:r>
        <w:rPr>
          <w:rFonts w:ascii="Palatino Linotype" w:hAnsi="Palatino Linotype"/>
          <w:b/>
          <w:sz w:val="24"/>
          <w:szCs w:val="24"/>
        </w:rPr>
        <w:t xml:space="preserve">El Recurrente </w:t>
      </w:r>
      <w:r>
        <w:rPr>
          <w:rFonts w:ascii="Palatino Linotype" w:hAnsi="Palatino Linotype"/>
          <w:sz w:val="24"/>
          <w:szCs w:val="24"/>
        </w:rPr>
        <w:t xml:space="preserve">añade nuevos puntos a su solicitud de información </w:t>
      </w:r>
      <w:r w:rsidRPr="00D24648">
        <w:rPr>
          <w:rFonts w:ascii="Palatino Linotype" w:hAnsi="Palatino Linotype" w:cs="Arial"/>
          <w:sz w:val="24"/>
          <w:szCs w:val="24"/>
        </w:rPr>
        <w:t xml:space="preserve">y se aleja de la materia que dio origen a la respuesta de </w:t>
      </w:r>
      <w:r w:rsidRPr="00F1047B">
        <w:rPr>
          <w:rFonts w:ascii="Palatino Linotype" w:hAnsi="Palatino Linotype" w:cs="Arial"/>
          <w:b/>
          <w:sz w:val="24"/>
          <w:szCs w:val="24"/>
        </w:rPr>
        <w:t>El Sujeto Obligado.</w:t>
      </w:r>
      <w:r w:rsidRPr="00D24648">
        <w:rPr>
          <w:rFonts w:ascii="Palatino Linotype" w:hAnsi="Palatino Linotype" w:cs="Arial"/>
          <w:sz w:val="24"/>
          <w:szCs w:val="24"/>
        </w:rPr>
        <w:t xml:space="preserve"> A mayor abundamiento, los nuevos puntos de la solicitud son considerados </w:t>
      </w:r>
      <w:r w:rsidRPr="002D7F26">
        <w:rPr>
          <w:rFonts w:ascii="Palatino Linotype" w:hAnsi="Palatino Linotype" w:cs="Arial"/>
          <w:b/>
          <w:i/>
          <w:sz w:val="24"/>
          <w:szCs w:val="24"/>
        </w:rPr>
        <w:t>plus petitio</w:t>
      </w:r>
      <w:r w:rsidRPr="00D24648">
        <w:rPr>
          <w:rFonts w:ascii="Palatino Linotype" w:hAnsi="Palatino Linotype" w:cs="Arial"/>
          <w:i/>
          <w:sz w:val="24"/>
          <w:szCs w:val="24"/>
        </w:rPr>
        <w:t xml:space="preserve"> </w:t>
      </w:r>
      <w:r w:rsidRPr="00D24648">
        <w:rPr>
          <w:rFonts w:ascii="Palatino Linotype" w:hAnsi="Palatino Linotype" w:cs="Arial"/>
          <w:sz w:val="24"/>
          <w:szCs w:val="24"/>
        </w:rPr>
        <w:t xml:space="preserve">y no son susceptibles de ser valorados. </w:t>
      </w:r>
    </w:p>
    <w:p w14:paraId="51C90AF0" w14:textId="77777777" w:rsidR="005B3E03" w:rsidRPr="00D24648" w:rsidRDefault="005B3E03" w:rsidP="005B3E03">
      <w:pPr>
        <w:pStyle w:val="Prrafodelista"/>
        <w:tabs>
          <w:tab w:val="left" w:pos="7088"/>
        </w:tabs>
        <w:autoSpaceDE w:val="0"/>
        <w:autoSpaceDN w:val="0"/>
        <w:adjustRightInd w:val="0"/>
        <w:spacing w:line="360" w:lineRule="auto"/>
        <w:ind w:left="0"/>
        <w:jc w:val="both"/>
        <w:rPr>
          <w:rFonts w:ascii="Palatino Linotype" w:hAnsi="Palatino Linotype" w:cs="Arial"/>
        </w:rPr>
      </w:pPr>
      <w:r w:rsidRPr="00D24648">
        <w:rPr>
          <w:rFonts w:ascii="Palatino Linotype" w:hAnsi="Palatino Linotype" w:cs="Arial"/>
        </w:rPr>
        <w:t>Viene a colación, el artículo 36 fracción II de</w:t>
      </w:r>
      <w:r>
        <w:rPr>
          <w:rFonts w:ascii="Palatino Linotype" w:hAnsi="Palatino Linotype" w:cs="Arial"/>
        </w:rPr>
        <w:t xml:space="preserve"> la Ley de Transparencia y Acceso a la Información Pública del Estado de México y Municipios, </w:t>
      </w:r>
      <w:r w:rsidRPr="00D24648">
        <w:rPr>
          <w:rFonts w:ascii="Palatino Linotype" w:hAnsi="Palatino Linotype" w:cs="Arial"/>
        </w:rPr>
        <w:t xml:space="preserve">por el cual este Instituto no está facultado para resolver con respecto a ampliaciones a solicitudes de información </w:t>
      </w:r>
      <w:r w:rsidRPr="00D24648">
        <w:rPr>
          <w:rFonts w:ascii="Palatino Linotype" w:hAnsi="Palatino Linotype" w:cs="Arial"/>
        </w:rPr>
        <w:lastRenderedPageBreak/>
        <w:t xml:space="preserve">presentadas por medios distintos a los que señala el artículo 155 del multicitado ordenamiento, por lo que el recurso de revisión no constituye un medio válido para solicitar información adicional.  </w:t>
      </w:r>
    </w:p>
    <w:p w14:paraId="28B57C52" w14:textId="77777777" w:rsidR="005B3E03" w:rsidRPr="00D24648" w:rsidRDefault="005B3E03" w:rsidP="005B3E03">
      <w:pPr>
        <w:tabs>
          <w:tab w:val="left" w:pos="7088"/>
        </w:tabs>
        <w:spacing w:before="240" w:line="360" w:lineRule="auto"/>
        <w:jc w:val="both"/>
        <w:rPr>
          <w:rFonts w:ascii="Palatino Linotype" w:hAnsi="Palatino Linotype" w:cs="Arial"/>
          <w:bCs/>
          <w:sz w:val="24"/>
          <w:szCs w:val="24"/>
          <w:lang w:eastAsia="es-MX"/>
        </w:rPr>
      </w:pPr>
      <w:r w:rsidRPr="00D24648">
        <w:rPr>
          <w:rFonts w:ascii="Palatino Linotype" w:hAnsi="Palatino Linotype" w:cs="Arial"/>
          <w:bCs/>
          <w:sz w:val="24"/>
          <w:szCs w:val="24"/>
          <w:lang w:eastAsia="es-MX"/>
        </w:rPr>
        <w:t>Sirve de apoyo a lo anterior por analogía, la Jurisprudencia No. 29 visible a foja 19 del Apéndice al Semanario Judicial de la Federación 1917-1995, Tomo IV, Materia Común, Primera Parte, Tesis de la Suprema Corte de Justicia, que señala:</w:t>
      </w:r>
    </w:p>
    <w:p w14:paraId="556F152D" w14:textId="77777777" w:rsidR="005B3E03" w:rsidRPr="00D24648" w:rsidRDefault="005B3E03" w:rsidP="005B3E03">
      <w:pPr>
        <w:spacing w:before="240" w:line="360" w:lineRule="auto"/>
        <w:ind w:left="851" w:right="851"/>
        <w:jc w:val="both"/>
        <w:rPr>
          <w:rFonts w:ascii="Palatino Linotype" w:hAnsi="Palatino Linotype" w:cs="Arial"/>
          <w:b/>
          <w:bCs/>
          <w:i/>
          <w:lang w:eastAsia="es-MX"/>
        </w:rPr>
      </w:pPr>
      <w:r w:rsidRPr="00D24648">
        <w:rPr>
          <w:rFonts w:ascii="Palatino Linotype" w:hAnsi="Palatino Linotype" w:cs="Arial"/>
          <w:b/>
          <w:bCs/>
          <w:i/>
          <w:lang w:eastAsia="es-MX"/>
        </w:rPr>
        <w:t>“AGRAVIOS EN LA REVISIÓN. DEBEN ESTAR EN RELACIÓN DIRECTA CON LOS FUNDAMENTOS Y CONSIDERACIONES DE LA SENTENCIA</w:t>
      </w:r>
    </w:p>
    <w:p w14:paraId="218C52D0" w14:textId="77777777" w:rsidR="005B3E03" w:rsidRPr="00D24648" w:rsidRDefault="005B3E03" w:rsidP="005B3E03">
      <w:pPr>
        <w:tabs>
          <w:tab w:val="left" w:pos="7797"/>
        </w:tabs>
        <w:spacing w:before="240" w:line="360" w:lineRule="auto"/>
        <w:ind w:left="851" w:right="851"/>
        <w:jc w:val="both"/>
        <w:rPr>
          <w:rFonts w:ascii="Palatino Linotype" w:hAnsi="Palatino Linotype" w:cs="Arial"/>
          <w:bCs/>
          <w:i/>
          <w:lang w:eastAsia="es-MX"/>
        </w:rPr>
      </w:pPr>
      <w:r w:rsidRPr="0012591D">
        <w:rPr>
          <w:rFonts w:ascii="Palatino Linotype" w:hAnsi="Palatino Linotype" w:cs="Arial"/>
          <w:b/>
          <w:bCs/>
          <w:i/>
          <w:u w:val="single"/>
          <w:lang w:eastAsia="es-MX"/>
        </w:rPr>
        <w:t>Los agravios deben estar en relación directa e inmediata con los fundamentos contenidos en la sentencia que se recurre</w:t>
      </w:r>
      <w:r w:rsidRPr="00D24648">
        <w:rPr>
          <w:rFonts w:ascii="Palatino Linotype" w:hAnsi="Palatino Linotype" w:cs="Arial"/>
          <w:bCs/>
          <w:i/>
          <w:lang w:eastAsia="es-MX"/>
        </w:rPr>
        <w:t>, y forzosamente deben contener, no sólo la cita de las disposiciones legales que se estimen infringidas y su concepto, sino también la concordancia entre aquellas, este y las consideraciones que fundamenten esa propia sentencia, pues de adoptar lo contrario, resultaría  la introducción de nuevas cuestiones en la revisión, que no constituyen su materia, toda vez que esta se limita al estudio integral del fallo que se combate, con vista de los motivos de inconformidad que plantean los recurrentes.”</w:t>
      </w:r>
      <w:r>
        <w:rPr>
          <w:rFonts w:ascii="Palatino Linotype" w:hAnsi="Palatino Linotype" w:cs="Arial"/>
          <w:bCs/>
          <w:i/>
          <w:lang w:eastAsia="es-MX"/>
        </w:rPr>
        <w:t xml:space="preserve"> </w:t>
      </w:r>
      <w:r w:rsidRPr="002D7F26">
        <w:rPr>
          <w:rFonts w:ascii="Palatino Linotype" w:eastAsia="Times New Roman" w:hAnsi="Palatino Linotype" w:cs="Times New Roman"/>
          <w:b/>
          <w:i/>
          <w:sz w:val="24"/>
          <w:szCs w:val="24"/>
          <w:lang w:val="es-ES_tradnl" w:eastAsia="es-ES"/>
        </w:rPr>
        <w:t>[Sic]</w:t>
      </w:r>
    </w:p>
    <w:p w14:paraId="1F51CBE2" w14:textId="77777777" w:rsidR="005B3E03" w:rsidRDefault="005B3E03" w:rsidP="005B3E03">
      <w:pPr>
        <w:tabs>
          <w:tab w:val="left" w:pos="1301"/>
        </w:tabs>
        <w:spacing w:before="240" w:line="360" w:lineRule="auto"/>
        <w:ind w:right="51"/>
        <w:jc w:val="both"/>
        <w:rPr>
          <w:rFonts w:ascii="Palatino Linotype" w:hAnsi="Palatino Linotype" w:cs="Arial"/>
          <w:sz w:val="24"/>
          <w:szCs w:val="24"/>
        </w:rPr>
      </w:pPr>
      <w:r>
        <w:rPr>
          <w:rFonts w:ascii="Palatino Linotype" w:hAnsi="Palatino Linotype" w:cs="Arial"/>
          <w:sz w:val="24"/>
          <w:szCs w:val="24"/>
        </w:rPr>
        <w:tab/>
      </w:r>
    </w:p>
    <w:p w14:paraId="20075A2C" w14:textId="77777777" w:rsidR="005B3E03" w:rsidRPr="00D24648" w:rsidRDefault="005B3E03" w:rsidP="005B3E03">
      <w:pPr>
        <w:tabs>
          <w:tab w:val="left" w:pos="7088"/>
          <w:tab w:val="left" w:pos="7230"/>
        </w:tabs>
        <w:spacing w:before="240" w:line="360" w:lineRule="auto"/>
        <w:jc w:val="both"/>
        <w:rPr>
          <w:rFonts w:ascii="Palatino Linotype" w:hAnsi="Palatino Linotype" w:cs="Arial"/>
          <w:bCs/>
          <w:sz w:val="24"/>
          <w:szCs w:val="24"/>
          <w:lang w:eastAsia="es-MX"/>
        </w:rPr>
      </w:pPr>
      <w:r w:rsidRPr="00D24648">
        <w:rPr>
          <w:rFonts w:ascii="Palatino Linotype" w:hAnsi="Palatino Linotype" w:cs="Arial"/>
          <w:bCs/>
          <w:sz w:val="24"/>
          <w:szCs w:val="24"/>
          <w:lang w:eastAsia="es-MX"/>
        </w:rPr>
        <w:t xml:space="preserve">Por lo anterior, se establece que dentro del recurso de revisión presentado por </w:t>
      </w:r>
      <w:r>
        <w:rPr>
          <w:rFonts w:ascii="Palatino Linotype" w:hAnsi="Palatino Linotype" w:cs="Arial"/>
          <w:b/>
          <w:bCs/>
          <w:sz w:val="24"/>
          <w:szCs w:val="24"/>
          <w:lang w:eastAsia="es-MX"/>
        </w:rPr>
        <w:t>El</w:t>
      </w:r>
      <w:r w:rsidRPr="00D24648">
        <w:rPr>
          <w:rFonts w:ascii="Palatino Linotype" w:hAnsi="Palatino Linotype" w:cs="Arial"/>
          <w:b/>
          <w:bCs/>
          <w:sz w:val="24"/>
          <w:szCs w:val="24"/>
          <w:lang w:eastAsia="es-MX"/>
        </w:rPr>
        <w:t xml:space="preserve"> Recurrente </w:t>
      </w:r>
      <w:r w:rsidRPr="00D24648">
        <w:rPr>
          <w:rFonts w:ascii="Palatino Linotype" w:hAnsi="Palatino Linotype" w:cs="Arial"/>
          <w:bCs/>
          <w:sz w:val="24"/>
          <w:szCs w:val="24"/>
          <w:lang w:eastAsia="es-MX"/>
        </w:rPr>
        <w:t xml:space="preserve">no debe variar el fondo de </w:t>
      </w:r>
      <w:r w:rsidRPr="00D24648">
        <w:rPr>
          <w:rFonts w:ascii="Palatino Linotype" w:hAnsi="Palatino Linotype" w:cs="Arial"/>
          <w:bCs/>
          <w:i/>
          <w:sz w:val="24"/>
          <w:szCs w:val="24"/>
          <w:lang w:eastAsia="es-MX"/>
        </w:rPr>
        <w:t>la litis,</w:t>
      </w:r>
      <w:r w:rsidRPr="00D24648">
        <w:rPr>
          <w:rFonts w:ascii="Palatino Linotype" w:hAnsi="Palatino Linotype" w:cs="Arial"/>
          <w:bCs/>
          <w:sz w:val="24"/>
          <w:szCs w:val="24"/>
          <w:lang w:eastAsia="es-MX"/>
        </w:rPr>
        <w:t xml:space="preserve"> de tal manera que la manifestación a que </w:t>
      </w:r>
      <w:r w:rsidRPr="00D24648">
        <w:rPr>
          <w:rFonts w:ascii="Palatino Linotype" w:hAnsi="Palatino Linotype" w:cs="Arial"/>
          <w:bCs/>
          <w:sz w:val="24"/>
          <w:szCs w:val="24"/>
          <w:lang w:eastAsia="es-MX"/>
        </w:rPr>
        <w:lastRenderedPageBreak/>
        <w:t xml:space="preserve">se ha hecho referencia y que fue vertida en sus motivos de inconformidad, resulta notoriamente improcedente, pues este Órgano Garante se encuentra imposibilitado para satisfacer requerimientos que no fueron formulados en tiempo y forma. </w:t>
      </w:r>
    </w:p>
    <w:p w14:paraId="551AFEE2" w14:textId="77777777" w:rsidR="005B3E03" w:rsidRDefault="005B3E03" w:rsidP="005B3E03">
      <w:pPr>
        <w:tabs>
          <w:tab w:val="left" w:pos="7088"/>
          <w:tab w:val="left" w:pos="7230"/>
        </w:tabs>
        <w:spacing w:before="240" w:line="360" w:lineRule="auto"/>
        <w:jc w:val="both"/>
        <w:rPr>
          <w:rFonts w:ascii="Palatino Linotype" w:hAnsi="Palatino Linotype" w:cs="Arial"/>
          <w:bCs/>
          <w:sz w:val="24"/>
          <w:szCs w:val="24"/>
          <w:lang w:eastAsia="es-MX"/>
        </w:rPr>
      </w:pPr>
      <w:r w:rsidRPr="00D24648">
        <w:rPr>
          <w:rFonts w:ascii="Palatino Linotype" w:hAnsi="Palatino Linotype" w:cs="Arial"/>
          <w:bCs/>
          <w:sz w:val="24"/>
          <w:szCs w:val="24"/>
          <w:lang w:eastAsia="es-MX"/>
        </w:rPr>
        <w:t>De igual manera, tiene aplicación al respecto por analogía, la tesis aislada número I.8o.A.136 A, de la Novena Época, publicada en el Seminario Oficial de la Federación y su Gaceta Tomo XXIX, Marzo de 2009, página 2887, con número de registro 167607, que lleva por rubro y texto los siguientes:</w:t>
      </w:r>
    </w:p>
    <w:p w14:paraId="07B10716" w14:textId="77777777" w:rsidR="005B3E03" w:rsidRPr="00706DE6" w:rsidRDefault="005B3E03" w:rsidP="005B3E03">
      <w:pPr>
        <w:tabs>
          <w:tab w:val="left" w:pos="6237"/>
        </w:tabs>
        <w:spacing w:before="240" w:line="360" w:lineRule="auto"/>
        <w:ind w:left="851" w:right="851"/>
        <w:jc w:val="both"/>
        <w:rPr>
          <w:rFonts w:ascii="Palatino Linotype" w:hAnsi="Palatino Linotype" w:cs="Arial"/>
          <w:b/>
          <w:bCs/>
          <w:i/>
          <w:u w:val="single"/>
          <w:lang w:eastAsia="es-MX"/>
        </w:rPr>
      </w:pPr>
      <w:r w:rsidRPr="00D24648">
        <w:rPr>
          <w:rFonts w:ascii="Palatino Linotype" w:hAnsi="Palatino Linotype" w:cs="Arial"/>
          <w:b/>
          <w:bCs/>
          <w:i/>
          <w:lang w:eastAsia="es-MX"/>
        </w:rPr>
        <w:t xml:space="preserve">“TRANSPARENCIA Y ACCESO A LA INFORMACIÓN PÚBLICA GUBERNAMENTAL. LOS ARTÍCULOS 1, 2 Y 6 DE LA LEY FEDERAL RELATIVA, NO DEBEN INTERPRETARSE EN EL SENTIDO DE PERMITIR AL GOBERNADO QUE A SU ARBITRIO SOLICITE COPIA DE DOCUMENTOS QUE NO OBREN EN LOS EXPEDIENTES DE LOS SUJETOS OBLIGADOS, </w:t>
      </w:r>
      <w:r w:rsidRPr="00706DE6">
        <w:rPr>
          <w:rFonts w:ascii="Palatino Linotype" w:hAnsi="Palatino Linotype" w:cs="Arial"/>
          <w:b/>
          <w:bCs/>
          <w:i/>
          <w:u w:val="single"/>
          <w:lang w:eastAsia="es-MX"/>
        </w:rPr>
        <w:t xml:space="preserve">O SEAN DISTINTOS A LOS DE SU PETICIÓN INICIAL. </w:t>
      </w:r>
    </w:p>
    <w:p w14:paraId="2D698872" w14:textId="77777777" w:rsidR="005B3E03" w:rsidRPr="00706DE6" w:rsidRDefault="005B3E03" w:rsidP="005B3E03">
      <w:pPr>
        <w:tabs>
          <w:tab w:val="left" w:pos="6237"/>
        </w:tabs>
        <w:spacing w:before="240" w:line="360" w:lineRule="auto"/>
        <w:ind w:left="851" w:right="851"/>
        <w:jc w:val="both"/>
        <w:rPr>
          <w:rFonts w:ascii="Palatino Linotype" w:hAnsi="Palatino Linotype" w:cs="Arial"/>
          <w:b/>
          <w:bCs/>
          <w:i/>
          <w:lang w:eastAsia="es-MX"/>
        </w:rPr>
      </w:pPr>
      <w:r w:rsidRPr="00D24648">
        <w:rPr>
          <w:rFonts w:ascii="Palatino Linotype" w:hAnsi="Palatino Linotype" w:cs="Arial"/>
          <w:bCs/>
          <w:i/>
          <w:lang w:eastAsia="es-MX"/>
        </w:rPr>
        <w:t xml:space="preserve">Si bien es cierto que los artículos 1 y 2 de la Ley Federal de Transparencia y Acceso a la Información Pública Gubernamental establecen, respectivamente, que dicho ordenamiento tiene como finalidad proveer lo necesario para garantizar el acceso de toda persona a la información en posesión de los Poderes de la Unión, los órganos constitucionales autónomos o con autonomía legal y cualquier otra entidad federal, así como que toda la información gubernamental a que se refiere dicha ley es pública </w:t>
      </w:r>
      <w:r w:rsidRPr="00D24648">
        <w:rPr>
          <w:rFonts w:ascii="Palatino Linotype" w:hAnsi="Palatino Linotype" w:cs="Arial"/>
          <w:bCs/>
          <w:i/>
          <w:lang w:eastAsia="es-MX"/>
        </w:rPr>
        <w:lastRenderedPageBreak/>
        <w:t xml:space="preserve">y los particulares tendrán acceso a ella en los términos que en ésta se señalen y que, por otra parte, </w:t>
      </w:r>
      <w:r w:rsidRPr="00706DE6">
        <w:rPr>
          <w:rFonts w:ascii="Palatino Linotype" w:hAnsi="Palatino Linotype" w:cs="Arial"/>
          <w:b/>
          <w:bCs/>
          <w:i/>
          <w:u w:val="single"/>
          <w:lang w:eastAsia="es-MX"/>
        </w:rPr>
        <w:t>el precepto 6 de la propia legislación prevé el principio de máxima publicidad y disponibilidad de la información en posesión de los sujetos obligados;</w:t>
      </w:r>
      <w:r w:rsidRPr="00D24648">
        <w:rPr>
          <w:rFonts w:ascii="Palatino Linotype" w:hAnsi="Palatino Linotype" w:cs="Arial"/>
          <w:bCs/>
          <w:i/>
          <w:lang w:eastAsia="es-MX"/>
        </w:rPr>
        <w:t xml:space="preserve"> </w:t>
      </w:r>
      <w:r w:rsidRPr="00706DE6">
        <w:rPr>
          <w:rFonts w:ascii="Palatino Linotype" w:hAnsi="Palatino Linotype" w:cs="Arial"/>
          <w:bCs/>
          <w:i/>
          <w:lang w:eastAsia="es-MX"/>
        </w:rPr>
        <w:t>también lo es que ello no implica que tales numerales deban interpretarse en el sentido</w:t>
      </w:r>
      <w:r w:rsidRPr="00D24648">
        <w:rPr>
          <w:rFonts w:ascii="Palatino Linotype" w:hAnsi="Palatino Linotype" w:cs="Arial"/>
          <w:bCs/>
          <w:i/>
          <w:lang w:eastAsia="es-MX"/>
        </w:rPr>
        <w:t xml:space="preserve"> de permitir al gobernado que a su arbitrio solicite copia de documentos que no obren en los expedientes de los sujetos obligados</w:t>
      </w:r>
      <w:r w:rsidRPr="00706DE6">
        <w:rPr>
          <w:rFonts w:ascii="Palatino Linotype" w:hAnsi="Palatino Linotype" w:cs="Arial"/>
          <w:b/>
          <w:bCs/>
          <w:i/>
          <w:lang w:eastAsia="es-MX"/>
        </w:rPr>
        <w:t xml:space="preserve">, </w:t>
      </w:r>
      <w:r w:rsidRPr="00706DE6">
        <w:rPr>
          <w:rFonts w:ascii="Palatino Linotype" w:hAnsi="Palatino Linotype" w:cs="Arial"/>
          <w:b/>
          <w:bCs/>
          <w:i/>
          <w:u w:val="single"/>
          <w:lang w:eastAsia="es-MX"/>
        </w:rPr>
        <w:t>o sean distintos a los de su petición inicial, pues ello contravendría el artículo 42 de la citada ley, que señala que las dependencias y entidades sólo estarán obligadas a entregar los documentos que se encuentran en sus archivos –los solicitados- y que la obligación de acceso a la información se dará por cumplida cuando se pongan a disposición del solicitante para consulta en el sitio donde se encuentren.</w:t>
      </w:r>
    </w:p>
    <w:p w14:paraId="44A452C2" w14:textId="77777777" w:rsidR="005B3E03" w:rsidRPr="00D24648" w:rsidRDefault="005B3E03" w:rsidP="005B3E03">
      <w:pPr>
        <w:tabs>
          <w:tab w:val="left" w:pos="6237"/>
        </w:tabs>
        <w:spacing w:before="240" w:line="360" w:lineRule="auto"/>
        <w:ind w:left="851" w:right="851"/>
        <w:jc w:val="both"/>
        <w:rPr>
          <w:rFonts w:ascii="Palatino Linotype" w:hAnsi="Palatino Linotype" w:cs="Arial"/>
          <w:bCs/>
          <w:i/>
          <w:lang w:eastAsia="es-MX"/>
        </w:rPr>
      </w:pPr>
      <w:r w:rsidRPr="00D24648">
        <w:rPr>
          <w:rFonts w:ascii="Palatino Linotype" w:hAnsi="Palatino Linotype" w:cs="Arial"/>
          <w:bCs/>
          <w:i/>
          <w:lang w:eastAsia="es-MX"/>
        </w:rPr>
        <w:t>OCTAVO TRIBUNAL COLEGIADO EN MATERIA ADMINISTRATIVA DEL PRIMER CIRCUITO.”</w:t>
      </w:r>
      <w:r>
        <w:rPr>
          <w:rFonts w:ascii="Palatino Linotype" w:hAnsi="Palatino Linotype" w:cs="Arial"/>
          <w:bCs/>
          <w:i/>
          <w:lang w:eastAsia="es-MX"/>
        </w:rPr>
        <w:t xml:space="preserve"> </w:t>
      </w:r>
      <w:r w:rsidRPr="002D7F26">
        <w:rPr>
          <w:rFonts w:ascii="Palatino Linotype" w:eastAsia="Times New Roman" w:hAnsi="Palatino Linotype" w:cs="Times New Roman"/>
          <w:b/>
          <w:i/>
          <w:sz w:val="24"/>
          <w:szCs w:val="24"/>
          <w:lang w:val="es-ES_tradnl" w:eastAsia="es-ES"/>
        </w:rPr>
        <w:t>[Sic]</w:t>
      </w:r>
    </w:p>
    <w:p w14:paraId="6F07B20B" w14:textId="77777777" w:rsidR="005B3E03" w:rsidRDefault="005B3E03" w:rsidP="005B3E03">
      <w:pPr>
        <w:spacing w:before="240" w:line="360" w:lineRule="auto"/>
        <w:jc w:val="both"/>
        <w:rPr>
          <w:rFonts w:ascii="Palatino Linotype" w:hAnsi="Palatino Linotype" w:cs="Arial"/>
          <w:bCs/>
          <w:sz w:val="24"/>
          <w:szCs w:val="24"/>
          <w:lang w:eastAsia="es-MX"/>
        </w:rPr>
      </w:pPr>
    </w:p>
    <w:p w14:paraId="15463A79" w14:textId="77777777" w:rsidR="005B3E03" w:rsidRPr="00D24648" w:rsidRDefault="005B3E03" w:rsidP="005B3E03">
      <w:pPr>
        <w:spacing w:before="240" w:line="360" w:lineRule="auto"/>
        <w:jc w:val="both"/>
        <w:rPr>
          <w:rFonts w:ascii="Palatino Linotype" w:hAnsi="Palatino Linotype" w:cs="Arial"/>
          <w:bCs/>
          <w:sz w:val="24"/>
          <w:szCs w:val="24"/>
          <w:lang w:eastAsia="es-MX"/>
        </w:rPr>
      </w:pPr>
      <w:r w:rsidRPr="00D24648">
        <w:rPr>
          <w:rFonts w:ascii="Palatino Linotype" w:hAnsi="Palatino Linotype" w:cs="Arial"/>
          <w:bCs/>
          <w:sz w:val="24"/>
          <w:szCs w:val="24"/>
          <w:lang w:eastAsia="es-MX"/>
        </w:rPr>
        <w:t xml:space="preserve">De manera complementaria, el Instituto Nacional de Transparencia, Acceso a la Información y Protección de Datos Personales ha sostenido la improcedencia de ampliar las solicitudes de información pública o de datos personales a través de la interposición del recurso de revisión, como se estima acontece en el anterior asunto. Lo anterior de conformidad con el criterio 27/10; por lo que este Órgano Garante insiste </w:t>
      </w:r>
      <w:r w:rsidRPr="00D24648">
        <w:rPr>
          <w:rFonts w:ascii="Palatino Linotype" w:hAnsi="Palatino Linotype" w:cs="Arial"/>
          <w:bCs/>
          <w:sz w:val="24"/>
          <w:szCs w:val="24"/>
          <w:lang w:eastAsia="es-MX"/>
        </w:rPr>
        <w:lastRenderedPageBreak/>
        <w:t xml:space="preserve">en la imposibilidad de entrar al estudio de información novedosa. Criterio que es de la literalidad siguiente: </w:t>
      </w:r>
    </w:p>
    <w:p w14:paraId="423DEBC7" w14:textId="77777777" w:rsidR="005B3E03" w:rsidRPr="00D24648" w:rsidRDefault="005B3E03" w:rsidP="005B3E03">
      <w:pPr>
        <w:tabs>
          <w:tab w:val="left" w:pos="7513"/>
        </w:tabs>
        <w:spacing w:before="240" w:line="360" w:lineRule="auto"/>
        <w:ind w:left="851" w:right="851"/>
        <w:jc w:val="both"/>
        <w:rPr>
          <w:rFonts w:ascii="Palatino Linotype" w:hAnsi="Palatino Linotype" w:cs="Arial"/>
          <w:b/>
          <w:bCs/>
          <w:i/>
          <w:lang w:eastAsia="es-MX"/>
        </w:rPr>
      </w:pPr>
      <w:r w:rsidRPr="00D24648">
        <w:rPr>
          <w:rFonts w:ascii="Palatino Linotype" w:hAnsi="Palatino Linotype" w:cs="Arial"/>
          <w:b/>
          <w:bCs/>
          <w:i/>
          <w:lang w:eastAsia="es-MX"/>
        </w:rPr>
        <w:t>“ES IMPROCEDENTE AMPLIAR LAS SOLICITUDES DE ACCESO A INFORMACIÓN PÚBLICA O DATOS PERSONALES, A TRAVÉS DE LA INTERPOSICIÓN DEL RECURSO DE REVISIÓN</w:t>
      </w:r>
    </w:p>
    <w:p w14:paraId="5C8B177E" w14:textId="77777777" w:rsidR="005B3E03" w:rsidRPr="00D24648" w:rsidRDefault="005B3E03" w:rsidP="005B3E03">
      <w:pPr>
        <w:tabs>
          <w:tab w:val="left" w:pos="7513"/>
        </w:tabs>
        <w:spacing w:before="240" w:line="360" w:lineRule="auto"/>
        <w:ind w:left="851" w:right="851"/>
        <w:jc w:val="both"/>
        <w:rPr>
          <w:rFonts w:ascii="Palatino Linotype" w:hAnsi="Palatino Linotype" w:cs="Arial"/>
          <w:bCs/>
          <w:i/>
          <w:lang w:eastAsia="es-MX"/>
        </w:rPr>
      </w:pPr>
      <w:r w:rsidRPr="0012591D">
        <w:rPr>
          <w:rFonts w:ascii="Palatino Linotype" w:hAnsi="Palatino Linotype" w:cs="Arial"/>
          <w:b/>
          <w:bCs/>
          <w:i/>
          <w:u w:val="single"/>
          <w:lang w:eastAsia="es-MX"/>
        </w:rPr>
        <w:t>En aquellos casos en los que los recurrentes amplíen los alcances de la solicitud de información o acceso a datos personales a través de un recurso de revisión, esta</w:t>
      </w:r>
      <w:r w:rsidRPr="0012591D">
        <w:rPr>
          <w:rFonts w:ascii="Palatino Linotype" w:hAnsi="Palatino Linotype" w:cs="Arial"/>
          <w:bCs/>
          <w:i/>
          <w:u w:val="single"/>
          <w:lang w:eastAsia="es-MX"/>
        </w:rPr>
        <w:t xml:space="preserve"> </w:t>
      </w:r>
      <w:r w:rsidRPr="0012591D">
        <w:rPr>
          <w:rFonts w:ascii="Palatino Linotype" w:hAnsi="Palatino Linotype" w:cs="Arial"/>
          <w:b/>
          <w:bCs/>
          <w:i/>
          <w:u w:val="single"/>
          <w:lang w:eastAsia="es-MX"/>
        </w:rPr>
        <w:t>ampliación no podrá constituir materia del procedimiento a sustanciarse</w:t>
      </w:r>
      <w:r w:rsidRPr="00D24648">
        <w:rPr>
          <w:rFonts w:ascii="Palatino Linotype" w:hAnsi="Palatino Linotype" w:cs="Arial"/>
          <w:bCs/>
          <w:i/>
          <w:lang w:eastAsia="es-MX"/>
        </w:rPr>
        <w:t xml:space="preserve"> por el Instituto Federal de Acceso a la Información y Protección de Datos. Lo anterior, sin perjuicio de que los recurrentes puedan ejercer su derecho a realizar una nueva solicitud en términos de la Ley de la materia. </w:t>
      </w:r>
    </w:p>
    <w:p w14:paraId="5F1133AF" w14:textId="77777777" w:rsidR="005B3E03" w:rsidRPr="00D24648" w:rsidRDefault="005B3E03" w:rsidP="005B3E03">
      <w:pPr>
        <w:tabs>
          <w:tab w:val="left" w:pos="7513"/>
        </w:tabs>
        <w:spacing w:before="240" w:line="360" w:lineRule="auto"/>
        <w:ind w:left="851" w:right="851"/>
        <w:jc w:val="both"/>
        <w:rPr>
          <w:rFonts w:ascii="Palatino Linotype" w:hAnsi="Palatino Linotype" w:cs="Arial"/>
          <w:bCs/>
          <w:i/>
          <w:lang w:eastAsia="es-MX"/>
        </w:rPr>
      </w:pPr>
      <w:r w:rsidRPr="00D24648">
        <w:rPr>
          <w:rFonts w:ascii="Palatino Linotype" w:hAnsi="Palatino Linotype" w:cs="Arial"/>
          <w:bCs/>
          <w:i/>
          <w:lang w:eastAsia="es-MX"/>
        </w:rPr>
        <w:t xml:space="preserve">Expedientes: 5871/08 Secretaría de Educación Pública –Alonso Gómez- Robledo Verduzco 3468/09 Instituto de Seguridad y Servicios Sociales de los Trabajadores del Estado – Ángel Trinidad Zaldívar 5417/09 Procuraduría General de la República  - María Marván Laborde1523 1006/10 Instituto Mexicano del Seguro Social – Sigrid Arzt Colunga 1378/10 Instituto de Seguridad y Servicios Sociales de los Trabajadores del Estado – María Elena Pérez-Jaén Zermeño.” </w:t>
      </w:r>
      <w:r w:rsidRPr="002D7F26">
        <w:rPr>
          <w:rFonts w:ascii="Palatino Linotype" w:eastAsia="Times New Roman" w:hAnsi="Palatino Linotype" w:cs="Times New Roman"/>
          <w:b/>
          <w:i/>
          <w:sz w:val="24"/>
          <w:szCs w:val="24"/>
          <w:lang w:val="es-ES_tradnl" w:eastAsia="es-ES"/>
        </w:rPr>
        <w:t>[Sic]</w:t>
      </w:r>
    </w:p>
    <w:p w14:paraId="12A12E02" w14:textId="77777777" w:rsidR="005B3E03" w:rsidRDefault="005B3E03" w:rsidP="00167F28">
      <w:pPr>
        <w:autoSpaceDE w:val="0"/>
        <w:autoSpaceDN w:val="0"/>
        <w:adjustRightInd w:val="0"/>
        <w:spacing w:before="240" w:line="360" w:lineRule="auto"/>
        <w:ind w:right="-18"/>
        <w:jc w:val="both"/>
        <w:rPr>
          <w:rFonts w:ascii="Palatino Linotype" w:hAnsi="Palatino Linotype"/>
          <w:bCs/>
          <w:iCs/>
          <w:sz w:val="24"/>
          <w:szCs w:val="24"/>
        </w:rPr>
      </w:pPr>
    </w:p>
    <w:p w14:paraId="0C064B12" w14:textId="0FCEF681" w:rsidR="00916028" w:rsidRDefault="005B3E03" w:rsidP="00167F28">
      <w:pPr>
        <w:autoSpaceDE w:val="0"/>
        <w:autoSpaceDN w:val="0"/>
        <w:adjustRightInd w:val="0"/>
        <w:spacing w:before="240" w:line="360" w:lineRule="auto"/>
        <w:ind w:right="-18"/>
        <w:jc w:val="both"/>
        <w:rPr>
          <w:rFonts w:ascii="Palatino Linotype" w:hAnsi="Palatino Linotype"/>
          <w:bCs/>
          <w:i/>
          <w:sz w:val="24"/>
          <w:szCs w:val="24"/>
        </w:rPr>
      </w:pPr>
      <w:r>
        <w:rPr>
          <w:rFonts w:ascii="Palatino Linotype" w:hAnsi="Palatino Linotype"/>
          <w:bCs/>
          <w:iCs/>
          <w:sz w:val="24"/>
          <w:szCs w:val="24"/>
        </w:rPr>
        <w:lastRenderedPageBreak/>
        <w:t xml:space="preserve">Luego entonces, este Órgano Garante arriba a la conclusión de que </w:t>
      </w:r>
      <w:r w:rsidR="00916028">
        <w:rPr>
          <w:rFonts w:ascii="Palatino Linotype" w:hAnsi="Palatino Linotype"/>
          <w:bCs/>
          <w:iCs/>
          <w:sz w:val="24"/>
          <w:szCs w:val="24"/>
        </w:rPr>
        <w:t xml:space="preserve">el acto impugnado deviene parcialmente infundado al tratarse de una ampliación a la solicitud de información o </w:t>
      </w:r>
      <w:r w:rsidR="00916028">
        <w:rPr>
          <w:rFonts w:ascii="Palatino Linotype" w:hAnsi="Palatino Linotype"/>
          <w:bCs/>
          <w:i/>
          <w:sz w:val="24"/>
          <w:szCs w:val="24"/>
        </w:rPr>
        <w:t xml:space="preserve">plus petitio. </w:t>
      </w:r>
    </w:p>
    <w:p w14:paraId="0CCA3275" w14:textId="77777777" w:rsidR="00A011C1" w:rsidRPr="00FF4772" w:rsidRDefault="00916028" w:rsidP="00A011C1">
      <w:pPr>
        <w:spacing w:before="240" w:line="360" w:lineRule="auto"/>
        <w:jc w:val="both"/>
        <w:rPr>
          <w:rFonts w:ascii="Palatino Linotype" w:hAnsi="Palatino Linotype"/>
          <w:b/>
          <w:bCs/>
          <w:i/>
          <w:sz w:val="24"/>
          <w:szCs w:val="24"/>
        </w:rPr>
      </w:pPr>
      <w:r>
        <w:rPr>
          <w:rFonts w:ascii="Palatino Linotype" w:hAnsi="Palatino Linotype"/>
          <w:bCs/>
          <w:iCs/>
          <w:sz w:val="24"/>
          <w:szCs w:val="24"/>
        </w:rPr>
        <w:t xml:space="preserve">Por otra parte, como fue referido en el antecedente quinto, </w:t>
      </w:r>
      <w:r w:rsidR="00A011C1">
        <w:rPr>
          <w:rFonts w:ascii="Palatino Linotype" w:hAnsi="Palatino Linotype"/>
          <w:b/>
          <w:iCs/>
          <w:sz w:val="24"/>
          <w:szCs w:val="24"/>
        </w:rPr>
        <w:t xml:space="preserve">El Sujeto Obligado </w:t>
      </w:r>
      <w:r w:rsidR="00A011C1">
        <w:rPr>
          <w:rFonts w:ascii="Palatino Linotype" w:hAnsi="Palatino Linotype"/>
          <w:bCs/>
          <w:iCs/>
          <w:sz w:val="24"/>
          <w:szCs w:val="24"/>
        </w:rPr>
        <w:t xml:space="preserve">rindió su informe justificado </w:t>
      </w:r>
      <w:r>
        <w:rPr>
          <w:rFonts w:ascii="Palatino Linotype" w:hAnsi="Palatino Linotype"/>
          <w:bCs/>
          <w:iCs/>
          <w:sz w:val="24"/>
          <w:szCs w:val="24"/>
        </w:rPr>
        <w:t xml:space="preserve">en fecha </w:t>
      </w:r>
      <w:r w:rsidR="00A011C1">
        <w:rPr>
          <w:rFonts w:ascii="Palatino Linotype" w:hAnsi="Palatino Linotype"/>
          <w:bCs/>
          <w:iCs/>
          <w:sz w:val="24"/>
          <w:szCs w:val="24"/>
        </w:rPr>
        <w:t xml:space="preserve">treinta de agosto del presente, mismo que no fue puesto a la vista al </w:t>
      </w:r>
      <w:r w:rsidR="00A011C1" w:rsidRPr="006918CC">
        <w:rPr>
          <w:rFonts w:ascii="Palatino Linotype" w:hAnsi="Palatino Linotype"/>
          <w:sz w:val="24"/>
          <w:szCs w:val="24"/>
        </w:rPr>
        <w:t xml:space="preserve">tomar en consideración que </w:t>
      </w:r>
      <w:r w:rsidR="00A011C1" w:rsidRPr="006918CC">
        <w:rPr>
          <w:rFonts w:ascii="Palatino Linotype" w:hAnsi="Palatino Linotype"/>
          <w:i/>
          <w:sz w:val="24"/>
          <w:szCs w:val="24"/>
        </w:rPr>
        <w:t>l</w:t>
      </w:r>
      <w:r w:rsidR="00A011C1" w:rsidRPr="006918CC">
        <w:rPr>
          <w:rFonts w:ascii="Palatino Linotype" w:hAnsi="Palatino Linotype"/>
          <w:sz w:val="24"/>
          <w:szCs w:val="24"/>
        </w:rPr>
        <w:t xml:space="preserve">a clave de usuario </w:t>
      </w:r>
      <w:r w:rsidR="00A011C1" w:rsidRPr="006918CC">
        <w:rPr>
          <w:rFonts w:ascii="Palatino Linotype" w:hAnsi="Palatino Linotype"/>
          <w:b/>
          <w:bCs/>
          <w:sz w:val="24"/>
          <w:szCs w:val="24"/>
        </w:rPr>
        <w:t xml:space="preserve">SAIMEX </w:t>
      </w:r>
      <w:r w:rsidR="00A011C1" w:rsidRPr="006918CC">
        <w:rPr>
          <w:rFonts w:ascii="Palatino Linotype" w:hAnsi="Palatino Linotype"/>
          <w:sz w:val="24"/>
          <w:szCs w:val="24"/>
        </w:rPr>
        <w:t>refleja letras y números, se compone por una longitud mínima de seis caracteres y máxima de doce, su uso estriba en la práctica, notificación y ejecución de diversos actos administrativos, luego entonces concierne únicamente a su titular, al encuadrar dentro de las fronteras conceptuales de la información confidencial, en términos del numeral 143, fracción I de la Ley de Transparencia local.</w:t>
      </w:r>
      <w:r w:rsidR="00A011C1" w:rsidRPr="00FF4772">
        <w:rPr>
          <w:rFonts w:ascii="Palatino Linotype" w:hAnsi="Palatino Linotype"/>
          <w:sz w:val="24"/>
          <w:szCs w:val="24"/>
        </w:rPr>
        <w:t xml:space="preserve"> </w:t>
      </w:r>
    </w:p>
    <w:p w14:paraId="43FE66CE" w14:textId="77777777" w:rsidR="00A011C1" w:rsidRDefault="00A011C1" w:rsidP="00A011C1">
      <w:pPr>
        <w:spacing w:before="240" w:line="360" w:lineRule="auto"/>
        <w:jc w:val="both"/>
        <w:rPr>
          <w:rFonts w:ascii="Palatino Linotype" w:hAnsi="Palatino Linotype"/>
          <w:sz w:val="24"/>
          <w:szCs w:val="24"/>
        </w:rPr>
      </w:pPr>
      <w:r>
        <w:rPr>
          <w:rFonts w:ascii="Palatino Linotype" w:hAnsi="Palatino Linotype"/>
          <w:sz w:val="24"/>
          <w:szCs w:val="24"/>
        </w:rPr>
        <w:t>No obstante lo anterior, en atención al principio de máxima publicidad imperante en la materia, a continuación se describe su contenido:</w:t>
      </w:r>
    </w:p>
    <w:p w14:paraId="6D667CCF" w14:textId="6F53D6EB" w:rsidR="00916028" w:rsidRPr="00A011C1" w:rsidRDefault="00A011C1" w:rsidP="00A011C1">
      <w:pPr>
        <w:pStyle w:val="Prrafodelista"/>
        <w:numPr>
          <w:ilvl w:val="0"/>
          <w:numId w:val="39"/>
        </w:numPr>
        <w:autoSpaceDE w:val="0"/>
        <w:autoSpaceDN w:val="0"/>
        <w:adjustRightInd w:val="0"/>
        <w:spacing w:before="240" w:line="360" w:lineRule="auto"/>
        <w:ind w:right="-18"/>
        <w:jc w:val="both"/>
        <w:rPr>
          <w:rFonts w:ascii="Palatino Linotype" w:hAnsi="Palatino Linotype"/>
          <w:b/>
          <w:iCs/>
        </w:rPr>
      </w:pPr>
      <w:r>
        <w:rPr>
          <w:rFonts w:ascii="Palatino Linotype" w:hAnsi="Palatino Linotype"/>
          <w:b/>
          <w:iCs/>
        </w:rPr>
        <w:t xml:space="preserve">“INFORME JUSTIFICADO EXP_13345.pdf”: </w:t>
      </w:r>
      <w:r>
        <w:rPr>
          <w:rFonts w:ascii="Palatino Linotype" w:hAnsi="Palatino Linotype"/>
          <w:bCs/>
          <w:iCs/>
        </w:rPr>
        <w:t>Compila lo siguiente:</w:t>
      </w:r>
    </w:p>
    <w:p w14:paraId="7E68EE31" w14:textId="042C4B31" w:rsidR="00A011C1" w:rsidRPr="00A011C1" w:rsidRDefault="00A011C1" w:rsidP="00A011C1">
      <w:pPr>
        <w:pStyle w:val="Prrafodelista"/>
        <w:numPr>
          <w:ilvl w:val="0"/>
          <w:numId w:val="40"/>
        </w:numPr>
        <w:autoSpaceDE w:val="0"/>
        <w:autoSpaceDN w:val="0"/>
        <w:adjustRightInd w:val="0"/>
        <w:spacing w:before="240" w:line="360" w:lineRule="auto"/>
        <w:ind w:right="-18"/>
        <w:jc w:val="both"/>
        <w:rPr>
          <w:rFonts w:ascii="Palatino Linotype" w:hAnsi="Palatino Linotype"/>
          <w:b/>
          <w:iCs/>
        </w:rPr>
      </w:pPr>
      <w:r>
        <w:rPr>
          <w:rFonts w:ascii="Palatino Linotype" w:hAnsi="Palatino Linotype"/>
          <w:bCs/>
          <w:iCs/>
        </w:rPr>
        <w:t>Oficio sin número signado por el Titular de la Unidad de Transparencia y dirigido al Comisionado Ponente, de fecha veinticinco de agosto de dos mil veintidós, en síntesis, expone los siguientes argumentos:</w:t>
      </w:r>
    </w:p>
    <w:p w14:paraId="7FD7BE28" w14:textId="7E8AE17C" w:rsidR="00A011C1" w:rsidRPr="009A41D1" w:rsidRDefault="009A41D1" w:rsidP="00A011C1">
      <w:pPr>
        <w:pStyle w:val="Prrafodelista"/>
        <w:numPr>
          <w:ilvl w:val="0"/>
          <w:numId w:val="41"/>
        </w:numPr>
        <w:autoSpaceDE w:val="0"/>
        <w:autoSpaceDN w:val="0"/>
        <w:adjustRightInd w:val="0"/>
        <w:spacing w:before="240" w:line="360" w:lineRule="auto"/>
        <w:ind w:right="-18"/>
        <w:jc w:val="both"/>
        <w:rPr>
          <w:rFonts w:ascii="Palatino Linotype" w:hAnsi="Palatino Linotype"/>
          <w:b/>
          <w:iCs/>
        </w:rPr>
      </w:pPr>
      <w:r>
        <w:rPr>
          <w:rFonts w:ascii="Palatino Linotype" w:hAnsi="Palatino Linotype"/>
          <w:bCs/>
          <w:iCs/>
        </w:rPr>
        <w:lastRenderedPageBreak/>
        <w:t xml:space="preserve">Que turnó la solicitud de información a la Titular de la Unidad Jurídica y de Género. </w:t>
      </w:r>
    </w:p>
    <w:p w14:paraId="30F956AC" w14:textId="174BD408" w:rsidR="009A41D1" w:rsidRPr="009A41D1" w:rsidRDefault="009A41D1" w:rsidP="00A011C1">
      <w:pPr>
        <w:pStyle w:val="Prrafodelista"/>
        <w:numPr>
          <w:ilvl w:val="0"/>
          <w:numId w:val="41"/>
        </w:numPr>
        <w:autoSpaceDE w:val="0"/>
        <w:autoSpaceDN w:val="0"/>
        <w:adjustRightInd w:val="0"/>
        <w:spacing w:before="240" w:line="360" w:lineRule="auto"/>
        <w:ind w:right="-18"/>
        <w:jc w:val="both"/>
        <w:rPr>
          <w:rFonts w:ascii="Palatino Linotype" w:hAnsi="Palatino Linotype"/>
          <w:b/>
          <w:iCs/>
        </w:rPr>
      </w:pPr>
      <w:r>
        <w:rPr>
          <w:rFonts w:ascii="Palatino Linotype" w:hAnsi="Palatino Linotype"/>
          <w:bCs/>
          <w:iCs/>
        </w:rPr>
        <w:t xml:space="preserve">Que de manera oportuna brindó la respuesta de la Unidad Jurídica y de Género. </w:t>
      </w:r>
    </w:p>
    <w:p w14:paraId="5311F6F8" w14:textId="6BD2CAEB" w:rsidR="009A41D1" w:rsidRPr="00A011C1" w:rsidRDefault="009A41D1" w:rsidP="00A011C1">
      <w:pPr>
        <w:pStyle w:val="Prrafodelista"/>
        <w:numPr>
          <w:ilvl w:val="0"/>
          <w:numId w:val="41"/>
        </w:numPr>
        <w:autoSpaceDE w:val="0"/>
        <w:autoSpaceDN w:val="0"/>
        <w:adjustRightInd w:val="0"/>
        <w:spacing w:before="240" w:line="360" w:lineRule="auto"/>
        <w:ind w:right="-18"/>
        <w:jc w:val="both"/>
        <w:rPr>
          <w:rFonts w:ascii="Palatino Linotype" w:hAnsi="Palatino Linotype"/>
          <w:b/>
          <w:iCs/>
        </w:rPr>
      </w:pPr>
      <w:r>
        <w:rPr>
          <w:rFonts w:ascii="Palatino Linotype" w:hAnsi="Palatino Linotype"/>
          <w:bCs/>
          <w:iCs/>
        </w:rPr>
        <w:t>Que los motivos de inconformidad no actualizan causales de procedencia, por ello requiere el sobreseimiento del medio de impugnación con base en el numeral 192 de la Ley de Transparencia local.</w:t>
      </w:r>
    </w:p>
    <w:p w14:paraId="1537578F" w14:textId="03D16C8A" w:rsidR="00A011C1" w:rsidRPr="00A011C1" w:rsidRDefault="009A41D1" w:rsidP="00A011C1">
      <w:pPr>
        <w:pStyle w:val="Prrafodelista"/>
        <w:numPr>
          <w:ilvl w:val="0"/>
          <w:numId w:val="40"/>
        </w:numPr>
        <w:autoSpaceDE w:val="0"/>
        <w:autoSpaceDN w:val="0"/>
        <w:adjustRightInd w:val="0"/>
        <w:spacing w:before="240" w:line="360" w:lineRule="auto"/>
        <w:ind w:right="-18"/>
        <w:jc w:val="both"/>
        <w:rPr>
          <w:rFonts w:ascii="Palatino Linotype" w:hAnsi="Palatino Linotype"/>
          <w:b/>
          <w:iCs/>
        </w:rPr>
      </w:pPr>
      <w:r>
        <w:rPr>
          <w:rFonts w:ascii="Palatino Linotype" w:hAnsi="Palatino Linotype"/>
          <w:bCs/>
          <w:iCs/>
        </w:rPr>
        <w:t xml:space="preserve">Oficio </w:t>
      </w:r>
      <w:r>
        <w:rPr>
          <w:rFonts w:ascii="Palatino Linotype" w:hAnsi="Palatino Linotype"/>
          <w:b/>
          <w:iCs/>
        </w:rPr>
        <w:t xml:space="preserve">OPD/DG/ST/UJy/097/2022 </w:t>
      </w:r>
      <w:r>
        <w:rPr>
          <w:rFonts w:ascii="Palatino Linotype" w:hAnsi="Palatino Linotype"/>
          <w:bCs/>
          <w:iCs/>
        </w:rPr>
        <w:t xml:space="preserve">remitido mediante respuesta primigenia y cuyo contenido fue descrito con antelación. </w:t>
      </w:r>
    </w:p>
    <w:p w14:paraId="476955F9" w14:textId="77777777" w:rsidR="00916028" w:rsidRDefault="00916028" w:rsidP="00167F28">
      <w:pPr>
        <w:autoSpaceDE w:val="0"/>
        <w:autoSpaceDN w:val="0"/>
        <w:adjustRightInd w:val="0"/>
        <w:spacing w:before="240" w:line="360" w:lineRule="auto"/>
        <w:ind w:right="-18"/>
        <w:jc w:val="both"/>
        <w:rPr>
          <w:rFonts w:ascii="Palatino Linotype" w:hAnsi="Palatino Linotype"/>
          <w:bCs/>
          <w:iCs/>
          <w:sz w:val="24"/>
          <w:szCs w:val="24"/>
        </w:rPr>
      </w:pPr>
    </w:p>
    <w:p w14:paraId="0EDB7592" w14:textId="705B9159" w:rsidR="00766EFD" w:rsidRPr="004C117E" w:rsidRDefault="003D6CF6" w:rsidP="00C20835">
      <w:pPr>
        <w:pStyle w:val="Sinespaciado"/>
        <w:spacing w:line="360" w:lineRule="auto"/>
        <w:jc w:val="both"/>
        <w:rPr>
          <w:rFonts w:ascii="Palatino Linotype" w:hAnsi="Palatino Linotype"/>
        </w:rPr>
      </w:pPr>
      <w:r w:rsidRPr="004C117E">
        <w:rPr>
          <w:rFonts w:ascii="Palatino Linotype" w:hAnsi="Palatino Linotype"/>
        </w:rPr>
        <w:t>Debido a</w:t>
      </w:r>
      <w:r w:rsidR="00C20835" w:rsidRPr="004C117E">
        <w:rPr>
          <w:rFonts w:ascii="Palatino Linotype" w:hAnsi="Palatino Linotype"/>
        </w:rPr>
        <w:t xml:space="preserve"> lo anterior, </w:t>
      </w:r>
      <w:r w:rsidR="00766EFD" w:rsidRPr="004C117E">
        <w:rPr>
          <w:rFonts w:ascii="Palatino Linotype" w:hAnsi="Palatino Linotype"/>
        </w:rPr>
        <w:t>se arriban a las siguientes consideraciones:</w:t>
      </w:r>
    </w:p>
    <w:p w14:paraId="3C6D2956" w14:textId="26144FDA" w:rsidR="004F2337" w:rsidRPr="004C117E" w:rsidRDefault="004F2337" w:rsidP="004F2337">
      <w:pPr>
        <w:pStyle w:val="Sinespaciado"/>
        <w:numPr>
          <w:ilvl w:val="0"/>
          <w:numId w:val="19"/>
        </w:numPr>
        <w:spacing w:line="360" w:lineRule="auto"/>
        <w:jc w:val="both"/>
        <w:rPr>
          <w:rFonts w:ascii="Palatino Linotype" w:hAnsi="Palatino Linotype"/>
        </w:rPr>
      </w:pPr>
      <w:r w:rsidRPr="004C117E">
        <w:rPr>
          <w:rFonts w:ascii="Palatino Linotype" w:hAnsi="Palatino Linotype"/>
        </w:rPr>
        <w:t xml:space="preserve">El derecho de acceso a la información versa esencialmente en acceder a información registrada en cualquier soporte documental que en ejercicio de las atribuciones conferidas sea generada, poseída o administrada por los </w:t>
      </w:r>
      <w:r w:rsidRPr="004C117E">
        <w:rPr>
          <w:rFonts w:ascii="Palatino Linotype" w:hAnsi="Palatino Linotype"/>
          <w:b/>
          <w:bCs/>
        </w:rPr>
        <w:t xml:space="preserve">Sujetos Obligados. </w:t>
      </w:r>
    </w:p>
    <w:p w14:paraId="186D1706" w14:textId="62B12540" w:rsidR="009A41D1" w:rsidRDefault="004F2337" w:rsidP="004F2337">
      <w:pPr>
        <w:pStyle w:val="Prrafodelista"/>
        <w:numPr>
          <w:ilvl w:val="0"/>
          <w:numId w:val="19"/>
        </w:numPr>
        <w:autoSpaceDE w:val="0"/>
        <w:autoSpaceDN w:val="0"/>
        <w:adjustRightInd w:val="0"/>
        <w:spacing w:before="240" w:line="360" w:lineRule="auto"/>
        <w:jc w:val="both"/>
        <w:rPr>
          <w:rFonts w:ascii="Palatino Linotype" w:hAnsi="Palatino Linotype"/>
        </w:rPr>
      </w:pPr>
      <w:r w:rsidRPr="004C117E">
        <w:rPr>
          <w:rFonts w:ascii="Palatino Linotype" w:hAnsi="Palatino Linotype"/>
        </w:rPr>
        <w:lastRenderedPageBreak/>
        <w:t xml:space="preserve">Que mediante la solicitud de información </w:t>
      </w:r>
      <w:r w:rsidR="009A41D1">
        <w:rPr>
          <w:rFonts w:ascii="Palatino Linotype" w:hAnsi="Palatino Linotype" w:cs="Arial"/>
          <w:b/>
          <w:bCs/>
        </w:rPr>
        <w:t xml:space="preserve">00107/OASHUIXQUI/IP/2022 </w:t>
      </w:r>
      <w:r w:rsidR="009A41D1">
        <w:rPr>
          <w:rFonts w:ascii="Palatino Linotype" w:hAnsi="Palatino Linotype" w:cs="Arial"/>
        </w:rPr>
        <w:t>fueron requeridos listado</w:t>
      </w:r>
      <w:r w:rsidR="002527DD">
        <w:rPr>
          <w:rFonts w:ascii="Palatino Linotype" w:hAnsi="Palatino Linotype" w:cs="Arial"/>
        </w:rPr>
        <w:t>s</w:t>
      </w:r>
      <w:r w:rsidR="009A41D1">
        <w:rPr>
          <w:rFonts w:ascii="Palatino Linotype" w:hAnsi="Palatino Linotype" w:cs="Arial"/>
        </w:rPr>
        <w:t xml:space="preserve"> correspondientes a procedimientos judiciales, así como el relativo a procedimientos administrativos de ejecución. </w:t>
      </w:r>
    </w:p>
    <w:p w14:paraId="29CA4760" w14:textId="609D7428" w:rsidR="009A41D1" w:rsidRPr="006651B2" w:rsidRDefault="009A41D1" w:rsidP="004F2337">
      <w:pPr>
        <w:pStyle w:val="Sinespaciado"/>
        <w:numPr>
          <w:ilvl w:val="0"/>
          <w:numId w:val="19"/>
        </w:numPr>
        <w:spacing w:line="360" w:lineRule="auto"/>
        <w:jc w:val="both"/>
        <w:rPr>
          <w:rFonts w:ascii="Palatino Linotype" w:hAnsi="Palatino Linotype"/>
        </w:rPr>
      </w:pPr>
      <w:r>
        <w:rPr>
          <w:rFonts w:ascii="Palatino Linotype" w:hAnsi="Palatino Linotype"/>
        </w:rPr>
        <w:t xml:space="preserve">Que de una interpretación sistemática a los artículos </w:t>
      </w:r>
      <w:r w:rsidR="006651B2" w:rsidRPr="006651B2">
        <w:rPr>
          <w:rFonts w:ascii="Palatino Linotype" w:hAnsi="Palatino Linotype"/>
          <w:iCs/>
          <w:noProof/>
        </w:rPr>
        <w:t xml:space="preserve">30 y 376 del Código Financiero del Estado de México y Municipios; así como los numerales </w:t>
      </w:r>
      <w:r w:rsidR="006651B2" w:rsidRPr="006651B2">
        <w:rPr>
          <w:rFonts w:ascii="Palatino Linotype" w:hAnsi="Palatino Linotype"/>
          <w:iCs/>
        </w:rPr>
        <w:t>23, 26 fracciones I, XIII, XV y XVI, 61, 66 fracción IV, 67 fracciones I y IV del Reglamento Interno del Organismo Público Descentralizado para la Prestación de los Servicios de Agua Potable, Drenaje y Tratamiento de Aguas Residuales del Municipio de Huixquilucan,</w:t>
      </w:r>
      <w:r w:rsidR="006651B2">
        <w:rPr>
          <w:rFonts w:ascii="Palatino Linotype" w:hAnsi="Palatino Linotype"/>
          <w:iCs/>
        </w:rPr>
        <w:t xml:space="preserve"> se desprende que la Unidad </w:t>
      </w:r>
      <w:r w:rsidR="006651B2">
        <w:rPr>
          <w:rFonts w:ascii="Palatino Linotype" w:hAnsi="Palatino Linotype" w:cs="Arial"/>
        </w:rPr>
        <w:t xml:space="preserve">Jurídica y de Género genera, posee y administra soportes documentales vinculados con procedimientos jurisdiccionales. En contraste, los procedimientos administrativos de ejecución resultan ámbito de la Dirección de Comercialización, Gerencia de Cobranza y el Departamento de Cobranza y Ejecución Fiscal. </w:t>
      </w:r>
    </w:p>
    <w:p w14:paraId="3FD5DD0A" w14:textId="0A8D9FC7" w:rsidR="009A41D1" w:rsidRPr="006651B2" w:rsidRDefault="009A41D1" w:rsidP="009A41D1">
      <w:pPr>
        <w:pStyle w:val="Sinespaciado"/>
        <w:spacing w:line="360" w:lineRule="auto"/>
        <w:jc w:val="both"/>
        <w:rPr>
          <w:rFonts w:ascii="Palatino Linotype" w:hAnsi="Palatino Linotype"/>
        </w:rPr>
      </w:pPr>
    </w:p>
    <w:p w14:paraId="4EA60AE5" w14:textId="2CBCA078" w:rsidR="006651B2" w:rsidRPr="006651B2" w:rsidRDefault="006651B2" w:rsidP="006651B2">
      <w:pPr>
        <w:pStyle w:val="Sinespaciado"/>
        <w:numPr>
          <w:ilvl w:val="0"/>
          <w:numId w:val="19"/>
        </w:numPr>
        <w:spacing w:line="360" w:lineRule="auto"/>
        <w:jc w:val="both"/>
        <w:rPr>
          <w:rFonts w:ascii="Palatino Linotype" w:hAnsi="Palatino Linotype"/>
        </w:rPr>
      </w:pPr>
      <w:r>
        <w:rPr>
          <w:rFonts w:ascii="Palatino Linotype" w:hAnsi="Palatino Linotype"/>
        </w:rPr>
        <w:t>Que e</w:t>
      </w:r>
      <w:r w:rsidR="004F2337" w:rsidRPr="004C117E">
        <w:rPr>
          <w:rFonts w:ascii="Palatino Linotype" w:hAnsi="Palatino Linotype"/>
        </w:rPr>
        <w:t xml:space="preserve">n términos del numeral 162 de la Ley de Transparencia local, las unidades </w:t>
      </w:r>
      <w:r w:rsidR="00A06A16" w:rsidRPr="004C117E">
        <w:rPr>
          <w:rFonts w:ascii="Palatino Linotype" w:hAnsi="Palatino Linotype"/>
        </w:rPr>
        <w:t>de transparencia</w:t>
      </w:r>
      <w:r w:rsidR="004F2337" w:rsidRPr="004C117E">
        <w:rPr>
          <w:rFonts w:ascii="Palatino Linotype" w:hAnsi="Palatino Linotype"/>
        </w:rPr>
        <w:t xml:space="preserve"> deberán de garantizar que las solicitudes de información formuladas por la ciudadanía sean turnadas a todas las áreas administrativas </w:t>
      </w:r>
      <w:r w:rsidR="002527DD" w:rsidRPr="004C117E">
        <w:rPr>
          <w:rFonts w:ascii="Palatino Linotype" w:hAnsi="Palatino Linotype"/>
        </w:rPr>
        <w:t>debido a</w:t>
      </w:r>
      <w:r w:rsidR="004F2337" w:rsidRPr="004C117E">
        <w:rPr>
          <w:rFonts w:ascii="Palatino Linotype" w:hAnsi="Palatino Linotype"/>
        </w:rPr>
        <w:t xml:space="preserve"> las facultades, competencias y funciones reservadas.</w:t>
      </w:r>
      <w:r w:rsidR="00372D3E">
        <w:rPr>
          <w:rFonts w:ascii="Palatino Linotype" w:hAnsi="Palatino Linotype"/>
        </w:rPr>
        <w:t xml:space="preserve"> Porción normativa </w:t>
      </w:r>
      <w:r w:rsidR="009A41D1">
        <w:rPr>
          <w:rFonts w:ascii="Palatino Linotype" w:hAnsi="Palatino Linotype"/>
        </w:rPr>
        <w:t>in</w:t>
      </w:r>
      <w:r w:rsidR="00372D3E">
        <w:rPr>
          <w:rFonts w:ascii="Palatino Linotype" w:hAnsi="Palatino Linotype"/>
        </w:rPr>
        <w:t xml:space="preserve">observada por </w:t>
      </w:r>
      <w:r w:rsidR="00372D3E">
        <w:rPr>
          <w:rFonts w:ascii="Palatino Linotype" w:hAnsi="Palatino Linotype"/>
          <w:b/>
          <w:bCs/>
        </w:rPr>
        <w:t>El Sujeto Obligado</w:t>
      </w:r>
      <w:r w:rsidR="00CB7BD3">
        <w:rPr>
          <w:rFonts w:ascii="Palatino Linotype" w:hAnsi="Palatino Linotype"/>
          <w:b/>
          <w:bCs/>
        </w:rPr>
        <w:t xml:space="preserve">, </w:t>
      </w:r>
      <w:r>
        <w:rPr>
          <w:rFonts w:ascii="Palatino Linotype" w:hAnsi="Palatino Linotype"/>
        </w:rPr>
        <w:t xml:space="preserve">al tomar en consideración que </w:t>
      </w:r>
      <w:r>
        <w:rPr>
          <w:rFonts w:ascii="Palatino Linotype" w:hAnsi="Palatino Linotype"/>
        </w:rPr>
        <w:lastRenderedPageBreak/>
        <w:t xml:space="preserve">la solicitud de información no fue turnada a </w:t>
      </w:r>
      <w:r>
        <w:rPr>
          <w:rFonts w:ascii="Palatino Linotype" w:hAnsi="Palatino Linotype" w:cs="Arial"/>
        </w:rPr>
        <w:t xml:space="preserve">la Dirección de Comercialización, Gerencia de Cobranza y el Departamento de Cobranza y Ejecución Fiscal, insistiendo en que los procedimientos administrativos de ejecución resultan ámbito de competencia de las unidades administrativas en cita. </w:t>
      </w:r>
    </w:p>
    <w:p w14:paraId="4762B2BB" w14:textId="09C2981F" w:rsidR="006651B2" w:rsidRPr="006651B2" w:rsidRDefault="002527DD" w:rsidP="005B2AEB">
      <w:pPr>
        <w:pStyle w:val="Prrafodelista"/>
        <w:numPr>
          <w:ilvl w:val="0"/>
          <w:numId w:val="19"/>
        </w:numPr>
        <w:tabs>
          <w:tab w:val="left" w:pos="709"/>
        </w:tabs>
        <w:autoSpaceDE w:val="0"/>
        <w:autoSpaceDN w:val="0"/>
        <w:adjustRightInd w:val="0"/>
        <w:spacing w:before="240" w:line="360" w:lineRule="auto"/>
        <w:ind w:right="51"/>
        <w:jc w:val="both"/>
        <w:rPr>
          <w:rFonts w:ascii="Arial" w:hAnsi="Arial" w:cs="Arial"/>
          <w:color w:val="222222"/>
          <w:lang w:eastAsia="es-MX"/>
        </w:rPr>
      </w:pPr>
      <w:r w:rsidRPr="006651B2">
        <w:rPr>
          <w:rFonts w:ascii="Palatino Linotype" w:hAnsi="Palatino Linotype"/>
        </w:rPr>
        <w:t>Que,</w:t>
      </w:r>
      <w:r w:rsidR="00C53F93" w:rsidRPr="006651B2">
        <w:rPr>
          <w:rFonts w:ascii="Palatino Linotype" w:hAnsi="Palatino Linotype"/>
        </w:rPr>
        <w:t xml:space="preserve"> mediante respuesta primigenia, </w:t>
      </w:r>
      <w:r w:rsidR="005106F9" w:rsidRPr="006651B2">
        <w:rPr>
          <w:rFonts w:ascii="Palatino Linotype" w:hAnsi="Palatino Linotype"/>
        </w:rPr>
        <w:t xml:space="preserve">el servidor público habilitado </w:t>
      </w:r>
      <w:r w:rsidR="00CB7BD3" w:rsidRPr="006651B2">
        <w:rPr>
          <w:rFonts w:ascii="Palatino Linotype" w:hAnsi="Palatino Linotype"/>
        </w:rPr>
        <w:t xml:space="preserve">adscrito a la </w:t>
      </w:r>
      <w:r w:rsidR="006651B2">
        <w:rPr>
          <w:rFonts w:ascii="Palatino Linotype" w:hAnsi="Palatino Linotype"/>
          <w:iCs/>
        </w:rPr>
        <w:t xml:space="preserve">Unidad </w:t>
      </w:r>
      <w:r w:rsidR="006651B2">
        <w:rPr>
          <w:rFonts w:ascii="Palatino Linotype" w:hAnsi="Palatino Linotype" w:cs="Arial"/>
        </w:rPr>
        <w:t>Jurídica y de Género</w:t>
      </w:r>
      <w:r w:rsidR="006651B2" w:rsidRPr="006651B2">
        <w:rPr>
          <w:rFonts w:ascii="Palatino Linotype" w:hAnsi="Palatino Linotype"/>
        </w:rPr>
        <w:t xml:space="preserve"> </w:t>
      </w:r>
      <w:r w:rsidR="006651B2">
        <w:rPr>
          <w:rFonts w:ascii="Palatino Linotype" w:hAnsi="Palatino Linotype"/>
        </w:rPr>
        <w:t xml:space="preserve">proporcionó documento ad hoc que refleja procedimientos jurisdiccionales, atendiendo el requerimiento identificado con el numeral </w:t>
      </w:r>
      <w:r w:rsidR="006651B2">
        <w:rPr>
          <w:rFonts w:ascii="Palatino Linotype" w:hAnsi="Palatino Linotype"/>
          <w:b/>
          <w:bCs/>
        </w:rPr>
        <w:t xml:space="preserve">1 -uno-, </w:t>
      </w:r>
      <w:r w:rsidR="006651B2">
        <w:rPr>
          <w:rFonts w:ascii="Palatino Linotype" w:hAnsi="Palatino Linotype"/>
        </w:rPr>
        <w:t>en consecuencia, la respuesta primigenia colmó parcialmente el derecho de acceso a la información</w:t>
      </w:r>
      <w:r w:rsidR="006651B2">
        <w:rPr>
          <w:rFonts w:ascii="Palatino Linotype" w:hAnsi="Palatino Linotype"/>
          <w:sz w:val="22"/>
          <w:szCs w:val="22"/>
        </w:rPr>
        <w:t xml:space="preserve"> pública. </w:t>
      </w:r>
    </w:p>
    <w:p w14:paraId="3F803A76" w14:textId="6DDA94B5" w:rsidR="00CB7BD3" w:rsidRPr="00CB7BD3" w:rsidRDefault="00CE2335" w:rsidP="006651B2">
      <w:pPr>
        <w:pStyle w:val="Prrafodelista"/>
        <w:numPr>
          <w:ilvl w:val="0"/>
          <w:numId w:val="19"/>
        </w:numPr>
        <w:tabs>
          <w:tab w:val="left" w:pos="709"/>
        </w:tabs>
        <w:autoSpaceDE w:val="0"/>
        <w:autoSpaceDN w:val="0"/>
        <w:adjustRightInd w:val="0"/>
        <w:spacing w:before="240" w:line="360" w:lineRule="auto"/>
        <w:ind w:right="51"/>
        <w:jc w:val="both"/>
        <w:rPr>
          <w:rFonts w:ascii="Palatino Linotype" w:hAnsi="Palatino Linotype" w:cs="Arial"/>
          <w:b/>
          <w:bCs/>
          <w:color w:val="222222"/>
          <w:u w:val="single"/>
        </w:rPr>
      </w:pPr>
      <w:r w:rsidRPr="006651B2">
        <w:rPr>
          <w:rFonts w:ascii="Palatino Linotype" w:hAnsi="Palatino Linotype"/>
        </w:rPr>
        <w:t>Que,</w:t>
      </w:r>
      <w:r w:rsidR="00944F1C" w:rsidRPr="006651B2">
        <w:rPr>
          <w:rFonts w:ascii="Palatino Linotype" w:hAnsi="Palatino Linotype"/>
        </w:rPr>
        <w:t xml:space="preserve"> </w:t>
      </w:r>
      <w:r w:rsidR="006651B2">
        <w:rPr>
          <w:rFonts w:ascii="Palatino Linotype" w:hAnsi="Palatino Linotype"/>
        </w:rPr>
        <w:t>mediante el acto impugnado y motivos de inconformidad, el particular refirió que la información se encuentra incompleta. Asimismo, la remitida no refleja nombre de la contraparte (</w:t>
      </w:r>
      <w:r w:rsidR="006651B2" w:rsidRPr="006651B2">
        <w:rPr>
          <w:rFonts w:ascii="Palatino Linotype" w:hAnsi="Palatino Linotype"/>
          <w:i/>
          <w:iCs/>
        </w:rPr>
        <w:t>plus petitio</w:t>
      </w:r>
      <w:r w:rsidR="006651B2">
        <w:rPr>
          <w:rFonts w:ascii="Palatino Linotype" w:hAnsi="Palatino Linotype"/>
        </w:rPr>
        <w:t xml:space="preserve">). </w:t>
      </w:r>
    </w:p>
    <w:p w14:paraId="72C621B1" w14:textId="31D30D9D" w:rsidR="006E7EEE" w:rsidRDefault="00CE2335" w:rsidP="00766EFD">
      <w:pPr>
        <w:pStyle w:val="Sinespaciado"/>
        <w:numPr>
          <w:ilvl w:val="0"/>
          <w:numId w:val="19"/>
        </w:numPr>
        <w:spacing w:line="360" w:lineRule="auto"/>
        <w:jc w:val="both"/>
        <w:rPr>
          <w:rFonts w:ascii="Palatino Linotype" w:hAnsi="Palatino Linotype"/>
        </w:rPr>
      </w:pPr>
      <w:r>
        <w:rPr>
          <w:rFonts w:ascii="Palatino Linotype" w:hAnsi="Palatino Linotype"/>
        </w:rPr>
        <w:t>Asimismo</w:t>
      </w:r>
      <w:r w:rsidR="006E7EEE" w:rsidRPr="004C117E">
        <w:rPr>
          <w:rFonts w:ascii="Palatino Linotype" w:hAnsi="Palatino Linotype"/>
        </w:rPr>
        <w:t xml:space="preserve">, se destaca que </w:t>
      </w:r>
      <w:r>
        <w:rPr>
          <w:rFonts w:ascii="Palatino Linotype" w:hAnsi="Palatino Linotype"/>
        </w:rPr>
        <w:t xml:space="preserve">el informe justificado rendido por </w:t>
      </w:r>
      <w:r>
        <w:rPr>
          <w:rFonts w:ascii="Palatino Linotype" w:hAnsi="Palatino Linotype"/>
          <w:b/>
          <w:bCs/>
        </w:rPr>
        <w:t xml:space="preserve">El Sujeto Obligado </w:t>
      </w:r>
      <w:r>
        <w:rPr>
          <w:rFonts w:ascii="Palatino Linotype" w:hAnsi="Palatino Linotype"/>
        </w:rPr>
        <w:t xml:space="preserve">se limitó a confirmar la respuesta primigenia, luego entonces no se subsanó la violación al derecho de acceso a la información pública. </w:t>
      </w:r>
    </w:p>
    <w:p w14:paraId="08BE1E4C" w14:textId="2AA7930C" w:rsidR="00CE2335" w:rsidRPr="00CE2335" w:rsidRDefault="00CE2335" w:rsidP="00766EFD">
      <w:pPr>
        <w:pStyle w:val="Sinespaciado"/>
        <w:numPr>
          <w:ilvl w:val="0"/>
          <w:numId w:val="19"/>
        </w:numPr>
        <w:spacing w:line="360" w:lineRule="auto"/>
        <w:jc w:val="both"/>
        <w:rPr>
          <w:rFonts w:ascii="Palatino Linotype" w:hAnsi="Palatino Linotype"/>
        </w:rPr>
      </w:pPr>
      <w:r>
        <w:rPr>
          <w:rFonts w:ascii="Palatino Linotype" w:hAnsi="Palatino Linotype"/>
        </w:rPr>
        <w:t xml:space="preserve">Finalmente, con relación a </w:t>
      </w:r>
      <w:r>
        <w:rPr>
          <w:rFonts w:ascii="Palatino Linotype" w:hAnsi="Palatino Linotype"/>
          <w:i/>
          <w:iCs/>
        </w:rPr>
        <w:t xml:space="preserve">“listado de”, </w:t>
      </w:r>
      <w:r w:rsidRPr="00336257">
        <w:rPr>
          <w:rFonts w:ascii="Palatino Linotype" w:hAnsi="Palatino Linotype"/>
          <w:bCs/>
        </w:rPr>
        <w:t xml:space="preserve">resulta oportuno referir que en términos del numeral 12 de la Ley de Transparencia local, los </w:t>
      </w:r>
      <w:r w:rsidRPr="00336257">
        <w:rPr>
          <w:rFonts w:ascii="Palatino Linotype" w:hAnsi="Palatino Linotype"/>
          <w:b/>
        </w:rPr>
        <w:t xml:space="preserve">Sujetos Obligados </w:t>
      </w:r>
      <w:r w:rsidRPr="00336257">
        <w:rPr>
          <w:rFonts w:ascii="Palatino Linotype" w:hAnsi="Palatino Linotype"/>
          <w:bCs/>
        </w:rPr>
        <w:t xml:space="preserve">no se encuentran constreñidos a procesar información, efectuar cálculos, practicar </w:t>
      </w:r>
      <w:r w:rsidRPr="00336257">
        <w:rPr>
          <w:rFonts w:ascii="Palatino Linotype" w:hAnsi="Palatino Linotype"/>
          <w:bCs/>
        </w:rPr>
        <w:lastRenderedPageBreak/>
        <w:t>investigaciones o generar documentos para colmar el derecho de acceso a la información pública</w:t>
      </w:r>
      <w:r>
        <w:rPr>
          <w:rFonts w:ascii="Palatino Linotype" w:hAnsi="Palatino Linotype"/>
          <w:bCs/>
        </w:rPr>
        <w:t>.</w:t>
      </w:r>
    </w:p>
    <w:p w14:paraId="79C0F598" w14:textId="600BA959" w:rsidR="00CE2335" w:rsidRPr="004C117E" w:rsidRDefault="00CE2335" w:rsidP="00CE2335">
      <w:pPr>
        <w:pStyle w:val="Sinespaciado"/>
        <w:spacing w:line="360" w:lineRule="auto"/>
        <w:ind w:left="720"/>
        <w:jc w:val="both"/>
        <w:rPr>
          <w:rFonts w:ascii="Palatino Linotype" w:hAnsi="Palatino Linotype"/>
        </w:rPr>
      </w:pPr>
      <w:r>
        <w:rPr>
          <w:rFonts w:ascii="Palatino Linotype" w:hAnsi="Palatino Linotype"/>
          <w:bCs/>
        </w:rPr>
        <w:t xml:space="preserve">Robustece lo anterior, el </w:t>
      </w:r>
      <w:r>
        <w:rPr>
          <w:rFonts w:ascii="Palatino Linotype" w:hAnsi="Palatino Linotype"/>
          <w:noProof/>
          <w:lang w:eastAsia="es-MX"/>
        </w:rPr>
        <w:t xml:space="preserve">criterio </w:t>
      </w:r>
      <w:r w:rsidRPr="009175C6">
        <w:rPr>
          <w:rFonts w:ascii="Palatino Linotype" w:hAnsi="Palatino Linotype"/>
          <w:b/>
          <w:bCs/>
          <w:noProof/>
          <w:lang w:eastAsia="es-MX"/>
        </w:rPr>
        <w:t>03/17</w:t>
      </w:r>
      <w:r>
        <w:rPr>
          <w:rFonts w:ascii="Palatino Linotype" w:hAnsi="Palatino Linotype"/>
          <w:noProof/>
          <w:lang w:eastAsia="es-MX"/>
        </w:rPr>
        <w:t xml:space="preserve"> del Instituto Nacional de Transparencia, Acceso a la Información y Protección de Datos Personales, que dispone a la literalidad lo siguiente:</w:t>
      </w:r>
    </w:p>
    <w:p w14:paraId="3B7DFEC1" w14:textId="77777777" w:rsidR="00CE2335" w:rsidRDefault="00CE2335" w:rsidP="00CE2335">
      <w:pPr>
        <w:pStyle w:val="Citas"/>
        <w:ind w:right="72"/>
        <w:rPr>
          <w:b/>
          <w:spacing w:val="18"/>
        </w:rPr>
      </w:pPr>
      <w:r>
        <w:rPr>
          <w:b/>
        </w:rPr>
        <w:t xml:space="preserve">“NO EXISTE OBLIGACIÓN DE ELABORAR </w:t>
      </w:r>
      <w:r w:rsidRPr="00465B9A">
        <w:rPr>
          <w:b/>
          <w:spacing w:val="-3"/>
        </w:rPr>
        <w:t>D</w:t>
      </w:r>
      <w:r w:rsidRPr="00465B9A">
        <w:rPr>
          <w:b/>
        </w:rPr>
        <w:t>OCUM</w:t>
      </w:r>
      <w:r w:rsidRPr="00465B9A">
        <w:rPr>
          <w:b/>
          <w:spacing w:val="1"/>
        </w:rPr>
        <w:t>E</w:t>
      </w:r>
      <w:r w:rsidRPr="00465B9A">
        <w:rPr>
          <w:b/>
        </w:rPr>
        <w:t>N</w:t>
      </w:r>
      <w:r w:rsidRPr="00465B9A">
        <w:rPr>
          <w:b/>
          <w:spacing w:val="-1"/>
        </w:rPr>
        <w:t>T</w:t>
      </w:r>
      <w:r w:rsidRPr="00465B9A">
        <w:rPr>
          <w:b/>
        </w:rPr>
        <w:t>OS</w:t>
      </w:r>
      <w:r w:rsidRPr="00465B9A">
        <w:rPr>
          <w:b/>
          <w:spacing w:val="14"/>
        </w:rPr>
        <w:t xml:space="preserve"> </w:t>
      </w:r>
      <w:r w:rsidRPr="00465B9A">
        <w:rPr>
          <w:b/>
          <w:spacing w:val="-1"/>
        </w:rPr>
        <w:t xml:space="preserve">AD </w:t>
      </w:r>
      <w:r w:rsidRPr="00465B9A">
        <w:rPr>
          <w:b/>
        </w:rPr>
        <w:t>HOC</w:t>
      </w:r>
      <w:r w:rsidRPr="00465B9A">
        <w:rPr>
          <w:b/>
          <w:spacing w:val="11"/>
        </w:rPr>
        <w:t xml:space="preserve"> </w:t>
      </w:r>
      <w:r w:rsidRPr="00465B9A">
        <w:rPr>
          <w:b/>
        </w:rPr>
        <w:t>PARA</w:t>
      </w:r>
      <w:r w:rsidRPr="00465B9A">
        <w:rPr>
          <w:b/>
          <w:spacing w:val="10"/>
        </w:rPr>
        <w:t xml:space="preserve"> </w:t>
      </w:r>
      <w:r>
        <w:rPr>
          <w:b/>
        </w:rPr>
        <w:t>ATENDER LAS S</w:t>
      </w:r>
      <w:r w:rsidRPr="00465B9A">
        <w:rPr>
          <w:b/>
        </w:rPr>
        <w:t>OL</w:t>
      </w:r>
      <w:r w:rsidRPr="00465B9A">
        <w:rPr>
          <w:b/>
          <w:spacing w:val="-2"/>
        </w:rPr>
        <w:t>I</w:t>
      </w:r>
      <w:r w:rsidRPr="00465B9A">
        <w:rPr>
          <w:b/>
          <w:spacing w:val="1"/>
        </w:rPr>
        <w:t>C</w:t>
      </w:r>
      <w:r w:rsidRPr="00465B9A">
        <w:rPr>
          <w:b/>
        </w:rPr>
        <w:t>ITUD</w:t>
      </w:r>
      <w:r>
        <w:rPr>
          <w:b/>
        </w:rPr>
        <w:t>ES</w:t>
      </w:r>
      <w:r w:rsidRPr="00465B9A">
        <w:rPr>
          <w:b/>
          <w:spacing w:val="10"/>
        </w:rPr>
        <w:t xml:space="preserve"> </w:t>
      </w:r>
      <w:r w:rsidRPr="00465B9A">
        <w:rPr>
          <w:b/>
        </w:rPr>
        <w:t>DE</w:t>
      </w:r>
      <w:r w:rsidRPr="00465B9A">
        <w:rPr>
          <w:b/>
          <w:spacing w:val="9"/>
        </w:rPr>
        <w:t xml:space="preserve"> </w:t>
      </w:r>
      <w:r w:rsidRPr="00465B9A">
        <w:rPr>
          <w:b/>
          <w:spacing w:val="1"/>
        </w:rPr>
        <w:t>AC</w:t>
      </w:r>
      <w:r w:rsidRPr="00465B9A">
        <w:rPr>
          <w:b/>
          <w:spacing w:val="-1"/>
        </w:rPr>
        <w:t>C</w:t>
      </w:r>
      <w:r w:rsidRPr="00465B9A">
        <w:rPr>
          <w:b/>
          <w:spacing w:val="1"/>
        </w:rPr>
        <w:t>ES</w:t>
      </w:r>
      <w:r w:rsidRPr="00465B9A">
        <w:rPr>
          <w:b/>
        </w:rPr>
        <w:t>O</w:t>
      </w:r>
      <w:r w:rsidRPr="00465B9A">
        <w:rPr>
          <w:b/>
          <w:spacing w:val="11"/>
        </w:rPr>
        <w:t xml:space="preserve"> </w:t>
      </w:r>
      <w:r w:rsidRPr="00465B9A">
        <w:rPr>
          <w:b/>
        </w:rPr>
        <w:t>A</w:t>
      </w:r>
      <w:r w:rsidRPr="00465B9A">
        <w:rPr>
          <w:b/>
          <w:spacing w:val="9"/>
        </w:rPr>
        <w:t xml:space="preserve"> </w:t>
      </w:r>
      <w:r w:rsidRPr="00465B9A">
        <w:rPr>
          <w:b/>
        </w:rPr>
        <w:t>LA</w:t>
      </w:r>
      <w:r w:rsidRPr="00465B9A">
        <w:rPr>
          <w:b/>
          <w:spacing w:val="10"/>
        </w:rPr>
        <w:t xml:space="preserve"> </w:t>
      </w:r>
      <w:r w:rsidRPr="00465B9A">
        <w:rPr>
          <w:b/>
        </w:rPr>
        <w:t>INFORMA</w:t>
      </w:r>
      <w:r w:rsidRPr="00465B9A">
        <w:rPr>
          <w:b/>
          <w:spacing w:val="1"/>
        </w:rPr>
        <w:t>C</w:t>
      </w:r>
      <w:r w:rsidRPr="00465B9A">
        <w:rPr>
          <w:b/>
        </w:rPr>
        <w:t>IÓ</w:t>
      </w:r>
      <w:r w:rsidRPr="00465B9A">
        <w:rPr>
          <w:b/>
          <w:spacing w:val="-2"/>
        </w:rPr>
        <w:t>N</w:t>
      </w:r>
      <w:r w:rsidRPr="00465B9A">
        <w:rPr>
          <w:b/>
        </w:rPr>
        <w:t>.</w:t>
      </w:r>
      <w:r w:rsidRPr="00465B9A">
        <w:rPr>
          <w:b/>
          <w:spacing w:val="18"/>
        </w:rPr>
        <w:t xml:space="preserve"> </w:t>
      </w:r>
    </w:p>
    <w:p w14:paraId="6BA313AB" w14:textId="77777777" w:rsidR="00CE2335" w:rsidRPr="009175C6" w:rsidRDefault="00CE2335" w:rsidP="00CE2335">
      <w:pPr>
        <w:pStyle w:val="Citas"/>
        <w:ind w:right="72"/>
        <w:rPr>
          <w:b/>
          <w:bCs/>
        </w:rPr>
      </w:pPr>
      <w:r w:rsidRPr="009805D7">
        <w:rPr>
          <w:spacing w:val="18"/>
        </w:rPr>
        <w:t>L</w:t>
      </w:r>
      <w:r>
        <w:rPr>
          <w:spacing w:val="-1"/>
        </w:rPr>
        <w:t xml:space="preserve">os </w:t>
      </w:r>
      <w:r w:rsidRPr="00465B9A">
        <w:rPr>
          <w:spacing w:val="1"/>
        </w:rPr>
        <w:t>a</w:t>
      </w:r>
      <w:r w:rsidRPr="00465B9A">
        <w:t>rt</w:t>
      </w:r>
      <w:r w:rsidRPr="00465B9A">
        <w:rPr>
          <w:spacing w:val="-2"/>
        </w:rPr>
        <w:t>í</w:t>
      </w:r>
      <w:r w:rsidRPr="00465B9A">
        <w:t>c</w:t>
      </w:r>
      <w:r w:rsidRPr="00465B9A">
        <w:rPr>
          <w:spacing w:val="1"/>
        </w:rPr>
        <w:t>u</w:t>
      </w:r>
      <w:r w:rsidRPr="00465B9A">
        <w:t>lo</w:t>
      </w:r>
      <w:r>
        <w:t>s</w:t>
      </w:r>
      <w:r w:rsidRPr="00465B9A">
        <w:rPr>
          <w:spacing w:val="8"/>
        </w:rPr>
        <w:t xml:space="preserve"> </w:t>
      </w:r>
      <w:r>
        <w:rPr>
          <w:spacing w:val="8"/>
        </w:rPr>
        <w:t xml:space="preserve">129 </w:t>
      </w:r>
      <w:r w:rsidRPr="00465B9A">
        <w:rPr>
          <w:spacing w:val="1"/>
        </w:rPr>
        <w:t>d</w:t>
      </w:r>
      <w:r w:rsidRPr="00465B9A">
        <w:t>e</w:t>
      </w:r>
      <w:r w:rsidRPr="00465B9A">
        <w:rPr>
          <w:spacing w:val="9"/>
        </w:rPr>
        <w:t xml:space="preserve"> </w:t>
      </w:r>
      <w:r w:rsidRPr="00465B9A">
        <w:t>la</w:t>
      </w:r>
      <w:r w:rsidRPr="00465B9A">
        <w:rPr>
          <w:spacing w:val="10"/>
        </w:rPr>
        <w:t xml:space="preserve"> </w:t>
      </w:r>
      <w:r w:rsidRPr="00465B9A">
        <w:rPr>
          <w:spacing w:val="-1"/>
        </w:rPr>
        <w:t>L</w:t>
      </w:r>
      <w:r w:rsidRPr="00465B9A">
        <w:rPr>
          <w:spacing w:val="1"/>
        </w:rPr>
        <w:t>e</w:t>
      </w:r>
      <w:r w:rsidRPr="00465B9A">
        <w:t>y</w:t>
      </w:r>
      <w:r w:rsidRPr="00465B9A">
        <w:rPr>
          <w:spacing w:val="8"/>
        </w:rPr>
        <w:t xml:space="preserve"> </w:t>
      </w:r>
      <w:r>
        <w:t>General</w:t>
      </w:r>
      <w:r w:rsidRPr="00465B9A">
        <w:rPr>
          <w:spacing w:val="10"/>
        </w:rPr>
        <w:t xml:space="preserve"> </w:t>
      </w:r>
      <w:r w:rsidRPr="00465B9A">
        <w:rPr>
          <w:spacing w:val="-1"/>
        </w:rPr>
        <w:t>d</w:t>
      </w:r>
      <w:r w:rsidRPr="00465B9A">
        <w:t>e</w:t>
      </w:r>
      <w:r w:rsidRPr="00465B9A">
        <w:rPr>
          <w:spacing w:val="9"/>
        </w:rPr>
        <w:t xml:space="preserve"> </w:t>
      </w:r>
      <w:r w:rsidRPr="00465B9A">
        <w:rPr>
          <w:spacing w:val="2"/>
        </w:rPr>
        <w:t>T</w:t>
      </w:r>
      <w:r w:rsidRPr="00465B9A">
        <w:t>r</w:t>
      </w:r>
      <w:r w:rsidRPr="00465B9A">
        <w:rPr>
          <w:spacing w:val="-2"/>
        </w:rPr>
        <w:t>a</w:t>
      </w:r>
      <w:r w:rsidRPr="00465B9A">
        <w:rPr>
          <w:spacing w:val="1"/>
        </w:rPr>
        <w:t>n</w:t>
      </w:r>
      <w:r w:rsidRPr="00465B9A">
        <w:t>s</w:t>
      </w:r>
      <w:r w:rsidRPr="00465B9A">
        <w:rPr>
          <w:spacing w:val="1"/>
        </w:rPr>
        <w:t>pa</w:t>
      </w:r>
      <w:r w:rsidRPr="00465B9A">
        <w:t>r</w:t>
      </w:r>
      <w:r w:rsidRPr="00465B9A">
        <w:rPr>
          <w:spacing w:val="-2"/>
        </w:rPr>
        <w:t>e</w:t>
      </w:r>
      <w:r w:rsidRPr="00465B9A">
        <w:rPr>
          <w:spacing w:val="1"/>
        </w:rPr>
        <w:t>n</w:t>
      </w:r>
      <w:r w:rsidRPr="00465B9A">
        <w:t>cia y Acc</w:t>
      </w:r>
      <w:r w:rsidRPr="00465B9A">
        <w:rPr>
          <w:spacing w:val="1"/>
        </w:rPr>
        <w:t>e</w:t>
      </w:r>
      <w:r w:rsidRPr="00465B9A">
        <w:t>so</w:t>
      </w:r>
      <w:r w:rsidRPr="00465B9A">
        <w:rPr>
          <w:spacing w:val="3"/>
        </w:rPr>
        <w:t xml:space="preserve"> </w:t>
      </w:r>
      <w:r w:rsidRPr="00465B9A">
        <w:t>a</w:t>
      </w:r>
      <w:r w:rsidRPr="00465B9A">
        <w:rPr>
          <w:spacing w:val="1"/>
        </w:rPr>
        <w:t xml:space="preserve"> </w:t>
      </w:r>
      <w:r w:rsidRPr="00465B9A">
        <w:t>la I</w:t>
      </w:r>
      <w:r w:rsidRPr="00465B9A">
        <w:rPr>
          <w:spacing w:val="-1"/>
        </w:rPr>
        <w:t>n</w:t>
      </w:r>
      <w:r w:rsidRPr="00465B9A">
        <w:t>f</w:t>
      </w:r>
      <w:r w:rsidRPr="00465B9A">
        <w:rPr>
          <w:spacing w:val="1"/>
        </w:rPr>
        <w:t>o</w:t>
      </w:r>
      <w:r w:rsidRPr="00465B9A">
        <w:rPr>
          <w:spacing w:val="-3"/>
        </w:rPr>
        <w:t>r</w:t>
      </w:r>
      <w:r w:rsidRPr="00465B9A">
        <w:rPr>
          <w:spacing w:val="1"/>
        </w:rPr>
        <w:t>ma</w:t>
      </w:r>
      <w:r w:rsidRPr="00465B9A">
        <w:t>ci</w:t>
      </w:r>
      <w:r w:rsidRPr="00465B9A">
        <w:rPr>
          <w:spacing w:val="-2"/>
        </w:rPr>
        <w:t>ó</w:t>
      </w:r>
      <w:r w:rsidRPr="00465B9A">
        <w:t>n</w:t>
      </w:r>
      <w:r w:rsidRPr="00465B9A">
        <w:rPr>
          <w:spacing w:val="6"/>
        </w:rPr>
        <w:t xml:space="preserve"> </w:t>
      </w:r>
      <w:r w:rsidRPr="00465B9A">
        <w:rPr>
          <w:spacing w:val="-2"/>
        </w:rPr>
        <w:t>P</w:t>
      </w:r>
      <w:r w:rsidRPr="00465B9A">
        <w:rPr>
          <w:spacing w:val="1"/>
        </w:rPr>
        <w:t>úb</w:t>
      </w:r>
      <w:r w:rsidRPr="00465B9A">
        <w:t>l</w:t>
      </w:r>
      <w:r w:rsidRPr="00465B9A">
        <w:rPr>
          <w:spacing w:val="-1"/>
        </w:rPr>
        <w:t>i</w:t>
      </w:r>
      <w:r w:rsidRPr="00465B9A">
        <w:t>ca</w:t>
      </w:r>
      <w:r>
        <w:t xml:space="preserve"> y </w:t>
      </w:r>
      <w:r>
        <w:rPr>
          <w:spacing w:val="8"/>
        </w:rPr>
        <w:t xml:space="preserve">130, párrafo cuarto, </w:t>
      </w:r>
      <w:r w:rsidRPr="00465B9A">
        <w:rPr>
          <w:spacing w:val="1"/>
        </w:rPr>
        <w:t>d</w:t>
      </w:r>
      <w:r w:rsidRPr="00465B9A">
        <w:t>e</w:t>
      </w:r>
      <w:r w:rsidRPr="00465B9A">
        <w:rPr>
          <w:spacing w:val="9"/>
        </w:rPr>
        <w:t xml:space="preserve"> </w:t>
      </w:r>
      <w:r w:rsidRPr="00465B9A">
        <w:t>la</w:t>
      </w:r>
      <w:r w:rsidRPr="00465B9A">
        <w:rPr>
          <w:spacing w:val="10"/>
        </w:rPr>
        <w:t xml:space="preserve"> </w:t>
      </w:r>
      <w:r w:rsidRPr="00465B9A">
        <w:rPr>
          <w:spacing w:val="-1"/>
        </w:rPr>
        <w:t>L</w:t>
      </w:r>
      <w:r w:rsidRPr="00465B9A">
        <w:rPr>
          <w:spacing w:val="1"/>
        </w:rPr>
        <w:t>e</w:t>
      </w:r>
      <w:r w:rsidRPr="00465B9A">
        <w:t>y</w:t>
      </w:r>
      <w:r w:rsidRPr="00465B9A">
        <w:rPr>
          <w:spacing w:val="8"/>
        </w:rPr>
        <w:t xml:space="preserve"> </w:t>
      </w:r>
      <w:r w:rsidRPr="00465B9A">
        <w:t>Fe</w:t>
      </w:r>
      <w:r w:rsidRPr="00465B9A">
        <w:rPr>
          <w:spacing w:val="1"/>
        </w:rPr>
        <w:t>de</w:t>
      </w:r>
      <w:r w:rsidRPr="00465B9A">
        <w:t>ral</w:t>
      </w:r>
      <w:r w:rsidRPr="00465B9A">
        <w:rPr>
          <w:spacing w:val="10"/>
        </w:rPr>
        <w:t xml:space="preserve"> </w:t>
      </w:r>
      <w:r w:rsidRPr="00465B9A">
        <w:rPr>
          <w:spacing w:val="-1"/>
        </w:rPr>
        <w:t>d</w:t>
      </w:r>
      <w:r w:rsidRPr="00465B9A">
        <w:t>e</w:t>
      </w:r>
      <w:r w:rsidRPr="00465B9A">
        <w:rPr>
          <w:spacing w:val="9"/>
        </w:rPr>
        <w:t xml:space="preserve"> </w:t>
      </w:r>
      <w:r w:rsidRPr="00465B9A">
        <w:rPr>
          <w:spacing w:val="2"/>
        </w:rPr>
        <w:t>T</w:t>
      </w:r>
      <w:r w:rsidRPr="00465B9A">
        <w:t>r</w:t>
      </w:r>
      <w:r w:rsidRPr="00465B9A">
        <w:rPr>
          <w:spacing w:val="-2"/>
        </w:rPr>
        <w:t>a</w:t>
      </w:r>
      <w:r w:rsidRPr="00465B9A">
        <w:rPr>
          <w:spacing w:val="1"/>
        </w:rPr>
        <w:t>n</w:t>
      </w:r>
      <w:r w:rsidRPr="00465B9A">
        <w:t>s</w:t>
      </w:r>
      <w:r w:rsidRPr="00465B9A">
        <w:rPr>
          <w:spacing w:val="1"/>
        </w:rPr>
        <w:t>pa</w:t>
      </w:r>
      <w:r w:rsidRPr="00465B9A">
        <w:t>r</w:t>
      </w:r>
      <w:r w:rsidRPr="00465B9A">
        <w:rPr>
          <w:spacing w:val="-2"/>
        </w:rPr>
        <w:t>e</w:t>
      </w:r>
      <w:r w:rsidRPr="00465B9A">
        <w:rPr>
          <w:spacing w:val="1"/>
        </w:rPr>
        <w:t>n</w:t>
      </w:r>
      <w:r w:rsidRPr="00465B9A">
        <w:t>cia y Acc</w:t>
      </w:r>
      <w:r w:rsidRPr="00465B9A">
        <w:rPr>
          <w:spacing w:val="1"/>
        </w:rPr>
        <w:t>e</w:t>
      </w:r>
      <w:r w:rsidRPr="00465B9A">
        <w:t>so</w:t>
      </w:r>
      <w:r w:rsidRPr="00465B9A">
        <w:rPr>
          <w:spacing w:val="3"/>
        </w:rPr>
        <w:t xml:space="preserve"> </w:t>
      </w:r>
      <w:r w:rsidRPr="00465B9A">
        <w:t>a</w:t>
      </w:r>
      <w:r w:rsidRPr="00465B9A">
        <w:rPr>
          <w:spacing w:val="1"/>
        </w:rPr>
        <w:t xml:space="preserve"> </w:t>
      </w:r>
      <w:r w:rsidRPr="00465B9A">
        <w:t>la I</w:t>
      </w:r>
      <w:r w:rsidRPr="00465B9A">
        <w:rPr>
          <w:spacing w:val="-1"/>
        </w:rPr>
        <w:t>n</w:t>
      </w:r>
      <w:r w:rsidRPr="00465B9A">
        <w:t>f</w:t>
      </w:r>
      <w:r w:rsidRPr="00465B9A">
        <w:rPr>
          <w:spacing w:val="1"/>
        </w:rPr>
        <w:t>o</w:t>
      </w:r>
      <w:r w:rsidRPr="00465B9A">
        <w:rPr>
          <w:spacing w:val="-3"/>
        </w:rPr>
        <w:t>r</w:t>
      </w:r>
      <w:r w:rsidRPr="00465B9A">
        <w:rPr>
          <w:spacing w:val="1"/>
        </w:rPr>
        <w:t>ma</w:t>
      </w:r>
      <w:r w:rsidRPr="00465B9A">
        <w:t>ci</w:t>
      </w:r>
      <w:r w:rsidRPr="00465B9A">
        <w:rPr>
          <w:spacing w:val="-2"/>
        </w:rPr>
        <w:t>ó</w:t>
      </w:r>
      <w:r w:rsidRPr="00465B9A">
        <w:t>n</w:t>
      </w:r>
      <w:r w:rsidRPr="00465B9A">
        <w:rPr>
          <w:spacing w:val="6"/>
        </w:rPr>
        <w:t xml:space="preserve"> </w:t>
      </w:r>
      <w:r w:rsidRPr="00465B9A">
        <w:rPr>
          <w:spacing w:val="-2"/>
        </w:rPr>
        <w:t>P</w:t>
      </w:r>
      <w:r w:rsidRPr="00465B9A">
        <w:rPr>
          <w:spacing w:val="1"/>
        </w:rPr>
        <w:t>úb</w:t>
      </w:r>
      <w:r w:rsidRPr="00465B9A">
        <w:t>l</w:t>
      </w:r>
      <w:r w:rsidRPr="00465B9A">
        <w:rPr>
          <w:spacing w:val="-1"/>
        </w:rPr>
        <w:t>i</w:t>
      </w:r>
      <w:r w:rsidRPr="00465B9A">
        <w:t>ca</w:t>
      </w:r>
      <w:r>
        <w:t xml:space="preserve">, </w:t>
      </w:r>
      <w:r>
        <w:rPr>
          <w:spacing w:val="-1"/>
        </w:rPr>
        <w:t>señalan</w:t>
      </w:r>
      <w:r w:rsidRPr="00465B9A">
        <w:rPr>
          <w:spacing w:val="1"/>
        </w:rPr>
        <w:t xml:space="preserve"> </w:t>
      </w:r>
      <w:r w:rsidRPr="00465B9A">
        <w:rPr>
          <w:spacing w:val="-1"/>
        </w:rPr>
        <w:t>q</w:t>
      </w:r>
      <w:r w:rsidRPr="00465B9A">
        <w:rPr>
          <w:spacing w:val="1"/>
        </w:rPr>
        <w:t>u</w:t>
      </w:r>
      <w:r w:rsidRPr="00465B9A">
        <w:t>e</w:t>
      </w:r>
      <w:r>
        <w:t xml:space="preserve"> los sujetos obligados</w:t>
      </w:r>
      <w:r w:rsidRPr="00465B9A">
        <w:t xml:space="preserve"> </w:t>
      </w:r>
      <w:r>
        <w:t>deberán otorgar acceso a los d</w:t>
      </w:r>
      <w:r w:rsidRPr="00465B9A">
        <w:t xml:space="preserve">ocumentos que se encuentren en </w:t>
      </w:r>
      <w:r>
        <w:t>sus</w:t>
      </w:r>
      <w:r w:rsidRPr="00465B9A">
        <w:t xml:space="preserve"> archivos</w:t>
      </w:r>
      <w:r>
        <w:t xml:space="preserve"> </w:t>
      </w:r>
      <w:r w:rsidRPr="00465B9A">
        <w:t>o que estén obligados a documentar</w:t>
      </w:r>
      <w:r>
        <w:t>,</w:t>
      </w:r>
      <w:r w:rsidRPr="00465B9A">
        <w:t xml:space="preserve"> de acuerdo con sus facultades, competencias o funciones</w:t>
      </w:r>
      <w:r>
        <w:t>,</w:t>
      </w:r>
      <w:r w:rsidRPr="00465B9A">
        <w:t xml:space="preserve"> conforme a las características físicas de la información o del lugar donde se encuentre</w:t>
      </w:r>
      <w:r>
        <w:t xml:space="preserve">. Por lo anterior, los sujetos obligados </w:t>
      </w:r>
      <w:r w:rsidRPr="007B5B03">
        <w:t xml:space="preserve">deben garantizar el </w:t>
      </w:r>
      <w:r>
        <w:t xml:space="preserve">derecho de </w:t>
      </w:r>
      <w:r w:rsidRPr="007B5B03">
        <w:t>acceso a la información</w:t>
      </w:r>
      <w:r>
        <w:t xml:space="preserve"> del particular, proporcionando la información con la que cuentan en el formato en que la misma obre en sus archivos;</w:t>
      </w:r>
      <w:r w:rsidRPr="00465B9A">
        <w:rPr>
          <w:spacing w:val="-1"/>
        </w:rPr>
        <w:t xml:space="preserve"> </w:t>
      </w:r>
      <w:r>
        <w:rPr>
          <w:spacing w:val="-1"/>
        </w:rPr>
        <w:t>sin necesidad de</w:t>
      </w:r>
      <w:r>
        <w:rPr>
          <w:spacing w:val="1"/>
        </w:rPr>
        <w:t xml:space="preserve"> </w:t>
      </w:r>
      <w:r w:rsidRPr="00465B9A">
        <w:rPr>
          <w:spacing w:val="1"/>
        </w:rPr>
        <w:t>e</w:t>
      </w:r>
      <w:r w:rsidRPr="00465B9A">
        <w:t>la</w:t>
      </w:r>
      <w:r w:rsidRPr="00465B9A">
        <w:rPr>
          <w:spacing w:val="1"/>
        </w:rPr>
        <w:t>bo</w:t>
      </w:r>
      <w:r w:rsidRPr="00465B9A">
        <w:t xml:space="preserve">rar </w:t>
      </w:r>
      <w:r w:rsidRPr="00465B9A">
        <w:rPr>
          <w:spacing w:val="1"/>
        </w:rPr>
        <w:t>do</w:t>
      </w:r>
      <w:r w:rsidRPr="00465B9A">
        <w:rPr>
          <w:spacing w:val="-2"/>
        </w:rPr>
        <w:t>c</w:t>
      </w:r>
      <w:r w:rsidRPr="00465B9A">
        <w:rPr>
          <w:spacing w:val="1"/>
        </w:rPr>
        <w:t>u</w:t>
      </w:r>
      <w:r w:rsidRPr="00465B9A">
        <w:rPr>
          <w:spacing w:val="-1"/>
        </w:rPr>
        <w:t>m</w:t>
      </w:r>
      <w:r w:rsidRPr="00465B9A">
        <w:rPr>
          <w:spacing w:val="1"/>
        </w:rPr>
        <w:t>en</w:t>
      </w:r>
      <w:r w:rsidRPr="00465B9A">
        <w:rPr>
          <w:spacing w:val="-2"/>
        </w:rPr>
        <w:t>t</w:t>
      </w:r>
      <w:r w:rsidRPr="00465B9A">
        <w:rPr>
          <w:spacing w:val="1"/>
        </w:rPr>
        <w:t>o</w:t>
      </w:r>
      <w:r w:rsidRPr="00465B9A">
        <w:t>s</w:t>
      </w:r>
      <w:r w:rsidRPr="00465B9A">
        <w:rPr>
          <w:spacing w:val="3"/>
        </w:rPr>
        <w:t xml:space="preserve"> </w:t>
      </w:r>
      <w:r w:rsidRPr="00465B9A">
        <w:rPr>
          <w:spacing w:val="1"/>
        </w:rPr>
        <w:t>a</w:t>
      </w:r>
      <w:r w:rsidRPr="00465B9A">
        <w:t>d</w:t>
      </w:r>
      <w:r w:rsidRPr="00465B9A">
        <w:rPr>
          <w:spacing w:val="1"/>
        </w:rPr>
        <w:t xml:space="preserve"> ho</w:t>
      </w:r>
      <w:r w:rsidRPr="00465B9A">
        <w:t>c</w:t>
      </w:r>
      <w:r w:rsidRPr="00465B9A">
        <w:rPr>
          <w:spacing w:val="2"/>
        </w:rPr>
        <w:t xml:space="preserve"> </w:t>
      </w:r>
      <w:r w:rsidRPr="00465B9A">
        <w:rPr>
          <w:spacing w:val="1"/>
        </w:rPr>
        <w:t>pa</w:t>
      </w:r>
      <w:r w:rsidRPr="00465B9A">
        <w:t xml:space="preserve">ra </w:t>
      </w:r>
      <w:r w:rsidRPr="00465B9A">
        <w:rPr>
          <w:spacing w:val="1"/>
        </w:rPr>
        <w:t>a</w:t>
      </w:r>
      <w:r w:rsidRPr="00465B9A">
        <w:t>t</w:t>
      </w:r>
      <w:r w:rsidRPr="00465B9A">
        <w:rPr>
          <w:spacing w:val="-1"/>
        </w:rPr>
        <w:t>e</w:t>
      </w:r>
      <w:r w:rsidRPr="00465B9A">
        <w:rPr>
          <w:spacing w:val="1"/>
        </w:rPr>
        <w:t>n</w:t>
      </w:r>
      <w:r w:rsidRPr="00465B9A">
        <w:rPr>
          <w:spacing w:val="-1"/>
        </w:rPr>
        <w:t>d</w:t>
      </w:r>
      <w:r w:rsidRPr="00465B9A">
        <w:rPr>
          <w:spacing w:val="1"/>
        </w:rPr>
        <w:t>e</w:t>
      </w:r>
      <w:r w:rsidRPr="00465B9A">
        <w:t>r</w:t>
      </w:r>
      <w:r w:rsidRPr="00465B9A">
        <w:rPr>
          <w:spacing w:val="2"/>
        </w:rPr>
        <w:t xml:space="preserve"> </w:t>
      </w:r>
      <w:r w:rsidRPr="00465B9A">
        <w:t>l</w:t>
      </w:r>
      <w:r w:rsidRPr="00465B9A">
        <w:rPr>
          <w:spacing w:val="-2"/>
        </w:rPr>
        <w:t>a</w:t>
      </w:r>
      <w:r w:rsidRPr="00465B9A">
        <w:t>s</w:t>
      </w:r>
      <w:r w:rsidRPr="00465B9A">
        <w:rPr>
          <w:spacing w:val="2"/>
        </w:rPr>
        <w:t xml:space="preserve"> </w:t>
      </w:r>
      <w:r w:rsidRPr="00465B9A">
        <w:t>s</w:t>
      </w:r>
      <w:r w:rsidRPr="00465B9A">
        <w:rPr>
          <w:spacing w:val="1"/>
        </w:rPr>
        <w:t>o</w:t>
      </w:r>
      <w:r w:rsidRPr="00465B9A">
        <w:t>l</w:t>
      </w:r>
      <w:r w:rsidRPr="00465B9A">
        <w:rPr>
          <w:spacing w:val="-1"/>
        </w:rPr>
        <w:t>i</w:t>
      </w:r>
      <w:r w:rsidRPr="00465B9A">
        <w:t>cit</w:t>
      </w:r>
      <w:r w:rsidRPr="00465B9A">
        <w:rPr>
          <w:spacing w:val="1"/>
        </w:rPr>
        <w:t>ude</w:t>
      </w:r>
      <w:r w:rsidRPr="00465B9A">
        <w:t>s</w:t>
      </w:r>
      <w:r w:rsidRPr="00465B9A">
        <w:rPr>
          <w:spacing w:val="4"/>
        </w:rPr>
        <w:t xml:space="preserve"> </w:t>
      </w:r>
      <w:r w:rsidRPr="00465B9A">
        <w:rPr>
          <w:spacing w:val="-1"/>
        </w:rPr>
        <w:t>d</w:t>
      </w:r>
      <w:r w:rsidRPr="00465B9A">
        <w:t>e</w:t>
      </w:r>
      <w:r w:rsidRPr="00465B9A">
        <w:rPr>
          <w:spacing w:val="3"/>
        </w:rPr>
        <w:t xml:space="preserve"> </w:t>
      </w:r>
      <w:r w:rsidRPr="00465B9A">
        <w:t>i</w:t>
      </w:r>
      <w:r w:rsidRPr="00465B9A">
        <w:rPr>
          <w:spacing w:val="-2"/>
        </w:rPr>
        <w:t>n</w:t>
      </w:r>
      <w:r w:rsidRPr="00465B9A">
        <w:t>f</w:t>
      </w:r>
      <w:r w:rsidRPr="00465B9A">
        <w:rPr>
          <w:spacing w:val="1"/>
        </w:rPr>
        <w:t>o</w:t>
      </w:r>
      <w:r w:rsidRPr="00465B9A">
        <w:t>r</w:t>
      </w:r>
      <w:r w:rsidRPr="00465B9A">
        <w:rPr>
          <w:spacing w:val="-1"/>
        </w:rPr>
        <w:t>m</w:t>
      </w:r>
      <w:r w:rsidRPr="00465B9A">
        <w:rPr>
          <w:spacing w:val="1"/>
        </w:rPr>
        <w:t>a</w:t>
      </w:r>
      <w:r w:rsidRPr="00465B9A">
        <w:t>ció</w:t>
      </w:r>
      <w:r w:rsidRPr="00465B9A">
        <w:rPr>
          <w:spacing w:val="1"/>
        </w:rPr>
        <w:t>n</w:t>
      </w:r>
      <w:r w:rsidRPr="007B5B03">
        <w:t>.</w:t>
      </w:r>
      <w:r>
        <w:t xml:space="preserve">” </w:t>
      </w:r>
      <w:r>
        <w:rPr>
          <w:b/>
          <w:bCs/>
        </w:rPr>
        <w:t>(Sic)</w:t>
      </w:r>
    </w:p>
    <w:p w14:paraId="2DAC8396" w14:textId="77777777" w:rsidR="00CE2335" w:rsidRDefault="00CE2335" w:rsidP="006E7EEE">
      <w:pPr>
        <w:spacing w:after="0" w:line="360" w:lineRule="auto"/>
        <w:jc w:val="both"/>
        <w:rPr>
          <w:rFonts w:ascii="Palatino Linotype" w:hAnsi="Palatino Linotype" w:cs="Arial"/>
          <w:noProof/>
          <w:color w:val="000000"/>
          <w:sz w:val="24"/>
          <w:lang w:eastAsia="es-MX"/>
        </w:rPr>
      </w:pPr>
    </w:p>
    <w:p w14:paraId="774C3F8B" w14:textId="6E6E4E05" w:rsidR="00CE2335" w:rsidRDefault="00CE2335" w:rsidP="006E7EEE">
      <w:pPr>
        <w:spacing w:after="0" w:line="360" w:lineRule="auto"/>
        <w:jc w:val="both"/>
        <w:rPr>
          <w:rFonts w:ascii="Palatino Linotype" w:hAnsi="Palatino Linotype" w:cs="Arial"/>
          <w:noProof/>
          <w:color w:val="000000"/>
          <w:sz w:val="24"/>
          <w:lang w:val="es-ES" w:eastAsia="es-MX"/>
        </w:rPr>
      </w:pPr>
      <w:r>
        <w:rPr>
          <w:rFonts w:ascii="Palatino Linotype" w:hAnsi="Palatino Linotype" w:cs="Arial"/>
          <w:noProof/>
          <w:color w:val="000000"/>
          <w:sz w:val="24"/>
          <w:lang w:val="es-ES" w:eastAsia="es-MX"/>
        </w:rPr>
        <w:t xml:space="preserve">Ahora bien, cabe destacar que la información requerida es </w:t>
      </w:r>
      <w:r w:rsidR="0017076F">
        <w:rPr>
          <w:rFonts w:ascii="Palatino Linotype" w:hAnsi="Palatino Linotype" w:cs="Arial"/>
          <w:noProof/>
          <w:color w:val="000000"/>
          <w:sz w:val="24"/>
          <w:lang w:val="es-ES" w:eastAsia="es-MX"/>
        </w:rPr>
        <w:t>susceptible de no haber causado estado</w:t>
      </w:r>
      <w:r w:rsidR="002527DD">
        <w:rPr>
          <w:rFonts w:ascii="Palatino Linotype" w:hAnsi="Palatino Linotype" w:cs="Arial"/>
          <w:noProof/>
          <w:color w:val="000000"/>
          <w:sz w:val="24"/>
          <w:lang w:val="es-ES" w:eastAsia="es-MX"/>
        </w:rPr>
        <w:t xml:space="preserve"> parcial o totalmente</w:t>
      </w:r>
      <w:r w:rsidR="0017076F">
        <w:rPr>
          <w:rFonts w:ascii="Palatino Linotype" w:hAnsi="Palatino Linotype" w:cs="Arial"/>
          <w:noProof/>
          <w:color w:val="000000"/>
          <w:sz w:val="24"/>
          <w:lang w:val="es-ES" w:eastAsia="es-MX"/>
        </w:rPr>
        <w:t xml:space="preserve">. </w:t>
      </w:r>
      <w:r w:rsidR="001E3F4C">
        <w:rPr>
          <w:rFonts w:ascii="Palatino Linotype" w:hAnsi="Palatino Linotype" w:cs="Arial"/>
          <w:noProof/>
          <w:color w:val="000000"/>
          <w:sz w:val="24"/>
          <w:lang w:val="es-ES" w:eastAsia="es-MX"/>
        </w:rPr>
        <w:t xml:space="preserve">Al respecto, resulta oportuno traer a colación el numeral 140, fracciones V, VI y VIII de la Ley de Transparencia y Acceso a la </w:t>
      </w:r>
      <w:r w:rsidR="001E3F4C">
        <w:rPr>
          <w:rFonts w:ascii="Palatino Linotype" w:hAnsi="Palatino Linotype" w:cs="Arial"/>
          <w:noProof/>
          <w:color w:val="000000"/>
          <w:sz w:val="24"/>
          <w:lang w:val="es-ES" w:eastAsia="es-MX"/>
        </w:rPr>
        <w:lastRenderedPageBreak/>
        <w:t xml:space="preserve">Información Pública del Estado de México y Municipios, porciones normativas que disponen a la literalidad lo siguiente: </w:t>
      </w:r>
    </w:p>
    <w:p w14:paraId="68507259" w14:textId="5D410498" w:rsidR="001E3F4C" w:rsidRDefault="001E3F4C" w:rsidP="001E3F4C">
      <w:pPr>
        <w:pStyle w:val="Citas"/>
      </w:pPr>
      <w:r>
        <w:t>“Artículo 140. El acceso a la información pública será restringido excepcionalmente, cuando por razones de interés público, ésta sea clasificada como reservada, conforme a los criterios siguientes:</w:t>
      </w:r>
    </w:p>
    <w:p w14:paraId="018CEDD5" w14:textId="553BE639" w:rsidR="001E3F4C" w:rsidRDefault="001E3F4C" w:rsidP="001E3F4C">
      <w:pPr>
        <w:pStyle w:val="Citas"/>
      </w:pPr>
      <w:r>
        <w:t>(…)</w:t>
      </w:r>
    </w:p>
    <w:p w14:paraId="1CF63CF2" w14:textId="77777777" w:rsidR="001E3F4C" w:rsidRDefault="001E3F4C" w:rsidP="001E3F4C">
      <w:pPr>
        <w:pStyle w:val="Citas"/>
      </w:pPr>
      <w:r>
        <w:t xml:space="preserve">V. Aquella cuya divulgación obstruya o pueda causar un serio perjuicio a: </w:t>
      </w:r>
    </w:p>
    <w:p w14:paraId="0E2A8E3E" w14:textId="77777777" w:rsidR="001E3F4C" w:rsidRDefault="001E3F4C" w:rsidP="001E3F4C">
      <w:pPr>
        <w:pStyle w:val="Citas"/>
      </w:pPr>
      <w:r>
        <w:t xml:space="preserve">1. Las actividades de fiscalización, verificación, inspección, comprobación y auditoría sobre el cumplimiento de las Leyes; o </w:t>
      </w:r>
    </w:p>
    <w:p w14:paraId="3276503E" w14:textId="77777777" w:rsidR="001E3F4C" w:rsidRDefault="001E3F4C" w:rsidP="001E3F4C">
      <w:pPr>
        <w:pStyle w:val="Citas"/>
      </w:pPr>
      <w:r>
        <w:t xml:space="preserve">2. La recaudación de las contribuciones. </w:t>
      </w:r>
    </w:p>
    <w:p w14:paraId="75FBF072" w14:textId="069A5780" w:rsidR="001E3F4C" w:rsidRDefault="001E3F4C" w:rsidP="001E3F4C">
      <w:pPr>
        <w:pStyle w:val="Citas"/>
      </w:pPr>
      <w: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6A1B6EAA" w14:textId="61CB2572" w:rsidR="001E3F4C" w:rsidRDefault="001E3F4C" w:rsidP="001E3F4C">
      <w:pPr>
        <w:pStyle w:val="Citas"/>
      </w:pPr>
      <w:r>
        <w:lastRenderedPageBreak/>
        <w:t>(…)</w:t>
      </w:r>
    </w:p>
    <w:p w14:paraId="0781E097" w14:textId="5C5C4FA1" w:rsidR="001E3F4C" w:rsidRDefault="001E3F4C" w:rsidP="001E3F4C">
      <w:pPr>
        <w:pStyle w:val="Citas"/>
        <w:rPr>
          <w:noProof/>
          <w:color w:val="000000"/>
          <w:sz w:val="24"/>
          <w:lang w:val="es-ES" w:eastAsia="es-MX"/>
        </w:rPr>
      </w:pPr>
      <w:r>
        <w:t>VIII. Vulnere la conducción de los expedientes judiciales o de los procedimientos administrativos seguidos en forma de juicio, en tanto no hayan quedado firmes;</w:t>
      </w:r>
    </w:p>
    <w:p w14:paraId="44329DC8" w14:textId="2ECCEFE7" w:rsidR="001E3F4C" w:rsidRPr="001E3F4C" w:rsidRDefault="001E3F4C" w:rsidP="001E3F4C">
      <w:pPr>
        <w:pStyle w:val="Citas"/>
        <w:rPr>
          <w:b/>
          <w:bCs/>
        </w:rPr>
      </w:pPr>
      <w:r>
        <w:t xml:space="preserve">(…)”  </w:t>
      </w:r>
      <w:r>
        <w:rPr>
          <w:b/>
          <w:bCs/>
        </w:rPr>
        <w:t>(Sic)</w:t>
      </w:r>
    </w:p>
    <w:p w14:paraId="6E2B2F29" w14:textId="77777777" w:rsidR="00CE2335" w:rsidRDefault="00CE2335" w:rsidP="006E7EEE">
      <w:pPr>
        <w:spacing w:after="0" w:line="360" w:lineRule="auto"/>
        <w:jc w:val="both"/>
        <w:rPr>
          <w:rFonts w:ascii="Palatino Linotype" w:hAnsi="Palatino Linotype" w:cs="Arial"/>
          <w:noProof/>
          <w:color w:val="000000"/>
          <w:sz w:val="24"/>
          <w:lang w:val="es-ES" w:eastAsia="es-MX"/>
        </w:rPr>
      </w:pPr>
    </w:p>
    <w:p w14:paraId="1D45E655" w14:textId="77777777" w:rsidR="001E3F4C" w:rsidRPr="0016297B" w:rsidRDefault="001E3F4C" w:rsidP="001E3F4C">
      <w:pPr>
        <w:pStyle w:val="Citas"/>
        <w:ind w:left="0" w:right="0"/>
        <w:rPr>
          <w:i w:val="0"/>
          <w:sz w:val="24"/>
          <w:szCs w:val="24"/>
        </w:rPr>
      </w:pPr>
      <w:r w:rsidRPr="001E3F4C">
        <w:rPr>
          <w:i w:val="0"/>
          <w:iCs/>
          <w:noProof/>
          <w:color w:val="000000"/>
          <w:sz w:val="24"/>
          <w:lang w:val="es-ES" w:eastAsia="es-MX"/>
        </w:rPr>
        <w:t>Bajo este contexto, se destaca que la</w:t>
      </w:r>
      <w:r>
        <w:rPr>
          <w:noProof/>
          <w:color w:val="000000"/>
          <w:sz w:val="24"/>
          <w:lang w:val="es-ES" w:eastAsia="es-MX"/>
        </w:rPr>
        <w:t xml:space="preserve"> </w:t>
      </w:r>
      <w:r w:rsidRPr="0016297B">
        <w:rPr>
          <w:i w:val="0"/>
          <w:sz w:val="24"/>
          <w:szCs w:val="24"/>
        </w:rPr>
        <w:t xml:space="preserve">clasificación es un acto administrativo mediante el cual se restringe el derecho de acceso a la información, mediante el cual los </w:t>
      </w:r>
      <w:r w:rsidRPr="0016297B">
        <w:rPr>
          <w:b/>
          <w:i w:val="0"/>
          <w:sz w:val="24"/>
          <w:szCs w:val="24"/>
        </w:rPr>
        <w:t xml:space="preserve">Sujetos Obligados </w:t>
      </w:r>
      <w:r w:rsidRPr="0016297B">
        <w:rPr>
          <w:i w:val="0"/>
          <w:sz w:val="24"/>
          <w:szCs w:val="24"/>
        </w:rPr>
        <w:t xml:space="preserve">determinan que la información requerida actualiza alguno de los supuestos de confidencialidad </w:t>
      </w:r>
      <w:r w:rsidRPr="0016297B">
        <w:rPr>
          <w:b/>
          <w:i w:val="0"/>
          <w:sz w:val="24"/>
          <w:szCs w:val="24"/>
        </w:rPr>
        <w:t xml:space="preserve">o </w:t>
      </w:r>
      <w:r w:rsidRPr="0016297B">
        <w:rPr>
          <w:b/>
          <w:i w:val="0"/>
          <w:sz w:val="24"/>
          <w:szCs w:val="24"/>
          <w:u w:val="single"/>
        </w:rPr>
        <w:t>reserva,</w:t>
      </w:r>
      <w:r w:rsidRPr="0016297B">
        <w:rPr>
          <w:b/>
          <w:i w:val="0"/>
          <w:sz w:val="24"/>
          <w:szCs w:val="24"/>
        </w:rPr>
        <w:t xml:space="preserve"> </w:t>
      </w:r>
      <w:r w:rsidRPr="0016297B">
        <w:rPr>
          <w:i w:val="0"/>
          <w:sz w:val="24"/>
          <w:szCs w:val="24"/>
        </w:rPr>
        <w:t xml:space="preserve">de acuerdo con las bases y los principios inmersos en la normatividad aplicable. </w:t>
      </w:r>
    </w:p>
    <w:p w14:paraId="1DA21CC7" w14:textId="77777777" w:rsidR="001E3F4C" w:rsidRPr="00BE1B62" w:rsidRDefault="001E3F4C" w:rsidP="001E3F4C">
      <w:pPr>
        <w:spacing w:before="240" w:line="360" w:lineRule="auto"/>
        <w:jc w:val="both"/>
        <w:rPr>
          <w:rFonts w:ascii="Palatino Linotype" w:hAnsi="Palatino Linotype"/>
          <w:sz w:val="24"/>
          <w:szCs w:val="24"/>
        </w:rPr>
      </w:pPr>
      <w:r w:rsidRPr="00BE1B62">
        <w:rPr>
          <w:rFonts w:ascii="Palatino Linotype" w:hAnsi="Palatino Linotype"/>
          <w:sz w:val="24"/>
          <w:szCs w:val="24"/>
        </w:rPr>
        <w:t xml:space="preserve">Para realizar la reserva de la información no basta con exponer alguna </w:t>
      </w:r>
      <w:r>
        <w:rPr>
          <w:rFonts w:ascii="Palatino Linotype" w:hAnsi="Palatino Linotype"/>
          <w:sz w:val="24"/>
          <w:szCs w:val="24"/>
        </w:rPr>
        <w:t>d</w:t>
      </w:r>
      <w:r w:rsidRPr="00BE1B62">
        <w:rPr>
          <w:rFonts w:ascii="Palatino Linotype" w:hAnsi="Palatino Linotype"/>
          <w:sz w:val="24"/>
          <w:szCs w:val="24"/>
        </w:rPr>
        <w:t xml:space="preserve">e las causales previstas en la Ley de Transparencia local, en sentido contrario dicha valoración debe de realizarse a través de la </w:t>
      </w:r>
      <w:r w:rsidRPr="00BE1B62">
        <w:rPr>
          <w:rFonts w:ascii="Palatino Linotype" w:hAnsi="Palatino Linotype"/>
          <w:b/>
          <w:i/>
          <w:sz w:val="24"/>
          <w:szCs w:val="24"/>
        </w:rPr>
        <w:t xml:space="preserve">“prueba de daño” </w:t>
      </w:r>
      <w:r w:rsidRPr="00BE1B62">
        <w:rPr>
          <w:rFonts w:ascii="Palatino Linotype" w:hAnsi="Palatino Linotype"/>
          <w:sz w:val="24"/>
          <w:szCs w:val="24"/>
        </w:rPr>
        <w:t xml:space="preserve">que consiste en exponer los argumentos y razones, basados en elementos objetivos o verificables, a partir de los cuales se derive que la divulgación de información, en particular, puede afectar, poner en riesgo o dañar el interés protegido. </w:t>
      </w:r>
    </w:p>
    <w:p w14:paraId="6F36C639" w14:textId="77777777" w:rsidR="001E3F4C" w:rsidRPr="00BE1B62" w:rsidRDefault="001E3F4C" w:rsidP="001E3F4C">
      <w:pPr>
        <w:spacing w:before="240" w:line="360" w:lineRule="auto"/>
        <w:jc w:val="both"/>
        <w:rPr>
          <w:rFonts w:ascii="Palatino Linotype" w:hAnsi="Palatino Linotype"/>
          <w:sz w:val="24"/>
          <w:szCs w:val="24"/>
        </w:rPr>
      </w:pPr>
      <w:r w:rsidRPr="00BE1B62">
        <w:rPr>
          <w:rFonts w:ascii="Palatino Linotype" w:hAnsi="Palatino Linotype"/>
          <w:sz w:val="24"/>
          <w:szCs w:val="24"/>
        </w:rPr>
        <w:t xml:space="preserve">Para aplicar la prueba de daño, se deberán de precisar las razones objetivas por las que la apertura genera una afectación, acreditando que: </w:t>
      </w:r>
    </w:p>
    <w:p w14:paraId="235F60EF" w14:textId="77777777" w:rsidR="001E3F4C" w:rsidRPr="00217F38" w:rsidRDefault="001E3F4C" w:rsidP="001E3F4C">
      <w:pPr>
        <w:pStyle w:val="Prrafodelista"/>
        <w:widowControl w:val="0"/>
        <w:numPr>
          <w:ilvl w:val="0"/>
          <w:numId w:val="42"/>
        </w:numPr>
        <w:autoSpaceDE w:val="0"/>
        <w:autoSpaceDN w:val="0"/>
        <w:adjustRightInd w:val="0"/>
        <w:spacing w:before="240" w:after="240" w:line="360" w:lineRule="auto"/>
        <w:ind w:right="333"/>
        <w:jc w:val="both"/>
        <w:rPr>
          <w:rFonts w:ascii="Palatino Linotype" w:hAnsi="Palatino Linotype" w:cs="Times"/>
          <w:color w:val="000000" w:themeColor="text1"/>
          <w:lang w:val="es-ES_tradnl"/>
        </w:rPr>
      </w:pPr>
      <w:r w:rsidRPr="00217F38">
        <w:rPr>
          <w:rFonts w:ascii="Palatino Linotype" w:hAnsi="Palatino Linotype"/>
        </w:rPr>
        <w:lastRenderedPageBreak/>
        <w:t>La divulgaci</w:t>
      </w:r>
      <w:r>
        <w:rPr>
          <w:rFonts w:ascii="Palatino Linotype" w:hAnsi="Palatino Linotype"/>
        </w:rPr>
        <w:t xml:space="preserve">ón </w:t>
      </w:r>
      <w:r w:rsidRPr="00217F38">
        <w:rPr>
          <w:rFonts w:ascii="Palatino Linotype" w:hAnsi="Palatino Linotype" w:cs="Bookman Old Style"/>
          <w:color w:val="000000" w:themeColor="text1"/>
          <w:lang w:val="es-ES_tradnl"/>
        </w:rPr>
        <w:t xml:space="preserve">de la información representa un riesgo real, demostrable e identificable del perjuicio significativo al interés público o a la seguridad pública; </w:t>
      </w:r>
    </w:p>
    <w:p w14:paraId="1D167DC7" w14:textId="77777777" w:rsidR="001E3F4C" w:rsidRPr="00217F38" w:rsidRDefault="001E3F4C" w:rsidP="001E3F4C">
      <w:pPr>
        <w:pStyle w:val="Prrafodelista"/>
        <w:widowControl w:val="0"/>
        <w:numPr>
          <w:ilvl w:val="0"/>
          <w:numId w:val="42"/>
        </w:numPr>
        <w:autoSpaceDE w:val="0"/>
        <w:autoSpaceDN w:val="0"/>
        <w:adjustRightInd w:val="0"/>
        <w:spacing w:after="240" w:line="360" w:lineRule="auto"/>
        <w:ind w:right="333"/>
        <w:jc w:val="both"/>
        <w:rPr>
          <w:rFonts w:ascii="Palatino Linotype" w:hAnsi="Palatino Linotype" w:cs="Times"/>
          <w:color w:val="000000" w:themeColor="text1"/>
          <w:lang w:val="es-ES_tradnl"/>
        </w:rPr>
      </w:pPr>
      <w:r w:rsidRPr="00217F38">
        <w:rPr>
          <w:rFonts w:ascii="Palatino Linotype" w:hAnsi="Palatino Linotype" w:cs="Bookman Old Style"/>
          <w:color w:val="000000" w:themeColor="text1"/>
          <w:lang w:val="es-ES_tradnl"/>
        </w:rPr>
        <w:t xml:space="preserve">El riesgo de perjuicio que supondría la divulgación supera el interés público general de que se difunda; y </w:t>
      </w:r>
    </w:p>
    <w:p w14:paraId="02E403AE" w14:textId="77777777" w:rsidR="001E3F4C" w:rsidRPr="00217F38" w:rsidRDefault="001E3F4C" w:rsidP="001E3F4C">
      <w:pPr>
        <w:pStyle w:val="Prrafodelista"/>
        <w:widowControl w:val="0"/>
        <w:numPr>
          <w:ilvl w:val="0"/>
          <w:numId w:val="42"/>
        </w:numPr>
        <w:autoSpaceDE w:val="0"/>
        <w:autoSpaceDN w:val="0"/>
        <w:adjustRightInd w:val="0"/>
        <w:spacing w:after="240" w:line="360" w:lineRule="auto"/>
        <w:ind w:right="333"/>
        <w:jc w:val="both"/>
        <w:rPr>
          <w:rFonts w:ascii="Palatino Linotype" w:hAnsi="Palatino Linotype" w:cs="Times"/>
          <w:color w:val="000000" w:themeColor="text1"/>
          <w:lang w:val="es-ES_tradnl"/>
        </w:rPr>
      </w:pPr>
      <w:r w:rsidRPr="00217F38">
        <w:rPr>
          <w:rFonts w:ascii="Palatino Linotype" w:hAnsi="Palatino Linotype" w:cs="Bookman Old Style"/>
          <w:color w:val="000000" w:themeColor="text1"/>
          <w:lang w:val="es-ES_tradnl"/>
        </w:rPr>
        <w:t xml:space="preserve">La limitación se adecua al principio de proporcionalidad y representa el medio menos restrictivo disponible para evitar el perjuicio. </w:t>
      </w:r>
    </w:p>
    <w:p w14:paraId="006DC929" w14:textId="77777777" w:rsidR="001E3F4C" w:rsidRDefault="001E3F4C" w:rsidP="001E3F4C">
      <w:pPr>
        <w:spacing w:before="240" w:line="360" w:lineRule="auto"/>
        <w:jc w:val="both"/>
        <w:rPr>
          <w:rFonts w:ascii="Palatino Linotype" w:hAnsi="Palatino Linotype"/>
          <w:sz w:val="24"/>
          <w:szCs w:val="24"/>
        </w:rPr>
      </w:pPr>
    </w:p>
    <w:p w14:paraId="0ECADE0D" w14:textId="77777777" w:rsidR="001E3F4C" w:rsidRPr="000A07D4" w:rsidRDefault="001E3F4C" w:rsidP="001E3F4C">
      <w:pPr>
        <w:pStyle w:val="j"/>
        <w:shd w:val="clear" w:color="auto" w:fill="FFFFFF"/>
        <w:suppressAutoHyphens/>
        <w:spacing w:line="360" w:lineRule="auto"/>
        <w:jc w:val="both"/>
        <w:textAlignment w:val="baseline"/>
        <w:rPr>
          <w:rFonts w:ascii="Palatino Linotype" w:hAnsi="Palatino Linotype"/>
          <w:color w:val="000000" w:themeColor="text1"/>
        </w:rPr>
      </w:pPr>
      <w:r w:rsidRPr="000A07D4">
        <w:rPr>
          <w:rFonts w:ascii="Palatino Linotype" w:hAnsi="Palatino Linotype"/>
          <w:color w:val="000000" w:themeColor="text1"/>
        </w:rPr>
        <w:t xml:space="preserve">Sobre el primer </w:t>
      </w:r>
      <w:r w:rsidRPr="001E3F4C">
        <w:rPr>
          <w:rFonts w:ascii="Palatino Linotype" w:hAnsi="Palatino Linotype"/>
          <w:color w:val="000000" w:themeColor="text1"/>
        </w:rPr>
        <w:t>supuesto consideremos que según el diccionario del español jurídico, por riesgo podemos entender “la contingencia o proximidad de un daño”,</w:t>
      </w:r>
      <w:r w:rsidRPr="001E3F4C">
        <w:rPr>
          <w:rStyle w:val="Refdenotaalpie"/>
          <w:rFonts w:ascii="Palatino Linotype" w:hAnsi="Palatino Linotype"/>
          <w:color w:val="000000" w:themeColor="text1"/>
        </w:rPr>
        <w:footnoteReference w:id="2"/>
      </w:r>
      <w:r w:rsidRPr="001E3F4C">
        <w:rPr>
          <w:rFonts w:ascii="Palatino Linotype" w:hAnsi="Palatino Linotype"/>
          <w:color w:val="000000" w:themeColor="text1"/>
        </w:rPr>
        <w:t xml:space="preserve"> mientras que el daño es considerado como un “perjuicio o lesión”</w:t>
      </w:r>
      <w:r w:rsidRPr="001E3F4C">
        <w:rPr>
          <w:rStyle w:val="Refdenotaalpie"/>
          <w:rFonts w:ascii="Palatino Linotype" w:hAnsi="Palatino Linotype"/>
          <w:color w:val="000000" w:themeColor="text1"/>
        </w:rPr>
        <w:footnoteReference w:id="3"/>
      </w:r>
      <w:r w:rsidRPr="001E3F4C">
        <w:rPr>
          <w:rFonts w:ascii="Palatino Linotype" w:hAnsi="Palatino Linotype"/>
          <w:color w:val="000000" w:themeColor="text1"/>
        </w:rPr>
        <w:t>, mientras que según el Diccionario de la Lengua Española, lo real es</w:t>
      </w:r>
      <w:r w:rsidRPr="001E3F4C">
        <w:rPr>
          <w:rFonts w:ascii="Palatino Linotype" w:eastAsia="Arial Unicode MS" w:hAnsi="Palatino Linotype" w:cs="Arial Unicode MS"/>
          <w:color w:val="000000" w:themeColor="text1"/>
          <w:spacing w:val="4"/>
          <w:shd w:val="clear" w:color="auto" w:fill="FFFFFF"/>
        </w:rPr>
        <w:t> lo “</w:t>
      </w:r>
      <w:r w:rsidRPr="001E3F4C">
        <w:rPr>
          <w:rFonts w:ascii="Palatino Linotype" w:hAnsi="Palatino Linotype"/>
          <w:color w:val="000000" w:themeColor="text1"/>
        </w:rPr>
        <w:t>(q)ue</w:t>
      </w:r>
      <w:r w:rsidRPr="001E3F4C">
        <w:rPr>
          <w:rFonts w:ascii="Palatino Linotype" w:eastAsia="Arial Unicode MS" w:hAnsi="Palatino Linotype" w:cs="Arial Unicode MS"/>
          <w:color w:val="000000" w:themeColor="text1"/>
          <w:spacing w:val="4"/>
          <w:shd w:val="clear" w:color="auto" w:fill="FFFFFF"/>
        </w:rPr>
        <w:t> </w:t>
      </w:r>
      <w:r w:rsidRPr="001E3F4C">
        <w:rPr>
          <w:rFonts w:ascii="Palatino Linotype" w:hAnsi="Palatino Linotype"/>
          <w:color w:val="000000" w:themeColor="text1"/>
        </w:rPr>
        <w:t>tiene</w:t>
      </w:r>
      <w:r w:rsidRPr="001E3F4C">
        <w:rPr>
          <w:rFonts w:ascii="Palatino Linotype" w:eastAsia="Arial Unicode MS" w:hAnsi="Palatino Linotype" w:cs="Arial Unicode MS"/>
          <w:color w:val="000000" w:themeColor="text1"/>
          <w:spacing w:val="4"/>
          <w:shd w:val="clear" w:color="auto" w:fill="FFFFFF"/>
        </w:rPr>
        <w:t> </w:t>
      </w:r>
      <w:r w:rsidRPr="001E3F4C">
        <w:rPr>
          <w:rFonts w:ascii="Palatino Linotype" w:hAnsi="Palatino Linotype"/>
          <w:color w:val="000000" w:themeColor="text1"/>
        </w:rPr>
        <w:t>existencia</w:t>
      </w:r>
      <w:r w:rsidRPr="001E3F4C">
        <w:rPr>
          <w:rFonts w:ascii="Palatino Linotype" w:eastAsia="Arial Unicode MS" w:hAnsi="Palatino Linotype" w:cs="Arial Unicode MS"/>
          <w:color w:val="000000" w:themeColor="text1"/>
          <w:spacing w:val="4"/>
          <w:shd w:val="clear" w:color="auto" w:fill="FFFFFF"/>
        </w:rPr>
        <w:t> </w:t>
      </w:r>
      <w:r w:rsidRPr="001E3F4C">
        <w:rPr>
          <w:rFonts w:ascii="Palatino Linotype" w:hAnsi="Palatino Linotype"/>
          <w:color w:val="000000" w:themeColor="text1"/>
        </w:rPr>
        <w:t>objetiva”,</w:t>
      </w:r>
      <w:r w:rsidRPr="001E3F4C">
        <w:rPr>
          <w:rStyle w:val="Refdenotaalpie"/>
          <w:rFonts w:ascii="Palatino Linotype" w:hAnsi="Palatino Linotype"/>
          <w:color w:val="000000" w:themeColor="text1"/>
        </w:rPr>
        <w:footnoteReference w:id="4"/>
      </w:r>
      <w:r w:rsidRPr="001E3F4C">
        <w:rPr>
          <w:rFonts w:ascii="Palatino Linotype" w:hAnsi="Palatino Linotype"/>
          <w:color w:val="000000" w:themeColor="text1"/>
        </w:rPr>
        <w:t xml:space="preserve"> </w:t>
      </w:r>
      <w:r w:rsidRPr="001E3F4C">
        <w:rPr>
          <w:rFonts w:ascii="Palatino Linotype" w:eastAsia="Arial Unicode MS" w:hAnsi="Palatino Linotype" w:cs="Arial Unicode MS"/>
          <w:color w:val="000000" w:themeColor="text1"/>
          <w:spacing w:val="4"/>
          <w:shd w:val="clear" w:color="auto" w:fill="FFFFFF"/>
        </w:rPr>
        <w:t>mientras que lo demostrables es, según</w:t>
      </w:r>
      <w:r w:rsidRPr="000A07D4">
        <w:rPr>
          <w:rFonts w:ascii="Palatino Linotype" w:eastAsia="Arial Unicode MS" w:hAnsi="Palatino Linotype" w:cs="Arial Unicode MS"/>
          <w:color w:val="000000" w:themeColor="text1"/>
          <w:spacing w:val="4"/>
          <w:shd w:val="clear" w:color="auto" w:fill="FFFFFF"/>
        </w:rPr>
        <w:t xml:space="preserve"> la misma fuente, aquello que se puede demostrar,</w:t>
      </w:r>
      <w:r w:rsidRPr="000A07D4">
        <w:rPr>
          <w:rStyle w:val="Refdenotaalpie"/>
          <w:rFonts w:ascii="Palatino Linotype" w:eastAsia="Arial Unicode MS" w:hAnsi="Palatino Linotype" w:cs="Arial Unicode MS"/>
          <w:color w:val="000000" w:themeColor="text1"/>
          <w:spacing w:val="4"/>
          <w:shd w:val="clear" w:color="auto" w:fill="FFFFFF"/>
        </w:rPr>
        <w:footnoteReference w:id="5"/>
      </w:r>
      <w:r>
        <w:rPr>
          <w:rFonts w:ascii="Palatino Linotype" w:eastAsia="Arial Unicode MS" w:hAnsi="Palatino Linotype" w:cs="Arial Unicode MS"/>
          <w:color w:val="000000" w:themeColor="text1"/>
          <w:spacing w:val="4"/>
          <w:shd w:val="clear" w:color="auto" w:fill="FFFFFF"/>
        </w:rPr>
        <w:t xml:space="preserve">es </w:t>
      </w:r>
      <w:r w:rsidRPr="000A07D4">
        <w:rPr>
          <w:rFonts w:ascii="Palatino Linotype" w:eastAsia="Arial Unicode MS" w:hAnsi="Palatino Linotype" w:cs="Arial Unicode MS"/>
          <w:color w:val="000000" w:themeColor="text1"/>
          <w:spacing w:val="4"/>
          <w:shd w:val="clear" w:color="auto" w:fill="FFFFFF"/>
        </w:rPr>
        <w:t>decir,</w:t>
      </w:r>
      <w:r>
        <w:rPr>
          <w:rFonts w:ascii="Palatino Linotype" w:eastAsia="Arial Unicode MS" w:hAnsi="Palatino Linotype" w:cs="Arial Unicode MS"/>
          <w:color w:val="000000" w:themeColor="text1"/>
          <w:spacing w:val="4"/>
          <w:shd w:val="clear" w:color="auto" w:fill="FFFFFF"/>
        </w:rPr>
        <w:t xml:space="preserve"> </w:t>
      </w:r>
      <w:r w:rsidRPr="000A07D4">
        <w:rPr>
          <w:rFonts w:ascii="Palatino Linotype" w:hAnsi="Palatino Linotype" w:cstheme="minorBidi"/>
          <w:color w:val="000000" w:themeColor="text1"/>
          <w:lang w:eastAsia="en-US"/>
        </w:rPr>
        <w:t xml:space="preserve">m)anifestar, declarar. Probar, sirviéndose de cualquier género de </w:t>
      </w:r>
      <w:r w:rsidRPr="000A07D4">
        <w:rPr>
          <w:rFonts w:ascii="Palatino Linotype" w:hAnsi="Palatino Linotype" w:cstheme="minorBidi"/>
          <w:color w:val="000000" w:themeColor="text1"/>
          <w:lang w:eastAsia="en-US"/>
        </w:rPr>
        <w:lastRenderedPageBreak/>
        <w:t>demostración, </w:t>
      </w:r>
      <w:hyperlink r:id="rId14" w:anchor="6nAyKjE" w:history="1">
        <w:r w:rsidRPr="000A07D4">
          <w:rPr>
            <w:rFonts w:ascii="Palatino Linotype" w:hAnsi="Palatino Linotype" w:cstheme="minorBidi"/>
            <w:color w:val="000000" w:themeColor="text1"/>
            <w:lang w:eastAsia="en-US"/>
          </w:rPr>
          <w:t>enseñar</w:t>
        </w:r>
      </w:hyperlink>
      <w:r w:rsidRPr="000A07D4">
        <w:rPr>
          <w:rFonts w:ascii="Palatino Linotype" w:hAnsi="Palatino Linotype" w:cstheme="minorBidi"/>
          <w:color w:val="000000" w:themeColor="text1"/>
          <w:lang w:eastAsia="en-US"/>
        </w:rPr>
        <w:t> mostrar </w:t>
      </w:r>
      <w:r w:rsidRPr="001E3F4C">
        <w:rPr>
          <w:rFonts w:ascii="Palatino Linotype" w:hAnsi="Palatino Linotype" w:cstheme="minorBidi"/>
          <w:color w:val="000000" w:themeColor="text1"/>
          <w:lang w:eastAsia="en-US"/>
        </w:rPr>
        <w:t>o exponer algo)”.</w:t>
      </w:r>
      <w:r w:rsidRPr="001E3F4C">
        <w:rPr>
          <w:rStyle w:val="Refdenotaalpie"/>
          <w:rFonts w:ascii="Palatino Linotype" w:hAnsi="Palatino Linotype" w:cstheme="minorBidi"/>
          <w:color w:val="000000" w:themeColor="text1"/>
          <w:lang w:eastAsia="en-US"/>
        </w:rPr>
        <w:footnoteReference w:id="6"/>
      </w:r>
      <w:r w:rsidRPr="001E3F4C">
        <w:rPr>
          <w:rFonts w:ascii="Palatino Linotype" w:hAnsi="Palatino Linotype" w:cstheme="minorBidi"/>
          <w:color w:val="000000" w:themeColor="text1"/>
          <w:lang w:eastAsia="en-US"/>
        </w:rPr>
        <w:t xml:space="preserve"> Mientras que lo identificable es lo que puede ser identificado,</w:t>
      </w:r>
      <w:r w:rsidRPr="001E3F4C">
        <w:rPr>
          <w:rStyle w:val="Refdenotaalpie"/>
          <w:rFonts w:ascii="Palatino Linotype" w:hAnsi="Palatino Linotype" w:cstheme="minorBidi"/>
          <w:color w:val="000000" w:themeColor="text1"/>
          <w:lang w:eastAsia="en-US"/>
        </w:rPr>
        <w:footnoteReference w:id="7"/>
      </w:r>
      <w:r w:rsidRPr="001E3F4C">
        <w:rPr>
          <w:rFonts w:ascii="Palatino Linotype" w:hAnsi="Palatino Linotype" w:cstheme="minorBidi"/>
          <w:color w:val="000000" w:themeColor="text1"/>
          <w:lang w:eastAsia="en-US"/>
        </w:rPr>
        <w:t xml:space="preserve"> esto es,</w:t>
      </w:r>
      <w:r w:rsidRPr="001E3F4C">
        <w:rPr>
          <w:rFonts w:ascii="Palatino Linotype" w:hAnsi="Palatino Linotype" w:cstheme="minorBidi"/>
          <w:color w:val="000000" w:themeColor="text1"/>
        </w:rPr>
        <w:t>  “(d)ar los datos necesarios para ser</w:t>
      </w:r>
      <w:r w:rsidRPr="000A07D4">
        <w:rPr>
          <w:rFonts w:ascii="Palatino Linotype" w:hAnsi="Palatino Linotype" w:cstheme="minorBidi"/>
          <w:color w:val="000000" w:themeColor="text1"/>
        </w:rPr>
        <w:t> reconocido”.</w:t>
      </w:r>
      <w:r w:rsidRPr="000A07D4">
        <w:rPr>
          <w:rStyle w:val="Refdenotaalpie"/>
          <w:rFonts w:ascii="Palatino Linotype" w:hAnsi="Palatino Linotype" w:cstheme="minorBidi"/>
          <w:color w:val="000000" w:themeColor="text1"/>
        </w:rPr>
        <w:footnoteReference w:id="8"/>
      </w:r>
    </w:p>
    <w:p w14:paraId="17B54D05" w14:textId="77777777" w:rsidR="001E3F4C" w:rsidRPr="000A07D4" w:rsidRDefault="001E3F4C" w:rsidP="001E3F4C">
      <w:pPr>
        <w:spacing w:line="360" w:lineRule="auto"/>
        <w:jc w:val="both"/>
        <w:rPr>
          <w:rFonts w:ascii="Palatino Linotype" w:hAnsi="Palatino Linotype"/>
          <w:color w:val="000000" w:themeColor="text1"/>
          <w:sz w:val="24"/>
          <w:szCs w:val="24"/>
        </w:rPr>
      </w:pPr>
      <w:r w:rsidRPr="000A07D4">
        <w:rPr>
          <w:rFonts w:ascii="Palatino Linotype" w:hAnsi="Palatino Linotype"/>
          <w:color w:val="000000" w:themeColor="text1"/>
          <w:sz w:val="24"/>
          <w:szCs w:val="24"/>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2158774A" w14:textId="77777777" w:rsidR="001E3F4C" w:rsidRPr="000A07D4" w:rsidRDefault="001E3F4C" w:rsidP="001E3F4C">
      <w:pPr>
        <w:spacing w:line="360" w:lineRule="auto"/>
        <w:jc w:val="both"/>
        <w:rPr>
          <w:rFonts w:ascii="Palatino Linotype" w:hAnsi="Palatino Linotype"/>
          <w:color w:val="000000" w:themeColor="text1"/>
          <w:sz w:val="24"/>
          <w:szCs w:val="24"/>
        </w:rPr>
      </w:pPr>
      <w:r w:rsidRPr="000A07D4">
        <w:rPr>
          <w:rFonts w:ascii="Palatino Linotype" w:hAnsi="Palatino Linotype"/>
          <w:color w:val="000000" w:themeColor="text1"/>
          <w:sz w:val="24"/>
          <w:szCs w:val="24"/>
        </w:rPr>
        <w:t xml:space="preserve">Identificado ese riesgo, se debe demostrar que el mismo supera el interés público general porque se difunda dicha información. </w:t>
      </w:r>
    </w:p>
    <w:p w14:paraId="59E51FF0" w14:textId="77777777" w:rsidR="001E3F4C" w:rsidRPr="000A07D4" w:rsidRDefault="001E3F4C" w:rsidP="001E3F4C">
      <w:pPr>
        <w:spacing w:line="360" w:lineRule="auto"/>
        <w:jc w:val="both"/>
        <w:rPr>
          <w:rFonts w:ascii="Palatino Linotype" w:hAnsi="Palatino Linotype"/>
          <w:color w:val="000000" w:themeColor="text1"/>
          <w:sz w:val="24"/>
          <w:szCs w:val="24"/>
        </w:rPr>
      </w:pPr>
      <w:r w:rsidRPr="000A07D4">
        <w:rPr>
          <w:rFonts w:ascii="Palatino Linotype" w:hAnsi="Palatino Linotype"/>
          <w:color w:val="000000" w:themeColor="text1"/>
          <w:sz w:val="24"/>
          <w:szCs w:val="24"/>
        </w:rPr>
        <w:t>Y, por último,  que la limitación es acorde con el principio de proporcionalidad, para ello, se sugiere emplear los tres juicios propuestos por la Corte Constitucional Colombiana</w:t>
      </w:r>
      <w:r w:rsidRPr="000A07D4">
        <w:rPr>
          <w:rStyle w:val="Refdenotaalpie"/>
          <w:rFonts w:ascii="Palatino Linotype" w:hAnsi="Palatino Linotype"/>
          <w:color w:val="000000" w:themeColor="text1"/>
        </w:rPr>
        <w:footnoteReference w:id="9"/>
      </w:r>
      <w:r w:rsidRPr="000A07D4">
        <w:rPr>
          <w:rFonts w:ascii="Palatino Linotype" w:hAnsi="Palatino Linotype"/>
          <w:color w:val="000000" w:themeColor="text1"/>
          <w:sz w:val="24"/>
          <w:szCs w:val="24"/>
        </w:rPr>
        <w:t xml:space="preserve">, siguiendo el principio de ponderación propuesto por el Tribunal </w:t>
      </w:r>
      <w:r w:rsidRPr="000A07D4">
        <w:rPr>
          <w:rFonts w:ascii="Palatino Linotype" w:hAnsi="Palatino Linotype"/>
          <w:color w:val="000000" w:themeColor="text1"/>
          <w:sz w:val="24"/>
          <w:szCs w:val="24"/>
        </w:rPr>
        <w:lastRenderedPageBreak/>
        <w:t>Constitucional Alemán,</w:t>
      </w:r>
      <w:r w:rsidRPr="000A07D4">
        <w:rPr>
          <w:rStyle w:val="Refdenotaalpie"/>
          <w:rFonts w:ascii="Palatino Linotype" w:hAnsi="Palatino Linotype"/>
          <w:color w:val="000000" w:themeColor="text1"/>
        </w:rPr>
        <w:footnoteReference w:id="10"/>
      </w:r>
      <w:r w:rsidRPr="000A07D4">
        <w:rPr>
          <w:rFonts w:ascii="Palatino Linotype" w:hAnsi="Palatino Linotype"/>
          <w:color w:val="000000" w:themeColor="text1"/>
          <w:sz w:val="24"/>
          <w:szCs w:val="24"/>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14:paraId="4607263C" w14:textId="08D68A5E" w:rsidR="001E3F4C" w:rsidRPr="00E01285" w:rsidRDefault="001E3F4C" w:rsidP="001E3F4C">
      <w:pPr>
        <w:spacing w:line="360" w:lineRule="auto"/>
        <w:jc w:val="both"/>
        <w:rPr>
          <w:rFonts w:ascii="Palatino Linotype" w:hAnsi="Palatino Linotype"/>
          <w:color w:val="000000" w:themeColor="text1"/>
          <w:sz w:val="24"/>
          <w:szCs w:val="24"/>
        </w:rPr>
      </w:pPr>
      <w:r w:rsidRPr="000A07D4">
        <w:rPr>
          <w:rFonts w:ascii="Palatino Linotype" w:hAnsi="Palatino Linotype"/>
          <w:color w:val="000000" w:themeColor="text1"/>
          <w:sz w:val="24"/>
          <w:szCs w:val="24"/>
        </w:rPr>
        <w:t xml:space="preserve">Es así </w:t>
      </w:r>
      <w:r w:rsidR="002527DD" w:rsidRPr="000A07D4">
        <w:rPr>
          <w:rFonts w:ascii="Palatino Linotype" w:hAnsi="Palatino Linotype"/>
          <w:color w:val="000000" w:themeColor="text1"/>
          <w:sz w:val="24"/>
          <w:szCs w:val="24"/>
        </w:rPr>
        <w:t>como,</w:t>
      </w:r>
      <w:r w:rsidRPr="000A07D4">
        <w:rPr>
          <w:rFonts w:ascii="Palatino Linotype" w:hAnsi="Palatino Linotype"/>
          <w:color w:val="000000" w:themeColor="text1"/>
          <w:sz w:val="24"/>
          <w:szCs w:val="24"/>
        </w:rPr>
        <w:t xml:space="preserve"> al configurarse tales requisitos, se otorga certidumbre jurídica y se protege la esfera más íntima del derecho humano constitucional y convencionalmente reconocido.</w:t>
      </w:r>
      <w:r>
        <w:rPr>
          <w:rFonts w:ascii="Palatino Linotype" w:hAnsi="Palatino Linotype"/>
          <w:color w:val="000000" w:themeColor="text1"/>
          <w:sz w:val="24"/>
          <w:szCs w:val="24"/>
        </w:rPr>
        <w:t xml:space="preserve"> </w:t>
      </w:r>
    </w:p>
    <w:p w14:paraId="1B52A2CB" w14:textId="77777777" w:rsidR="001E3F4C" w:rsidRDefault="001E3F4C" w:rsidP="001E3F4C">
      <w:pPr>
        <w:spacing w:before="240" w:line="360" w:lineRule="auto"/>
        <w:jc w:val="both"/>
        <w:rPr>
          <w:rFonts w:ascii="Palatino Linotype" w:hAnsi="Palatino Linotype"/>
          <w:sz w:val="24"/>
          <w:szCs w:val="24"/>
        </w:rPr>
      </w:pPr>
      <w:r>
        <w:rPr>
          <w:rFonts w:ascii="Palatino Linotype" w:hAnsi="Palatino Linotype"/>
          <w:sz w:val="24"/>
          <w:szCs w:val="24"/>
        </w:rPr>
        <w:t xml:space="preserve">Los acuerdos de reserva deberán de cumplir con los siguientes parámetros de forma y fondo: </w:t>
      </w:r>
    </w:p>
    <w:p w14:paraId="4C3BF4CD" w14:textId="77777777" w:rsidR="001E3F4C" w:rsidRDefault="001E3F4C" w:rsidP="001E3F4C">
      <w:pPr>
        <w:pStyle w:val="Prrafodelista"/>
        <w:numPr>
          <w:ilvl w:val="0"/>
          <w:numId w:val="4"/>
        </w:numPr>
        <w:spacing w:before="240" w:line="360" w:lineRule="auto"/>
        <w:jc w:val="both"/>
        <w:rPr>
          <w:rFonts w:ascii="Palatino Linotype" w:hAnsi="Palatino Linotype"/>
        </w:rPr>
      </w:pPr>
      <w:r>
        <w:rPr>
          <w:rFonts w:ascii="Palatino Linotype" w:hAnsi="Palatino Linotype"/>
        </w:rPr>
        <w:t>Número de folio de la solicitud</w:t>
      </w:r>
    </w:p>
    <w:p w14:paraId="332B3903" w14:textId="77777777" w:rsidR="001E3F4C" w:rsidRDefault="001E3F4C" w:rsidP="001E3F4C">
      <w:pPr>
        <w:pStyle w:val="Prrafodelista"/>
        <w:numPr>
          <w:ilvl w:val="0"/>
          <w:numId w:val="4"/>
        </w:numPr>
        <w:spacing w:before="240" w:line="360" w:lineRule="auto"/>
        <w:jc w:val="both"/>
        <w:rPr>
          <w:rFonts w:ascii="Palatino Linotype" w:hAnsi="Palatino Linotype"/>
        </w:rPr>
      </w:pPr>
      <w:r>
        <w:rPr>
          <w:rFonts w:ascii="Palatino Linotype" w:hAnsi="Palatino Linotype"/>
        </w:rPr>
        <w:t>Referencia de la información solicitada</w:t>
      </w:r>
    </w:p>
    <w:p w14:paraId="1C36E815" w14:textId="3A463110" w:rsidR="001E3F4C" w:rsidRDefault="001E3F4C" w:rsidP="001E3F4C">
      <w:pPr>
        <w:pStyle w:val="Prrafodelista"/>
        <w:numPr>
          <w:ilvl w:val="0"/>
          <w:numId w:val="4"/>
        </w:numPr>
        <w:spacing w:before="240" w:line="360" w:lineRule="auto"/>
        <w:jc w:val="both"/>
        <w:rPr>
          <w:rFonts w:ascii="Palatino Linotype" w:hAnsi="Palatino Linotype"/>
        </w:rPr>
      </w:pPr>
      <w:r>
        <w:rPr>
          <w:rFonts w:ascii="Palatino Linotype" w:hAnsi="Palatino Linotype"/>
        </w:rPr>
        <w:lastRenderedPageBreak/>
        <w:t xml:space="preserve">Causal aplicable del artículo 113 de la Ley General, vinculándola con el Lineamiento </w:t>
      </w:r>
      <w:r w:rsidR="002527DD">
        <w:rPr>
          <w:rFonts w:ascii="Palatino Linotype" w:hAnsi="Palatino Linotype"/>
        </w:rPr>
        <w:t>específico</w:t>
      </w:r>
      <w:r>
        <w:rPr>
          <w:rFonts w:ascii="Palatino Linotype" w:hAnsi="Palatino Linotype"/>
        </w:rPr>
        <w:t xml:space="preserve"> del presente ordenamiento y, cuando corresponda, el supuesto normativo que expresamente le otorga el carácter de información reservada. </w:t>
      </w:r>
    </w:p>
    <w:p w14:paraId="017225C1" w14:textId="77777777" w:rsidR="001E3F4C" w:rsidRDefault="001E3F4C" w:rsidP="001E3F4C">
      <w:pPr>
        <w:pStyle w:val="Prrafodelista"/>
        <w:numPr>
          <w:ilvl w:val="0"/>
          <w:numId w:val="4"/>
        </w:numPr>
        <w:spacing w:before="240" w:line="360" w:lineRule="auto"/>
        <w:jc w:val="both"/>
        <w:rPr>
          <w:rFonts w:ascii="Palatino Linotype" w:hAnsi="Palatino Linotype"/>
        </w:rPr>
      </w:pPr>
      <w:r>
        <w:rPr>
          <w:rFonts w:ascii="Palatino Linotype" w:hAnsi="Palatino Linotype"/>
        </w:rPr>
        <w:t xml:space="preserve">Fundamento y Motivación Legal. </w:t>
      </w:r>
    </w:p>
    <w:p w14:paraId="131F1277" w14:textId="77777777" w:rsidR="001E3F4C" w:rsidRDefault="001E3F4C" w:rsidP="001E3F4C">
      <w:pPr>
        <w:pStyle w:val="Prrafodelista"/>
        <w:numPr>
          <w:ilvl w:val="0"/>
          <w:numId w:val="4"/>
        </w:numPr>
        <w:spacing w:before="240" w:line="360" w:lineRule="auto"/>
        <w:jc w:val="both"/>
        <w:rPr>
          <w:rFonts w:ascii="Palatino Linotype" w:hAnsi="Palatino Linotype"/>
        </w:rPr>
      </w:pPr>
      <w:r>
        <w:rPr>
          <w:rFonts w:ascii="Palatino Linotype" w:hAnsi="Palatino Linotype"/>
        </w:rPr>
        <w:t xml:space="preserve">Conexión entre los fundamentos y motivos que dieron origen a la Reserva de la información. </w:t>
      </w:r>
    </w:p>
    <w:p w14:paraId="2A141F4C" w14:textId="77777777" w:rsidR="001E3F4C" w:rsidRPr="00C70B4A" w:rsidRDefault="001E3F4C" w:rsidP="001E3F4C">
      <w:pPr>
        <w:spacing w:before="240" w:line="360" w:lineRule="auto"/>
        <w:ind w:left="360"/>
        <w:jc w:val="both"/>
        <w:rPr>
          <w:rFonts w:ascii="Palatino Linotype" w:hAnsi="Palatino Linotype"/>
          <w:b/>
        </w:rPr>
      </w:pPr>
      <w:r>
        <w:rPr>
          <w:rFonts w:ascii="Palatino Linotype" w:hAnsi="Palatino Linotype"/>
          <w:b/>
        </w:rPr>
        <w:t>Prueba de Daño</w:t>
      </w:r>
    </w:p>
    <w:p w14:paraId="61017133" w14:textId="77777777" w:rsidR="001E3F4C" w:rsidRDefault="001E3F4C" w:rsidP="001E3F4C">
      <w:pPr>
        <w:pStyle w:val="Prrafodelista"/>
        <w:numPr>
          <w:ilvl w:val="0"/>
          <w:numId w:val="4"/>
        </w:numPr>
        <w:spacing w:before="240" w:line="360" w:lineRule="auto"/>
        <w:jc w:val="both"/>
        <w:rPr>
          <w:rFonts w:ascii="Palatino Linotype" w:hAnsi="Palatino Linotype"/>
        </w:rPr>
      </w:pPr>
      <w:r>
        <w:rPr>
          <w:rFonts w:ascii="Palatino Linotype" w:hAnsi="Palatino Linotype"/>
        </w:rPr>
        <w:t>Riesgo real, demostrable e identificable (Modo, Tiempo y lugar)</w:t>
      </w:r>
    </w:p>
    <w:p w14:paraId="0F6097C5" w14:textId="77777777" w:rsidR="001E3F4C" w:rsidRDefault="001E3F4C" w:rsidP="001E3F4C">
      <w:pPr>
        <w:pStyle w:val="Prrafodelista"/>
        <w:numPr>
          <w:ilvl w:val="0"/>
          <w:numId w:val="4"/>
        </w:numPr>
        <w:spacing w:before="240" w:line="360" w:lineRule="auto"/>
        <w:jc w:val="both"/>
        <w:rPr>
          <w:rFonts w:ascii="Palatino Linotype" w:hAnsi="Palatino Linotype"/>
        </w:rPr>
      </w:pPr>
      <w:r>
        <w:rPr>
          <w:rFonts w:ascii="Palatino Linotype" w:hAnsi="Palatino Linotype"/>
        </w:rPr>
        <w:t>Temporalidad de la Reserva de la Información</w:t>
      </w:r>
    </w:p>
    <w:p w14:paraId="07AB2175" w14:textId="77777777" w:rsidR="001E3F4C" w:rsidRPr="00C70B4A" w:rsidRDefault="001E3F4C" w:rsidP="001E3F4C">
      <w:pPr>
        <w:pStyle w:val="Prrafodelista"/>
        <w:numPr>
          <w:ilvl w:val="0"/>
          <w:numId w:val="4"/>
        </w:numPr>
        <w:spacing w:before="240" w:line="360" w:lineRule="auto"/>
        <w:jc w:val="both"/>
        <w:rPr>
          <w:rFonts w:ascii="Palatino Linotype" w:hAnsi="Palatino Linotype"/>
        </w:rPr>
      </w:pPr>
      <w:r>
        <w:rPr>
          <w:rFonts w:ascii="Palatino Linotype" w:hAnsi="Palatino Linotype"/>
        </w:rPr>
        <w:t xml:space="preserve">Autoridades competentes. </w:t>
      </w:r>
    </w:p>
    <w:p w14:paraId="37BCAFD5" w14:textId="3DF68946" w:rsidR="00CE2335" w:rsidRDefault="00CE2335" w:rsidP="006E7EEE">
      <w:pPr>
        <w:spacing w:after="0" w:line="360" w:lineRule="auto"/>
        <w:jc w:val="both"/>
        <w:rPr>
          <w:rFonts w:ascii="Palatino Linotype" w:hAnsi="Palatino Linotype" w:cs="Arial"/>
          <w:noProof/>
          <w:color w:val="000000"/>
          <w:sz w:val="24"/>
          <w:lang w:val="es-ES" w:eastAsia="es-MX"/>
        </w:rPr>
      </w:pPr>
    </w:p>
    <w:p w14:paraId="0B630D4F" w14:textId="77777777" w:rsidR="001E3F4C" w:rsidRDefault="001E3F4C" w:rsidP="001E3F4C">
      <w:pPr>
        <w:spacing w:after="0" w:line="360" w:lineRule="auto"/>
        <w:jc w:val="both"/>
        <w:rPr>
          <w:rFonts w:ascii="Palatino Linotype" w:hAnsi="Palatino Linotype" w:cs="Arial"/>
          <w:noProof/>
          <w:color w:val="000000"/>
          <w:sz w:val="24"/>
          <w:lang w:eastAsia="es-MX"/>
        </w:rPr>
      </w:pPr>
    </w:p>
    <w:p w14:paraId="1AE4B021" w14:textId="19FC9EC1" w:rsidR="001E3F4C" w:rsidRPr="00106713" w:rsidRDefault="001E3F4C" w:rsidP="001E3F4C">
      <w:pPr>
        <w:spacing w:after="0" w:line="360" w:lineRule="auto"/>
        <w:jc w:val="both"/>
        <w:rPr>
          <w:rFonts w:ascii="Palatino Linotype" w:hAnsi="Palatino Linotype" w:cs="Arial"/>
          <w:noProof/>
          <w:color w:val="000000"/>
          <w:sz w:val="24"/>
          <w:lang w:eastAsia="es-MX"/>
        </w:rPr>
      </w:pPr>
      <w:r w:rsidRPr="004C117E">
        <w:rPr>
          <w:rFonts w:ascii="Palatino Linotype" w:hAnsi="Palatino Linotype" w:cs="Arial"/>
          <w:noProof/>
          <w:color w:val="000000"/>
          <w:sz w:val="24"/>
          <w:lang w:eastAsia="es-MX"/>
        </w:rPr>
        <w:t xml:space="preserve">Con base en lo anteriormente expuesto, </w:t>
      </w:r>
      <w:r>
        <w:rPr>
          <w:rFonts w:ascii="Palatino Linotype" w:hAnsi="Palatino Linotype" w:cs="Arial"/>
          <w:noProof/>
          <w:color w:val="000000"/>
          <w:sz w:val="24"/>
          <w:lang w:eastAsia="es-MX"/>
        </w:rPr>
        <w:t xml:space="preserve">resulta procedente ordenar una búsqueda exhaustiba y razonable en los archivos del </w:t>
      </w:r>
      <w:r>
        <w:rPr>
          <w:rFonts w:ascii="Palatino Linotype" w:hAnsi="Palatino Linotype" w:cs="Arial"/>
          <w:b/>
          <w:bCs/>
          <w:noProof/>
          <w:color w:val="000000"/>
          <w:sz w:val="24"/>
          <w:lang w:eastAsia="es-MX"/>
        </w:rPr>
        <w:t>Sujeto Obligado</w:t>
      </w:r>
      <w:r>
        <w:rPr>
          <w:rFonts w:ascii="Palatino Linotype" w:hAnsi="Palatino Linotype" w:cs="Arial"/>
          <w:noProof/>
          <w:color w:val="000000"/>
          <w:sz w:val="24"/>
          <w:lang w:eastAsia="es-MX"/>
        </w:rPr>
        <w:t>, a efecto de hacer entrega en versión pública de ser procedente, de la siguiente información:</w:t>
      </w:r>
    </w:p>
    <w:p w14:paraId="5245AC9E" w14:textId="77777777" w:rsidR="001E3F4C" w:rsidRPr="00453020" w:rsidRDefault="001E3F4C" w:rsidP="001E3F4C">
      <w:pPr>
        <w:pStyle w:val="Prrafodelista"/>
        <w:numPr>
          <w:ilvl w:val="0"/>
          <w:numId w:val="36"/>
        </w:numPr>
        <w:spacing w:before="240" w:line="360" w:lineRule="auto"/>
        <w:jc w:val="both"/>
        <w:rPr>
          <w:rFonts w:ascii="Palatino Linotype" w:hAnsi="Palatino Linotype"/>
        </w:rPr>
      </w:pPr>
      <w:r>
        <w:rPr>
          <w:rFonts w:ascii="Palatino Linotype" w:hAnsi="Palatino Linotype"/>
        </w:rPr>
        <w:lastRenderedPageBreak/>
        <w:t xml:space="preserve">El o los documentos donde consten los procedimientos administrativos de ejecución, del periodo comprendido del uno de enero al cinco de julio de dos mil veintidós. </w:t>
      </w:r>
    </w:p>
    <w:p w14:paraId="35FD17C6" w14:textId="77777777" w:rsidR="001E3F4C" w:rsidRDefault="001E3F4C" w:rsidP="006E7EEE">
      <w:pPr>
        <w:spacing w:after="0" w:line="360" w:lineRule="auto"/>
        <w:jc w:val="both"/>
        <w:rPr>
          <w:rFonts w:ascii="Palatino Linotype" w:hAnsi="Palatino Linotype" w:cs="Arial"/>
          <w:noProof/>
          <w:color w:val="000000"/>
          <w:sz w:val="24"/>
          <w:lang w:val="es-ES" w:eastAsia="es-MX"/>
        </w:rPr>
      </w:pPr>
    </w:p>
    <w:p w14:paraId="3F2062D6" w14:textId="0E100F8E" w:rsidR="00CE2335" w:rsidRDefault="00CE2335" w:rsidP="006E7EEE">
      <w:pPr>
        <w:spacing w:after="0" w:line="360" w:lineRule="auto"/>
        <w:jc w:val="both"/>
        <w:rPr>
          <w:rFonts w:ascii="Palatino Linotype" w:hAnsi="Palatino Linotype" w:cs="Arial"/>
          <w:noProof/>
          <w:color w:val="000000"/>
          <w:sz w:val="24"/>
          <w:lang w:val="es-ES" w:eastAsia="es-MX"/>
        </w:rPr>
      </w:pPr>
    </w:p>
    <w:p w14:paraId="18753C4B" w14:textId="2C82997C" w:rsidR="00AF1CDC" w:rsidRPr="00106713" w:rsidRDefault="00AF1CDC" w:rsidP="006E7EEE">
      <w:pPr>
        <w:spacing w:after="0" w:line="360" w:lineRule="auto"/>
        <w:jc w:val="both"/>
        <w:rPr>
          <w:rFonts w:ascii="Palatino Linotype" w:hAnsi="Palatino Linotype" w:cs="Arial"/>
          <w:noProof/>
          <w:color w:val="000000"/>
          <w:sz w:val="24"/>
          <w:lang w:val="es-ES" w:eastAsia="es-MX"/>
        </w:rPr>
      </w:pPr>
      <w:r>
        <w:rPr>
          <w:rFonts w:ascii="Palatino Linotype" w:hAnsi="Palatino Linotype" w:cs="Arial"/>
          <w:noProof/>
          <w:color w:val="000000"/>
          <w:sz w:val="24"/>
          <w:lang w:val="es-ES" w:eastAsia="es-MX"/>
        </w:rPr>
        <w:t xml:space="preserve">Finalmente, </w:t>
      </w:r>
      <w:r w:rsidR="001E3F4C">
        <w:rPr>
          <w:rFonts w:ascii="Palatino Linotype" w:hAnsi="Palatino Linotype" w:cs="Arial"/>
          <w:noProof/>
          <w:color w:val="000000"/>
          <w:sz w:val="24"/>
          <w:lang w:val="es-ES" w:eastAsia="es-MX"/>
        </w:rPr>
        <w:t xml:space="preserve">se desprende que las atribuciones derivadas de procedimientos administrativos de ejecución no se encuentran sujetas a una temporalidad especifica para su </w:t>
      </w:r>
      <w:r w:rsidR="001E3F4C" w:rsidRPr="001E3F4C">
        <w:rPr>
          <w:rFonts w:ascii="Palatino Linotype" w:hAnsi="Palatino Linotype" w:cs="Arial"/>
          <w:sz w:val="24"/>
          <w:szCs w:val="24"/>
        </w:rPr>
        <w:t>desempeño</w:t>
      </w:r>
      <w:r w:rsidR="001E3F4C" w:rsidRPr="001E3F4C">
        <w:rPr>
          <w:rFonts w:ascii="Palatino Linotype" w:hAnsi="Palatino Linotype" w:cs="Arial"/>
          <w:noProof/>
          <w:color w:val="000000"/>
          <w:sz w:val="24"/>
          <w:lang w:val="es-ES" w:eastAsia="es-MX"/>
        </w:rPr>
        <w:t>,</w:t>
      </w:r>
      <w:r w:rsidR="001E3F4C">
        <w:rPr>
          <w:rFonts w:ascii="Palatino Linotype" w:hAnsi="Palatino Linotype" w:cs="Arial"/>
          <w:noProof/>
          <w:color w:val="000000"/>
          <w:sz w:val="24"/>
          <w:lang w:val="es-ES" w:eastAsia="es-MX"/>
        </w:rPr>
        <w:t xml:space="preserve"> sino que se supeditan a un hecho meramente excepcional como el incumplimiento de pago a un crédito fiscal. </w:t>
      </w:r>
      <w:r w:rsidR="00740C2B">
        <w:rPr>
          <w:rFonts w:ascii="Palatino Linotype" w:hAnsi="Palatino Linotype" w:cs="Arial"/>
          <w:noProof/>
          <w:color w:val="000000"/>
          <w:sz w:val="24"/>
          <w:lang w:val="es-ES" w:eastAsia="es-MX"/>
        </w:rPr>
        <w:t xml:space="preserve">Por ello, </w:t>
      </w:r>
      <w:r>
        <w:rPr>
          <w:rFonts w:ascii="Palatino Linotype" w:hAnsi="Palatino Linotype" w:cs="Arial"/>
          <w:noProof/>
          <w:color w:val="000000"/>
          <w:sz w:val="24"/>
          <w:lang w:val="es-ES" w:eastAsia="es-MX"/>
        </w:rPr>
        <w:t xml:space="preserve">para el caso de que después de realizar una búsqueda exhaustiva y razonable, no obre en sus archivos, bastará con que así lo manifieste en etapa de cumplimiento. </w:t>
      </w:r>
    </w:p>
    <w:p w14:paraId="400E825A" w14:textId="4B5E2DA9" w:rsidR="00106713" w:rsidRDefault="00106713" w:rsidP="006E7EEE">
      <w:pPr>
        <w:spacing w:after="0" w:line="360" w:lineRule="auto"/>
        <w:jc w:val="both"/>
        <w:rPr>
          <w:rFonts w:ascii="Palatino Linotype" w:hAnsi="Palatino Linotype"/>
          <w:sz w:val="24"/>
          <w:szCs w:val="24"/>
        </w:rPr>
      </w:pPr>
    </w:p>
    <w:p w14:paraId="6B9D2684" w14:textId="77777777" w:rsidR="003D70F6" w:rsidRPr="00DB1252" w:rsidRDefault="003D70F6" w:rsidP="003D70F6">
      <w:pPr>
        <w:spacing w:before="240" w:after="240" w:line="360" w:lineRule="auto"/>
        <w:jc w:val="both"/>
        <w:rPr>
          <w:rFonts w:ascii="Palatino Linotype" w:hAnsi="Palatino Linotype"/>
          <w:b/>
          <w:sz w:val="28"/>
          <w:szCs w:val="28"/>
        </w:rPr>
      </w:pPr>
      <w:r w:rsidRPr="00DB1252">
        <w:rPr>
          <w:rFonts w:ascii="Palatino Linotype" w:hAnsi="Palatino Linotype"/>
          <w:b/>
          <w:bCs/>
          <w:sz w:val="28"/>
          <w:szCs w:val="28"/>
        </w:rPr>
        <w:t>De la</w:t>
      </w:r>
      <w:r w:rsidRPr="00DB1252">
        <w:rPr>
          <w:rFonts w:ascii="Palatino Linotype" w:hAnsi="Palatino Linotype"/>
          <w:bCs/>
          <w:sz w:val="24"/>
          <w:szCs w:val="24"/>
        </w:rPr>
        <w:t xml:space="preserve"> </w:t>
      </w:r>
      <w:r w:rsidRPr="00DB1252">
        <w:rPr>
          <w:rFonts w:ascii="Palatino Linotype" w:hAnsi="Palatino Linotype"/>
          <w:b/>
          <w:sz w:val="28"/>
          <w:szCs w:val="28"/>
        </w:rPr>
        <w:t xml:space="preserve">Versión Pública </w:t>
      </w:r>
    </w:p>
    <w:p w14:paraId="06DB93D6" w14:textId="77777777" w:rsidR="003D70F6" w:rsidRPr="00DB1252" w:rsidRDefault="003D70F6" w:rsidP="003D70F6">
      <w:pPr>
        <w:tabs>
          <w:tab w:val="left" w:pos="7938"/>
        </w:tabs>
        <w:spacing w:before="240" w:after="240" w:line="360" w:lineRule="auto"/>
        <w:jc w:val="both"/>
        <w:rPr>
          <w:rFonts w:ascii="Palatino Linotype" w:eastAsia="Arial Unicode MS" w:hAnsi="Palatino Linotype" w:cs="Arial"/>
          <w:sz w:val="24"/>
          <w:szCs w:val="24"/>
        </w:rPr>
      </w:pPr>
      <w:r w:rsidRPr="00DB1252">
        <w:rPr>
          <w:rFonts w:ascii="Palatino Linotype" w:eastAsia="Arial Unicode MS" w:hAnsi="Palatino Linotype" w:cs="Arial"/>
          <w:sz w:val="24"/>
          <w:szCs w:val="24"/>
        </w:rPr>
        <w:t xml:space="preserve">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w:t>
      </w:r>
      <w:r w:rsidRPr="00DB1252">
        <w:rPr>
          <w:rFonts w:ascii="Palatino Linotype" w:eastAsia="Arial Unicode MS" w:hAnsi="Palatino Linotype" w:cs="Arial"/>
          <w:sz w:val="24"/>
          <w:szCs w:val="24"/>
        </w:rPr>
        <w:lastRenderedPageBreak/>
        <w:t>el acceso a la información bajo el principio de máxima divulgación, empero sin violar el derecho a la protección de datos personales, cuyo fundamento legal aplicable se encuentra inmerso en los numerales de la Ley de la materia, que a la letra esgrimen:</w:t>
      </w:r>
    </w:p>
    <w:p w14:paraId="30C33237" w14:textId="77777777" w:rsidR="003D70F6" w:rsidRPr="00DB1252" w:rsidRDefault="003D70F6" w:rsidP="003D70F6">
      <w:pPr>
        <w:spacing w:before="240" w:line="360" w:lineRule="auto"/>
        <w:ind w:left="851" w:right="851"/>
        <w:jc w:val="both"/>
        <w:rPr>
          <w:rFonts w:ascii="Palatino Linotype" w:hAnsi="Palatino Linotype" w:cs="Arial"/>
          <w:i/>
        </w:rPr>
      </w:pPr>
      <w:r w:rsidRPr="00DB1252">
        <w:rPr>
          <w:rFonts w:ascii="Palatino Linotype" w:hAnsi="Palatino Linotype" w:cs="Arial"/>
          <w:i/>
        </w:rPr>
        <w:t>“Artículo 3. Para los efectos de la presente Ley se entenderá por:</w:t>
      </w:r>
    </w:p>
    <w:p w14:paraId="4B6A27AB" w14:textId="77777777" w:rsidR="003D70F6" w:rsidRPr="00DB1252" w:rsidRDefault="003D70F6" w:rsidP="003D70F6">
      <w:pPr>
        <w:spacing w:before="240" w:line="360" w:lineRule="auto"/>
        <w:ind w:left="851" w:right="851"/>
        <w:jc w:val="both"/>
        <w:rPr>
          <w:rFonts w:ascii="Palatino Linotype" w:hAnsi="Palatino Linotype" w:cs="Arial"/>
          <w:i/>
        </w:rPr>
      </w:pPr>
      <w:r w:rsidRPr="00DB1252">
        <w:rPr>
          <w:rFonts w:ascii="Palatino Linotype" w:hAnsi="Palatino Linotype" w:cs="Arial"/>
          <w:i/>
        </w:rPr>
        <w:t>(…)</w:t>
      </w:r>
    </w:p>
    <w:p w14:paraId="4280B419" w14:textId="77777777" w:rsidR="003D70F6" w:rsidRPr="00DB1252" w:rsidRDefault="003D70F6" w:rsidP="003D70F6">
      <w:pPr>
        <w:spacing w:before="240" w:line="360" w:lineRule="auto"/>
        <w:ind w:left="851" w:right="851"/>
        <w:jc w:val="both"/>
        <w:rPr>
          <w:rFonts w:ascii="Palatino Linotype" w:hAnsi="Palatino Linotype" w:cs="Arial"/>
          <w:b/>
          <w:i/>
        </w:rPr>
      </w:pPr>
      <w:r w:rsidRPr="00DB1252">
        <w:rPr>
          <w:rFonts w:ascii="Palatino Linotype" w:hAnsi="Palatino Linotype" w:cs="Arial"/>
          <w:b/>
          <w:i/>
          <w:u w:val="single"/>
        </w:rPr>
        <w:t>IX. Datos personales:</w:t>
      </w:r>
      <w:r w:rsidRPr="00DB1252">
        <w:rPr>
          <w:rFonts w:ascii="Palatino Linotype" w:hAnsi="Palatino Linotype" w:cs="Arial"/>
          <w:b/>
          <w:i/>
        </w:rPr>
        <w:t xml:space="preserve"> </w:t>
      </w:r>
      <w:r w:rsidRPr="00DB1252">
        <w:rPr>
          <w:rFonts w:ascii="Palatino Linotype" w:hAnsi="Palatino Linotype" w:cs="Arial"/>
          <w:i/>
        </w:rPr>
        <w:t>La información concerniente a una persona, identificada o identificable según lo dispuesto por la Ley de Protección de Datos Personales del Estado de México;</w:t>
      </w:r>
    </w:p>
    <w:p w14:paraId="5E89E8EA" w14:textId="77777777" w:rsidR="003D70F6" w:rsidRPr="00DB1252" w:rsidRDefault="003D70F6" w:rsidP="003D70F6">
      <w:pPr>
        <w:spacing w:before="240" w:line="360" w:lineRule="auto"/>
        <w:ind w:left="851" w:right="851"/>
        <w:jc w:val="both"/>
        <w:rPr>
          <w:rFonts w:ascii="Palatino Linotype" w:hAnsi="Palatino Linotype" w:cs="Arial"/>
          <w:b/>
          <w:i/>
        </w:rPr>
      </w:pPr>
      <w:r w:rsidRPr="00DB1252">
        <w:rPr>
          <w:rFonts w:ascii="Palatino Linotype" w:hAnsi="Palatino Linotype" w:cs="Arial"/>
          <w:b/>
          <w:i/>
        </w:rPr>
        <w:t>(…)</w:t>
      </w:r>
    </w:p>
    <w:p w14:paraId="6BB93DEF" w14:textId="77777777" w:rsidR="003D70F6" w:rsidRPr="00DB1252" w:rsidRDefault="003D70F6" w:rsidP="003D70F6">
      <w:pPr>
        <w:spacing w:before="240" w:line="360" w:lineRule="auto"/>
        <w:ind w:left="851" w:right="851"/>
        <w:jc w:val="both"/>
        <w:rPr>
          <w:rFonts w:ascii="Palatino Linotype" w:hAnsi="Palatino Linotype" w:cs="Arial"/>
          <w:b/>
          <w:i/>
        </w:rPr>
      </w:pPr>
      <w:r w:rsidRPr="00DB1252">
        <w:rPr>
          <w:rFonts w:ascii="Palatino Linotype" w:hAnsi="Palatino Linotype" w:cs="Arial"/>
          <w:b/>
          <w:i/>
          <w:u w:val="single"/>
        </w:rPr>
        <w:t>XLV. Versión pública:</w:t>
      </w:r>
      <w:r w:rsidRPr="00DB1252">
        <w:rPr>
          <w:rFonts w:ascii="Palatino Linotype" w:hAnsi="Palatino Linotype" w:cs="Arial"/>
          <w:b/>
          <w:i/>
        </w:rPr>
        <w:t xml:space="preserve"> </w:t>
      </w:r>
      <w:r w:rsidRPr="00DB1252">
        <w:rPr>
          <w:rFonts w:ascii="Palatino Linotype" w:hAnsi="Palatino Linotype" w:cs="Arial"/>
          <w:i/>
        </w:rPr>
        <w:t>Documento en el que se elimine, suprime o borra la información clasificada como reservada o confidencial para permitir su acceso.</w:t>
      </w:r>
    </w:p>
    <w:p w14:paraId="3C89ED5D" w14:textId="77777777" w:rsidR="003D70F6" w:rsidRPr="00DB1252" w:rsidRDefault="003D70F6" w:rsidP="003D70F6">
      <w:pPr>
        <w:spacing w:before="240" w:line="360" w:lineRule="auto"/>
        <w:ind w:left="851" w:right="851"/>
        <w:jc w:val="both"/>
        <w:rPr>
          <w:rFonts w:ascii="Palatino Linotype" w:hAnsi="Palatino Linotype" w:cs="Arial"/>
          <w:b/>
          <w:i/>
        </w:rPr>
      </w:pPr>
      <w:r w:rsidRPr="00DB1252">
        <w:rPr>
          <w:rFonts w:ascii="Palatino Linotype" w:hAnsi="Palatino Linotype" w:cs="Arial"/>
          <w:i/>
        </w:rPr>
        <w:t xml:space="preserve">Artículo 122. </w:t>
      </w:r>
      <w:r w:rsidRPr="00DB1252">
        <w:rPr>
          <w:rFonts w:ascii="Palatino Linotype" w:hAnsi="Palatino Linotype" w:cs="Arial"/>
          <w:b/>
          <w:i/>
          <w:u w:val="single"/>
        </w:rPr>
        <w:t>La clasificación es el proceso mediante el cual el sujeto obligado determina que la información en su poder actualiza alguno de los supuestos de reserva o confidencialidad, de conformidad con lo dispuesto en el presente título.</w:t>
      </w:r>
    </w:p>
    <w:p w14:paraId="1263E639" w14:textId="77777777" w:rsidR="003D70F6" w:rsidRPr="00DB1252" w:rsidRDefault="003D70F6" w:rsidP="003D70F6">
      <w:pPr>
        <w:spacing w:before="240" w:line="360" w:lineRule="auto"/>
        <w:ind w:left="851" w:right="851"/>
        <w:jc w:val="both"/>
        <w:rPr>
          <w:rFonts w:ascii="Palatino Linotype" w:hAnsi="Palatino Linotype" w:cs="Arial"/>
          <w:i/>
        </w:rPr>
      </w:pPr>
      <w:r w:rsidRPr="00DB1252">
        <w:rPr>
          <w:rFonts w:ascii="Palatino Linotype" w:hAnsi="Palatino Linotype" w:cs="Arial"/>
          <w:i/>
        </w:rPr>
        <w:t>[…]</w:t>
      </w:r>
    </w:p>
    <w:p w14:paraId="1D83DF97" w14:textId="77777777" w:rsidR="003D70F6" w:rsidRPr="00DB1252" w:rsidRDefault="003D70F6" w:rsidP="003D70F6">
      <w:pPr>
        <w:spacing w:before="240" w:line="360" w:lineRule="auto"/>
        <w:ind w:left="851" w:right="851"/>
        <w:jc w:val="both"/>
        <w:rPr>
          <w:rFonts w:ascii="Palatino Linotype" w:hAnsi="Palatino Linotype" w:cs="Arial"/>
          <w:i/>
        </w:rPr>
      </w:pPr>
      <w:r w:rsidRPr="00DB1252">
        <w:rPr>
          <w:rFonts w:ascii="Palatino Linotype" w:hAnsi="Palatino Linotype" w:cs="Arial"/>
          <w:i/>
        </w:rPr>
        <w:lastRenderedPageBreak/>
        <w:t>Artículo 132. La clasificación de la información se llevará a cabo en el momento en que:</w:t>
      </w:r>
    </w:p>
    <w:p w14:paraId="67257740" w14:textId="77777777" w:rsidR="003D70F6" w:rsidRPr="00DB1252" w:rsidRDefault="003D70F6" w:rsidP="003D70F6">
      <w:pPr>
        <w:spacing w:before="240" w:line="360" w:lineRule="auto"/>
        <w:ind w:left="851" w:right="851"/>
        <w:jc w:val="both"/>
        <w:rPr>
          <w:rFonts w:ascii="Palatino Linotype" w:hAnsi="Palatino Linotype" w:cs="Arial"/>
          <w:i/>
        </w:rPr>
      </w:pPr>
      <w:r w:rsidRPr="00DB1252">
        <w:rPr>
          <w:rFonts w:ascii="Palatino Linotype" w:hAnsi="Palatino Linotype" w:cs="Arial"/>
          <w:i/>
        </w:rPr>
        <w:t>[…]</w:t>
      </w:r>
    </w:p>
    <w:p w14:paraId="235CB276" w14:textId="77777777" w:rsidR="003D70F6" w:rsidRPr="00DB1252" w:rsidRDefault="003D70F6" w:rsidP="003D70F6">
      <w:pPr>
        <w:spacing w:before="240" w:line="360" w:lineRule="auto"/>
        <w:ind w:left="851" w:right="851"/>
        <w:jc w:val="both"/>
        <w:rPr>
          <w:rFonts w:ascii="Palatino Linotype" w:hAnsi="Palatino Linotype" w:cs="Arial"/>
          <w:b/>
          <w:i/>
          <w:u w:val="single"/>
        </w:rPr>
      </w:pPr>
      <w:r w:rsidRPr="00DB1252">
        <w:rPr>
          <w:rFonts w:ascii="Palatino Linotype" w:hAnsi="Palatino Linotype" w:cs="Arial"/>
          <w:b/>
          <w:i/>
          <w:u w:val="single"/>
        </w:rPr>
        <w:t>II. Se determine mediante resolución de autoridad competente; o</w:t>
      </w:r>
    </w:p>
    <w:p w14:paraId="36371509" w14:textId="77777777" w:rsidR="003D70F6" w:rsidRPr="00DB1252" w:rsidRDefault="003D70F6" w:rsidP="003D70F6">
      <w:pPr>
        <w:spacing w:before="240" w:line="360" w:lineRule="auto"/>
        <w:ind w:left="851" w:right="851"/>
        <w:jc w:val="both"/>
        <w:rPr>
          <w:rFonts w:ascii="Palatino Linotype" w:hAnsi="Palatino Linotype" w:cs="Arial"/>
          <w:b/>
          <w:i/>
        </w:rPr>
      </w:pPr>
      <w:r w:rsidRPr="00DB1252">
        <w:rPr>
          <w:rFonts w:ascii="Palatino Linotype" w:hAnsi="Palatino Linotype" w:cs="Arial"/>
          <w:b/>
          <w:i/>
        </w:rPr>
        <w:t>(…)</w:t>
      </w:r>
    </w:p>
    <w:p w14:paraId="7A2ECEA3" w14:textId="77777777" w:rsidR="003D70F6" w:rsidRPr="00DB1252" w:rsidRDefault="003D70F6" w:rsidP="003D70F6">
      <w:pPr>
        <w:spacing w:before="240" w:line="360" w:lineRule="auto"/>
        <w:ind w:left="851" w:right="851"/>
        <w:jc w:val="both"/>
        <w:rPr>
          <w:rFonts w:ascii="Palatino Linotype" w:hAnsi="Palatino Linotype" w:cs="Arial"/>
          <w:b/>
          <w:i/>
        </w:rPr>
      </w:pPr>
      <w:r w:rsidRPr="00DB1252">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DB1252">
        <w:rPr>
          <w:rFonts w:ascii="Palatino Linotype" w:hAnsi="Palatino Linotype" w:cs="Arial"/>
          <w:b/>
          <w:i/>
        </w:rPr>
        <w:t xml:space="preserve"> </w:t>
      </w:r>
      <w:r w:rsidRPr="00DB1252">
        <w:rPr>
          <w:rFonts w:ascii="Palatino Linotype" w:hAnsi="Palatino Linotype" w:cs="Arial"/>
          <w:b/>
          <w:i/>
          <w:u w:val="single"/>
        </w:rPr>
        <w:t xml:space="preserve">de manera genérica y fundando y motivando su clasificación.” </w:t>
      </w:r>
      <w:r w:rsidRPr="00DB1252">
        <w:rPr>
          <w:rFonts w:ascii="Palatino Linotype" w:hAnsi="Palatino Linotype" w:cs="Arial"/>
          <w:b/>
          <w:i/>
        </w:rPr>
        <w:t>[Sic]</w:t>
      </w:r>
    </w:p>
    <w:p w14:paraId="70BA3148" w14:textId="77777777" w:rsidR="003D70F6" w:rsidRPr="00DB1252" w:rsidRDefault="003D70F6" w:rsidP="003D70F6">
      <w:pPr>
        <w:spacing w:after="0" w:line="360" w:lineRule="auto"/>
        <w:ind w:right="51"/>
        <w:jc w:val="both"/>
        <w:rPr>
          <w:rFonts w:ascii="Palatino Linotype" w:eastAsia="Arial Unicode MS" w:hAnsi="Palatino Linotype" w:cs="Arial"/>
          <w:sz w:val="24"/>
          <w:szCs w:val="24"/>
        </w:rPr>
      </w:pPr>
    </w:p>
    <w:p w14:paraId="320190EA" w14:textId="77777777" w:rsidR="003D70F6" w:rsidRPr="00DB1252" w:rsidRDefault="003D70F6" w:rsidP="003D70F6">
      <w:pPr>
        <w:spacing w:after="0" w:line="360" w:lineRule="auto"/>
        <w:ind w:right="51"/>
        <w:jc w:val="both"/>
        <w:rPr>
          <w:rFonts w:ascii="Palatino Linotype" w:hAnsi="Palatino Linotype" w:cs="Arial"/>
          <w:sz w:val="24"/>
          <w:szCs w:val="24"/>
        </w:rPr>
      </w:pPr>
      <w:r w:rsidRPr="00DB1252">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DB1252">
        <w:rPr>
          <w:rFonts w:ascii="Palatino Linotype" w:hAnsi="Palatino Linotype" w:cs="Arial"/>
          <w:sz w:val="24"/>
          <w:szCs w:val="24"/>
        </w:rPr>
        <w:t xml:space="preserve">el Registro Federal de Contribuyentes </w:t>
      </w:r>
      <w:r w:rsidRPr="00DB1252">
        <w:rPr>
          <w:rFonts w:ascii="Palatino Linotype" w:hAnsi="Palatino Linotype" w:cs="Arial"/>
          <w:b/>
          <w:bCs/>
          <w:sz w:val="24"/>
          <w:szCs w:val="24"/>
          <w:u w:val="single"/>
        </w:rPr>
        <w:t>(RFC) que no sean de proveedores,</w:t>
      </w:r>
      <w:r w:rsidRPr="00DB1252">
        <w:rPr>
          <w:rFonts w:ascii="Palatino Linotype" w:hAnsi="Palatino Linotype" w:cs="Arial"/>
          <w:sz w:val="24"/>
          <w:szCs w:val="24"/>
        </w:rPr>
        <w:t xml:space="preserve">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0121414B" w14:textId="77777777" w:rsidR="003D70F6" w:rsidRPr="00DB1252" w:rsidRDefault="003D70F6" w:rsidP="003D70F6">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DB1252">
        <w:rPr>
          <w:rFonts w:ascii="Palatino Linotype" w:eastAsia="Times New Roman" w:hAnsi="Palatino Linotype" w:cs="Arial"/>
          <w:sz w:val="24"/>
          <w:szCs w:val="24"/>
          <w:lang w:eastAsia="es-MX"/>
        </w:rPr>
        <w:lastRenderedPageBreak/>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73D29D61" w14:textId="77777777" w:rsidR="003D70F6" w:rsidRPr="00DB1252" w:rsidRDefault="003D70F6" w:rsidP="003D70F6">
      <w:pPr>
        <w:spacing w:before="240" w:after="240" w:line="360" w:lineRule="auto"/>
        <w:ind w:right="-91"/>
        <w:jc w:val="both"/>
        <w:rPr>
          <w:rFonts w:ascii="Palatino Linotype" w:eastAsia="Times New Roman" w:hAnsi="Palatino Linotype" w:cs="Arial"/>
          <w:sz w:val="24"/>
          <w:szCs w:val="24"/>
          <w:lang w:eastAsia="es-MX"/>
        </w:rPr>
      </w:pPr>
      <w:r w:rsidRPr="00DB1252">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71EC88D9" w14:textId="77777777" w:rsidR="003D70F6" w:rsidRPr="00DB1252" w:rsidRDefault="003D70F6" w:rsidP="003D70F6">
      <w:pPr>
        <w:spacing w:before="240" w:after="240" w:line="360" w:lineRule="auto"/>
        <w:ind w:right="-91"/>
        <w:jc w:val="both"/>
        <w:rPr>
          <w:rFonts w:ascii="Palatino Linotype" w:eastAsia="Times New Roman" w:hAnsi="Palatino Linotype" w:cs="Arial"/>
          <w:sz w:val="24"/>
          <w:szCs w:val="24"/>
          <w:lang w:eastAsia="es-MX"/>
        </w:rPr>
      </w:pPr>
      <w:r w:rsidRPr="00DB1252">
        <w:rPr>
          <w:rFonts w:ascii="Palatino Linotype" w:eastAsia="Times New Roman" w:hAnsi="Palatino Linotype" w:cs="Arial"/>
          <w:sz w:val="24"/>
          <w:szCs w:val="24"/>
          <w:lang w:eastAsia="es-MX"/>
        </w:rPr>
        <w:t xml:space="preserve">Lo anterior es compartido por el ahora </w:t>
      </w:r>
      <w:r w:rsidRPr="00DB1252">
        <w:rPr>
          <w:rFonts w:ascii="Palatino Linotype" w:eastAsia="Times New Roman" w:hAnsi="Palatino Linotype" w:cs="Arial"/>
          <w:b/>
          <w:bCs/>
          <w:sz w:val="24"/>
          <w:szCs w:val="24"/>
          <w:lang w:eastAsia="es-MX"/>
        </w:rPr>
        <w:t>Instituto Nacional de Transparencia, Acceso a la Información y Protección de Datos Personales</w:t>
      </w:r>
      <w:r w:rsidRPr="00DB1252">
        <w:rPr>
          <w:rFonts w:ascii="Palatino Linotype" w:eastAsia="Times New Roman" w:hAnsi="Palatino Linotype" w:cs="Arial"/>
          <w:sz w:val="24"/>
          <w:szCs w:val="24"/>
          <w:lang w:eastAsia="es-MX"/>
        </w:rPr>
        <w:t xml:space="preserve"> (INAI), conforme al criterio </w:t>
      </w:r>
      <w:r w:rsidRPr="00DB1252">
        <w:rPr>
          <w:rFonts w:ascii="Palatino Linotype" w:eastAsia="Times New Roman" w:hAnsi="Palatino Linotype" w:cs="Arial"/>
          <w:b/>
          <w:sz w:val="24"/>
          <w:szCs w:val="24"/>
          <w:lang w:eastAsia="es-MX"/>
        </w:rPr>
        <w:t>19/17,</w:t>
      </w:r>
      <w:r w:rsidRPr="00DB1252">
        <w:rPr>
          <w:rFonts w:ascii="Palatino Linotype" w:eastAsia="Times New Roman" w:hAnsi="Palatino Linotype" w:cs="Arial"/>
          <w:sz w:val="24"/>
          <w:szCs w:val="24"/>
          <w:lang w:eastAsia="es-MX"/>
        </w:rPr>
        <w:t xml:space="preserve"> el cual es del tenor literal siguiente:</w:t>
      </w:r>
    </w:p>
    <w:p w14:paraId="1A4AE6E5" w14:textId="77777777" w:rsidR="003D70F6" w:rsidRPr="00DB1252" w:rsidRDefault="003D70F6" w:rsidP="003D70F6">
      <w:pPr>
        <w:autoSpaceDE w:val="0"/>
        <w:autoSpaceDN w:val="0"/>
        <w:adjustRightInd w:val="0"/>
        <w:spacing w:before="240" w:line="360" w:lineRule="auto"/>
        <w:ind w:left="851" w:right="851"/>
        <w:jc w:val="center"/>
        <w:rPr>
          <w:rFonts w:ascii="Palatino Linotype" w:eastAsia="Times New Roman" w:hAnsi="Palatino Linotype" w:cs="Arial"/>
          <w:b/>
          <w:bCs/>
          <w:i/>
        </w:rPr>
      </w:pPr>
      <w:r w:rsidRPr="00DB1252">
        <w:rPr>
          <w:rFonts w:ascii="Palatino Linotype" w:eastAsia="Times New Roman" w:hAnsi="Palatino Linotype" w:cs="Arial"/>
          <w:bCs/>
          <w:i/>
        </w:rPr>
        <w:t>“</w:t>
      </w:r>
      <w:r w:rsidRPr="00DB1252">
        <w:rPr>
          <w:rFonts w:ascii="Palatino Linotype" w:eastAsia="Times New Roman" w:hAnsi="Palatino Linotype" w:cs="Arial"/>
          <w:b/>
          <w:bCs/>
          <w:i/>
        </w:rPr>
        <w:t>REGISTRO FEDERAL DE CONTRIBUYENTES (RFC) DE PERSONAS FÍSICAS.</w:t>
      </w:r>
    </w:p>
    <w:p w14:paraId="46888E9F" w14:textId="77777777" w:rsidR="003D70F6" w:rsidRPr="00DB1252" w:rsidRDefault="003D70F6" w:rsidP="003D70F6">
      <w:pPr>
        <w:autoSpaceDE w:val="0"/>
        <w:autoSpaceDN w:val="0"/>
        <w:adjustRightInd w:val="0"/>
        <w:spacing w:before="240" w:line="360" w:lineRule="auto"/>
        <w:ind w:left="851" w:right="851"/>
        <w:jc w:val="both"/>
        <w:rPr>
          <w:rFonts w:ascii="Palatino Linotype" w:eastAsia="Times New Roman" w:hAnsi="Palatino Linotype" w:cs="Arial"/>
          <w:bCs/>
          <w:i/>
        </w:rPr>
      </w:pPr>
      <w:r w:rsidRPr="00DB1252">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7FD442C6" w14:textId="77777777" w:rsidR="003D70F6" w:rsidRPr="00DB1252" w:rsidRDefault="003D70F6" w:rsidP="003D70F6">
      <w:pPr>
        <w:autoSpaceDE w:val="0"/>
        <w:autoSpaceDN w:val="0"/>
        <w:adjustRightInd w:val="0"/>
        <w:spacing w:before="240" w:line="360" w:lineRule="auto"/>
        <w:ind w:left="851" w:right="851"/>
        <w:jc w:val="both"/>
        <w:rPr>
          <w:rFonts w:ascii="Palatino Linotype" w:eastAsia="Times New Roman" w:hAnsi="Palatino Linotype" w:cs="Arial"/>
          <w:b/>
          <w:i/>
        </w:rPr>
      </w:pPr>
      <w:r w:rsidRPr="00DB1252">
        <w:rPr>
          <w:rFonts w:ascii="Palatino Linotype" w:eastAsia="Times New Roman" w:hAnsi="Palatino Linotype" w:cs="Arial"/>
          <w:b/>
          <w:i/>
        </w:rPr>
        <w:t>Resoluciones:</w:t>
      </w:r>
    </w:p>
    <w:p w14:paraId="0D129E0B" w14:textId="77777777" w:rsidR="003D70F6" w:rsidRPr="00DB1252" w:rsidRDefault="003D70F6" w:rsidP="003D70F6">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DB1252">
        <w:rPr>
          <w:rFonts w:ascii="Palatino Linotype" w:eastAsia="Times New Roman" w:hAnsi="Palatino Linotype" w:cs="Arial"/>
          <w:b/>
          <w:i/>
        </w:rPr>
        <w:t xml:space="preserve">RRA </w:t>
      </w:r>
      <w:r w:rsidRPr="00DB1252">
        <w:rPr>
          <w:rFonts w:ascii="Palatino Linotype" w:eastAsia="Times New Roman" w:hAnsi="Palatino Linotype" w:cs="Arial"/>
          <w:b/>
          <w:i/>
          <w:lang w:val="es-ES"/>
        </w:rPr>
        <w:t xml:space="preserve">0189/17. </w:t>
      </w:r>
      <w:r w:rsidRPr="00DB1252">
        <w:rPr>
          <w:rFonts w:ascii="Palatino Linotype" w:eastAsia="Times New Roman" w:hAnsi="Palatino Linotype" w:cs="Arial"/>
          <w:i/>
          <w:lang w:val="es-ES"/>
        </w:rPr>
        <w:t xml:space="preserve">Morena. 08 de febrero de 2017. Por unanimidad. Comisionado Ponente </w:t>
      </w:r>
      <w:r w:rsidRPr="00DB1252">
        <w:rPr>
          <w:rFonts w:ascii="Palatino Linotype" w:eastAsia="Times New Roman" w:hAnsi="Palatino Linotype" w:cs="Arial"/>
          <w:i/>
        </w:rPr>
        <w:t>Joel Salas Suárez.</w:t>
      </w:r>
    </w:p>
    <w:p w14:paraId="1E45C611" w14:textId="77777777" w:rsidR="003D70F6" w:rsidRPr="00DB1252" w:rsidRDefault="003D70F6" w:rsidP="003D70F6">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DB1252">
        <w:rPr>
          <w:rFonts w:ascii="Palatino Linotype" w:eastAsia="Times New Roman" w:hAnsi="Palatino Linotype" w:cs="Arial"/>
          <w:b/>
          <w:i/>
        </w:rPr>
        <w:lastRenderedPageBreak/>
        <w:t xml:space="preserve">RRA </w:t>
      </w:r>
      <w:r w:rsidRPr="00DB1252">
        <w:rPr>
          <w:rFonts w:ascii="Palatino Linotype" w:eastAsia="Times New Roman" w:hAnsi="Palatino Linotype" w:cs="Arial"/>
          <w:b/>
          <w:bCs/>
          <w:i/>
        </w:rPr>
        <w:t>0677</w:t>
      </w:r>
      <w:r w:rsidRPr="00DB1252">
        <w:rPr>
          <w:rFonts w:ascii="Palatino Linotype" w:eastAsia="Times New Roman" w:hAnsi="Palatino Linotype" w:cs="Arial"/>
          <w:b/>
          <w:i/>
        </w:rPr>
        <w:t xml:space="preserve">/17. </w:t>
      </w:r>
      <w:r w:rsidRPr="00DB1252">
        <w:rPr>
          <w:rFonts w:ascii="Palatino Linotype" w:eastAsia="Times New Roman" w:hAnsi="Palatino Linotype" w:cs="Arial"/>
          <w:i/>
          <w:lang w:val="es-ES"/>
        </w:rPr>
        <w:t>Universidad Nacional Autónoma de México. 08 de marzo de 2017. Por unanimidad. Comisionado Ponente Rosendoevgueni Monterrey Chepov</w:t>
      </w:r>
      <w:r w:rsidRPr="00DB1252">
        <w:rPr>
          <w:rFonts w:ascii="Palatino Linotype" w:eastAsia="Times New Roman" w:hAnsi="Palatino Linotype" w:cs="Arial"/>
          <w:i/>
        </w:rPr>
        <w:t>.</w:t>
      </w:r>
      <w:r w:rsidRPr="00DB1252">
        <w:rPr>
          <w:rFonts w:ascii="Palatino Linotype" w:eastAsia="Times New Roman" w:hAnsi="Palatino Linotype" w:cs="Arial"/>
          <w:b/>
          <w:i/>
        </w:rPr>
        <w:t xml:space="preserve"> </w:t>
      </w:r>
    </w:p>
    <w:p w14:paraId="75CC4B3F" w14:textId="77777777" w:rsidR="003D70F6" w:rsidRPr="00DB1252" w:rsidRDefault="003D70F6" w:rsidP="003D70F6">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DB1252">
        <w:rPr>
          <w:rFonts w:ascii="Palatino Linotype" w:eastAsia="Times New Roman" w:hAnsi="Palatino Linotype" w:cs="Arial"/>
          <w:b/>
          <w:i/>
        </w:rPr>
        <w:t>RRA</w:t>
      </w:r>
      <w:r w:rsidRPr="00DB1252">
        <w:rPr>
          <w:rFonts w:ascii="Palatino Linotype" w:eastAsia="Times New Roman" w:hAnsi="Palatino Linotype" w:cs="Arial"/>
          <w:i/>
          <w:lang w:val="es-ES"/>
        </w:rPr>
        <w:t xml:space="preserve"> </w:t>
      </w:r>
      <w:r w:rsidRPr="00DB1252">
        <w:rPr>
          <w:rFonts w:ascii="Palatino Linotype" w:eastAsia="Times New Roman" w:hAnsi="Palatino Linotype" w:cs="Arial"/>
          <w:b/>
          <w:i/>
        </w:rPr>
        <w:t xml:space="preserve">1564/17. </w:t>
      </w:r>
      <w:r w:rsidRPr="00DB1252">
        <w:rPr>
          <w:rFonts w:ascii="Palatino Linotype" w:eastAsia="Times New Roman" w:hAnsi="Palatino Linotype" w:cs="Arial"/>
          <w:i/>
          <w:lang w:val="es-ES"/>
        </w:rPr>
        <w:t>Tribunal Electoral del Poder Judicial de la Federación</w:t>
      </w:r>
      <w:r w:rsidRPr="00DB1252">
        <w:rPr>
          <w:rFonts w:ascii="Palatino Linotype" w:eastAsia="Times New Roman" w:hAnsi="Palatino Linotype" w:cs="Arial"/>
          <w:i/>
        </w:rPr>
        <w:t xml:space="preserve">. 26 de abril de 2017. Por unanimidad. Comisionado Ponente Oscar Mauricio Guerra Ford.” </w:t>
      </w:r>
      <w:r w:rsidRPr="00DB1252">
        <w:rPr>
          <w:rFonts w:ascii="Palatino Linotype" w:eastAsia="Times New Roman" w:hAnsi="Palatino Linotype" w:cs="Arial"/>
          <w:b/>
          <w:i/>
        </w:rPr>
        <w:t>[Sic]</w:t>
      </w:r>
    </w:p>
    <w:p w14:paraId="396F9E42" w14:textId="77777777" w:rsidR="003D70F6" w:rsidRPr="00DB1252" w:rsidRDefault="003D70F6" w:rsidP="003D70F6">
      <w:pPr>
        <w:autoSpaceDE w:val="0"/>
        <w:autoSpaceDN w:val="0"/>
        <w:adjustRightInd w:val="0"/>
        <w:spacing w:before="120" w:after="120"/>
        <w:ind w:left="567" w:right="850"/>
        <w:jc w:val="both"/>
        <w:rPr>
          <w:rFonts w:ascii="Palatino Linotype" w:eastAsia="Times New Roman" w:hAnsi="Palatino Linotype" w:cs="Arial"/>
          <w:i/>
        </w:rPr>
      </w:pPr>
    </w:p>
    <w:p w14:paraId="0A1712E3" w14:textId="77777777" w:rsidR="003D70F6" w:rsidRPr="00DB1252" w:rsidRDefault="003D70F6" w:rsidP="003D70F6">
      <w:pPr>
        <w:spacing w:before="240" w:after="240" w:line="360" w:lineRule="auto"/>
        <w:jc w:val="both"/>
        <w:rPr>
          <w:rFonts w:ascii="Palatino Linotype" w:hAnsi="Palatino Linotype" w:cs="Arial"/>
          <w:sz w:val="24"/>
          <w:szCs w:val="24"/>
          <w:lang w:eastAsia="es-MX"/>
        </w:rPr>
      </w:pPr>
      <w:r w:rsidRPr="00DB1252">
        <w:rPr>
          <w:rFonts w:ascii="Palatino Linotype" w:hAnsi="Palatino Linotype" w:cs="Arial"/>
          <w:sz w:val="24"/>
          <w:szCs w:val="24"/>
          <w:lang w:eastAsia="es-MX"/>
        </w:rPr>
        <w:t>Así, el RFC se vincula al nombre de su titular, permite identificar la edad de la persona, su fecha de nacimiento, así como su homoclave, la cual es única e irrepetible y determina justamente la identificación de dicha persona para efectos fiscales, por lo éste constituye un dato personal que concierne a una persona física identificada e identificable.</w:t>
      </w:r>
    </w:p>
    <w:p w14:paraId="323C37D4" w14:textId="77777777" w:rsidR="003D70F6" w:rsidRPr="00DB1252" w:rsidRDefault="003D70F6" w:rsidP="003D70F6">
      <w:pPr>
        <w:spacing w:before="240" w:after="240" w:line="360" w:lineRule="auto"/>
        <w:jc w:val="both"/>
        <w:rPr>
          <w:rFonts w:ascii="Palatino Linotype" w:hAnsi="Palatino Linotype" w:cs="Arial"/>
          <w:sz w:val="24"/>
          <w:szCs w:val="24"/>
          <w:lang w:eastAsia="es-MX"/>
        </w:rPr>
      </w:pPr>
      <w:r w:rsidRPr="00DB1252">
        <w:rPr>
          <w:rFonts w:ascii="Palatino Linotype" w:hAnsi="Palatino Linotype" w:cs="Arial"/>
          <w:sz w:val="24"/>
          <w:szCs w:val="24"/>
          <w:lang w:eastAsia="es-MX"/>
        </w:rPr>
        <w:t xml:space="preserve">No obstante lo anterior, como fue advertido con antelación el Registro Federal de Contribuyentes tratándose de proveedores o contratistas encuadra dentro de las fronteras conceptuales del interés general y el alcance público, al tratarse de un elemento que, en el caso en particular abona a la transparencia y rendición de cuentas. </w:t>
      </w:r>
    </w:p>
    <w:p w14:paraId="4B367DAE" w14:textId="77777777" w:rsidR="003D70F6" w:rsidRPr="00DB1252" w:rsidRDefault="003D70F6" w:rsidP="003D70F6">
      <w:pPr>
        <w:spacing w:before="240" w:after="240" w:line="360" w:lineRule="auto"/>
        <w:jc w:val="both"/>
        <w:rPr>
          <w:rFonts w:ascii="Palatino Linotype" w:hAnsi="Palatino Linotype" w:cs="Arial"/>
          <w:sz w:val="24"/>
          <w:szCs w:val="24"/>
          <w:lang w:eastAsia="es-MX"/>
        </w:rPr>
      </w:pPr>
      <w:r w:rsidRPr="00DB1252">
        <w:rPr>
          <w:rFonts w:ascii="Palatino Linotype" w:hAnsi="Palatino Linotype" w:cs="Arial"/>
          <w:sz w:val="24"/>
          <w:szCs w:val="24"/>
          <w:lang w:eastAsia="es-MX"/>
        </w:rPr>
        <w:t xml:space="preserve">Robustece lo anterior, el criterio </w:t>
      </w:r>
      <w:r w:rsidRPr="00DB1252">
        <w:rPr>
          <w:rFonts w:ascii="Palatino Linotype" w:hAnsi="Palatino Linotype" w:cs="Arial"/>
          <w:b/>
          <w:bCs/>
          <w:sz w:val="24"/>
          <w:szCs w:val="24"/>
          <w:lang w:eastAsia="es-MX"/>
        </w:rPr>
        <w:t xml:space="preserve">04/21 </w:t>
      </w:r>
      <w:r w:rsidRPr="00DB1252">
        <w:rPr>
          <w:rFonts w:ascii="Palatino Linotype" w:hAnsi="Palatino Linotype" w:cs="Arial"/>
          <w:sz w:val="24"/>
          <w:szCs w:val="24"/>
          <w:lang w:eastAsia="es-MX"/>
        </w:rPr>
        <w:t xml:space="preserve">emitido por el Órgano Garante Nacional, cuyo rubro y texto disponen a la literalidad lo siguiente: </w:t>
      </w:r>
    </w:p>
    <w:p w14:paraId="048068DC" w14:textId="77777777" w:rsidR="003D70F6" w:rsidRPr="00DB1252" w:rsidRDefault="003D70F6" w:rsidP="003D70F6">
      <w:pPr>
        <w:pStyle w:val="Citas"/>
        <w:rPr>
          <w:b/>
          <w:sz w:val="24"/>
          <w:szCs w:val="24"/>
        </w:rPr>
      </w:pPr>
      <w:r w:rsidRPr="00DB1252">
        <w:rPr>
          <w:b/>
          <w:sz w:val="24"/>
          <w:szCs w:val="24"/>
        </w:rPr>
        <w:t xml:space="preserve">“REGISTRO FEDERAL DE CONTRIBUYENTES (RFC) DE PERSONAS FÍSICAS PROVEEDORES O CONTRATISTAS. </w:t>
      </w:r>
    </w:p>
    <w:p w14:paraId="4D4381EF" w14:textId="77777777" w:rsidR="003D70F6" w:rsidRPr="00DB1252" w:rsidRDefault="003D70F6" w:rsidP="003D70F6">
      <w:pPr>
        <w:pStyle w:val="Citas"/>
        <w:rPr>
          <w:color w:val="000000"/>
        </w:rPr>
      </w:pPr>
      <w:r w:rsidRPr="00DB1252">
        <w:lastRenderedPageBreak/>
        <w:t xml:space="preserve">El RFC de contratistas o proveedores de sujetos obligados debe ser público, ya que al tratarse de personas relacionadas con contrataciones públicas, su difusión favorece la transparencia con la que deben administrarse los recursos públicos, en términos del artículo 134 de la Constitución Política de los Estados Unidos Mexicanos. </w:t>
      </w:r>
    </w:p>
    <w:p w14:paraId="31DC88A3" w14:textId="77777777" w:rsidR="003D70F6" w:rsidRPr="00DB1252" w:rsidRDefault="003D70F6" w:rsidP="003D70F6">
      <w:pPr>
        <w:pStyle w:val="Citas"/>
        <w:rPr>
          <w:b/>
        </w:rPr>
      </w:pPr>
      <w:r w:rsidRPr="00DB1252">
        <w:rPr>
          <w:b/>
        </w:rPr>
        <w:t>Precedentes:</w:t>
      </w:r>
    </w:p>
    <w:p w14:paraId="7472B4BF" w14:textId="77777777" w:rsidR="003D70F6" w:rsidRPr="00DB1252" w:rsidRDefault="003D70F6" w:rsidP="003D70F6">
      <w:pPr>
        <w:pStyle w:val="Citas"/>
        <w:numPr>
          <w:ilvl w:val="0"/>
          <w:numId w:val="34"/>
        </w:numPr>
      </w:pPr>
      <w:r w:rsidRPr="00DB1252">
        <w:t>Acceso a la información Pública. RRA 3639/19.</w:t>
      </w:r>
      <w:r w:rsidRPr="00DB1252">
        <w:rPr>
          <w:b/>
        </w:rPr>
        <w:t xml:space="preserve"> </w:t>
      </w:r>
      <w:r w:rsidRPr="00DB1252">
        <w:t>Sesión del 10 de julio de 2019. Votación por mayoría. Con voto disidente del Comisionado Joel Salas Suárez. Instituto para la Protección del Ahorro Bancario. Comisionada Ponente María Patricia Kurczyn Villalobos.</w:t>
      </w:r>
    </w:p>
    <w:p w14:paraId="6F8CF3ED" w14:textId="77777777" w:rsidR="003D70F6" w:rsidRPr="00DB1252" w:rsidRDefault="003D70F6" w:rsidP="003D70F6">
      <w:pPr>
        <w:pStyle w:val="Citas"/>
        <w:numPr>
          <w:ilvl w:val="0"/>
          <w:numId w:val="34"/>
        </w:numPr>
        <w:rPr>
          <w:b/>
        </w:rPr>
      </w:pPr>
      <w:r w:rsidRPr="00DB1252">
        <w:t>Acceso a la información Pública. RRA 7709/19.</w:t>
      </w:r>
      <w:r w:rsidRPr="00DB1252">
        <w:rPr>
          <w:b/>
        </w:rPr>
        <w:t xml:space="preserve"> </w:t>
      </w:r>
      <w:r w:rsidRPr="00DB1252">
        <w:t>Sesión del 13 de agosto de 2019. Votación por unanimidad. Con voto particular de la Comisionada Josefina Román Vergara. Suprema Corte de Justicia de la Nación. Comisionada Ponente Josefina Román Vergara.</w:t>
      </w:r>
    </w:p>
    <w:p w14:paraId="0D76C4B6" w14:textId="77777777" w:rsidR="003D70F6" w:rsidRPr="00DB1252" w:rsidRDefault="003D70F6" w:rsidP="003D70F6">
      <w:pPr>
        <w:pStyle w:val="Citas"/>
        <w:numPr>
          <w:ilvl w:val="0"/>
          <w:numId w:val="34"/>
        </w:numPr>
        <w:rPr>
          <w:color w:val="000000"/>
        </w:rPr>
      </w:pPr>
      <w:r w:rsidRPr="00DB1252">
        <w:t>Acceso a la información Pública. RRA 5774/19.</w:t>
      </w:r>
      <w:r w:rsidRPr="00DB1252">
        <w:rPr>
          <w:b/>
        </w:rPr>
        <w:t xml:space="preserve"> </w:t>
      </w:r>
      <w:r w:rsidRPr="00DB1252">
        <w:t xml:space="preserve">Sesión del 21 de agosto de 2019. Votación por mayoría. Con voto disidente del Comisionado Joel Salas Suárez. Secretaría de Marina. Comisionada Ponente Blanca Lilia Ibarra Cadena.” </w:t>
      </w:r>
      <w:r w:rsidRPr="00DB1252">
        <w:rPr>
          <w:b/>
          <w:bCs/>
        </w:rPr>
        <w:t>(Sic)</w:t>
      </w:r>
    </w:p>
    <w:p w14:paraId="2065261A" w14:textId="77777777" w:rsidR="003D70F6" w:rsidRPr="00DB1252" w:rsidRDefault="003D70F6" w:rsidP="003D70F6">
      <w:pPr>
        <w:spacing w:before="240" w:after="240" w:line="360" w:lineRule="auto"/>
        <w:jc w:val="both"/>
        <w:rPr>
          <w:rFonts w:ascii="Palatino Linotype" w:hAnsi="Palatino Linotype" w:cs="Arial"/>
          <w:sz w:val="24"/>
          <w:szCs w:val="24"/>
          <w:lang w:eastAsia="es-MX"/>
        </w:rPr>
      </w:pPr>
    </w:p>
    <w:p w14:paraId="63737ED2" w14:textId="77777777" w:rsidR="003D70F6" w:rsidRPr="00DB1252" w:rsidRDefault="003D70F6" w:rsidP="003D70F6">
      <w:pPr>
        <w:spacing w:before="240" w:after="240" w:line="360" w:lineRule="auto"/>
        <w:jc w:val="both"/>
        <w:rPr>
          <w:rFonts w:ascii="Palatino Linotype" w:eastAsia="Calibri" w:hAnsi="Palatino Linotype" w:cs="Arial"/>
          <w:sz w:val="24"/>
          <w:szCs w:val="24"/>
          <w:lang w:eastAsia="es-MX"/>
        </w:rPr>
      </w:pPr>
      <w:r w:rsidRPr="00DB1252">
        <w:rPr>
          <w:rFonts w:ascii="Palatino Linotype" w:hAnsi="Palatino Linotype" w:cs="Arial"/>
          <w:sz w:val="24"/>
          <w:szCs w:val="24"/>
          <w:lang w:eastAsia="es-MX"/>
        </w:rPr>
        <w:lastRenderedPageBreak/>
        <w:t xml:space="preserve">En cuanto a la </w:t>
      </w:r>
      <w:r w:rsidRPr="00DB1252">
        <w:rPr>
          <w:rFonts w:ascii="Palatino Linotype" w:hAnsi="Palatino Linotype" w:cs="Arial"/>
          <w:sz w:val="24"/>
          <w:szCs w:val="24"/>
        </w:rPr>
        <w:t xml:space="preserve">Clave Única de Registro de Población (CURP) en virtud de que éste se </w:t>
      </w:r>
      <w:r w:rsidRPr="00DB1252">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60D53426" w14:textId="77777777" w:rsidR="003D70F6" w:rsidRPr="00DB1252" w:rsidRDefault="003D70F6" w:rsidP="003D70F6">
      <w:pPr>
        <w:spacing w:before="240" w:after="240" w:line="360" w:lineRule="auto"/>
        <w:ind w:right="-91"/>
        <w:jc w:val="both"/>
        <w:rPr>
          <w:rFonts w:ascii="Palatino Linotype" w:eastAsia="Times New Roman" w:hAnsi="Palatino Linotype" w:cs="Arial"/>
          <w:sz w:val="24"/>
          <w:szCs w:val="24"/>
        </w:rPr>
      </w:pPr>
      <w:r w:rsidRPr="00DB1252">
        <w:rPr>
          <w:rFonts w:ascii="Palatino Linotype" w:hAnsi="Palatino Linotype" w:cs="Arial"/>
          <w:sz w:val="24"/>
          <w:szCs w:val="24"/>
        </w:rPr>
        <w:t xml:space="preserve">Argumento que es compartido por el </w:t>
      </w:r>
      <w:r w:rsidRPr="00DB1252">
        <w:rPr>
          <w:rStyle w:val="Textoennegrita"/>
          <w:rFonts w:ascii="Palatino Linotype" w:hAnsi="Palatino Linotype" w:cs="Arial"/>
          <w:sz w:val="24"/>
          <w:szCs w:val="24"/>
        </w:rPr>
        <w:t xml:space="preserve">Instituto Nacional de Transparencia, Acceso a la Información y Protección de Datos Personales, conforme al </w:t>
      </w:r>
      <w:r w:rsidRPr="00DB1252">
        <w:rPr>
          <w:rFonts w:ascii="Palatino Linotype" w:eastAsia="Times New Roman" w:hAnsi="Palatino Linotype" w:cs="Arial"/>
          <w:sz w:val="24"/>
          <w:szCs w:val="24"/>
        </w:rPr>
        <w:t xml:space="preserve">criterio número 18/17 el cual refiere: </w:t>
      </w:r>
    </w:p>
    <w:p w14:paraId="6E3E8B4A" w14:textId="77777777" w:rsidR="003D70F6" w:rsidRPr="00DB1252" w:rsidRDefault="003D70F6" w:rsidP="003D70F6">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DB1252">
        <w:rPr>
          <w:rFonts w:ascii="Palatino Linotype" w:eastAsia="Times New Roman" w:hAnsi="Palatino Linotype" w:cs="Arial"/>
          <w:bCs/>
          <w:i/>
          <w:lang w:eastAsia="es-MX"/>
        </w:rPr>
        <w:t>“</w:t>
      </w:r>
      <w:r w:rsidRPr="00DB1252">
        <w:rPr>
          <w:rFonts w:ascii="Palatino Linotype" w:eastAsia="Times New Roman" w:hAnsi="Palatino Linotype" w:cs="Arial"/>
          <w:b/>
          <w:bCs/>
          <w:i/>
          <w:lang w:eastAsia="es-MX"/>
        </w:rPr>
        <w:t>CLAVE ÚNICA DE REGISTRO DE POBLACIÓN (CURP).</w:t>
      </w:r>
    </w:p>
    <w:p w14:paraId="70728EE4" w14:textId="77777777" w:rsidR="003D70F6" w:rsidRPr="00DB1252" w:rsidRDefault="003D70F6" w:rsidP="003D70F6">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DB1252">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75E0A827" w14:textId="77777777" w:rsidR="003D70F6" w:rsidRPr="00DB1252" w:rsidRDefault="003D70F6" w:rsidP="003D70F6">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DB1252">
        <w:rPr>
          <w:rFonts w:ascii="Palatino Linotype" w:eastAsia="Times New Roman" w:hAnsi="Palatino Linotype" w:cs="Arial"/>
          <w:i/>
          <w:lang w:eastAsia="es-MX"/>
        </w:rPr>
        <w:t xml:space="preserve"> </w:t>
      </w:r>
      <w:r w:rsidRPr="00DB1252">
        <w:rPr>
          <w:rFonts w:ascii="Palatino Linotype" w:eastAsia="Times New Roman" w:hAnsi="Palatino Linotype" w:cs="Arial"/>
          <w:b/>
          <w:i/>
          <w:lang w:eastAsia="es-MX"/>
        </w:rPr>
        <w:t>Resoluciones:</w:t>
      </w:r>
    </w:p>
    <w:p w14:paraId="469FCC97" w14:textId="77777777" w:rsidR="003D70F6" w:rsidRPr="00DB1252" w:rsidRDefault="003D70F6" w:rsidP="003D70F6">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DB1252">
        <w:rPr>
          <w:rFonts w:ascii="Palatino Linotype" w:eastAsia="Times New Roman" w:hAnsi="Palatino Linotype" w:cs="Arial"/>
          <w:b/>
          <w:i/>
          <w:lang w:eastAsia="es-MX"/>
        </w:rPr>
        <w:t xml:space="preserve">RRA 3995/16. </w:t>
      </w:r>
      <w:r w:rsidRPr="00DB1252">
        <w:rPr>
          <w:rFonts w:ascii="Palatino Linotype" w:eastAsia="Times New Roman" w:hAnsi="Palatino Linotype" w:cs="Arial"/>
          <w:i/>
          <w:lang w:eastAsia="es-MX"/>
        </w:rPr>
        <w:t>Secretaría de la Defensa Nacional. 1 de febrero de 2017. Por unanimidad. Comisionado Ponente Rosendoevgueni Monterrey Chepov.</w:t>
      </w:r>
    </w:p>
    <w:p w14:paraId="7B789066" w14:textId="77777777" w:rsidR="003D70F6" w:rsidRPr="00DB1252" w:rsidRDefault="003D70F6" w:rsidP="003D70F6">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DB1252">
        <w:rPr>
          <w:rFonts w:ascii="Palatino Linotype" w:eastAsia="Times New Roman" w:hAnsi="Palatino Linotype" w:cs="Arial"/>
          <w:b/>
          <w:i/>
          <w:lang w:eastAsia="es-MX"/>
        </w:rPr>
        <w:lastRenderedPageBreak/>
        <w:t xml:space="preserve">RRA </w:t>
      </w:r>
      <w:r w:rsidRPr="00DB1252">
        <w:rPr>
          <w:rFonts w:ascii="Palatino Linotype" w:eastAsia="Times New Roman" w:hAnsi="Palatino Linotype" w:cs="Arial"/>
          <w:b/>
          <w:bCs/>
          <w:i/>
          <w:lang w:eastAsia="es-MX"/>
        </w:rPr>
        <w:t xml:space="preserve">0937/17. </w:t>
      </w:r>
      <w:r w:rsidRPr="00DB1252">
        <w:rPr>
          <w:rFonts w:ascii="Palatino Linotype" w:eastAsia="Times New Roman" w:hAnsi="Palatino Linotype" w:cs="Arial"/>
          <w:bCs/>
          <w:i/>
          <w:lang w:eastAsia="es-MX"/>
        </w:rPr>
        <w:t xml:space="preserve">Senado de la República. </w:t>
      </w:r>
      <w:r w:rsidRPr="00DB1252">
        <w:rPr>
          <w:rFonts w:ascii="Palatino Linotype" w:eastAsia="Times New Roman" w:hAnsi="Palatino Linotype" w:cs="Arial"/>
          <w:bCs/>
          <w:i/>
          <w:lang w:val="es-ES_tradnl" w:eastAsia="es-MX"/>
        </w:rPr>
        <w:t xml:space="preserve">15 de marzo de 2017. Por unanimidad. Comisionada Ponente Ximena Puente de la Mora. </w:t>
      </w:r>
    </w:p>
    <w:p w14:paraId="5B488733" w14:textId="77777777" w:rsidR="003D70F6" w:rsidRPr="00DB1252" w:rsidRDefault="003D70F6" w:rsidP="003D70F6">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DB1252">
        <w:rPr>
          <w:rFonts w:ascii="Palatino Linotype" w:eastAsia="Times New Roman" w:hAnsi="Palatino Linotype" w:cs="Arial"/>
          <w:b/>
          <w:i/>
          <w:lang w:eastAsia="es-MX"/>
        </w:rPr>
        <w:t xml:space="preserve">RRA 0478/17. </w:t>
      </w:r>
      <w:r w:rsidRPr="00DB1252">
        <w:rPr>
          <w:rFonts w:ascii="Palatino Linotype" w:eastAsia="Times New Roman" w:hAnsi="Palatino Linotype" w:cs="Arial"/>
          <w:i/>
          <w:lang w:eastAsia="es-MX"/>
        </w:rPr>
        <w:t xml:space="preserve">Secretaría de Relaciones Exteriores. 26 de abril de 2017. Por unanimidad. Comisionada Ponente Areli Cano Guadiana.” </w:t>
      </w:r>
      <w:r w:rsidRPr="00DB1252">
        <w:rPr>
          <w:rFonts w:ascii="Palatino Linotype" w:eastAsia="Times New Roman" w:hAnsi="Palatino Linotype" w:cs="Arial"/>
          <w:b/>
          <w:i/>
          <w:lang w:eastAsia="es-MX"/>
        </w:rPr>
        <w:t>[Sic]</w:t>
      </w:r>
    </w:p>
    <w:p w14:paraId="23A0D652" w14:textId="77777777" w:rsidR="00740C2B" w:rsidRDefault="00740C2B" w:rsidP="003D70F6">
      <w:pPr>
        <w:spacing w:after="0" w:line="360" w:lineRule="auto"/>
        <w:ind w:right="51"/>
        <w:jc w:val="both"/>
        <w:rPr>
          <w:rFonts w:ascii="Palatino Linotype" w:hAnsi="Palatino Linotype" w:cs="Arial"/>
          <w:sz w:val="24"/>
          <w:szCs w:val="24"/>
        </w:rPr>
      </w:pPr>
    </w:p>
    <w:p w14:paraId="112F2891" w14:textId="77777777" w:rsidR="00740C2B" w:rsidRPr="00110F13" w:rsidRDefault="00740C2B" w:rsidP="00740C2B">
      <w:pPr>
        <w:autoSpaceDE w:val="0"/>
        <w:autoSpaceDN w:val="0"/>
        <w:adjustRightInd w:val="0"/>
        <w:spacing w:before="240" w:line="360" w:lineRule="auto"/>
        <w:ind w:right="72"/>
        <w:jc w:val="both"/>
        <w:rPr>
          <w:rFonts w:ascii="Palatino Linotype" w:hAnsi="Palatino Linotype"/>
          <w:bCs/>
          <w:sz w:val="24"/>
          <w:szCs w:val="24"/>
        </w:rPr>
      </w:pPr>
      <w:r>
        <w:rPr>
          <w:rFonts w:ascii="Palatino Linotype" w:hAnsi="Palatino Linotype" w:cs="Arial"/>
          <w:sz w:val="24"/>
          <w:szCs w:val="24"/>
        </w:rPr>
        <w:t xml:space="preserve">De manera complementaria, </w:t>
      </w:r>
      <w:r w:rsidRPr="00110F13">
        <w:rPr>
          <w:rFonts w:ascii="Palatino Linotype" w:hAnsi="Palatino Linotype"/>
          <w:sz w:val="24"/>
          <w:szCs w:val="24"/>
        </w:rPr>
        <w:t xml:space="preserve">cobra especial relevancia el nombre de particulares como un </w:t>
      </w:r>
      <w:r w:rsidRPr="00110F13">
        <w:rPr>
          <w:rFonts w:ascii="Palatino Linotype" w:hAnsi="Palatino Linotype" w:cs="Arial"/>
          <w:bCs/>
          <w:iCs/>
          <w:sz w:val="24"/>
          <w:szCs w:val="24"/>
          <w:lang w:eastAsia="es-MX"/>
        </w:rPr>
        <w:t xml:space="preserve">atributo de la personalidad que designa e individualiza a una persona, </w:t>
      </w:r>
      <w:r w:rsidRPr="00110F13">
        <w:rPr>
          <w:rFonts w:ascii="Palatino Linotype" w:hAnsi="Palatino Linotype"/>
          <w:bCs/>
          <w:sz w:val="24"/>
          <w:szCs w:val="24"/>
        </w:rPr>
        <w:t xml:space="preserve">compuesto por un sustantivo propio y el primer apellido del padre y el primer apellido de la madre, en el orden que, de común acuerdo se determine, ello atendiendo a los artículos 2.13 y 2.14 del Código Civil del Estado de México. </w:t>
      </w:r>
    </w:p>
    <w:p w14:paraId="59340476" w14:textId="77777777" w:rsidR="00740C2B" w:rsidRPr="00110F13" w:rsidRDefault="00740C2B" w:rsidP="00740C2B">
      <w:pPr>
        <w:pStyle w:val="Sinespaciado"/>
        <w:spacing w:line="360" w:lineRule="auto"/>
        <w:jc w:val="both"/>
        <w:rPr>
          <w:rFonts w:ascii="Palatino Linotype" w:hAnsi="Palatino Linotype"/>
          <w:bCs/>
        </w:rPr>
      </w:pPr>
      <w:r w:rsidRPr="00110F13">
        <w:rPr>
          <w:rFonts w:ascii="Palatino Linotype" w:hAnsi="Palatino Linotype"/>
          <w:bCs/>
        </w:rPr>
        <w:t xml:space="preserve">Circunstancia que de ser visible y otorgarse por los </w:t>
      </w:r>
      <w:r w:rsidRPr="00110F13">
        <w:rPr>
          <w:rFonts w:ascii="Palatino Linotype" w:hAnsi="Palatino Linotype"/>
          <w:b/>
        </w:rPr>
        <w:t>Sujetos Obligados</w:t>
      </w:r>
      <w:r w:rsidRPr="00110F13">
        <w:rPr>
          <w:rFonts w:ascii="Palatino Linotype" w:hAnsi="Palatino Linotype"/>
          <w:bCs/>
        </w:rPr>
        <w:t xml:space="preserve"> vulneraria el derecho de protección de datos personales de las personas mismas, siempre y cuando no se trate de personas físicas que:</w:t>
      </w:r>
    </w:p>
    <w:p w14:paraId="3B9C0F24" w14:textId="77777777" w:rsidR="00740C2B" w:rsidRPr="00110F13" w:rsidRDefault="00740C2B" w:rsidP="00740C2B">
      <w:pPr>
        <w:pStyle w:val="Sinespaciado"/>
        <w:numPr>
          <w:ilvl w:val="0"/>
          <w:numId w:val="43"/>
        </w:numPr>
        <w:spacing w:line="360" w:lineRule="auto"/>
        <w:jc w:val="both"/>
        <w:rPr>
          <w:rFonts w:ascii="Palatino Linotype" w:hAnsi="Palatino Linotype"/>
        </w:rPr>
      </w:pPr>
      <w:r w:rsidRPr="00110F13">
        <w:rPr>
          <w:rFonts w:ascii="Palatino Linotype" w:hAnsi="Palatino Linotype"/>
        </w:rPr>
        <w:t xml:space="preserve">Ejerzan funciones en el ámbito público. </w:t>
      </w:r>
    </w:p>
    <w:p w14:paraId="6CFD9D9C" w14:textId="77777777" w:rsidR="00740C2B" w:rsidRPr="00110F13" w:rsidRDefault="00740C2B" w:rsidP="00740C2B">
      <w:pPr>
        <w:pStyle w:val="Sinespaciado"/>
        <w:numPr>
          <w:ilvl w:val="0"/>
          <w:numId w:val="43"/>
        </w:numPr>
        <w:spacing w:line="360" w:lineRule="auto"/>
        <w:jc w:val="both"/>
        <w:rPr>
          <w:rFonts w:ascii="Palatino Linotype" w:hAnsi="Palatino Linotype"/>
        </w:rPr>
      </w:pPr>
      <w:r w:rsidRPr="00110F13">
        <w:rPr>
          <w:rFonts w:ascii="Palatino Linotype" w:hAnsi="Palatino Linotype"/>
        </w:rPr>
        <w:t xml:space="preserve">Practiquen actos de autoridad </w:t>
      </w:r>
    </w:p>
    <w:p w14:paraId="58945917" w14:textId="77777777" w:rsidR="00740C2B" w:rsidRPr="00110F13" w:rsidRDefault="00740C2B" w:rsidP="00740C2B">
      <w:pPr>
        <w:pStyle w:val="Sinespaciado"/>
        <w:numPr>
          <w:ilvl w:val="0"/>
          <w:numId w:val="43"/>
        </w:numPr>
        <w:spacing w:line="360" w:lineRule="auto"/>
        <w:jc w:val="both"/>
        <w:rPr>
          <w:rFonts w:ascii="Palatino Linotype" w:hAnsi="Palatino Linotype"/>
        </w:rPr>
      </w:pPr>
      <w:r w:rsidRPr="00110F13">
        <w:rPr>
          <w:rFonts w:ascii="Palatino Linotype" w:hAnsi="Palatino Linotype"/>
        </w:rPr>
        <w:t xml:space="preserve">Sean titulares de licencias que involucren aprovechamientos de bienes, servicios y/o recursos públicos. </w:t>
      </w:r>
    </w:p>
    <w:p w14:paraId="42ADFC76" w14:textId="77777777" w:rsidR="00740C2B" w:rsidRDefault="00740C2B" w:rsidP="003D70F6">
      <w:pPr>
        <w:spacing w:after="0" w:line="360" w:lineRule="auto"/>
        <w:ind w:right="51"/>
        <w:jc w:val="both"/>
        <w:rPr>
          <w:rFonts w:ascii="Palatino Linotype" w:hAnsi="Palatino Linotype" w:cs="Arial"/>
          <w:sz w:val="24"/>
          <w:szCs w:val="24"/>
        </w:rPr>
      </w:pPr>
    </w:p>
    <w:p w14:paraId="0D8868A4" w14:textId="637063F6" w:rsidR="00740C2B" w:rsidRDefault="00740C2B" w:rsidP="003D70F6">
      <w:pPr>
        <w:spacing w:after="0" w:line="360" w:lineRule="auto"/>
        <w:ind w:right="51"/>
        <w:jc w:val="both"/>
        <w:rPr>
          <w:rFonts w:ascii="Palatino Linotype" w:hAnsi="Palatino Linotype" w:cs="Arial"/>
          <w:sz w:val="24"/>
          <w:szCs w:val="24"/>
        </w:rPr>
      </w:pPr>
      <w:r>
        <w:rPr>
          <w:rFonts w:ascii="Palatino Linotype" w:hAnsi="Palatino Linotype" w:cs="Arial"/>
          <w:sz w:val="24"/>
          <w:szCs w:val="24"/>
        </w:rPr>
        <w:lastRenderedPageBreak/>
        <w:t xml:space="preserve">Luego entonces, </w:t>
      </w:r>
      <w:r w:rsidR="00DA12AB">
        <w:rPr>
          <w:rFonts w:ascii="Palatino Linotype" w:hAnsi="Palatino Linotype" w:cs="Arial"/>
          <w:sz w:val="24"/>
          <w:szCs w:val="24"/>
        </w:rPr>
        <w:t xml:space="preserve">por regla general </w:t>
      </w:r>
      <w:r>
        <w:rPr>
          <w:rFonts w:ascii="Palatino Linotype" w:hAnsi="Palatino Linotype" w:cs="Arial"/>
          <w:sz w:val="24"/>
          <w:szCs w:val="24"/>
        </w:rPr>
        <w:t xml:space="preserve">de reflejar el nombre de particulares, los </w:t>
      </w:r>
      <w:r>
        <w:rPr>
          <w:rFonts w:ascii="Palatino Linotype" w:hAnsi="Palatino Linotype" w:cs="Arial"/>
          <w:b/>
          <w:bCs/>
          <w:sz w:val="24"/>
          <w:szCs w:val="24"/>
        </w:rPr>
        <w:t xml:space="preserve">Sujetos Obligados </w:t>
      </w:r>
      <w:r>
        <w:rPr>
          <w:rFonts w:ascii="Palatino Linotype" w:hAnsi="Palatino Linotype" w:cs="Arial"/>
          <w:sz w:val="24"/>
          <w:szCs w:val="24"/>
        </w:rPr>
        <w:t xml:space="preserve">se encuentran constreñidos a clasificar dicha información como confidencial. </w:t>
      </w:r>
      <w:r w:rsidR="00DA12AB">
        <w:rPr>
          <w:rFonts w:ascii="Palatino Linotype" w:hAnsi="Palatino Linotype" w:cs="Arial"/>
          <w:sz w:val="24"/>
          <w:szCs w:val="24"/>
        </w:rPr>
        <w:t xml:space="preserve">No obstante lo anterior, los procedimientos administrativos de ejecución constituyen una excepción a dicha clasificación, en términos </w:t>
      </w:r>
      <w:r w:rsidR="003D6CF6">
        <w:rPr>
          <w:rFonts w:ascii="Palatino Linotype" w:hAnsi="Palatino Linotype" w:cs="Arial"/>
          <w:sz w:val="24"/>
          <w:szCs w:val="24"/>
        </w:rPr>
        <w:t>del numeral</w:t>
      </w:r>
      <w:r w:rsidR="00DA12AB">
        <w:rPr>
          <w:rFonts w:ascii="Palatino Linotype" w:hAnsi="Palatino Linotype" w:cs="Arial"/>
          <w:sz w:val="24"/>
          <w:szCs w:val="24"/>
        </w:rPr>
        <w:t xml:space="preserve"> 55, fracción IV del </w:t>
      </w:r>
      <w:r w:rsidR="00543C35">
        <w:rPr>
          <w:rFonts w:ascii="Palatino Linotype" w:hAnsi="Palatino Linotype" w:cs="Arial"/>
          <w:sz w:val="24"/>
          <w:szCs w:val="24"/>
        </w:rPr>
        <w:t>Código</w:t>
      </w:r>
      <w:r w:rsidR="00DA12AB">
        <w:rPr>
          <w:rFonts w:ascii="Palatino Linotype" w:hAnsi="Palatino Linotype" w:cs="Arial"/>
          <w:sz w:val="24"/>
          <w:szCs w:val="24"/>
        </w:rPr>
        <w:t xml:space="preserve"> Financiero del Estado de México y Municipios, que dispone a la literalidad lo siguiente:</w:t>
      </w:r>
    </w:p>
    <w:p w14:paraId="7C3ECE0E" w14:textId="0C73B626" w:rsidR="00543C35" w:rsidRDefault="00543C35" w:rsidP="00543C35">
      <w:pPr>
        <w:pStyle w:val="Citas"/>
      </w:pPr>
      <w:r>
        <w:t xml:space="preserve">“Artículo 55.- Los servidores públicos que intervengan en trámites relativos a la aplicación de este Código, están obligados a guardar en absoluta reserva o confidencialidad, según sea el caso, lo concerniente a las declaraciones y datos que proporcionen los particulares o terceros relacionados con ellos, así como los obtenidos en el ejercicio de las facultades de comprobación. </w:t>
      </w:r>
    </w:p>
    <w:p w14:paraId="583DBC01" w14:textId="1073EDB8" w:rsidR="00543C35" w:rsidRPr="003D6CF6" w:rsidRDefault="00543C35" w:rsidP="00543C35">
      <w:pPr>
        <w:pStyle w:val="Citas"/>
        <w:rPr>
          <w:b/>
          <w:bCs/>
          <w:u w:val="single"/>
        </w:rPr>
      </w:pPr>
      <w:r w:rsidRPr="003D6CF6">
        <w:rPr>
          <w:b/>
          <w:bCs/>
          <w:u w:val="single"/>
        </w:rPr>
        <w:t>Lo anterior no será aplicable cuando se presenten los siguientes supuestos:</w:t>
      </w:r>
    </w:p>
    <w:p w14:paraId="4A735E6C" w14:textId="062E216D" w:rsidR="00543C35" w:rsidRDefault="00543C35" w:rsidP="00543C35">
      <w:pPr>
        <w:pStyle w:val="Citas"/>
      </w:pPr>
      <w:r>
        <w:t>(…)</w:t>
      </w:r>
    </w:p>
    <w:p w14:paraId="75F957D5" w14:textId="77777777" w:rsidR="00543C35" w:rsidRPr="003D6CF6" w:rsidRDefault="00543C35" w:rsidP="00543C35">
      <w:pPr>
        <w:pStyle w:val="Citas"/>
        <w:rPr>
          <w:b/>
          <w:bCs/>
          <w:u w:val="single"/>
        </w:rPr>
      </w:pPr>
      <w:r w:rsidRPr="003D6CF6">
        <w:rPr>
          <w:b/>
          <w:bCs/>
          <w:u w:val="single"/>
        </w:rPr>
        <w:t>IV. Los créditos fiscales, que se encuentren en los siguientes supuestos:</w:t>
      </w:r>
    </w:p>
    <w:p w14:paraId="4470B2A3" w14:textId="77777777" w:rsidR="00543C35" w:rsidRDefault="00543C35" w:rsidP="00543C35">
      <w:pPr>
        <w:pStyle w:val="Citas"/>
      </w:pPr>
      <w:r>
        <w:t xml:space="preserve"> A). Firmes; </w:t>
      </w:r>
    </w:p>
    <w:p w14:paraId="3E2BF635" w14:textId="77777777" w:rsidR="00543C35" w:rsidRDefault="00543C35" w:rsidP="00543C35">
      <w:pPr>
        <w:pStyle w:val="Citas"/>
      </w:pPr>
      <w:r>
        <w:t xml:space="preserve">B). En controversia que no estén garantizados; </w:t>
      </w:r>
    </w:p>
    <w:p w14:paraId="5527A34E" w14:textId="77777777" w:rsidR="00543C35" w:rsidRDefault="00543C35" w:rsidP="00543C35">
      <w:pPr>
        <w:pStyle w:val="Citas"/>
      </w:pPr>
      <w:r>
        <w:t xml:space="preserve">C). Que no estén pagados o cese la autorización del pago a plazos, y </w:t>
      </w:r>
    </w:p>
    <w:p w14:paraId="32C4FA03" w14:textId="551D914E" w:rsidR="00543C35" w:rsidRPr="00543C35" w:rsidRDefault="00543C35" w:rsidP="00543C35">
      <w:pPr>
        <w:pStyle w:val="Citas"/>
        <w:rPr>
          <w:b/>
          <w:bCs/>
          <w:sz w:val="24"/>
          <w:szCs w:val="24"/>
        </w:rPr>
      </w:pPr>
      <w:r>
        <w:lastRenderedPageBreak/>
        <w:t xml:space="preserve">D). Determinados a contribuyentes no localizados.” </w:t>
      </w:r>
      <w:r>
        <w:rPr>
          <w:b/>
          <w:bCs/>
        </w:rPr>
        <w:t>(Sic)</w:t>
      </w:r>
    </w:p>
    <w:p w14:paraId="0FD0753C" w14:textId="69B7D0F9" w:rsidR="00DA12AB" w:rsidRDefault="00DA12AB" w:rsidP="003D70F6">
      <w:pPr>
        <w:spacing w:after="0" w:line="360" w:lineRule="auto"/>
        <w:ind w:right="51"/>
        <w:jc w:val="both"/>
        <w:rPr>
          <w:rFonts w:ascii="Palatino Linotype" w:hAnsi="Palatino Linotype" w:cs="Arial"/>
          <w:sz w:val="24"/>
          <w:szCs w:val="24"/>
        </w:rPr>
      </w:pPr>
    </w:p>
    <w:p w14:paraId="4BD8BCEB" w14:textId="56E66BEF" w:rsidR="003D6CF6" w:rsidRDefault="003D6CF6" w:rsidP="003D70F6">
      <w:pPr>
        <w:spacing w:after="0" w:line="360" w:lineRule="auto"/>
        <w:ind w:right="51"/>
        <w:jc w:val="both"/>
        <w:rPr>
          <w:rFonts w:ascii="Palatino Linotype" w:hAnsi="Palatino Linotype" w:cs="Arial"/>
          <w:sz w:val="24"/>
          <w:szCs w:val="24"/>
        </w:rPr>
      </w:pPr>
      <w:r>
        <w:rPr>
          <w:rFonts w:ascii="Palatino Linotype" w:hAnsi="Palatino Linotype" w:cs="Arial"/>
          <w:sz w:val="24"/>
          <w:szCs w:val="24"/>
        </w:rPr>
        <w:t xml:space="preserve">Es decir, la información referente a créditos fiscales recibe un tratamiento de menor protección tratándose de datos personales, hipótesis fáctica que deberá de ser observada por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para efectos </w:t>
      </w:r>
      <w:r w:rsidR="005E5F15">
        <w:rPr>
          <w:rFonts w:ascii="Palatino Linotype" w:hAnsi="Palatino Linotype" w:cs="Arial"/>
          <w:sz w:val="24"/>
          <w:szCs w:val="24"/>
        </w:rPr>
        <w:t xml:space="preserve">de versión pública. </w:t>
      </w:r>
      <w:r>
        <w:rPr>
          <w:rFonts w:ascii="Palatino Linotype" w:hAnsi="Palatino Linotype" w:cs="Arial"/>
          <w:sz w:val="24"/>
          <w:szCs w:val="24"/>
        </w:rPr>
        <w:t xml:space="preserve"> </w:t>
      </w:r>
    </w:p>
    <w:p w14:paraId="3ED324F2" w14:textId="77777777" w:rsidR="003D6CF6" w:rsidRPr="003D6CF6" w:rsidRDefault="003D6CF6" w:rsidP="003D70F6">
      <w:pPr>
        <w:spacing w:after="0" w:line="360" w:lineRule="auto"/>
        <w:ind w:right="51"/>
        <w:jc w:val="both"/>
        <w:rPr>
          <w:rFonts w:ascii="Palatino Linotype" w:hAnsi="Palatino Linotype" w:cs="Arial"/>
          <w:sz w:val="24"/>
          <w:szCs w:val="24"/>
        </w:rPr>
      </w:pPr>
    </w:p>
    <w:p w14:paraId="6CF4ABC9" w14:textId="6AC6B9C7" w:rsidR="003D70F6" w:rsidRPr="00DB1252" w:rsidRDefault="003D70F6" w:rsidP="003D70F6">
      <w:pPr>
        <w:spacing w:after="0" w:line="360" w:lineRule="auto"/>
        <w:ind w:right="51"/>
        <w:jc w:val="both"/>
        <w:rPr>
          <w:rFonts w:ascii="Palatino Linotype" w:hAnsi="Palatino Linotype" w:cs="Arial"/>
          <w:sz w:val="24"/>
          <w:szCs w:val="24"/>
        </w:rPr>
      </w:pPr>
      <w:r w:rsidRPr="00DB1252">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DB1252">
        <w:rPr>
          <w:rFonts w:ascii="Palatino Linotype" w:hAnsi="Palatino Linotype" w:cs="Arial"/>
          <w:b/>
          <w:sz w:val="24"/>
          <w:szCs w:val="24"/>
        </w:rPr>
        <w:t>LINEAMIENTOS GENERALES EN MATERIA DE CLASIFICACIÓN Y DESCLASIFICACIÓN DE LA INFORMACIÓN, ASÍ COMO PARA LA ELABORACIÓN DE VERSIONES PÚBLICAS,</w:t>
      </w:r>
      <w:r w:rsidRPr="00DB1252">
        <w:rPr>
          <w:rFonts w:ascii="Palatino Linotype" w:hAnsi="Palatino Linotype" w:cs="Arial"/>
          <w:sz w:val="24"/>
          <w:szCs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43DE194F" w14:textId="196A150C" w:rsidR="003D70F6" w:rsidRPr="00DB1252" w:rsidRDefault="003D70F6" w:rsidP="003D70F6">
      <w:pPr>
        <w:tabs>
          <w:tab w:val="left" w:pos="709"/>
        </w:tabs>
        <w:spacing w:before="240" w:line="360" w:lineRule="auto"/>
        <w:ind w:right="51"/>
        <w:jc w:val="both"/>
        <w:rPr>
          <w:rFonts w:ascii="Palatino Linotype" w:hAnsi="Palatino Linotype"/>
          <w:sz w:val="24"/>
          <w:szCs w:val="24"/>
        </w:rPr>
      </w:pPr>
      <w:r w:rsidRPr="00DB1252">
        <w:rPr>
          <w:rFonts w:ascii="Palatino Linotype" w:hAnsi="Palatino Linotype"/>
          <w:iCs/>
          <w:sz w:val="24"/>
          <w:szCs w:val="24"/>
        </w:rPr>
        <w:t xml:space="preserve">En mérito de lo expuesto </w:t>
      </w:r>
      <w:r w:rsidRPr="00DB1252">
        <w:rPr>
          <w:rFonts w:ascii="Palatino Linotype" w:hAnsi="Palatino Linotype"/>
          <w:sz w:val="24"/>
          <w:szCs w:val="24"/>
        </w:rPr>
        <w:t xml:space="preserve">en líneas anteriores, resultan parcialmente fundados los motivos de inconformidad vertidos por </w:t>
      </w:r>
      <w:r w:rsidRPr="00DB1252">
        <w:rPr>
          <w:rFonts w:ascii="Palatino Linotype" w:hAnsi="Palatino Linotype"/>
          <w:b/>
          <w:sz w:val="24"/>
          <w:szCs w:val="24"/>
        </w:rPr>
        <w:t xml:space="preserve">El Recurrente, </w:t>
      </w:r>
      <w:r w:rsidRPr="00DB1252">
        <w:rPr>
          <w:rFonts w:ascii="Palatino Linotype" w:hAnsi="Palatino Linotype"/>
          <w:sz w:val="24"/>
          <w:szCs w:val="24"/>
        </w:rPr>
        <w:t xml:space="preserve">por ello con fundamento en el </w:t>
      </w:r>
      <w:r w:rsidRPr="00DB1252">
        <w:rPr>
          <w:rFonts w:ascii="Palatino Linotype" w:hAnsi="Palatino Linotype"/>
          <w:sz w:val="24"/>
          <w:szCs w:val="24"/>
        </w:rPr>
        <w:lastRenderedPageBreak/>
        <w:t xml:space="preserve">artículo 186 fracción III de la Ley de Transparencia y Acceso a la Información Pública del Estado de México y Municipios, se </w:t>
      </w:r>
      <w:r w:rsidRPr="00DB1252">
        <w:rPr>
          <w:rFonts w:ascii="Palatino Linotype" w:hAnsi="Palatino Linotype"/>
          <w:b/>
          <w:sz w:val="24"/>
          <w:szCs w:val="24"/>
        </w:rPr>
        <w:t xml:space="preserve">MODIFICA </w:t>
      </w:r>
      <w:r w:rsidRPr="00DB1252">
        <w:rPr>
          <w:rFonts w:ascii="Palatino Linotype" w:hAnsi="Palatino Linotype"/>
          <w:sz w:val="24"/>
          <w:szCs w:val="24"/>
        </w:rPr>
        <w:t xml:space="preserve">la respuesta a la solicitud de información </w:t>
      </w:r>
      <w:r w:rsidR="00740C2B">
        <w:rPr>
          <w:rFonts w:ascii="Palatino Linotype" w:hAnsi="Palatino Linotype"/>
          <w:b/>
          <w:sz w:val="24"/>
          <w:szCs w:val="24"/>
        </w:rPr>
        <w:t>00107/OASHUIXQUI/IP/2022</w:t>
      </w:r>
      <w:r w:rsidRPr="00DB1252">
        <w:rPr>
          <w:rFonts w:ascii="Palatino Linotype" w:hAnsi="Palatino Linotype"/>
          <w:b/>
          <w:sz w:val="24"/>
          <w:szCs w:val="24"/>
        </w:rPr>
        <w:t xml:space="preserve">, </w:t>
      </w:r>
      <w:r w:rsidRPr="00DB1252">
        <w:rPr>
          <w:rFonts w:ascii="Palatino Linotype" w:hAnsi="Palatino Linotype"/>
          <w:sz w:val="24"/>
          <w:szCs w:val="24"/>
        </w:rPr>
        <w:t xml:space="preserve">que ha sido materia del presente fallo. </w:t>
      </w:r>
    </w:p>
    <w:p w14:paraId="3A7DCD55" w14:textId="022BF723" w:rsidR="003D70F6" w:rsidRDefault="003D70F6" w:rsidP="003D70F6">
      <w:pPr>
        <w:pStyle w:val="Prrafodelista"/>
        <w:spacing w:before="240" w:after="240" w:line="360" w:lineRule="auto"/>
        <w:ind w:left="0"/>
        <w:jc w:val="both"/>
        <w:rPr>
          <w:rFonts w:ascii="Palatino Linotype" w:hAnsi="Palatino Linotype"/>
        </w:rPr>
      </w:pPr>
      <w:r w:rsidRPr="00DB1252">
        <w:rPr>
          <w:rFonts w:ascii="Palatino Linotype" w:hAnsi="Palatino Linotype"/>
        </w:rPr>
        <w:t>Por lo antes expuesto y fundado es de resolverse y,</w:t>
      </w:r>
      <w:r w:rsidRPr="00F458CF">
        <w:rPr>
          <w:rFonts w:ascii="Palatino Linotype" w:hAnsi="Palatino Linotype"/>
        </w:rPr>
        <w:t xml:space="preserve"> </w:t>
      </w:r>
    </w:p>
    <w:p w14:paraId="1DE7312E" w14:textId="3B4F76C1" w:rsidR="003D70F6" w:rsidRPr="00D05C83" w:rsidRDefault="003D70F6" w:rsidP="003D70F6">
      <w:pPr>
        <w:spacing w:before="240" w:line="360" w:lineRule="auto"/>
        <w:jc w:val="center"/>
        <w:rPr>
          <w:rFonts w:ascii="Palatino Linotype" w:eastAsia="Times New Roman" w:hAnsi="Palatino Linotype"/>
          <w:b/>
          <w:bCs/>
          <w:spacing w:val="60"/>
          <w:sz w:val="24"/>
          <w:szCs w:val="24"/>
          <w:lang w:val="es-ES_tradnl"/>
        </w:rPr>
      </w:pPr>
      <w:r w:rsidRPr="00D05C83">
        <w:rPr>
          <w:rFonts w:ascii="Palatino Linotype" w:eastAsia="Times New Roman" w:hAnsi="Palatino Linotype"/>
          <w:b/>
          <w:bCs/>
          <w:spacing w:val="60"/>
          <w:sz w:val="24"/>
          <w:szCs w:val="24"/>
          <w:lang w:val="es-ES_tradnl"/>
        </w:rPr>
        <w:t>SE    RESUELVE</w:t>
      </w:r>
    </w:p>
    <w:p w14:paraId="495661AA" w14:textId="49B553B5" w:rsidR="003D70F6" w:rsidRDefault="003D70F6" w:rsidP="003D70F6">
      <w:pPr>
        <w:spacing w:before="240" w:line="360" w:lineRule="auto"/>
        <w:jc w:val="both"/>
        <w:rPr>
          <w:rFonts w:ascii="Palatino Linotype" w:hAnsi="Palatino Linotype" w:cs="Arial"/>
          <w:sz w:val="24"/>
        </w:rPr>
      </w:pPr>
      <w:r w:rsidRPr="00D05C83">
        <w:rPr>
          <w:rFonts w:ascii="Palatino Linotype" w:hAnsi="Palatino Linotype" w:cs="Arial"/>
          <w:b/>
          <w:sz w:val="24"/>
          <w:szCs w:val="24"/>
          <w:lang w:val="es-ES_tradnl"/>
        </w:rPr>
        <w:t>PRIMERO.</w:t>
      </w:r>
      <w:r w:rsidRPr="00D05C83">
        <w:rPr>
          <w:rFonts w:ascii="Palatino Linotype" w:hAnsi="Palatino Linotype" w:cs="Arial"/>
          <w:sz w:val="24"/>
          <w:szCs w:val="24"/>
          <w:lang w:val="es-ES_tradnl"/>
        </w:rPr>
        <w:t xml:space="preserve"> </w:t>
      </w:r>
      <w:r w:rsidRPr="00A05065">
        <w:rPr>
          <w:rFonts w:ascii="Palatino Linotype" w:hAnsi="Palatino Linotype" w:cs="Arial"/>
          <w:sz w:val="24"/>
          <w:szCs w:val="24"/>
        </w:rPr>
        <w:t xml:space="preserve">Se </w:t>
      </w:r>
      <w:r>
        <w:rPr>
          <w:rFonts w:ascii="Palatino Linotype" w:hAnsi="Palatino Linotype" w:cs="Arial"/>
          <w:b/>
          <w:sz w:val="24"/>
          <w:szCs w:val="24"/>
        </w:rPr>
        <w:t xml:space="preserve">MODIFICA </w:t>
      </w:r>
      <w:r>
        <w:rPr>
          <w:rFonts w:ascii="Palatino Linotype" w:hAnsi="Palatino Linotype" w:cs="Arial"/>
          <w:sz w:val="24"/>
          <w:szCs w:val="24"/>
        </w:rPr>
        <w:t xml:space="preserve">la respuesta entregada por </w:t>
      </w:r>
      <w:r>
        <w:rPr>
          <w:rFonts w:ascii="Palatino Linotype" w:hAnsi="Palatino Linotype" w:cs="Arial"/>
          <w:b/>
          <w:sz w:val="24"/>
          <w:szCs w:val="24"/>
        </w:rPr>
        <w:t xml:space="preserve">EL SUJETO OBLIGADO, </w:t>
      </w:r>
      <w:r>
        <w:rPr>
          <w:rFonts w:ascii="Palatino Linotype" w:hAnsi="Palatino Linotype" w:cs="Arial"/>
          <w:sz w:val="24"/>
          <w:szCs w:val="24"/>
        </w:rPr>
        <w:t xml:space="preserve">a la solicitud de información número </w:t>
      </w:r>
      <w:r w:rsidR="00740C2B">
        <w:rPr>
          <w:rFonts w:ascii="Palatino Linotype" w:hAnsi="Palatino Linotype"/>
          <w:b/>
          <w:sz w:val="24"/>
          <w:szCs w:val="24"/>
        </w:rPr>
        <w:t xml:space="preserve">00107/OASHUIXQUI/IP/2022 </w:t>
      </w:r>
      <w:r>
        <w:rPr>
          <w:rFonts w:ascii="Palatino Linotype" w:hAnsi="Palatino Linotype" w:cs="Arial"/>
          <w:sz w:val="24"/>
          <w:szCs w:val="24"/>
        </w:rPr>
        <w:t>por</w:t>
      </w:r>
      <w:r>
        <w:rPr>
          <w:rFonts w:ascii="Palatino Linotype" w:hAnsi="Palatino Linotype" w:cs="Arial"/>
          <w:sz w:val="24"/>
        </w:rPr>
        <w:t xml:space="preserve"> resultar parcialmente fundados los motivos de inconformidad que arguye </w:t>
      </w:r>
      <w:r>
        <w:rPr>
          <w:rFonts w:ascii="Palatino Linotype" w:hAnsi="Palatino Linotype" w:cs="Arial"/>
          <w:b/>
          <w:sz w:val="24"/>
        </w:rPr>
        <w:t xml:space="preserve">EL RECURRENTE, </w:t>
      </w:r>
      <w:r>
        <w:rPr>
          <w:rFonts w:ascii="Palatino Linotype" w:hAnsi="Palatino Linotype" w:cs="Arial"/>
          <w:sz w:val="24"/>
        </w:rPr>
        <w:t xml:space="preserve">en términos del </w:t>
      </w:r>
      <w:r w:rsidRPr="0012305B">
        <w:rPr>
          <w:rFonts w:ascii="Palatino Linotype" w:hAnsi="Palatino Linotype" w:cs="Arial"/>
          <w:b/>
          <w:sz w:val="24"/>
        </w:rPr>
        <w:t xml:space="preserve">Considerando </w:t>
      </w:r>
      <w:r>
        <w:rPr>
          <w:rFonts w:ascii="Palatino Linotype" w:hAnsi="Palatino Linotype" w:cs="Arial"/>
          <w:b/>
          <w:sz w:val="24"/>
        </w:rPr>
        <w:t xml:space="preserve">CUARTO </w:t>
      </w:r>
      <w:r>
        <w:rPr>
          <w:rFonts w:ascii="Palatino Linotype" w:hAnsi="Palatino Linotype" w:cs="Arial"/>
          <w:sz w:val="24"/>
        </w:rPr>
        <w:t xml:space="preserve">de la presente resolución. </w:t>
      </w:r>
    </w:p>
    <w:p w14:paraId="11ED9A31" w14:textId="77777777" w:rsidR="003D70F6" w:rsidRDefault="003D70F6" w:rsidP="003D70F6">
      <w:pPr>
        <w:autoSpaceDE w:val="0"/>
        <w:autoSpaceDN w:val="0"/>
        <w:adjustRightInd w:val="0"/>
        <w:spacing w:before="240" w:line="360" w:lineRule="auto"/>
        <w:ind w:right="49"/>
        <w:jc w:val="both"/>
        <w:rPr>
          <w:rFonts w:ascii="Palatino Linotype" w:hAnsi="Palatino Linotype" w:cs="Arial"/>
          <w:b/>
          <w:sz w:val="24"/>
          <w:szCs w:val="24"/>
          <w:lang w:val="es-ES_tradnl"/>
        </w:rPr>
      </w:pPr>
    </w:p>
    <w:p w14:paraId="6340FEB3" w14:textId="77777777" w:rsidR="003D70F6" w:rsidRDefault="003D70F6" w:rsidP="003D70F6">
      <w:pPr>
        <w:autoSpaceDE w:val="0"/>
        <w:autoSpaceDN w:val="0"/>
        <w:adjustRightInd w:val="0"/>
        <w:spacing w:before="240" w:line="360" w:lineRule="auto"/>
        <w:ind w:right="49"/>
        <w:jc w:val="both"/>
        <w:rPr>
          <w:rFonts w:ascii="Palatino Linotype" w:hAnsi="Palatino Linotype" w:cs="Arial"/>
          <w:sz w:val="24"/>
          <w:szCs w:val="24"/>
        </w:rPr>
      </w:pPr>
      <w:r w:rsidRPr="00413327">
        <w:rPr>
          <w:rFonts w:ascii="Palatino Linotype" w:hAnsi="Palatino Linotype" w:cs="Arial"/>
          <w:b/>
          <w:sz w:val="24"/>
          <w:szCs w:val="24"/>
          <w:lang w:val="es-ES_tradnl"/>
        </w:rPr>
        <w:t>SEGUNDO.</w:t>
      </w:r>
      <w:r w:rsidRPr="00413327">
        <w:rPr>
          <w:rFonts w:ascii="Palatino Linotype" w:hAnsi="Palatino Linotype" w:cs="Arial"/>
          <w:sz w:val="24"/>
          <w:szCs w:val="24"/>
        </w:rPr>
        <w:t xml:space="preserve"> Se </w:t>
      </w:r>
      <w:r w:rsidRPr="00413327">
        <w:rPr>
          <w:rFonts w:ascii="Palatino Linotype" w:hAnsi="Palatino Linotype" w:cs="Arial"/>
          <w:b/>
          <w:sz w:val="24"/>
          <w:szCs w:val="24"/>
        </w:rPr>
        <w:t>ORDENA</w:t>
      </w:r>
      <w:r w:rsidRPr="00413327">
        <w:rPr>
          <w:rFonts w:ascii="Palatino Linotype" w:hAnsi="Palatino Linotype" w:cs="Arial"/>
          <w:sz w:val="24"/>
          <w:szCs w:val="24"/>
        </w:rPr>
        <w:t xml:space="preserve"> al </w:t>
      </w:r>
      <w:r w:rsidRPr="00413327">
        <w:rPr>
          <w:rFonts w:ascii="Palatino Linotype" w:hAnsi="Palatino Linotype" w:cs="Arial"/>
          <w:b/>
          <w:sz w:val="24"/>
          <w:szCs w:val="24"/>
        </w:rPr>
        <w:t>SUJETO OBLIGADO</w:t>
      </w:r>
      <w:r>
        <w:rPr>
          <w:rFonts w:ascii="Palatino Linotype" w:hAnsi="Palatino Linotype" w:cs="Arial"/>
          <w:sz w:val="24"/>
          <w:szCs w:val="24"/>
        </w:rPr>
        <w:t xml:space="preserve"> realizar una búsqueda exhaustiva y razonable a fin de entregar al</w:t>
      </w:r>
      <w:r>
        <w:rPr>
          <w:rFonts w:ascii="Palatino Linotype" w:hAnsi="Palatino Linotype" w:cs="Arial"/>
          <w:b/>
          <w:sz w:val="24"/>
          <w:szCs w:val="24"/>
        </w:rPr>
        <w:t xml:space="preserve"> RECURRENTE, </w:t>
      </w:r>
      <w:r>
        <w:rPr>
          <w:rFonts w:ascii="Palatino Linotype" w:hAnsi="Palatino Linotype" w:cs="Arial"/>
          <w:sz w:val="24"/>
          <w:szCs w:val="24"/>
        </w:rPr>
        <w:t xml:space="preserve">a través del Sistema de Acceso a la Información Mexiquense </w:t>
      </w:r>
      <w:r w:rsidRPr="00123390">
        <w:rPr>
          <w:rFonts w:ascii="Palatino Linotype" w:hAnsi="Palatino Linotype" w:cs="Arial"/>
          <w:b/>
          <w:sz w:val="24"/>
          <w:szCs w:val="24"/>
        </w:rPr>
        <w:t>(</w:t>
      </w:r>
      <w:r w:rsidRPr="00D178CD">
        <w:rPr>
          <w:rFonts w:ascii="Palatino Linotype" w:hAnsi="Palatino Linotype" w:cs="Arial"/>
          <w:b/>
          <w:sz w:val="24"/>
          <w:szCs w:val="24"/>
        </w:rPr>
        <w:t>SAIMEX</w:t>
      </w:r>
      <w:r>
        <w:rPr>
          <w:rFonts w:ascii="Palatino Linotype" w:hAnsi="Palatino Linotype" w:cs="Arial"/>
          <w:b/>
          <w:sz w:val="24"/>
          <w:szCs w:val="24"/>
        </w:rPr>
        <w:t xml:space="preserve">), </w:t>
      </w:r>
      <w:r>
        <w:rPr>
          <w:rFonts w:ascii="Palatino Linotype" w:hAnsi="Palatino Linotype" w:cs="Arial"/>
          <w:bCs/>
          <w:sz w:val="24"/>
          <w:szCs w:val="24"/>
        </w:rPr>
        <w:t>en versión pública de ser procedente,</w:t>
      </w:r>
      <w:r>
        <w:rPr>
          <w:rFonts w:ascii="Palatino Linotype" w:hAnsi="Palatino Linotype" w:cs="Arial"/>
          <w:b/>
          <w:sz w:val="24"/>
          <w:szCs w:val="24"/>
        </w:rPr>
        <w:t xml:space="preserve"> </w:t>
      </w:r>
      <w:r>
        <w:rPr>
          <w:rFonts w:ascii="Palatino Linotype" w:hAnsi="Palatino Linotype" w:cs="Arial"/>
          <w:sz w:val="24"/>
          <w:szCs w:val="24"/>
        </w:rPr>
        <w:t xml:space="preserve">de lo siguiente: </w:t>
      </w:r>
    </w:p>
    <w:p w14:paraId="4F77FC02" w14:textId="6739E933" w:rsidR="003D70F6" w:rsidRDefault="003D70F6" w:rsidP="003D70F6">
      <w:pPr>
        <w:pStyle w:val="Sinespaciado"/>
        <w:numPr>
          <w:ilvl w:val="0"/>
          <w:numId w:val="35"/>
        </w:numPr>
        <w:spacing w:line="360" w:lineRule="auto"/>
        <w:jc w:val="both"/>
        <w:rPr>
          <w:rFonts w:ascii="Palatino Linotype" w:hAnsi="Palatino Linotype"/>
          <w:i/>
          <w:iCs/>
        </w:rPr>
      </w:pPr>
      <w:r>
        <w:rPr>
          <w:rFonts w:ascii="Palatino Linotype" w:hAnsi="Palatino Linotype"/>
          <w:i/>
          <w:iCs/>
        </w:rPr>
        <w:t xml:space="preserve">El o los documentos </w:t>
      </w:r>
      <w:r w:rsidR="00740C2B">
        <w:rPr>
          <w:rFonts w:ascii="Palatino Linotype" w:hAnsi="Palatino Linotype"/>
          <w:i/>
          <w:iCs/>
        </w:rPr>
        <w:t xml:space="preserve">donde consten los procedimientos administrativos de ejecución, del periodo comprendido del uno de enero al cinco de julio de dos mil veintidós. </w:t>
      </w:r>
    </w:p>
    <w:p w14:paraId="35524239" w14:textId="77777777" w:rsidR="00740C2B" w:rsidRDefault="00740C2B" w:rsidP="00740C2B">
      <w:pPr>
        <w:pStyle w:val="Sinespaciado"/>
        <w:spacing w:line="360" w:lineRule="auto"/>
        <w:ind w:left="782"/>
        <w:jc w:val="both"/>
        <w:rPr>
          <w:rFonts w:ascii="Palatino Linotype" w:hAnsi="Palatino Linotype" w:cs="Arial"/>
          <w:i/>
        </w:rPr>
      </w:pPr>
    </w:p>
    <w:p w14:paraId="204C16B1" w14:textId="1DB49F5C" w:rsidR="00740C2B" w:rsidRPr="00DA12AB" w:rsidRDefault="00740C2B" w:rsidP="00740C2B">
      <w:pPr>
        <w:pStyle w:val="Sinespaciado"/>
        <w:spacing w:line="360" w:lineRule="auto"/>
        <w:ind w:left="782"/>
        <w:jc w:val="both"/>
        <w:rPr>
          <w:rFonts w:ascii="Palatino Linotype" w:hAnsi="Palatino Linotype" w:cs="Arial"/>
          <w:i/>
        </w:rPr>
      </w:pPr>
      <w:r w:rsidRPr="00DA12AB">
        <w:rPr>
          <w:rFonts w:ascii="Palatino Linotype" w:hAnsi="Palatino Linotype" w:cs="Arial"/>
          <w:i/>
        </w:rPr>
        <w:lastRenderedPageBreak/>
        <w:t xml:space="preserve">En referencia al numeral I de no haber quedado firme parcial o totalmente, resulta procedente la entrega del acuerdo de clasificación como información reservada. </w:t>
      </w:r>
    </w:p>
    <w:p w14:paraId="5A81C73A" w14:textId="0006BE06" w:rsidR="00740C2B" w:rsidRDefault="00740C2B" w:rsidP="00740C2B">
      <w:pPr>
        <w:pStyle w:val="Prrafodelista"/>
        <w:spacing w:before="240" w:line="360" w:lineRule="auto"/>
        <w:ind w:left="782"/>
        <w:jc w:val="both"/>
        <w:rPr>
          <w:rFonts w:ascii="Palatino Linotype" w:hAnsi="Palatino Linotype" w:cs="Arial"/>
          <w:i/>
        </w:rPr>
      </w:pPr>
      <w:r w:rsidRPr="00DA12AB">
        <w:rPr>
          <w:rFonts w:ascii="Palatino Linotype" w:hAnsi="Palatino Linotype" w:cs="Arial"/>
          <w:i/>
        </w:rPr>
        <w:t>Para el caso de no contar con la información bastará con que lo haga del conocimiento del Recurrente.</w:t>
      </w:r>
      <w:r>
        <w:rPr>
          <w:rFonts w:ascii="Palatino Linotype" w:hAnsi="Palatino Linotype" w:cs="Arial"/>
          <w:i/>
        </w:rPr>
        <w:t xml:space="preserve"> </w:t>
      </w:r>
    </w:p>
    <w:p w14:paraId="7762B71C" w14:textId="47DC6D91" w:rsidR="003D70F6" w:rsidRDefault="003D70F6" w:rsidP="003D70F6">
      <w:pPr>
        <w:pStyle w:val="Prrafodelista"/>
        <w:spacing w:before="240" w:line="360" w:lineRule="auto"/>
        <w:ind w:left="782"/>
        <w:jc w:val="both"/>
        <w:rPr>
          <w:rFonts w:ascii="Palatino Linotype" w:hAnsi="Palatino Linotype" w:cs="Arial"/>
          <w:i/>
        </w:rPr>
      </w:pPr>
      <w:r>
        <w:rPr>
          <w:rFonts w:ascii="Palatino Linotype" w:hAnsi="Palatino Linotype" w:cs="Arial"/>
          <w:i/>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w:t>
      </w:r>
      <w:r w:rsidRPr="00015141">
        <w:rPr>
          <w:rFonts w:ascii="Palatino Linotype" w:hAnsi="Palatino Linotype" w:cs="Arial"/>
          <w:i/>
        </w:rPr>
        <w:t xml:space="preserve">y motive las razones sobre los datos que se supriman o eliminen y se ponga a disposición </w:t>
      </w:r>
      <w:r w:rsidR="00740C2B">
        <w:rPr>
          <w:rFonts w:ascii="Palatino Linotype" w:hAnsi="Palatino Linotype" w:cs="Arial"/>
          <w:i/>
        </w:rPr>
        <w:t>del</w:t>
      </w:r>
      <w:r w:rsidRPr="00015141">
        <w:rPr>
          <w:rFonts w:ascii="Palatino Linotype" w:hAnsi="Palatino Linotype" w:cs="Arial"/>
          <w:i/>
        </w:rPr>
        <w:t xml:space="preserve"> recurrente.</w:t>
      </w:r>
    </w:p>
    <w:p w14:paraId="0DAFBF1E" w14:textId="77777777" w:rsidR="005C2819" w:rsidRPr="00740C2B" w:rsidRDefault="005C2819" w:rsidP="00142E29">
      <w:pPr>
        <w:autoSpaceDE w:val="0"/>
        <w:autoSpaceDN w:val="0"/>
        <w:adjustRightInd w:val="0"/>
        <w:spacing w:before="240" w:line="360" w:lineRule="auto"/>
        <w:jc w:val="both"/>
        <w:rPr>
          <w:rFonts w:ascii="Palatino Linotype" w:hAnsi="Palatino Linotype" w:cs="Arial"/>
          <w:b/>
          <w:sz w:val="28"/>
          <w:szCs w:val="28"/>
          <w:lang w:val="es-ES"/>
        </w:rPr>
      </w:pPr>
    </w:p>
    <w:p w14:paraId="296D8875" w14:textId="6BB4AF23" w:rsidR="00142E29" w:rsidRDefault="00142E29" w:rsidP="00142E29">
      <w:pPr>
        <w:autoSpaceDE w:val="0"/>
        <w:autoSpaceDN w:val="0"/>
        <w:adjustRightInd w:val="0"/>
        <w:spacing w:before="240" w:line="360" w:lineRule="auto"/>
        <w:jc w:val="both"/>
        <w:rPr>
          <w:rFonts w:ascii="Palatino Linotype" w:hAnsi="Palatino Linotype" w:cs="Arial"/>
          <w:sz w:val="24"/>
          <w:szCs w:val="24"/>
        </w:rPr>
      </w:pPr>
      <w:r w:rsidRPr="00D62F3F">
        <w:rPr>
          <w:rFonts w:ascii="Palatino Linotype" w:hAnsi="Palatino Linotype" w:cs="Arial"/>
          <w:b/>
          <w:sz w:val="28"/>
          <w:szCs w:val="28"/>
        </w:rPr>
        <w:t>TERCERO.</w:t>
      </w:r>
      <w:r>
        <w:rPr>
          <w:rFonts w:ascii="Palatino Linotype" w:hAnsi="Palatino Linotype" w:cs="Arial"/>
          <w:b/>
          <w:sz w:val="24"/>
          <w:szCs w:val="24"/>
        </w:rPr>
        <w:t xml:space="preserve"> </w:t>
      </w:r>
      <w:r w:rsidRPr="002A12F5">
        <w:rPr>
          <w:rFonts w:ascii="Palatino Linotype" w:hAnsi="Palatino Linotype" w:cs="Arial"/>
          <w:b/>
          <w:sz w:val="24"/>
          <w:szCs w:val="24"/>
        </w:rPr>
        <w:t>Notifíquese</w:t>
      </w:r>
      <w:r w:rsidRPr="002A12F5">
        <w:rPr>
          <w:rFonts w:ascii="Palatino Linotype" w:hAnsi="Palatino Linotype" w:cs="Arial"/>
          <w:b/>
          <w:i/>
          <w:sz w:val="24"/>
          <w:szCs w:val="24"/>
        </w:rPr>
        <w:t xml:space="preserve"> </w:t>
      </w:r>
      <w:r w:rsidRPr="002A12F5">
        <w:rPr>
          <w:rFonts w:ascii="Palatino Linotype" w:hAnsi="Palatino Linotype" w:cs="Arial"/>
          <w:sz w:val="24"/>
          <w:szCs w:val="24"/>
        </w:rPr>
        <w:t>al Titular de la Unidad de Transparencia del</w:t>
      </w:r>
      <w:r w:rsidRPr="002A12F5">
        <w:rPr>
          <w:rFonts w:ascii="Palatino Linotype" w:hAnsi="Palatino Linotype" w:cs="Arial"/>
          <w:b/>
          <w:sz w:val="24"/>
          <w:szCs w:val="24"/>
        </w:rPr>
        <w:t xml:space="preserve"> SUJETO OBLIGADO</w:t>
      </w:r>
      <w:r w:rsidRPr="002A12F5">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w:t>
      </w:r>
      <w:r w:rsidRPr="00D05C83">
        <w:rPr>
          <w:rFonts w:ascii="Palatino Linotype" w:hAnsi="Palatino Linotype" w:cs="Arial"/>
          <w:sz w:val="24"/>
          <w:szCs w:val="24"/>
        </w:rPr>
        <w:t xml:space="preserve">o del plazo de </w:t>
      </w:r>
      <w:r>
        <w:rPr>
          <w:rFonts w:ascii="Palatino Linotype" w:hAnsi="Palatino Linotype" w:cs="Arial"/>
          <w:sz w:val="24"/>
          <w:szCs w:val="24"/>
        </w:rPr>
        <w:t>diez</w:t>
      </w:r>
      <w:r w:rsidRPr="00D05C83">
        <w:rPr>
          <w:rFonts w:ascii="Palatino Linotype" w:hAnsi="Palatino Linotype" w:cs="Arial"/>
          <w:sz w:val="24"/>
          <w:szCs w:val="24"/>
        </w:rPr>
        <w:t xml:space="preserve"> días hábiles, debiendo informar a este Instituto en un plazo de tres días hábiles siguientes sobre el cumplimiento dado a la presente resolución.</w:t>
      </w:r>
    </w:p>
    <w:p w14:paraId="6A18B117" w14:textId="77777777" w:rsidR="00142E29" w:rsidRDefault="00142E29" w:rsidP="00142E29">
      <w:pPr>
        <w:autoSpaceDE w:val="0"/>
        <w:autoSpaceDN w:val="0"/>
        <w:adjustRightInd w:val="0"/>
        <w:spacing w:before="240" w:line="360" w:lineRule="auto"/>
        <w:jc w:val="both"/>
        <w:rPr>
          <w:rFonts w:ascii="Palatino Linotype" w:hAnsi="Palatino Linotype" w:cs="Arial"/>
          <w:sz w:val="24"/>
          <w:szCs w:val="24"/>
        </w:rPr>
      </w:pPr>
    </w:p>
    <w:p w14:paraId="504EAF39" w14:textId="77777777" w:rsidR="00142E29" w:rsidRDefault="00142E29" w:rsidP="00142E29">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0F5B7E">
        <w:rPr>
          <w:rFonts w:ascii="Palatino Linotype" w:eastAsia="Times New Roman" w:hAnsi="Palatino Linotype" w:cs="Arial"/>
          <w:b/>
          <w:sz w:val="26"/>
          <w:szCs w:val="26"/>
          <w:lang w:eastAsia="es-ES"/>
        </w:rPr>
        <w:lastRenderedPageBreak/>
        <w:t>CUARTO.</w:t>
      </w:r>
      <w:r w:rsidRPr="000F5B7E">
        <w:rPr>
          <w:rFonts w:ascii="Palatino Linotype" w:eastAsia="Times New Roman" w:hAnsi="Palatino Linotype" w:cs="Arial"/>
          <w:b/>
          <w:sz w:val="24"/>
          <w:szCs w:val="24"/>
          <w:lang w:eastAsia="es-ES"/>
        </w:rPr>
        <w:t xml:space="preserve"> </w:t>
      </w:r>
      <w:r w:rsidRPr="005751B7">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5A4FED0" w14:textId="77777777" w:rsidR="00142E29" w:rsidRPr="005751B7" w:rsidRDefault="00142E29" w:rsidP="00142E29">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353F6544" w14:textId="451D7596" w:rsidR="00142E29" w:rsidRDefault="00142E29" w:rsidP="00142E29">
      <w:pPr>
        <w:spacing w:after="0" w:line="360" w:lineRule="auto"/>
        <w:jc w:val="both"/>
        <w:rPr>
          <w:rFonts w:ascii="Palatino Linotype" w:eastAsia="Times New Roman" w:hAnsi="Palatino Linotype" w:cs="Times New Roman"/>
          <w:color w:val="222222"/>
          <w:sz w:val="24"/>
          <w:szCs w:val="24"/>
          <w:shd w:val="clear" w:color="auto" w:fill="FFFFFF"/>
          <w:lang w:eastAsia="es-ES"/>
        </w:rPr>
      </w:pPr>
      <w:r w:rsidRPr="00DB757B">
        <w:rPr>
          <w:rFonts w:ascii="Palatino Linotype" w:eastAsia="Times New Roman" w:hAnsi="Palatino Linotype" w:cs="Arial"/>
          <w:b/>
          <w:sz w:val="24"/>
          <w:szCs w:val="24"/>
          <w:lang w:eastAsia="es-ES"/>
        </w:rPr>
        <w:t xml:space="preserve">QUINTO. NOTIFÍQUESE </w:t>
      </w:r>
      <w:r>
        <w:rPr>
          <w:rFonts w:ascii="Palatino Linotype" w:eastAsia="Times New Roman" w:hAnsi="Palatino Linotype" w:cs="Arial"/>
          <w:sz w:val="24"/>
          <w:szCs w:val="24"/>
          <w:lang w:eastAsia="es-ES"/>
        </w:rPr>
        <w:t>la presente resolución al</w:t>
      </w:r>
      <w:r w:rsidRPr="00DB757B">
        <w:rPr>
          <w:rFonts w:ascii="Palatino Linotype" w:eastAsia="Times New Roman" w:hAnsi="Palatino Linotype" w:cs="Arial"/>
          <w:sz w:val="24"/>
          <w:szCs w:val="24"/>
          <w:lang w:eastAsia="es-ES"/>
        </w:rPr>
        <w:t xml:space="preserve"> </w:t>
      </w:r>
      <w:r w:rsidRPr="00DB757B">
        <w:rPr>
          <w:rFonts w:ascii="Palatino Linotype" w:eastAsia="Times New Roman" w:hAnsi="Palatino Linotype" w:cs="Arial"/>
          <w:b/>
          <w:sz w:val="24"/>
          <w:szCs w:val="24"/>
          <w:lang w:eastAsia="es-ES"/>
        </w:rPr>
        <w:t xml:space="preserve">RECURRENTE vía </w:t>
      </w:r>
      <w:r>
        <w:rPr>
          <w:rFonts w:ascii="Palatino Linotype" w:hAnsi="Palatino Linotype" w:cs="Arial"/>
          <w:sz w:val="24"/>
          <w:szCs w:val="24"/>
        </w:rPr>
        <w:t xml:space="preserve">Sistema de Acceso a la Información Mexiquense </w:t>
      </w:r>
      <w:r>
        <w:rPr>
          <w:rFonts w:ascii="Palatino Linotype" w:hAnsi="Palatino Linotype" w:cs="Arial"/>
          <w:b/>
          <w:sz w:val="24"/>
          <w:szCs w:val="24"/>
        </w:rPr>
        <w:t xml:space="preserve">(SAIMEX) </w:t>
      </w:r>
      <w:r w:rsidRPr="00DB757B">
        <w:rPr>
          <w:rFonts w:ascii="Palatino Linotype" w:eastAsia="Times New Roman" w:hAnsi="Palatino Linotype" w:cs="Arial"/>
          <w:sz w:val="24"/>
          <w:szCs w:val="24"/>
          <w:lang w:eastAsia="es-ES"/>
        </w:rPr>
        <w:t xml:space="preserve">y hágase de su conocimiento que, </w:t>
      </w:r>
      <w:r w:rsidRPr="00DB757B">
        <w:rPr>
          <w:rFonts w:ascii="Palatino Linotype" w:eastAsia="Times New Roman" w:hAnsi="Palatino Linotype" w:cs="Times New Roman"/>
          <w:color w:val="222222"/>
          <w:sz w:val="24"/>
          <w:szCs w:val="24"/>
          <w:shd w:val="clear" w:color="auto" w:fill="FFFFFF"/>
          <w:lang w:eastAsia="es-ES"/>
        </w:rPr>
        <w:t xml:space="preserve">de conformidad con lo </w:t>
      </w:r>
      <w:r w:rsidRPr="00AA3F48">
        <w:rPr>
          <w:rFonts w:ascii="Palatino Linotype" w:eastAsia="Times New Roman" w:hAnsi="Palatino Linotype" w:cs="Times New Roman"/>
          <w:color w:val="222222"/>
          <w:sz w:val="24"/>
          <w:szCs w:val="24"/>
          <w:lang w:eastAsia="es-ES"/>
        </w:rPr>
        <w:t xml:space="preserve">establecido en el artículo 196, de la Ley de Transparencia y Acceso a la Información Pública del Estado de México y Municipios, podrá promover el Juicio de Amparo en los términos de las </w:t>
      </w:r>
      <w:r w:rsidRPr="00DB757B">
        <w:rPr>
          <w:rFonts w:ascii="Palatino Linotype" w:eastAsia="Times New Roman" w:hAnsi="Palatino Linotype" w:cs="Times New Roman"/>
          <w:color w:val="222222"/>
          <w:sz w:val="24"/>
          <w:szCs w:val="24"/>
          <w:shd w:val="clear" w:color="auto" w:fill="FFFFFF"/>
          <w:lang w:eastAsia="es-ES"/>
        </w:rPr>
        <w:t>leyes aplicables.</w:t>
      </w:r>
    </w:p>
    <w:p w14:paraId="3642F10F" w14:textId="04A986E4" w:rsidR="00142E29" w:rsidRPr="00EA76E7" w:rsidRDefault="00142E29" w:rsidP="00142E29">
      <w:pPr>
        <w:pStyle w:val="Prrafodelista"/>
        <w:autoSpaceDE w:val="0"/>
        <w:autoSpaceDN w:val="0"/>
        <w:adjustRightInd w:val="0"/>
        <w:spacing w:before="240" w:after="160" w:line="360" w:lineRule="auto"/>
        <w:ind w:left="0"/>
        <w:jc w:val="both"/>
        <w:rPr>
          <w:rFonts w:ascii="Palatino Linotype" w:hAnsi="Palatino Linotype" w:cs="Arial"/>
          <w:sz w:val="22"/>
          <w:szCs w:val="22"/>
        </w:rPr>
      </w:pPr>
      <w:r w:rsidRPr="00EA76E7">
        <w:rPr>
          <w:rFonts w:ascii="Palatino Linotype" w:hAnsi="Palatino Linotype" w:cs="Arial"/>
          <w:sz w:val="22"/>
          <w:szCs w:val="22"/>
        </w:rPr>
        <w:t>ASÍ LO ACORDÓ, POR UNANIMIDAD DE VOTOS, EL PLENO DEL</w:t>
      </w:r>
      <w:r w:rsidRPr="00EA76E7">
        <w:rPr>
          <w:rFonts w:ascii="Palatino Linotype" w:eastAsia="Arial Unicode MS" w:hAnsi="Palatino Linotype" w:cs="Arial"/>
          <w:sz w:val="22"/>
          <w:szCs w:val="22"/>
        </w:rPr>
        <w:t xml:space="preserve"> INSTITUTO DE TRANSPARENCIA, ACCESO A LA INFORMACIÓN PÚBLICA Y PROTECCIÓN DE DATOS PERSONALES DEL ESTADO DE MÉXICO Y MUNICIPIOS</w:t>
      </w:r>
      <w:r w:rsidRPr="00EA76E7">
        <w:rPr>
          <w:rFonts w:ascii="Palatino Linotype" w:hAnsi="Palatino Linotype" w:cs="Arial"/>
          <w:sz w:val="22"/>
          <w:szCs w:val="22"/>
        </w:rPr>
        <w:t>, CONFORMADO POR LOS COMISIONADOS JOSÉ MARTÍNEZ VILCHIS, MARÍA DEL ROSARIO MEJÍA AYALA, SHARON CRISTINA MORALES MARTÍNEZ, LUIS GUSTAVO PARRA NORIEGA</w:t>
      </w:r>
      <w:r w:rsidR="002E525E">
        <w:rPr>
          <w:rFonts w:ascii="Palatino Linotype" w:hAnsi="Palatino Linotype" w:cs="Arial"/>
          <w:sz w:val="22"/>
          <w:szCs w:val="22"/>
        </w:rPr>
        <w:t xml:space="preserve"> EMITIENDO </w:t>
      </w:r>
      <w:r w:rsidR="004C3917" w:rsidRPr="00EA76E7">
        <w:rPr>
          <w:rFonts w:ascii="Palatino Linotype" w:hAnsi="Palatino Linotype" w:cs="Arial"/>
          <w:sz w:val="22"/>
          <w:szCs w:val="22"/>
        </w:rPr>
        <w:t xml:space="preserve">VOTO PARTICULAR </w:t>
      </w:r>
      <w:r w:rsidRPr="00EA76E7">
        <w:rPr>
          <w:rFonts w:ascii="Palatino Linotype" w:hAnsi="Palatino Linotype" w:cs="Arial"/>
          <w:sz w:val="22"/>
          <w:szCs w:val="22"/>
        </w:rPr>
        <w:t xml:space="preserve">Y GUADALUPE RAMÍREZ PEÑA; EN LA </w:t>
      </w:r>
      <w:r w:rsidR="00191585" w:rsidRPr="00EA76E7">
        <w:rPr>
          <w:rFonts w:ascii="Palatino Linotype" w:hAnsi="Palatino Linotype" w:cs="Arial"/>
          <w:sz w:val="22"/>
          <w:szCs w:val="22"/>
        </w:rPr>
        <w:t xml:space="preserve">CUADRAGÉSIMA </w:t>
      </w:r>
      <w:r w:rsidRPr="00EA76E7">
        <w:rPr>
          <w:rFonts w:ascii="Palatino Linotype" w:hAnsi="Palatino Linotype" w:cs="Arial"/>
          <w:sz w:val="22"/>
          <w:szCs w:val="22"/>
        </w:rPr>
        <w:t xml:space="preserve">SESIÓN ORDINARIA CELEBRADA EL </w:t>
      </w:r>
      <w:r w:rsidR="00191585" w:rsidRPr="00EA76E7">
        <w:rPr>
          <w:rFonts w:ascii="Palatino Linotype" w:hAnsi="Palatino Linotype" w:cs="Arial"/>
          <w:sz w:val="22"/>
          <w:szCs w:val="22"/>
        </w:rPr>
        <w:t>NUEVE</w:t>
      </w:r>
      <w:r w:rsidR="009F0D3C" w:rsidRPr="00EA76E7">
        <w:rPr>
          <w:rFonts w:ascii="Palatino Linotype" w:hAnsi="Palatino Linotype" w:cs="Arial"/>
          <w:sz w:val="22"/>
          <w:szCs w:val="22"/>
        </w:rPr>
        <w:t xml:space="preserve"> DE NOVIEMBRE</w:t>
      </w:r>
      <w:r w:rsidR="00543C35" w:rsidRPr="00EA76E7">
        <w:rPr>
          <w:rFonts w:ascii="Palatino Linotype" w:hAnsi="Palatino Linotype" w:cs="Arial"/>
          <w:sz w:val="22"/>
          <w:szCs w:val="22"/>
        </w:rPr>
        <w:t xml:space="preserve"> </w:t>
      </w:r>
      <w:r w:rsidRPr="00EA76E7">
        <w:rPr>
          <w:rFonts w:ascii="Palatino Linotype" w:hAnsi="Palatino Linotype" w:cs="Arial"/>
          <w:sz w:val="22"/>
          <w:szCs w:val="22"/>
        </w:rPr>
        <w:t>DE DOS MIL VEINTIDÓS, ANTE EL   SECRETARIO TÉCNICO D</w:t>
      </w:r>
      <w:r w:rsidR="002E525E">
        <w:rPr>
          <w:rFonts w:ascii="Palatino Linotype" w:hAnsi="Palatino Linotype" w:cs="Arial"/>
          <w:sz w:val="22"/>
          <w:szCs w:val="22"/>
        </w:rPr>
        <w:t>EL PLENO, ALEXIS TAPIA RAMÍREZ.-------------------------------------------------------------------------------------------------------------</w:t>
      </w:r>
    </w:p>
    <w:p w14:paraId="4126AA69" w14:textId="6D0F7420" w:rsidR="00142E29" w:rsidRPr="00EA76E7" w:rsidRDefault="00142E29" w:rsidP="00142E29">
      <w:pPr>
        <w:pStyle w:val="Prrafodelista"/>
        <w:autoSpaceDE w:val="0"/>
        <w:autoSpaceDN w:val="0"/>
        <w:adjustRightInd w:val="0"/>
        <w:spacing w:before="240" w:after="160" w:line="360" w:lineRule="auto"/>
        <w:ind w:left="0"/>
        <w:jc w:val="both"/>
        <w:rPr>
          <w:rFonts w:ascii="Palatino Linotype" w:hAnsi="Palatino Linotype"/>
          <w:bCs/>
          <w:sz w:val="18"/>
          <w:szCs w:val="18"/>
        </w:rPr>
      </w:pPr>
      <w:r w:rsidRPr="00EA76E7">
        <w:rPr>
          <w:rFonts w:ascii="Palatino Linotype" w:hAnsi="Palatino Linotype"/>
          <w:bCs/>
          <w:sz w:val="18"/>
          <w:szCs w:val="18"/>
        </w:rPr>
        <w:t>CCR/JCMA</w:t>
      </w:r>
    </w:p>
    <w:p w14:paraId="03644F72" w14:textId="70B3699B" w:rsidR="00142E29" w:rsidRDefault="00142E29" w:rsidP="00142E29">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C139BBE" w14:textId="33EFFA47" w:rsidR="00142E29" w:rsidRDefault="00142E29" w:rsidP="00142E29">
      <w:pPr>
        <w:pStyle w:val="Citas"/>
        <w:ind w:left="0" w:right="0"/>
        <w:rPr>
          <w:i w:val="0"/>
          <w:sz w:val="24"/>
          <w:szCs w:val="24"/>
        </w:rPr>
      </w:pPr>
    </w:p>
    <w:p w14:paraId="074A9B46" w14:textId="77777777" w:rsidR="00142E29" w:rsidRDefault="00142E29" w:rsidP="00142E29">
      <w:pPr>
        <w:pStyle w:val="Citas"/>
        <w:ind w:left="0" w:right="0"/>
        <w:rPr>
          <w:i w:val="0"/>
          <w:sz w:val="24"/>
          <w:szCs w:val="24"/>
        </w:rPr>
      </w:pPr>
    </w:p>
    <w:p w14:paraId="54337856" w14:textId="77777777" w:rsidR="00142E29" w:rsidRPr="008758F8" w:rsidRDefault="00142E29" w:rsidP="00142E29">
      <w:pPr>
        <w:pStyle w:val="Citas"/>
        <w:ind w:left="0" w:right="0"/>
        <w:rPr>
          <w:i w:val="0"/>
          <w:sz w:val="24"/>
          <w:szCs w:val="24"/>
        </w:rPr>
      </w:pPr>
    </w:p>
    <w:p w14:paraId="559C6604" w14:textId="77777777" w:rsidR="00142E29" w:rsidRDefault="00142E29" w:rsidP="00142E29">
      <w:pPr>
        <w:pStyle w:val="Citas"/>
        <w:ind w:left="0" w:right="0"/>
        <w:rPr>
          <w:i w:val="0"/>
          <w:sz w:val="24"/>
          <w:szCs w:val="24"/>
        </w:rPr>
      </w:pPr>
    </w:p>
    <w:p w14:paraId="6C027B12" w14:textId="77777777" w:rsidR="00142E29" w:rsidRDefault="00142E29" w:rsidP="00142E29">
      <w:pPr>
        <w:pStyle w:val="Citas"/>
        <w:ind w:left="0" w:right="0"/>
        <w:rPr>
          <w:i w:val="0"/>
          <w:sz w:val="24"/>
          <w:szCs w:val="24"/>
        </w:rPr>
      </w:pPr>
    </w:p>
    <w:p w14:paraId="45C54258" w14:textId="77777777" w:rsidR="00142E29" w:rsidRPr="00142E29" w:rsidRDefault="00142E29" w:rsidP="00142E29">
      <w:pPr>
        <w:spacing w:before="240" w:line="360" w:lineRule="auto"/>
        <w:jc w:val="both"/>
        <w:rPr>
          <w:rFonts w:ascii="Palatino Linotype" w:hAnsi="Palatino Linotype" w:cs="Arial"/>
          <w:i/>
        </w:rPr>
      </w:pPr>
    </w:p>
    <w:p w14:paraId="606F63FD" w14:textId="77777777" w:rsidR="00106713" w:rsidRPr="003D70F6" w:rsidRDefault="00106713" w:rsidP="006E7EEE">
      <w:pPr>
        <w:spacing w:after="0" w:line="360" w:lineRule="auto"/>
        <w:jc w:val="both"/>
        <w:rPr>
          <w:rFonts w:ascii="Palatino Linotype" w:hAnsi="Palatino Linotype"/>
          <w:sz w:val="24"/>
          <w:szCs w:val="24"/>
          <w:lang w:val="es-ES"/>
        </w:rPr>
      </w:pPr>
    </w:p>
    <w:p w14:paraId="58628F0A" w14:textId="77777777" w:rsidR="00106713" w:rsidRDefault="00106713" w:rsidP="006E7EEE">
      <w:pPr>
        <w:spacing w:after="0" w:line="360" w:lineRule="auto"/>
        <w:jc w:val="both"/>
        <w:rPr>
          <w:rFonts w:ascii="Palatino Linotype" w:hAnsi="Palatino Linotype"/>
          <w:sz w:val="24"/>
          <w:szCs w:val="24"/>
        </w:rPr>
      </w:pPr>
    </w:p>
    <w:p w14:paraId="3C01DB6D" w14:textId="2E4BBE4A"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ACFE09F" w14:textId="03E8EF09"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A26D362" w14:textId="5E882965"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8A8FCE2" w14:textId="75FA20DF"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7CC02C0" w14:textId="08923D6B"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sectPr w:rsidR="00394873" w:rsidSect="00FB4AAD">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D3AD02" w14:textId="77777777" w:rsidR="003E098D" w:rsidRDefault="003E098D" w:rsidP="006168E4">
      <w:pPr>
        <w:spacing w:after="0" w:line="240" w:lineRule="auto"/>
      </w:pPr>
      <w:r>
        <w:separator/>
      </w:r>
    </w:p>
  </w:endnote>
  <w:endnote w:type="continuationSeparator" w:id="0">
    <w:p w14:paraId="6BB255BD" w14:textId="77777777" w:rsidR="003E098D" w:rsidRDefault="003E098D"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FBF03E" w14:textId="77077E4F"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E6104">
      <w:rPr>
        <w:rFonts w:ascii="Palatino Linotype" w:hAnsi="Palatino Linotype"/>
        <w:bCs/>
        <w:noProof/>
        <w:sz w:val="20"/>
      </w:rPr>
      <w:t>57</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E6104">
      <w:rPr>
        <w:rFonts w:ascii="Palatino Linotype" w:hAnsi="Palatino Linotype"/>
        <w:bCs/>
        <w:noProof/>
        <w:sz w:val="20"/>
      </w:rPr>
      <w:t>57</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FF2FDF" w14:textId="685D5A68"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E6104">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E6104">
      <w:rPr>
        <w:rFonts w:ascii="Palatino Linotype" w:hAnsi="Palatino Linotype"/>
        <w:bCs/>
        <w:noProof/>
        <w:sz w:val="20"/>
      </w:rPr>
      <w:t>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67075B" w14:textId="77777777" w:rsidR="003E098D" w:rsidRDefault="003E098D" w:rsidP="006168E4">
      <w:pPr>
        <w:spacing w:after="0" w:line="240" w:lineRule="auto"/>
      </w:pPr>
      <w:r>
        <w:separator/>
      </w:r>
    </w:p>
  </w:footnote>
  <w:footnote w:type="continuationSeparator" w:id="0">
    <w:p w14:paraId="2DEF981C" w14:textId="77777777" w:rsidR="003E098D" w:rsidRDefault="003E098D" w:rsidP="006168E4">
      <w:pPr>
        <w:spacing w:after="0" w:line="240" w:lineRule="auto"/>
      </w:pPr>
      <w:r>
        <w:continuationSeparator/>
      </w:r>
    </w:p>
  </w:footnote>
  <w:footnote w:id="1">
    <w:p w14:paraId="53A51CDF" w14:textId="77777777" w:rsidR="001659F5" w:rsidRPr="005552A8" w:rsidRDefault="001659F5" w:rsidP="001659F5">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00518948" w14:textId="77777777" w:rsidR="001659F5" w:rsidRPr="005552A8" w:rsidRDefault="001659F5" w:rsidP="001659F5">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6F6472F0" w14:textId="77777777" w:rsidR="001E3F4C" w:rsidRPr="000553F9" w:rsidRDefault="001E3F4C" w:rsidP="001E3F4C">
      <w:pPr>
        <w:pStyle w:val="Textonotapie"/>
        <w:jc w:val="both"/>
        <w:rPr>
          <w:color w:val="000000" w:themeColor="text1"/>
          <w:lang w:val="es-ES"/>
        </w:rPr>
      </w:pPr>
      <w:r w:rsidRPr="000553F9">
        <w:rPr>
          <w:rStyle w:val="Refdenotaalpie"/>
          <w:color w:val="000000" w:themeColor="text1"/>
        </w:rPr>
        <w:footnoteRef/>
      </w:r>
      <w:r w:rsidRPr="000553F9">
        <w:rPr>
          <w:color w:val="000000" w:themeColor="text1"/>
        </w:rPr>
        <w:t xml:space="preserve"> </w:t>
      </w:r>
      <w:hyperlink r:id="rId3" w:anchor="/entry-id/E216930" w:history="1">
        <w:r w:rsidRPr="000553F9">
          <w:rPr>
            <w:rStyle w:val="Hipervnculo"/>
            <w:color w:val="000000" w:themeColor="text1"/>
          </w:rPr>
          <w:t>http://dej.rae.es/#/entry-id/E216930</w:t>
        </w:r>
      </w:hyperlink>
      <w:r w:rsidRPr="000553F9">
        <w:rPr>
          <w:color w:val="000000" w:themeColor="text1"/>
        </w:rPr>
        <w:t xml:space="preserve"> </w:t>
      </w:r>
    </w:p>
  </w:footnote>
  <w:footnote w:id="3">
    <w:p w14:paraId="7B9A4C1B" w14:textId="77777777" w:rsidR="001E3F4C" w:rsidRPr="000553F9" w:rsidRDefault="001E3F4C" w:rsidP="001E3F4C">
      <w:pPr>
        <w:pStyle w:val="Textonotapie"/>
        <w:jc w:val="both"/>
        <w:rPr>
          <w:color w:val="000000" w:themeColor="text1"/>
          <w:lang w:val="es-ES"/>
        </w:rPr>
      </w:pPr>
      <w:r w:rsidRPr="000553F9">
        <w:rPr>
          <w:rStyle w:val="Refdenotaalpie"/>
          <w:color w:val="000000" w:themeColor="text1"/>
        </w:rPr>
        <w:footnoteRef/>
      </w:r>
      <w:r w:rsidRPr="000553F9">
        <w:rPr>
          <w:color w:val="000000" w:themeColor="text1"/>
        </w:rPr>
        <w:t xml:space="preserve"> </w:t>
      </w:r>
      <w:hyperlink r:id="rId4" w:anchor="/entry-id/E87450" w:history="1">
        <w:r w:rsidRPr="000553F9">
          <w:rPr>
            <w:rStyle w:val="Hipervnculo"/>
            <w:color w:val="000000" w:themeColor="text1"/>
          </w:rPr>
          <w:t>http://dej.rae.es/#/entry-id/E87450</w:t>
        </w:r>
      </w:hyperlink>
      <w:r w:rsidRPr="000553F9">
        <w:rPr>
          <w:color w:val="000000" w:themeColor="text1"/>
        </w:rPr>
        <w:t xml:space="preserve"> </w:t>
      </w:r>
    </w:p>
  </w:footnote>
  <w:footnote w:id="4">
    <w:p w14:paraId="6966AFCD" w14:textId="77777777" w:rsidR="001E3F4C" w:rsidRPr="000553F9" w:rsidRDefault="001E3F4C" w:rsidP="001E3F4C">
      <w:pPr>
        <w:pStyle w:val="Textonotapie"/>
        <w:jc w:val="both"/>
        <w:rPr>
          <w:color w:val="000000" w:themeColor="text1"/>
          <w:lang w:val="es-ES"/>
        </w:rPr>
      </w:pPr>
      <w:r w:rsidRPr="000553F9">
        <w:rPr>
          <w:rStyle w:val="Refdenotaalpie"/>
          <w:color w:val="000000" w:themeColor="text1"/>
        </w:rPr>
        <w:footnoteRef/>
      </w:r>
      <w:r w:rsidRPr="000553F9">
        <w:rPr>
          <w:color w:val="000000" w:themeColor="text1"/>
        </w:rPr>
        <w:t xml:space="preserve"> </w:t>
      </w:r>
      <w:hyperlink r:id="rId5" w:history="1">
        <w:r w:rsidRPr="000553F9">
          <w:rPr>
            <w:rStyle w:val="Hipervnculo"/>
            <w:color w:val="000000" w:themeColor="text1"/>
          </w:rPr>
          <w:t>http://dle.rae.es/?id=VGqyuLj|VGtxgAo|VGuc9Wg</w:t>
        </w:r>
      </w:hyperlink>
      <w:r w:rsidRPr="000553F9">
        <w:rPr>
          <w:color w:val="000000" w:themeColor="text1"/>
        </w:rPr>
        <w:t xml:space="preserve"> </w:t>
      </w:r>
    </w:p>
  </w:footnote>
  <w:footnote w:id="5">
    <w:p w14:paraId="23733F64" w14:textId="77777777" w:rsidR="001E3F4C" w:rsidRPr="000553F9" w:rsidRDefault="001E3F4C" w:rsidP="001E3F4C">
      <w:pPr>
        <w:pStyle w:val="Textonotapie"/>
        <w:jc w:val="both"/>
        <w:rPr>
          <w:color w:val="000000" w:themeColor="text1"/>
          <w:lang w:val="es-ES"/>
        </w:rPr>
      </w:pPr>
      <w:r w:rsidRPr="000553F9">
        <w:rPr>
          <w:rStyle w:val="Refdenotaalpie"/>
          <w:color w:val="000000" w:themeColor="text1"/>
        </w:rPr>
        <w:footnoteRef/>
      </w:r>
      <w:r w:rsidRPr="000553F9">
        <w:rPr>
          <w:color w:val="000000" w:themeColor="text1"/>
        </w:rPr>
        <w:t xml:space="preserve"> </w:t>
      </w:r>
      <w:hyperlink r:id="rId6" w:history="1">
        <w:r w:rsidRPr="000553F9">
          <w:rPr>
            <w:rStyle w:val="Hipervnculo"/>
            <w:color w:val="000000" w:themeColor="text1"/>
          </w:rPr>
          <w:t>http://dle.rae.es/?id=CAjNzMR</w:t>
        </w:r>
      </w:hyperlink>
      <w:r w:rsidRPr="000553F9">
        <w:rPr>
          <w:color w:val="000000" w:themeColor="text1"/>
        </w:rPr>
        <w:t xml:space="preserve"> </w:t>
      </w:r>
    </w:p>
  </w:footnote>
  <w:footnote w:id="6">
    <w:p w14:paraId="175392BB" w14:textId="77777777" w:rsidR="001E3F4C" w:rsidRPr="000553F9" w:rsidRDefault="001E3F4C" w:rsidP="001E3F4C">
      <w:pPr>
        <w:pStyle w:val="Textonotapie"/>
        <w:jc w:val="both"/>
        <w:rPr>
          <w:color w:val="000000" w:themeColor="text1"/>
          <w:lang w:val="es-ES"/>
        </w:rPr>
      </w:pPr>
      <w:r w:rsidRPr="000553F9">
        <w:rPr>
          <w:rStyle w:val="Refdenotaalpie"/>
          <w:color w:val="000000" w:themeColor="text1"/>
        </w:rPr>
        <w:footnoteRef/>
      </w:r>
      <w:r w:rsidRPr="000553F9">
        <w:rPr>
          <w:color w:val="000000" w:themeColor="text1"/>
        </w:rPr>
        <w:t xml:space="preserve"> </w:t>
      </w:r>
      <w:hyperlink r:id="rId7" w:history="1">
        <w:r w:rsidRPr="000553F9">
          <w:rPr>
            <w:rStyle w:val="Hipervnculo"/>
            <w:color w:val="000000" w:themeColor="text1"/>
          </w:rPr>
          <w:t>http://dle.rae.es/?id=CAqWkEB</w:t>
        </w:r>
      </w:hyperlink>
      <w:r w:rsidRPr="000553F9">
        <w:rPr>
          <w:color w:val="000000" w:themeColor="text1"/>
        </w:rPr>
        <w:t xml:space="preserve"> </w:t>
      </w:r>
    </w:p>
  </w:footnote>
  <w:footnote w:id="7">
    <w:p w14:paraId="7C30DAA2" w14:textId="77777777" w:rsidR="001E3F4C" w:rsidRPr="000553F9" w:rsidRDefault="001E3F4C" w:rsidP="001E3F4C">
      <w:pPr>
        <w:pStyle w:val="Textonotapie"/>
        <w:jc w:val="both"/>
        <w:rPr>
          <w:color w:val="000000" w:themeColor="text1"/>
          <w:lang w:val="es-ES"/>
        </w:rPr>
      </w:pPr>
      <w:r w:rsidRPr="000553F9">
        <w:rPr>
          <w:rStyle w:val="Refdenotaalpie"/>
          <w:color w:val="000000" w:themeColor="text1"/>
        </w:rPr>
        <w:footnoteRef/>
      </w:r>
      <w:r w:rsidRPr="000553F9">
        <w:rPr>
          <w:color w:val="000000" w:themeColor="text1"/>
        </w:rPr>
        <w:t xml:space="preserve"> </w:t>
      </w:r>
      <w:hyperlink r:id="rId8" w:history="1">
        <w:r w:rsidRPr="000553F9">
          <w:rPr>
            <w:rStyle w:val="Hipervnculo"/>
            <w:color w:val="000000" w:themeColor="text1"/>
          </w:rPr>
          <w:t>http://dle.rae.es/?id=KtnHLLd</w:t>
        </w:r>
      </w:hyperlink>
      <w:r w:rsidRPr="000553F9">
        <w:rPr>
          <w:color w:val="000000" w:themeColor="text1"/>
        </w:rPr>
        <w:t xml:space="preserve"> </w:t>
      </w:r>
    </w:p>
  </w:footnote>
  <w:footnote w:id="8">
    <w:p w14:paraId="79407CB9" w14:textId="77777777" w:rsidR="001E3F4C" w:rsidRPr="000406A4" w:rsidRDefault="001E3F4C" w:rsidP="001E3F4C">
      <w:pPr>
        <w:pStyle w:val="Textonotapie"/>
        <w:jc w:val="both"/>
        <w:rPr>
          <w:lang w:val="es-ES"/>
        </w:rPr>
      </w:pPr>
      <w:r w:rsidRPr="000553F9">
        <w:rPr>
          <w:rStyle w:val="Refdenotaalpie"/>
          <w:color w:val="000000" w:themeColor="text1"/>
        </w:rPr>
        <w:footnoteRef/>
      </w:r>
      <w:r w:rsidRPr="000553F9">
        <w:rPr>
          <w:color w:val="000000" w:themeColor="text1"/>
        </w:rPr>
        <w:t xml:space="preserve"> </w:t>
      </w:r>
      <w:hyperlink r:id="rId9" w:history="1">
        <w:r w:rsidRPr="000553F9">
          <w:rPr>
            <w:rStyle w:val="Hipervnculo"/>
            <w:color w:val="000000" w:themeColor="text1"/>
          </w:rPr>
          <w:t>http://dle.rae.es/?id=KtpfgjV</w:t>
        </w:r>
      </w:hyperlink>
      <w:r w:rsidRPr="000553F9">
        <w:rPr>
          <w:color w:val="000000" w:themeColor="text1"/>
        </w:rPr>
        <w:t xml:space="preserve"> </w:t>
      </w:r>
    </w:p>
  </w:footnote>
  <w:footnote w:id="9">
    <w:p w14:paraId="39FDB96C" w14:textId="77777777" w:rsidR="001E3F4C" w:rsidRPr="00D75A73" w:rsidRDefault="001E3F4C" w:rsidP="001E3F4C">
      <w:pPr>
        <w:jc w:val="both"/>
        <w:rPr>
          <w:rFonts w:ascii="Palatino Linotype" w:eastAsia="Times New Roman" w:hAnsi="Palatino Linotype" w:cs="Times New Roman"/>
          <w:color w:val="000000" w:themeColor="text1"/>
          <w:sz w:val="16"/>
          <w:szCs w:val="16"/>
          <w:lang w:val="es-ES_tradnl" w:eastAsia="es-ES_tradnl"/>
        </w:rPr>
      </w:pPr>
      <w:r w:rsidRPr="00D75A73">
        <w:rPr>
          <w:rStyle w:val="Refdenotaalpie"/>
          <w:rFonts w:ascii="Palatino Linotype" w:hAnsi="Palatino Linotype"/>
          <w:color w:val="000000" w:themeColor="text1"/>
          <w:sz w:val="16"/>
          <w:szCs w:val="16"/>
        </w:rPr>
        <w:footnoteRef/>
      </w:r>
      <w:r w:rsidRPr="00D75A73">
        <w:rPr>
          <w:rFonts w:ascii="Palatino Linotype" w:hAnsi="Palatino Linotype"/>
          <w:color w:val="000000" w:themeColor="text1"/>
          <w:sz w:val="16"/>
          <w:szCs w:val="16"/>
        </w:rPr>
        <w:t xml:space="preserve"> </w:t>
      </w:r>
      <w:r w:rsidRPr="00D75A73">
        <w:rPr>
          <w:rFonts w:ascii="Palatino Linotype" w:hAnsi="Palatino Linotype"/>
          <w:color w:val="000000" w:themeColor="text1"/>
          <w:sz w:val="16"/>
          <w:szCs w:val="16"/>
          <w:lang w:val="es-ES"/>
        </w:rPr>
        <w:t>“</w:t>
      </w:r>
      <w:r w:rsidRPr="00D75A73">
        <w:rPr>
          <w:rFonts w:ascii="Palatino Linotype" w:eastAsia="Times New Roman" w:hAnsi="Palatino Linotype" w:cs="Arial"/>
          <w:color w:val="000000" w:themeColor="text1"/>
          <w:sz w:val="16"/>
          <w:szCs w:val="16"/>
          <w:lang w:val="es-ES_tradnl" w:eastAsia="es-ES_tradnl"/>
        </w:rPr>
        <w:t>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10">
    <w:p w14:paraId="55BF3395" w14:textId="77777777" w:rsidR="001E3F4C" w:rsidRPr="00D75A73" w:rsidRDefault="001E3F4C" w:rsidP="001E3F4C">
      <w:pPr>
        <w:pStyle w:val="Textonotapie"/>
        <w:rPr>
          <w:rFonts w:ascii="Palatino Linotype" w:hAnsi="Palatino Linotype"/>
          <w:color w:val="000000" w:themeColor="text1"/>
          <w:sz w:val="16"/>
          <w:szCs w:val="16"/>
          <w:lang w:val="es-ES"/>
        </w:rPr>
      </w:pPr>
      <w:r w:rsidRPr="00D75A73">
        <w:rPr>
          <w:rStyle w:val="Refdenotaalpie"/>
          <w:rFonts w:ascii="Palatino Linotype" w:hAnsi="Palatino Linotype"/>
          <w:color w:val="000000" w:themeColor="text1"/>
          <w:sz w:val="16"/>
          <w:szCs w:val="16"/>
        </w:rPr>
        <w:footnoteRef/>
      </w:r>
      <w:r w:rsidRPr="00D75A73">
        <w:rPr>
          <w:rFonts w:ascii="Palatino Linotype" w:hAnsi="Palatino Linotype"/>
          <w:color w:val="000000" w:themeColor="text1"/>
          <w:sz w:val="16"/>
          <w:szCs w:val="16"/>
        </w:rPr>
        <w:t xml:space="preserve"> </w:t>
      </w:r>
      <w:r w:rsidRPr="00D75A73">
        <w:rPr>
          <w:rFonts w:ascii="Palatino Linotype" w:hAnsi="Palatino Linotype"/>
          <w:color w:val="000000" w:themeColor="text1"/>
          <w:sz w:val="16"/>
          <w:szCs w:val="16"/>
          <w:lang w:val="es-ES"/>
        </w:rPr>
        <w:t>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D0733F"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EC0D16C" wp14:editId="662EEEA7">
          <wp:simplePos x="0" y="0"/>
          <wp:positionH relativeFrom="page">
            <wp:posOffset>19974</wp:posOffset>
          </wp:positionH>
          <wp:positionV relativeFrom="page">
            <wp:posOffset>15801</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C70B4A" w14:paraId="1EC9A00A" w14:textId="77777777" w:rsidTr="009B28E9">
      <w:trPr>
        <w:trHeight w:val="227"/>
      </w:trPr>
      <w:tc>
        <w:tcPr>
          <w:tcW w:w="5529" w:type="dxa"/>
          <w:hideMark/>
        </w:tcPr>
        <w:p w14:paraId="54E20D87"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F2DE57B" w14:textId="552BAE01" w:rsidR="00C70B4A" w:rsidRPr="00B4142F" w:rsidRDefault="00E01289"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13345</w:t>
          </w:r>
          <w:r w:rsidR="00C70B4A">
            <w:rPr>
              <w:rFonts w:ascii="Palatino Linotype" w:hAnsi="Palatino Linotype" w:cs="Arial"/>
              <w:bCs/>
              <w:sz w:val="24"/>
              <w:lang w:eastAsia="es-MX"/>
            </w:rPr>
            <w:t xml:space="preserve">/INFOEM/IP/RR/2022 </w:t>
          </w:r>
        </w:p>
      </w:tc>
    </w:tr>
    <w:tr w:rsidR="00C70B4A" w14:paraId="55FEBD54" w14:textId="77777777" w:rsidTr="009B28E9">
      <w:trPr>
        <w:trHeight w:val="242"/>
      </w:trPr>
      <w:tc>
        <w:tcPr>
          <w:tcW w:w="5529" w:type="dxa"/>
          <w:hideMark/>
        </w:tcPr>
        <w:p w14:paraId="380D58F4"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31A60C1" w14:textId="06B72366" w:rsidR="00C70B4A" w:rsidRPr="00F06FED" w:rsidRDefault="00E01289" w:rsidP="00C01E1C">
          <w:pPr>
            <w:spacing w:after="120" w:line="256" w:lineRule="auto"/>
            <w:ind w:left="639" w:right="214"/>
            <w:jc w:val="both"/>
            <w:rPr>
              <w:rFonts w:ascii="Palatino Linotype" w:hAnsi="Palatino Linotype" w:cs="Arial"/>
            </w:rPr>
          </w:pPr>
          <w:r>
            <w:rPr>
              <w:rFonts w:ascii="Palatino Linotype" w:hAnsi="Palatino Linotype" w:cs="Arial"/>
              <w:szCs w:val="20"/>
            </w:rPr>
            <w:t>Organismo Público Descentralizado para la Prestación de Los Servicios de Agua Potable Drenaje y Tratamiento de Aguas Residuales del Municipio de Huixquilucan México, denominado “Sistema Aguas de Huixquilucan”</w:t>
          </w:r>
        </w:p>
      </w:tc>
    </w:tr>
    <w:tr w:rsidR="00C70B4A" w14:paraId="21314286" w14:textId="77777777" w:rsidTr="009B28E9">
      <w:trPr>
        <w:trHeight w:val="342"/>
      </w:trPr>
      <w:tc>
        <w:tcPr>
          <w:tcW w:w="5529" w:type="dxa"/>
          <w:hideMark/>
        </w:tcPr>
        <w:p w14:paraId="28B22B0A" w14:textId="77777777" w:rsidR="00C70B4A" w:rsidRDefault="00C70B4A"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629EB35" w14:textId="77777777" w:rsidR="00C70B4A" w:rsidRDefault="00C70B4A"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79D1C23A" w14:textId="77777777" w:rsidR="00C70B4A" w:rsidRDefault="00C70B4A">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C70B4A" w14:paraId="42D97161" w14:textId="77777777" w:rsidTr="009B28E9">
      <w:trPr>
        <w:trHeight w:val="227"/>
      </w:trPr>
      <w:tc>
        <w:tcPr>
          <w:tcW w:w="5529" w:type="dxa"/>
          <w:hideMark/>
        </w:tcPr>
        <w:p w14:paraId="079C0A7D"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084B110A" w14:textId="6CC532A3" w:rsidR="00C70B4A" w:rsidRPr="00B4142F" w:rsidRDefault="00E01289"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13345</w:t>
          </w:r>
          <w:r w:rsidR="00C70B4A">
            <w:rPr>
              <w:rFonts w:ascii="Palatino Linotype" w:hAnsi="Palatino Linotype" w:cs="Arial"/>
              <w:bCs/>
              <w:sz w:val="24"/>
              <w:lang w:eastAsia="es-MX"/>
            </w:rPr>
            <w:t xml:space="preserve">/INFOEM/IP/RR/2022 </w:t>
          </w:r>
        </w:p>
      </w:tc>
    </w:tr>
    <w:tr w:rsidR="00C70B4A" w14:paraId="36CDA2D2" w14:textId="77777777" w:rsidTr="009B28E9">
      <w:trPr>
        <w:trHeight w:val="196"/>
      </w:trPr>
      <w:tc>
        <w:tcPr>
          <w:tcW w:w="5529" w:type="dxa"/>
          <w:hideMark/>
        </w:tcPr>
        <w:p w14:paraId="2ADF7609"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9C006B1" w14:textId="6DC80F7D" w:rsidR="00C70B4A" w:rsidRPr="00F06FED" w:rsidRDefault="008E6104" w:rsidP="00CC0C5F">
          <w:pPr>
            <w:spacing w:after="120" w:line="256" w:lineRule="auto"/>
            <w:ind w:left="639" w:right="214"/>
            <w:jc w:val="both"/>
            <w:rPr>
              <w:rFonts w:ascii="Palatino Linotype" w:hAnsi="Palatino Linotype" w:cs="Arial"/>
            </w:rPr>
          </w:pPr>
          <w:r>
            <w:rPr>
              <w:rFonts w:ascii="Palatino Linotype" w:hAnsi="Palatino Linotype" w:cs="Arial"/>
            </w:rPr>
            <w:t>XXXXXXXXXXXXXXXXXX</w:t>
          </w:r>
        </w:p>
      </w:tc>
    </w:tr>
    <w:tr w:rsidR="00C70B4A" w14:paraId="652F9A44" w14:textId="77777777" w:rsidTr="009B28E9">
      <w:trPr>
        <w:trHeight w:val="242"/>
      </w:trPr>
      <w:tc>
        <w:tcPr>
          <w:tcW w:w="5529" w:type="dxa"/>
          <w:hideMark/>
        </w:tcPr>
        <w:p w14:paraId="09EC290F"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3EFE4F6" w14:textId="653947F1" w:rsidR="00C70B4A" w:rsidRDefault="00E01289" w:rsidP="00C01E1C">
          <w:pPr>
            <w:spacing w:after="120" w:line="256" w:lineRule="auto"/>
            <w:ind w:left="639" w:right="214"/>
            <w:jc w:val="both"/>
            <w:rPr>
              <w:rFonts w:ascii="Palatino Linotype" w:hAnsi="Palatino Linotype" w:cs="Arial"/>
              <w:szCs w:val="20"/>
            </w:rPr>
          </w:pPr>
          <w:r>
            <w:rPr>
              <w:rFonts w:ascii="Palatino Linotype" w:hAnsi="Palatino Linotype" w:cs="Arial"/>
              <w:szCs w:val="20"/>
            </w:rPr>
            <w:t>Organismo Público Descentralizado para la Prestación de Los Servicios de Agua Potable Drenaje y Tratamiento de Aguas Residuales del Municipio de Huixquilucan México, denominado “Sistema Aguas de Huixquilucan”</w:t>
          </w:r>
        </w:p>
      </w:tc>
    </w:tr>
    <w:tr w:rsidR="00C70B4A" w14:paraId="4476548B" w14:textId="77777777" w:rsidTr="009B28E9">
      <w:trPr>
        <w:trHeight w:val="342"/>
      </w:trPr>
      <w:tc>
        <w:tcPr>
          <w:tcW w:w="5529" w:type="dxa"/>
          <w:hideMark/>
        </w:tcPr>
        <w:p w14:paraId="6E3E07EE" w14:textId="77777777" w:rsidR="00C70B4A" w:rsidRDefault="00C70B4A"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CC31E82" w14:textId="77777777" w:rsidR="00C70B4A" w:rsidRDefault="00C70B4A"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0A9620E1"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31867561" wp14:editId="0E51D59F">
          <wp:simplePos x="0" y="0"/>
          <wp:positionH relativeFrom="page">
            <wp:posOffset>2309</wp:posOffset>
          </wp:positionH>
          <wp:positionV relativeFrom="page">
            <wp:posOffset>12733</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32E2B"/>
    <w:multiLevelType w:val="hybridMultilevel"/>
    <w:tmpl w:val="4C2CAED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5EE26A4"/>
    <w:multiLevelType w:val="hybridMultilevel"/>
    <w:tmpl w:val="7C0073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373BAA"/>
    <w:multiLevelType w:val="hybridMultilevel"/>
    <w:tmpl w:val="D7CAF8D8"/>
    <w:lvl w:ilvl="0" w:tplc="62BAE98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553230"/>
    <w:multiLevelType w:val="hybridMultilevel"/>
    <w:tmpl w:val="55061BD2"/>
    <w:lvl w:ilvl="0" w:tplc="C3CC1F08">
      <w:start w:val="1"/>
      <w:numFmt w:val="bullet"/>
      <w:lvlText w:val="-"/>
      <w:lvlJc w:val="left"/>
      <w:pPr>
        <w:ind w:left="1505" w:hanging="360"/>
      </w:pPr>
      <w:rPr>
        <w:rFonts w:ascii="Palatino Linotype" w:eastAsia="MS Mincho" w:hAnsi="Palatino Linotype" w:cs="Times New Roman"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4" w15:restartNumberingAfterBreak="0">
    <w:nsid w:val="0DF366B7"/>
    <w:multiLevelType w:val="hybridMultilevel"/>
    <w:tmpl w:val="C032CF0E"/>
    <w:lvl w:ilvl="0" w:tplc="C1463438">
      <w:start w:val="1"/>
      <w:numFmt w:val="bullet"/>
      <w:lvlText w:val="-"/>
      <w:lvlJc w:val="left"/>
      <w:pPr>
        <w:ind w:left="1080" w:hanging="360"/>
      </w:pPr>
      <w:rPr>
        <w:rFonts w:ascii="Palatino Linotype" w:eastAsia="Times New Roman" w:hAnsi="Palatino Linotype"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FD17680"/>
    <w:multiLevelType w:val="hybridMultilevel"/>
    <w:tmpl w:val="E0887FA0"/>
    <w:lvl w:ilvl="0" w:tplc="04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16F03D2"/>
    <w:multiLevelType w:val="hybridMultilevel"/>
    <w:tmpl w:val="8B1C25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1C141DA"/>
    <w:multiLevelType w:val="hybridMultilevel"/>
    <w:tmpl w:val="2606F9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D47BA0"/>
    <w:multiLevelType w:val="hybridMultilevel"/>
    <w:tmpl w:val="FA206ADA"/>
    <w:lvl w:ilvl="0" w:tplc="A77CAF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7B17F9"/>
    <w:multiLevelType w:val="hybridMultilevel"/>
    <w:tmpl w:val="CC8A6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520FD6"/>
    <w:multiLevelType w:val="hybridMultilevel"/>
    <w:tmpl w:val="53206A0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1" w15:restartNumberingAfterBreak="0">
    <w:nsid w:val="18790DEF"/>
    <w:multiLevelType w:val="hybridMultilevel"/>
    <w:tmpl w:val="973EB330"/>
    <w:lvl w:ilvl="0" w:tplc="04090001">
      <w:start w:val="1"/>
      <w:numFmt w:val="bullet"/>
      <w:lvlText w:val=""/>
      <w:lvlJc w:val="left"/>
      <w:pPr>
        <w:ind w:left="720" w:hanging="360"/>
      </w:pPr>
      <w:rPr>
        <w:rFonts w:ascii="Symbol" w:hAnsi="Symbol"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87B50D8"/>
    <w:multiLevelType w:val="hybridMultilevel"/>
    <w:tmpl w:val="7C729CE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1FA941C0"/>
    <w:multiLevelType w:val="hybridMultilevel"/>
    <w:tmpl w:val="D7CAF8D8"/>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A855B56"/>
    <w:multiLevelType w:val="hybridMultilevel"/>
    <w:tmpl w:val="720E24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CE512EC"/>
    <w:multiLevelType w:val="hybridMultilevel"/>
    <w:tmpl w:val="118203D2"/>
    <w:lvl w:ilvl="0" w:tplc="04090013">
      <w:start w:val="1"/>
      <w:numFmt w:val="upperRoman"/>
      <w:lvlText w:val="%1."/>
      <w:lvlJc w:val="right"/>
      <w:pPr>
        <w:ind w:left="782" w:hanging="360"/>
      </w:pPr>
    </w:lvl>
    <w:lvl w:ilvl="1" w:tplc="FFFFFFFF" w:tentative="1">
      <w:start w:val="1"/>
      <w:numFmt w:val="lowerLetter"/>
      <w:lvlText w:val="%2."/>
      <w:lvlJc w:val="left"/>
      <w:pPr>
        <w:ind w:left="1502" w:hanging="360"/>
      </w:pPr>
    </w:lvl>
    <w:lvl w:ilvl="2" w:tplc="FFFFFFFF" w:tentative="1">
      <w:start w:val="1"/>
      <w:numFmt w:val="lowerRoman"/>
      <w:lvlText w:val="%3."/>
      <w:lvlJc w:val="right"/>
      <w:pPr>
        <w:ind w:left="2222" w:hanging="180"/>
      </w:pPr>
    </w:lvl>
    <w:lvl w:ilvl="3" w:tplc="FFFFFFFF" w:tentative="1">
      <w:start w:val="1"/>
      <w:numFmt w:val="decimal"/>
      <w:lvlText w:val="%4."/>
      <w:lvlJc w:val="left"/>
      <w:pPr>
        <w:ind w:left="2942" w:hanging="360"/>
      </w:pPr>
    </w:lvl>
    <w:lvl w:ilvl="4" w:tplc="FFFFFFFF" w:tentative="1">
      <w:start w:val="1"/>
      <w:numFmt w:val="lowerLetter"/>
      <w:lvlText w:val="%5."/>
      <w:lvlJc w:val="left"/>
      <w:pPr>
        <w:ind w:left="3662" w:hanging="360"/>
      </w:pPr>
    </w:lvl>
    <w:lvl w:ilvl="5" w:tplc="FFFFFFFF" w:tentative="1">
      <w:start w:val="1"/>
      <w:numFmt w:val="lowerRoman"/>
      <w:lvlText w:val="%6."/>
      <w:lvlJc w:val="right"/>
      <w:pPr>
        <w:ind w:left="4382" w:hanging="180"/>
      </w:pPr>
    </w:lvl>
    <w:lvl w:ilvl="6" w:tplc="FFFFFFFF" w:tentative="1">
      <w:start w:val="1"/>
      <w:numFmt w:val="decimal"/>
      <w:lvlText w:val="%7."/>
      <w:lvlJc w:val="left"/>
      <w:pPr>
        <w:ind w:left="5102" w:hanging="360"/>
      </w:pPr>
    </w:lvl>
    <w:lvl w:ilvl="7" w:tplc="FFFFFFFF" w:tentative="1">
      <w:start w:val="1"/>
      <w:numFmt w:val="lowerLetter"/>
      <w:lvlText w:val="%8."/>
      <w:lvlJc w:val="left"/>
      <w:pPr>
        <w:ind w:left="5822" w:hanging="360"/>
      </w:pPr>
    </w:lvl>
    <w:lvl w:ilvl="8" w:tplc="FFFFFFFF" w:tentative="1">
      <w:start w:val="1"/>
      <w:numFmt w:val="lowerRoman"/>
      <w:lvlText w:val="%9."/>
      <w:lvlJc w:val="right"/>
      <w:pPr>
        <w:ind w:left="6542" w:hanging="180"/>
      </w:pPr>
    </w:lvl>
  </w:abstractNum>
  <w:abstractNum w:abstractNumId="16" w15:restartNumberingAfterBreak="0">
    <w:nsid w:val="2CF3237F"/>
    <w:multiLevelType w:val="hybridMultilevel"/>
    <w:tmpl w:val="E4F8AFF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37587446"/>
    <w:multiLevelType w:val="hybridMultilevel"/>
    <w:tmpl w:val="62304F5E"/>
    <w:lvl w:ilvl="0" w:tplc="7618E5F4">
      <w:start w:val="1"/>
      <w:numFmt w:val="bullet"/>
      <w:lvlText w:val="-"/>
      <w:lvlJc w:val="left"/>
      <w:pPr>
        <w:ind w:left="720" w:hanging="360"/>
      </w:pPr>
      <w:rPr>
        <w:rFonts w:ascii="Palatino Linotype" w:eastAsiaTheme="minorHAnsi" w:hAnsi="Palatino Linotyp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A15051"/>
    <w:multiLevelType w:val="hybridMultilevel"/>
    <w:tmpl w:val="57526F28"/>
    <w:lvl w:ilvl="0" w:tplc="6F466C28">
      <w:start w:val="5"/>
      <w:numFmt w:val="bullet"/>
      <w:lvlText w:val="-"/>
      <w:lvlJc w:val="left"/>
      <w:pPr>
        <w:ind w:left="720" w:hanging="360"/>
      </w:pPr>
      <w:rPr>
        <w:rFonts w:ascii="Palatino Linotype" w:eastAsia="Calibri" w:hAnsi="Palatino Linotype"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3013D05"/>
    <w:multiLevelType w:val="hybridMultilevel"/>
    <w:tmpl w:val="4C2CAE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E92300"/>
    <w:multiLevelType w:val="hybridMultilevel"/>
    <w:tmpl w:val="9D2E7758"/>
    <w:lvl w:ilvl="0" w:tplc="9DBEF8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2" w15:restartNumberingAfterBreak="0">
    <w:nsid w:val="4F5D5FF8"/>
    <w:multiLevelType w:val="hybridMultilevel"/>
    <w:tmpl w:val="F5FA2680"/>
    <w:lvl w:ilvl="0" w:tplc="6EF886C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AE5747"/>
    <w:multiLevelType w:val="hybridMultilevel"/>
    <w:tmpl w:val="00F2B616"/>
    <w:lvl w:ilvl="0" w:tplc="BCC2068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8317A4"/>
    <w:multiLevelType w:val="hybridMultilevel"/>
    <w:tmpl w:val="B3DE023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7040345"/>
    <w:multiLevelType w:val="hybridMultilevel"/>
    <w:tmpl w:val="ACB41264"/>
    <w:lvl w:ilvl="0" w:tplc="EDB8736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C76195"/>
    <w:multiLevelType w:val="hybridMultilevel"/>
    <w:tmpl w:val="A228850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7" w15:restartNumberingAfterBreak="0">
    <w:nsid w:val="5A7D370C"/>
    <w:multiLevelType w:val="hybridMultilevel"/>
    <w:tmpl w:val="3C2601E8"/>
    <w:lvl w:ilvl="0" w:tplc="96A2714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C21172E"/>
    <w:multiLevelType w:val="hybridMultilevel"/>
    <w:tmpl w:val="D85A9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7B0E29"/>
    <w:multiLevelType w:val="hybridMultilevel"/>
    <w:tmpl w:val="B40E0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CD7D9E"/>
    <w:multiLevelType w:val="hybridMultilevel"/>
    <w:tmpl w:val="CA7218B6"/>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1" w15:restartNumberingAfterBreak="0">
    <w:nsid w:val="619A0B0B"/>
    <w:multiLevelType w:val="hybridMultilevel"/>
    <w:tmpl w:val="B35C3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0F4BE2"/>
    <w:multiLevelType w:val="hybridMultilevel"/>
    <w:tmpl w:val="0F14E1AA"/>
    <w:lvl w:ilvl="0" w:tplc="080A000F">
      <w:start w:val="1"/>
      <w:numFmt w:val="decimal"/>
      <w:lvlText w:val="%1."/>
      <w:lvlJc w:val="left"/>
      <w:pPr>
        <w:ind w:left="782" w:hanging="360"/>
      </w:pPr>
    </w:lvl>
    <w:lvl w:ilvl="1" w:tplc="080A0019" w:tentative="1">
      <w:start w:val="1"/>
      <w:numFmt w:val="lowerLetter"/>
      <w:lvlText w:val="%2."/>
      <w:lvlJc w:val="left"/>
      <w:pPr>
        <w:ind w:left="1502" w:hanging="360"/>
      </w:pPr>
    </w:lvl>
    <w:lvl w:ilvl="2" w:tplc="080A001B" w:tentative="1">
      <w:start w:val="1"/>
      <w:numFmt w:val="lowerRoman"/>
      <w:lvlText w:val="%3."/>
      <w:lvlJc w:val="right"/>
      <w:pPr>
        <w:ind w:left="2222" w:hanging="180"/>
      </w:pPr>
    </w:lvl>
    <w:lvl w:ilvl="3" w:tplc="080A000F" w:tentative="1">
      <w:start w:val="1"/>
      <w:numFmt w:val="decimal"/>
      <w:lvlText w:val="%4."/>
      <w:lvlJc w:val="left"/>
      <w:pPr>
        <w:ind w:left="2942" w:hanging="360"/>
      </w:pPr>
    </w:lvl>
    <w:lvl w:ilvl="4" w:tplc="080A0019" w:tentative="1">
      <w:start w:val="1"/>
      <w:numFmt w:val="lowerLetter"/>
      <w:lvlText w:val="%5."/>
      <w:lvlJc w:val="left"/>
      <w:pPr>
        <w:ind w:left="3662" w:hanging="360"/>
      </w:pPr>
    </w:lvl>
    <w:lvl w:ilvl="5" w:tplc="080A001B" w:tentative="1">
      <w:start w:val="1"/>
      <w:numFmt w:val="lowerRoman"/>
      <w:lvlText w:val="%6."/>
      <w:lvlJc w:val="right"/>
      <w:pPr>
        <w:ind w:left="4382" w:hanging="180"/>
      </w:pPr>
    </w:lvl>
    <w:lvl w:ilvl="6" w:tplc="080A000F" w:tentative="1">
      <w:start w:val="1"/>
      <w:numFmt w:val="decimal"/>
      <w:lvlText w:val="%7."/>
      <w:lvlJc w:val="left"/>
      <w:pPr>
        <w:ind w:left="5102" w:hanging="360"/>
      </w:pPr>
    </w:lvl>
    <w:lvl w:ilvl="7" w:tplc="080A0019" w:tentative="1">
      <w:start w:val="1"/>
      <w:numFmt w:val="lowerLetter"/>
      <w:lvlText w:val="%8."/>
      <w:lvlJc w:val="left"/>
      <w:pPr>
        <w:ind w:left="5822" w:hanging="360"/>
      </w:pPr>
    </w:lvl>
    <w:lvl w:ilvl="8" w:tplc="080A001B" w:tentative="1">
      <w:start w:val="1"/>
      <w:numFmt w:val="lowerRoman"/>
      <w:lvlText w:val="%9."/>
      <w:lvlJc w:val="right"/>
      <w:pPr>
        <w:ind w:left="6542" w:hanging="180"/>
      </w:pPr>
    </w:lvl>
  </w:abstractNum>
  <w:abstractNum w:abstractNumId="33" w15:restartNumberingAfterBreak="0">
    <w:nsid w:val="652F101E"/>
    <w:multiLevelType w:val="hybridMultilevel"/>
    <w:tmpl w:val="284897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B055BD1"/>
    <w:multiLevelType w:val="hybridMultilevel"/>
    <w:tmpl w:val="92E86C8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C38729E"/>
    <w:multiLevelType w:val="hybridMultilevel"/>
    <w:tmpl w:val="EC6A3FEA"/>
    <w:lvl w:ilvl="0" w:tplc="8662C83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CAD653D"/>
    <w:multiLevelType w:val="hybridMultilevel"/>
    <w:tmpl w:val="8AD230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E405D67"/>
    <w:multiLevelType w:val="hybridMultilevel"/>
    <w:tmpl w:val="8D7E93C2"/>
    <w:lvl w:ilvl="0" w:tplc="1CAE86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26A1FB2"/>
    <w:multiLevelType w:val="hybridMultilevel"/>
    <w:tmpl w:val="3FB0C672"/>
    <w:lvl w:ilvl="0" w:tplc="D9F29CB0">
      <w:start w:val="1"/>
      <w:numFmt w:val="bullet"/>
      <w:lvlText w:val=""/>
      <w:lvlJc w:val="left"/>
      <w:pPr>
        <w:ind w:left="1440" w:hanging="360"/>
      </w:pPr>
      <w:rPr>
        <w:rFonts w:ascii="Symbol" w:hAnsi="Symbol"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9" w15:restartNumberingAfterBreak="0">
    <w:nsid w:val="76B562AA"/>
    <w:multiLevelType w:val="hybridMultilevel"/>
    <w:tmpl w:val="A78C12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76A7B6C"/>
    <w:multiLevelType w:val="hybridMultilevel"/>
    <w:tmpl w:val="8258E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06514E"/>
    <w:multiLevelType w:val="hybridMultilevel"/>
    <w:tmpl w:val="ABD0DF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FEA101E"/>
    <w:multiLevelType w:val="multilevel"/>
    <w:tmpl w:val="6FC09A30"/>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7"/>
  </w:num>
  <w:num w:numId="2">
    <w:abstractNumId w:val="34"/>
  </w:num>
  <w:num w:numId="3">
    <w:abstractNumId w:val="1"/>
  </w:num>
  <w:num w:numId="4">
    <w:abstractNumId w:val="6"/>
  </w:num>
  <w:num w:numId="5">
    <w:abstractNumId w:val="14"/>
  </w:num>
  <w:num w:numId="6">
    <w:abstractNumId w:val="41"/>
  </w:num>
  <w:num w:numId="7">
    <w:abstractNumId w:val="32"/>
  </w:num>
  <w:num w:numId="8">
    <w:abstractNumId w:val="39"/>
  </w:num>
  <w:num w:numId="9">
    <w:abstractNumId w:val="40"/>
  </w:num>
  <w:num w:numId="10">
    <w:abstractNumId w:val="35"/>
  </w:num>
  <w:num w:numId="11">
    <w:abstractNumId w:val="36"/>
  </w:num>
  <w:num w:numId="12">
    <w:abstractNumId w:val="12"/>
  </w:num>
  <w:num w:numId="13">
    <w:abstractNumId w:val="30"/>
  </w:num>
  <w:num w:numId="14">
    <w:abstractNumId w:val="31"/>
  </w:num>
  <w:num w:numId="15">
    <w:abstractNumId w:val="42"/>
  </w:num>
  <w:num w:numId="16">
    <w:abstractNumId w:val="2"/>
  </w:num>
  <w:num w:numId="17">
    <w:abstractNumId w:val="17"/>
  </w:num>
  <w:num w:numId="18">
    <w:abstractNumId w:val="28"/>
  </w:num>
  <w:num w:numId="19">
    <w:abstractNumId w:val="24"/>
  </w:num>
  <w:num w:numId="20">
    <w:abstractNumId w:val="8"/>
  </w:num>
  <w:num w:numId="21">
    <w:abstractNumId w:val="13"/>
  </w:num>
  <w:num w:numId="22">
    <w:abstractNumId w:val="11"/>
  </w:num>
  <w:num w:numId="23">
    <w:abstractNumId w:val="26"/>
  </w:num>
  <w:num w:numId="24">
    <w:abstractNumId w:val="29"/>
  </w:num>
  <w:num w:numId="25">
    <w:abstractNumId w:val="21"/>
  </w:num>
  <w:num w:numId="26">
    <w:abstractNumId w:val="37"/>
  </w:num>
  <w:num w:numId="27">
    <w:abstractNumId w:val="3"/>
  </w:num>
  <w:num w:numId="28">
    <w:abstractNumId w:val="25"/>
  </w:num>
  <w:num w:numId="29">
    <w:abstractNumId w:val="19"/>
  </w:num>
  <w:num w:numId="30">
    <w:abstractNumId w:val="22"/>
  </w:num>
  <w:num w:numId="31">
    <w:abstractNumId w:val="27"/>
  </w:num>
  <w:num w:numId="32">
    <w:abstractNumId w:val="0"/>
  </w:num>
  <w:num w:numId="33">
    <w:abstractNumId w:val="5"/>
  </w:num>
  <w:num w:numId="34">
    <w:abstractNumId w:val="10"/>
  </w:num>
  <w:num w:numId="35">
    <w:abstractNumId w:val="15"/>
  </w:num>
  <w:num w:numId="36">
    <w:abstractNumId w:val="18"/>
  </w:num>
  <w:num w:numId="37">
    <w:abstractNumId w:val="33"/>
  </w:num>
  <w:num w:numId="38">
    <w:abstractNumId w:val="23"/>
  </w:num>
  <w:num w:numId="39">
    <w:abstractNumId w:val="20"/>
  </w:num>
  <w:num w:numId="40">
    <w:abstractNumId w:val="4"/>
  </w:num>
  <w:num w:numId="41">
    <w:abstractNumId w:val="16"/>
  </w:num>
  <w:num w:numId="42">
    <w:abstractNumId w:val="38"/>
  </w:num>
  <w:num w:numId="43">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2DDF"/>
    <w:rsid w:val="000037E2"/>
    <w:rsid w:val="000061F8"/>
    <w:rsid w:val="00007BD9"/>
    <w:rsid w:val="00010F2B"/>
    <w:rsid w:val="0001225E"/>
    <w:rsid w:val="00014564"/>
    <w:rsid w:val="000170DF"/>
    <w:rsid w:val="00020A70"/>
    <w:rsid w:val="00021CBD"/>
    <w:rsid w:val="0002220E"/>
    <w:rsid w:val="00022604"/>
    <w:rsid w:val="000236FA"/>
    <w:rsid w:val="0002450B"/>
    <w:rsid w:val="00025509"/>
    <w:rsid w:val="0002766F"/>
    <w:rsid w:val="000306A7"/>
    <w:rsid w:val="00031C92"/>
    <w:rsid w:val="000363A2"/>
    <w:rsid w:val="0004199A"/>
    <w:rsid w:val="00045379"/>
    <w:rsid w:val="000461DF"/>
    <w:rsid w:val="00046AD8"/>
    <w:rsid w:val="00054BC2"/>
    <w:rsid w:val="00054DD0"/>
    <w:rsid w:val="00055224"/>
    <w:rsid w:val="0005543E"/>
    <w:rsid w:val="0005622A"/>
    <w:rsid w:val="0006076C"/>
    <w:rsid w:val="00060C0C"/>
    <w:rsid w:val="00060FB3"/>
    <w:rsid w:val="00061821"/>
    <w:rsid w:val="000623F9"/>
    <w:rsid w:val="00062482"/>
    <w:rsid w:val="00062D5C"/>
    <w:rsid w:val="00063A10"/>
    <w:rsid w:val="00063EFB"/>
    <w:rsid w:val="000662F8"/>
    <w:rsid w:val="00073E78"/>
    <w:rsid w:val="000758EF"/>
    <w:rsid w:val="00081988"/>
    <w:rsid w:val="00090AFC"/>
    <w:rsid w:val="00091552"/>
    <w:rsid w:val="00091C3A"/>
    <w:rsid w:val="000A2D37"/>
    <w:rsid w:val="000A3486"/>
    <w:rsid w:val="000A44C7"/>
    <w:rsid w:val="000A4DD1"/>
    <w:rsid w:val="000A70F8"/>
    <w:rsid w:val="000A71F4"/>
    <w:rsid w:val="000A733E"/>
    <w:rsid w:val="000A79DA"/>
    <w:rsid w:val="000B0B8F"/>
    <w:rsid w:val="000B1702"/>
    <w:rsid w:val="000B4B51"/>
    <w:rsid w:val="000B7158"/>
    <w:rsid w:val="000C1477"/>
    <w:rsid w:val="000C5B8B"/>
    <w:rsid w:val="000D0BC5"/>
    <w:rsid w:val="000D1B55"/>
    <w:rsid w:val="000D3C75"/>
    <w:rsid w:val="000D6116"/>
    <w:rsid w:val="000D7A3D"/>
    <w:rsid w:val="000D7B04"/>
    <w:rsid w:val="000E0557"/>
    <w:rsid w:val="000E0655"/>
    <w:rsid w:val="000E0A71"/>
    <w:rsid w:val="000E686B"/>
    <w:rsid w:val="000F3EE7"/>
    <w:rsid w:val="000F68B1"/>
    <w:rsid w:val="000F6F19"/>
    <w:rsid w:val="000F7AC2"/>
    <w:rsid w:val="00100E19"/>
    <w:rsid w:val="00102D69"/>
    <w:rsid w:val="00106713"/>
    <w:rsid w:val="00110EDB"/>
    <w:rsid w:val="00111DCD"/>
    <w:rsid w:val="00114CF9"/>
    <w:rsid w:val="0011564C"/>
    <w:rsid w:val="001167AA"/>
    <w:rsid w:val="00117157"/>
    <w:rsid w:val="00123898"/>
    <w:rsid w:val="00124855"/>
    <w:rsid w:val="00124EC6"/>
    <w:rsid w:val="001254F5"/>
    <w:rsid w:val="001336D3"/>
    <w:rsid w:val="001364AA"/>
    <w:rsid w:val="00136FAD"/>
    <w:rsid w:val="00142E29"/>
    <w:rsid w:val="00143D5F"/>
    <w:rsid w:val="00144B4A"/>
    <w:rsid w:val="00146F0A"/>
    <w:rsid w:val="00147B36"/>
    <w:rsid w:val="00152124"/>
    <w:rsid w:val="00152C2B"/>
    <w:rsid w:val="001542FC"/>
    <w:rsid w:val="001646D0"/>
    <w:rsid w:val="001657E6"/>
    <w:rsid w:val="001659F5"/>
    <w:rsid w:val="00167F28"/>
    <w:rsid w:val="00170066"/>
    <w:rsid w:val="0017076F"/>
    <w:rsid w:val="00172661"/>
    <w:rsid w:val="001742A5"/>
    <w:rsid w:val="00174495"/>
    <w:rsid w:val="00174EE4"/>
    <w:rsid w:val="00175279"/>
    <w:rsid w:val="00175320"/>
    <w:rsid w:val="00175897"/>
    <w:rsid w:val="00175C56"/>
    <w:rsid w:val="00177D2C"/>
    <w:rsid w:val="001804C3"/>
    <w:rsid w:val="00180B9F"/>
    <w:rsid w:val="00181CC5"/>
    <w:rsid w:val="00191585"/>
    <w:rsid w:val="00191926"/>
    <w:rsid w:val="00193784"/>
    <w:rsid w:val="00193FB6"/>
    <w:rsid w:val="001942EE"/>
    <w:rsid w:val="001A02EC"/>
    <w:rsid w:val="001A0906"/>
    <w:rsid w:val="001A22D7"/>
    <w:rsid w:val="001A32F0"/>
    <w:rsid w:val="001A577E"/>
    <w:rsid w:val="001A58DE"/>
    <w:rsid w:val="001A7C9B"/>
    <w:rsid w:val="001B05B9"/>
    <w:rsid w:val="001B1519"/>
    <w:rsid w:val="001B7B88"/>
    <w:rsid w:val="001C0BAD"/>
    <w:rsid w:val="001C7319"/>
    <w:rsid w:val="001C7D87"/>
    <w:rsid w:val="001D299A"/>
    <w:rsid w:val="001D3E87"/>
    <w:rsid w:val="001D5F16"/>
    <w:rsid w:val="001D6FAB"/>
    <w:rsid w:val="001E1D18"/>
    <w:rsid w:val="001E2C0F"/>
    <w:rsid w:val="001E3F4C"/>
    <w:rsid w:val="001E668A"/>
    <w:rsid w:val="001F0A4F"/>
    <w:rsid w:val="001F2A14"/>
    <w:rsid w:val="001F4ADC"/>
    <w:rsid w:val="001F71ED"/>
    <w:rsid w:val="00203D3A"/>
    <w:rsid w:val="00203FF3"/>
    <w:rsid w:val="002044B4"/>
    <w:rsid w:val="00207086"/>
    <w:rsid w:val="00211D60"/>
    <w:rsid w:val="0021501E"/>
    <w:rsid w:val="0021572A"/>
    <w:rsid w:val="002205C0"/>
    <w:rsid w:val="0022494A"/>
    <w:rsid w:val="00225507"/>
    <w:rsid w:val="0023373D"/>
    <w:rsid w:val="00233D7E"/>
    <w:rsid w:val="00233EF7"/>
    <w:rsid w:val="0023423C"/>
    <w:rsid w:val="00237F4F"/>
    <w:rsid w:val="0024112D"/>
    <w:rsid w:val="002428BA"/>
    <w:rsid w:val="00244177"/>
    <w:rsid w:val="002527DD"/>
    <w:rsid w:val="00254477"/>
    <w:rsid w:val="00257337"/>
    <w:rsid w:val="002577FE"/>
    <w:rsid w:val="0025780C"/>
    <w:rsid w:val="002609D8"/>
    <w:rsid w:val="00262CBE"/>
    <w:rsid w:val="002642D3"/>
    <w:rsid w:val="002646EF"/>
    <w:rsid w:val="00266AE6"/>
    <w:rsid w:val="00267C18"/>
    <w:rsid w:val="00273D0E"/>
    <w:rsid w:val="002764D6"/>
    <w:rsid w:val="00280B8B"/>
    <w:rsid w:val="00282235"/>
    <w:rsid w:val="00292350"/>
    <w:rsid w:val="00292DC0"/>
    <w:rsid w:val="00293C29"/>
    <w:rsid w:val="00297EF9"/>
    <w:rsid w:val="002A2034"/>
    <w:rsid w:val="002A24F4"/>
    <w:rsid w:val="002A38BF"/>
    <w:rsid w:val="002A429A"/>
    <w:rsid w:val="002A597E"/>
    <w:rsid w:val="002B0FB9"/>
    <w:rsid w:val="002B4382"/>
    <w:rsid w:val="002B44FD"/>
    <w:rsid w:val="002B5DBD"/>
    <w:rsid w:val="002B72F9"/>
    <w:rsid w:val="002B7D92"/>
    <w:rsid w:val="002C498D"/>
    <w:rsid w:val="002C4FE1"/>
    <w:rsid w:val="002C72D2"/>
    <w:rsid w:val="002D1B28"/>
    <w:rsid w:val="002D2F00"/>
    <w:rsid w:val="002D79E2"/>
    <w:rsid w:val="002D7A5D"/>
    <w:rsid w:val="002E0A4A"/>
    <w:rsid w:val="002E0BC4"/>
    <w:rsid w:val="002E1108"/>
    <w:rsid w:val="002E21B4"/>
    <w:rsid w:val="002E2D7B"/>
    <w:rsid w:val="002E525E"/>
    <w:rsid w:val="002E5E6A"/>
    <w:rsid w:val="002E7B5B"/>
    <w:rsid w:val="002F22FA"/>
    <w:rsid w:val="002F37BE"/>
    <w:rsid w:val="002F41CA"/>
    <w:rsid w:val="002F4C6A"/>
    <w:rsid w:val="002F527C"/>
    <w:rsid w:val="002F70F6"/>
    <w:rsid w:val="00300D0B"/>
    <w:rsid w:val="003043BE"/>
    <w:rsid w:val="00305181"/>
    <w:rsid w:val="00306096"/>
    <w:rsid w:val="00306974"/>
    <w:rsid w:val="00307014"/>
    <w:rsid w:val="00314F93"/>
    <w:rsid w:val="0031645D"/>
    <w:rsid w:val="00320A67"/>
    <w:rsid w:val="00324AC9"/>
    <w:rsid w:val="003272FB"/>
    <w:rsid w:val="00330857"/>
    <w:rsid w:val="00331499"/>
    <w:rsid w:val="0033580E"/>
    <w:rsid w:val="00343D1E"/>
    <w:rsid w:val="0035054D"/>
    <w:rsid w:val="00354258"/>
    <w:rsid w:val="00355593"/>
    <w:rsid w:val="00357E0E"/>
    <w:rsid w:val="00361B9C"/>
    <w:rsid w:val="00361D89"/>
    <w:rsid w:val="003672FB"/>
    <w:rsid w:val="00370588"/>
    <w:rsid w:val="00370797"/>
    <w:rsid w:val="003707FE"/>
    <w:rsid w:val="00370C79"/>
    <w:rsid w:val="00372D3E"/>
    <w:rsid w:val="003746C6"/>
    <w:rsid w:val="00375262"/>
    <w:rsid w:val="00375763"/>
    <w:rsid w:val="00375BEA"/>
    <w:rsid w:val="00376CEC"/>
    <w:rsid w:val="00380758"/>
    <w:rsid w:val="003810B1"/>
    <w:rsid w:val="003815E5"/>
    <w:rsid w:val="00381E2B"/>
    <w:rsid w:val="00382638"/>
    <w:rsid w:val="003838B4"/>
    <w:rsid w:val="00384029"/>
    <w:rsid w:val="00385BBD"/>
    <w:rsid w:val="00385FFF"/>
    <w:rsid w:val="00387929"/>
    <w:rsid w:val="00390988"/>
    <w:rsid w:val="0039347E"/>
    <w:rsid w:val="00393D5B"/>
    <w:rsid w:val="0039460D"/>
    <w:rsid w:val="00394873"/>
    <w:rsid w:val="00394A1E"/>
    <w:rsid w:val="003968C7"/>
    <w:rsid w:val="003A2246"/>
    <w:rsid w:val="003A2658"/>
    <w:rsid w:val="003A61F9"/>
    <w:rsid w:val="003A6975"/>
    <w:rsid w:val="003B0D66"/>
    <w:rsid w:val="003B1E88"/>
    <w:rsid w:val="003B5E96"/>
    <w:rsid w:val="003C3F7B"/>
    <w:rsid w:val="003C5243"/>
    <w:rsid w:val="003C53ED"/>
    <w:rsid w:val="003D0B7E"/>
    <w:rsid w:val="003D4E0F"/>
    <w:rsid w:val="003D5C0A"/>
    <w:rsid w:val="003D6CF6"/>
    <w:rsid w:val="003D70F6"/>
    <w:rsid w:val="003E098D"/>
    <w:rsid w:val="003E16E1"/>
    <w:rsid w:val="003E1871"/>
    <w:rsid w:val="003E45BD"/>
    <w:rsid w:val="003E504D"/>
    <w:rsid w:val="003E656A"/>
    <w:rsid w:val="003E78B7"/>
    <w:rsid w:val="003F3016"/>
    <w:rsid w:val="003F38EB"/>
    <w:rsid w:val="003F76E5"/>
    <w:rsid w:val="004012CF"/>
    <w:rsid w:val="004015EE"/>
    <w:rsid w:val="00402FF3"/>
    <w:rsid w:val="0040673A"/>
    <w:rsid w:val="004069EB"/>
    <w:rsid w:val="00407C65"/>
    <w:rsid w:val="00410ACB"/>
    <w:rsid w:val="00411E6F"/>
    <w:rsid w:val="00412600"/>
    <w:rsid w:val="004150FE"/>
    <w:rsid w:val="00422ED2"/>
    <w:rsid w:val="00423213"/>
    <w:rsid w:val="0042416D"/>
    <w:rsid w:val="00424487"/>
    <w:rsid w:val="00424EA1"/>
    <w:rsid w:val="00435290"/>
    <w:rsid w:val="00436802"/>
    <w:rsid w:val="00437E68"/>
    <w:rsid w:val="00442E45"/>
    <w:rsid w:val="00443AD4"/>
    <w:rsid w:val="0044438E"/>
    <w:rsid w:val="00445C0F"/>
    <w:rsid w:val="00451448"/>
    <w:rsid w:val="004516EB"/>
    <w:rsid w:val="00451B57"/>
    <w:rsid w:val="004529B6"/>
    <w:rsid w:val="00453020"/>
    <w:rsid w:val="00453DBD"/>
    <w:rsid w:val="00454CE6"/>
    <w:rsid w:val="00455463"/>
    <w:rsid w:val="00456D9F"/>
    <w:rsid w:val="00457305"/>
    <w:rsid w:val="00457955"/>
    <w:rsid w:val="00462881"/>
    <w:rsid w:val="004640F2"/>
    <w:rsid w:val="00467337"/>
    <w:rsid w:val="00467C17"/>
    <w:rsid w:val="00471D57"/>
    <w:rsid w:val="00475345"/>
    <w:rsid w:val="00475F48"/>
    <w:rsid w:val="00476790"/>
    <w:rsid w:val="00477CC2"/>
    <w:rsid w:val="00477D47"/>
    <w:rsid w:val="00480C32"/>
    <w:rsid w:val="004814EA"/>
    <w:rsid w:val="0048180A"/>
    <w:rsid w:val="00481C7A"/>
    <w:rsid w:val="00487DB5"/>
    <w:rsid w:val="004906C8"/>
    <w:rsid w:val="00491877"/>
    <w:rsid w:val="00492BC7"/>
    <w:rsid w:val="004938E6"/>
    <w:rsid w:val="004967E2"/>
    <w:rsid w:val="004975A8"/>
    <w:rsid w:val="004A114B"/>
    <w:rsid w:val="004A2363"/>
    <w:rsid w:val="004A290F"/>
    <w:rsid w:val="004A55D8"/>
    <w:rsid w:val="004A5FFD"/>
    <w:rsid w:val="004A7CE2"/>
    <w:rsid w:val="004B031A"/>
    <w:rsid w:val="004B1236"/>
    <w:rsid w:val="004B234F"/>
    <w:rsid w:val="004B353F"/>
    <w:rsid w:val="004B59BB"/>
    <w:rsid w:val="004B5CCC"/>
    <w:rsid w:val="004C117E"/>
    <w:rsid w:val="004C2845"/>
    <w:rsid w:val="004C3081"/>
    <w:rsid w:val="004C3917"/>
    <w:rsid w:val="004C7961"/>
    <w:rsid w:val="004D0658"/>
    <w:rsid w:val="004D08EB"/>
    <w:rsid w:val="004D3B15"/>
    <w:rsid w:val="004D54E3"/>
    <w:rsid w:val="004D6459"/>
    <w:rsid w:val="004D761E"/>
    <w:rsid w:val="004E1A3D"/>
    <w:rsid w:val="004E2371"/>
    <w:rsid w:val="004E6BE9"/>
    <w:rsid w:val="004E754F"/>
    <w:rsid w:val="004E7A84"/>
    <w:rsid w:val="004F0538"/>
    <w:rsid w:val="004F17D6"/>
    <w:rsid w:val="004F2337"/>
    <w:rsid w:val="004F3024"/>
    <w:rsid w:val="004F33EA"/>
    <w:rsid w:val="004F4F45"/>
    <w:rsid w:val="005001FE"/>
    <w:rsid w:val="005020E9"/>
    <w:rsid w:val="00503655"/>
    <w:rsid w:val="00504BE3"/>
    <w:rsid w:val="005069F3"/>
    <w:rsid w:val="00506F7D"/>
    <w:rsid w:val="00507065"/>
    <w:rsid w:val="005106F9"/>
    <w:rsid w:val="00510D77"/>
    <w:rsid w:val="005128DD"/>
    <w:rsid w:val="00513F18"/>
    <w:rsid w:val="00514207"/>
    <w:rsid w:val="005149BE"/>
    <w:rsid w:val="00515090"/>
    <w:rsid w:val="005179E4"/>
    <w:rsid w:val="00521E57"/>
    <w:rsid w:val="00525093"/>
    <w:rsid w:val="005305EA"/>
    <w:rsid w:val="00532E3F"/>
    <w:rsid w:val="0053652A"/>
    <w:rsid w:val="005371E7"/>
    <w:rsid w:val="00537B53"/>
    <w:rsid w:val="00537E4B"/>
    <w:rsid w:val="00540538"/>
    <w:rsid w:val="00542664"/>
    <w:rsid w:val="00543933"/>
    <w:rsid w:val="00543C35"/>
    <w:rsid w:val="00544CF2"/>
    <w:rsid w:val="0054731A"/>
    <w:rsid w:val="00547B78"/>
    <w:rsid w:val="00551E8B"/>
    <w:rsid w:val="005520FE"/>
    <w:rsid w:val="0055263C"/>
    <w:rsid w:val="0055472B"/>
    <w:rsid w:val="00555D9A"/>
    <w:rsid w:val="00556513"/>
    <w:rsid w:val="00557F13"/>
    <w:rsid w:val="00561ABC"/>
    <w:rsid w:val="00562653"/>
    <w:rsid w:val="00563CE8"/>
    <w:rsid w:val="005662E2"/>
    <w:rsid w:val="00571389"/>
    <w:rsid w:val="005733EB"/>
    <w:rsid w:val="005734C5"/>
    <w:rsid w:val="0057453A"/>
    <w:rsid w:val="00575268"/>
    <w:rsid w:val="00576D51"/>
    <w:rsid w:val="0057792B"/>
    <w:rsid w:val="00580802"/>
    <w:rsid w:val="00581A22"/>
    <w:rsid w:val="005820D9"/>
    <w:rsid w:val="00585EC8"/>
    <w:rsid w:val="005860CB"/>
    <w:rsid w:val="005918F3"/>
    <w:rsid w:val="00593E91"/>
    <w:rsid w:val="0059442D"/>
    <w:rsid w:val="00594D38"/>
    <w:rsid w:val="0059753D"/>
    <w:rsid w:val="005A0B49"/>
    <w:rsid w:val="005A1108"/>
    <w:rsid w:val="005A1286"/>
    <w:rsid w:val="005A27AD"/>
    <w:rsid w:val="005A353A"/>
    <w:rsid w:val="005A4EBE"/>
    <w:rsid w:val="005A5C79"/>
    <w:rsid w:val="005A6D57"/>
    <w:rsid w:val="005A71FD"/>
    <w:rsid w:val="005B1F52"/>
    <w:rsid w:val="005B3E03"/>
    <w:rsid w:val="005B5840"/>
    <w:rsid w:val="005B5B70"/>
    <w:rsid w:val="005B5F05"/>
    <w:rsid w:val="005C06AA"/>
    <w:rsid w:val="005C17BF"/>
    <w:rsid w:val="005C2819"/>
    <w:rsid w:val="005C57BA"/>
    <w:rsid w:val="005C6982"/>
    <w:rsid w:val="005C6B74"/>
    <w:rsid w:val="005C76A9"/>
    <w:rsid w:val="005C7AEA"/>
    <w:rsid w:val="005D125D"/>
    <w:rsid w:val="005D29BF"/>
    <w:rsid w:val="005D2B59"/>
    <w:rsid w:val="005D362F"/>
    <w:rsid w:val="005D370F"/>
    <w:rsid w:val="005D3E85"/>
    <w:rsid w:val="005D44D1"/>
    <w:rsid w:val="005D53D6"/>
    <w:rsid w:val="005E1B06"/>
    <w:rsid w:val="005E265D"/>
    <w:rsid w:val="005E3D7D"/>
    <w:rsid w:val="005E4D7C"/>
    <w:rsid w:val="005E5F15"/>
    <w:rsid w:val="005E5F6A"/>
    <w:rsid w:val="005F048E"/>
    <w:rsid w:val="005F2047"/>
    <w:rsid w:val="005F2C76"/>
    <w:rsid w:val="005F57F0"/>
    <w:rsid w:val="00601010"/>
    <w:rsid w:val="006028C9"/>
    <w:rsid w:val="0060676C"/>
    <w:rsid w:val="0060721D"/>
    <w:rsid w:val="0061042F"/>
    <w:rsid w:val="006168E4"/>
    <w:rsid w:val="00621F47"/>
    <w:rsid w:val="00622359"/>
    <w:rsid w:val="0062497C"/>
    <w:rsid w:val="00625200"/>
    <w:rsid w:val="006255AA"/>
    <w:rsid w:val="00630846"/>
    <w:rsid w:val="00631806"/>
    <w:rsid w:val="00636FD7"/>
    <w:rsid w:val="00637512"/>
    <w:rsid w:val="00640EE4"/>
    <w:rsid w:val="006456FA"/>
    <w:rsid w:val="006466F5"/>
    <w:rsid w:val="00646C24"/>
    <w:rsid w:val="00652BC5"/>
    <w:rsid w:val="00661753"/>
    <w:rsid w:val="0066216F"/>
    <w:rsid w:val="00663C3F"/>
    <w:rsid w:val="006651B2"/>
    <w:rsid w:val="006654F6"/>
    <w:rsid w:val="00671DF8"/>
    <w:rsid w:val="00675390"/>
    <w:rsid w:val="00676CAA"/>
    <w:rsid w:val="006802CF"/>
    <w:rsid w:val="006827AB"/>
    <w:rsid w:val="006831E4"/>
    <w:rsid w:val="00683B62"/>
    <w:rsid w:val="006848B7"/>
    <w:rsid w:val="006868A7"/>
    <w:rsid w:val="00690791"/>
    <w:rsid w:val="006915EA"/>
    <w:rsid w:val="00694828"/>
    <w:rsid w:val="006A3810"/>
    <w:rsid w:val="006A49CE"/>
    <w:rsid w:val="006A65EE"/>
    <w:rsid w:val="006A68B8"/>
    <w:rsid w:val="006A7CEB"/>
    <w:rsid w:val="006B1953"/>
    <w:rsid w:val="006B1BF1"/>
    <w:rsid w:val="006B20F0"/>
    <w:rsid w:val="006B26E3"/>
    <w:rsid w:val="006B3085"/>
    <w:rsid w:val="006B69CF"/>
    <w:rsid w:val="006B7444"/>
    <w:rsid w:val="006C17FD"/>
    <w:rsid w:val="006C1884"/>
    <w:rsid w:val="006C28CA"/>
    <w:rsid w:val="006C350D"/>
    <w:rsid w:val="006C5E56"/>
    <w:rsid w:val="006C66E4"/>
    <w:rsid w:val="006D23FC"/>
    <w:rsid w:val="006D643D"/>
    <w:rsid w:val="006E063C"/>
    <w:rsid w:val="006E3851"/>
    <w:rsid w:val="006E7EEE"/>
    <w:rsid w:val="006F1167"/>
    <w:rsid w:val="006F4044"/>
    <w:rsid w:val="006F46DC"/>
    <w:rsid w:val="006F4CC6"/>
    <w:rsid w:val="00701033"/>
    <w:rsid w:val="00701A3F"/>
    <w:rsid w:val="00702A03"/>
    <w:rsid w:val="00704BD8"/>
    <w:rsid w:val="00704EFD"/>
    <w:rsid w:val="007051A0"/>
    <w:rsid w:val="007078C8"/>
    <w:rsid w:val="00712E3A"/>
    <w:rsid w:val="00713CE6"/>
    <w:rsid w:val="007169EF"/>
    <w:rsid w:val="00721506"/>
    <w:rsid w:val="007216DB"/>
    <w:rsid w:val="007246D3"/>
    <w:rsid w:val="00725F5A"/>
    <w:rsid w:val="007274EC"/>
    <w:rsid w:val="00737605"/>
    <w:rsid w:val="007404D5"/>
    <w:rsid w:val="00740BDD"/>
    <w:rsid w:val="00740C2B"/>
    <w:rsid w:val="007417C8"/>
    <w:rsid w:val="00744287"/>
    <w:rsid w:val="00744EEF"/>
    <w:rsid w:val="00745D76"/>
    <w:rsid w:val="00747109"/>
    <w:rsid w:val="00747487"/>
    <w:rsid w:val="007505EB"/>
    <w:rsid w:val="00751B4B"/>
    <w:rsid w:val="00752A9A"/>
    <w:rsid w:val="00754CAE"/>
    <w:rsid w:val="00760D70"/>
    <w:rsid w:val="00763EE7"/>
    <w:rsid w:val="00764DB2"/>
    <w:rsid w:val="0076623B"/>
    <w:rsid w:val="00766EFD"/>
    <w:rsid w:val="00767E4B"/>
    <w:rsid w:val="007718AD"/>
    <w:rsid w:val="007724CD"/>
    <w:rsid w:val="007742A7"/>
    <w:rsid w:val="00777034"/>
    <w:rsid w:val="00781FE8"/>
    <w:rsid w:val="007851D5"/>
    <w:rsid w:val="0078766F"/>
    <w:rsid w:val="00793CFD"/>
    <w:rsid w:val="00794589"/>
    <w:rsid w:val="0079486A"/>
    <w:rsid w:val="00794F80"/>
    <w:rsid w:val="00796524"/>
    <w:rsid w:val="007A00E9"/>
    <w:rsid w:val="007A0454"/>
    <w:rsid w:val="007A0E44"/>
    <w:rsid w:val="007A1C9E"/>
    <w:rsid w:val="007A4CA1"/>
    <w:rsid w:val="007A5DFD"/>
    <w:rsid w:val="007B0398"/>
    <w:rsid w:val="007B2C77"/>
    <w:rsid w:val="007B2E78"/>
    <w:rsid w:val="007B5E84"/>
    <w:rsid w:val="007B6549"/>
    <w:rsid w:val="007C3F2F"/>
    <w:rsid w:val="007D10BD"/>
    <w:rsid w:val="007D1A27"/>
    <w:rsid w:val="007D1B24"/>
    <w:rsid w:val="007D1F15"/>
    <w:rsid w:val="007D2290"/>
    <w:rsid w:val="007D25B1"/>
    <w:rsid w:val="007D2878"/>
    <w:rsid w:val="007D6FC3"/>
    <w:rsid w:val="007E2C60"/>
    <w:rsid w:val="007E319E"/>
    <w:rsid w:val="007E4FA1"/>
    <w:rsid w:val="007E7B07"/>
    <w:rsid w:val="007E7BAB"/>
    <w:rsid w:val="007E7DCE"/>
    <w:rsid w:val="007E7FA9"/>
    <w:rsid w:val="007F20AC"/>
    <w:rsid w:val="007F6623"/>
    <w:rsid w:val="00802C56"/>
    <w:rsid w:val="008053CE"/>
    <w:rsid w:val="008056BC"/>
    <w:rsid w:val="00806EE9"/>
    <w:rsid w:val="00807750"/>
    <w:rsid w:val="00807E35"/>
    <w:rsid w:val="00811205"/>
    <w:rsid w:val="00812C48"/>
    <w:rsid w:val="008146F9"/>
    <w:rsid w:val="008218CD"/>
    <w:rsid w:val="00821AEB"/>
    <w:rsid w:val="00821E26"/>
    <w:rsid w:val="00824DCD"/>
    <w:rsid w:val="00827964"/>
    <w:rsid w:val="008311A6"/>
    <w:rsid w:val="008327EA"/>
    <w:rsid w:val="00833E8A"/>
    <w:rsid w:val="008357C0"/>
    <w:rsid w:val="00836987"/>
    <w:rsid w:val="00844009"/>
    <w:rsid w:val="00844569"/>
    <w:rsid w:val="00844CDE"/>
    <w:rsid w:val="00845083"/>
    <w:rsid w:val="00847CAF"/>
    <w:rsid w:val="00847D23"/>
    <w:rsid w:val="008556FF"/>
    <w:rsid w:val="00857106"/>
    <w:rsid w:val="00857765"/>
    <w:rsid w:val="00861770"/>
    <w:rsid w:val="00863327"/>
    <w:rsid w:val="00863A40"/>
    <w:rsid w:val="00865672"/>
    <w:rsid w:val="0086704E"/>
    <w:rsid w:val="00867B0E"/>
    <w:rsid w:val="00867F7E"/>
    <w:rsid w:val="00870F44"/>
    <w:rsid w:val="00871AC9"/>
    <w:rsid w:val="00872ECB"/>
    <w:rsid w:val="0087456A"/>
    <w:rsid w:val="00877C8E"/>
    <w:rsid w:val="00884054"/>
    <w:rsid w:val="00890B7A"/>
    <w:rsid w:val="00890C62"/>
    <w:rsid w:val="0089173B"/>
    <w:rsid w:val="0089437B"/>
    <w:rsid w:val="00895089"/>
    <w:rsid w:val="008951ED"/>
    <w:rsid w:val="0089761E"/>
    <w:rsid w:val="008977EE"/>
    <w:rsid w:val="008A0693"/>
    <w:rsid w:val="008A5928"/>
    <w:rsid w:val="008A75BE"/>
    <w:rsid w:val="008B0D6E"/>
    <w:rsid w:val="008B1AD9"/>
    <w:rsid w:val="008B1D2E"/>
    <w:rsid w:val="008B366D"/>
    <w:rsid w:val="008B4DF4"/>
    <w:rsid w:val="008B6C58"/>
    <w:rsid w:val="008C08BE"/>
    <w:rsid w:val="008C229F"/>
    <w:rsid w:val="008C32A8"/>
    <w:rsid w:val="008C3445"/>
    <w:rsid w:val="008C366D"/>
    <w:rsid w:val="008C4E94"/>
    <w:rsid w:val="008C55A3"/>
    <w:rsid w:val="008C7368"/>
    <w:rsid w:val="008D32F0"/>
    <w:rsid w:val="008D595F"/>
    <w:rsid w:val="008E012F"/>
    <w:rsid w:val="008E6104"/>
    <w:rsid w:val="008E6375"/>
    <w:rsid w:val="008F17A1"/>
    <w:rsid w:val="008F2158"/>
    <w:rsid w:val="008F4670"/>
    <w:rsid w:val="008F4C65"/>
    <w:rsid w:val="008F5D20"/>
    <w:rsid w:val="008F7579"/>
    <w:rsid w:val="0090019F"/>
    <w:rsid w:val="00902944"/>
    <w:rsid w:val="009041AF"/>
    <w:rsid w:val="00905422"/>
    <w:rsid w:val="00906BD5"/>
    <w:rsid w:val="009104D1"/>
    <w:rsid w:val="00913133"/>
    <w:rsid w:val="009131C3"/>
    <w:rsid w:val="0091475B"/>
    <w:rsid w:val="00916028"/>
    <w:rsid w:val="0092120C"/>
    <w:rsid w:val="00921DB9"/>
    <w:rsid w:val="0092403D"/>
    <w:rsid w:val="0092524A"/>
    <w:rsid w:val="00933BEE"/>
    <w:rsid w:val="00934304"/>
    <w:rsid w:val="00934415"/>
    <w:rsid w:val="00934417"/>
    <w:rsid w:val="009402DB"/>
    <w:rsid w:val="00942E41"/>
    <w:rsid w:val="009440D8"/>
    <w:rsid w:val="009449B8"/>
    <w:rsid w:val="00944DC9"/>
    <w:rsid w:val="00944F1C"/>
    <w:rsid w:val="00945203"/>
    <w:rsid w:val="009454E7"/>
    <w:rsid w:val="0094603F"/>
    <w:rsid w:val="00951F85"/>
    <w:rsid w:val="00952850"/>
    <w:rsid w:val="009555DC"/>
    <w:rsid w:val="009611E0"/>
    <w:rsid w:val="00961302"/>
    <w:rsid w:val="00962383"/>
    <w:rsid w:val="00963120"/>
    <w:rsid w:val="00965FEE"/>
    <w:rsid w:val="0096643B"/>
    <w:rsid w:val="00966B7A"/>
    <w:rsid w:val="00967852"/>
    <w:rsid w:val="009706B5"/>
    <w:rsid w:val="00972BDF"/>
    <w:rsid w:val="00972CF8"/>
    <w:rsid w:val="009732F5"/>
    <w:rsid w:val="00973AFB"/>
    <w:rsid w:val="00973F49"/>
    <w:rsid w:val="00974305"/>
    <w:rsid w:val="00981203"/>
    <w:rsid w:val="0098182D"/>
    <w:rsid w:val="00982A98"/>
    <w:rsid w:val="009855E2"/>
    <w:rsid w:val="00987C03"/>
    <w:rsid w:val="00990E3D"/>
    <w:rsid w:val="00992977"/>
    <w:rsid w:val="00992B07"/>
    <w:rsid w:val="0099557F"/>
    <w:rsid w:val="009A3511"/>
    <w:rsid w:val="009A41D1"/>
    <w:rsid w:val="009A686F"/>
    <w:rsid w:val="009A7912"/>
    <w:rsid w:val="009B0094"/>
    <w:rsid w:val="009B28E9"/>
    <w:rsid w:val="009B33A8"/>
    <w:rsid w:val="009B3487"/>
    <w:rsid w:val="009B390A"/>
    <w:rsid w:val="009B7C61"/>
    <w:rsid w:val="009C22B1"/>
    <w:rsid w:val="009C3793"/>
    <w:rsid w:val="009C62BD"/>
    <w:rsid w:val="009D26AD"/>
    <w:rsid w:val="009D341C"/>
    <w:rsid w:val="009D45BD"/>
    <w:rsid w:val="009D5261"/>
    <w:rsid w:val="009D76A3"/>
    <w:rsid w:val="009E1411"/>
    <w:rsid w:val="009E19FC"/>
    <w:rsid w:val="009E52F2"/>
    <w:rsid w:val="009E7854"/>
    <w:rsid w:val="009F0D3C"/>
    <w:rsid w:val="009F1118"/>
    <w:rsid w:val="009F1287"/>
    <w:rsid w:val="009F25EB"/>
    <w:rsid w:val="009F2A10"/>
    <w:rsid w:val="009F3C1F"/>
    <w:rsid w:val="009F614E"/>
    <w:rsid w:val="009F657D"/>
    <w:rsid w:val="009F762B"/>
    <w:rsid w:val="009F76BA"/>
    <w:rsid w:val="009F7E09"/>
    <w:rsid w:val="00A000EB"/>
    <w:rsid w:val="00A011C1"/>
    <w:rsid w:val="00A02047"/>
    <w:rsid w:val="00A035C0"/>
    <w:rsid w:val="00A036BE"/>
    <w:rsid w:val="00A0575E"/>
    <w:rsid w:val="00A068CE"/>
    <w:rsid w:val="00A06A16"/>
    <w:rsid w:val="00A10F77"/>
    <w:rsid w:val="00A11ED6"/>
    <w:rsid w:val="00A12205"/>
    <w:rsid w:val="00A139AF"/>
    <w:rsid w:val="00A20113"/>
    <w:rsid w:val="00A24B74"/>
    <w:rsid w:val="00A3248C"/>
    <w:rsid w:val="00A339E6"/>
    <w:rsid w:val="00A33EF8"/>
    <w:rsid w:val="00A34362"/>
    <w:rsid w:val="00A358E6"/>
    <w:rsid w:val="00A37C0F"/>
    <w:rsid w:val="00A409B6"/>
    <w:rsid w:val="00A422B7"/>
    <w:rsid w:val="00A424E5"/>
    <w:rsid w:val="00A44291"/>
    <w:rsid w:val="00A453DC"/>
    <w:rsid w:val="00A46457"/>
    <w:rsid w:val="00A47E33"/>
    <w:rsid w:val="00A50182"/>
    <w:rsid w:val="00A50B14"/>
    <w:rsid w:val="00A51024"/>
    <w:rsid w:val="00A51109"/>
    <w:rsid w:val="00A51F37"/>
    <w:rsid w:val="00A544DC"/>
    <w:rsid w:val="00A55818"/>
    <w:rsid w:val="00A56556"/>
    <w:rsid w:val="00A625E2"/>
    <w:rsid w:val="00A63DC7"/>
    <w:rsid w:val="00A65B7E"/>
    <w:rsid w:val="00A70289"/>
    <w:rsid w:val="00A72105"/>
    <w:rsid w:val="00A72465"/>
    <w:rsid w:val="00A80C92"/>
    <w:rsid w:val="00A82461"/>
    <w:rsid w:val="00A84417"/>
    <w:rsid w:val="00A84CF2"/>
    <w:rsid w:val="00A851D8"/>
    <w:rsid w:val="00A870C4"/>
    <w:rsid w:val="00A87326"/>
    <w:rsid w:val="00A94568"/>
    <w:rsid w:val="00A953BA"/>
    <w:rsid w:val="00A96F9F"/>
    <w:rsid w:val="00A977B0"/>
    <w:rsid w:val="00AA0848"/>
    <w:rsid w:val="00AA0AAF"/>
    <w:rsid w:val="00AA2C55"/>
    <w:rsid w:val="00AA3915"/>
    <w:rsid w:val="00AA3C06"/>
    <w:rsid w:val="00AA56F6"/>
    <w:rsid w:val="00AA5D62"/>
    <w:rsid w:val="00AB0571"/>
    <w:rsid w:val="00AB1E84"/>
    <w:rsid w:val="00AB2BF2"/>
    <w:rsid w:val="00AB3710"/>
    <w:rsid w:val="00AB4B0F"/>
    <w:rsid w:val="00AB6C3B"/>
    <w:rsid w:val="00AB7F4A"/>
    <w:rsid w:val="00AC226E"/>
    <w:rsid w:val="00AC722C"/>
    <w:rsid w:val="00AC75C1"/>
    <w:rsid w:val="00AC7906"/>
    <w:rsid w:val="00AD1291"/>
    <w:rsid w:val="00AD134F"/>
    <w:rsid w:val="00AD1F40"/>
    <w:rsid w:val="00AD3428"/>
    <w:rsid w:val="00AD3AA2"/>
    <w:rsid w:val="00AD43B8"/>
    <w:rsid w:val="00AD4B1A"/>
    <w:rsid w:val="00AD5295"/>
    <w:rsid w:val="00AE008F"/>
    <w:rsid w:val="00AF0161"/>
    <w:rsid w:val="00AF1CDC"/>
    <w:rsid w:val="00AF231C"/>
    <w:rsid w:val="00AF2A1F"/>
    <w:rsid w:val="00AF2D9B"/>
    <w:rsid w:val="00B00592"/>
    <w:rsid w:val="00B00628"/>
    <w:rsid w:val="00B0749B"/>
    <w:rsid w:val="00B10050"/>
    <w:rsid w:val="00B10A1E"/>
    <w:rsid w:val="00B11E08"/>
    <w:rsid w:val="00B12FF9"/>
    <w:rsid w:val="00B14039"/>
    <w:rsid w:val="00B149FA"/>
    <w:rsid w:val="00B177F4"/>
    <w:rsid w:val="00B22242"/>
    <w:rsid w:val="00B2232C"/>
    <w:rsid w:val="00B2330D"/>
    <w:rsid w:val="00B32CD3"/>
    <w:rsid w:val="00B34CED"/>
    <w:rsid w:val="00B35A93"/>
    <w:rsid w:val="00B3672D"/>
    <w:rsid w:val="00B433C9"/>
    <w:rsid w:val="00B437D8"/>
    <w:rsid w:val="00B44ADE"/>
    <w:rsid w:val="00B46B42"/>
    <w:rsid w:val="00B4745C"/>
    <w:rsid w:val="00B52D3E"/>
    <w:rsid w:val="00B52E55"/>
    <w:rsid w:val="00B5326D"/>
    <w:rsid w:val="00B534F0"/>
    <w:rsid w:val="00B54C62"/>
    <w:rsid w:val="00B57980"/>
    <w:rsid w:val="00B601D4"/>
    <w:rsid w:val="00B60DA2"/>
    <w:rsid w:val="00B6166B"/>
    <w:rsid w:val="00B61955"/>
    <w:rsid w:val="00B61C39"/>
    <w:rsid w:val="00B63BC9"/>
    <w:rsid w:val="00B653BB"/>
    <w:rsid w:val="00B66E86"/>
    <w:rsid w:val="00B67A20"/>
    <w:rsid w:val="00B710FE"/>
    <w:rsid w:val="00B724E8"/>
    <w:rsid w:val="00B73FE9"/>
    <w:rsid w:val="00B87D50"/>
    <w:rsid w:val="00B91BCB"/>
    <w:rsid w:val="00B9223B"/>
    <w:rsid w:val="00B953BD"/>
    <w:rsid w:val="00B95905"/>
    <w:rsid w:val="00B95E96"/>
    <w:rsid w:val="00B97421"/>
    <w:rsid w:val="00BA2A94"/>
    <w:rsid w:val="00BA4D1F"/>
    <w:rsid w:val="00BA5339"/>
    <w:rsid w:val="00BA6226"/>
    <w:rsid w:val="00BA7AD1"/>
    <w:rsid w:val="00BB2250"/>
    <w:rsid w:val="00BB3132"/>
    <w:rsid w:val="00BB5448"/>
    <w:rsid w:val="00BB68CA"/>
    <w:rsid w:val="00BB721B"/>
    <w:rsid w:val="00BC0FDD"/>
    <w:rsid w:val="00BC130D"/>
    <w:rsid w:val="00BC22E0"/>
    <w:rsid w:val="00BC2A46"/>
    <w:rsid w:val="00BC3FA4"/>
    <w:rsid w:val="00BD004A"/>
    <w:rsid w:val="00BD352C"/>
    <w:rsid w:val="00BD5023"/>
    <w:rsid w:val="00BD5133"/>
    <w:rsid w:val="00BD58AB"/>
    <w:rsid w:val="00BE28ED"/>
    <w:rsid w:val="00C008B2"/>
    <w:rsid w:val="00C0130E"/>
    <w:rsid w:val="00C019B3"/>
    <w:rsid w:val="00C01ABC"/>
    <w:rsid w:val="00C01E1C"/>
    <w:rsid w:val="00C01F6B"/>
    <w:rsid w:val="00C02A84"/>
    <w:rsid w:val="00C07B2D"/>
    <w:rsid w:val="00C12209"/>
    <w:rsid w:val="00C135B2"/>
    <w:rsid w:val="00C14CD6"/>
    <w:rsid w:val="00C16927"/>
    <w:rsid w:val="00C2082E"/>
    <w:rsid w:val="00C20835"/>
    <w:rsid w:val="00C217D2"/>
    <w:rsid w:val="00C24A09"/>
    <w:rsid w:val="00C25084"/>
    <w:rsid w:val="00C274BE"/>
    <w:rsid w:val="00C274C6"/>
    <w:rsid w:val="00C310B6"/>
    <w:rsid w:val="00C3330D"/>
    <w:rsid w:val="00C347FE"/>
    <w:rsid w:val="00C357BE"/>
    <w:rsid w:val="00C36624"/>
    <w:rsid w:val="00C4006D"/>
    <w:rsid w:val="00C43C65"/>
    <w:rsid w:val="00C4530E"/>
    <w:rsid w:val="00C45C21"/>
    <w:rsid w:val="00C53F93"/>
    <w:rsid w:val="00C56C44"/>
    <w:rsid w:val="00C57028"/>
    <w:rsid w:val="00C572BB"/>
    <w:rsid w:val="00C604B3"/>
    <w:rsid w:val="00C6332C"/>
    <w:rsid w:val="00C6721D"/>
    <w:rsid w:val="00C677A9"/>
    <w:rsid w:val="00C678B3"/>
    <w:rsid w:val="00C70B4A"/>
    <w:rsid w:val="00C71CD1"/>
    <w:rsid w:val="00C73143"/>
    <w:rsid w:val="00C77685"/>
    <w:rsid w:val="00C77815"/>
    <w:rsid w:val="00C77977"/>
    <w:rsid w:val="00C77ABA"/>
    <w:rsid w:val="00C8085F"/>
    <w:rsid w:val="00C81BA9"/>
    <w:rsid w:val="00C821B6"/>
    <w:rsid w:val="00C8471E"/>
    <w:rsid w:val="00C850CE"/>
    <w:rsid w:val="00C85378"/>
    <w:rsid w:val="00C90BE5"/>
    <w:rsid w:val="00C91B10"/>
    <w:rsid w:val="00C925E0"/>
    <w:rsid w:val="00C9271F"/>
    <w:rsid w:val="00C9297C"/>
    <w:rsid w:val="00C976C0"/>
    <w:rsid w:val="00CA0A11"/>
    <w:rsid w:val="00CA5334"/>
    <w:rsid w:val="00CA6FDA"/>
    <w:rsid w:val="00CB0886"/>
    <w:rsid w:val="00CB2CC0"/>
    <w:rsid w:val="00CB3B6F"/>
    <w:rsid w:val="00CB5099"/>
    <w:rsid w:val="00CB7BD3"/>
    <w:rsid w:val="00CC0C5F"/>
    <w:rsid w:val="00CC2F3D"/>
    <w:rsid w:val="00CC4CF6"/>
    <w:rsid w:val="00CC51A7"/>
    <w:rsid w:val="00CC5FF3"/>
    <w:rsid w:val="00CC6072"/>
    <w:rsid w:val="00CD1612"/>
    <w:rsid w:val="00CD365B"/>
    <w:rsid w:val="00CD4BFA"/>
    <w:rsid w:val="00CE0E72"/>
    <w:rsid w:val="00CE2335"/>
    <w:rsid w:val="00CE2ADF"/>
    <w:rsid w:val="00CE367D"/>
    <w:rsid w:val="00CE4CE3"/>
    <w:rsid w:val="00CE6D6A"/>
    <w:rsid w:val="00CF1C84"/>
    <w:rsid w:val="00CF1D7D"/>
    <w:rsid w:val="00CF45D3"/>
    <w:rsid w:val="00CF51F9"/>
    <w:rsid w:val="00CF6B6C"/>
    <w:rsid w:val="00CF775E"/>
    <w:rsid w:val="00CF7EA2"/>
    <w:rsid w:val="00D0159B"/>
    <w:rsid w:val="00D04204"/>
    <w:rsid w:val="00D042BB"/>
    <w:rsid w:val="00D05FAE"/>
    <w:rsid w:val="00D06CA0"/>
    <w:rsid w:val="00D06E12"/>
    <w:rsid w:val="00D0731B"/>
    <w:rsid w:val="00D115BB"/>
    <w:rsid w:val="00D11797"/>
    <w:rsid w:val="00D12C68"/>
    <w:rsid w:val="00D134FB"/>
    <w:rsid w:val="00D14FEC"/>
    <w:rsid w:val="00D15963"/>
    <w:rsid w:val="00D16C97"/>
    <w:rsid w:val="00D17789"/>
    <w:rsid w:val="00D21565"/>
    <w:rsid w:val="00D22F7D"/>
    <w:rsid w:val="00D25BEE"/>
    <w:rsid w:val="00D2737E"/>
    <w:rsid w:val="00D274A9"/>
    <w:rsid w:val="00D302CF"/>
    <w:rsid w:val="00D32644"/>
    <w:rsid w:val="00D33619"/>
    <w:rsid w:val="00D400F4"/>
    <w:rsid w:val="00D43CF1"/>
    <w:rsid w:val="00D449AE"/>
    <w:rsid w:val="00D477C3"/>
    <w:rsid w:val="00D51B89"/>
    <w:rsid w:val="00D52AC7"/>
    <w:rsid w:val="00D54CA9"/>
    <w:rsid w:val="00D54D64"/>
    <w:rsid w:val="00D604FD"/>
    <w:rsid w:val="00D6340F"/>
    <w:rsid w:val="00D6535E"/>
    <w:rsid w:val="00D654EC"/>
    <w:rsid w:val="00D66C0C"/>
    <w:rsid w:val="00D720DC"/>
    <w:rsid w:val="00D72D16"/>
    <w:rsid w:val="00D742B9"/>
    <w:rsid w:val="00D7492C"/>
    <w:rsid w:val="00D766CC"/>
    <w:rsid w:val="00D81029"/>
    <w:rsid w:val="00D8195B"/>
    <w:rsid w:val="00D821F8"/>
    <w:rsid w:val="00D848F9"/>
    <w:rsid w:val="00D84DDC"/>
    <w:rsid w:val="00D85695"/>
    <w:rsid w:val="00D857BA"/>
    <w:rsid w:val="00D8619F"/>
    <w:rsid w:val="00D86764"/>
    <w:rsid w:val="00D870AC"/>
    <w:rsid w:val="00D90B92"/>
    <w:rsid w:val="00D95611"/>
    <w:rsid w:val="00DA0DF2"/>
    <w:rsid w:val="00DA1152"/>
    <w:rsid w:val="00DA12AB"/>
    <w:rsid w:val="00DA41D7"/>
    <w:rsid w:val="00DA494B"/>
    <w:rsid w:val="00DA5B72"/>
    <w:rsid w:val="00DB5C0A"/>
    <w:rsid w:val="00DC0220"/>
    <w:rsid w:val="00DC0A85"/>
    <w:rsid w:val="00DC6FF8"/>
    <w:rsid w:val="00DD01FC"/>
    <w:rsid w:val="00DD13E2"/>
    <w:rsid w:val="00DE47A1"/>
    <w:rsid w:val="00DE7DCC"/>
    <w:rsid w:val="00DF003C"/>
    <w:rsid w:val="00DF0E8B"/>
    <w:rsid w:val="00DF0F8A"/>
    <w:rsid w:val="00DF137F"/>
    <w:rsid w:val="00DF4501"/>
    <w:rsid w:val="00DF5C75"/>
    <w:rsid w:val="00DF6971"/>
    <w:rsid w:val="00DF78AE"/>
    <w:rsid w:val="00E00E78"/>
    <w:rsid w:val="00E01289"/>
    <w:rsid w:val="00E076C1"/>
    <w:rsid w:val="00E11E2E"/>
    <w:rsid w:val="00E13C83"/>
    <w:rsid w:val="00E15555"/>
    <w:rsid w:val="00E15B7D"/>
    <w:rsid w:val="00E23477"/>
    <w:rsid w:val="00E2408E"/>
    <w:rsid w:val="00E27CDB"/>
    <w:rsid w:val="00E371EC"/>
    <w:rsid w:val="00E43116"/>
    <w:rsid w:val="00E444DA"/>
    <w:rsid w:val="00E51A48"/>
    <w:rsid w:val="00E53CBC"/>
    <w:rsid w:val="00E550AA"/>
    <w:rsid w:val="00E571F8"/>
    <w:rsid w:val="00E57E5A"/>
    <w:rsid w:val="00E616AC"/>
    <w:rsid w:val="00E64F0A"/>
    <w:rsid w:val="00E67668"/>
    <w:rsid w:val="00E70AEE"/>
    <w:rsid w:val="00E7107E"/>
    <w:rsid w:val="00E71C93"/>
    <w:rsid w:val="00E725D5"/>
    <w:rsid w:val="00E72AE3"/>
    <w:rsid w:val="00E73B51"/>
    <w:rsid w:val="00E76B98"/>
    <w:rsid w:val="00E8151C"/>
    <w:rsid w:val="00E81A88"/>
    <w:rsid w:val="00E81E9C"/>
    <w:rsid w:val="00E82E15"/>
    <w:rsid w:val="00E84151"/>
    <w:rsid w:val="00E86FA6"/>
    <w:rsid w:val="00E91409"/>
    <w:rsid w:val="00E91D17"/>
    <w:rsid w:val="00E926B4"/>
    <w:rsid w:val="00E936FF"/>
    <w:rsid w:val="00E939C8"/>
    <w:rsid w:val="00E93A33"/>
    <w:rsid w:val="00E93B6B"/>
    <w:rsid w:val="00E96C74"/>
    <w:rsid w:val="00EA1F89"/>
    <w:rsid w:val="00EA5177"/>
    <w:rsid w:val="00EA52D9"/>
    <w:rsid w:val="00EA76E7"/>
    <w:rsid w:val="00EA7FEF"/>
    <w:rsid w:val="00EB117B"/>
    <w:rsid w:val="00EB2BEB"/>
    <w:rsid w:val="00EB40D6"/>
    <w:rsid w:val="00EB4222"/>
    <w:rsid w:val="00EB5F75"/>
    <w:rsid w:val="00EB79CD"/>
    <w:rsid w:val="00ED5985"/>
    <w:rsid w:val="00EE0648"/>
    <w:rsid w:val="00EE0F2E"/>
    <w:rsid w:val="00EE1868"/>
    <w:rsid w:val="00EE2610"/>
    <w:rsid w:val="00EE2A41"/>
    <w:rsid w:val="00EE354B"/>
    <w:rsid w:val="00EE3C1D"/>
    <w:rsid w:val="00EE6EC2"/>
    <w:rsid w:val="00EF0144"/>
    <w:rsid w:val="00EF09FB"/>
    <w:rsid w:val="00EF102E"/>
    <w:rsid w:val="00EF1925"/>
    <w:rsid w:val="00EF2489"/>
    <w:rsid w:val="00EF697A"/>
    <w:rsid w:val="00F02923"/>
    <w:rsid w:val="00F0351B"/>
    <w:rsid w:val="00F06472"/>
    <w:rsid w:val="00F10D6B"/>
    <w:rsid w:val="00F123C0"/>
    <w:rsid w:val="00F13254"/>
    <w:rsid w:val="00F1465C"/>
    <w:rsid w:val="00F177B1"/>
    <w:rsid w:val="00F22566"/>
    <w:rsid w:val="00F226B2"/>
    <w:rsid w:val="00F226DB"/>
    <w:rsid w:val="00F22963"/>
    <w:rsid w:val="00F22BA4"/>
    <w:rsid w:val="00F232C2"/>
    <w:rsid w:val="00F24599"/>
    <w:rsid w:val="00F250C5"/>
    <w:rsid w:val="00F278FA"/>
    <w:rsid w:val="00F30F82"/>
    <w:rsid w:val="00F342B2"/>
    <w:rsid w:val="00F367F2"/>
    <w:rsid w:val="00F370A2"/>
    <w:rsid w:val="00F403EA"/>
    <w:rsid w:val="00F42753"/>
    <w:rsid w:val="00F42E10"/>
    <w:rsid w:val="00F440D8"/>
    <w:rsid w:val="00F44A7B"/>
    <w:rsid w:val="00F44FFA"/>
    <w:rsid w:val="00F45B6F"/>
    <w:rsid w:val="00F510DB"/>
    <w:rsid w:val="00F516E3"/>
    <w:rsid w:val="00F5627B"/>
    <w:rsid w:val="00F5724D"/>
    <w:rsid w:val="00F6021E"/>
    <w:rsid w:val="00F60AB3"/>
    <w:rsid w:val="00F62329"/>
    <w:rsid w:val="00F635AC"/>
    <w:rsid w:val="00F65A74"/>
    <w:rsid w:val="00F727B0"/>
    <w:rsid w:val="00F72A12"/>
    <w:rsid w:val="00F76A74"/>
    <w:rsid w:val="00F81124"/>
    <w:rsid w:val="00F816C6"/>
    <w:rsid w:val="00F817C5"/>
    <w:rsid w:val="00F841CB"/>
    <w:rsid w:val="00F858D5"/>
    <w:rsid w:val="00F909A9"/>
    <w:rsid w:val="00F91AEE"/>
    <w:rsid w:val="00F97C07"/>
    <w:rsid w:val="00FA047C"/>
    <w:rsid w:val="00FA19D2"/>
    <w:rsid w:val="00FA2545"/>
    <w:rsid w:val="00FA2625"/>
    <w:rsid w:val="00FA7EF6"/>
    <w:rsid w:val="00FB2524"/>
    <w:rsid w:val="00FB4AAD"/>
    <w:rsid w:val="00FB4E3D"/>
    <w:rsid w:val="00FB5F2A"/>
    <w:rsid w:val="00FB6CF8"/>
    <w:rsid w:val="00FC16E9"/>
    <w:rsid w:val="00FC279C"/>
    <w:rsid w:val="00FC45DE"/>
    <w:rsid w:val="00FC48CB"/>
    <w:rsid w:val="00FC4F9B"/>
    <w:rsid w:val="00FC59F0"/>
    <w:rsid w:val="00FD0B6D"/>
    <w:rsid w:val="00FD4599"/>
    <w:rsid w:val="00FD4784"/>
    <w:rsid w:val="00FD51A0"/>
    <w:rsid w:val="00FD65FE"/>
    <w:rsid w:val="00FD74EB"/>
    <w:rsid w:val="00FE009C"/>
    <w:rsid w:val="00FE01E5"/>
    <w:rsid w:val="00FE214F"/>
    <w:rsid w:val="00FE3DA3"/>
    <w:rsid w:val="00FE6BC1"/>
    <w:rsid w:val="00FE73F0"/>
    <w:rsid w:val="00FF1082"/>
    <w:rsid w:val="00FF3652"/>
    <w:rsid w:val="00FF46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2D3A73"/>
  <w15:chartTrackingRefBased/>
  <w15:docId w15:val="{8636E49A-474F-4787-9B6E-936D3E8C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semiHidden/>
    <w:rsid w:val="007216DB"/>
    <w:rPr>
      <w:rFonts w:ascii="Times New Roman" w:eastAsia="Times New Roman" w:hAnsi="Times New Roman"/>
      <w:sz w:val="25"/>
      <w:szCs w:val="25"/>
      <w:lang w:val="en-US"/>
    </w:rPr>
  </w:style>
  <w:style w:type="character" w:customStyle="1" w:styleId="apple-style-span">
    <w:name w:val="apple-style-span"/>
    <w:rsid w:val="007E319E"/>
  </w:style>
  <w:style w:type="paragraph" w:customStyle="1" w:styleId="INFOEM">
    <w:name w:val="INFOEM"/>
    <w:basedOn w:val="Normal"/>
    <w:qFormat/>
    <w:rsid w:val="00CE0E72"/>
    <w:pPr>
      <w:spacing w:before="240" w:line="360" w:lineRule="auto"/>
      <w:ind w:left="851" w:right="851"/>
      <w:jc w:val="both"/>
    </w:pPr>
    <w:rPr>
      <w:rFonts w:ascii="Palatino Linotype" w:hAnsi="Palatino Linotype"/>
      <w:i/>
      <w:color w:val="000000"/>
      <w:szCs w:val="14"/>
    </w:rPr>
  </w:style>
  <w:style w:type="paragraph" w:customStyle="1" w:styleId="infoemcitas">
    <w:name w:val="infoem citas"/>
    <w:basedOn w:val="Normal"/>
    <w:qFormat/>
    <w:rsid w:val="00D25BEE"/>
    <w:pPr>
      <w:spacing w:before="240" w:line="360" w:lineRule="auto"/>
      <w:ind w:left="851" w:right="851"/>
      <w:jc w:val="both"/>
    </w:pPr>
    <w:rPr>
      <w:rFonts w:ascii="Palatino Linotype" w:hAnsi="Palatino Linotype"/>
      <w:i/>
    </w:rPr>
  </w:style>
  <w:style w:type="paragraph" w:customStyle="1" w:styleId="Citas">
    <w:name w:val="Citas"/>
    <w:basedOn w:val="Normal"/>
    <w:qFormat/>
    <w:rsid w:val="006C66E4"/>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E725D5"/>
    <w:rPr>
      <w:color w:val="605E5C"/>
      <w:shd w:val="clear" w:color="auto" w:fill="E1DFDD"/>
    </w:rPr>
  </w:style>
  <w:style w:type="character" w:customStyle="1" w:styleId="UnresolvedMention2">
    <w:name w:val="Unresolved Mention2"/>
    <w:basedOn w:val="Fuentedeprrafopredeter"/>
    <w:uiPriority w:val="99"/>
    <w:semiHidden/>
    <w:unhideWhenUsed/>
    <w:rsid w:val="00DA1152"/>
    <w:rPr>
      <w:color w:val="605E5C"/>
      <w:shd w:val="clear" w:color="auto" w:fill="E1DFDD"/>
    </w:rPr>
  </w:style>
  <w:style w:type="paragraph" w:styleId="NormalWeb">
    <w:name w:val="Normal (Web)"/>
    <w:basedOn w:val="Normal"/>
    <w:uiPriority w:val="99"/>
    <w:semiHidden/>
    <w:unhideWhenUsed/>
    <w:rsid w:val="0057526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nresolvedMention">
    <w:name w:val="Unresolved Mention"/>
    <w:basedOn w:val="Fuentedeprrafopredeter"/>
    <w:uiPriority w:val="99"/>
    <w:semiHidden/>
    <w:unhideWhenUsed/>
    <w:rsid w:val="00233D7E"/>
    <w:rPr>
      <w:color w:val="605E5C"/>
      <w:shd w:val="clear" w:color="auto" w:fill="E1DFDD"/>
    </w:rPr>
  </w:style>
  <w:style w:type="paragraph" w:customStyle="1" w:styleId="j">
    <w:name w:val="j"/>
    <w:basedOn w:val="Normal"/>
    <w:rsid w:val="001E3F4C"/>
    <w:pPr>
      <w:spacing w:before="100" w:beforeAutospacing="1" w:after="100" w:afterAutospacing="1" w:line="240" w:lineRule="auto"/>
    </w:pPr>
    <w:rPr>
      <w:rFonts w:ascii="Times New Roman" w:hAnsi="Times New Roman" w:cs="Times New Roman"/>
      <w:sz w:val="24"/>
      <w:szCs w:val="24"/>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656545">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802958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3516311">
      <w:bodyDiv w:val="1"/>
      <w:marLeft w:val="0"/>
      <w:marRight w:val="0"/>
      <w:marTop w:val="0"/>
      <w:marBottom w:val="0"/>
      <w:divBdr>
        <w:top w:val="none" w:sz="0" w:space="0" w:color="auto"/>
        <w:left w:val="none" w:sz="0" w:space="0" w:color="auto"/>
        <w:bottom w:val="none" w:sz="0" w:space="0" w:color="auto"/>
        <w:right w:val="none" w:sz="0" w:space="0" w:color="auto"/>
      </w:divBdr>
    </w:div>
    <w:div w:id="352802663">
      <w:bodyDiv w:val="1"/>
      <w:marLeft w:val="0"/>
      <w:marRight w:val="0"/>
      <w:marTop w:val="0"/>
      <w:marBottom w:val="0"/>
      <w:divBdr>
        <w:top w:val="none" w:sz="0" w:space="0" w:color="auto"/>
        <w:left w:val="none" w:sz="0" w:space="0" w:color="auto"/>
        <w:bottom w:val="none" w:sz="0" w:space="0" w:color="auto"/>
        <w:right w:val="none" w:sz="0" w:space="0" w:color="auto"/>
      </w:divBdr>
    </w:div>
    <w:div w:id="37343052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50575885">
      <w:bodyDiv w:val="1"/>
      <w:marLeft w:val="0"/>
      <w:marRight w:val="0"/>
      <w:marTop w:val="0"/>
      <w:marBottom w:val="0"/>
      <w:divBdr>
        <w:top w:val="none" w:sz="0" w:space="0" w:color="auto"/>
        <w:left w:val="none" w:sz="0" w:space="0" w:color="auto"/>
        <w:bottom w:val="none" w:sz="0" w:space="0" w:color="auto"/>
        <w:right w:val="none" w:sz="0" w:space="0" w:color="auto"/>
      </w:divBdr>
    </w:div>
    <w:div w:id="649095697">
      <w:bodyDiv w:val="1"/>
      <w:marLeft w:val="0"/>
      <w:marRight w:val="0"/>
      <w:marTop w:val="0"/>
      <w:marBottom w:val="0"/>
      <w:divBdr>
        <w:top w:val="none" w:sz="0" w:space="0" w:color="auto"/>
        <w:left w:val="none" w:sz="0" w:space="0" w:color="auto"/>
        <w:bottom w:val="none" w:sz="0" w:space="0" w:color="auto"/>
        <w:right w:val="none" w:sz="0" w:space="0" w:color="auto"/>
      </w:divBdr>
    </w:div>
    <w:div w:id="652223925">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8540192">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64829749">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17267289">
      <w:bodyDiv w:val="1"/>
      <w:marLeft w:val="0"/>
      <w:marRight w:val="0"/>
      <w:marTop w:val="0"/>
      <w:marBottom w:val="0"/>
      <w:divBdr>
        <w:top w:val="none" w:sz="0" w:space="0" w:color="auto"/>
        <w:left w:val="none" w:sz="0" w:space="0" w:color="auto"/>
        <w:bottom w:val="none" w:sz="0" w:space="0" w:color="auto"/>
        <w:right w:val="none" w:sz="0" w:space="0" w:color="auto"/>
      </w:divBdr>
    </w:div>
    <w:div w:id="1058473420">
      <w:bodyDiv w:val="1"/>
      <w:marLeft w:val="0"/>
      <w:marRight w:val="0"/>
      <w:marTop w:val="0"/>
      <w:marBottom w:val="0"/>
      <w:divBdr>
        <w:top w:val="none" w:sz="0" w:space="0" w:color="auto"/>
        <w:left w:val="none" w:sz="0" w:space="0" w:color="auto"/>
        <w:bottom w:val="none" w:sz="0" w:space="0" w:color="auto"/>
        <w:right w:val="none" w:sz="0" w:space="0" w:color="auto"/>
      </w:divBdr>
    </w:div>
    <w:div w:id="109852571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00513645">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61838707">
      <w:bodyDiv w:val="1"/>
      <w:marLeft w:val="0"/>
      <w:marRight w:val="0"/>
      <w:marTop w:val="0"/>
      <w:marBottom w:val="0"/>
      <w:divBdr>
        <w:top w:val="none" w:sz="0" w:space="0" w:color="auto"/>
        <w:left w:val="none" w:sz="0" w:space="0" w:color="auto"/>
        <w:bottom w:val="none" w:sz="0" w:space="0" w:color="auto"/>
        <w:right w:val="none" w:sz="0" w:space="0" w:color="auto"/>
      </w:divBdr>
    </w:div>
    <w:div w:id="1291742670">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0058973">
      <w:bodyDiv w:val="1"/>
      <w:marLeft w:val="0"/>
      <w:marRight w:val="0"/>
      <w:marTop w:val="0"/>
      <w:marBottom w:val="0"/>
      <w:divBdr>
        <w:top w:val="none" w:sz="0" w:space="0" w:color="auto"/>
        <w:left w:val="none" w:sz="0" w:space="0" w:color="auto"/>
        <w:bottom w:val="none" w:sz="0" w:space="0" w:color="auto"/>
        <w:right w:val="none" w:sz="0" w:space="0" w:color="auto"/>
      </w:divBdr>
    </w:div>
    <w:div w:id="1503813599">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654141962">
      <w:bodyDiv w:val="1"/>
      <w:marLeft w:val="0"/>
      <w:marRight w:val="0"/>
      <w:marTop w:val="0"/>
      <w:marBottom w:val="0"/>
      <w:divBdr>
        <w:top w:val="none" w:sz="0" w:space="0" w:color="auto"/>
        <w:left w:val="none" w:sz="0" w:space="0" w:color="auto"/>
        <w:bottom w:val="none" w:sz="0" w:space="0" w:color="auto"/>
        <w:right w:val="none" w:sz="0" w:space="0" w:color="auto"/>
      </w:divBdr>
    </w:div>
    <w:div w:id="1732190596">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842039450">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4669754">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dle.rae.es/?id=FdI00Or"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dle.rae.es/?id=KtnHLLd" TargetMode="External"/><Relationship Id="rId3" Type="http://schemas.openxmlformats.org/officeDocument/2006/relationships/hyperlink" Target="http://dej.rae.es/" TargetMode="External"/><Relationship Id="rId7" Type="http://schemas.openxmlformats.org/officeDocument/2006/relationships/hyperlink" Target="http://dle.rae.es/?id=CAqWkEB"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 Id="rId6" Type="http://schemas.openxmlformats.org/officeDocument/2006/relationships/hyperlink" Target="http://dle.rae.es/?id=CAjNzMR" TargetMode="External"/><Relationship Id="rId5" Type="http://schemas.openxmlformats.org/officeDocument/2006/relationships/hyperlink" Target="http://dle.rae.es/?id=VGqyuLj|VGtxgAo|VGuc9Wg" TargetMode="External"/><Relationship Id="rId4" Type="http://schemas.openxmlformats.org/officeDocument/2006/relationships/hyperlink" Target="http://dej.rae.es/" TargetMode="External"/><Relationship Id="rId9" Type="http://schemas.openxmlformats.org/officeDocument/2006/relationships/hyperlink" Target="http://dle.rae.es/?id=Ktpfgj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17FD71-27E5-4E17-9AD6-ECAEEFB04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664</TotalTime>
  <Pages>57</Pages>
  <Words>9468</Words>
  <Characters>52078</Characters>
  <Application>Microsoft Office Word</Application>
  <DocSecurity>0</DocSecurity>
  <Lines>433</Lines>
  <Paragraphs>122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61424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libni</cp:lastModifiedBy>
  <cp:revision>31</cp:revision>
  <cp:lastPrinted>2019-11-07T00:56:00Z</cp:lastPrinted>
  <dcterms:created xsi:type="dcterms:W3CDTF">2022-09-21T15:27:00Z</dcterms:created>
  <dcterms:modified xsi:type="dcterms:W3CDTF">2022-12-01T21:08:00Z</dcterms:modified>
</cp:coreProperties>
</file>