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3F25" w:rsidR="007E363C" w:rsidP="00710DA7" w:rsidRDefault="007E363C" w14:paraId="75F1A75D" w14:textId="7C5005B9">
      <w:pPr>
        <w:spacing w:line="360" w:lineRule="auto"/>
        <w:jc w:val="both"/>
        <w:rPr>
          <w:rFonts w:ascii="Palatino Linotype" w:hAnsi="Palatino Linotype" w:cs="Tahoma"/>
          <w:bCs/>
          <w:sz w:val="22"/>
          <w:szCs w:val="22"/>
        </w:rPr>
      </w:pPr>
      <w:r w:rsidRPr="00B23F2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B23F25" w:rsidR="00EF3D3D">
        <w:rPr>
          <w:rFonts w:ascii="Palatino Linotype" w:hAnsi="Palatino Linotype" w:cs="Tahoma"/>
          <w:bCs/>
          <w:sz w:val="22"/>
          <w:szCs w:val="22"/>
        </w:rPr>
        <w:t>veinti</w:t>
      </w:r>
      <w:r w:rsidRPr="00B23F25" w:rsidR="00C94089">
        <w:rPr>
          <w:rFonts w:ascii="Palatino Linotype" w:hAnsi="Palatino Linotype" w:cs="Tahoma"/>
          <w:bCs/>
          <w:sz w:val="22"/>
          <w:szCs w:val="22"/>
        </w:rPr>
        <w:t>nueve</w:t>
      </w:r>
      <w:r w:rsidRPr="00B23F25" w:rsidR="00D83309">
        <w:rPr>
          <w:rFonts w:ascii="Palatino Linotype" w:hAnsi="Palatino Linotype" w:cs="Tahoma"/>
          <w:bCs/>
          <w:sz w:val="22"/>
          <w:szCs w:val="22"/>
        </w:rPr>
        <w:t xml:space="preserve"> de </w:t>
      </w:r>
      <w:r w:rsidRPr="00B23F25" w:rsidR="00EF3D3D">
        <w:rPr>
          <w:rFonts w:ascii="Palatino Linotype" w:hAnsi="Palatino Linotype" w:cs="Tahoma"/>
          <w:bCs/>
          <w:sz w:val="22"/>
          <w:szCs w:val="22"/>
        </w:rPr>
        <w:t>junio</w:t>
      </w:r>
      <w:r w:rsidRPr="00B23F25" w:rsidR="003C449B">
        <w:rPr>
          <w:rFonts w:ascii="Palatino Linotype" w:hAnsi="Palatino Linotype" w:cs="Tahoma"/>
          <w:bCs/>
          <w:sz w:val="22"/>
          <w:szCs w:val="22"/>
        </w:rPr>
        <w:t xml:space="preserve"> de dos mil veintidós.</w:t>
      </w:r>
    </w:p>
    <w:p w:rsidRPr="00B23F25" w:rsidR="00D83309" w:rsidP="00710DA7" w:rsidRDefault="00D83309" w14:paraId="69684B8C" w14:textId="77777777">
      <w:pPr>
        <w:spacing w:line="360" w:lineRule="auto"/>
        <w:jc w:val="both"/>
        <w:rPr>
          <w:rFonts w:ascii="Palatino Linotype" w:hAnsi="Palatino Linotype" w:cs="Tahoma"/>
          <w:bCs/>
          <w:sz w:val="22"/>
          <w:szCs w:val="22"/>
        </w:rPr>
      </w:pPr>
    </w:p>
    <w:p w:rsidRPr="00B23F25" w:rsidR="007E363C" w:rsidP="5E5268E9" w:rsidRDefault="007E363C" w14:paraId="52AE8B8D" w14:textId="3EAA73EB">
      <w:pPr>
        <w:spacing w:line="360" w:lineRule="auto"/>
        <w:jc w:val="both"/>
        <w:rPr>
          <w:rFonts w:ascii="Palatino Linotype" w:hAnsi="Palatino Linotype" w:cs="Tahoma"/>
          <w:color w:val="0D0D0D"/>
          <w:sz w:val="22"/>
          <w:szCs w:val="22"/>
        </w:rPr>
      </w:pPr>
      <w:r w:rsidRPr="5E5268E9" w:rsidR="5E5268E9">
        <w:rPr>
          <w:rFonts w:ascii="Palatino Linotype" w:hAnsi="Palatino Linotype" w:cs="Tahoma"/>
          <w:b w:val="1"/>
          <w:bCs w:val="1"/>
          <w:color w:val="0D0D0D" w:themeColor="text1" w:themeTint="F2" w:themeShade="FF"/>
          <w:sz w:val="22"/>
          <w:szCs w:val="22"/>
        </w:rPr>
        <w:t xml:space="preserve">VISTO </w:t>
      </w:r>
      <w:r w:rsidRPr="5E5268E9" w:rsidR="5E5268E9">
        <w:rPr>
          <w:rFonts w:ascii="Palatino Linotype" w:hAnsi="Palatino Linotype" w:cs="Tahoma"/>
          <w:color w:val="0D0D0D" w:themeColor="text1" w:themeTint="F2" w:themeShade="FF"/>
          <w:sz w:val="22"/>
          <w:szCs w:val="22"/>
        </w:rPr>
        <w:t xml:space="preserve">el expediente conformado con motivo del Recurso de Revisión 04736/INFOEM/IP/RR/2022, interpuestos por </w:t>
      </w:r>
      <w:r w:rsidRPr="5E5268E9" w:rsidR="5E5268E9">
        <w:rPr>
          <w:rFonts w:ascii="Palatino Linotype" w:hAnsi="Palatino Linotype" w:cs="Tahoma"/>
          <w:color w:val="0D0D0D" w:themeColor="text1" w:themeTint="F2" w:themeShade="FF"/>
          <w:sz w:val="22"/>
          <w:szCs w:val="22"/>
          <w:highlight w:val="black"/>
        </w:rPr>
        <w:t>XXXXXXXXXXXXXXX</w:t>
      </w:r>
      <w:r w:rsidRPr="5E5268E9" w:rsidR="5E5268E9">
        <w:rPr>
          <w:rFonts w:ascii="Palatino Linotype" w:hAnsi="Palatino Linotype" w:cs="Tahoma"/>
          <w:color w:val="0D0D0D" w:themeColor="text1" w:themeTint="F2" w:themeShade="FF"/>
          <w:sz w:val="22"/>
          <w:szCs w:val="22"/>
        </w:rPr>
        <w:t>, en lo sucesivo el</w:t>
      </w:r>
      <w:r w:rsidRPr="5E5268E9" w:rsidR="5E5268E9">
        <w:rPr>
          <w:rFonts w:ascii="Palatino Linotype" w:hAnsi="Palatino Linotype" w:cs="Tahoma"/>
          <w:color w:val="0D0D0D" w:themeColor="text1" w:themeTint="F2" w:themeShade="FF"/>
          <w:sz w:val="22"/>
          <w:szCs w:val="22"/>
          <w:lang w:val="es-ES"/>
        </w:rPr>
        <w:t xml:space="preserve"> </w:t>
      </w:r>
      <w:r w:rsidRPr="5E5268E9" w:rsidR="5E5268E9">
        <w:rPr>
          <w:rFonts w:ascii="Palatino Linotype" w:hAnsi="Palatino Linotype" w:cs="Tahoma"/>
          <w:color w:val="0D0D0D" w:themeColor="text1" w:themeTint="F2" w:themeShade="FF"/>
          <w:sz w:val="22"/>
          <w:szCs w:val="22"/>
        </w:rPr>
        <w:t>Recurrente o Particular,</w:t>
      </w:r>
      <w:r w:rsidRPr="5E5268E9" w:rsidR="5E5268E9">
        <w:rPr>
          <w:rFonts w:ascii="Palatino Linotype" w:hAnsi="Palatino Linotype" w:cs="Tahoma"/>
          <w:color w:val="0D0D0D" w:themeColor="text1" w:themeTint="F2" w:themeShade="FF"/>
          <w:sz w:val="22"/>
          <w:szCs w:val="22"/>
          <w:lang w:val="es-ES"/>
        </w:rPr>
        <w:t xml:space="preserve"> en contra de la respuesta del Sujeto Obligado</w:t>
      </w:r>
      <w:r w:rsidRPr="5E5268E9" w:rsidR="5E5268E9">
        <w:rPr>
          <w:rFonts w:ascii="Palatino Linotype" w:hAnsi="Palatino Linotype" w:cs="Tahoma"/>
          <w:color w:val="0D0D0D" w:themeColor="text1" w:themeTint="F2" w:themeShade="FF"/>
          <w:sz w:val="22"/>
          <w:szCs w:val="22"/>
        </w:rPr>
        <w:t>, Ayuntamiento de Temascalcingo, a la solicitud de información pública 00046/TMASCALC/IP/2022</w:t>
      </w:r>
      <w:r w:rsidRPr="5E5268E9" w:rsidR="5E5268E9">
        <w:rPr>
          <w:rFonts w:ascii="Palatino Linotype" w:hAnsi="Palatino Linotype" w:cs="Tahoma"/>
          <w:b w:val="1"/>
          <w:bCs w:val="1"/>
          <w:color w:val="0D0D0D" w:themeColor="text1" w:themeTint="F2" w:themeShade="FF"/>
          <w:sz w:val="22"/>
          <w:szCs w:val="22"/>
        </w:rPr>
        <w:t xml:space="preserve">, </w:t>
      </w:r>
      <w:r w:rsidRPr="5E5268E9" w:rsidR="5E5268E9">
        <w:rPr>
          <w:rFonts w:ascii="Palatino Linotype" w:hAnsi="Palatino Linotype" w:cs="Tahoma"/>
          <w:color w:val="0D0D0D" w:themeColor="text1" w:themeTint="F2" w:themeShade="FF"/>
          <w:sz w:val="22"/>
          <w:szCs w:val="22"/>
        </w:rPr>
        <w:t>se emite la presente Resolución, con base en los Antecedentes y C</w:t>
      </w:r>
      <w:r w:rsidRPr="5E5268E9" w:rsidR="5E5268E9">
        <w:rPr>
          <w:rFonts w:ascii="Palatino Linotype" w:hAnsi="Palatino Linotype" w:cs="Tahoma"/>
          <w:sz w:val="22"/>
          <w:szCs w:val="22"/>
        </w:rPr>
        <w:t>onsiderandos que a continuación se exponen:</w:t>
      </w:r>
    </w:p>
    <w:p w:rsidRPr="00B23F25" w:rsidR="006E55D9" w:rsidP="00710DA7" w:rsidRDefault="006E55D9" w14:paraId="20ECEFE9" w14:textId="77777777">
      <w:pPr>
        <w:tabs>
          <w:tab w:val="center" w:pos="4522"/>
          <w:tab w:val="left" w:pos="7245"/>
        </w:tabs>
        <w:spacing w:line="360" w:lineRule="auto"/>
        <w:jc w:val="center"/>
        <w:rPr>
          <w:rFonts w:ascii="Palatino Linotype" w:hAnsi="Palatino Linotype" w:cs="Tahoma"/>
          <w:b/>
          <w:sz w:val="22"/>
          <w:szCs w:val="22"/>
        </w:rPr>
      </w:pPr>
    </w:p>
    <w:p w:rsidRPr="00B23F25" w:rsidR="007E363C" w:rsidP="00710DA7" w:rsidRDefault="007E363C" w14:paraId="0075B0EB" w14:textId="06D47DDB">
      <w:pPr>
        <w:tabs>
          <w:tab w:val="center" w:pos="4522"/>
          <w:tab w:val="left" w:pos="7245"/>
        </w:tabs>
        <w:spacing w:line="360" w:lineRule="auto"/>
        <w:jc w:val="center"/>
        <w:rPr>
          <w:rFonts w:ascii="Palatino Linotype" w:hAnsi="Palatino Linotype" w:cs="Tahoma"/>
          <w:b/>
          <w:sz w:val="22"/>
          <w:szCs w:val="22"/>
        </w:rPr>
      </w:pPr>
      <w:r w:rsidRPr="00B23F25">
        <w:rPr>
          <w:rFonts w:ascii="Palatino Linotype" w:hAnsi="Palatino Linotype" w:cs="Tahoma"/>
          <w:b/>
          <w:sz w:val="22"/>
          <w:szCs w:val="22"/>
        </w:rPr>
        <w:t>A N T E C E D E N T E S:</w:t>
      </w:r>
    </w:p>
    <w:p w:rsidRPr="00B23F25" w:rsidR="000F585E" w:rsidP="00710DA7" w:rsidRDefault="000F585E" w14:paraId="3DABB258" w14:textId="77777777">
      <w:pPr>
        <w:pStyle w:val="Prrafodelista"/>
        <w:tabs>
          <w:tab w:val="left" w:pos="567"/>
        </w:tabs>
        <w:spacing w:line="360" w:lineRule="auto"/>
        <w:ind w:left="0"/>
        <w:contextualSpacing w:val="0"/>
        <w:rPr>
          <w:rFonts w:cs="Tahoma"/>
          <w:b/>
          <w:szCs w:val="22"/>
        </w:rPr>
      </w:pPr>
    </w:p>
    <w:p w:rsidRPr="00B23F25" w:rsidR="007E363C" w:rsidP="00710DA7" w:rsidRDefault="007E363C" w14:paraId="253BA471" w14:textId="477063A6">
      <w:pPr>
        <w:pStyle w:val="Prrafodelista"/>
        <w:tabs>
          <w:tab w:val="left" w:pos="567"/>
        </w:tabs>
        <w:spacing w:line="360" w:lineRule="auto"/>
        <w:ind w:left="0"/>
        <w:contextualSpacing w:val="0"/>
        <w:rPr>
          <w:rFonts w:cs="Tahoma"/>
          <w:b/>
          <w:szCs w:val="22"/>
        </w:rPr>
      </w:pPr>
      <w:r w:rsidRPr="00B23F25">
        <w:rPr>
          <w:rFonts w:cs="Tahoma"/>
          <w:b/>
          <w:szCs w:val="22"/>
        </w:rPr>
        <w:t xml:space="preserve">I. Presentación de las solicitudes de información. </w:t>
      </w:r>
    </w:p>
    <w:p w:rsidRPr="00B23F25" w:rsidR="007E363C" w:rsidP="00710DA7" w:rsidRDefault="007E363C" w14:paraId="7C204955" w14:textId="4333875D">
      <w:pPr>
        <w:pStyle w:val="Prrafodelista"/>
        <w:tabs>
          <w:tab w:val="left" w:pos="567"/>
        </w:tabs>
        <w:spacing w:line="360" w:lineRule="auto"/>
        <w:ind w:left="0"/>
        <w:contextualSpacing w:val="0"/>
        <w:rPr>
          <w:rFonts w:cs="Tahoma"/>
          <w:szCs w:val="22"/>
        </w:rPr>
      </w:pPr>
    </w:p>
    <w:p w:rsidRPr="00B23F25" w:rsidR="002A2ED6" w:rsidP="002A2ED6" w:rsidRDefault="007E363C" w14:paraId="7B2C1AA9" w14:textId="71B03391">
      <w:pPr>
        <w:tabs>
          <w:tab w:val="left" w:pos="567"/>
        </w:tabs>
        <w:spacing w:line="360" w:lineRule="auto"/>
        <w:jc w:val="both"/>
        <w:rPr>
          <w:rFonts w:ascii="Palatino Linotype" w:hAnsi="Palatino Linotype" w:cs="Tahoma"/>
          <w:b/>
          <w:sz w:val="22"/>
          <w:szCs w:val="22"/>
          <w:lang w:eastAsia="es-ES"/>
        </w:rPr>
      </w:pPr>
      <w:r w:rsidRPr="00B23F25">
        <w:rPr>
          <w:rFonts w:ascii="Palatino Linotype" w:hAnsi="Palatino Linotype" w:cs="Tahoma"/>
          <w:sz w:val="22"/>
          <w:szCs w:val="22"/>
        </w:rPr>
        <w:t>Con fecha</w:t>
      </w:r>
      <w:r w:rsidRPr="00B23F25" w:rsidR="000175EE">
        <w:rPr>
          <w:rFonts w:ascii="Palatino Linotype" w:hAnsi="Palatino Linotype" w:cs="Tahoma"/>
          <w:sz w:val="22"/>
          <w:szCs w:val="22"/>
        </w:rPr>
        <w:t xml:space="preserve"> </w:t>
      </w:r>
      <w:r w:rsidRPr="00B23F25" w:rsidR="002A2ED6">
        <w:rPr>
          <w:rFonts w:ascii="Palatino Linotype" w:hAnsi="Palatino Linotype" w:cs="Tahoma"/>
          <w:sz w:val="22"/>
          <w:szCs w:val="22"/>
        </w:rPr>
        <w:t>siete</w:t>
      </w:r>
      <w:r w:rsidRPr="00B23F25" w:rsidR="000175EE">
        <w:rPr>
          <w:rFonts w:ascii="Palatino Linotype" w:hAnsi="Palatino Linotype" w:cs="Tahoma"/>
          <w:sz w:val="22"/>
          <w:szCs w:val="22"/>
        </w:rPr>
        <w:t xml:space="preserve"> de </w:t>
      </w:r>
      <w:r w:rsidRPr="00B23F25" w:rsidR="00EF3D3D">
        <w:rPr>
          <w:rFonts w:ascii="Palatino Linotype" w:hAnsi="Palatino Linotype" w:cs="Tahoma"/>
          <w:sz w:val="22"/>
          <w:szCs w:val="22"/>
        </w:rPr>
        <w:t>marzo</w:t>
      </w:r>
      <w:r w:rsidRPr="00B23F25" w:rsidR="000175EE">
        <w:rPr>
          <w:rFonts w:ascii="Palatino Linotype" w:hAnsi="Palatino Linotype" w:cs="Tahoma"/>
          <w:sz w:val="22"/>
          <w:szCs w:val="22"/>
        </w:rPr>
        <w:t xml:space="preserve"> de dos mil veintidós, el Particular, presento </w:t>
      </w:r>
      <w:r w:rsidRPr="00B23F25" w:rsidR="00652292">
        <w:rPr>
          <w:rFonts w:ascii="Palatino Linotype" w:hAnsi="Palatino Linotype" w:cs="Tahoma"/>
          <w:sz w:val="22"/>
          <w:szCs w:val="22"/>
        </w:rPr>
        <w:t>una</w:t>
      </w:r>
      <w:r w:rsidRPr="00B23F25" w:rsidR="000175EE">
        <w:rPr>
          <w:rFonts w:ascii="Palatino Linotype" w:hAnsi="Palatino Linotype" w:cs="Tahoma"/>
          <w:sz w:val="22"/>
          <w:szCs w:val="22"/>
        </w:rPr>
        <w:t xml:space="preserve"> solicitud de acceso a la información</w:t>
      </w:r>
      <w:r w:rsidRPr="00B23F25">
        <w:rPr>
          <w:rFonts w:ascii="Palatino Linotype" w:hAnsi="Palatino Linotype" w:cs="Tahoma"/>
          <w:sz w:val="22"/>
          <w:szCs w:val="22"/>
        </w:rPr>
        <w:t xml:space="preserve">, a través del Sistema de Acceso a la Información Mexiquense </w:t>
      </w:r>
      <w:r w:rsidRPr="00B23F25">
        <w:rPr>
          <w:rFonts w:ascii="Palatino Linotype" w:hAnsi="Palatino Linotype" w:cs="Tahoma"/>
          <w:sz w:val="22"/>
          <w:szCs w:val="22"/>
          <w:lang w:val="es-ES"/>
        </w:rPr>
        <w:t>(SAIMEX)</w:t>
      </w:r>
      <w:r w:rsidRPr="00B23F25">
        <w:rPr>
          <w:rFonts w:ascii="Palatino Linotype" w:hAnsi="Palatino Linotype" w:cs="Tahoma"/>
          <w:sz w:val="22"/>
          <w:szCs w:val="22"/>
        </w:rPr>
        <w:t xml:space="preserve">, ante el </w:t>
      </w:r>
      <w:r w:rsidRPr="00B23F25" w:rsidR="002A2ED6">
        <w:rPr>
          <w:rFonts w:ascii="Palatino Linotype" w:hAnsi="Palatino Linotype" w:cs="Tahoma"/>
          <w:sz w:val="22"/>
          <w:szCs w:val="22"/>
        </w:rPr>
        <w:t>Ayuntamiento de Temascalcingo</w:t>
      </w:r>
      <w:r w:rsidRPr="00B23F25">
        <w:rPr>
          <w:rFonts w:ascii="Palatino Linotype" w:hAnsi="Palatino Linotype" w:cs="Tahoma"/>
          <w:b/>
          <w:sz w:val="22"/>
          <w:szCs w:val="22"/>
        </w:rPr>
        <w:t>,</w:t>
      </w:r>
      <w:r w:rsidRPr="00B23F25" w:rsidR="00652292">
        <w:rPr>
          <w:rFonts w:ascii="Palatino Linotype" w:hAnsi="Palatino Linotype" w:cs="Tahoma"/>
          <w:sz w:val="22"/>
          <w:szCs w:val="22"/>
          <w:lang w:eastAsia="es-ES"/>
        </w:rPr>
        <w:t xml:space="preserve"> </w:t>
      </w:r>
      <w:r w:rsidRPr="00B23F25" w:rsidR="002A2ED6">
        <w:rPr>
          <w:rFonts w:ascii="Palatino Linotype" w:hAnsi="Palatino Linotype" w:cs="Tahoma"/>
          <w:bCs/>
          <w:sz w:val="22"/>
          <w:szCs w:val="22"/>
        </w:rPr>
        <w:t xml:space="preserve">lo anterior, </w:t>
      </w:r>
      <w:r w:rsidRPr="00B23F25" w:rsidR="002A2ED6">
        <w:rPr>
          <w:rFonts w:ascii="Palatino Linotype" w:hAnsi="Palatino Linotype" w:cs="Tahoma"/>
          <w:b/>
          <w:sz w:val="22"/>
          <w:szCs w:val="22"/>
          <w:lang w:eastAsia="es-ES"/>
        </w:rPr>
        <w:t>ya que si bien, se registró el cinco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Pr="00B23F25" w:rsidR="002A2ED6">
        <w:rPr>
          <w:rFonts w:ascii="Palatino Linotype" w:hAnsi="Palatino Linotype" w:cs="Tahoma"/>
          <w:sz w:val="22"/>
          <w:szCs w:val="22"/>
          <w:lang w:eastAsia="es-ES"/>
        </w:rPr>
        <w:t xml:space="preserve">; </w:t>
      </w:r>
      <w:r w:rsidRPr="00B23F25" w:rsidR="002A2ED6">
        <w:rPr>
          <w:rFonts w:ascii="Palatino Linotype" w:hAnsi="Palatino Linotype" w:cs="Tahoma"/>
          <w:sz w:val="22"/>
          <w:szCs w:val="22"/>
          <w:lang w:val="es-ES" w:eastAsia="es-ES"/>
        </w:rPr>
        <w:t>mediante la cual requirió lo siguiente:</w:t>
      </w:r>
    </w:p>
    <w:p w:rsidRPr="00B23F25" w:rsidR="007E363C" w:rsidP="00710DA7" w:rsidRDefault="007E363C" w14:paraId="0423DA81" w14:textId="6B89F662">
      <w:pPr>
        <w:pStyle w:val="Prrafodelista"/>
        <w:tabs>
          <w:tab w:val="left" w:pos="567"/>
        </w:tabs>
        <w:spacing w:line="360" w:lineRule="auto"/>
        <w:ind w:left="0"/>
        <w:contextualSpacing w:val="0"/>
        <w:rPr>
          <w:rFonts w:cs="Tahoma"/>
          <w:szCs w:val="22"/>
        </w:rPr>
      </w:pPr>
    </w:p>
    <w:p w:rsidRPr="00B23F25" w:rsidR="00B77C83" w:rsidP="00710DA7" w:rsidRDefault="00B77C83" w14:paraId="0DC2B9C3" w14:textId="77777777">
      <w:pPr>
        <w:spacing w:line="360" w:lineRule="auto"/>
        <w:ind w:left="567" w:right="567"/>
        <w:contextualSpacing/>
        <w:rPr>
          <w:rFonts w:ascii="Palatino Linotype" w:hAnsi="Palatino Linotype" w:cs="Tahoma"/>
          <w:b/>
          <w:bCs/>
          <w:i/>
          <w:iCs/>
          <w:sz w:val="20"/>
          <w:szCs w:val="20"/>
        </w:rPr>
      </w:pPr>
      <w:r w:rsidRPr="00B23F25">
        <w:rPr>
          <w:rFonts w:ascii="Palatino Linotype" w:hAnsi="Palatino Linotype" w:cs="Tahoma"/>
          <w:b/>
          <w:bCs/>
          <w:i/>
          <w:iCs/>
          <w:sz w:val="20"/>
          <w:szCs w:val="20"/>
        </w:rPr>
        <w:t>“DESCRIPCIÓN CLARA Y PRECISA DE LA INFORMACIÓN SOLICITADA</w:t>
      </w:r>
    </w:p>
    <w:p w:rsidRPr="00B23F25" w:rsidR="00B77C83" w:rsidP="002A2ED6" w:rsidRDefault="002A2ED6" w14:paraId="025D33E7" w14:textId="01B587B7">
      <w:pPr>
        <w:spacing w:line="360" w:lineRule="auto"/>
        <w:ind w:left="567" w:right="567"/>
        <w:contextualSpacing/>
        <w:jc w:val="both"/>
        <w:rPr>
          <w:rFonts w:ascii="Palatino Linotype" w:hAnsi="Palatino Linotype"/>
          <w:i/>
          <w:sz w:val="20"/>
          <w:szCs w:val="20"/>
        </w:rPr>
      </w:pPr>
      <w:r w:rsidRPr="00B23F25">
        <w:rPr>
          <w:rFonts w:ascii="Palatino Linotype" w:hAnsi="Palatino Linotype"/>
          <w:bCs/>
          <w:i/>
          <w:sz w:val="20"/>
          <w:szCs w:val="20"/>
        </w:rPr>
        <w:t xml:space="preserve">Buenas tardes solicito información sobre los servidores públicos que laboran en el h. Ayuntamiento de Temascalcingo en el periodo comprendido de enero de 2022 a diciembre de 2024. La nómina del </w:t>
      </w:r>
      <w:r w:rsidRPr="00B23F25">
        <w:rPr>
          <w:rFonts w:ascii="Palatino Linotype" w:hAnsi="Palatino Linotype"/>
          <w:bCs/>
          <w:i/>
          <w:sz w:val="20"/>
          <w:szCs w:val="20"/>
        </w:rPr>
        <w:lastRenderedPageBreak/>
        <w:t>h. Ayuntamiento de presidente municipal hasta los grados más bajos en general. Gracias de antemano</w:t>
      </w:r>
      <w:r w:rsidRPr="00B23F25" w:rsidR="00B77C83">
        <w:rPr>
          <w:rFonts w:ascii="Palatino Linotype" w:hAnsi="Palatino Linotype"/>
          <w:i/>
          <w:sz w:val="20"/>
          <w:szCs w:val="20"/>
        </w:rPr>
        <w:t xml:space="preserve">” (Sic) </w:t>
      </w:r>
    </w:p>
    <w:p w:rsidRPr="00B23F25" w:rsidR="00B77C83" w:rsidP="00710DA7" w:rsidRDefault="00B77C83" w14:paraId="229F3FF4" w14:textId="77777777">
      <w:pPr>
        <w:spacing w:line="360" w:lineRule="auto"/>
        <w:ind w:left="567" w:right="567"/>
        <w:contextualSpacing/>
        <w:rPr>
          <w:rFonts w:ascii="Palatino Linotype" w:hAnsi="Palatino Linotype" w:cs="Tahoma"/>
          <w:b/>
          <w:bCs/>
          <w:i/>
          <w:iCs/>
          <w:sz w:val="20"/>
          <w:szCs w:val="20"/>
        </w:rPr>
      </w:pPr>
    </w:p>
    <w:p w:rsidRPr="00B23F25" w:rsidR="00652292" w:rsidP="00710DA7" w:rsidRDefault="00652292" w14:paraId="49BE8AEC" w14:textId="77777777">
      <w:pPr>
        <w:tabs>
          <w:tab w:val="left" w:pos="4667"/>
        </w:tabs>
        <w:spacing w:line="360" w:lineRule="auto"/>
        <w:ind w:left="567" w:right="567"/>
        <w:jc w:val="both"/>
        <w:rPr>
          <w:rFonts w:ascii="Palatino Linotype" w:hAnsi="Palatino Linotype" w:cs="Tahoma"/>
          <w:b/>
          <w:bCs/>
          <w:i/>
          <w:iCs/>
          <w:sz w:val="20"/>
          <w:szCs w:val="20"/>
          <w:lang w:eastAsia="es-ES"/>
        </w:rPr>
      </w:pPr>
      <w:r w:rsidRPr="00B23F25">
        <w:rPr>
          <w:rFonts w:ascii="Palatino Linotype" w:hAnsi="Palatino Linotype" w:cs="Tahoma"/>
          <w:b/>
          <w:bCs/>
          <w:i/>
          <w:iCs/>
          <w:sz w:val="20"/>
          <w:szCs w:val="20"/>
          <w:lang w:eastAsia="es-ES"/>
        </w:rPr>
        <w:t>“MODALIDAD DE ENTREGA</w:t>
      </w:r>
    </w:p>
    <w:p w:rsidRPr="00B23F25" w:rsidR="00652292" w:rsidP="00710DA7" w:rsidRDefault="00652292" w14:paraId="2DE46424" w14:textId="77777777">
      <w:pPr>
        <w:spacing w:line="360" w:lineRule="auto"/>
        <w:ind w:left="567" w:right="567"/>
        <w:jc w:val="both"/>
        <w:rPr>
          <w:rFonts w:ascii="Palatino Linotype" w:hAnsi="Palatino Linotype" w:cs="Arial"/>
          <w:bCs/>
          <w:i/>
          <w:iCs/>
          <w:sz w:val="20"/>
          <w:szCs w:val="20"/>
          <w:lang w:eastAsia="es-ES"/>
        </w:rPr>
      </w:pPr>
      <w:r w:rsidRPr="00B23F25">
        <w:rPr>
          <w:rFonts w:ascii="Palatino Linotype" w:hAnsi="Palatino Linotype" w:cs="Arial"/>
          <w:bCs/>
          <w:i/>
          <w:iCs/>
          <w:sz w:val="20"/>
          <w:szCs w:val="20"/>
          <w:lang w:eastAsia="es-ES"/>
        </w:rPr>
        <w:t>A través del SAIMEX”</w:t>
      </w:r>
    </w:p>
    <w:p w:rsidRPr="00B23F25" w:rsidR="00271123" w:rsidP="00710DA7" w:rsidRDefault="00271123" w14:paraId="6784D077" w14:textId="77777777">
      <w:pPr>
        <w:tabs>
          <w:tab w:val="left" w:pos="567"/>
        </w:tabs>
        <w:spacing w:line="360" w:lineRule="auto"/>
        <w:rPr>
          <w:rFonts w:ascii="Palatino Linotype" w:hAnsi="Palatino Linotype" w:cs="Tahoma"/>
          <w:bCs/>
          <w:sz w:val="22"/>
          <w:szCs w:val="20"/>
        </w:rPr>
      </w:pPr>
    </w:p>
    <w:p w:rsidRPr="00B23F25" w:rsidR="007E363C" w:rsidP="00710DA7" w:rsidRDefault="00795F75" w14:paraId="6D85CAFF" w14:textId="697C2046">
      <w:pPr>
        <w:pStyle w:val="Prrafodelista"/>
        <w:tabs>
          <w:tab w:val="left" w:pos="567"/>
        </w:tabs>
        <w:spacing w:line="360" w:lineRule="auto"/>
        <w:ind w:left="0"/>
        <w:contextualSpacing w:val="0"/>
        <w:rPr>
          <w:rFonts w:cs="Tahoma"/>
          <w:b/>
          <w:szCs w:val="22"/>
        </w:rPr>
      </w:pPr>
      <w:r w:rsidRPr="00B23F25">
        <w:rPr>
          <w:rFonts w:cs="Tahoma"/>
          <w:b/>
          <w:szCs w:val="22"/>
        </w:rPr>
        <w:t xml:space="preserve">II. </w:t>
      </w:r>
      <w:r w:rsidRPr="00B23F25" w:rsidR="002A2ED6">
        <w:rPr>
          <w:rFonts w:cs="Tahoma"/>
          <w:b/>
          <w:szCs w:val="22"/>
        </w:rPr>
        <w:t>Respuesta del Sujeto Obligado</w:t>
      </w:r>
    </w:p>
    <w:p w:rsidRPr="00B23F25" w:rsidR="007E363C" w:rsidP="00710DA7" w:rsidRDefault="007E363C" w14:paraId="40C99A1D" w14:textId="77777777">
      <w:pPr>
        <w:pStyle w:val="Prrafodelista"/>
        <w:tabs>
          <w:tab w:val="left" w:pos="567"/>
        </w:tabs>
        <w:spacing w:line="360" w:lineRule="auto"/>
        <w:ind w:left="0"/>
        <w:contextualSpacing w:val="0"/>
        <w:rPr>
          <w:rFonts w:eastAsia="Calibri" w:cs="Tahoma"/>
          <w:b/>
          <w:szCs w:val="22"/>
          <w:lang w:eastAsia="en-US"/>
        </w:rPr>
      </w:pPr>
    </w:p>
    <w:p w:rsidRPr="00B23F25" w:rsidR="002A6D86" w:rsidP="00710DA7" w:rsidRDefault="007E363C" w14:paraId="0D213AE2" w14:textId="26F0F869">
      <w:pPr>
        <w:autoSpaceDE w:val="0"/>
        <w:autoSpaceDN w:val="0"/>
        <w:adjustRightInd w:val="0"/>
        <w:spacing w:line="360" w:lineRule="auto"/>
        <w:jc w:val="both"/>
        <w:rPr>
          <w:rFonts w:ascii="Palatino Linotype" w:hAnsi="Palatino Linotype" w:cs="Tahoma"/>
          <w:sz w:val="22"/>
          <w:szCs w:val="22"/>
        </w:rPr>
      </w:pPr>
      <w:r w:rsidRPr="00B23F25">
        <w:rPr>
          <w:rFonts w:ascii="Palatino Linotype" w:hAnsi="Palatino Linotype" w:cs="Tahoma"/>
          <w:sz w:val="22"/>
          <w:szCs w:val="22"/>
        </w:rPr>
        <w:t>Con fecha</w:t>
      </w:r>
      <w:r w:rsidRPr="00B23F25" w:rsidR="00CF4850">
        <w:rPr>
          <w:rFonts w:ascii="Palatino Linotype" w:hAnsi="Palatino Linotype" w:cs="Tahoma"/>
          <w:sz w:val="22"/>
          <w:szCs w:val="22"/>
        </w:rPr>
        <w:t xml:space="preserve"> </w:t>
      </w:r>
      <w:r w:rsidRPr="00B23F25" w:rsidR="002A2ED6">
        <w:rPr>
          <w:rFonts w:ascii="Palatino Linotype" w:hAnsi="Palatino Linotype" w:cs="Tahoma"/>
          <w:sz w:val="22"/>
          <w:szCs w:val="22"/>
        </w:rPr>
        <w:t>veinticuatro</w:t>
      </w:r>
      <w:r w:rsidRPr="00B23F25" w:rsidR="00CF4850">
        <w:rPr>
          <w:rFonts w:ascii="Palatino Linotype" w:hAnsi="Palatino Linotype" w:cs="Tahoma"/>
          <w:sz w:val="22"/>
          <w:szCs w:val="22"/>
        </w:rPr>
        <w:t xml:space="preserve"> de </w:t>
      </w:r>
      <w:r w:rsidRPr="00B23F25" w:rsidR="00FD2CD5">
        <w:rPr>
          <w:rFonts w:ascii="Palatino Linotype" w:hAnsi="Palatino Linotype" w:cs="Tahoma"/>
          <w:sz w:val="22"/>
          <w:szCs w:val="22"/>
        </w:rPr>
        <w:t>marzo</w:t>
      </w:r>
      <w:r w:rsidRPr="00B23F25" w:rsidR="00CF4850">
        <w:rPr>
          <w:rFonts w:ascii="Palatino Linotype" w:hAnsi="Palatino Linotype" w:cs="Tahoma"/>
          <w:sz w:val="22"/>
          <w:szCs w:val="22"/>
        </w:rPr>
        <w:t xml:space="preserve"> de dos mil veintidós, </w:t>
      </w:r>
      <w:r w:rsidRPr="00B23F25" w:rsidR="00A97DED">
        <w:rPr>
          <w:rFonts w:ascii="Palatino Linotype" w:hAnsi="Palatino Linotype" w:cs="Tahoma"/>
          <w:sz w:val="22"/>
          <w:szCs w:val="22"/>
        </w:rPr>
        <w:t>el</w:t>
      </w:r>
      <w:r w:rsidRPr="00B23F25" w:rsidR="00DB1CE8">
        <w:rPr>
          <w:rFonts w:ascii="Palatino Linotype" w:hAnsi="Palatino Linotype" w:cs="Tahoma"/>
          <w:sz w:val="22"/>
          <w:szCs w:val="22"/>
        </w:rPr>
        <w:t xml:space="preserve"> Sujeto Obligado</w:t>
      </w:r>
      <w:r w:rsidRPr="00B23F25" w:rsidR="00361A2A">
        <w:rPr>
          <w:rFonts w:ascii="Palatino Linotype" w:hAnsi="Palatino Linotype" w:cs="Tahoma"/>
          <w:sz w:val="22"/>
          <w:szCs w:val="22"/>
        </w:rPr>
        <w:t>, a través del Sistema de Acceso a la Información Mexiquense</w:t>
      </w:r>
      <w:r w:rsidRPr="00B23F25">
        <w:rPr>
          <w:rFonts w:ascii="Palatino Linotype" w:hAnsi="Palatino Linotype" w:cs="Tahoma"/>
          <w:sz w:val="22"/>
          <w:szCs w:val="22"/>
        </w:rPr>
        <w:t>, notific</w:t>
      </w:r>
      <w:r w:rsidRPr="00B23F25" w:rsidR="00361A2A">
        <w:rPr>
          <w:rFonts w:ascii="Palatino Linotype" w:hAnsi="Palatino Linotype" w:cs="Tahoma"/>
          <w:sz w:val="22"/>
          <w:szCs w:val="22"/>
        </w:rPr>
        <w:t>ó</w:t>
      </w:r>
      <w:r w:rsidRPr="00B23F25">
        <w:rPr>
          <w:rFonts w:ascii="Palatino Linotype" w:hAnsi="Palatino Linotype" w:cs="Tahoma"/>
          <w:sz w:val="22"/>
          <w:szCs w:val="22"/>
        </w:rPr>
        <w:t xml:space="preserve"> al Solicitante, </w:t>
      </w:r>
      <w:r w:rsidRPr="00B23F25" w:rsidR="008C04AF">
        <w:rPr>
          <w:rFonts w:ascii="Palatino Linotype" w:hAnsi="Palatino Linotype" w:cs="Tahoma"/>
          <w:sz w:val="22"/>
          <w:szCs w:val="22"/>
        </w:rPr>
        <w:t xml:space="preserve">la respuesta a la solicitud de acceso a la información, </w:t>
      </w:r>
      <w:r w:rsidRPr="00B23F25" w:rsidR="00361A2A">
        <w:rPr>
          <w:rFonts w:ascii="Palatino Linotype" w:hAnsi="Palatino Linotype" w:cs="Tahoma"/>
          <w:sz w:val="22"/>
          <w:szCs w:val="22"/>
        </w:rPr>
        <w:t>por medio</w:t>
      </w:r>
      <w:r w:rsidRPr="00B23F25" w:rsidR="008C04AF">
        <w:rPr>
          <w:rFonts w:ascii="Palatino Linotype" w:hAnsi="Palatino Linotype" w:cs="Tahoma"/>
          <w:sz w:val="22"/>
          <w:szCs w:val="22"/>
        </w:rPr>
        <w:t xml:space="preserve"> del oficio número </w:t>
      </w:r>
      <w:r w:rsidRPr="00B23F25" w:rsidR="00A97DED">
        <w:rPr>
          <w:rFonts w:ascii="Palatino Linotype" w:hAnsi="Palatino Linotype" w:cs="Tahoma"/>
          <w:sz w:val="22"/>
          <w:szCs w:val="22"/>
        </w:rPr>
        <w:t>MTM/DA/136/03/2022</w:t>
      </w:r>
      <w:r w:rsidRPr="00B23F25" w:rsidR="008C04AF">
        <w:rPr>
          <w:rFonts w:ascii="Palatino Linotype" w:hAnsi="Palatino Linotype" w:cs="Tahoma"/>
          <w:sz w:val="22"/>
          <w:szCs w:val="22"/>
        </w:rPr>
        <w:t xml:space="preserve">, </w:t>
      </w:r>
      <w:r w:rsidRPr="00B23F25" w:rsidR="00A97DED">
        <w:rPr>
          <w:rFonts w:ascii="Palatino Linotype" w:hAnsi="Palatino Linotype" w:cs="Tahoma"/>
          <w:sz w:val="22"/>
          <w:szCs w:val="22"/>
        </w:rPr>
        <w:t>del once de marzo de dos mil veintidós</w:t>
      </w:r>
      <w:r w:rsidRPr="00B23F25" w:rsidR="008C04AF">
        <w:rPr>
          <w:rFonts w:ascii="Palatino Linotype" w:hAnsi="Palatino Linotype" w:cs="Tahoma"/>
          <w:sz w:val="22"/>
          <w:szCs w:val="22"/>
        </w:rPr>
        <w:t xml:space="preserve">, suscrito por </w:t>
      </w:r>
      <w:r w:rsidRPr="00B23F25" w:rsidR="00A97DED">
        <w:rPr>
          <w:rFonts w:ascii="Palatino Linotype" w:hAnsi="Palatino Linotype" w:cs="Tahoma"/>
          <w:sz w:val="22"/>
          <w:szCs w:val="22"/>
        </w:rPr>
        <w:t>la Directora de Administración</w:t>
      </w:r>
      <w:r w:rsidRPr="00B23F25" w:rsidR="008C04AF">
        <w:rPr>
          <w:rFonts w:ascii="Palatino Linotype" w:hAnsi="Palatino Linotype" w:cs="Tahoma"/>
          <w:sz w:val="22"/>
          <w:szCs w:val="22"/>
        </w:rPr>
        <w:t xml:space="preserve"> y dirigido al </w:t>
      </w:r>
      <w:r w:rsidRPr="00B23F25" w:rsidR="00DB1CE8">
        <w:rPr>
          <w:rFonts w:ascii="Palatino Linotype" w:hAnsi="Palatino Linotype" w:cs="Tahoma"/>
          <w:sz w:val="22"/>
          <w:szCs w:val="22"/>
        </w:rPr>
        <w:t>Encargado del Despacho de la Unidad de Transparencia</w:t>
      </w:r>
      <w:r w:rsidRPr="00B23F25" w:rsidR="008C04AF">
        <w:rPr>
          <w:rFonts w:ascii="Palatino Linotype" w:hAnsi="Palatino Linotype" w:cs="Tahoma"/>
          <w:sz w:val="22"/>
          <w:szCs w:val="22"/>
        </w:rPr>
        <w:t xml:space="preserve">, </w:t>
      </w:r>
      <w:r w:rsidRPr="00B23F25" w:rsidR="00361A2A">
        <w:rPr>
          <w:rFonts w:ascii="Palatino Linotype" w:hAnsi="Palatino Linotype" w:cs="Tahoma"/>
          <w:sz w:val="22"/>
          <w:szCs w:val="22"/>
        </w:rPr>
        <w:t>cuyo contenido es el siguiente:</w:t>
      </w:r>
    </w:p>
    <w:p w:rsidRPr="00B23F25" w:rsidR="00184853" w:rsidP="008C04AF" w:rsidRDefault="00184853" w14:paraId="26C44D28" w14:textId="73BA98DF">
      <w:pPr>
        <w:autoSpaceDE w:val="0"/>
        <w:autoSpaceDN w:val="0"/>
        <w:adjustRightInd w:val="0"/>
        <w:spacing w:line="360" w:lineRule="auto"/>
        <w:rPr>
          <w:rFonts w:cs="Tahoma"/>
          <w:szCs w:val="22"/>
        </w:rPr>
      </w:pPr>
    </w:p>
    <w:p w:rsidRPr="00B23F25" w:rsidR="008C04AF" w:rsidP="008C04AF" w:rsidRDefault="008C04AF" w14:paraId="39B3DB0C" w14:textId="77777777">
      <w:pPr>
        <w:autoSpaceDE w:val="0"/>
        <w:autoSpaceDN w:val="0"/>
        <w:adjustRightInd w:val="0"/>
        <w:spacing w:line="360" w:lineRule="auto"/>
        <w:ind w:left="567" w:right="567"/>
        <w:jc w:val="both"/>
        <w:rPr>
          <w:rFonts w:ascii="Palatino Linotype" w:hAnsi="Palatino Linotype"/>
          <w:i/>
          <w:iCs/>
          <w:noProof/>
          <w:sz w:val="20"/>
          <w:szCs w:val="20"/>
        </w:rPr>
      </w:pPr>
      <w:r w:rsidRPr="00B23F25">
        <w:rPr>
          <w:rFonts w:ascii="Palatino Linotype" w:hAnsi="Palatino Linotype"/>
          <w:i/>
          <w:iCs/>
          <w:noProof/>
          <w:sz w:val="20"/>
          <w:szCs w:val="20"/>
        </w:rPr>
        <w:t>“…</w:t>
      </w:r>
    </w:p>
    <w:p w:rsidRPr="00B23F25" w:rsidR="008404CE" w:rsidP="008C04AF" w:rsidRDefault="00DB1CE8" w14:paraId="1290C7D8" w14:textId="2CF72DA8">
      <w:pPr>
        <w:autoSpaceDE w:val="0"/>
        <w:autoSpaceDN w:val="0"/>
        <w:adjustRightInd w:val="0"/>
        <w:spacing w:line="360" w:lineRule="auto"/>
        <w:ind w:left="567" w:right="567"/>
        <w:jc w:val="both"/>
        <w:rPr>
          <w:rFonts w:ascii="Palatino Linotype" w:hAnsi="Palatino Linotype"/>
          <w:i/>
          <w:iCs/>
          <w:noProof/>
          <w:sz w:val="20"/>
          <w:szCs w:val="20"/>
        </w:rPr>
      </w:pPr>
      <w:r w:rsidRPr="00B23F25">
        <w:rPr>
          <w:rFonts w:ascii="Palatino Linotype" w:hAnsi="Palatino Linotype"/>
          <w:i/>
          <w:iCs/>
          <w:noProof/>
          <w:sz w:val="20"/>
          <w:szCs w:val="20"/>
        </w:rPr>
        <w:t xml:space="preserve">En el primer punto la redacción del requerimiento es ambigua, en el segundo punto debido </w:t>
      </w:r>
      <w:r w:rsidRPr="00B23F25" w:rsidR="00EC589C">
        <w:rPr>
          <w:rFonts w:ascii="Palatino Linotype" w:hAnsi="Palatino Linotype"/>
          <w:i/>
          <w:iCs/>
          <w:noProof/>
          <w:sz w:val="20"/>
          <w:szCs w:val="20"/>
        </w:rPr>
        <w:t xml:space="preserve">a eventos futuros no se puede saber quien labora hasta diciembre 2024, en el último punto donde se pide la nómina, se comenta que de igual manera se redacción es ambigua. </w:t>
      </w:r>
    </w:p>
    <w:p w:rsidRPr="00B23F25" w:rsidR="008C04AF" w:rsidP="008C04AF" w:rsidRDefault="008C04AF" w14:paraId="14981DBE" w14:textId="05CF88F2">
      <w:pPr>
        <w:autoSpaceDE w:val="0"/>
        <w:autoSpaceDN w:val="0"/>
        <w:adjustRightInd w:val="0"/>
        <w:spacing w:line="360" w:lineRule="auto"/>
        <w:ind w:left="567" w:right="567"/>
        <w:jc w:val="both"/>
        <w:rPr>
          <w:rFonts w:ascii="Palatino Linotype" w:hAnsi="Palatino Linotype"/>
          <w:i/>
          <w:iCs/>
          <w:noProof/>
          <w:sz w:val="20"/>
          <w:szCs w:val="20"/>
        </w:rPr>
      </w:pPr>
      <w:r w:rsidRPr="00B23F25">
        <w:rPr>
          <w:rFonts w:ascii="Palatino Linotype" w:hAnsi="Palatino Linotype"/>
          <w:i/>
          <w:iCs/>
          <w:noProof/>
          <w:sz w:val="20"/>
          <w:szCs w:val="20"/>
        </w:rPr>
        <w:t>…”</w:t>
      </w:r>
    </w:p>
    <w:p w:rsidRPr="00B23F25" w:rsidR="008C04AF" w:rsidP="008C04AF" w:rsidRDefault="008C04AF" w14:paraId="2E38F592" w14:textId="77777777">
      <w:pPr>
        <w:autoSpaceDE w:val="0"/>
        <w:autoSpaceDN w:val="0"/>
        <w:adjustRightInd w:val="0"/>
        <w:spacing w:line="360" w:lineRule="auto"/>
        <w:rPr>
          <w:noProof/>
        </w:rPr>
      </w:pPr>
    </w:p>
    <w:p w:rsidRPr="00B23F25" w:rsidR="007E363C" w:rsidP="00710DA7" w:rsidRDefault="007E363C" w14:paraId="22B4E5C2" w14:textId="77777777">
      <w:pPr>
        <w:autoSpaceDE w:val="0"/>
        <w:autoSpaceDN w:val="0"/>
        <w:adjustRightInd w:val="0"/>
        <w:spacing w:line="360" w:lineRule="auto"/>
        <w:jc w:val="both"/>
        <w:rPr>
          <w:rFonts w:ascii="Palatino Linotype" w:hAnsi="Palatino Linotype" w:cs="Tahoma"/>
          <w:b/>
          <w:sz w:val="22"/>
          <w:szCs w:val="22"/>
        </w:rPr>
      </w:pPr>
      <w:r w:rsidRPr="00B23F25">
        <w:rPr>
          <w:rFonts w:ascii="Palatino Linotype" w:hAnsi="Palatino Linotype" w:cs="Tahoma"/>
          <w:b/>
          <w:sz w:val="22"/>
        </w:rPr>
        <w:t>III</w:t>
      </w:r>
      <w:r w:rsidRPr="00B23F25">
        <w:rPr>
          <w:rFonts w:ascii="Palatino Linotype" w:hAnsi="Palatino Linotype" w:cs="Tahoma"/>
          <w:b/>
          <w:sz w:val="22"/>
          <w:szCs w:val="22"/>
        </w:rPr>
        <w:t xml:space="preserve">. Interposición de los Recursos de Revisión. </w:t>
      </w:r>
    </w:p>
    <w:p w:rsidRPr="00B23F25" w:rsidR="008F48B3" w:rsidP="00710DA7" w:rsidRDefault="008F48B3" w14:paraId="71E2C109" w14:textId="77777777">
      <w:pPr>
        <w:autoSpaceDE w:val="0"/>
        <w:autoSpaceDN w:val="0"/>
        <w:adjustRightInd w:val="0"/>
        <w:spacing w:line="360" w:lineRule="auto"/>
        <w:jc w:val="both"/>
        <w:rPr>
          <w:rFonts w:ascii="Palatino Linotype" w:hAnsi="Palatino Linotype" w:cs="Tahoma"/>
          <w:b/>
          <w:sz w:val="22"/>
          <w:szCs w:val="22"/>
        </w:rPr>
      </w:pPr>
    </w:p>
    <w:p w:rsidRPr="00B23F25" w:rsidR="008F48B3" w:rsidP="00710DA7" w:rsidRDefault="002651F9" w14:paraId="231465C4" w14:textId="6A37178E">
      <w:pPr>
        <w:autoSpaceDE w:val="0"/>
        <w:autoSpaceDN w:val="0"/>
        <w:adjustRightInd w:val="0"/>
        <w:spacing w:line="360" w:lineRule="auto"/>
        <w:jc w:val="both"/>
        <w:rPr>
          <w:rFonts w:ascii="Palatino Linotype" w:hAnsi="Palatino Linotype" w:cs="Tahoma"/>
          <w:bCs/>
          <w:sz w:val="22"/>
          <w:szCs w:val="22"/>
        </w:rPr>
      </w:pPr>
      <w:r w:rsidRPr="00B23F25">
        <w:rPr>
          <w:rFonts w:ascii="Palatino Linotype" w:hAnsi="Palatino Linotype" w:cs="Tahoma"/>
          <w:bCs/>
          <w:sz w:val="22"/>
          <w:szCs w:val="22"/>
        </w:rPr>
        <w:t xml:space="preserve">Con fecha </w:t>
      </w:r>
      <w:r w:rsidRPr="00B23F25" w:rsidR="00A80977">
        <w:rPr>
          <w:rFonts w:ascii="Palatino Linotype" w:hAnsi="Palatino Linotype" w:cs="Tahoma"/>
          <w:bCs/>
          <w:sz w:val="22"/>
          <w:szCs w:val="22"/>
        </w:rPr>
        <w:t>veinti</w:t>
      </w:r>
      <w:r w:rsidRPr="00B23F25" w:rsidR="005119E6">
        <w:rPr>
          <w:rFonts w:ascii="Palatino Linotype" w:hAnsi="Palatino Linotype" w:cs="Tahoma"/>
          <w:bCs/>
          <w:sz w:val="22"/>
          <w:szCs w:val="22"/>
        </w:rPr>
        <w:t>cinco</w:t>
      </w:r>
      <w:r w:rsidRPr="00B23F25" w:rsidR="008C04AF">
        <w:rPr>
          <w:rFonts w:ascii="Palatino Linotype" w:hAnsi="Palatino Linotype" w:cs="Tahoma"/>
          <w:bCs/>
          <w:sz w:val="22"/>
          <w:szCs w:val="22"/>
        </w:rPr>
        <w:t xml:space="preserve"> </w:t>
      </w:r>
      <w:r w:rsidRPr="00B23F25" w:rsidR="00C45B03">
        <w:rPr>
          <w:rFonts w:ascii="Palatino Linotype" w:hAnsi="Palatino Linotype" w:cs="Tahoma"/>
          <w:bCs/>
          <w:sz w:val="22"/>
          <w:szCs w:val="22"/>
        </w:rPr>
        <w:t xml:space="preserve">de </w:t>
      </w:r>
      <w:r w:rsidRPr="00B23F25" w:rsidR="008C04AF">
        <w:rPr>
          <w:rFonts w:ascii="Palatino Linotype" w:hAnsi="Palatino Linotype" w:cs="Tahoma"/>
          <w:bCs/>
          <w:sz w:val="22"/>
          <w:szCs w:val="22"/>
        </w:rPr>
        <w:t>marzo</w:t>
      </w:r>
      <w:r w:rsidRPr="00B23F25">
        <w:rPr>
          <w:rFonts w:ascii="Palatino Linotype" w:hAnsi="Palatino Linotype" w:cs="Tahoma"/>
          <w:bCs/>
          <w:sz w:val="22"/>
          <w:szCs w:val="22"/>
        </w:rPr>
        <w:t xml:space="preserve"> de dos mil veintidós, se recibió en este Instituto, a través del </w:t>
      </w:r>
      <w:r w:rsidRPr="00B23F25">
        <w:rPr>
          <w:rFonts w:ascii="Palatino Linotype" w:hAnsi="Palatino Linotype" w:cs="Tahoma"/>
          <w:bCs/>
          <w:sz w:val="22"/>
          <w:szCs w:val="22"/>
          <w:lang w:val="es-ES"/>
        </w:rPr>
        <w:t>Sistema de Acceso a la Información Mexiquense (SAIMEX)</w:t>
      </w:r>
      <w:r w:rsidRPr="00B23F25">
        <w:rPr>
          <w:rFonts w:ascii="Palatino Linotype" w:hAnsi="Palatino Linotype" w:cs="Tahoma"/>
          <w:bCs/>
          <w:sz w:val="22"/>
          <w:szCs w:val="22"/>
        </w:rPr>
        <w:t xml:space="preserve">, </w:t>
      </w:r>
      <w:r w:rsidRPr="00B23F25" w:rsidR="000B6308">
        <w:rPr>
          <w:rFonts w:ascii="Palatino Linotype" w:hAnsi="Palatino Linotype" w:cs="Tahoma"/>
          <w:bCs/>
          <w:sz w:val="22"/>
          <w:szCs w:val="22"/>
        </w:rPr>
        <w:t>un</w:t>
      </w:r>
      <w:r w:rsidRPr="00B23F25">
        <w:rPr>
          <w:rFonts w:ascii="Palatino Linotype" w:hAnsi="Palatino Linotype" w:cs="Tahoma"/>
          <w:bCs/>
          <w:sz w:val="22"/>
          <w:szCs w:val="22"/>
        </w:rPr>
        <w:t xml:space="preserve"> Recurso de Revisión interpuesto por la parte Recurrente, en contra de la respuesta del Sujeto Obligado, en los siguientes términos:</w:t>
      </w:r>
    </w:p>
    <w:p w:rsidRPr="00B23F25" w:rsidR="00F427AC" w:rsidP="00710DA7" w:rsidRDefault="00F427AC" w14:paraId="4A776759" w14:textId="1748F760">
      <w:pPr>
        <w:autoSpaceDE w:val="0"/>
        <w:autoSpaceDN w:val="0"/>
        <w:adjustRightInd w:val="0"/>
        <w:spacing w:line="360" w:lineRule="auto"/>
        <w:jc w:val="both"/>
        <w:rPr>
          <w:rFonts w:ascii="Palatino Linotype" w:hAnsi="Palatino Linotype" w:cs="Tahoma"/>
          <w:bCs/>
          <w:sz w:val="22"/>
          <w:szCs w:val="22"/>
        </w:rPr>
      </w:pPr>
    </w:p>
    <w:p w:rsidRPr="00B23F25" w:rsidR="00D44CB7" w:rsidP="00710DA7" w:rsidRDefault="00D44CB7" w14:paraId="6546DC37" w14:textId="77777777">
      <w:pPr>
        <w:autoSpaceDE w:val="0"/>
        <w:autoSpaceDN w:val="0"/>
        <w:adjustRightInd w:val="0"/>
        <w:spacing w:line="360" w:lineRule="auto"/>
        <w:jc w:val="both"/>
        <w:rPr>
          <w:rFonts w:ascii="Palatino Linotype" w:hAnsi="Palatino Linotype" w:cs="Tahoma"/>
          <w:bCs/>
          <w:sz w:val="22"/>
          <w:szCs w:val="22"/>
        </w:rPr>
      </w:pPr>
    </w:p>
    <w:p w:rsidRPr="00B23F25" w:rsidR="00F427AC" w:rsidP="00710DA7" w:rsidRDefault="005A4EDE" w14:paraId="291813D4" w14:textId="77777777">
      <w:pPr>
        <w:spacing w:line="360" w:lineRule="auto"/>
        <w:ind w:left="567" w:right="567"/>
        <w:jc w:val="both"/>
        <w:rPr>
          <w:rFonts w:ascii="Palatino Linotype" w:hAnsi="Palatino Linotype" w:cs="Tahoma"/>
          <w:b/>
          <w:bCs/>
          <w:i/>
          <w:sz w:val="20"/>
          <w:szCs w:val="20"/>
          <w:lang w:eastAsia="es-ES"/>
        </w:rPr>
      </w:pPr>
      <w:r w:rsidRPr="00B23F25">
        <w:rPr>
          <w:rFonts w:ascii="Palatino Linotype" w:hAnsi="Palatino Linotype" w:cs="Tahoma"/>
          <w:b/>
          <w:bCs/>
          <w:i/>
          <w:sz w:val="20"/>
          <w:szCs w:val="20"/>
          <w:lang w:eastAsia="es-ES"/>
        </w:rPr>
        <w:lastRenderedPageBreak/>
        <w:t>“ACTO IMPUGNADO</w:t>
      </w:r>
    </w:p>
    <w:p w:rsidRPr="00B23F25" w:rsidR="005A4EDE" w:rsidP="00710DA7" w:rsidRDefault="005119E6" w14:paraId="0B95B3B9" w14:textId="7E7F4F47">
      <w:pPr>
        <w:spacing w:line="360" w:lineRule="auto"/>
        <w:ind w:left="567" w:right="567"/>
        <w:jc w:val="both"/>
        <w:rPr>
          <w:rFonts w:ascii="Palatino Linotype" w:hAnsi="Palatino Linotype" w:cs="Tahoma"/>
          <w:b/>
          <w:bCs/>
          <w:i/>
          <w:sz w:val="20"/>
          <w:szCs w:val="20"/>
          <w:lang w:eastAsia="es-ES"/>
        </w:rPr>
      </w:pPr>
      <w:r w:rsidRPr="00B23F25">
        <w:rPr>
          <w:rFonts w:ascii="Palatino Linotype" w:hAnsi="Palatino Linotype" w:cs="Tahoma"/>
          <w:bCs/>
          <w:i/>
          <w:sz w:val="20"/>
          <w:szCs w:val="20"/>
          <w:lang w:eastAsia="es-ES"/>
        </w:rPr>
        <w:t xml:space="preserve">Solicitud sobre percepción de la administración pública del h. Ayuntamiento de </w:t>
      </w:r>
      <w:proofErr w:type="spellStart"/>
      <w:r w:rsidRPr="00B23F25">
        <w:rPr>
          <w:rFonts w:ascii="Palatino Linotype" w:hAnsi="Palatino Linotype" w:cs="Tahoma"/>
          <w:bCs/>
          <w:i/>
          <w:sz w:val="20"/>
          <w:szCs w:val="20"/>
          <w:lang w:eastAsia="es-ES"/>
        </w:rPr>
        <w:t>temascalcingo</w:t>
      </w:r>
      <w:proofErr w:type="spellEnd"/>
      <w:r w:rsidRPr="00B23F25">
        <w:rPr>
          <w:rFonts w:ascii="Palatino Linotype" w:hAnsi="Palatino Linotype" w:cs="Tahoma"/>
          <w:bCs/>
          <w:i/>
          <w:sz w:val="20"/>
          <w:szCs w:val="20"/>
          <w:lang w:eastAsia="es-ES"/>
        </w:rPr>
        <w:t>, estado de México en este período, desde el presidente municipal hasta los servidores públicos de menor rango.</w:t>
      </w:r>
      <w:r w:rsidRPr="00B23F25" w:rsidR="005A4EDE">
        <w:rPr>
          <w:rFonts w:ascii="Palatino Linotype" w:hAnsi="Palatino Linotype" w:cs="Tahoma"/>
          <w:bCs/>
          <w:i/>
          <w:sz w:val="20"/>
          <w:szCs w:val="20"/>
          <w:lang w:eastAsia="es-ES"/>
        </w:rPr>
        <w:t>” (Sic.)</w:t>
      </w:r>
    </w:p>
    <w:p w:rsidRPr="00B23F25" w:rsidR="005A4EDE" w:rsidP="00710DA7" w:rsidRDefault="005A4EDE" w14:paraId="091C6DC4" w14:textId="77777777">
      <w:pPr>
        <w:spacing w:line="360" w:lineRule="auto"/>
        <w:ind w:left="567" w:right="567"/>
        <w:jc w:val="both"/>
        <w:rPr>
          <w:rFonts w:ascii="Palatino Linotype" w:hAnsi="Palatino Linotype" w:cs="Tahoma"/>
          <w:bCs/>
          <w:i/>
          <w:sz w:val="20"/>
          <w:szCs w:val="20"/>
          <w:lang w:eastAsia="es-ES"/>
        </w:rPr>
      </w:pPr>
    </w:p>
    <w:p w:rsidRPr="00B23F25" w:rsidR="005A4EDE" w:rsidP="00710DA7" w:rsidRDefault="005A4EDE" w14:paraId="22ABBC77" w14:textId="77777777">
      <w:pPr>
        <w:spacing w:line="360" w:lineRule="auto"/>
        <w:ind w:left="567" w:right="567"/>
        <w:jc w:val="both"/>
        <w:rPr>
          <w:rFonts w:ascii="Palatino Linotype" w:hAnsi="Palatino Linotype" w:cs="Tahoma"/>
          <w:b/>
          <w:bCs/>
          <w:i/>
          <w:sz w:val="20"/>
          <w:szCs w:val="20"/>
          <w:lang w:eastAsia="es-ES"/>
        </w:rPr>
      </w:pPr>
      <w:r w:rsidRPr="00B23F25">
        <w:rPr>
          <w:rFonts w:ascii="Palatino Linotype" w:hAnsi="Palatino Linotype" w:cs="Tahoma"/>
          <w:b/>
          <w:bCs/>
          <w:i/>
          <w:sz w:val="20"/>
          <w:szCs w:val="20"/>
          <w:lang w:eastAsia="es-ES"/>
        </w:rPr>
        <w:t>“RAZONES O MOTIVOS DE LA INCONFORMIDAD</w:t>
      </w:r>
    </w:p>
    <w:p w:rsidRPr="00B23F25" w:rsidR="005A4EDE" w:rsidP="00710DA7" w:rsidRDefault="00424D79" w14:paraId="3169E6EA" w14:textId="092F7854">
      <w:pPr>
        <w:spacing w:line="360" w:lineRule="auto"/>
        <w:ind w:left="567" w:right="567"/>
        <w:jc w:val="both"/>
        <w:rPr>
          <w:rFonts w:ascii="Palatino Linotype" w:hAnsi="Palatino Linotype" w:cs="Tahoma"/>
          <w:bCs/>
          <w:i/>
          <w:sz w:val="20"/>
          <w:szCs w:val="20"/>
          <w:lang w:eastAsia="es-ES"/>
        </w:rPr>
      </w:pPr>
      <w:r w:rsidRPr="00B23F25">
        <w:rPr>
          <w:rFonts w:ascii="Palatino Linotype" w:hAnsi="Palatino Linotype" w:cs="Tahoma"/>
          <w:bCs/>
          <w:i/>
          <w:sz w:val="20"/>
          <w:szCs w:val="20"/>
          <w:lang w:eastAsia="es-ES"/>
        </w:rPr>
        <w:t>No se me entregó la información por indicarme en el oficio que es ambigua mi solicitud</w:t>
      </w:r>
      <w:r w:rsidRPr="00B23F25" w:rsidR="005A4EDE">
        <w:rPr>
          <w:rFonts w:ascii="Palatino Linotype" w:hAnsi="Palatino Linotype" w:cs="Tahoma"/>
          <w:bCs/>
          <w:i/>
          <w:sz w:val="20"/>
          <w:szCs w:val="20"/>
          <w:lang w:eastAsia="es-ES"/>
        </w:rPr>
        <w:t>” (Sic)</w:t>
      </w:r>
    </w:p>
    <w:p w:rsidRPr="00B23F25" w:rsidR="00FF0A5B" w:rsidP="00710DA7" w:rsidRDefault="00FF0A5B" w14:paraId="238D581B" w14:textId="77777777">
      <w:pPr>
        <w:autoSpaceDE w:val="0"/>
        <w:autoSpaceDN w:val="0"/>
        <w:adjustRightInd w:val="0"/>
        <w:spacing w:line="360" w:lineRule="auto"/>
        <w:jc w:val="both"/>
        <w:rPr>
          <w:rFonts w:ascii="Palatino Linotype" w:hAnsi="Palatino Linotype" w:cs="Tahoma"/>
          <w:sz w:val="22"/>
          <w:szCs w:val="22"/>
        </w:rPr>
      </w:pPr>
    </w:p>
    <w:p w:rsidRPr="00B23F25" w:rsidR="007E363C" w:rsidP="00710DA7" w:rsidRDefault="007E363C" w14:paraId="01D042E7" w14:textId="77777777">
      <w:pPr>
        <w:spacing w:line="360" w:lineRule="auto"/>
        <w:jc w:val="both"/>
        <w:rPr>
          <w:rFonts w:ascii="Palatino Linotype" w:hAnsi="Palatino Linotype" w:eastAsia="Batang" w:cs="Tahoma"/>
          <w:b/>
          <w:bCs/>
          <w:sz w:val="22"/>
          <w:szCs w:val="22"/>
        </w:rPr>
      </w:pPr>
      <w:r w:rsidRPr="00B23F25">
        <w:rPr>
          <w:rFonts w:ascii="Palatino Linotype" w:hAnsi="Palatino Linotype" w:cs="Tahoma"/>
          <w:b/>
          <w:sz w:val="22"/>
          <w:szCs w:val="22"/>
        </w:rPr>
        <w:t xml:space="preserve">IV. </w:t>
      </w:r>
      <w:r w:rsidRPr="00B23F25">
        <w:rPr>
          <w:rFonts w:ascii="Palatino Linotype" w:hAnsi="Palatino Linotype" w:eastAsia="Batang" w:cs="Tahoma"/>
          <w:b/>
          <w:bCs/>
          <w:sz w:val="22"/>
          <w:szCs w:val="22"/>
        </w:rPr>
        <w:t xml:space="preserve">Trámite de los </w:t>
      </w:r>
      <w:r w:rsidRPr="00B23F25">
        <w:rPr>
          <w:rFonts w:ascii="Palatino Linotype" w:hAnsi="Palatino Linotype" w:cs="Tahoma"/>
          <w:b/>
          <w:sz w:val="22"/>
          <w:szCs w:val="22"/>
        </w:rPr>
        <w:t xml:space="preserve">Recursos de Revisión </w:t>
      </w:r>
      <w:r w:rsidRPr="00B23F25">
        <w:rPr>
          <w:rFonts w:ascii="Palatino Linotype" w:hAnsi="Palatino Linotype" w:eastAsia="Batang" w:cs="Tahoma"/>
          <w:b/>
          <w:bCs/>
          <w:sz w:val="22"/>
          <w:szCs w:val="22"/>
        </w:rPr>
        <w:t>ante este Instituto.</w:t>
      </w:r>
    </w:p>
    <w:p w:rsidRPr="00B23F25" w:rsidR="007E363C" w:rsidP="00710DA7" w:rsidRDefault="007E363C" w14:paraId="2DA34BB2" w14:textId="77777777">
      <w:pPr>
        <w:spacing w:line="360" w:lineRule="auto"/>
        <w:jc w:val="both"/>
        <w:rPr>
          <w:rFonts w:ascii="Palatino Linotype" w:hAnsi="Palatino Linotype" w:eastAsia="Batang" w:cs="Tahoma"/>
          <w:b/>
          <w:bCs/>
          <w:sz w:val="22"/>
          <w:szCs w:val="22"/>
        </w:rPr>
      </w:pPr>
    </w:p>
    <w:p w:rsidRPr="00B23F25" w:rsidR="008A55DB" w:rsidP="00710DA7" w:rsidRDefault="007E363C" w14:paraId="33EE2C49" w14:textId="6AE8DFF3">
      <w:pPr>
        <w:spacing w:line="360" w:lineRule="auto"/>
        <w:ind w:right="-28"/>
        <w:contextualSpacing/>
        <w:jc w:val="both"/>
        <w:rPr>
          <w:rFonts w:ascii="Palatino Linotype" w:hAnsi="Palatino Linotype" w:eastAsia="Batang" w:cs="Tahoma"/>
          <w:sz w:val="22"/>
          <w:szCs w:val="22"/>
        </w:rPr>
      </w:pPr>
      <w:r w:rsidRPr="00B23F25">
        <w:rPr>
          <w:rFonts w:ascii="Palatino Linotype" w:hAnsi="Palatino Linotype" w:eastAsia="Batang" w:cs="Tahoma"/>
          <w:b/>
          <w:bCs/>
          <w:sz w:val="22"/>
          <w:szCs w:val="22"/>
        </w:rPr>
        <w:t xml:space="preserve">a) Turno de los </w:t>
      </w:r>
      <w:r w:rsidRPr="00B23F25">
        <w:rPr>
          <w:rFonts w:ascii="Palatino Linotype" w:hAnsi="Palatino Linotype" w:cs="Tahoma"/>
          <w:b/>
          <w:sz w:val="22"/>
          <w:szCs w:val="22"/>
        </w:rPr>
        <w:t>Recursos de Revisión</w:t>
      </w:r>
      <w:r w:rsidRPr="00B23F25">
        <w:rPr>
          <w:rFonts w:ascii="Palatino Linotype" w:hAnsi="Palatino Linotype" w:eastAsia="Batang" w:cs="Tahoma"/>
          <w:b/>
          <w:bCs/>
          <w:sz w:val="22"/>
          <w:szCs w:val="22"/>
        </w:rPr>
        <w:t xml:space="preserve">. </w:t>
      </w:r>
      <w:r w:rsidRPr="00B23F25" w:rsidR="00361A2A">
        <w:rPr>
          <w:rFonts w:ascii="Palatino Linotype" w:hAnsi="Palatino Linotype" w:cs="Tahoma"/>
          <w:sz w:val="22"/>
          <w:szCs w:val="22"/>
        </w:rPr>
        <w:t>El</w:t>
      </w:r>
      <w:r w:rsidRPr="00B23F25" w:rsidR="00A1736A">
        <w:rPr>
          <w:rFonts w:ascii="Palatino Linotype" w:hAnsi="Palatino Linotype" w:cs="Tahoma"/>
          <w:sz w:val="22"/>
          <w:szCs w:val="22"/>
        </w:rPr>
        <w:t xml:space="preserve"> </w:t>
      </w:r>
      <w:r w:rsidRPr="00B23F25" w:rsidR="00A1736A">
        <w:rPr>
          <w:rFonts w:ascii="Palatino Linotype" w:hAnsi="Palatino Linotype" w:cs="Tahoma"/>
          <w:bCs/>
          <w:sz w:val="22"/>
          <w:szCs w:val="22"/>
        </w:rPr>
        <w:t>veint</w:t>
      </w:r>
      <w:r w:rsidRPr="00B23F25" w:rsidR="00F427AC">
        <w:rPr>
          <w:rFonts w:ascii="Palatino Linotype" w:hAnsi="Palatino Linotype" w:cs="Tahoma"/>
          <w:bCs/>
          <w:sz w:val="22"/>
          <w:szCs w:val="22"/>
        </w:rPr>
        <w:t>i</w:t>
      </w:r>
      <w:r w:rsidRPr="00B23F25" w:rsidR="00424D79">
        <w:rPr>
          <w:rFonts w:ascii="Palatino Linotype" w:hAnsi="Palatino Linotype" w:cs="Tahoma"/>
          <w:bCs/>
          <w:sz w:val="22"/>
          <w:szCs w:val="22"/>
        </w:rPr>
        <w:t>cinco</w:t>
      </w:r>
      <w:r w:rsidRPr="00B23F25" w:rsidR="00A1736A">
        <w:rPr>
          <w:rFonts w:ascii="Palatino Linotype" w:hAnsi="Palatino Linotype" w:cs="Tahoma"/>
          <w:bCs/>
          <w:sz w:val="22"/>
          <w:szCs w:val="22"/>
        </w:rPr>
        <w:t xml:space="preserve"> de </w:t>
      </w:r>
      <w:r w:rsidRPr="00B23F25" w:rsidR="00AC12FE">
        <w:rPr>
          <w:rFonts w:ascii="Palatino Linotype" w:hAnsi="Palatino Linotype" w:cs="Tahoma"/>
          <w:bCs/>
          <w:sz w:val="22"/>
          <w:szCs w:val="22"/>
        </w:rPr>
        <w:t>marzo</w:t>
      </w:r>
      <w:r w:rsidRPr="00B23F25" w:rsidR="00A1736A">
        <w:rPr>
          <w:rFonts w:ascii="Palatino Linotype" w:hAnsi="Palatino Linotype" w:cs="Tahoma"/>
          <w:bCs/>
          <w:sz w:val="22"/>
          <w:szCs w:val="22"/>
        </w:rPr>
        <w:t xml:space="preserve"> de dos mil veintidós</w:t>
      </w:r>
      <w:r w:rsidRPr="00B23F25">
        <w:rPr>
          <w:rFonts w:ascii="Palatino Linotype" w:hAnsi="Palatino Linotype" w:eastAsia="Batang" w:cs="Tahoma"/>
          <w:bCs/>
          <w:sz w:val="22"/>
          <w:szCs w:val="22"/>
        </w:rPr>
        <w:t xml:space="preserve">, el </w:t>
      </w:r>
      <w:r w:rsidRPr="00B23F25">
        <w:rPr>
          <w:rFonts w:ascii="Palatino Linotype" w:hAnsi="Palatino Linotype" w:cs="Tahoma"/>
          <w:sz w:val="22"/>
          <w:szCs w:val="22"/>
        </w:rPr>
        <w:t>Sistema de Acceso a la Información Mexiquense (SAIMEX),</w:t>
      </w:r>
      <w:r w:rsidRPr="00B23F25">
        <w:rPr>
          <w:rFonts w:ascii="Palatino Linotype" w:hAnsi="Palatino Linotype" w:eastAsia="Batang" w:cs="Tahoma"/>
          <w:bCs/>
          <w:sz w:val="22"/>
          <w:szCs w:val="22"/>
        </w:rPr>
        <w:t xml:space="preserve"> </w:t>
      </w:r>
      <w:r w:rsidRPr="00B23F25" w:rsidR="00F427AC">
        <w:rPr>
          <w:rFonts w:ascii="Palatino Linotype" w:hAnsi="Palatino Linotype" w:eastAsia="Batang" w:cs="Tahoma"/>
          <w:sz w:val="22"/>
          <w:szCs w:val="22"/>
        </w:rPr>
        <w:t xml:space="preserve">asignó el número de </w:t>
      </w:r>
      <w:r w:rsidRPr="00B23F25" w:rsidR="00492CE5">
        <w:rPr>
          <w:rFonts w:ascii="Palatino Linotype" w:hAnsi="Palatino Linotype" w:eastAsia="Batang" w:cs="Tahoma"/>
          <w:sz w:val="22"/>
          <w:szCs w:val="22"/>
        </w:rPr>
        <w:t xml:space="preserve">expediente </w:t>
      </w:r>
      <w:r w:rsidRPr="00B23F25" w:rsidR="00424D79">
        <w:rPr>
          <w:rFonts w:ascii="Palatino Linotype" w:hAnsi="Palatino Linotype" w:eastAsia="Calibri" w:cs="Tahoma"/>
          <w:b/>
          <w:bCs/>
          <w:sz w:val="22"/>
          <w:szCs w:val="22"/>
        </w:rPr>
        <w:t>04736/INFOEM/IP/RR/2022</w:t>
      </w:r>
      <w:r w:rsidRPr="00B23F25" w:rsidR="00F427AC">
        <w:rPr>
          <w:rFonts w:ascii="Palatino Linotype" w:hAnsi="Palatino Linotype" w:eastAsia="Batang" w:cs="Tahoma"/>
          <w:sz w:val="22"/>
          <w:szCs w:val="22"/>
        </w:rPr>
        <w:t xml:space="preserve">, al medio de impugnación que nos ocupa, con base en el sistema aprobado por el Pleno de este Órgano Garante y lo turnó al </w:t>
      </w:r>
      <w:r w:rsidRPr="00B23F25" w:rsidR="00F427AC">
        <w:rPr>
          <w:rFonts w:ascii="Palatino Linotype" w:hAnsi="Palatino Linotype" w:eastAsia="Batang" w:cs="Tahoma"/>
          <w:b/>
          <w:bCs/>
          <w:sz w:val="22"/>
          <w:szCs w:val="22"/>
        </w:rPr>
        <w:t>Comisionado Ponente Luis Gustavo Parra Noriega</w:t>
      </w:r>
      <w:r w:rsidRPr="00B23F25" w:rsidR="00F427AC">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B23F25" w:rsidR="00F427AC" w:rsidP="00710DA7" w:rsidRDefault="00F427AC" w14:paraId="7C18C765" w14:textId="77777777">
      <w:pPr>
        <w:spacing w:line="360" w:lineRule="auto"/>
        <w:ind w:right="-28"/>
        <w:contextualSpacing/>
        <w:jc w:val="both"/>
        <w:rPr>
          <w:rFonts w:ascii="Palatino Linotype" w:hAnsi="Palatino Linotype" w:eastAsia="Batang" w:cs="Tahoma"/>
          <w:b/>
          <w:bCs/>
          <w:sz w:val="22"/>
          <w:szCs w:val="22"/>
        </w:rPr>
      </w:pPr>
    </w:p>
    <w:p w:rsidRPr="00B23F25" w:rsidR="007E363C" w:rsidP="00710DA7" w:rsidRDefault="007E363C" w14:paraId="2E3341BD" w14:textId="60E6776B">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B23F25">
        <w:rPr>
          <w:rFonts w:ascii="Palatino Linotype" w:hAnsi="Palatino Linotype" w:eastAsia="Batang" w:cs="Tahoma"/>
          <w:b/>
          <w:bCs/>
          <w:sz w:val="22"/>
          <w:szCs w:val="22"/>
        </w:rPr>
        <w:t xml:space="preserve">b) Admisión de los </w:t>
      </w:r>
      <w:r w:rsidRPr="00B23F25">
        <w:rPr>
          <w:rFonts w:ascii="Palatino Linotype" w:hAnsi="Palatino Linotype" w:cs="Tahoma"/>
          <w:b/>
          <w:sz w:val="22"/>
          <w:szCs w:val="22"/>
        </w:rPr>
        <w:t>Recursos de Revisión</w:t>
      </w:r>
      <w:r w:rsidRPr="00B23F25">
        <w:rPr>
          <w:rFonts w:ascii="Palatino Linotype" w:hAnsi="Palatino Linotype" w:eastAsia="Batang" w:cs="Tahoma"/>
          <w:b/>
          <w:bCs/>
          <w:sz w:val="22"/>
          <w:szCs w:val="22"/>
          <w:lang w:val="es-ES_tradnl"/>
        </w:rPr>
        <w:t xml:space="preserve">. </w:t>
      </w:r>
      <w:r w:rsidRPr="00B23F25">
        <w:rPr>
          <w:rFonts w:ascii="Palatino Linotype" w:hAnsi="Palatino Linotype" w:eastAsia="Batang" w:cs="Tahoma"/>
          <w:bCs/>
          <w:sz w:val="22"/>
          <w:szCs w:val="22"/>
        </w:rPr>
        <w:t>El</w:t>
      </w:r>
      <w:r w:rsidRPr="00B23F25" w:rsidR="00717A67">
        <w:rPr>
          <w:rFonts w:ascii="Palatino Linotype" w:hAnsi="Palatino Linotype" w:eastAsia="Batang" w:cs="Tahoma"/>
          <w:bCs/>
          <w:sz w:val="22"/>
          <w:szCs w:val="22"/>
        </w:rPr>
        <w:t xml:space="preserve"> </w:t>
      </w:r>
      <w:r w:rsidRPr="00B23F25" w:rsidR="00424D79">
        <w:rPr>
          <w:rFonts w:ascii="Palatino Linotype" w:hAnsi="Palatino Linotype" w:eastAsia="Batang" w:cs="Tahoma"/>
          <w:bCs/>
          <w:sz w:val="22"/>
          <w:szCs w:val="22"/>
        </w:rPr>
        <w:t>treinta</w:t>
      </w:r>
      <w:r w:rsidRPr="00B23F25" w:rsidR="00783599">
        <w:rPr>
          <w:rFonts w:ascii="Palatino Linotype" w:hAnsi="Palatino Linotype" w:eastAsia="Batang" w:cs="Tahoma"/>
          <w:bCs/>
          <w:sz w:val="22"/>
          <w:szCs w:val="22"/>
        </w:rPr>
        <w:t xml:space="preserve"> de </w:t>
      </w:r>
      <w:r w:rsidRPr="00B23F25" w:rsidR="00F427AC">
        <w:rPr>
          <w:rFonts w:ascii="Palatino Linotype" w:hAnsi="Palatino Linotype" w:eastAsia="Batang" w:cs="Tahoma"/>
          <w:bCs/>
          <w:sz w:val="22"/>
          <w:szCs w:val="22"/>
        </w:rPr>
        <w:t>marz</w:t>
      </w:r>
      <w:r w:rsidRPr="00B23F25" w:rsidR="00783599">
        <w:rPr>
          <w:rFonts w:ascii="Palatino Linotype" w:hAnsi="Palatino Linotype" w:eastAsia="Batang" w:cs="Tahoma"/>
          <w:bCs/>
          <w:sz w:val="22"/>
          <w:szCs w:val="22"/>
        </w:rPr>
        <w:t xml:space="preserve">o </w:t>
      </w:r>
      <w:r w:rsidRPr="00B23F25" w:rsidR="00B87EC4">
        <w:rPr>
          <w:rFonts w:ascii="Palatino Linotype" w:hAnsi="Palatino Linotype" w:eastAsia="Batang" w:cs="Tahoma"/>
          <w:bCs/>
          <w:sz w:val="22"/>
          <w:szCs w:val="22"/>
        </w:rPr>
        <w:t xml:space="preserve">de dos mil veintidós, se acordó </w:t>
      </w:r>
      <w:r w:rsidRPr="00B23F25">
        <w:rPr>
          <w:rFonts w:ascii="Palatino Linotype" w:hAnsi="Palatino Linotype" w:eastAsia="Batang"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w:t>
      </w:r>
      <w:r w:rsidRPr="00B23F25" w:rsidR="00762BB9">
        <w:rPr>
          <w:rFonts w:ascii="Palatino Linotype" w:hAnsi="Palatino Linotype" w:eastAsia="Batang" w:cs="Tahoma"/>
          <w:bCs/>
          <w:sz w:val="22"/>
          <w:szCs w:val="22"/>
        </w:rPr>
        <w:t>el cual</w:t>
      </w:r>
      <w:r w:rsidRPr="00B23F25">
        <w:rPr>
          <w:rFonts w:ascii="Palatino Linotype" w:hAnsi="Palatino Linotype" w:eastAsia="Batang" w:cs="Tahoma"/>
          <w:bCs/>
          <w:sz w:val="22"/>
          <w:szCs w:val="22"/>
        </w:rPr>
        <w:t xml:space="preserve"> fue</w:t>
      </w:r>
      <w:r w:rsidRPr="00B23F25" w:rsidR="00762BB9">
        <w:rPr>
          <w:rFonts w:ascii="Palatino Linotype" w:hAnsi="Palatino Linotype" w:eastAsia="Batang" w:cs="Tahoma"/>
          <w:bCs/>
          <w:sz w:val="22"/>
          <w:szCs w:val="22"/>
        </w:rPr>
        <w:t xml:space="preserve"> </w:t>
      </w:r>
      <w:r w:rsidRPr="00B23F25">
        <w:rPr>
          <w:rFonts w:ascii="Palatino Linotype" w:hAnsi="Palatino Linotype" w:eastAsia="Batang" w:cs="Tahoma"/>
          <w:bCs/>
          <w:sz w:val="22"/>
          <w:szCs w:val="22"/>
        </w:rPr>
        <w:t xml:space="preserve">notificado a las partes </w:t>
      </w:r>
      <w:r w:rsidRPr="00B23F25" w:rsidR="0002206C">
        <w:rPr>
          <w:rFonts w:ascii="Palatino Linotype" w:hAnsi="Palatino Linotype" w:eastAsia="Batang" w:cs="Tahoma"/>
          <w:bCs/>
          <w:sz w:val="22"/>
          <w:szCs w:val="22"/>
        </w:rPr>
        <w:t xml:space="preserve">el </w:t>
      </w:r>
      <w:r w:rsidRPr="00B23F25" w:rsidR="00424D79">
        <w:rPr>
          <w:rFonts w:ascii="Palatino Linotype" w:hAnsi="Palatino Linotype" w:eastAsia="Batang" w:cs="Tahoma"/>
          <w:bCs/>
          <w:sz w:val="22"/>
          <w:szCs w:val="22"/>
        </w:rPr>
        <w:t>treinta y uno</w:t>
      </w:r>
      <w:r w:rsidRPr="00B23F25" w:rsidR="00F909C0">
        <w:rPr>
          <w:rFonts w:ascii="Palatino Linotype" w:hAnsi="Palatino Linotype" w:eastAsia="Batang" w:cs="Tahoma"/>
          <w:bCs/>
          <w:sz w:val="22"/>
          <w:szCs w:val="22"/>
        </w:rPr>
        <w:t xml:space="preserve"> </w:t>
      </w:r>
      <w:r w:rsidRPr="00B23F25">
        <w:rPr>
          <w:rFonts w:ascii="Palatino Linotype" w:hAnsi="Palatino Linotype" w:eastAsia="Batang" w:cs="Tahoma"/>
          <w:bCs/>
          <w:sz w:val="22"/>
          <w:szCs w:val="22"/>
        </w:rPr>
        <w:t>del mes y año referido, respectivamente, a través del Sistema de Acceso a la Información Mexiquense (SAIMEX), en el que se les otorgó un plazo de siete días hábiles posteriores a la misma, para que manifestaran lo que a su derecho conviniera y formularan alegatos.</w:t>
      </w:r>
    </w:p>
    <w:p w:rsidRPr="00B23F25" w:rsidR="00FB5D01" w:rsidP="00710DA7" w:rsidRDefault="00FB5D01" w14:paraId="05F9C952" w14:textId="77777777">
      <w:pPr>
        <w:autoSpaceDE w:val="0"/>
        <w:autoSpaceDN w:val="0"/>
        <w:adjustRightInd w:val="0"/>
        <w:spacing w:line="360" w:lineRule="auto"/>
        <w:ind w:right="-28"/>
        <w:contextualSpacing/>
        <w:jc w:val="both"/>
        <w:rPr>
          <w:rFonts w:ascii="Palatino Linotype" w:hAnsi="Palatino Linotype" w:eastAsia="Batang" w:cs="Tahoma"/>
          <w:bCs/>
          <w:sz w:val="22"/>
          <w:szCs w:val="22"/>
        </w:rPr>
      </w:pPr>
    </w:p>
    <w:p w:rsidRPr="00B23F25" w:rsidR="00361A2A" w:rsidP="00361A2A" w:rsidRDefault="00FB5D01" w14:paraId="24BD1B0F" w14:textId="77777777">
      <w:pPr>
        <w:spacing w:line="360" w:lineRule="auto"/>
        <w:jc w:val="both"/>
        <w:rPr>
          <w:rFonts w:ascii="Palatino Linotype" w:hAnsi="Palatino Linotype" w:cs="Tahoma"/>
          <w:color w:val="0D0D0D" w:themeColor="text1" w:themeTint="F2"/>
          <w:sz w:val="22"/>
          <w:szCs w:val="22"/>
        </w:rPr>
      </w:pPr>
      <w:r w:rsidRPr="00B23F25">
        <w:rPr>
          <w:rFonts w:ascii="Palatino Linotype" w:hAnsi="Palatino Linotype" w:eastAsia="Palatino Linotype" w:cs="Palatino Linotype"/>
          <w:b/>
          <w:bCs/>
          <w:sz w:val="22"/>
          <w:szCs w:val="22"/>
          <w:lang w:val="es-ES"/>
        </w:rPr>
        <w:t xml:space="preserve">c) </w:t>
      </w:r>
      <w:r w:rsidRPr="00B23F25" w:rsidR="00361A2A">
        <w:rPr>
          <w:rFonts w:ascii="Palatino Linotype" w:hAnsi="Palatino Linotype" w:cs="Tahoma"/>
          <w:b/>
          <w:bCs/>
          <w:color w:val="0D0D0D" w:themeColor="text1" w:themeTint="F2"/>
          <w:sz w:val="22"/>
          <w:szCs w:val="22"/>
        </w:rPr>
        <w:t xml:space="preserve">Informe Justificado o Manifestaciones. </w:t>
      </w:r>
      <w:r w:rsidRPr="00B23F25" w:rsidR="00361A2A">
        <w:rPr>
          <w:rFonts w:ascii="Palatino Linotype" w:hAnsi="Palatino Linotype" w:cs="Tahoma"/>
          <w:color w:val="0D0D0D" w:themeColor="text1" w:themeTint="F2"/>
          <w:sz w:val="22"/>
          <w:szCs w:val="22"/>
        </w:rPr>
        <w:t xml:space="preserve">El ocho de abril de dos mil veintidós, se recibió a través del Sistema de Acceso a la Información Mexiquense (SAIMEX), el Informe Justificado </w:t>
      </w:r>
      <w:r w:rsidRPr="00B23F25" w:rsidR="00361A2A">
        <w:rPr>
          <w:rFonts w:ascii="Palatino Linotype" w:hAnsi="Palatino Linotype" w:cs="Tahoma"/>
          <w:color w:val="0D0D0D" w:themeColor="text1" w:themeTint="F2"/>
          <w:sz w:val="22"/>
          <w:szCs w:val="22"/>
        </w:rPr>
        <w:lastRenderedPageBreak/>
        <w:t xml:space="preserve">del Sujeto Obligado, suscrito por el Encargado de Despacho de la Unidad de Transparencia y dirigido a la Directora de Administración, en los siguientes términos: </w:t>
      </w:r>
    </w:p>
    <w:p w:rsidRPr="00B23F25" w:rsidR="00361A2A" w:rsidP="00361A2A" w:rsidRDefault="00361A2A" w14:paraId="05C3C4B4" w14:textId="77777777">
      <w:pPr>
        <w:spacing w:line="360" w:lineRule="auto"/>
        <w:jc w:val="both"/>
        <w:rPr>
          <w:rFonts w:ascii="Palatino Linotype" w:hAnsi="Palatino Linotype" w:cs="Tahoma"/>
          <w:bCs/>
          <w:iCs/>
          <w:color w:val="0D0D0D" w:themeColor="text1" w:themeTint="F2"/>
          <w:sz w:val="22"/>
          <w:szCs w:val="22"/>
        </w:rPr>
      </w:pPr>
    </w:p>
    <w:p w:rsidRPr="00B23F25" w:rsidR="00361A2A" w:rsidP="00361A2A" w:rsidRDefault="00361A2A" w14:paraId="425DCDFC" w14:textId="77777777">
      <w:pPr>
        <w:spacing w:line="360" w:lineRule="auto"/>
        <w:ind w:left="567" w:right="567"/>
        <w:jc w:val="both"/>
        <w:rPr>
          <w:rFonts w:ascii="Palatino Linotype" w:hAnsi="Palatino Linotype" w:cs="Tahoma"/>
          <w:bCs/>
          <w:i/>
          <w:iCs/>
          <w:color w:val="0D0D0D" w:themeColor="text1" w:themeTint="F2"/>
          <w:sz w:val="20"/>
          <w:szCs w:val="20"/>
        </w:rPr>
      </w:pPr>
      <w:r w:rsidRPr="00B23F25">
        <w:rPr>
          <w:rFonts w:ascii="Palatino Linotype" w:hAnsi="Palatino Linotype" w:cs="Tahoma"/>
          <w:bCs/>
          <w:i/>
          <w:iCs/>
          <w:color w:val="0D0D0D" w:themeColor="text1" w:themeTint="F2"/>
          <w:sz w:val="20"/>
          <w:szCs w:val="20"/>
        </w:rPr>
        <w:t>“…</w:t>
      </w:r>
    </w:p>
    <w:p w:rsidRPr="00B23F25" w:rsidR="00361A2A" w:rsidP="00361A2A" w:rsidRDefault="00361A2A" w14:paraId="23B416EA" w14:textId="77777777">
      <w:pPr>
        <w:spacing w:line="360" w:lineRule="auto"/>
        <w:ind w:left="567" w:right="567"/>
        <w:jc w:val="both"/>
        <w:rPr>
          <w:rFonts w:ascii="Palatino Linotype" w:hAnsi="Palatino Linotype" w:eastAsia="Arial Unicode MS" w:cs="Arial Unicode MS"/>
          <w:i/>
          <w:iCs/>
          <w:sz w:val="20"/>
          <w:szCs w:val="20"/>
          <w:lang w:val="es-ES" w:eastAsia="en-US"/>
        </w:rPr>
      </w:pPr>
      <w:r w:rsidRPr="00B23F25">
        <w:rPr>
          <w:rFonts w:ascii="Palatino Linotype" w:hAnsi="Palatino Linotype" w:eastAsia="Arial Unicode MS" w:cs="Arial Unicode MS"/>
          <w:i/>
          <w:iCs/>
          <w:sz w:val="20"/>
          <w:szCs w:val="20"/>
          <w:lang w:val="es-ES" w:eastAsia="en-US"/>
        </w:rPr>
        <w:t xml:space="preserve">OBSERVACIONES: Se transcribe la solicitud de información tal como se presentó por eso no se corrige faltas de ortografía </w:t>
      </w:r>
    </w:p>
    <w:p w:rsidRPr="00B23F25" w:rsidR="00361A2A" w:rsidP="00361A2A" w:rsidRDefault="00361A2A" w14:paraId="4EDFC4BB" w14:textId="77777777">
      <w:pPr>
        <w:spacing w:line="360" w:lineRule="auto"/>
        <w:ind w:left="567" w:right="567"/>
        <w:jc w:val="both"/>
        <w:rPr>
          <w:rFonts w:ascii="Palatino Linotype" w:hAnsi="Palatino Linotype" w:eastAsia="Arial Unicode MS" w:cs="Arial Unicode MS"/>
          <w:i/>
          <w:iCs/>
          <w:sz w:val="20"/>
          <w:szCs w:val="20"/>
          <w:lang w:val="es-ES" w:eastAsia="en-US"/>
        </w:rPr>
      </w:pPr>
    </w:p>
    <w:p w:rsidRPr="00B23F25" w:rsidR="00361A2A" w:rsidP="00361A2A" w:rsidRDefault="00361A2A" w14:paraId="798B1CD6" w14:textId="77777777">
      <w:pPr>
        <w:spacing w:line="360" w:lineRule="auto"/>
        <w:ind w:left="567" w:right="567"/>
        <w:jc w:val="both"/>
        <w:rPr>
          <w:rFonts w:ascii="Palatino Linotype" w:hAnsi="Palatino Linotype" w:eastAsia="Arial Unicode MS" w:cs="Arial Unicode MS"/>
          <w:i/>
          <w:iCs/>
          <w:sz w:val="20"/>
          <w:szCs w:val="20"/>
          <w:lang w:val="es-ES" w:eastAsia="en-US"/>
        </w:rPr>
      </w:pPr>
      <w:r w:rsidRPr="00B23F25">
        <w:rPr>
          <w:rFonts w:ascii="Palatino Linotype" w:hAnsi="Palatino Linotype" w:eastAsia="Arial Unicode MS" w:cs="Arial Unicode MS"/>
          <w:i/>
          <w:iCs/>
          <w:sz w:val="20"/>
          <w:szCs w:val="20"/>
          <w:lang w:val="es-ES" w:eastAsia="en-US"/>
        </w:rPr>
        <w:t>Por lo que pido de la manera más atenta y respetuosa, de contestación por escrito y por medio magnético a la Unidad de Transparencia, en un término de tres días hábiles, cabe mencionar que de hacer  caso omiso incurrirá en incumplimiento que puede generar responsabilidad administrativa en los términos de la Ley de Transparencia y Acceso a la Información Pública del Estado de México y Municipios.</w:t>
      </w:r>
    </w:p>
    <w:p w:rsidRPr="00B23F25" w:rsidR="00361A2A" w:rsidP="00361A2A" w:rsidRDefault="00361A2A" w14:paraId="68DE34F3" w14:textId="77777777">
      <w:pPr>
        <w:spacing w:line="360" w:lineRule="auto"/>
        <w:ind w:left="567" w:right="567"/>
        <w:jc w:val="both"/>
        <w:rPr>
          <w:rFonts w:ascii="Palatino Linotype" w:hAnsi="Palatino Linotype" w:cs="Tahoma"/>
          <w:bCs/>
          <w:i/>
          <w:iCs/>
          <w:color w:val="0D0D0D" w:themeColor="text1" w:themeTint="F2"/>
          <w:sz w:val="20"/>
          <w:szCs w:val="20"/>
        </w:rPr>
      </w:pPr>
      <w:r w:rsidRPr="00B23F25">
        <w:rPr>
          <w:rFonts w:ascii="Palatino Linotype" w:hAnsi="Palatino Linotype" w:cs="Tahoma"/>
          <w:bCs/>
          <w:i/>
          <w:iCs/>
          <w:color w:val="0D0D0D" w:themeColor="text1" w:themeTint="F2"/>
          <w:sz w:val="20"/>
          <w:szCs w:val="20"/>
        </w:rPr>
        <w:t xml:space="preserve">…” (Sic) </w:t>
      </w:r>
    </w:p>
    <w:p w:rsidRPr="00B23F25" w:rsidR="00361A2A" w:rsidP="00361A2A" w:rsidRDefault="00361A2A" w14:paraId="2FA24E2E" w14:textId="77777777">
      <w:pPr>
        <w:spacing w:line="360" w:lineRule="auto"/>
        <w:ind w:left="567" w:right="567"/>
        <w:jc w:val="both"/>
        <w:rPr>
          <w:rFonts w:ascii="Palatino Linotype" w:hAnsi="Palatino Linotype" w:cs="Tahoma"/>
          <w:bCs/>
          <w:i/>
          <w:iCs/>
          <w:color w:val="0D0D0D" w:themeColor="text1" w:themeTint="F2"/>
          <w:sz w:val="20"/>
          <w:szCs w:val="20"/>
        </w:rPr>
      </w:pPr>
    </w:p>
    <w:p w:rsidRPr="00B23F25" w:rsidR="00361A2A" w:rsidP="00361A2A" w:rsidRDefault="00361A2A" w14:paraId="009E16E0" w14:textId="77777777">
      <w:pPr>
        <w:spacing w:line="360" w:lineRule="auto"/>
        <w:jc w:val="both"/>
        <w:rPr>
          <w:rFonts w:ascii="Palatino Linotype" w:hAnsi="Palatino Linotype" w:eastAsia="Palatino Linotype" w:cs="Palatino Linotype"/>
          <w:sz w:val="22"/>
          <w:szCs w:val="22"/>
          <w:lang w:val="es-ES"/>
        </w:rPr>
      </w:pPr>
      <w:r w:rsidRPr="00B23F25">
        <w:rPr>
          <w:rFonts w:ascii="Palatino Linotype" w:hAnsi="Palatino Linotype" w:eastAsia="Palatino Linotype" w:cs="Palatino Linotype"/>
          <w:sz w:val="22"/>
          <w:szCs w:val="22"/>
          <w:lang w:val="es-ES"/>
        </w:rPr>
        <w:t xml:space="preserve">El Sujeto Obligado adjuntó la digitalización del Directorio del Ayuntamiento de Temascalcingo 2022-2024, con los rubros número progresivo, nombre, cargo, teléfono y correo electrónico institucional. </w:t>
      </w:r>
    </w:p>
    <w:p w:rsidRPr="00B23F25" w:rsidR="00FB5D01" w:rsidP="00FB5D01" w:rsidRDefault="00FB5D01" w14:paraId="5B757648" w14:textId="4BE052E3">
      <w:pPr>
        <w:spacing w:line="360" w:lineRule="auto"/>
        <w:jc w:val="both"/>
        <w:rPr>
          <w:rFonts w:ascii="Palatino Linotype" w:hAnsi="Palatino Linotype" w:eastAsia="Palatino Linotype" w:cs="Palatino Linotype"/>
          <w:sz w:val="22"/>
          <w:szCs w:val="22"/>
          <w:lang w:val="es-ES"/>
        </w:rPr>
      </w:pPr>
    </w:p>
    <w:p w:rsidRPr="00B23F25" w:rsidR="00E5777F" w:rsidP="00361A2A" w:rsidRDefault="00FB5D01" w14:paraId="136243C8" w14:textId="3E1B41B6">
      <w:pPr>
        <w:spacing w:line="360" w:lineRule="auto"/>
        <w:jc w:val="both"/>
        <w:rPr>
          <w:rFonts w:ascii="Palatino Linotype" w:hAnsi="Palatino Linotype" w:cs="Tahoma"/>
          <w:b/>
          <w:bCs/>
          <w:color w:val="0D0D0D" w:themeColor="text1" w:themeTint="F2"/>
          <w:sz w:val="22"/>
          <w:szCs w:val="22"/>
        </w:rPr>
      </w:pPr>
      <w:r w:rsidRPr="00B23F25">
        <w:rPr>
          <w:rFonts w:ascii="Palatino Linotype" w:hAnsi="Palatino Linotype" w:cs="Tahoma"/>
          <w:b/>
          <w:bCs/>
          <w:color w:val="0D0D0D" w:themeColor="text1" w:themeTint="F2"/>
          <w:sz w:val="22"/>
          <w:szCs w:val="22"/>
        </w:rPr>
        <w:t>d</w:t>
      </w:r>
      <w:r w:rsidRPr="00B23F25" w:rsidR="007E363C">
        <w:rPr>
          <w:rFonts w:ascii="Palatino Linotype" w:hAnsi="Palatino Linotype" w:cs="Tahoma"/>
          <w:b/>
          <w:bCs/>
          <w:color w:val="0D0D0D" w:themeColor="text1" w:themeTint="F2"/>
          <w:sz w:val="22"/>
          <w:szCs w:val="22"/>
        </w:rPr>
        <w:t xml:space="preserve">) </w:t>
      </w:r>
      <w:r w:rsidRPr="00B23F25" w:rsidR="00D24B9A">
        <w:rPr>
          <w:rFonts w:ascii="Palatino Linotype" w:hAnsi="Palatino Linotype" w:eastAsia="Palatino Linotype" w:cs="Palatino Linotype"/>
          <w:b/>
          <w:bCs/>
          <w:sz w:val="22"/>
          <w:szCs w:val="22"/>
          <w:lang w:val="es-ES"/>
        </w:rPr>
        <w:t xml:space="preserve">Ampliación de plazo para resolver. </w:t>
      </w:r>
      <w:r w:rsidRPr="00B23F25" w:rsidR="00D24B9A">
        <w:rPr>
          <w:rFonts w:ascii="Palatino Linotype" w:hAnsi="Palatino Linotype" w:eastAsia="Palatino Linotype" w:cs="Palatino Linotype"/>
          <w:sz w:val="22"/>
          <w:szCs w:val="22"/>
          <w:lang w:val="es-ES"/>
        </w:rPr>
        <w:t xml:space="preserve">El </w:t>
      </w:r>
      <w:r w:rsidRPr="00B23F25" w:rsidR="00D24B9A">
        <w:rPr>
          <w:rFonts w:ascii="Palatino Linotype" w:hAnsi="Palatino Linotype" w:eastAsia="Palatino Linotype" w:cs="Palatino Linotype"/>
          <w:sz w:val="22"/>
          <w:szCs w:val="22"/>
        </w:rPr>
        <w:t>dieciocho de mayo de dos mil veintidós</w:t>
      </w:r>
      <w:r w:rsidRPr="00B23F25" w:rsidR="00D24B9A">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dos de junio del mismo año, mediante el Sistema de Acceso a la Información Mexiquense (SAIMEX).</w:t>
      </w:r>
    </w:p>
    <w:p w:rsidRPr="00B23F25" w:rsidR="00D24B9A" w:rsidP="00361A2A" w:rsidRDefault="00D24B9A" w14:paraId="00EDCE98" w14:textId="77777777">
      <w:pPr>
        <w:spacing w:line="360" w:lineRule="auto"/>
        <w:jc w:val="both"/>
        <w:rPr>
          <w:rFonts w:ascii="Palatino Linotype" w:hAnsi="Palatino Linotype" w:eastAsia="Palatino Linotype" w:cs="Palatino Linotype"/>
          <w:sz w:val="22"/>
          <w:szCs w:val="22"/>
          <w:lang w:val="es-ES"/>
        </w:rPr>
      </w:pPr>
    </w:p>
    <w:p w:rsidRPr="00636C50" w:rsidR="00636C50" w:rsidP="00636C50" w:rsidRDefault="00636C50" w14:paraId="5D268C31"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636C50">
        <w:rPr>
          <w:rFonts w:ascii="Palatino Linotype" w:hAnsi="Palatino Linotype" w:eastAsia="Palatino Linotype" w:cs="Palatino Linotype"/>
          <w:sz w:val="22"/>
          <w:szCs w:val="22"/>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636C50" w:rsidR="00636C50" w:rsidP="00636C50" w:rsidRDefault="00636C50" w14:paraId="2ADD1E93"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7FEAC105"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636C50" w:rsidR="00636C50" w:rsidP="00636C50" w:rsidRDefault="00636C50" w14:paraId="6BFBD1ED"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36B16DB4"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36C50" w:rsidR="00636C50" w:rsidP="00636C50" w:rsidRDefault="00636C50" w14:paraId="4FCA6EED"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240E6074"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36C50" w:rsidR="00636C50" w:rsidP="00636C50" w:rsidRDefault="00636C50" w14:paraId="5696FA43" w14:textId="7224FEB3">
      <w:pPr>
        <w:spacing w:line="360" w:lineRule="auto"/>
        <w:jc w:val="both"/>
        <w:rPr>
          <w:rFonts w:ascii="Palatino Linotype" w:hAnsi="Palatino Linotype" w:eastAsia="Palatino Linotype" w:cs="Palatino Linotype"/>
          <w:sz w:val="22"/>
          <w:szCs w:val="22"/>
        </w:rPr>
      </w:pPr>
    </w:p>
    <w:p w:rsidRPr="00636C50" w:rsidR="00636C50" w:rsidP="00636C50" w:rsidRDefault="00636C50" w14:paraId="790BB80D"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636C50" w:rsidR="00636C50" w:rsidP="00636C50" w:rsidRDefault="00636C50" w14:paraId="51A0B126"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1CB8E456" w14:textId="77777777">
      <w:pPr>
        <w:numPr>
          <w:ilvl w:val="0"/>
          <w:numId w:val="47"/>
        </w:num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b/>
          <w:bCs/>
          <w:sz w:val="22"/>
          <w:szCs w:val="22"/>
        </w:rPr>
        <w:t>Complejidad del asunto:</w:t>
      </w:r>
      <w:r w:rsidRPr="00636C50">
        <w:rPr>
          <w:rFonts w:ascii="Palatino Linotype" w:hAnsi="Palatino Linotype" w:eastAsia="Palatino Linotype" w:cs="Palatino Linotype"/>
          <w:sz w:val="22"/>
          <w:szCs w:val="22"/>
        </w:rPr>
        <w:t xml:space="preserve"> La complejidad de la prueba, la pluralidad de sujetos procesales, el tiempo transcurrido, las características y contexto del recurso.</w:t>
      </w:r>
    </w:p>
    <w:p w:rsidRPr="00636C50" w:rsidR="00636C50" w:rsidP="00636C50" w:rsidRDefault="00636C50" w14:paraId="7C1C6F6F"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69EBFE5E" w14:textId="77777777">
      <w:pPr>
        <w:numPr>
          <w:ilvl w:val="0"/>
          <w:numId w:val="47"/>
        </w:num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b/>
          <w:bCs/>
          <w:sz w:val="22"/>
          <w:szCs w:val="22"/>
        </w:rPr>
        <w:t>Actividad Procesal del interesado:</w:t>
      </w:r>
      <w:r w:rsidRPr="00636C50">
        <w:rPr>
          <w:rFonts w:ascii="Palatino Linotype" w:hAnsi="Palatino Linotype" w:eastAsia="Palatino Linotype" w:cs="Palatino Linotype"/>
          <w:sz w:val="22"/>
          <w:szCs w:val="22"/>
        </w:rPr>
        <w:t xml:space="preserve"> Acciones u omisiones del interesado.</w:t>
      </w:r>
    </w:p>
    <w:p w:rsidRPr="00636C50" w:rsidR="00636C50" w:rsidP="00636C50" w:rsidRDefault="00636C50" w14:paraId="1D8A3E88"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5B8DADD6" w14:textId="77777777">
      <w:pPr>
        <w:numPr>
          <w:ilvl w:val="0"/>
          <w:numId w:val="47"/>
        </w:num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b/>
          <w:bCs/>
          <w:sz w:val="22"/>
          <w:szCs w:val="22"/>
        </w:rPr>
        <w:t>Conducta de la Autoridad:</w:t>
      </w:r>
      <w:r w:rsidRPr="00636C50">
        <w:rPr>
          <w:rFonts w:ascii="Palatino Linotype" w:hAnsi="Palatino Linotype" w:eastAsia="Palatino Linotype" w:cs="Palatino Linotype"/>
          <w:sz w:val="22"/>
          <w:szCs w:val="22"/>
        </w:rPr>
        <w:t xml:space="preserve"> Las Acciones u omisiones realizadas en el procedimiento. Así como si la autoridad actuó con la debida diligencia.</w:t>
      </w:r>
    </w:p>
    <w:p w:rsidRPr="00636C50" w:rsidR="00636C50" w:rsidP="00636C50" w:rsidRDefault="00636C50" w14:paraId="6552E10D"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3790A8A8" w14:textId="77777777">
      <w:pPr>
        <w:numPr>
          <w:ilvl w:val="0"/>
          <w:numId w:val="47"/>
        </w:num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b/>
          <w:bCs/>
          <w:sz w:val="22"/>
          <w:szCs w:val="22"/>
        </w:rPr>
        <w:t>La afectación generada en la situación jurídica de la persona involucrada en el proceso:</w:t>
      </w:r>
      <w:r w:rsidRPr="00636C50">
        <w:rPr>
          <w:rFonts w:ascii="Palatino Linotype" w:hAnsi="Palatino Linotype" w:eastAsia="Palatino Linotype" w:cs="Palatino Linotype"/>
          <w:sz w:val="22"/>
          <w:szCs w:val="22"/>
        </w:rPr>
        <w:t xml:space="preserve"> Violación a sus derechos humanos.</w:t>
      </w:r>
    </w:p>
    <w:p w:rsidRPr="00636C50" w:rsidR="00636C50" w:rsidP="00636C50" w:rsidRDefault="00636C50" w14:paraId="43A31550"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6275878F"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36C50" w:rsidR="00636C50" w:rsidP="00636C50" w:rsidRDefault="00636C50" w14:paraId="51DE6F8F"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5D6AAF64"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Argumento que encuentra sustento en la jurisprudencia P./J. 32/92 emitida por el Pleno de la Suprema Corte de Justicia de la Nación de rubro “</w:t>
      </w:r>
      <w:r w:rsidRPr="00636C50">
        <w:rPr>
          <w:rFonts w:ascii="Palatino Linotype" w:hAnsi="Palatino Linotype" w:eastAsia="Palatino Linotype" w:cs="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636C50">
        <w:rPr>
          <w:rFonts w:ascii="Palatino Linotype" w:hAnsi="Palatino Linotype" w:eastAsia="Palatino Linotype" w:cs="Palatino Linotype"/>
          <w:sz w:val="22"/>
          <w:szCs w:val="22"/>
        </w:rPr>
        <w:t>.”, visible en la Gaceta del Seminario Judicial de la Federación con el registro digital 205635.</w:t>
      </w:r>
    </w:p>
    <w:p w:rsidRPr="00636C50" w:rsidR="00636C50" w:rsidP="00636C50" w:rsidRDefault="00636C50" w14:paraId="60D7857D" w14:textId="33F5A76E">
      <w:pPr>
        <w:spacing w:line="360" w:lineRule="auto"/>
        <w:jc w:val="both"/>
        <w:rPr>
          <w:rFonts w:ascii="Palatino Linotype" w:hAnsi="Palatino Linotype" w:eastAsia="Palatino Linotype" w:cs="Palatino Linotype"/>
          <w:sz w:val="22"/>
          <w:szCs w:val="22"/>
        </w:rPr>
      </w:pPr>
    </w:p>
    <w:p w:rsidRPr="00636C50" w:rsidR="00636C50" w:rsidP="00636C50" w:rsidRDefault="00636C50" w14:paraId="4728F768"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636C50">
        <w:rPr>
          <w:rFonts w:ascii="Palatino Linotype" w:hAnsi="Palatino Linotype" w:eastAsia="Palatino Linotype" w:cs="Palatino Linotype"/>
          <w:sz w:val="22"/>
          <w:szCs w:val="22"/>
        </w:rPr>
        <w:lastRenderedPageBreak/>
        <w:t>de los términos legales previamente establecidos por la Ley, por tratarse de causas de fuerza mayor.</w:t>
      </w:r>
    </w:p>
    <w:p w:rsidRPr="00636C50" w:rsidR="00636C50" w:rsidP="00636C50" w:rsidRDefault="00636C50" w14:paraId="09A8394F"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033CB074" w14:textId="17445821">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 xml:space="preserve">Al respecto, también son de considerar los criterios sostenidos por el Cuarto Tribunal Colegiado en Materia Administrativa del Primer Circuito, cuyos rubros y datos de identificación son los </w:t>
      </w:r>
      <w:proofErr w:type="gramStart"/>
      <w:r w:rsidRPr="00B23F25" w:rsidR="00D12615">
        <w:rPr>
          <w:rFonts w:ascii="Palatino Linotype" w:hAnsi="Palatino Linotype" w:eastAsia="Palatino Linotype" w:cs="Palatino Linotype"/>
          <w:sz w:val="22"/>
          <w:szCs w:val="22"/>
        </w:rPr>
        <w:t>siguientes:“</w:t>
      </w:r>
      <w:proofErr w:type="gramEnd"/>
      <w:r w:rsidRPr="00B23F25" w:rsidR="00D12615">
        <w:rPr>
          <w:rFonts w:ascii="Palatino Linotype" w:hAnsi="Palatino Linotype" w:eastAsia="Palatino Linotype" w:cs="Palatino Linotype"/>
          <w:b/>
          <w:bCs/>
          <w:sz w:val="22"/>
          <w:szCs w:val="22"/>
        </w:rPr>
        <w:t xml:space="preserve"> PLAZO</w:t>
      </w:r>
      <w:r w:rsidRPr="00636C50">
        <w:rPr>
          <w:rFonts w:ascii="Palatino Linotype" w:hAnsi="Palatino Linotype" w:eastAsia="Palatino Linotype" w:cs="Palatino Linotype"/>
          <w:b/>
          <w:bCs/>
          <w:sz w:val="22"/>
          <w:szCs w:val="22"/>
        </w:rPr>
        <w:t xml:space="preserve"> RAZONABLE PARA RESOLVER. DIMENSIÓN Y EFECTOS DE ESTE CONCEPTO CUANDO SE ADUCE EXCESIVA CARGA DE TRABAJO</w:t>
      </w:r>
      <w:r w:rsidRPr="00636C50">
        <w:rPr>
          <w:rFonts w:ascii="Palatino Linotype" w:hAnsi="Palatino Linotype" w:eastAsia="Palatino Linotype" w:cs="Palatino Linotype"/>
          <w:sz w:val="22"/>
          <w:szCs w:val="22"/>
        </w:rPr>
        <w:t>.” consultable en el Seminario Judicial de la Federación y su gaceta, con el registro digital 2002351.</w:t>
      </w:r>
    </w:p>
    <w:p w:rsidRPr="00636C50" w:rsidR="00636C50" w:rsidP="00636C50" w:rsidRDefault="00636C50" w14:paraId="4A49F7D4"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12B567DF" w14:textId="77777777">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w:t>
      </w:r>
      <w:r w:rsidRPr="00636C50">
        <w:rPr>
          <w:rFonts w:ascii="Palatino Linotype" w:hAnsi="Palatino Linotype" w:eastAsia="Palatino Linotype" w:cs="Palatino Linotype"/>
          <w:b/>
          <w:bCs/>
          <w:sz w:val="22"/>
          <w:szCs w:val="22"/>
        </w:rPr>
        <w:t>PLAZO RAZONABLE PARA RESOLVER. CONCEPTO Y ELEMENTOS QUE LO INTEGRAN A LA LUZ DEL DERECHO INTERNACIONAL DE LOS DERECHOS HUMANOS</w:t>
      </w:r>
      <w:r w:rsidRPr="00636C50">
        <w:rPr>
          <w:rFonts w:ascii="Palatino Linotype" w:hAnsi="Palatino Linotype" w:eastAsia="Palatino Linotype" w:cs="Palatino Linotype"/>
          <w:sz w:val="22"/>
          <w:szCs w:val="22"/>
        </w:rPr>
        <w:t>.”, visible en el Seminario Judicial de la Federación y su gaceta, con el registro digital 2002350.</w:t>
      </w:r>
    </w:p>
    <w:p w:rsidRPr="00636C50" w:rsidR="00636C50" w:rsidP="00636C50" w:rsidRDefault="00636C50" w14:paraId="545E970C" w14:textId="77777777">
      <w:pPr>
        <w:spacing w:line="360" w:lineRule="auto"/>
        <w:jc w:val="both"/>
        <w:rPr>
          <w:rFonts w:ascii="Palatino Linotype" w:hAnsi="Palatino Linotype" w:eastAsia="Palatino Linotype" w:cs="Palatino Linotype"/>
          <w:sz w:val="22"/>
          <w:szCs w:val="22"/>
        </w:rPr>
      </w:pPr>
    </w:p>
    <w:p w:rsidRPr="00636C50" w:rsidR="00636C50" w:rsidP="00636C50" w:rsidRDefault="00636C50" w14:paraId="4BD59AAC" w14:textId="5F38244C">
      <w:pPr>
        <w:spacing w:line="360" w:lineRule="auto"/>
        <w:jc w:val="both"/>
        <w:rPr>
          <w:rFonts w:ascii="Palatino Linotype" w:hAnsi="Palatino Linotype" w:eastAsia="Palatino Linotype" w:cs="Palatino Linotype"/>
          <w:sz w:val="22"/>
          <w:szCs w:val="22"/>
        </w:rPr>
      </w:pPr>
      <w:r w:rsidRPr="00636C50">
        <w:rPr>
          <w:rFonts w:ascii="Palatino Linotype" w:hAnsi="Palatino Linotype" w:eastAsia="Palatino Linotype" w:cs="Palatino Linotype"/>
          <w:sz w:val="22"/>
          <w:szCs w:val="22"/>
        </w:rPr>
        <w:t xml:space="preserve">Por ello, este organismo garante comprometido con la tutela de los derechos humanos confiados señala que este exceso del plazo legal para resolver el presente </w:t>
      </w:r>
      <w:r w:rsidRPr="00B23F25" w:rsidR="00D12615">
        <w:rPr>
          <w:rFonts w:ascii="Palatino Linotype" w:hAnsi="Palatino Linotype" w:eastAsia="Palatino Linotype" w:cs="Palatino Linotype"/>
          <w:sz w:val="22"/>
          <w:szCs w:val="22"/>
        </w:rPr>
        <w:t>asunto</w:t>
      </w:r>
      <w:r w:rsidRPr="00636C50">
        <w:rPr>
          <w:rFonts w:ascii="Palatino Linotype" w:hAnsi="Palatino Linotype" w:eastAsia="Palatino Linotype" w:cs="Palatino Linotype"/>
          <w:sz w:val="22"/>
          <w:szCs w:val="22"/>
        </w:rPr>
        <w:t xml:space="preserve"> resulta de carácter excepcional.</w:t>
      </w:r>
    </w:p>
    <w:p w:rsidRPr="00B23F25" w:rsidR="0037225A" w:rsidP="00361A2A" w:rsidRDefault="0037225A" w14:paraId="53BE4218" w14:textId="77777777">
      <w:pPr>
        <w:spacing w:line="360" w:lineRule="auto"/>
        <w:jc w:val="both"/>
        <w:rPr>
          <w:rFonts w:ascii="Palatino Linotype" w:hAnsi="Palatino Linotype" w:eastAsia="Palatino Linotype" w:cs="Palatino Linotype"/>
          <w:sz w:val="22"/>
          <w:szCs w:val="22"/>
          <w:lang w:val="es-ES"/>
        </w:rPr>
      </w:pPr>
    </w:p>
    <w:p w:rsidRPr="00B23F25" w:rsidR="0054272A" w:rsidP="00710DA7" w:rsidRDefault="00FB5D01" w14:paraId="3B3C3C47" w14:textId="15C23716">
      <w:pPr>
        <w:spacing w:line="360" w:lineRule="auto"/>
        <w:jc w:val="both"/>
        <w:rPr>
          <w:rFonts w:ascii="Palatino Linotype" w:hAnsi="Palatino Linotype" w:eastAsia="Palatino Linotype" w:cs="Palatino Linotype"/>
          <w:b/>
          <w:bCs/>
          <w:sz w:val="22"/>
          <w:szCs w:val="22"/>
          <w:lang w:val="es-ES"/>
        </w:rPr>
      </w:pPr>
      <w:r w:rsidRPr="00B23F25">
        <w:rPr>
          <w:rFonts w:ascii="Palatino Linotype" w:hAnsi="Palatino Linotype" w:eastAsia="Palatino Linotype" w:cs="Palatino Linotype"/>
          <w:b/>
          <w:bCs/>
          <w:sz w:val="22"/>
          <w:szCs w:val="22"/>
          <w:lang w:val="es-ES"/>
        </w:rPr>
        <w:t>e</w:t>
      </w:r>
      <w:r w:rsidRPr="00B23F25" w:rsidR="0054272A">
        <w:rPr>
          <w:rFonts w:ascii="Palatino Linotype" w:hAnsi="Palatino Linotype" w:eastAsia="Palatino Linotype" w:cs="Palatino Linotype"/>
          <w:b/>
          <w:bCs/>
          <w:sz w:val="22"/>
          <w:szCs w:val="22"/>
          <w:lang w:val="es-ES"/>
        </w:rPr>
        <w:t xml:space="preserve">) </w:t>
      </w:r>
      <w:r w:rsidRPr="00B23F25" w:rsidR="0054272A">
        <w:rPr>
          <w:rFonts w:ascii="Palatino Linotype" w:hAnsi="Palatino Linotype" w:eastAsia="Palatino Linotype" w:cs="Palatino Linotype"/>
          <w:b/>
          <w:bCs/>
          <w:iCs/>
          <w:sz w:val="22"/>
          <w:szCs w:val="22"/>
          <w:lang w:val="es-ES_tradnl"/>
        </w:rPr>
        <w:t>Vista</w:t>
      </w:r>
      <w:r w:rsidRPr="00B23F25" w:rsidR="0054272A">
        <w:rPr>
          <w:rFonts w:ascii="Palatino Linotype" w:hAnsi="Palatino Linotype" w:eastAsia="Palatino Linotype" w:cs="Palatino Linotype"/>
          <w:b/>
          <w:sz w:val="22"/>
          <w:szCs w:val="22"/>
        </w:rPr>
        <w:t xml:space="preserve"> del Informe Justificado: </w:t>
      </w:r>
      <w:r w:rsidRPr="00B23F25" w:rsidR="0054272A">
        <w:rPr>
          <w:rFonts w:ascii="Palatino Linotype" w:hAnsi="Palatino Linotype" w:eastAsia="Palatino Linotype" w:cs="Palatino Linotype"/>
          <w:sz w:val="22"/>
          <w:szCs w:val="22"/>
        </w:rPr>
        <w:t xml:space="preserve">El </w:t>
      </w:r>
      <w:r w:rsidRPr="00B23F25" w:rsidR="008B100B">
        <w:rPr>
          <w:rFonts w:ascii="Palatino Linotype" w:hAnsi="Palatino Linotype" w:eastAsia="Palatino Linotype" w:cs="Palatino Linotype"/>
          <w:sz w:val="22"/>
          <w:szCs w:val="22"/>
        </w:rPr>
        <w:t>veintiuno</w:t>
      </w:r>
      <w:r w:rsidRPr="00B23F25" w:rsidR="00320F36">
        <w:rPr>
          <w:rFonts w:ascii="Palatino Linotype" w:hAnsi="Palatino Linotype" w:eastAsia="Palatino Linotype" w:cs="Palatino Linotype"/>
          <w:sz w:val="22"/>
          <w:szCs w:val="22"/>
        </w:rPr>
        <w:t xml:space="preserve"> de </w:t>
      </w:r>
      <w:r w:rsidRPr="00B23F25" w:rsidR="00123779">
        <w:rPr>
          <w:rFonts w:ascii="Palatino Linotype" w:hAnsi="Palatino Linotype" w:eastAsia="Palatino Linotype" w:cs="Palatino Linotype"/>
          <w:sz w:val="22"/>
          <w:szCs w:val="22"/>
        </w:rPr>
        <w:t>junio</w:t>
      </w:r>
      <w:r w:rsidRPr="00B23F25" w:rsidR="0054272A">
        <w:rPr>
          <w:rFonts w:ascii="Palatino Linotype" w:hAnsi="Palatino Linotype" w:eastAsia="Palatino Linotype" w:cs="Palatino Linotype"/>
          <w:sz w:val="22"/>
          <w:szCs w:val="22"/>
        </w:rPr>
        <w:t xml:space="preserve"> de dos mil veintidós, se dictó acuerdo mediante el cual </w:t>
      </w:r>
      <w:r w:rsidRPr="00B23F25" w:rsidR="0054272A">
        <w:rPr>
          <w:rFonts w:ascii="Palatino Linotype" w:hAnsi="Palatino Linotype" w:eastAsia="Palatino Linotype" w:cs="Palatino Linotype"/>
          <w:bCs/>
          <w:sz w:val="22"/>
          <w:szCs w:val="22"/>
        </w:rPr>
        <w:t>se pu</w:t>
      </w:r>
      <w:r w:rsidRPr="00B23F25" w:rsidR="00DC6285">
        <w:rPr>
          <w:rFonts w:ascii="Palatino Linotype" w:hAnsi="Palatino Linotype" w:eastAsia="Palatino Linotype" w:cs="Palatino Linotype"/>
          <w:bCs/>
          <w:sz w:val="22"/>
          <w:szCs w:val="22"/>
        </w:rPr>
        <w:t>sieron</w:t>
      </w:r>
      <w:r w:rsidRPr="00B23F25" w:rsidR="0054272A">
        <w:rPr>
          <w:rFonts w:ascii="Palatino Linotype" w:hAnsi="Palatino Linotype" w:eastAsia="Palatino Linotype" w:cs="Palatino Linotype"/>
          <w:bCs/>
          <w:sz w:val="22"/>
          <w:szCs w:val="22"/>
        </w:rPr>
        <w:t xml:space="preserve"> a la vista del Particular </w:t>
      </w:r>
      <w:r w:rsidRPr="00B23F25">
        <w:rPr>
          <w:rFonts w:ascii="Palatino Linotype" w:hAnsi="Palatino Linotype" w:eastAsia="Palatino Linotype" w:cs="Palatino Linotype"/>
          <w:bCs/>
          <w:sz w:val="22"/>
          <w:szCs w:val="22"/>
        </w:rPr>
        <w:t>el</w:t>
      </w:r>
      <w:r w:rsidRPr="00B23F25" w:rsidR="0054272A">
        <w:rPr>
          <w:rFonts w:ascii="Palatino Linotype" w:hAnsi="Palatino Linotype" w:eastAsia="Palatino Linotype" w:cs="Palatino Linotype"/>
          <w:bCs/>
          <w:sz w:val="22"/>
          <w:szCs w:val="22"/>
        </w:rPr>
        <w:t xml:space="preserve"> Informe Justificado,</w:t>
      </w:r>
      <w:r w:rsidRPr="00B23F25" w:rsidR="0054272A">
        <w:rPr>
          <w:rFonts w:ascii="Palatino Linotype" w:hAnsi="Palatino Linotype" w:eastAsia="Palatino Linotype" w:cs="Palatino Linotype"/>
          <w:sz w:val="22"/>
          <w:szCs w:val="22"/>
        </w:rPr>
        <w:t xml:space="preserve"> entregado por el Sujeto Obligado,</w:t>
      </w:r>
      <w:r w:rsidRPr="00B23F25" w:rsidR="000455EF">
        <w:rPr>
          <w:rFonts w:ascii="Palatino Linotype" w:hAnsi="Palatino Linotype" w:eastAsia="Palatino Linotype" w:cs="Palatino Linotype"/>
          <w:sz w:val="22"/>
          <w:szCs w:val="22"/>
        </w:rPr>
        <w:t xml:space="preserve"> </w:t>
      </w:r>
      <w:r w:rsidRPr="00B23F25" w:rsidR="0054272A">
        <w:rPr>
          <w:rFonts w:ascii="Palatino Linotype" w:hAnsi="Palatino Linotype" w:eastAsia="Palatino Linotype" w:cs="Palatino Linotype"/>
          <w:sz w:val="22"/>
          <w:szCs w:val="22"/>
        </w:rPr>
        <w:t xml:space="preserve">el cual fue notificado a las partes, a través del Sistema de Acceso a la Información Mexiquense (SAIMEX). </w:t>
      </w:r>
      <w:r w:rsidRPr="00B23F25" w:rsidR="0054272A">
        <w:rPr>
          <w:rFonts w:ascii="Palatino Linotype" w:hAnsi="Palatino Linotype" w:eastAsia="Palatino Linotype" w:cs="Palatino Linotype"/>
          <w:b/>
          <w:sz w:val="22"/>
          <w:szCs w:val="22"/>
        </w:rPr>
        <w:t>No obstante</w:t>
      </w:r>
      <w:r w:rsidRPr="00B23F25" w:rsidR="0054272A">
        <w:rPr>
          <w:rFonts w:ascii="Palatino Linotype" w:hAnsi="Palatino Linotype" w:eastAsia="Palatino Linotype" w:cs="Palatino Linotype"/>
          <w:b/>
          <w:bCs/>
          <w:iCs/>
          <w:sz w:val="22"/>
          <w:szCs w:val="22"/>
          <w:lang w:val="es-ES_tradnl"/>
        </w:rPr>
        <w:t>, el Recurrente omitió realizar manifestación alguna que a su derecho conviniera y asistiera</w:t>
      </w:r>
      <w:r w:rsidRPr="00B23F25" w:rsidR="0054272A">
        <w:rPr>
          <w:rFonts w:ascii="Palatino Linotype" w:hAnsi="Palatino Linotype" w:eastAsia="Palatino Linotype" w:cs="Palatino Linotype"/>
          <w:b/>
          <w:bCs/>
          <w:iCs/>
          <w:sz w:val="22"/>
          <w:szCs w:val="22"/>
        </w:rPr>
        <w:t>.</w:t>
      </w:r>
    </w:p>
    <w:p w:rsidRPr="00B23F25" w:rsidR="00824031" w:rsidP="00710DA7" w:rsidRDefault="00824031" w14:paraId="59CA1C1D" w14:textId="77777777">
      <w:pPr>
        <w:spacing w:line="360" w:lineRule="auto"/>
        <w:ind w:right="-28"/>
        <w:contextualSpacing/>
        <w:jc w:val="both"/>
        <w:rPr>
          <w:rFonts w:ascii="Palatino Linotype" w:hAnsi="Palatino Linotype" w:eastAsia="Calibri" w:cs="Tahoma"/>
          <w:b/>
          <w:sz w:val="22"/>
          <w:szCs w:val="22"/>
          <w:lang w:eastAsia="en-US"/>
        </w:rPr>
      </w:pPr>
    </w:p>
    <w:p w:rsidRPr="00B23F25" w:rsidR="007E363C" w:rsidP="00710DA7" w:rsidRDefault="00FB5D01" w14:paraId="50EE013F" w14:textId="1CC49031">
      <w:pPr>
        <w:spacing w:line="360" w:lineRule="auto"/>
        <w:jc w:val="both"/>
        <w:rPr>
          <w:rFonts w:ascii="Palatino Linotype" w:hAnsi="Palatino Linotype" w:eastAsia="Palatino Linotype" w:cs="Palatino Linotype"/>
          <w:sz w:val="22"/>
          <w:szCs w:val="22"/>
          <w:lang w:val="es-ES"/>
        </w:rPr>
      </w:pPr>
      <w:r w:rsidRPr="00B23F25">
        <w:rPr>
          <w:rFonts w:ascii="Palatino Linotype" w:hAnsi="Palatino Linotype" w:eastAsia="Palatino Linotype" w:cs="Palatino Linotype"/>
          <w:b/>
          <w:bCs/>
          <w:sz w:val="22"/>
          <w:szCs w:val="22"/>
          <w:lang w:val="es-ES"/>
        </w:rPr>
        <w:t>f</w:t>
      </w:r>
      <w:r w:rsidRPr="00B23F25" w:rsidR="007E363C">
        <w:rPr>
          <w:rFonts w:ascii="Palatino Linotype" w:hAnsi="Palatino Linotype" w:eastAsia="Palatino Linotype" w:cs="Palatino Linotype"/>
          <w:b/>
          <w:bCs/>
          <w:sz w:val="22"/>
          <w:szCs w:val="22"/>
          <w:lang w:val="es-ES"/>
        </w:rPr>
        <w:t xml:space="preserve">) Cierre de Instrucción: </w:t>
      </w:r>
      <w:r w:rsidRPr="00B23F25" w:rsidR="007E363C">
        <w:rPr>
          <w:rFonts w:ascii="Palatino Linotype" w:hAnsi="Palatino Linotype" w:eastAsia="Palatino Linotype" w:cs="Palatino Linotype"/>
          <w:sz w:val="22"/>
          <w:szCs w:val="22"/>
        </w:rPr>
        <w:t xml:space="preserve">El </w:t>
      </w:r>
      <w:r w:rsidRPr="00B23F25">
        <w:rPr>
          <w:rFonts w:ascii="Palatino Linotype" w:hAnsi="Palatino Linotype" w:eastAsia="Palatino Linotype" w:cs="Palatino Linotype"/>
          <w:sz w:val="22"/>
          <w:szCs w:val="22"/>
        </w:rPr>
        <w:t>veint</w:t>
      </w:r>
      <w:r w:rsidRPr="00B23F25" w:rsidR="008B100B">
        <w:rPr>
          <w:rFonts w:ascii="Palatino Linotype" w:hAnsi="Palatino Linotype" w:eastAsia="Palatino Linotype" w:cs="Palatino Linotype"/>
          <w:sz w:val="22"/>
          <w:szCs w:val="22"/>
        </w:rPr>
        <w:t>isiete</w:t>
      </w:r>
      <w:r w:rsidRPr="00B23F25" w:rsidR="00322C20">
        <w:rPr>
          <w:rFonts w:ascii="Palatino Linotype" w:hAnsi="Palatino Linotype" w:eastAsia="Palatino Linotype" w:cs="Palatino Linotype"/>
          <w:sz w:val="22"/>
          <w:szCs w:val="22"/>
        </w:rPr>
        <w:t xml:space="preserve"> de </w:t>
      </w:r>
      <w:r w:rsidRPr="00B23F25">
        <w:rPr>
          <w:rFonts w:ascii="Palatino Linotype" w:hAnsi="Palatino Linotype" w:eastAsia="Palatino Linotype" w:cs="Palatino Linotype"/>
          <w:sz w:val="22"/>
          <w:szCs w:val="22"/>
        </w:rPr>
        <w:t>junio</w:t>
      </w:r>
      <w:r w:rsidRPr="00B23F25" w:rsidR="0004183B">
        <w:rPr>
          <w:rFonts w:ascii="Palatino Linotype" w:hAnsi="Palatino Linotype" w:eastAsia="Palatino Linotype" w:cs="Palatino Linotype"/>
          <w:sz w:val="22"/>
          <w:szCs w:val="22"/>
          <w:lang w:val="es-ES"/>
        </w:rPr>
        <w:t xml:space="preserve"> de dos mil veintidós</w:t>
      </w:r>
      <w:r w:rsidRPr="00B23F25" w:rsidR="007E363C">
        <w:rPr>
          <w:rFonts w:ascii="Palatino Linotype" w:hAnsi="Palatino Linotype" w:eastAsia="Palatino Linotype" w:cs="Palatino Linotype"/>
          <w:sz w:val="22"/>
          <w:szCs w:val="22"/>
        </w:rPr>
        <w:t xml:space="preserve">, al no existir diligencias pendientes por desahogar, se emitió el acuerdo por medio del cual se declaró cerrada la </w:t>
      </w:r>
      <w:r w:rsidRPr="00B23F25" w:rsidR="007E363C">
        <w:rPr>
          <w:rFonts w:ascii="Palatino Linotype" w:hAnsi="Palatino Linotype" w:eastAsia="Palatino Linotype" w:cs="Palatino Linotype"/>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23F25" w:rsidR="007E363C">
        <w:rPr>
          <w:rFonts w:ascii="Palatino Linotype" w:hAnsi="Palatino Linotype" w:eastAsia="Palatino Linotype" w:cs="Palatino Linotype"/>
          <w:sz w:val="22"/>
          <w:szCs w:val="22"/>
          <w:lang w:val="es-ES"/>
        </w:rPr>
        <w:t>Sistema de Acceso a la Información Mexiquense (SAIMEX)</w:t>
      </w:r>
      <w:r w:rsidRPr="00B23F25" w:rsidR="007E363C">
        <w:rPr>
          <w:rFonts w:ascii="Palatino Linotype" w:hAnsi="Palatino Linotype" w:eastAsia="Palatino Linotype" w:cs="Palatino Linotype"/>
          <w:sz w:val="22"/>
          <w:szCs w:val="22"/>
        </w:rPr>
        <w:t>.</w:t>
      </w:r>
    </w:p>
    <w:p w:rsidRPr="00B23F25" w:rsidR="00B811AA" w:rsidP="00710DA7" w:rsidRDefault="00B811AA" w14:paraId="22CFDFB4" w14:textId="77777777">
      <w:pPr>
        <w:spacing w:line="360" w:lineRule="auto"/>
        <w:jc w:val="both"/>
        <w:rPr>
          <w:rFonts w:ascii="Palatino Linotype" w:hAnsi="Palatino Linotype" w:eastAsia="Palatino Linotype" w:cs="Palatino Linotype"/>
          <w:sz w:val="22"/>
          <w:szCs w:val="22"/>
        </w:rPr>
      </w:pPr>
    </w:p>
    <w:p w:rsidRPr="00B23F25" w:rsidR="007E363C" w:rsidP="00710DA7" w:rsidRDefault="007E363C" w14:paraId="42B3D26A" w14:textId="77777777">
      <w:pPr>
        <w:spacing w:line="360" w:lineRule="auto"/>
        <w:jc w:val="both"/>
        <w:rPr>
          <w:rFonts w:ascii="Palatino Linotype" w:hAnsi="Palatino Linotype" w:eastAsia="Palatino Linotype" w:cs="Palatino Linotype"/>
          <w:sz w:val="22"/>
          <w:szCs w:val="22"/>
        </w:rPr>
      </w:pPr>
      <w:r w:rsidRPr="00B23F25">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B23F25" w:rsidR="007E363C" w:rsidP="00710DA7" w:rsidRDefault="007E363C" w14:paraId="079BFF9B" w14:textId="77777777">
      <w:pPr>
        <w:spacing w:line="360" w:lineRule="auto"/>
        <w:jc w:val="both"/>
        <w:rPr>
          <w:rFonts w:ascii="Palatino Linotype" w:hAnsi="Palatino Linotype" w:eastAsia="Palatino Linotype" w:cs="Palatino Linotype"/>
          <w:b/>
          <w:bCs/>
          <w:sz w:val="22"/>
          <w:szCs w:val="22"/>
        </w:rPr>
      </w:pPr>
    </w:p>
    <w:p w:rsidRPr="00B23F25" w:rsidR="007E363C" w:rsidP="00710DA7"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B23F25">
        <w:rPr>
          <w:rFonts w:ascii="Palatino Linotype" w:hAnsi="Palatino Linotype" w:eastAsia="Palatino Linotype" w:cs="Palatino Linotype"/>
          <w:b/>
          <w:bCs/>
          <w:sz w:val="22"/>
          <w:szCs w:val="22"/>
          <w:lang w:val="es-ES"/>
        </w:rPr>
        <w:t>C O N S I D E R A N D O S:</w:t>
      </w:r>
    </w:p>
    <w:p w:rsidRPr="00B23F25" w:rsidR="007E363C" w:rsidP="00710DA7" w:rsidRDefault="007E363C" w14:paraId="34AB0398" w14:textId="77777777">
      <w:pPr>
        <w:spacing w:line="360" w:lineRule="auto"/>
        <w:jc w:val="both"/>
        <w:rPr>
          <w:rFonts w:ascii="Palatino Linotype" w:hAnsi="Palatino Linotype" w:eastAsia="Palatino Linotype" w:cs="Palatino Linotype"/>
          <w:b/>
          <w:bCs/>
          <w:sz w:val="22"/>
          <w:szCs w:val="22"/>
        </w:rPr>
      </w:pPr>
    </w:p>
    <w:p w:rsidRPr="00B23F25" w:rsidR="00C33ADC" w:rsidP="00710DA7" w:rsidRDefault="00C33ADC" w14:paraId="1F1F860D" w14:textId="77777777">
      <w:pPr>
        <w:spacing w:line="360" w:lineRule="auto"/>
        <w:jc w:val="both"/>
        <w:rPr>
          <w:rFonts w:ascii="Palatino Linotype" w:hAnsi="Palatino Linotype" w:eastAsia="Calibri" w:cs="Tahoma"/>
          <w:b/>
          <w:color w:val="000000"/>
          <w:sz w:val="22"/>
          <w:lang w:val="es-ES"/>
        </w:rPr>
      </w:pPr>
      <w:r w:rsidRPr="00B23F25">
        <w:rPr>
          <w:rFonts w:ascii="Palatino Linotype" w:hAnsi="Palatino Linotype" w:eastAsia="Calibri" w:cs="Tahoma"/>
          <w:b/>
          <w:color w:val="000000"/>
          <w:sz w:val="22"/>
          <w:lang w:val="es-ES"/>
        </w:rPr>
        <w:t>PRIMERO. Competencia.</w:t>
      </w:r>
    </w:p>
    <w:p w:rsidRPr="00B23F25" w:rsidR="00C33ADC" w:rsidP="00710DA7" w:rsidRDefault="00C33ADC" w14:paraId="176665BC" w14:textId="77777777">
      <w:pPr>
        <w:spacing w:line="360" w:lineRule="auto"/>
        <w:jc w:val="both"/>
        <w:rPr>
          <w:rFonts w:ascii="Palatino Linotype" w:hAnsi="Palatino Linotype" w:eastAsia="Calibri" w:cs="Tahoma"/>
          <w:b/>
          <w:color w:val="000000"/>
          <w:sz w:val="22"/>
          <w:lang w:val="es-ES"/>
        </w:rPr>
      </w:pPr>
    </w:p>
    <w:p w:rsidRPr="00B23F25" w:rsidR="00C33ADC" w:rsidP="00710DA7" w:rsidRDefault="00C33ADC" w14:paraId="4E599BF0" w14:textId="77777777">
      <w:pPr>
        <w:spacing w:line="360" w:lineRule="auto"/>
        <w:jc w:val="both"/>
        <w:rPr>
          <w:rFonts w:ascii="Palatino Linotype" w:hAnsi="Palatino Linotype" w:eastAsia="Calibri" w:cs="Tahoma"/>
          <w:b/>
          <w:bCs/>
          <w:color w:val="000000"/>
          <w:sz w:val="22"/>
        </w:rPr>
      </w:pPr>
      <w:r w:rsidRPr="00B23F25">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B23F25">
        <w:rPr>
          <w:rFonts w:ascii="Palatino Linotype" w:hAnsi="Palatino Linotype" w:eastAsia="Calibri" w:cs="Tahoma"/>
          <w:color w:val="000000"/>
          <w:sz w:val="22"/>
          <w:lang w:val="x-none"/>
        </w:rPr>
        <w:t>, trigésimo primero</w:t>
      </w:r>
      <w:r w:rsidRPr="00B23F25">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B23F25">
        <w:rPr>
          <w:rFonts w:ascii="Palatino Linotype" w:hAnsi="Palatino Linotype" w:eastAsia="Calibri" w:cs="Tahoma"/>
          <w:b/>
          <w:bCs/>
          <w:color w:val="000000"/>
          <w:sz w:val="22"/>
        </w:rPr>
        <w:t xml:space="preserve"> </w:t>
      </w:r>
      <w:r w:rsidRPr="00B23F25">
        <w:rPr>
          <w:rFonts w:ascii="Palatino Linotype" w:hAnsi="Palatino Linotype" w:eastAsia="Calibri" w:cs="Tahoma"/>
          <w:color w:val="000000"/>
          <w:sz w:val="22"/>
        </w:rPr>
        <w:t>Información Pública y Protección de Datos Personales del Estado de México y Municipios.</w:t>
      </w:r>
    </w:p>
    <w:p w:rsidRPr="00B23F25" w:rsidR="00C33ADC" w:rsidP="00710DA7" w:rsidRDefault="00C33ADC" w14:paraId="5EC01A55" w14:textId="77777777">
      <w:pPr>
        <w:spacing w:line="360" w:lineRule="auto"/>
        <w:jc w:val="both"/>
        <w:rPr>
          <w:rFonts w:ascii="Palatino Linotype" w:hAnsi="Palatino Linotype" w:eastAsia="Calibri" w:cs="Tahoma"/>
          <w:color w:val="000000"/>
          <w:sz w:val="22"/>
        </w:rPr>
      </w:pPr>
    </w:p>
    <w:p w:rsidRPr="00B23F25" w:rsidR="006A79F2" w:rsidP="00710DA7" w:rsidRDefault="006A79F2" w14:paraId="57B78F0B" w14:textId="77777777">
      <w:pPr>
        <w:spacing w:line="360" w:lineRule="auto"/>
        <w:jc w:val="both"/>
        <w:rPr>
          <w:rFonts w:ascii="Palatino Linotype" w:hAnsi="Palatino Linotype" w:cs="Tahoma"/>
          <w:b/>
          <w:bCs/>
          <w:sz w:val="22"/>
          <w:szCs w:val="22"/>
          <w:lang w:eastAsia="es-ES"/>
        </w:rPr>
      </w:pPr>
      <w:r w:rsidRPr="00B23F25">
        <w:rPr>
          <w:rFonts w:ascii="Palatino Linotype" w:hAnsi="Palatino Linotype" w:cs="Tahoma"/>
          <w:b/>
          <w:bCs/>
          <w:sz w:val="22"/>
          <w:szCs w:val="22"/>
          <w:lang w:eastAsia="es-ES"/>
        </w:rPr>
        <w:t>SEGUNDO. Causales de procedencia.</w:t>
      </w:r>
    </w:p>
    <w:p w:rsidRPr="00B23F25" w:rsidR="006A79F2" w:rsidP="00710DA7" w:rsidRDefault="006A79F2" w14:paraId="37F78C9C" w14:textId="77777777">
      <w:pPr>
        <w:spacing w:line="360" w:lineRule="auto"/>
        <w:jc w:val="both"/>
        <w:rPr>
          <w:rFonts w:ascii="Palatino Linotype" w:hAnsi="Palatino Linotype" w:cs="Tahoma"/>
          <w:bCs/>
          <w:sz w:val="22"/>
          <w:szCs w:val="22"/>
          <w:lang w:eastAsia="es-ES"/>
        </w:rPr>
      </w:pPr>
    </w:p>
    <w:p w:rsidRPr="00B23F25" w:rsidR="006A79F2" w:rsidP="00710DA7" w:rsidRDefault="006A79F2" w14:paraId="2EDA20ED" w14:textId="77777777">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23F25" w:rsidR="006A79F2" w:rsidP="00710DA7" w:rsidRDefault="006A79F2" w14:paraId="012DFF4A" w14:textId="77777777">
      <w:pPr>
        <w:spacing w:line="360" w:lineRule="auto"/>
        <w:jc w:val="both"/>
        <w:rPr>
          <w:rFonts w:ascii="Palatino Linotype" w:hAnsi="Palatino Linotype" w:cs="Tahoma"/>
          <w:bCs/>
          <w:sz w:val="22"/>
          <w:szCs w:val="22"/>
          <w:lang w:eastAsia="es-ES"/>
        </w:rPr>
      </w:pPr>
    </w:p>
    <w:p w:rsidRPr="00B23F25" w:rsidR="006A79F2" w:rsidP="00710DA7" w:rsidRDefault="006A79F2" w14:paraId="1E6E9059" w14:textId="6A7B089D">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 xml:space="preserve">En el presente caso, </w:t>
      </w:r>
      <w:r w:rsidRPr="00B23F25">
        <w:rPr>
          <w:rFonts w:ascii="Palatino Linotype" w:hAnsi="Palatino Linotype" w:cs="Tahoma"/>
          <w:b/>
          <w:sz w:val="22"/>
          <w:szCs w:val="22"/>
          <w:lang w:eastAsia="es-ES"/>
        </w:rPr>
        <w:t>no se actualiza alguna de las causales de improcedencia</w:t>
      </w:r>
      <w:r w:rsidRPr="00B23F25">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B23F25" w:rsidR="00D44CB7" w:rsidP="00710DA7" w:rsidRDefault="00D44CB7" w14:paraId="0D0658B0" w14:textId="77777777">
      <w:pPr>
        <w:spacing w:line="360" w:lineRule="auto"/>
        <w:jc w:val="both"/>
        <w:rPr>
          <w:rFonts w:ascii="Palatino Linotype" w:hAnsi="Palatino Linotype" w:cs="Tahoma"/>
          <w:bCs/>
          <w:sz w:val="22"/>
          <w:szCs w:val="22"/>
          <w:lang w:eastAsia="es-ES"/>
        </w:rPr>
      </w:pPr>
    </w:p>
    <w:p w:rsidRPr="00B23F25" w:rsidR="004A2A83" w:rsidP="00710DA7" w:rsidRDefault="006A79F2" w14:paraId="6FDE6CAB" w14:textId="571D3C0E">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Asimismo, del análisis de las constancias del expediente electrónico, se advierte que se actualizan las causales de procedencia de los Recursos de Revisión señaladas en el artículo 179, fracci</w:t>
      </w:r>
      <w:r w:rsidRPr="00B23F25" w:rsidR="002F4F6F">
        <w:rPr>
          <w:rFonts w:ascii="Palatino Linotype" w:hAnsi="Palatino Linotype" w:cs="Tahoma"/>
          <w:bCs/>
          <w:sz w:val="22"/>
          <w:szCs w:val="22"/>
          <w:lang w:eastAsia="es-ES"/>
        </w:rPr>
        <w:t>ón</w:t>
      </w:r>
      <w:r w:rsidRPr="00B23F25">
        <w:rPr>
          <w:rFonts w:ascii="Palatino Linotype" w:hAnsi="Palatino Linotype" w:cs="Tahoma"/>
          <w:bCs/>
          <w:sz w:val="22"/>
          <w:szCs w:val="22"/>
          <w:lang w:eastAsia="es-ES"/>
        </w:rPr>
        <w:t xml:space="preserve"> </w:t>
      </w:r>
      <w:r w:rsidRPr="00B23F25" w:rsidR="004A2A83">
        <w:rPr>
          <w:rFonts w:ascii="Palatino Linotype" w:hAnsi="Palatino Linotype" w:cs="Tahoma"/>
          <w:bCs/>
          <w:sz w:val="22"/>
          <w:szCs w:val="22"/>
          <w:lang w:eastAsia="es-ES"/>
        </w:rPr>
        <w:t>V</w:t>
      </w:r>
      <w:r w:rsidRPr="00B23F25" w:rsidR="00BC0754">
        <w:rPr>
          <w:rFonts w:ascii="Palatino Linotype" w:hAnsi="Palatino Linotype" w:cs="Tahoma"/>
          <w:bCs/>
          <w:sz w:val="22"/>
          <w:szCs w:val="22"/>
          <w:lang w:eastAsia="es-ES"/>
        </w:rPr>
        <w:t>I</w:t>
      </w:r>
      <w:r w:rsidRPr="00B23F25" w:rsidR="002F4F6F">
        <w:rPr>
          <w:rFonts w:ascii="Palatino Linotype" w:hAnsi="Palatino Linotype" w:cs="Tahoma"/>
          <w:bCs/>
          <w:sz w:val="22"/>
          <w:szCs w:val="22"/>
          <w:lang w:eastAsia="es-ES"/>
        </w:rPr>
        <w:t>,</w:t>
      </w:r>
      <w:r w:rsidRPr="00B23F25" w:rsidR="00BC3C5B">
        <w:rPr>
          <w:rFonts w:ascii="Palatino Linotype" w:hAnsi="Palatino Linotype" w:cs="Tahoma"/>
          <w:bCs/>
          <w:sz w:val="22"/>
          <w:szCs w:val="22"/>
          <w:lang w:eastAsia="es-ES"/>
        </w:rPr>
        <w:t xml:space="preserve"> </w:t>
      </w:r>
      <w:r w:rsidRPr="00B23F25" w:rsidR="00A34D3C">
        <w:rPr>
          <w:rFonts w:ascii="Palatino Linotype" w:hAnsi="Palatino Linotype" w:cs="Tahoma"/>
          <w:bCs/>
          <w:sz w:val="22"/>
          <w:szCs w:val="22"/>
          <w:lang w:eastAsia="es-ES"/>
        </w:rPr>
        <w:t xml:space="preserve">de la Ley de Transparencia y Acceso a la Información Pública del </w:t>
      </w:r>
      <w:r w:rsidRPr="00B23F25" w:rsidR="00CD7F3C">
        <w:rPr>
          <w:rFonts w:ascii="Palatino Linotype" w:hAnsi="Palatino Linotype" w:cs="Tahoma"/>
          <w:bCs/>
          <w:sz w:val="22"/>
          <w:szCs w:val="22"/>
          <w:lang w:eastAsia="es-ES"/>
        </w:rPr>
        <w:t>Estado</w:t>
      </w:r>
      <w:r w:rsidRPr="00B23F25" w:rsidR="00A34D3C">
        <w:rPr>
          <w:rFonts w:ascii="Palatino Linotype" w:hAnsi="Palatino Linotype" w:cs="Tahoma"/>
          <w:bCs/>
          <w:sz w:val="22"/>
          <w:szCs w:val="22"/>
          <w:lang w:eastAsia="es-ES"/>
        </w:rPr>
        <w:t xml:space="preserve"> de </w:t>
      </w:r>
      <w:r w:rsidRPr="00B23F25" w:rsidR="00CD7F3C">
        <w:rPr>
          <w:rFonts w:ascii="Palatino Linotype" w:hAnsi="Palatino Linotype" w:cs="Tahoma"/>
          <w:bCs/>
          <w:sz w:val="22"/>
          <w:szCs w:val="22"/>
          <w:lang w:eastAsia="es-ES"/>
        </w:rPr>
        <w:t xml:space="preserve">México y Municipios, pues el Recurrente </w:t>
      </w:r>
      <w:r w:rsidRPr="00B23F25" w:rsidR="00BC3C5B">
        <w:rPr>
          <w:rFonts w:ascii="Palatino Linotype" w:hAnsi="Palatino Linotype" w:cs="Tahoma"/>
          <w:bCs/>
          <w:sz w:val="22"/>
          <w:szCs w:val="22"/>
          <w:lang w:eastAsia="es-ES"/>
        </w:rPr>
        <w:t xml:space="preserve">se inconformó </w:t>
      </w:r>
      <w:r w:rsidRPr="00B23F25" w:rsidR="000B62C0">
        <w:rPr>
          <w:rFonts w:ascii="Palatino Linotype" w:hAnsi="Palatino Linotype" w:cs="Tahoma"/>
          <w:bCs/>
          <w:sz w:val="22"/>
          <w:szCs w:val="22"/>
          <w:lang w:eastAsia="es-ES"/>
        </w:rPr>
        <w:t>con la entrega d</w:t>
      </w:r>
      <w:r w:rsidRPr="00B23F25" w:rsidR="00BC0754">
        <w:rPr>
          <w:rFonts w:ascii="Palatino Linotype" w:hAnsi="Palatino Linotype" w:cs="Tahoma"/>
          <w:bCs/>
          <w:sz w:val="22"/>
          <w:szCs w:val="22"/>
          <w:lang w:eastAsia="es-ES"/>
        </w:rPr>
        <w:t>e</w:t>
      </w:r>
      <w:r w:rsidRPr="00B23F25" w:rsidR="000B62C0">
        <w:rPr>
          <w:rFonts w:ascii="Palatino Linotype" w:hAnsi="Palatino Linotype" w:cs="Tahoma"/>
          <w:bCs/>
          <w:sz w:val="22"/>
          <w:szCs w:val="22"/>
          <w:lang w:eastAsia="es-ES"/>
        </w:rPr>
        <w:t xml:space="preserve"> información </w:t>
      </w:r>
      <w:r w:rsidRPr="00B23F25" w:rsidR="00BC0754">
        <w:rPr>
          <w:rFonts w:ascii="Palatino Linotype" w:hAnsi="Palatino Linotype" w:cs="Tahoma"/>
          <w:bCs/>
          <w:sz w:val="22"/>
          <w:szCs w:val="22"/>
          <w:lang w:eastAsia="es-ES"/>
        </w:rPr>
        <w:t xml:space="preserve">que no corresponde con lo solicitado. </w:t>
      </w:r>
    </w:p>
    <w:p w:rsidRPr="00B23F25" w:rsidR="00A34D3C" w:rsidP="00710DA7" w:rsidRDefault="00A34D3C" w14:paraId="72A3211B" w14:textId="77777777">
      <w:pPr>
        <w:spacing w:line="360" w:lineRule="auto"/>
        <w:jc w:val="both"/>
        <w:rPr>
          <w:rFonts w:ascii="Palatino Linotype" w:hAnsi="Palatino Linotype" w:cs="Tahoma"/>
          <w:bCs/>
          <w:sz w:val="22"/>
          <w:szCs w:val="22"/>
          <w:lang w:eastAsia="es-ES"/>
        </w:rPr>
      </w:pPr>
    </w:p>
    <w:p w:rsidRPr="00B23F25" w:rsidR="00C1584E" w:rsidP="00710DA7" w:rsidRDefault="00C1584E" w14:paraId="0426D7EA" w14:textId="77777777">
      <w:pPr>
        <w:spacing w:line="360" w:lineRule="auto"/>
        <w:jc w:val="both"/>
        <w:rPr>
          <w:rFonts w:ascii="Palatino Linotype" w:hAnsi="Palatino Linotype" w:cs="Tahoma"/>
          <w:bCs/>
          <w:sz w:val="22"/>
          <w:szCs w:val="22"/>
          <w:lang w:eastAsia="es-ES"/>
        </w:rPr>
      </w:pPr>
      <w:r w:rsidRPr="00B23F25">
        <w:rPr>
          <w:rFonts w:ascii="Palatino Linotype" w:hAnsi="Palatino Linotype" w:cs="Tahoma"/>
          <w:b/>
          <w:bCs/>
          <w:sz w:val="22"/>
          <w:szCs w:val="22"/>
          <w:lang w:eastAsia="es-ES"/>
        </w:rPr>
        <w:t>TERCERO. Causales de sobreseimiento.</w:t>
      </w:r>
    </w:p>
    <w:p w:rsidRPr="00B23F25" w:rsidR="00C1584E" w:rsidP="00710DA7" w:rsidRDefault="00C1584E" w14:paraId="6135E181" w14:textId="77777777">
      <w:pPr>
        <w:spacing w:line="360" w:lineRule="auto"/>
        <w:jc w:val="both"/>
        <w:rPr>
          <w:rFonts w:ascii="Palatino Linotype" w:hAnsi="Palatino Linotype" w:cs="Tahoma"/>
          <w:bCs/>
          <w:sz w:val="22"/>
          <w:szCs w:val="22"/>
          <w:lang w:val="es-ES" w:eastAsia="es-ES"/>
        </w:rPr>
      </w:pPr>
    </w:p>
    <w:p w:rsidRPr="00B23F25" w:rsidR="00D1214A" w:rsidP="00710DA7" w:rsidRDefault="00D1214A" w14:paraId="17DBA61A" w14:textId="77777777">
      <w:pPr>
        <w:spacing w:line="360" w:lineRule="auto"/>
        <w:jc w:val="both"/>
        <w:rPr>
          <w:rFonts w:ascii="Palatino Linotype" w:hAnsi="Palatino Linotype" w:cs="Tahoma"/>
          <w:sz w:val="22"/>
          <w:lang w:eastAsia="es-ES"/>
        </w:rPr>
      </w:pPr>
      <w:r w:rsidRPr="00B23F25">
        <w:rPr>
          <w:rFonts w:ascii="Palatino Linotype" w:hAnsi="Palatino Linotype" w:cs="Tahoma"/>
          <w:sz w:val="22"/>
          <w:lang w:eastAsia="es-ES"/>
        </w:rPr>
        <w:lastRenderedPageBreak/>
        <w:t>Por ser de previo y especial pronunciamiento, este Instituto analiza si se actualiza alguna causal de sobreseimiento.</w:t>
      </w:r>
    </w:p>
    <w:p w:rsidRPr="00B23F25" w:rsidR="00D1214A" w:rsidP="00710DA7" w:rsidRDefault="00D1214A" w14:paraId="607FE7E5" w14:textId="77777777">
      <w:pPr>
        <w:spacing w:line="360" w:lineRule="auto"/>
        <w:jc w:val="both"/>
        <w:rPr>
          <w:rFonts w:ascii="Palatino Linotype" w:hAnsi="Palatino Linotype" w:cs="Tahoma"/>
          <w:sz w:val="22"/>
          <w:lang w:eastAsia="es-ES"/>
        </w:rPr>
      </w:pPr>
    </w:p>
    <w:p w:rsidRPr="00B23F25" w:rsidR="00D1214A" w:rsidP="00710DA7" w:rsidRDefault="00D1214A" w14:paraId="25F01BBA" w14:textId="77777777">
      <w:pPr>
        <w:spacing w:line="360" w:lineRule="auto"/>
        <w:jc w:val="both"/>
        <w:rPr>
          <w:rFonts w:ascii="Palatino Linotype" w:hAnsi="Palatino Linotype" w:cs="Tahoma"/>
          <w:sz w:val="22"/>
          <w:lang w:eastAsia="es-ES"/>
        </w:rPr>
      </w:pPr>
      <w:r w:rsidRPr="00B23F25">
        <w:rPr>
          <w:rFonts w:ascii="Palatino Linotype" w:hAnsi="Palatino Linotype" w:cs="Tahoma"/>
          <w:sz w:val="22"/>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23F25" w:rsidR="00D1214A" w:rsidP="00710DA7" w:rsidRDefault="00D1214A" w14:paraId="076478C1" w14:textId="77777777">
      <w:pPr>
        <w:spacing w:line="360" w:lineRule="auto"/>
        <w:jc w:val="both"/>
        <w:rPr>
          <w:rFonts w:ascii="Palatino Linotype" w:hAnsi="Palatino Linotype" w:cs="Tahoma"/>
          <w:sz w:val="22"/>
          <w:lang w:eastAsia="es-ES"/>
        </w:rPr>
      </w:pPr>
    </w:p>
    <w:p w:rsidRPr="00B23F25" w:rsidR="00D1214A" w:rsidP="00710DA7" w:rsidRDefault="00D1214A" w14:paraId="347930D9" w14:textId="77777777">
      <w:pPr>
        <w:spacing w:line="360" w:lineRule="auto"/>
        <w:jc w:val="both"/>
        <w:rPr>
          <w:rFonts w:ascii="Palatino Linotype" w:hAnsi="Palatino Linotype" w:cs="Tahoma"/>
          <w:sz w:val="22"/>
          <w:lang w:val="es-ES" w:eastAsia="es-ES"/>
        </w:rPr>
      </w:pPr>
      <w:r w:rsidRPr="00B23F25">
        <w:rPr>
          <w:rFonts w:ascii="Palatino Linotype" w:hAnsi="Palatino Linotype" w:cs="Tahoma"/>
          <w:bCs/>
          <w:sz w:val="22"/>
          <w:lang w:val="es-ES" w:eastAsia="es-ES"/>
        </w:rPr>
        <w:t xml:space="preserve">Por tales motivos, </w:t>
      </w:r>
      <w:r w:rsidRPr="00B23F25">
        <w:rPr>
          <w:rFonts w:ascii="Palatino Linotype" w:hAnsi="Palatino Linotype" w:cs="Tahoma"/>
          <w:sz w:val="22"/>
          <w:lang w:val="es-ES" w:eastAsia="es-ES"/>
        </w:rPr>
        <w:t>se considera procedente entrar al fondo del presente asunto.</w:t>
      </w:r>
    </w:p>
    <w:p w:rsidRPr="00B23F25" w:rsidR="00D1214A" w:rsidP="00710DA7" w:rsidRDefault="00D1214A" w14:paraId="2853B92B" w14:textId="77777777">
      <w:pPr>
        <w:spacing w:line="360" w:lineRule="auto"/>
        <w:jc w:val="both"/>
        <w:rPr>
          <w:rFonts w:ascii="Palatino Linotype" w:hAnsi="Palatino Linotype" w:eastAsiaTheme="minorHAnsi" w:cstheme="minorBidi"/>
          <w:color w:val="000000" w:themeColor="text1"/>
          <w:sz w:val="22"/>
          <w:szCs w:val="22"/>
          <w:lang w:eastAsia="en-US"/>
        </w:rPr>
      </w:pPr>
    </w:p>
    <w:p w:rsidRPr="00B23F25" w:rsidR="00A34D3C" w:rsidP="00710DA7" w:rsidRDefault="00D1214A" w14:paraId="049BB654" w14:textId="4C3B3894">
      <w:pPr>
        <w:spacing w:line="360" w:lineRule="auto"/>
        <w:jc w:val="both"/>
        <w:rPr>
          <w:rFonts w:ascii="Palatino Linotype" w:hAnsi="Palatino Linotype" w:cs="Tahoma"/>
          <w:b/>
          <w:bCs/>
          <w:iCs/>
          <w:sz w:val="22"/>
          <w:szCs w:val="22"/>
          <w:lang w:val="es-ES" w:eastAsia="es-ES"/>
        </w:rPr>
      </w:pPr>
      <w:r w:rsidRPr="00B23F25">
        <w:rPr>
          <w:rFonts w:ascii="Palatino Linotype" w:hAnsi="Palatino Linotype" w:cs="Tahoma"/>
          <w:b/>
          <w:bCs/>
          <w:iCs/>
          <w:sz w:val="22"/>
          <w:szCs w:val="22"/>
          <w:lang w:val="es-ES" w:eastAsia="es-ES"/>
        </w:rPr>
        <w:t xml:space="preserve">TERCERO. Determinación de la Controversia. </w:t>
      </w:r>
    </w:p>
    <w:p w:rsidRPr="00B23F25" w:rsidR="00BC0754" w:rsidP="00710DA7" w:rsidRDefault="00BC0754" w14:paraId="16F669CC" w14:textId="77777777">
      <w:pPr>
        <w:spacing w:line="360" w:lineRule="auto"/>
        <w:jc w:val="both"/>
        <w:rPr>
          <w:rFonts w:ascii="Palatino Linotype" w:hAnsi="Palatino Linotype" w:cs="Tahoma"/>
          <w:b/>
          <w:bCs/>
          <w:iCs/>
          <w:sz w:val="22"/>
          <w:szCs w:val="22"/>
          <w:lang w:val="es-ES" w:eastAsia="es-ES"/>
        </w:rPr>
      </w:pPr>
    </w:p>
    <w:p w:rsidRPr="00B23F25" w:rsidR="00BB1B1C" w:rsidP="00710DA7" w:rsidRDefault="00E46946" w14:paraId="7CAD8F14" w14:textId="014CD9E6">
      <w:pPr>
        <w:spacing w:line="360" w:lineRule="auto"/>
        <w:jc w:val="both"/>
        <w:rPr>
          <w:rFonts w:ascii="Palatino Linotype" w:hAnsi="Palatino Linotype" w:eastAsia="Calibri" w:cs="Tahoma"/>
          <w:color w:val="000000"/>
          <w:sz w:val="22"/>
        </w:rPr>
      </w:pPr>
      <w:r w:rsidRPr="00B23F25">
        <w:rPr>
          <w:rFonts w:ascii="Palatino Linotype" w:hAnsi="Palatino Linotype" w:cs="Tahoma"/>
          <w:bCs/>
          <w:sz w:val="22"/>
          <w:szCs w:val="22"/>
          <w:lang w:val="es-ES" w:eastAsia="es-ES"/>
        </w:rPr>
        <w:t>Una vez realizado el estudio de las constancias que obran en el expediente electrónico en el que se actúa, se advierte que el Solicitante requirió</w:t>
      </w:r>
      <w:r w:rsidRPr="00B23F25">
        <w:rPr>
          <w:rFonts w:ascii="Palatino Linotype" w:hAnsi="Palatino Linotype" w:cs="Tahoma"/>
          <w:iCs/>
          <w:sz w:val="22"/>
          <w:lang w:eastAsia="es-ES"/>
        </w:rPr>
        <w:t xml:space="preserve"> l</w:t>
      </w:r>
      <w:r w:rsidRPr="00B23F25" w:rsidR="000D18C2">
        <w:rPr>
          <w:rFonts w:ascii="Palatino Linotype" w:hAnsi="Palatino Linotype" w:cs="Tahoma"/>
          <w:iCs/>
          <w:sz w:val="22"/>
          <w:lang w:eastAsia="es-ES"/>
        </w:rPr>
        <w:t xml:space="preserve">a </w:t>
      </w:r>
      <w:r w:rsidRPr="00B23F25" w:rsidR="003450FA">
        <w:rPr>
          <w:rFonts w:ascii="Palatino Linotype" w:hAnsi="Palatino Linotype" w:cs="Tahoma"/>
          <w:iCs/>
          <w:sz w:val="22"/>
          <w:lang w:eastAsia="es-ES"/>
        </w:rPr>
        <w:t xml:space="preserve">nómina </w:t>
      </w:r>
      <w:r w:rsidRPr="00B23F25" w:rsidR="00D62553">
        <w:rPr>
          <w:rFonts w:ascii="Palatino Linotype" w:hAnsi="Palatino Linotype" w:cs="Tahoma"/>
          <w:iCs/>
          <w:sz w:val="22"/>
          <w:lang w:eastAsia="es-ES"/>
        </w:rPr>
        <w:t>de todo el personal adscrito al Ayuntamiento de Temascalcingo</w:t>
      </w:r>
      <w:r w:rsidRPr="00B23F25" w:rsidR="00D61C6A">
        <w:rPr>
          <w:rFonts w:ascii="Palatino Linotype" w:hAnsi="Palatino Linotype" w:cs="Tahoma"/>
          <w:iCs/>
          <w:sz w:val="22"/>
          <w:lang w:eastAsia="es-ES"/>
        </w:rPr>
        <w:t xml:space="preserve">, </w:t>
      </w:r>
      <w:r w:rsidRPr="00B23F25" w:rsidR="00D24B9A">
        <w:rPr>
          <w:rFonts w:ascii="Palatino Linotype" w:hAnsi="Palatino Linotype" w:cs="Tahoma"/>
          <w:iCs/>
          <w:sz w:val="22"/>
          <w:lang w:eastAsia="es-ES"/>
        </w:rPr>
        <w:t xml:space="preserve">de la administración </w:t>
      </w:r>
      <w:r w:rsidRPr="00B23F25" w:rsidR="00D44CB7">
        <w:rPr>
          <w:rFonts w:ascii="Palatino Linotype" w:hAnsi="Palatino Linotype" w:cs="Tahoma"/>
          <w:iCs/>
          <w:sz w:val="22"/>
          <w:lang w:eastAsia="es-ES"/>
        </w:rPr>
        <w:t>2022-2024.</w:t>
      </w:r>
    </w:p>
    <w:p w:rsidRPr="00B23F25" w:rsidR="00BB1B1C" w:rsidP="00710DA7" w:rsidRDefault="00BB1B1C" w14:paraId="60599C25" w14:textId="77777777">
      <w:pPr>
        <w:spacing w:line="360" w:lineRule="auto"/>
        <w:jc w:val="both"/>
        <w:rPr>
          <w:rFonts w:ascii="Palatino Linotype" w:hAnsi="Palatino Linotype" w:eastAsia="Calibri" w:cs="Tahoma"/>
          <w:color w:val="000000"/>
          <w:sz w:val="22"/>
        </w:rPr>
      </w:pPr>
    </w:p>
    <w:p w:rsidRPr="00B23F25" w:rsidR="006D7A8C" w:rsidP="00710DA7" w:rsidRDefault="00BC4291" w14:paraId="537E23F8" w14:textId="0DFF0582">
      <w:pPr>
        <w:spacing w:line="360" w:lineRule="auto"/>
        <w:jc w:val="both"/>
        <w:rPr>
          <w:rFonts w:ascii="Palatino Linotype" w:hAnsi="Palatino Linotype" w:eastAsia="Calibri" w:cs="Tahoma"/>
          <w:color w:val="000000"/>
          <w:sz w:val="22"/>
          <w:lang w:val="es-ES"/>
        </w:rPr>
      </w:pPr>
      <w:r w:rsidRPr="00B23F25">
        <w:rPr>
          <w:rFonts w:ascii="Palatino Linotype" w:hAnsi="Palatino Linotype" w:eastAsia="Calibri" w:cs="Tahoma"/>
          <w:color w:val="000000"/>
          <w:sz w:val="22"/>
        </w:rPr>
        <w:t xml:space="preserve">En respuesta, </w:t>
      </w:r>
      <w:r w:rsidRPr="00B23F25" w:rsidR="00B77178">
        <w:rPr>
          <w:rFonts w:ascii="Palatino Linotype" w:hAnsi="Palatino Linotype" w:eastAsia="Calibri" w:cs="Tahoma"/>
          <w:color w:val="000000"/>
          <w:sz w:val="22"/>
        </w:rPr>
        <w:t>el Ente Recurrid</w:t>
      </w:r>
      <w:r w:rsidRPr="00B23F25" w:rsidR="00563892">
        <w:rPr>
          <w:rFonts w:ascii="Palatino Linotype" w:hAnsi="Palatino Linotype" w:eastAsia="Calibri" w:cs="Tahoma"/>
          <w:color w:val="000000"/>
          <w:sz w:val="22"/>
        </w:rPr>
        <w:t>o</w:t>
      </w:r>
      <w:r w:rsidRPr="00B23F25" w:rsidR="000C0E00">
        <w:rPr>
          <w:rFonts w:ascii="Palatino Linotype" w:hAnsi="Palatino Linotype" w:eastAsia="Calibri" w:cs="Tahoma"/>
          <w:color w:val="000000"/>
          <w:sz w:val="22"/>
        </w:rPr>
        <w:t xml:space="preserve">, atreves de la </w:t>
      </w:r>
      <w:r w:rsidRPr="00B23F25" w:rsidR="00D62553">
        <w:rPr>
          <w:rFonts w:ascii="Palatino Linotype" w:hAnsi="Palatino Linotype" w:eastAsia="Calibri" w:cs="Tahoma"/>
          <w:color w:val="000000"/>
          <w:sz w:val="22"/>
        </w:rPr>
        <w:t xml:space="preserve">Dirección de Administración </w:t>
      </w:r>
      <w:r w:rsidRPr="00B23F25" w:rsidR="00600A57">
        <w:rPr>
          <w:rFonts w:ascii="Palatino Linotype" w:hAnsi="Palatino Linotype" w:eastAsia="Calibri" w:cs="Tahoma"/>
          <w:color w:val="000000"/>
          <w:sz w:val="22"/>
        </w:rPr>
        <w:t>informó que</w:t>
      </w:r>
      <w:r w:rsidRPr="00B23F25" w:rsidR="00D62553">
        <w:rPr>
          <w:rFonts w:ascii="Palatino Linotype" w:hAnsi="Palatino Linotype" w:eastAsia="Calibri" w:cs="Tahoma"/>
          <w:color w:val="000000"/>
          <w:sz w:val="22"/>
        </w:rPr>
        <w:t xml:space="preserve"> la </w:t>
      </w:r>
      <w:r w:rsidRPr="00B23F25" w:rsidR="00D44CB7">
        <w:rPr>
          <w:rFonts w:ascii="Palatino Linotype" w:hAnsi="Palatino Linotype" w:eastAsia="Calibri" w:cs="Tahoma"/>
          <w:color w:val="000000"/>
          <w:sz w:val="22"/>
        </w:rPr>
        <w:t>solicitud de información era ambigua;</w:t>
      </w:r>
      <w:r w:rsidRPr="00B23F25" w:rsidR="00A10E56">
        <w:rPr>
          <w:rFonts w:ascii="Palatino Linotype" w:hAnsi="Palatino Linotype" w:eastAsia="Calibri" w:cs="Tahoma"/>
          <w:color w:val="000000"/>
          <w:sz w:val="22"/>
        </w:rPr>
        <w:t xml:space="preserve"> ante dicha circunstancia, la parte Recurrente se inconformó con la entrega de información que no corresponde con lo solicitado, </w:t>
      </w:r>
      <w:r w:rsidRPr="00B23F25" w:rsidR="002F4F6F">
        <w:rPr>
          <w:rFonts w:ascii="Palatino Linotype" w:hAnsi="Palatino Linotype" w:eastAsia="Calibri" w:cs="Tahoma"/>
          <w:color w:val="000000"/>
          <w:sz w:val="22"/>
        </w:rPr>
        <w:t xml:space="preserve">al señalar que no le habían entregado lo peticionado, lo cual actualiza la causal de procedencia establecida en el artículo 179, fracción VI, de la Ley de Transparencia y Acceso a la Información Pública del Estado de México y Municipios. </w:t>
      </w:r>
      <w:r w:rsidRPr="00B23F25" w:rsidR="00A10E56">
        <w:rPr>
          <w:rFonts w:ascii="Palatino Linotype" w:hAnsi="Palatino Linotype" w:eastAsia="Calibri" w:cs="Tahoma"/>
          <w:color w:val="000000"/>
          <w:sz w:val="22"/>
          <w:lang w:val="es-ES"/>
        </w:rPr>
        <w:t xml:space="preserve">Así las cosas, una vez admitido y notificado los Recursos de Revisión a las partes, el Sujeto Obligado </w:t>
      </w:r>
      <w:r w:rsidRPr="00B23F25" w:rsidR="001F76E8">
        <w:rPr>
          <w:rFonts w:ascii="Palatino Linotype" w:hAnsi="Palatino Linotype" w:eastAsia="Calibri" w:cs="Tahoma"/>
          <w:color w:val="000000"/>
          <w:sz w:val="22"/>
          <w:lang w:val="es-ES"/>
        </w:rPr>
        <w:t xml:space="preserve">rindió su </w:t>
      </w:r>
      <w:r w:rsidRPr="00B23F25" w:rsidR="002F4F6F">
        <w:rPr>
          <w:rFonts w:ascii="Palatino Linotype" w:hAnsi="Palatino Linotype" w:eastAsia="Calibri" w:cs="Tahoma"/>
          <w:color w:val="000000"/>
          <w:sz w:val="22"/>
          <w:lang w:val="es-ES"/>
        </w:rPr>
        <w:t>I</w:t>
      </w:r>
      <w:r w:rsidRPr="00B23F25" w:rsidR="001F76E8">
        <w:rPr>
          <w:rFonts w:ascii="Palatino Linotype" w:hAnsi="Palatino Linotype" w:eastAsia="Calibri" w:cs="Tahoma"/>
          <w:color w:val="000000"/>
          <w:sz w:val="22"/>
          <w:lang w:val="es-ES"/>
        </w:rPr>
        <w:t xml:space="preserve">nforme </w:t>
      </w:r>
      <w:r w:rsidRPr="00B23F25" w:rsidR="002F4F6F">
        <w:rPr>
          <w:rFonts w:ascii="Palatino Linotype" w:hAnsi="Palatino Linotype" w:eastAsia="Calibri" w:cs="Tahoma"/>
          <w:color w:val="000000"/>
          <w:sz w:val="22"/>
          <w:lang w:val="es-ES"/>
        </w:rPr>
        <w:t>J</w:t>
      </w:r>
      <w:r w:rsidRPr="00B23F25" w:rsidR="001F76E8">
        <w:rPr>
          <w:rFonts w:ascii="Palatino Linotype" w:hAnsi="Palatino Linotype" w:eastAsia="Calibri" w:cs="Tahoma"/>
          <w:color w:val="000000"/>
          <w:sz w:val="22"/>
          <w:lang w:val="es-ES"/>
        </w:rPr>
        <w:t>ustificado</w:t>
      </w:r>
      <w:r w:rsidRPr="00B23F25" w:rsidR="00A10E56">
        <w:rPr>
          <w:rFonts w:ascii="Palatino Linotype" w:hAnsi="Palatino Linotype" w:eastAsia="Calibri" w:cs="Tahoma"/>
          <w:color w:val="000000"/>
          <w:sz w:val="22"/>
          <w:lang w:val="es-ES"/>
        </w:rPr>
        <w:t xml:space="preserve">, </w:t>
      </w:r>
      <w:r w:rsidRPr="00B23F25" w:rsidR="002F4F6F">
        <w:rPr>
          <w:rFonts w:ascii="Palatino Linotype" w:hAnsi="Palatino Linotype" w:eastAsia="Calibri" w:cs="Tahoma"/>
          <w:color w:val="000000"/>
          <w:sz w:val="22"/>
          <w:lang w:val="es-ES"/>
        </w:rPr>
        <w:t>proporcionó el Directorio del Ayuntamiento de Tenancingo, de la administración 2022-2024.</w:t>
      </w:r>
    </w:p>
    <w:p w:rsidRPr="00B23F25" w:rsidR="002F4F6F" w:rsidP="00710DA7" w:rsidRDefault="002F4F6F" w14:paraId="0B831223" w14:textId="77777777">
      <w:pPr>
        <w:spacing w:line="360" w:lineRule="auto"/>
        <w:jc w:val="both"/>
        <w:rPr>
          <w:rFonts w:ascii="Palatino Linotype" w:hAnsi="Palatino Linotype" w:eastAsia="Calibri" w:cs="Tahoma"/>
          <w:bCs/>
          <w:iCs/>
          <w:color w:val="000000"/>
          <w:sz w:val="22"/>
        </w:rPr>
      </w:pPr>
    </w:p>
    <w:p w:rsidRPr="00B23F25" w:rsidR="00151013" w:rsidP="00710DA7" w:rsidRDefault="00151013" w14:paraId="1C7BBB1F" w14:textId="6629C804">
      <w:pPr>
        <w:spacing w:line="360" w:lineRule="auto"/>
        <w:jc w:val="both"/>
        <w:rPr>
          <w:rFonts w:ascii="Palatino Linotype" w:hAnsi="Palatino Linotype" w:eastAsia="Calibri" w:cs="Tahoma"/>
          <w:bCs/>
          <w:iCs/>
          <w:color w:val="000000"/>
          <w:sz w:val="22"/>
        </w:rPr>
      </w:pPr>
      <w:r w:rsidRPr="00B23F25">
        <w:rPr>
          <w:rFonts w:ascii="Palatino Linotype" w:hAnsi="Palatino Linotype" w:eastAsia="Calibri" w:cs="Tahoma"/>
          <w:bCs/>
          <w:iCs/>
          <w:color w:val="000000"/>
          <w:sz w:val="22"/>
        </w:rPr>
        <w:t>Lo anterior, se desprende de las documentales que obran en el expediente de referencia, materia de la presente resolución, consistente en</w:t>
      </w:r>
      <w:r w:rsidRPr="00B23F25" w:rsidR="00B62280">
        <w:rPr>
          <w:rFonts w:ascii="Palatino Linotype" w:hAnsi="Palatino Linotype" w:eastAsia="Calibri" w:cs="Tahoma"/>
          <w:bCs/>
          <w:iCs/>
          <w:color w:val="000000"/>
          <w:sz w:val="22"/>
        </w:rPr>
        <w:t xml:space="preserve"> </w:t>
      </w:r>
      <w:r w:rsidRPr="00B23F25">
        <w:rPr>
          <w:rFonts w:ascii="Palatino Linotype" w:hAnsi="Palatino Linotype" w:eastAsia="Calibri" w:cs="Tahoma"/>
          <w:bCs/>
          <w:iCs/>
          <w:color w:val="000000"/>
          <w:sz w:val="22"/>
        </w:rPr>
        <w:t xml:space="preserve"> la solicitud de acceso a la información; la</w:t>
      </w:r>
      <w:r w:rsidRPr="00B23F25" w:rsidR="002304C4">
        <w:rPr>
          <w:rFonts w:ascii="Palatino Linotype" w:hAnsi="Palatino Linotype" w:eastAsia="Calibri" w:cs="Tahoma"/>
          <w:bCs/>
          <w:iCs/>
          <w:color w:val="000000"/>
          <w:sz w:val="22"/>
        </w:rPr>
        <w:t xml:space="preserve"> </w:t>
      </w:r>
      <w:r w:rsidRPr="00B23F25">
        <w:rPr>
          <w:rFonts w:ascii="Palatino Linotype" w:hAnsi="Palatino Linotype" w:eastAsia="Calibri" w:cs="Tahoma"/>
          <w:bCs/>
          <w:iCs/>
          <w:color w:val="000000"/>
          <w:sz w:val="22"/>
        </w:rPr>
        <w:t xml:space="preserve">respuesta proporcionada; </w:t>
      </w:r>
      <w:r w:rsidRPr="00B23F25" w:rsidR="002304C4">
        <w:rPr>
          <w:rFonts w:ascii="Palatino Linotype" w:hAnsi="Palatino Linotype" w:eastAsia="Calibri" w:cs="Tahoma"/>
          <w:bCs/>
          <w:iCs/>
          <w:color w:val="000000"/>
          <w:sz w:val="22"/>
        </w:rPr>
        <w:t>el</w:t>
      </w:r>
      <w:r w:rsidRPr="00B23F25">
        <w:rPr>
          <w:rFonts w:ascii="Palatino Linotype" w:hAnsi="Palatino Linotype" w:eastAsia="Calibri" w:cs="Tahoma"/>
          <w:bCs/>
          <w:iCs/>
          <w:color w:val="000000"/>
          <w:sz w:val="22"/>
        </w:rPr>
        <w:t xml:space="preserve"> escrito </w:t>
      </w:r>
      <w:proofErr w:type="spellStart"/>
      <w:r w:rsidRPr="00B23F25">
        <w:rPr>
          <w:rFonts w:ascii="Palatino Linotype" w:hAnsi="Palatino Linotype" w:eastAsia="Calibri" w:cs="Tahoma"/>
          <w:bCs/>
          <w:iCs/>
          <w:color w:val="000000"/>
          <w:sz w:val="22"/>
        </w:rPr>
        <w:t>recursal</w:t>
      </w:r>
      <w:proofErr w:type="spellEnd"/>
      <w:r w:rsidRPr="00B23F25" w:rsidR="002304C4">
        <w:rPr>
          <w:rFonts w:ascii="Palatino Linotype" w:hAnsi="Palatino Linotype" w:eastAsia="Calibri" w:cs="Tahoma"/>
          <w:bCs/>
          <w:iCs/>
          <w:color w:val="000000"/>
          <w:sz w:val="22"/>
        </w:rPr>
        <w:t xml:space="preserve"> </w:t>
      </w:r>
      <w:r w:rsidRPr="00B23F25">
        <w:rPr>
          <w:rFonts w:ascii="Palatino Linotype" w:hAnsi="Palatino Linotype" w:eastAsia="Calibri" w:cs="Tahoma"/>
          <w:bCs/>
          <w:iCs/>
          <w:color w:val="000000"/>
          <w:sz w:val="22"/>
        </w:rPr>
        <w:t xml:space="preserve">y </w:t>
      </w:r>
      <w:r w:rsidRPr="00B23F25" w:rsidR="002304C4">
        <w:rPr>
          <w:rFonts w:ascii="Palatino Linotype" w:hAnsi="Palatino Linotype" w:eastAsia="Calibri" w:cs="Tahoma"/>
          <w:bCs/>
          <w:iCs/>
          <w:color w:val="000000"/>
          <w:sz w:val="22"/>
        </w:rPr>
        <w:t>el</w:t>
      </w:r>
      <w:r w:rsidRPr="00B23F25">
        <w:rPr>
          <w:rFonts w:ascii="Palatino Linotype" w:hAnsi="Palatino Linotype" w:eastAsia="Calibri" w:cs="Tahoma"/>
          <w:bCs/>
          <w:iCs/>
          <w:color w:val="000000"/>
          <w:sz w:val="22"/>
        </w:rPr>
        <w:t xml:space="preserve">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Pr="00B23F25" w:rsidR="00F50462" w:rsidP="00710DA7" w:rsidRDefault="00F50462" w14:paraId="2AAF72E7" w14:textId="77777777">
      <w:pPr>
        <w:spacing w:line="360" w:lineRule="auto"/>
        <w:jc w:val="both"/>
        <w:rPr>
          <w:rFonts w:ascii="Palatino Linotype" w:hAnsi="Palatino Linotype" w:eastAsia="Calibri" w:cs="Tahoma"/>
          <w:color w:val="000000"/>
          <w:sz w:val="22"/>
        </w:rPr>
      </w:pPr>
    </w:p>
    <w:p w:rsidRPr="00B23F25" w:rsidR="00EB7ECA" w:rsidP="00710DA7" w:rsidRDefault="00EB7ECA" w14:paraId="55796DA5" w14:textId="77777777">
      <w:pPr>
        <w:spacing w:line="360" w:lineRule="auto"/>
        <w:jc w:val="both"/>
        <w:rPr>
          <w:rFonts w:ascii="Palatino Linotype" w:hAnsi="Palatino Linotype" w:cs="Tahoma"/>
          <w:b/>
          <w:sz w:val="22"/>
          <w:szCs w:val="22"/>
        </w:rPr>
      </w:pPr>
      <w:r w:rsidRPr="00B23F25">
        <w:rPr>
          <w:rFonts w:ascii="Palatino Linotype" w:hAnsi="Palatino Linotype" w:cs="Tahoma"/>
          <w:b/>
          <w:sz w:val="22"/>
          <w:szCs w:val="22"/>
          <w:lang w:val="es-ES"/>
        </w:rPr>
        <w:t xml:space="preserve">CUARTO. </w:t>
      </w:r>
      <w:r w:rsidRPr="00B23F25">
        <w:rPr>
          <w:rFonts w:ascii="Palatino Linotype" w:hAnsi="Palatino Linotype" w:cs="Tahoma"/>
          <w:b/>
          <w:sz w:val="22"/>
          <w:szCs w:val="22"/>
        </w:rPr>
        <w:t>Marco normativo aplicable en materia de transparencia y acceso a la información pública.</w:t>
      </w:r>
    </w:p>
    <w:p w:rsidRPr="00B23F25" w:rsidR="00EB7ECA" w:rsidP="00710DA7" w:rsidRDefault="00EB7ECA" w14:paraId="2E70303B" w14:textId="77777777">
      <w:pPr>
        <w:spacing w:line="360" w:lineRule="auto"/>
        <w:jc w:val="both"/>
        <w:rPr>
          <w:rFonts w:ascii="Palatino Linotype" w:hAnsi="Palatino Linotype" w:cs="Tahoma"/>
          <w:b/>
          <w:sz w:val="22"/>
          <w:szCs w:val="22"/>
        </w:rPr>
      </w:pPr>
    </w:p>
    <w:p w:rsidRPr="00B23F25" w:rsidR="00EB7ECA" w:rsidP="00710DA7" w:rsidRDefault="00EB7ECA" w14:paraId="20F70062"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23F25" w:rsidR="00EB7ECA" w:rsidP="00710DA7" w:rsidRDefault="00EB7ECA" w14:paraId="3ED664E0" w14:textId="77777777">
      <w:pPr>
        <w:spacing w:line="360" w:lineRule="auto"/>
        <w:jc w:val="both"/>
        <w:rPr>
          <w:rFonts w:ascii="Palatino Linotype" w:hAnsi="Palatino Linotype" w:cs="Tahoma"/>
          <w:sz w:val="22"/>
          <w:szCs w:val="22"/>
        </w:rPr>
      </w:pPr>
    </w:p>
    <w:p w:rsidRPr="00B23F25" w:rsidR="00EB7ECA" w:rsidP="00710DA7" w:rsidRDefault="00EB7ECA" w14:paraId="41E8C4D5"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23F25" w:rsidR="00EB7ECA" w:rsidP="00710DA7" w:rsidRDefault="00EB7ECA" w14:paraId="19D408F5" w14:textId="77777777">
      <w:pPr>
        <w:spacing w:line="360" w:lineRule="auto"/>
        <w:jc w:val="both"/>
        <w:rPr>
          <w:rFonts w:ascii="Palatino Linotype" w:hAnsi="Palatino Linotype" w:cs="Tahoma"/>
          <w:sz w:val="22"/>
          <w:szCs w:val="22"/>
        </w:rPr>
      </w:pPr>
    </w:p>
    <w:p w:rsidRPr="00B23F25" w:rsidR="00EB7ECA" w:rsidP="00710DA7" w:rsidRDefault="00EB7ECA" w14:paraId="76684FDB"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23F25" w:rsidR="00EB7ECA" w:rsidP="00710DA7" w:rsidRDefault="00EB7ECA" w14:paraId="1ACC6EE2" w14:textId="77777777">
      <w:pPr>
        <w:spacing w:line="360" w:lineRule="auto"/>
        <w:jc w:val="both"/>
        <w:rPr>
          <w:rFonts w:ascii="Palatino Linotype" w:hAnsi="Palatino Linotype" w:cs="Tahoma"/>
          <w:sz w:val="22"/>
          <w:szCs w:val="22"/>
        </w:rPr>
      </w:pPr>
    </w:p>
    <w:p w:rsidRPr="00B23F25" w:rsidR="00EB7ECA" w:rsidP="00710DA7" w:rsidRDefault="00EB7ECA" w14:paraId="2FC6A45A"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B23F25" w:rsidR="00EB7ECA" w:rsidP="00710DA7" w:rsidRDefault="00EB7ECA" w14:paraId="729BD8C6" w14:textId="77777777">
      <w:pPr>
        <w:spacing w:line="360" w:lineRule="auto"/>
        <w:jc w:val="both"/>
        <w:rPr>
          <w:rFonts w:ascii="Palatino Linotype" w:hAnsi="Palatino Linotype" w:cs="Tahoma"/>
          <w:sz w:val="22"/>
          <w:szCs w:val="22"/>
        </w:rPr>
      </w:pPr>
    </w:p>
    <w:p w:rsidRPr="00B23F25" w:rsidR="00EB7ECA" w:rsidP="00710DA7" w:rsidRDefault="00EB7ECA" w14:paraId="5FD81A17"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El artículo 12, que, quienes generen, recopilen, administren, manejen, procesen, archiven o conserven información pública serán responsables de la misma.</w:t>
      </w:r>
    </w:p>
    <w:p w:rsidRPr="00B23F25" w:rsidR="00EB7ECA" w:rsidP="00710DA7" w:rsidRDefault="00EB7ECA" w14:paraId="006DCF6F" w14:textId="77777777">
      <w:pPr>
        <w:spacing w:line="360" w:lineRule="auto"/>
        <w:jc w:val="both"/>
        <w:rPr>
          <w:rFonts w:ascii="Palatino Linotype" w:hAnsi="Palatino Linotype" w:cs="Tahoma"/>
          <w:sz w:val="22"/>
          <w:szCs w:val="22"/>
        </w:rPr>
      </w:pPr>
    </w:p>
    <w:p w:rsidRPr="00B23F25" w:rsidR="00EB7ECA" w:rsidP="00710DA7" w:rsidRDefault="00EB7ECA" w14:paraId="0FBB7818"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B23F25" w:rsidR="00EB7ECA" w:rsidP="00710DA7" w:rsidRDefault="00EB7ECA" w14:paraId="25FAEEFD" w14:textId="77777777">
      <w:pPr>
        <w:spacing w:line="360" w:lineRule="auto"/>
        <w:jc w:val="both"/>
        <w:rPr>
          <w:rFonts w:ascii="Palatino Linotype" w:hAnsi="Palatino Linotype" w:cs="Tahoma"/>
          <w:sz w:val="22"/>
          <w:szCs w:val="22"/>
        </w:rPr>
      </w:pPr>
    </w:p>
    <w:p w:rsidRPr="00B23F25" w:rsidR="00EB7ECA" w:rsidP="00710DA7" w:rsidRDefault="00EB7ECA" w14:paraId="26AF1CB7" w14:textId="77777777">
      <w:pPr>
        <w:spacing w:line="360" w:lineRule="auto"/>
        <w:jc w:val="both"/>
        <w:rPr>
          <w:rFonts w:ascii="Palatino Linotype" w:hAnsi="Palatino Linotype" w:cs="Tahoma"/>
          <w:sz w:val="22"/>
          <w:szCs w:val="22"/>
        </w:rPr>
      </w:pPr>
      <w:r w:rsidRPr="00B23F2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23F25" w:rsidR="00EB7ECA" w:rsidP="00710DA7" w:rsidRDefault="00EB7ECA" w14:paraId="26ED6E8A" w14:textId="77777777">
      <w:pPr>
        <w:spacing w:line="360" w:lineRule="auto"/>
        <w:jc w:val="both"/>
        <w:rPr>
          <w:rFonts w:ascii="Palatino Linotype" w:hAnsi="Palatino Linotype" w:cs="Tahoma"/>
          <w:iCs/>
          <w:sz w:val="22"/>
          <w:szCs w:val="22"/>
          <w:lang w:val="es-ES"/>
        </w:rPr>
      </w:pPr>
      <w:r w:rsidRPr="00B23F25">
        <w:rPr>
          <w:rFonts w:ascii="Palatino Linotype" w:hAnsi="Palatino Linotype" w:cs="Tahoma"/>
          <w:iCs/>
          <w:sz w:val="22"/>
          <w:szCs w:val="22"/>
          <w:lang w:val="es-ES"/>
        </w:rPr>
        <w:t xml:space="preserve"> </w:t>
      </w:r>
    </w:p>
    <w:p w:rsidRPr="00B23F25" w:rsidR="00EB7ECA" w:rsidP="00710DA7" w:rsidRDefault="00EB7ECA" w14:paraId="7DB65BFD" w14:textId="77777777">
      <w:pPr>
        <w:spacing w:line="360" w:lineRule="auto"/>
        <w:jc w:val="both"/>
        <w:rPr>
          <w:rFonts w:ascii="Palatino Linotype" w:hAnsi="Palatino Linotype" w:eastAsia="Calibri" w:cs="Tahoma"/>
          <w:sz w:val="22"/>
          <w:szCs w:val="22"/>
          <w:lang w:val="es-ES" w:eastAsia="es-ES_tradnl"/>
        </w:rPr>
      </w:pPr>
      <w:r w:rsidRPr="00B23F25">
        <w:rPr>
          <w:rFonts w:ascii="Palatino Linotype" w:hAnsi="Palatino Linotype" w:cs="Tahoma"/>
          <w:sz w:val="22"/>
          <w:szCs w:val="22"/>
        </w:rPr>
        <w:t xml:space="preserve">El artículo 92, fracción VIII, </w:t>
      </w:r>
      <w:r w:rsidRPr="00B23F25">
        <w:rPr>
          <w:rFonts w:ascii="Palatino Linotype" w:hAnsi="Palatino Linotype" w:eastAsia="Calibri" w:cs="Tahoma"/>
          <w:sz w:val="22"/>
          <w:szCs w:val="22"/>
          <w:lang w:val="es-ES" w:eastAsia="es-ES_tradnl"/>
        </w:rPr>
        <w:t xml:space="preserve">que, la información sobre las </w:t>
      </w:r>
      <w:r w:rsidRPr="00B23F25">
        <w:rPr>
          <w:rFonts w:ascii="Palatino Linotype" w:hAnsi="Palatino Linotype" w:eastAsia="Calibri" w:cs="Tahoma"/>
          <w:bCs/>
          <w:sz w:val="22"/>
          <w:szCs w:val="22"/>
          <w:lang w:val="es-ES" w:eastAsia="es-ES_tradnl"/>
        </w:rPr>
        <w:t>remuneraciones de todos los servidores públicos de base o de confianza,</w:t>
      </w:r>
      <w:r w:rsidRPr="00B23F25">
        <w:rPr>
          <w:rFonts w:ascii="Palatino Linotype" w:hAnsi="Palatino Linotype" w:eastAsia="Calibri" w:cs="Tahoma"/>
          <w:sz w:val="22"/>
          <w:szCs w:val="22"/>
          <w:lang w:val="es-ES" w:eastAsia="es-ES_tradnl"/>
        </w:rPr>
        <w:t xml:space="preserve"> corresponde a una Obligación Común de Transparencia para los Sujetos Obligados.</w:t>
      </w:r>
    </w:p>
    <w:p w:rsidRPr="00B23F25" w:rsidR="00EB7ECA" w:rsidP="00710DA7" w:rsidRDefault="00EB7ECA" w14:paraId="57F3F5C7" w14:textId="77777777">
      <w:pPr>
        <w:spacing w:line="360" w:lineRule="auto"/>
        <w:jc w:val="both"/>
        <w:rPr>
          <w:rFonts w:ascii="Palatino Linotype" w:hAnsi="Palatino Linotype" w:cs="Tahoma"/>
          <w:iCs/>
          <w:sz w:val="22"/>
          <w:szCs w:val="22"/>
          <w:lang w:val="es-ES"/>
        </w:rPr>
      </w:pPr>
    </w:p>
    <w:p w:rsidRPr="00B23F25" w:rsidR="00EB7ECA" w:rsidP="00710DA7" w:rsidRDefault="00EB7ECA" w14:paraId="4528B513" w14:textId="77777777">
      <w:pPr>
        <w:spacing w:line="360" w:lineRule="auto"/>
        <w:jc w:val="both"/>
        <w:rPr>
          <w:rFonts w:ascii="Palatino Linotype" w:hAnsi="Palatino Linotype" w:cs="Tahoma"/>
          <w:b/>
          <w:sz w:val="22"/>
          <w:szCs w:val="22"/>
          <w:lang w:val="es-ES"/>
        </w:rPr>
      </w:pPr>
      <w:r w:rsidRPr="00B23F25">
        <w:rPr>
          <w:rFonts w:ascii="Palatino Linotype" w:hAnsi="Palatino Linotype" w:cs="Tahoma"/>
          <w:b/>
          <w:sz w:val="22"/>
          <w:szCs w:val="22"/>
          <w:lang w:val="es-ES"/>
        </w:rPr>
        <w:t>QUINTO. Estudio de Fondo.</w:t>
      </w:r>
    </w:p>
    <w:p w:rsidRPr="00B23F25" w:rsidR="00EB7ECA" w:rsidP="00710DA7" w:rsidRDefault="00EB7ECA" w14:paraId="45B77551" w14:textId="77777777">
      <w:pPr>
        <w:spacing w:line="360" w:lineRule="auto"/>
        <w:jc w:val="both"/>
        <w:rPr>
          <w:rFonts w:ascii="Palatino Linotype" w:hAnsi="Palatino Linotype" w:cs="Tahoma"/>
          <w:b/>
          <w:sz w:val="22"/>
          <w:szCs w:val="22"/>
          <w:lang w:val="es-ES"/>
        </w:rPr>
      </w:pPr>
    </w:p>
    <w:p w:rsidRPr="00B23F25" w:rsidR="00EB7ECA" w:rsidP="00710DA7" w:rsidRDefault="00EB7ECA" w14:paraId="180B8292" w14:textId="306F619B">
      <w:pPr>
        <w:spacing w:line="360" w:lineRule="auto"/>
        <w:jc w:val="both"/>
        <w:rPr>
          <w:rFonts w:ascii="Palatino Linotype" w:hAnsi="Palatino Linotype" w:eastAsia="Calibri"/>
          <w:bCs/>
          <w:color w:val="000000"/>
          <w:sz w:val="22"/>
          <w:szCs w:val="22"/>
          <w:lang w:eastAsia="en-US"/>
        </w:rPr>
      </w:pPr>
      <w:r w:rsidRPr="00B23F25">
        <w:rPr>
          <w:rFonts w:ascii="Palatino Linotype" w:hAnsi="Palatino Linotype" w:cs="Tahoma"/>
          <w:bCs/>
          <w:iCs/>
          <w:sz w:val="22"/>
          <w:szCs w:val="22"/>
        </w:rPr>
        <w:t xml:space="preserve">En principio, es dable recordar que la ahora Recurrente, </w:t>
      </w:r>
      <w:r w:rsidRPr="00B23F25">
        <w:rPr>
          <w:rFonts w:ascii="Palatino Linotype" w:hAnsi="Palatino Linotype" w:eastAsia="Calibri" w:cs="Tahoma"/>
          <w:iCs/>
          <w:sz w:val="22"/>
          <w:szCs w:val="22"/>
          <w:lang w:val="es-ES"/>
        </w:rPr>
        <w:t xml:space="preserve">requirió la nómina del </w:t>
      </w:r>
      <w:r w:rsidRPr="00B23F25" w:rsidR="00A44D69">
        <w:rPr>
          <w:rFonts w:ascii="Palatino Linotype" w:hAnsi="Palatino Linotype" w:eastAsia="Calibri" w:cs="Tahoma"/>
          <w:iCs/>
          <w:sz w:val="22"/>
          <w:szCs w:val="22"/>
          <w:lang w:val="es-ES"/>
        </w:rPr>
        <w:t>Ayuntamiento de Temascalcingo</w:t>
      </w:r>
      <w:r w:rsidRPr="00B23F25">
        <w:rPr>
          <w:rFonts w:ascii="Palatino Linotype" w:hAnsi="Palatino Linotype" w:eastAsia="Calibri" w:cs="Tahoma"/>
          <w:iCs/>
          <w:sz w:val="22"/>
          <w:szCs w:val="22"/>
          <w:lang w:val="es-ES"/>
        </w:rPr>
        <w:t xml:space="preserve">; </w:t>
      </w:r>
      <w:r w:rsidRPr="00B23F25" w:rsidR="006B4282">
        <w:rPr>
          <w:rFonts w:ascii="Palatino Linotype" w:hAnsi="Palatino Linotype" w:eastAsia="Calibri" w:cs="Tahoma"/>
          <w:iCs/>
          <w:sz w:val="22"/>
          <w:szCs w:val="22"/>
          <w:lang w:val="es-ES"/>
        </w:rPr>
        <w:t xml:space="preserve">al respecto, resulta </w:t>
      </w:r>
      <w:r w:rsidRPr="00B23F25">
        <w:rPr>
          <w:rFonts w:ascii="Palatino Linotype" w:hAnsi="Palatino Linotype" w:eastAsia="Calibri"/>
          <w:bCs/>
          <w:color w:val="000000"/>
          <w:sz w:val="22"/>
          <w:szCs w:val="22"/>
          <w:lang w:val="es-ES" w:eastAsia="en-US"/>
        </w:rPr>
        <w:t>necesario</w:t>
      </w:r>
      <w:r w:rsidRPr="00B23F25">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B23F25" w:rsidR="00EB7ECA" w:rsidP="00710DA7" w:rsidRDefault="00EB7ECA" w14:paraId="0C9CE991" w14:textId="77777777">
      <w:pPr>
        <w:spacing w:line="360" w:lineRule="auto"/>
        <w:jc w:val="both"/>
        <w:rPr>
          <w:rFonts w:ascii="Palatino Linotype" w:hAnsi="Palatino Linotype" w:eastAsia="Calibri"/>
          <w:color w:val="000000"/>
          <w:sz w:val="22"/>
          <w:szCs w:val="22"/>
          <w:lang w:eastAsia="en-US"/>
        </w:rPr>
      </w:pPr>
    </w:p>
    <w:p w:rsidRPr="00B23F25" w:rsidR="00EB7ECA" w:rsidP="00710DA7" w:rsidRDefault="00EB7ECA" w14:paraId="7AB920EF" w14:textId="77777777">
      <w:pPr>
        <w:spacing w:line="360" w:lineRule="auto"/>
        <w:jc w:val="both"/>
        <w:rPr>
          <w:rFonts w:ascii="Palatino Linotype" w:hAnsi="Palatino Linotype" w:eastAsia="Calibri"/>
          <w:bCs/>
          <w:color w:val="000000"/>
          <w:sz w:val="22"/>
          <w:szCs w:val="22"/>
          <w:lang w:eastAsia="en-US"/>
        </w:rPr>
      </w:pPr>
      <w:r w:rsidRPr="00B23F25">
        <w:rPr>
          <w:rFonts w:ascii="Palatino Linotype" w:hAnsi="Palatino Linotype" w:eastAsia="Calibri"/>
          <w:bCs/>
          <w:color w:val="000000"/>
          <w:sz w:val="22"/>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B23F25" w:rsidR="00EB7ECA" w:rsidP="00710DA7" w:rsidRDefault="00EB7ECA" w14:paraId="2B31790C" w14:textId="77777777">
      <w:pPr>
        <w:spacing w:line="360" w:lineRule="auto"/>
        <w:jc w:val="both"/>
        <w:rPr>
          <w:rFonts w:ascii="Palatino Linotype" w:hAnsi="Palatino Linotype" w:eastAsia="Calibri"/>
          <w:bCs/>
          <w:color w:val="000000"/>
          <w:sz w:val="22"/>
          <w:szCs w:val="22"/>
          <w:lang w:eastAsia="en-US"/>
        </w:rPr>
      </w:pPr>
    </w:p>
    <w:p w:rsidRPr="00B23F25" w:rsidR="00EB7ECA" w:rsidP="00710DA7" w:rsidRDefault="00EB7ECA" w14:paraId="4EC57869" w14:textId="36596CB6">
      <w:pPr>
        <w:spacing w:line="360" w:lineRule="auto"/>
        <w:jc w:val="both"/>
        <w:rPr>
          <w:rFonts w:ascii="Palatino Linotype" w:hAnsi="Palatino Linotype" w:eastAsia="Calibri"/>
          <w:bCs/>
          <w:color w:val="000000"/>
          <w:sz w:val="22"/>
          <w:szCs w:val="22"/>
          <w:lang w:eastAsia="en-US"/>
        </w:rPr>
      </w:pPr>
      <w:r w:rsidRPr="00B23F25">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B23F25" w:rsidR="007F295E" w:rsidP="00710DA7" w:rsidRDefault="007F295E" w14:paraId="1FAC5045" w14:textId="77777777">
      <w:pPr>
        <w:spacing w:line="360" w:lineRule="auto"/>
        <w:jc w:val="both"/>
        <w:rPr>
          <w:rFonts w:ascii="Palatino Linotype" w:hAnsi="Palatino Linotype" w:eastAsia="Calibri"/>
          <w:bCs/>
          <w:color w:val="000000"/>
          <w:sz w:val="22"/>
          <w:szCs w:val="22"/>
          <w:lang w:eastAsia="en-US"/>
        </w:rPr>
      </w:pPr>
    </w:p>
    <w:p w:rsidRPr="00B23F25" w:rsidR="00EB7ECA" w:rsidP="00710DA7" w:rsidRDefault="00EB7ECA" w14:paraId="08A94238" w14:textId="77777777">
      <w:pPr>
        <w:spacing w:line="360" w:lineRule="auto"/>
        <w:jc w:val="both"/>
        <w:rPr>
          <w:rFonts w:ascii="Palatino Linotype" w:hAnsi="Palatino Linotype" w:eastAsia="Calibri"/>
          <w:b/>
          <w:bCs/>
          <w:iCs/>
          <w:color w:val="000000"/>
          <w:sz w:val="22"/>
          <w:szCs w:val="22"/>
          <w:lang w:val="es-ES" w:eastAsia="en-US"/>
        </w:rPr>
      </w:pPr>
      <w:r w:rsidRPr="00B23F25">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B23F25">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B23F25" w:rsidR="00EB7ECA" w:rsidP="00710DA7" w:rsidRDefault="00EB7ECA" w14:paraId="605E0B4D" w14:textId="77777777">
      <w:pPr>
        <w:spacing w:line="360" w:lineRule="auto"/>
        <w:jc w:val="both"/>
        <w:rPr>
          <w:rFonts w:ascii="Palatino Linotype" w:hAnsi="Palatino Linotype" w:eastAsia="Calibri"/>
          <w:b/>
          <w:bCs/>
          <w:iCs/>
          <w:color w:val="000000"/>
          <w:sz w:val="22"/>
          <w:szCs w:val="22"/>
          <w:lang w:val="es-ES" w:eastAsia="en-US"/>
        </w:rPr>
      </w:pPr>
    </w:p>
    <w:p w:rsidRPr="00B23F25" w:rsidR="00EB7ECA" w:rsidP="00710DA7" w:rsidRDefault="00EB7ECA" w14:paraId="12E46237" w14:textId="77777777">
      <w:pPr>
        <w:spacing w:line="360" w:lineRule="auto"/>
        <w:jc w:val="both"/>
        <w:rPr>
          <w:rFonts w:ascii="Palatino Linotype" w:hAnsi="Palatino Linotype" w:eastAsia="Calibri"/>
          <w:b/>
          <w:bCs/>
          <w:iCs/>
          <w:color w:val="000000"/>
          <w:sz w:val="22"/>
          <w:szCs w:val="22"/>
          <w:lang w:val="es-ES" w:eastAsia="en-US"/>
        </w:rPr>
      </w:pPr>
      <w:r w:rsidRPr="00B23F25">
        <w:rPr>
          <w:rFonts w:ascii="Palatino Linotype" w:hAnsi="Palatino Linotype" w:eastAsia="Calibri"/>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B23F25">
        <w:rPr>
          <w:rFonts w:ascii="Palatino Linotype" w:hAnsi="Palatino Linotype" w:eastAsia="Calibri"/>
          <w:b/>
          <w:bCs/>
          <w:iCs/>
          <w:color w:val="000000"/>
          <w:sz w:val="22"/>
          <w:szCs w:val="22"/>
          <w:lang w:val="es-ES" w:eastAsia="en-US"/>
        </w:rPr>
        <w:t>1000 Servicios Personales</w:t>
      </w:r>
      <w:r w:rsidRPr="00B23F25">
        <w:rPr>
          <w:rFonts w:ascii="Palatino Linotype" w:hAnsi="Palatino Linotype" w:eastAsia="Calibri"/>
          <w:bCs/>
          <w:iCs/>
          <w:color w:val="000000"/>
          <w:sz w:val="22"/>
          <w:szCs w:val="22"/>
          <w:lang w:val="es-ES" w:eastAsia="en-US"/>
        </w:rPr>
        <w:t>,</w:t>
      </w:r>
      <w:r w:rsidRPr="00B23F25">
        <w:rPr>
          <w:rFonts w:ascii="Palatino Linotype" w:hAnsi="Palatino Linotype" w:eastAsia="Calibri"/>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rsidRPr="00B23F25" w:rsidR="00EB7ECA" w:rsidP="00710DA7" w:rsidRDefault="00EB7ECA" w14:paraId="5E989844" w14:textId="77777777">
      <w:pPr>
        <w:spacing w:line="360" w:lineRule="auto"/>
        <w:jc w:val="both"/>
        <w:rPr>
          <w:rFonts w:ascii="Palatino Linotype" w:hAnsi="Palatino Linotype" w:eastAsia="Calibri"/>
          <w:bCs/>
          <w:color w:val="000000"/>
          <w:sz w:val="22"/>
          <w:szCs w:val="22"/>
          <w:lang w:eastAsia="en-US"/>
        </w:rPr>
      </w:pPr>
    </w:p>
    <w:p w:rsidRPr="00B23F25" w:rsidR="00EB7ECA" w:rsidP="00710DA7" w:rsidRDefault="00EB7ECA" w14:paraId="1F166310" w14:textId="3870E756">
      <w:pPr>
        <w:spacing w:line="360" w:lineRule="auto"/>
        <w:ind w:right="-93"/>
        <w:jc w:val="both"/>
        <w:rPr>
          <w:rFonts w:ascii="Palatino Linotype" w:hAnsi="Palatino Linotype" w:eastAsia="Calibri" w:cs="Tahoma"/>
          <w:b/>
          <w:bCs/>
          <w:color w:val="000000"/>
          <w:sz w:val="22"/>
          <w:szCs w:val="22"/>
          <w:lang w:eastAsia="en-US"/>
        </w:rPr>
      </w:pPr>
      <w:r w:rsidRPr="00B23F25">
        <w:rPr>
          <w:rFonts w:ascii="Palatino Linotype" w:hAnsi="Palatino Linotype" w:eastAsia="Calibri" w:cs="Tahoma"/>
          <w:bCs/>
          <w:color w:val="000000"/>
          <w:sz w:val="22"/>
          <w:szCs w:val="22"/>
          <w:lang w:eastAsia="en-US"/>
        </w:rPr>
        <w:lastRenderedPageBreak/>
        <w:t>En ese orden de ideas, respecto a la nómina</w:t>
      </w:r>
      <w:r w:rsidRPr="00B23F25">
        <w:rPr>
          <w:rFonts w:ascii="Palatino Linotype" w:hAnsi="Palatino Linotype" w:eastAsia="Calibri" w:cs="Tahoma"/>
          <w:b/>
          <w:bCs/>
          <w:color w:val="000000"/>
          <w:sz w:val="22"/>
          <w:szCs w:val="22"/>
          <w:lang w:eastAsia="en-US"/>
        </w:rPr>
        <w:t xml:space="preserve">, </w:t>
      </w:r>
      <w:r w:rsidRPr="00B23F25">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8">
        <w:r w:rsidRPr="00B23F25">
          <w:rPr>
            <w:rFonts w:ascii="Palatino Linotype" w:hAnsi="Palatino Linotype" w:eastAsia="Calibri" w:cs="Tahoma"/>
            <w:bCs/>
            <w:color w:val="000000"/>
            <w:sz w:val="22"/>
            <w:szCs w:val="22"/>
            <w:u w:val="single"/>
            <w:lang w:eastAsia="en-US"/>
          </w:rPr>
          <w:t>http://www.transparenciapresupuestaria.gob.mx/es/PTP/Glosario</w:t>
        </w:r>
      </w:hyperlink>
      <w:r w:rsidRPr="00B23F25" w:rsidR="00B718E8">
        <w:rPr>
          <w:rFonts w:ascii="Palatino Linotype" w:hAnsi="Palatino Linotype" w:eastAsia="Calibri" w:cs="Tahoma"/>
          <w:bCs/>
          <w:color w:val="000000"/>
          <w:sz w:val="22"/>
          <w:szCs w:val="22"/>
          <w:lang w:eastAsia="en-US"/>
        </w:rPr>
        <w:t>,</w:t>
      </w:r>
      <w:r w:rsidRPr="00B23F25">
        <w:rPr>
          <w:rFonts w:ascii="Palatino Linotype" w:hAnsi="Palatino Linotype" w:eastAsia="Calibri" w:cs="Tahoma"/>
          <w:bCs/>
          <w:color w:val="000000"/>
          <w:sz w:val="22"/>
          <w:szCs w:val="22"/>
          <w:lang w:eastAsia="en-US"/>
        </w:rPr>
        <w:t xml:space="preserve"> consultado el </w:t>
      </w:r>
      <w:r w:rsidRPr="00B23F25" w:rsidR="00B718E8">
        <w:rPr>
          <w:rFonts w:ascii="Palatino Linotype" w:hAnsi="Palatino Linotype" w:eastAsia="Calibri" w:cs="Tahoma"/>
          <w:bCs/>
          <w:color w:val="000000"/>
          <w:sz w:val="22"/>
          <w:szCs w:val="22"/>
          <w:lang w:eastAsia="en-US"/>
        </w:rPr>
        <w:t>veinte</w:t>
      </w:r>
      <w:r w:rsidRPr="00B23F25">
        <w:rPr>
          <w:rFonts w:ascii="Palatino Linotype" w:hAnsi="Palatino Linotype" w:eastAsia="Calibri" w:cs="Tahoma"/>
          <w:bCs/>
          <w:color w:val="000000"/>
          <w:sz w:val="22"/>
          <w:szCs w:val="22"/>
          <w:lang w:eastAsia="en-US"/>
        </w:rPr>
        <w:t xml:space="preserve"> de </w:t>
      </w:r>
      <w:r w:rsidRPr="00B23F25" w:rsidR="00B718E8">
        <w:rPr>
          <w:rFonts w:ascii="Palatino Linotype" w:hAnsi="Palatino Linotype" w:eastAsia="Calibri" w:cs="Tahoma"/>
          <w:bCs/>
          <w:color w:val="000000"/>
          <w:sz w:val="22"/>
          <w:szCs w:val="22"/>
          <w:lang w:eastAsia="en-US"/>
        </w:rPr>
        <w:t>enero</w:t>
      </w:r>
      <w:r w:rsidRPr="00B23F25">
        <w:rPr>
          <w:rFonts w:ascii="Palatino Linotype" w:hAnsi="Palatino Linotype" w:eastAsia="Calibri" w:cs="Tahoma"/>
          <w:bCs/>
          <w:color w:val="000000"/>
          <w:sz w:val="22"/>
          <w:szCs w:val="22"/>
          <w:lang w:eastAsia="en-US"/>
        </w:rPr>
        <w:t xml:space="preserve"> de dos mil veinti</w:t>
      </w:r>
      <w:r w:rsidRPr="00B23F25" w:rsidR="00B718E8">
        <w:rPr>
          <w:rFonts w:ascii="Palatino Linotype" w:hAnsi="Palatino Linotype" w:eastAsia="Calibri" w:cs="Tahoma"/>
          <w:bCs/>
          <w:color w:val="000000"/>
          <w:sz w:val="22"/>
          <w:szCs w:val="22"/>
          <w:lang w:eastAsia="en-US"/>
        </w:rPr>
        <w:t>dós</w:t>
      </w:r>
      <w:r w:rsidRPr="00B23F25">
        <w:rPr>
          <w:rFonts w:ascii="Palatino Linotype" w:hAnsi="Palatino Linotype" w:eastAsia="Calibri" w:cs="Tahoma"/>
          <w:bCs/>
          <w:color w:val="000000"/>
          <w:sz w:val="22"/>
          <w:szCs w:val="22"/>
          <w:lang w:eastAsia="en-US"/>
        </w:rPr>
        <w:t xml:space="preserve">, a las doce horas), establece que </w:t>
      </w:r>
      <w:r w:rsidRPr="00B23F25">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B23F25" w:rsidR="00B718E8" w:rsidP="00710DA7" w:rsidRDefault="00B718E8" w14:paraId="5E67A768" w14:textId="77777777">
      <w:pPr>
        <w:spacing w:line="360" w:lineRule="auto"/>
        <w:ind w:right="-93"/>
        <w:jc w:val="both"/>
        <w:rPr>
          <w:rFonts w:ascii="Palatino Linotype" w:hAnsi="Palatino Linotype" w:eastAsia="Calibri" w:cs="Tahoma"/>
          <w:b/>
          <w:bCs/>
          <w:color w:val="000000"/>
          <w:sz w:val="22"/>
          <w:szCs w:val="22"/>
          <w:lang w:eastAsia="en-US"/>
        </w:rPr>
      </w:pPr>
    </w:p>
    <w:p w:rsidRPr="00B23F25" w:rsidR="00EB7ECA" w:rsidP="00710DA7" w:rsidRDefault="00EB7ECA" w14:paraId="38E3280B" w14:textId="5637880B">
      <w:pPr>
        <w:spacing w:line="360" w:lineRule="auto"/>
        <w:ind w:right="-93"/>
        <w:jc w:val="both"/>
        <w:rPr>
          <w:rFonts w:ascii="Palatino Linotype" w:hAnsi="Palatino Linotype" w:eastAsia="Calibri" w:cs="Tahoma"/>
          <w:b/>
          <w:bCs/>
          <w:color w:val="000000"/>
          <w:sz w:val="22"/>
          <w:szCs w:val="22"/>
          <w:lang w:eastAsia="en-US"/>
        </w:rPr>
      </w:pPr>
      <w:r w:rsidRPr="00B23F25">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9">
        <w:r w:rsidRPr="00B23F25">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B23F25">
        <w:rPr>
          <w:rFonts w:ascii="Palatino Linotype" w:hAnsi="Palatino Linotype" w:eastAsia="Calibri" w:cs="Tahoma"/>
          <w:bCs/>
          <w:color w:val="000000"/>
          <w:sz w:val="22"/>
          <w:szCs w:val="22"/>
          <w:lang w:eastAsia="en-US"/>
        </w:rPr>
        <w:t xml:space="preserve">, consultada </w:t>
      </w:r>
      <w:r w:rsidRPr="00B23F25" w:rsidR="00B718E8">
        <w:rPr>
          <w:rFonts w:ascii="Palatino Linotype" w:hAnsi="Palatino Linotype" w:eastAsia="Calibri" w:cs="Tahoma"/>
          <w:bCs/>
          <w:color w:val="000000"/>
          <w:sz w:val="22"/>
          <w:szCs w:val="22"/>
          <w:lang w:eastAsia="en-US"/>
        </w:rPr>
        <w:t>el veinticinco</w:t>
      </w:r>
      <w:r w:rsidRPr="00B23F25">
        <w:rPr>
          <w:rFonts w:ascii="Palatino Linotype" w:hAnsi="Palatino Linotype" w:eastAsia="Calibri" w:cs="Tahoma"/>
          <w:bCs/>
          <w:color w:val="000000"/>
          <w:sz w:val="22"/>
          <w:szCs w:val="22"/>
          <w:lang w:eastAsia="en-US"/>
        </w:rPr>
        <w:t xml:space="preserve"> de </w:t>
      </w:r>
      <w:r w:rsidRPr="00B23F25" w:rsidR="00B718E8">
        <w:rPr>
          <w:rFonts w:ascii="Palatino Linotype" w:hAnsi="Palatino Linotype" w:eastAsia="Calibri" w:cs="Tahoma"/>
          <w:bCs/>
          <w:color w:val="000000"/>
          <w:sz w:val="22"/>
          <w:szCs w:val="22"/>
          <w:lang w:eastAsia="en-US"/>
        </w:rPr>
        <w:t xml:space="preserve">enero </w:t>
      </w:r>
      <w:r w:rsidRPr="00B23F25">
        <w:rPr>
          <w:rFonts w:ascii="Palatino Linotype" w:hAnsi="Palatino Linotype" w:eastAsia="Calibri" w:cs="Tahoma"/>
          <w:bCs/>
          <w:color w:val="000000"/>
          <w:sz w:val="22"/>
          <w:szCs w:val="22"/>
          <w:lang w:eastAsia="en-US"/>
        </w:rPr>
        <w:t>de dos mil veinti</w:t>
      </w:r>
      <w:r w:rsidRPr="00B23F25" w:rsidR="00B718E8">
        <w:rPr>
          <w:rFonts w:ascii="Palatino Linotype" w:hAnsi="Palatino Linotype" w:eastAsia="Calibri" w:cs="Tahoma"/>
          <w:bCs/>
          <w:color w:val="000000"/>
          <w:sz w:val="22"/>
          <w:szCs w:val="22"/>
          <w:lang w:eastAsia="en-US"/>
        </w:rPr>
        <w:t>dós</w:t>
      </w:r>
      <w:r w:rsidRPr="00B23F25">
        <w:rPr>
          <w:rFonts w:ascii="Palatino Linotype" w:hAnsi="Palatino Linotype" w:eastAsia="Calibri" w:cs="Tahoma"/>
          <w:bCs/>
          <w:color w:val="000000"/>
          <w:sz w:val="22"/>
          <w:szCs w:val="22"/>
          <w:lang w:eastAsia="en-US"/>
        </w:rPr>
        <w:t xml:space="preserve">, a las doce horas), establece que la </w:t>
      </w:r>
      <w:r w:rsidRPr="00B23F25">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B23F25" w:rsidR="00EB7ECA" w:rsidP="00710DA7" w:rsidRDefault="00EB7ECA" w14:paraId="7D83EF8E" w14:textId="77777777">
      <w:pPr>
        <w:spacing w:line="360" w:lineRule="auto"/>
        <w:ind w:right="-93"/>
        <w:jc w:val="both"/>
        <w:rPr>
          <w:rFonts w:ascii="Palatino Linotype" w:hAnsi="Palatino Linotype" w:eastAsia="Calibri" w:cs="Tahoma"/>
          <w:bCs/>
          <w:color w:val="000000"/>
          <w:sz w:val="22"/>
          <w:szCs w:val="22"/>
          <w:lang w:eastAsia="en-US"/>
        </w:rPr>
      </w:pPr>
    </w:p>
    <w:p w:rsidRPr="00B23F25" w:rsidR="00EB7ECA" w:rsidP="00710DA7" w:rsidRDefault="00EB7ECA" w14:paraId="498A1851" w14:textId="77777777">
      <w:pPr>
        <w:spacing w:line="360" w:lineRule="auto"/>
        <w:ind w:right="-93"/>
        <w:jc w:val="both"/>
        <w:rPr>
          <w:rFonts w:ascii="Palatino Linotype" w:hAnsi="Palatino Linotype" w:eastAsia="Calibri" w:cs="Tahoma"/>
          <w:bCs/>
          <w:color w:val="000000"/>
          <w:sz w:val="22"/>
          <w:szCs w:val="22"/>
          <w:lang w:eastAsia="en-US"/>
        </w:rPr>
      </w:pPr>
      <w:r w:rsidRPr="00B23F25">
        <w:rPr>
          <w:rFonts w:ascii="Palatino Linotype" w:hAnsi="Palatino Linotype" w:eastAsia="Calibri" w:cs="Tahoma"/>
          <w:bCs/>
          <w:color w:val="000000"/>
          <w:sz w:val="22"/>
          <w:szCs w:val="22"/>
          <w:lang w:eastAsia="en-US"/>
        </w:rPr>
        <w:t>Conforme a lo anterior, se puede advertir que la nómina se puede referir a lo siguiente:</w:t>
      </w:r>
    </w:p>
    <w:p w:rsidRPr="00B23F25" w:rsidR="00EB7ECA" w:rsidP="00710DA7" w:rsidRDefault="00EB7ECA" w14:paraId="51D3AD79" w14:textId="77777777">
      <w:pPr>
        <w:spacing w:line="360" w:lineRule="auto"/>
        <w:ind w:right="-93"/>
        <w:jc w:val="both"/>
        <w:rPr>
          <w:rFonts w:ascii="Palatino Linotype" w:hAnsi="Palatino Linotype" w:eastAsia="Calibri" w:cs="Tahoma"/>
          <w:bCs/>
          <w:color w:val="000000"/>
          <w:sz w:val="22"/>
          <w:szCs w:val="22"/>
          <w:lang w:eastAsia="en-US"/>
        </w:rPr>
      </w:pPr>
    </w:p>
    <w:p w:rsidRPr="00B23F25" w:rsidR="00EB7ECA" w:rsidP="00710DA7" w:rsidRDefault="00EB7ECA" w14:paraId="40B2D0D3" w14:textId="77777777">
      <w:pPr>
        <w:numPr>
          <w:ilvl w:val="0"/>
          <w:numId w:val="35"/>
        </w:numPr>
        <w:spacing w:line="360" w:lineRule="auto"/>
        <w:ind w:right="-93"/>
        <w:contextualSpacing/>
        <w:jc w:val="both"/>
        <w:rPr>
          <w:rFonts w:ascii="Palatino Linotype" w:hAnsi="Palatino Linotype" w:eastAsia="Calibri" w:cs="Tahoma"/>
          <w:bCs/>
          <w:color w:val="000000"/>
          <w:sz w:val="22"/>
          <w:szCs w:val="22"/>
          <w:lang w:eastAsia="en-US"/>
        </w:rPr>
      </w:pPr>
      <w:r w:rsidRPr="00B23F25">
        <w:rPr>
          <w:rFonts w:ascii="Palatino Linotype" w:hAnsi="Palatino Linotype" w:eastAsia="Calibri" w:cs="Tahoma"/>
          <w:bCs/>
          <w:color w:val="000000"/>
          <w:sz w:val="22"/>
          <w:szCs w:val="22"/>
          <w:lang w:eastAsia="en-US"/>
        </w:rPr>
        <w:t>Relación de trabajadores con las percepciones monetarias de cada uno.</w:t>
      </w:r>
    </w:p>
    <w:p w:rsidRPr="00B23F25" w:rsidR="00EB7ECA" w:rsidP="00710DA7" w:rsidRDefault="00EB7ECA" w14:paraId="27020EA3"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B23F25" w:rsidR="00EB7ECA" w:rsidP="00710DA7" w:rsidRDefault="00EB7ECA" w14:paraId="14F850D8" w14:textId="77777777">
      <w:pPr>
        <w:numPr>
          <w:ilvl w:val="0"/>
          <w:numId w:val="35"/>
        </w:numPr>
        <w:spacing w:line="360" w:lineRule="auto"/>
        <w:ind w:right="-93"/>
        <w:contextualSpacing/>
        <w:jc w:val="both"/>
        <w:rPr>
          <w:rFonts w:ascii="Palatino Linotype" w:hAnsi="Palatino Linotype" w:eastAsia="Calibri" w:cs="Tahoma"/>
          <w:bCs/>
          <w:color w:val="000000"/>
          <w:sz w:val="22"/>
          <w:szCs w:val="22"/>
          <w:lang w:eastAsia="en-US"/>
        </w:rPr>
      </w:pPr>
      <w:r w:rsidRPr="00B23F25">
        <w:rPr>
          <w:rFonts w:ascii="Palatino Linotype" w:hAnsi="Palatino Linotype" w:eastAsia="Calibri" w:cs="Tahoma"/>
          <w:bCs/>
          <w:color w:val="000000"/>
          <w:sz w:val="22"/>
          <w:szCs w:val="22"/>
          <w:lang w:eastAsia="en-US"/>
        </w:rPr>
        <w:t>Recibo individual que contiene las prestaciones y deducciones de un trabajador.</w:t>
      </w:r>
    </w:p>
    <w:p w:rsidRPr="00B23F25" w:rsidR="00EB7ECA" w:rsidP="00710DA7" w:rsidRDefault="00EB7ECA" w14:paraId="154228D7" w14:textId="77777777">
      <w:pPr>
        <w:spacing w:line="360" w:lineRule="auto"/>
        <w:ind w:left="720"/>
        <w:contextualSpacing/>
        <w:rPr>
          <w:rFonts w:ascii="Palatino Linotype" w:hAnsi="Palatino Linotype" w:eastAsia="Calibri" w:cs="Tahoma"/>
          <w:b/>
          <w:bCs/>
          <w:color w:val="000000"/>
          <w:sz w:val="22"/>
          <w:szCs w:val="22"/>
          <w:lang w:eastAsia="en-US"/>
        </w:rPr>
      </w:pPr>
    </w:p>
    <w:p w:rsidRPr="00B23F25" w:rsidR="00EB7ECA" w:rsidP="00710DA7" w:rsidRDefault="00EB7ECA" w14:paraId="262586B1" w14:textId="2B6AEA3C">
      <w:pPr>
        <w:numPr>
          <w:ilvl w:val="0"/>
          <w:numId w:val="35"/>
        </w:numPr>
        <w:spacing w:line="360" w:lineRule="auto"/>
        <w:ind w:right="-93"/>
        <w:contextualSpacing/>
        <w:jc w:val="both"/>
        <w:rPr>
          <w:rFonts w:ascii="Palatino Linotype" w:hAnsi="Palatino Linotype" w:eastAsia="Calibri" w:cs="Tahoma"/>
          <w:b/>
          <w:bCs/>
          <w:color w:val="000000"/>
          <w:sz w:val="22"/>
          <w:szCs w:val="22"/>
          <w:lang w:eastAsia="en-US"/>
        </w:rPr>
      </w:pPr>
      <w:r w:rsidRPr="00B23F25">
        <w:rPr>
          <w:rFonts w:ascii="Palatino Linotype" w:hAnsi="Palatino Linotype" w:eastAsia="Calibri" w:cs="Tahoma"/>
          <w:b/>
          <w:bCs/>
          <w:color w:val="000000"/>
          <w:sz w:val="22"/>
          <w:szCs w:val="22"/>
          <w:lang w:eastAsia="en-US"/>
        </w:rPr>
        <w:t>Listado general de los servidores públicos de una institución o dependencia, en el cual se asientan las percepciones brutas, deducciones y alcance neto de las mismas.</w:t>
      </w:r>
    </w:p>
    <w:p w:rsidRPr="00B23F25" w:rsidR="00B718E8" w:rsidP="00710DA7" w:rsidRDefault="00B718E8" w14:paraId="3FA8CA47" w14:textId="3EA524DD">
      <w:pPr>
        <w:spacing w:line="360" w:lineRule="auto"/>
        <w:ind w:right="-93"/>
        <w:contextualSpacing/>
        <w:jc w:val="both"/>
        <w:rPr>
          <w:rFonts w:ascii="Palatino Linotype" w:hAnsi="Palatino Linotype" w:eastAsia="Calibri" w:cs="Tahoma"/>
          <w:b/>
          <w:bCs/>
          <w:color w:val="000000"/>
          <w:sz w:val="22"/>
          <w:szCs w:val="22"/>
          <w:lang w:eastAsia="en-US"/>
        </w:rPr>
      </w:pPr>
    </w:p>
    <w:p w:rsidRPr="00B23F25" w:rsidR="00D41FC4" w:rsidP="00710DA7" w:rsidRDefault="00D41FC4" w14:paraId="6084151D"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Pr="00B23F25" w:rsidR="00EB7ECA" w:rsidP="00710DA7" w:rsidRDefault="00EB7ECA" w14:paraId="6CDFC7FB" w14:textId="589958E4">
      <w:pPr>
        <w:widowControl w:val="0"/>
        <w:spacing w:line="360" w:lineRule="auto"/>
        <w:jc w:val="both"/>
        <w:rPr>
          <w:rFonts w:ascii="Palatino Linotype" w:hAnsi="Palatino Linotype" w:cs="Tahoma"/>
          <w:b/>
          <w:color w:val="000000"/>
          <w:sz w:val="22"/>
          <w:szCs w:val="22"/>
        </w:rPr>
      </w:pPr>
      <w:r w:rsidRPr="00B23F25">
        <w:rPr>
          <w:rFonts w:ascii="Palatino Linotype" w:hAnsi="Palatino Linotype" w:cs="Tahoma"/>
          <w:color w:val="000000"/>
          <w:sz w:val="22"/>
          <w:szCs w:val="22"/>
        </w:rPr>
        <w:t xml:space="preserve">Así, se logra advertir que la pretensión del hoy Recurrente es obtener el documento que contenga el </w:t>
      </w:r>
      <w:r w:rsidRPr="00B23F25">
        <w:rPr>
          <w:rFonts w:ascii="Palatino Linotype" w:hAnsi="Palatino Linotype" w:cs="Tahoma"/>
          <w:b/>
          <w:color w:val="000000"/>
          <w:sz w:val="22"/>
          <w:szCs w:val="22"/>
        </w:rPr>
        <w:t xml:space="preserve">listado que contenga las remuneraciones </w:t>
      </w:r>
      <w:r w:rsidRPr="00B23F25" w:rsidR="009F2ECF">
        <w:rPr>
          <w:rFonts w:ascii="Palatino Linotype" w:hAnsi="Palatino Linotype" w:cs="Tahoma"/>
          <w:b/>
          <w:iCs/>
          <w:color w:val="000000"/>
          <w:sz w:val="22"/>
          <w:szCs w:val="22"/>
          <w:lang w:val="es-ES"/>
        </w:rPr>
        <w:t>de</w:t>
      </w:r>
      <w:r w:rsidRPr="00B23F25" w:rsidR="00B718E8">
        <w:rPr>
          <w:rFonts w:ascii="Palatino Linotype" w:hAnsi="Palatino Linotype" w:cs="Tahoma"/>
          <w:b/>
          <w:iCs/>
          <w:color w:val="000000"/>
          <w:sz w:val="22"/>
          <w:szCs w:val="22"/>
          <w:lang w:val="es-ES"/>
        </w:rPr>
        <w:t xml:space="preserve"> los servidores públicos</w:t>
      </w:r>
      <w:r w:rsidRPr="00B23F25" w:rsidR="00C345A2">
        <w:rPr>
          <w:rFonts w:ascii="Palatino Linotype" w:hAnsi="Palatino Linotype" w:cs="Tahoma"/>
          <w:b/>
          <w:iCs/>
          <w:color w:val="000000"/>
          <w:sz w:val="22"/>
          <w:szCs w:val="22"/>
          <w:lang w:val="es-ES"/>
        </w:rPr>
        <w:t xml:space="preserve"> del </w:t>
      </w:r>
      <w:r w:rsidRPr="00B23F25" w:rsidR="00A764E9">
        <w:rPr>
          <w:rFonts w:ascii="Palatino Linotype" w:hAnsi="Palatino Linotype" w:cs="Tahoma"/>
          <w:b/>
          <w:iCs/>
          <w:color w:val="000000"/>
          <w:sz w:val="22"/>
          <w:szCs w:val="22"/>
          <w:lang w:val="es-ES"/>
        </w:rPr>
        <w:lastRenderedPageBreak/>
        <w:t>Ayuntamiento de Temascalcingo</w:t>
      </w:r>
      <w:r w:rsidRPr="00B23F25" w:rsidR="00C345A2">
        <w:rPr>
          <w:rFonts w:ascii="Palatino Linotype" w:hAnsi="Palatino Linotype" w:cs="Tahoma"/>
          <w:b/>
          <w:iCs/>
          <w:color w:val="000000"/>
          <w:sz w:val="22"/>
          <w:szCs w:val="22"/>
          <w:lang w:val="es-ES"/>
        </w:rPr>
        <w:t>, de la primer</w:t>
      </w:r>
      <w:r w:rsidRPr="00B23F25" w:rsidR="00A10E56">
        <w:rPr>
          <w:rFonts w:ascii="Palatino Linotype" w:hAnsi="Palatino Linotype" w:cs="Tahoma"/>
          <w:b/>
          <w:iCs/>
          <w:color w:val="000000"/>
          <w:sz w:val="22"/>
          <w:szCs w:val="22"/>
          <w:lang w:val="es-ES"/>
        </w:rPr>
        <w:t>a</w:t>
      </w:r>
      <w:r w:rsidRPr="00B23F25" w:rsidR="00C345A2">
        <w:rPr>
          <w:rFonts w:ascii="Palatino Linotype" w:hAnsi="Palatino Linotype" w:cs="Tahoma"/>
          <w:b/>
          <w:iCs/>
          <w:color w:val="000000"/>
          <w:sz w:val="22"/>
          <w:szCs w:val="22"/>
          <w:lang w:val="es-ES"/>
        </w:rPr>
        <w:t xml:space="preserve"> quincena</w:t>
      </w:r>
      <w:r w:rsidRPr="00B23F25" w:rsidR="00A10E56">
        <w:rPr>
          <w:rFonts w:ascii="Palatino Linotype" w:hAnsi="Palatino Linotype" w:cs="Tahoma"/>
          <w:b/>
          <w:iCs/>
          <w:color w:val="000000"/>
          <w:sz w:val="22"/>
          <w:szCs w:val="22"/>
          <w:lang w:val="es-ES"/>
        </w:rPr>
        <w:t xml:space="preserve"> de enero</w:t>
      </w:r>
      <w:r w:rsidRPr="00B23F25" w:rsidR="00C345A2">
        <w:rPr>
          <w:rFonts w:ascii="Palatino Linotype" w:hAnsi="Palatino Linotype" w:cs="Tahoma"/>
          <w:b/>
          <w:iCs/>
          <w:color w:val="000000"/>
          <w:sz w:val="22"/>
          <w:szCs w:val="22"/>
          <w:lang w:val="es-ES"/>
        </w:rPr>
        <w:t xml:space="preserve"> </w:t>
      </w:r>
      <w:r w:rsidRPr="00B23F25" w:rsidR="00381466">
        <w:rPr>
          <w:rFonts w:ascii="Palatino Linotype" w:hAnsi="Palatino Linotype" w:cs="Tahoma"/>
          <w:b/>
          <w:iCs/>
          <w:color w:val="000000"/>
          <w:sz w:val="22"/>
          <w:szCs w:val="22"/>
          <w:lang w:val="es-ES"/>
        </w:rPr>
        <w:t>a la segunda quincena de febrero de dos mil veintidós</w:t>
      </w:r>
      <w:r w:rsidRPr="00B23F25">
        <w:rPr>
          <w:rFonts w:ascii="Palatino Linotype" w:hAnsi="Palatino Linotype" w:cs="Tahoma"/>
          <w:b/>
          <w:color w:val="000000"/>
          <w:sz w:val="22"/>
          <w:szCs w:val="22"/>
        </w:rPr>
        <w:t>, que contenga los sueldos (bruto y neto), prestaciones y deducciones.</w:t>
      </w:r>
    </w:p>
    <w:p w:rsidRPr="00B23F25" w:rsidR="00EB7ECA" w:rsidP="00710DA7" w:rsidRDefault="00EB7ECA" w14:paraId="6007C937" w14:textId="77777777">
      <w:pPr>
        <w:spacing w:line="360" w:lineRule="auto"/>
        <w:jc w:val="both"/>
        <w:rPr>
          <w:rFonts w:ascii="Palatino Linotype" w:hAnsi="Palatino Linotype" w:cs="Tahoma"/>
          <w:b/>
          <w:color w:val="000000"/>
          <w:sz w:val="22"/>
          <w:szCs w:val="22"/>
        </w:rPr>
      </w:pPr>
    </w:p>
    <w:p w:rsidRPr="00B23F25" w:rsidR="00EB7ECA" w:rsidP="00710DA7" w:rsidRDefault="00EB7ECA" w14:paraId="25BF2583" w14:textId="77777777">
      <w:pPr>
        <w:spacing w:line="360" w:lineRule="auto"/>
        <w:ind w:right="-93"/>
        <w:jc w:val="both"/>
        <w:rPr>
          <w:rFonts w:ascii="Palatino Linotype" w:hAnsi="Palatino Linotype" w:cs="Tahoma"/>
          <w:b/>
          <w:bCs/>
          <w:color w:val="000000"/>
          <w:sz w:val="22"/>
          <w:szCs w:val="22"/>
        </w:rPr>
      </w:pPr>
      <w:r w:rsidRPr="00B23F25">
        <w:rPr>
          <w:rFonts w:ascii="Palatino Linotype" w:hAnsi="Palatino Linotype" w:eastAsia="Calibri" w:cs="Tahoma"/>
          <w:bCs/>
          <w:color w:val="000000"/>
          <w:sz w:val="22"/>
          <w:szCs w:val="22"/>
          <w:lang w:eastAsia="en-US"/>
        </w:rPr>
        <w:t xml:space="preserve">En ese sentido, </w:t>
      </w:r>
      <w:r w:rsidRPr="00B23F2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B23F25">
        <w:rPr>
          <w:rFonts w:ascii="Palatino Linotype" w:hAnsi="Palatino Linotype" w:cs="Tahoma"/>
          <w:b/>
          <w:bCs/>
          <w:color w:val="000000"/>
          <w:sz w:val="22"/>
          <w:szCs w:val="22"/>
        </w:rPr>
        <w:t>los informes mensuales, dentro de los veinte días posteriores al término del mes correspondiente.</w:t>
      </w:r>
    </w:p>
    <w:p w:rsidRPr="00B23F25" w:rsidR="00EB7ECA" w:rsidP="00710DA7" w:rsidRDefault="00EB7ECA" w14:paraId="310EE6F6" w14:textId="77777777">
      <w:pPr>
        <w:spacing w:line="360" w:lineRule="auto"/>
        <w:jc w:val="both"/>
        <w:rPr>
          <w:rFonts w:ascii="Palatino Linotype" w:hAnsi="Palatino Linotype" w:cs="Tahoma"/>
          <w:b/>
          <w:bCs/>
          <w:color w:val="000000"/>
          <w:sz w:val="22"/>
          <w:szCs w:val="22"/>
        </w:rPr>
      </w:pPr>
    </w:p>
    <w:p w:rsidRPr="00B23F25" w:rsidR="00EB7ECA" w:rsidP="00710DA7" w:rsidRDefault="00EB7ECA" w14:paraId="79173338" w14:textId="30902BDA">
      <w:pPr>
        <w:spacing w:line="360" w:lineRule="auto"/>
        <w:jc w:val="both"/>
        <w:rPr>
          <w:rFonts w:ascii="Palatino Linotype" w:hAnsi="Palatino Linotype" w:cs="Tahoma"/>
          <w:bCs/>
          <w:color w:val="000000"/>
          <w:sz w:val="22"/>
          <w:szCs w:val="22"/>
        </w:rPr>
      </w:pPr>
      <w:r w:rsidRPr="00B23F2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B23F25" w:rsidR="007F295E" w:rsidP="00710DA7" w:rsidRDefault="007F295E" w14:paraId="25EF1A4C" w14:textId="77777777">
      <w:pPr>
        <w:spacing w:line="360" w:lineRule="auto"/>
        <w:jc w:val="both"/>
        <w:rPr>
          <w:rFonts w:ascii="Palatino Linotype" w:hAnsi="Palatino Linotype" w:cs="Tahoma"/>
          <w:bCs/>
          <w:color w:val="000000"/>
          <w:sz w:val="22"/>
          <w:szCs w:val="22"/>
        </w:rPr>
      </w:pPr>
    </w:p>
    <w:p w:rsidRPr="00B23F25" w:rsidR="00EB7ECA" w:rsidP="00710DA7" w:rsidRDefault="00EB7ECA" w14:paraId="0A14EAF3" w14:textId="77777777">
      <w:pPr>
        <w:spacing w:line="360" w:lineRule="auto"/>
        <w:jc w:val="both"/>
        <w:rPr>
          <w:rFonts w:ascii="Palatino Linotype" w:hAnsi="Palatino Linotype" w:cs="Tahoma"/>
          <w:bCs/>
          <w:color w:val="000000"/>
          <w:sz w:val="22"/>
          <w:szCs w:val="22"/>
        </w:rPr>
      </w:pPr>
      <w:r w:rsidRPr="00B23F25">
        <w:rPr>
          <w:rFonts w:ascii="Palatino Linotype" w:hAnsi="Palatino Linotype" w:cs="Tahoma"/>
          <w:bCs/>
          <w:color w:val="000000"/>
          <w:sz w:val="22"/>
          <w:szCs w:val="22"/>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Pr="00B23F25" w:rsidR="00EB7ECA" w:rsidP="00710DA7" w:rsidRDefault="00EB7ECA" w14:paraId="5F862CA4" w14:textId="77777777">
      <w:pPr>
        <w:spacing w:line="360" w:lineRule="auto"/>
        <w:jc w:val="both"/>
        <w:rPr>
          <w:rFonts w:ascii="Palatino Linotype" w:hAnsi="Palatino Linotype" w:eastAsia="Calibri" w:cs="Tahoma"/>
          <w:iCs/>
          <w:color w:val="000000"/>
          <w:sz w:val="22"/>
          <w:szCs w:val="22"/>
          <w:lang w:val="es-ES" w:eastAsia="es-ES_tradnl"/>
        </w:rPr>
      </w:pPr>
    </w:p>
    <w:p w:rsidRPr="00B23F25" w:rsidR="005325AB" w:rsidP="005325AB" w:rsidRDefault="005325AB" w14:paraId="59519D75" w14:textId="77777777">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B23F25">
        <w:rPr>
          <w:rFonts w:ascii="Palatino Linotype" w:hAnsi="Palatino Linotype" w:cs="Tahoma"/>
          <w:b/>
          <w:sz w:val="22"/>
          <w:szCs w:val="22"/>
          <w:lang w:eastAsia="es-ES"/>
        </w:rPr>
        <w:t>Módulo 4,</w:t>
      </w:r>
      <w:r w:rsidRPr="00B23F25">
        <w:rPr>
          <w:rFonts w:ascii="Palatino Linotype" w:hAnsi="Palatino Linotype" w:cs="Tahoma"/>
          <w:bCs/>
          <w:sz w:val="22"/>
          <w:szCs w:val="22"/>
          <w:lang w:eastAsia="es-ES"/>
        </w:rPr>
        <w:t xml:space="preserve"> se advierte que se encuentra la Conciliación de Nómina, mismo que será integrado de manera quincenal y entregado al Órgano Fiscalizador.</w:t>
      </w:r>
    </w:p>
    <w:p w:rsidRPr="00B23F25" w:rsidR="00D41FC4" w:rsidP="000C4A8E" w:rsidRDefault="00D41FC4" w14:paraId="604E8084" w14:textId="77777777">
      <w:pPr>
        <w:spacing w:line="360" w:lineRule="auto"/>
        <w:jc w:val="both"/>
        <w:rPr>
          <w:rFonts w:ascii="Palatino Linotype" w:hAnsi="Palatino Linotype" w:cs="Tahoma"/>
          <w:bCs/>
          <w:sz w:val="22"/>
          <w:szCs w:val="22"/>
          <w:lang w:eastAsia="es-ES"/>
        </w:rPr>
      </w:pPr>
    </w:p>
    <w:p w:rsidRPr="00B23F25" w:rsidR="00EB7ECA" w:rsidP="000C4A8E" w:rsidRDefault="005325AB" w14:paraId="6BF3853E" w14:textId="15CC59BD">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Ahora bien, es de recordar</w:t>
      </w:r>
      <w:r w:rsidRPr="00B23F25" w:rsidR="00B94E88">
        <w:rPr>
          <w:rFonts w:ascii="Palatino Linotype" w:hAnsi="Palatino Linotype" w:cs="Tahoma"/>
          <w:bCs/>
          <w:sz w:val="22"/>
          <w:szCs w:val="22"/>
          <w:lang w:eastAsia="es-ES"/>
        </w:rPr>
        <w:t xml:space="preserve"> que el Particular, requirió la información de todos los servidores públicos que laboraban para el Ayuntamiento, de enero de dos mil veintidós a diciembre de </w:t>
      </w:r>
      <w:r w:rsidRPr="00B23F25" w:rsidR="00B94E88">
        <w:rPr>
          <w:rFonts w:ascii="Palatino Linotype" w:hAnsi="Palatino Linotype" w:cs="Tahoma"/>
          <w:bCs/>
          <w:sz w:val="22"/>
          <w:szCs w:val="22"/>
          <w:lang w:eastAsia="es-ES"/>
        </w:rPr>
        <w:lastRenderedPageBreak/>
        <w:t>dos mil veinticuatro, es decir, su pretensión es obtener la información de la presente administración, lo cual se traduce la nómina pagada de la primera quincena de enero a la segunda de febrero de la presente anualidad.</w:t>
      </w:r>
    </w:p>
    <w:p w:rsidRPr="00B23F25" w:rsidR="00B94E88" w:rsidP="000C4A8E" w:rsidRDefault="00B94E88" w14:paraId="5B9B58A9" w14:textId="71A543A7">
      <w:pPr>
        <w:spacing w:line="360" w:lineRule="auto"/>
        <w:jc w:val="both"/>
        <w:rPr>
          <w:rFonts w:ascii="Palatino Linotype" w:hAnsi="Palatino Linotype" w:cs="Tahoma"/>
          <w:bCs/>
          <w:sz w:val="22"/>
          <w:szCs w:val="22"/>
          <w:lang w:eastAsia="es-ES"/>
        </w:rPr>
      </w:pPr>
    </w:p>
    <w:p w:rsidRPr="00B23F25" w:rsidR="00B94E88" w:rsidP="000C4A8E" w:rsidRDefault="000C4A8E" w14:paraId="6C214BF6" w14:textId="0968BFCB">
      <w:pPr>
        <w:spacing w:line="360" w:lineRule="auto"/>
        <w:jc w:val="both"/>
        <w:rPr>
          <w:rFonts w:ascii="Palatino Linotype" w:hAnsi="Palatino Linotype" w:cs="Tahoma"/>
          <w:bCs/>
          <w:sz w:val="22"/>
          <w:szCs w:val="22"/>
          <w:lang w:eastAsia="es-ES"/>
        </w:rPr>
      </w:pPr>
      <w:r w:rsidRPr="00B23F25">
        <w:rPr>
          <w:rFonts w:ascii="Palatino Linotype" w:hAnsi="Palatino Linotype" w:cs="Tahoma"/>
          <w:bCs/>
          <w:sz w:val="22"/>
          <w:szCs w:val="22"/>
          <w:lang w:eastAsia="es-ES"/>
        </w:rPr>
        <w:t xml:space="preserve">Conforme a lo anterior, se logra vislumbrar que la pretensión del ahora Recurrente es obtener la </w:t>
      </w:r>
      <w:r w:rsidRPr="00B23F25">
        <w:rPr>
          <w:rFonts w:ascii="Palatino Linotype" w:hAnsi="Palatino Linotype" w:eastAsia="Calibri" w:cs="Tahoma"/>
          <w:bCs/>
          <w:sz w:val="22"/>
          <w:szCs w:val="22"/>
          <w:lang w:eastAsia="en-US"/>
        </w:rPr>
        <w:t xml:space="preserve">Conciliación de Nómina del Ayuntamiento de Temascalcingo, de la primera quincena de enero (primera pagada en la presente </w:t>
      </w:r>
      <w:r w:rsidRPr="00B23F25" w:rsidR="00041FC8">
        <w:rPr>
          <w:rFonts w:ascii="Palatino Linotype" w:hAnsi="Palatino Linotype" w:eastAsia="Calibri" w:cs="Tahoma"/>
          <w:bCs/>
          <w:sz w:val="22"/>
          <w:szCs w:val="22"/>
          <w:lang w:eastAsia="en-US"/>
        </w:rPr>
        <w:t>administración</w:t>
      </w:r>
      <w:r w:rsidRPr="00B23F25">
        <w:rPr>
          <w:rFonts w:ascii="Palatino Linotype" w:hAnsi="Palatino Linotype" w:eastAsia="Calibri" w:cs="Tahoma"/>
          <w:bCs/>
          <w:sz w:val="22"/>
          <w:szCs w:val="22"/>
          <w:lang w:eastAsia="en-US"/>
        </w:rPr>
        <w:t>)</w:t>
      </w:r>
      <w:r w:rsidRPr="00B23F25" w:rsidR="00041FC8">
        <w:rPr>
          <w:rFonts w:ascii="Palatino Linotype" w:hAnsi="Palatino Linotype" w:eastAsia="Calibri" w:cs="Tahoma"/>
          <w:bCs/>
          <w:sz w:val="22"/>
          <w:szCs w:val="22"/>
          <w:lang w:eastAsia="en-US"/>
        </w:rPr>
        <w:t xml:space="preserve"> a la segunda de febrero (última pagada a la fecha de la solicitud), de la presente anualidad.</w:t>
      </w:r>
    </w:p>
    <w:p w:rsidRPr="00B23F25" w:rsidR="005325AB" w:rsidP="000C4A8E" w:rsidRDefault="005325AB" w14:paraId="763DDC90" w14:textId="3E436431">
      <w:pPr>
        <w:spacing w:line="360" w:lineRule="auto"/>
        <w:jc w:val="both"/>
        <w:rPr>
          <w:rFonts w:ascii="Palatino Linotype" w:hAnsi="Palatino Linotype" w:cs="Tahoma"/>
          <w:bCs/>
          <w:sz w:val="22"/>
          <w:szCs w:val="22"/>
          <w:lang w:eastAsia="es-ES"/>
        </w:rPr>
      </w:pPr>
    </w:p>
    <w:p w:rsidRPr="00B23F25" w:rsidR="00D055D4" w:rsidP="00D055D4" w:rsidRDefault="00041FC8" w14:paraId="2008F3E8" w14:textId="45B0CC8A">
      <w:pPr>
        <w:spacing w:line="360" w:lineRule="auto"/>
        <w:jc w:val="both"/>
        <w:rPr>
          <w:rFonts w:ascii="Palatino Linotype" w:hAnsi="Palatino Linotype" w:cs="Tahoma"/>
          <w:iCs/>
          <w:color w:val="000000" w:themeColor="text1"/>
          <w:sz w:val="22"/>
          <w:szCs w:val="22"/>
          <w:lang w:val="es-ES" w:eastAsia="es-ES"/>
        </w:rPr>
      </w:pPr>
      <w:r w:rsidRPr="00B23F25">
        <w:rPr>
          <w:rFonts w:ascii="Palatino Linotype" w:hAnsi="Palatino Linotype" w:cs="Tahoma"/>
          <w:iCs/>
          <w:color w:val="000000" w:themeColor="text1"/>
          <w:sz w:val="22"/>
          <w:szCs w:val="22"/>
          <w:lang w:val="es-ES" w:eastAsia="es-ES"/>
        </w:rPr>
        <w:t>Ahora bien, de las constancias que obran</w:t>
      </w:r>
      <w:r w:rsidRPr="00B23F25" w:rsidR="00D055D4">
        <w:rPr>
          <w:rFonts w:ascii="Palatino Linotype" w:hAnsi="Palatino Linotype" w:cs="Tahoma"/>
          <w:iCs/>
          <w:color w:val="000000" w:themeColor="text1"/>
          <w:sz w:val="22"/>
          <w:szCs w:val="22"/>
          <w:lang w:val="es-ES" w:eastAsia="es-ES"/>
        </w:rPr>
        <w:t xml:space="preserve"> en el expediente en el que se actúa, se logra advertir que el Ente Recurrido turno la solicitud de información a la </w:t>
      </w:r>
      <w:r w:rsidRPr="00B23F25" w:rsidR="00D055D4">
        <w:rPr>
          <w:rFonts w:ascii="Palatino Linotype" w:hAnsi="Palatino Linotype" w:eastAsiaTheme="minorHAnsi" w:cstheme="minorBidi"/>
          <w:color w:val="000000" w:themeColor="text1"/>
          <w:sz w:val="22"/>
          <w:szCs w:val="22"/>
          <w:lang w:eastAsia="en-US"/>
        </w:rPr>
        <w:t>Dirección de Administración</w:t>
      </w:r>
      <w:r w:rsidRPr="00B23F25" w:rsidR="00D055D4">
        <w:rPr>
          <w:rFonts w:ascii="Palatino Linotype" w:hAnsi="Palatino Linotype" w:eastAsiaTheme="minorHAnsi" w:cstheme="minorBidi"/>
          <w:b/>
          <w:color w:val="000000" w:themeColor="text1"/>
          <w:sz w:val="22"/>
          <w:szCs w:val="22"/>
          <w:lang w:eastAsia="en-US"/>
        </w:rPr>
        <w:t xml:space="preserve">, </w:t>
      </w:r>
      <w:r w:rsidRPr="00B23F25" w:rsidR="00D055D4">
        <w:rPr>
          <w:rFonts w:ascii="Palatino Linotype" w:hAnsi="Palatino Linotype" w:eastAsiaTheme="minorHAnsi" w:cstheme="minorBidi"/>
          <w:color w:val="000000" w:themeColor="text1"/>
          <w:sz w:val="22"/>
          <w:szCs w:val="22"/>
          <w:lang w:eastAsia="en-US"/>
        </w:rPr>
        <w:t xml:space="preserve">razón por la cual es </w:t>
      </w:r>
      <w:r w:rsidRPr="00B23F25" w:rsidR="00D055D4">
        <w:rPr>
          <w:rFonts w:ascii="Palatino Linotype" w:hAnsi="Palatino Linotype" w:cs="Tahoma"/>
          <w:bCs/>
          <w:iCs/>
          <w:color w:val="000000" w:themeColor="text1"/>
          <w:sz w:val="22"/>
          <w:szCs w:val="22"/>
          <w:lang w:eastAsia="es-ES"/>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B23F25" w:rsidR="001A6D8A" w:rsidP="00710DA7" w:rsidRDefault="001A6D8A" w14:paraId="258775F1" w14:textId="77777777">
      <w:pPr>
        <w:spacing w:line="360" w:lineRule="auto"/>
        <w:jc w:val="both"/>
        <w:rPr>
          <w:rFonts w:ascii="Palatino Linotype" w:hAnsi="Palatino Linotype" w:eastAsia="Calibri" w:cs="Tahoma"/>
          <w:bCs/>
          <w:color w:val="000000"/>
          <w:sz w:val="22"/>
        </w:rPr>
      </w:pPr>
    </w:p>
    <w:p w:rsidRPr="00B23F25" w:rsidR="00D72C7A" w:rsidP="00710DA7" w:rsidRDefault="00D72C7A" w14:paraId="5438831B" w14:textId="77777777">
      <w:pPr>
        <w:numPr>
          <w:ilvl w:val="0"/>
          <w:numId w:val="10"/>
        </w:numPr>
        <w:spacing w:line="360" w:lineRule="auto"/>
        <w:jc w:val="both"/>
        <w:rPr>
          <w:rFonts w:ascii="Palatino Linotype" w:hAnsi="Palatino Linotype" w:eastAsia="Calibri" w:cs="Tahoma"/>
          <w:bCs/>
          <w:color w:val="000000"/>
          <w:sz w:val="22"/>
          <w:lang w:val="es-ES"/>
        </w:rPr>
      </w:pPr>
      <w:r w:rsidRPr="00B23F25">
        <w:rPr>
          <w:rFonts w:ascii="Palatino Linotype" w:hAnsi="Palatino Linotype" w:eastAsia="Calibri" w:cs="Tahoma"/>
          <w:bCs/>
          <w:color w:val="000000"/>
          <w:sz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23F25" w:rsidR="00D72C7A" w:rsidP="00D41FC4" w:rsidRDefault="00D41FC4" w14:paraId="170A850B" w14:textId="775754E0">
      <w:pPr>
        <w:tabs>
          <w:tab w:val="left" w:pos="5055"/>
        </w:tabs>
        <w:spacing w:line="360" w:lineRule="auto"/>
        <w:jc w:val="both"/>
        <w:rPr>
          <w:rFonts w:ascii="Palatino Linotype" w:hAnsi="Palatino Linotype" w:eastAsia="Calibri" w:cs="Tahoma"/>
          <w:bCs/>
          <w:color w:val="000000"/>
          <w:sz w:val="22"/>
          <w:lang w:val="es-ES"/>
        </w:rPr>
      </w:pPr>
      <w:r w:rsidRPr="00B23F25">
        <w:rPr>
          <w:rFonts w:ascii="Palatino Linotype" w:hAnsi="Palatino Linotype" w:eastAsia="Calibri" w:cs="Tahoma"/>
          <w:bCs/>
          <w:color w:val="000000"/>
          <w:sz w:val="22"/>
          <w:lang w:val="es-ES"/>
        </w:rPr>
        <w:tab/>
      </w:r>
    </w:p>
    <w:p w:rsidRPr="00B23F25" w:rsidR="00D41FC4" w:rsidP="00D41FC4" w:rsidRDefault="00D41FC4" w14:paraId="6C60108E" w14:textId="3C68091A">
      <w:pPr>
        <w:tabs>
          <w:tab w:val="left" w:pos="5055"/>
        </w:tabs>
        <w:spacing w:line="360" w:lineRule="auto"/>
        <w:jc w:val="both"/>
        <w:rPr>
          <w:rFonts w:ascii="Palatino Linotype" w:hAnsi="Palatino Linotype" w:eastAsia="Calibri" w:cs="Tahoma"/>
          <w:bCs/>
          <w:color w:val="000000"/>
          <w:sz w:val="22"/>
          <w:lang w:val="es-ES"/>
        </w:rPr>
      </w:pPr>
    </w:p>
    <w:p w:rsidRPr="00B23F25" w:rsidR="00D41FC4" w:rsidP="00D41FC4" w:rsidRDefault="00D41FC4" w14:paraId="7E320B79" w14:textId="60EF29C6">
      <w:pPr>
        <w:tabs>
          <w:tab w:val="left" w:pos="5055"/>
        </w:tabs>
        <w:spacing w:line="360" w:lineRule="auto"/>
        <w:jc w:val="both"/>
        <w:rPr>
          <w:rFonts w:ascii="Palatino Linotype" w:hAnsi="Palatino Linotype" w:eastAsia="Calibri" w:cs="Tahoma"/>
          <w:bCs/>
          <w:color w:val="000000"/>
          <w:sz w:val="22"/>
          <w:lang w:val="es-ES"/>
        </w:rPr>
      </w:pPr>
    </w:p>
    <w:p w:rsidRPr="00B23F25" w:rsidR="00D72C7A" w:rsidP="00710DA7" w:rsidRDefault="00D72C7A" w14:paraId="099EAF7F" w14:textId="77777777">
      <w:pPr>
        <w:numPr>
          <w:ilvl w:val="0"/>
          <w:numId w:val="10"/>
        </w:numPr>
        <w:spacing w:line="360" w:lineRule="auto"/>
        <w:jc w:val="both"/>
        <w:rPr>
          <w:rFonts w:ascii="Palatino Linotype" w:hAnsi="Palatino Linotype" w:eastAsia="Calibri" w:cs="Tahoma"/>
          <w:bCs/>
          <w:color w:val="000000"/>
          <w:sz w:val="22"/>
          <w:lang w:val="es-ES"/>
        </w:rPr>
      </w:pPr>
      <w:r w:rsidRPr="00B23F25">
        <w:rPr>
          <w:rFonts w:ascii="Palatino Linotype" w:hAnsi="Palatino Linotype" w:eastAsia="Calibri" w:cs="Tahoma"/>
          <w:bCs/>
          <w:color w:val="000000"/>
          <w:sz w:val="22"/>
          <w:lang w:val="es-ES"/>
        </w:rPr>
        <w:t xml:space="preserve">Los sujetos obligados otorgaran acceso a los documentos que se encuentren en sus archivos o que estén obligados a documentar de acuerdo con sus facultades, </w:t>
      </w:r>
      <w:r w:rsidRPr="00B23F25">
        <w:rPr>
          <w:rFonts w:ascii="Palatino Linotype" w:hAnsi="Palatino Linotype" w:eastAsia="Calibri" w:cs="Tahoma"/>
          <w:bCs/>
          <w:color w:val="000000"/>
          <w:sz w:val="22"/>
          <w:lang w:val="es-ES"/>
        </w:rPr>
        <w:lastRenderedPageBreak/>
        <w:t>competencias o funciones, en el formato en que el solicitante manifieste, de entre aquellos formatos existentes.</w:t>
      </w:r>
    </w:p>
    <w:p w:rsidRPr="00B23F25" w:rsidR="00D72C7A" w:rsidP="00710DA7" w:rsidRDefault="00D72C7A" w14:paraId="27BF4CF7" w14:textId="77777777">
      <w:pPr>
        <w:spacing w:line="360" w:lineRule="auto"/>
        <w:jc w:val="both"/>
        <w:rPr>
          <w:rFonts w:ascii="Palatino Linotype" w:hAnsi="Palatino Linotype" w:eastAsia="Calibri" w:cs="Tahoma"/>
          <w:b/>
          <w:bCs/>
          <w:color w:val="000000"/>
          <w:sz w:val="22"/>
        </w:rPr>
      </w:pPr>
    </w:p>
    <w:p w:rsidRPr="00B23F25" w:rsidR="00292700" w:rsidP="00710DA7" w:rsidRDefault="00D72C7A" w14:paraId="7B221167" w14:textId="3956737A">
      <w:pPr>
        <w:spacing w:line="360" w:lineRule="auto"/>
        <w:jc w:val="both"/>
        <w:rPr>
          <w:rFonts w:ascii="Palatino Linotype" w:hAnsi="Palatino Linotype" w:eastAsia="Calibri" w:cs="Tahoma"/>
          <w:sz w:val="22"/>
          <w:szCs w:val="22"/>
          <w:lang w:eastAsia="en-US"/>
        </w:rPr>
      </w:pPr>
      <w:r w:rsidRPr="00B23F25">
        <w:rPr>
          <w:rFonts w:ascii="Palatino Linotype" w:hAnsi="Palatino Linotype" w:eastAsia="Calibri" w:cs="Tahoma"/>
          <w:bCs/>
          <w:color w:val="000000"/>
          <w:sz w:val="22"/>
        </w:rPr>
        <w:t>Atendiendo a lo dispuesto en los preceptos legales de referencia</w:t>
      </w:r>
      <w:r w:rsidRPr="00B23F25" w:rsidR="006C169B">
        <w:rPr>
          <w:rFonts w:ascii="Palatino Linotype" w:hAnsi="Palatino Linotype" w:eastAsia="Calibri" w:cs="Tahoma"/>
          <w:bCs/>
          <w:color w:val="000000"/>
          <w:sz w:val="22"/>
        </w:rPr>
        <w:t xml:space="preserve">, es necesario traer al estudio </w:t>
      </w:r>
      <w:r w:rsidRPr="00B23F25" w:rsidR="0020146D">
        <w:rPr>
          <w:rFonts w:ascii="Palatino Linotype" w:hAnsi="Palatino Linotype" w:eastAsia="Calibri" w:cs="Tahoma"/>
          <w:bCs/>
          <w:color w:val="000000"/>
          <w:sz w:val="22"/>
        </w:rPr>
        <w:t>los artículos 61 y 63</w:t>
      </w:r>
      <w:r w:rsidRPr="00B23F25" w:rsidR="00800495">
        <w:rPr>
          <w:rFonts w:ascii="Palatino Linotype" w:hAnsi="Palatino Linotype" w:eastAsia="Calibri" w:cs="Tahoma"/>
          <w:bCs/>
          <w:color w:val="000000"/>
          <w:sz w:val="22"/>
        </w:rPr>
        <w:t>,</w:t>
      </w:r>
      <w:r w:rsidRPr="00B23F25" w:rsidR="0020146D">
        <w:rPr>
          <w:rFonts w:ascii="Palatino Linotype" w:hAnsi="Palatino Linotype" w:eastAsia="Calibri" w:cs="Tahoma"/>
          <w:bCs/>
          <w:color w:val="000000"/>
          <w:sz w:val="22"/>
        </w:rPr>
        <w:t xml:space="preserve"> </w:t>
      </w:r>
      <w:r w:rsidRPr="00B23F25" w:rsidR="006C169B">
        <w:rPr>
          <w:rFonts w:ascii="Palatino Linotype" w:hAnsi="Palatino Linotype" w:eastAsia="Calibri" w:cs="Tahoma"/>
          <w:bCs/>
          <w:color w:val="000000"/>
          <w:sz w:val="22"/>
        </w:rPr>
        <w:t>fracci</w:t>
      </w:r>
      <w:r w:rsidRPr="00B23F25" w:rsidR="0020146D">
        <w:rPr>
          <w:rFonts w:ascii="Palatino Linotype" w:hAnsi="Palatino Linotype" w:eastAsia="Calibri" w:cs="Tahoma"/>
          <w:bCs/>
          <w:color w:val="000000"/>
          <w:sz w:val="22"/>
        </w:rPr>
        <w:t>ones</w:t>
      </w:r>
      <w:r w:rsidRPr="00B23F25" w:rsidR="006C169B">
        <w:rPr>
          <w:rFonts w:ascii="Palatino Linotype" w:hAnsi="Palatino Linotype" w:eastAsia="Calibri" w:cs="Tahoma"/>
          <w:bCs/>
          <w:color w:val="000000"/>
          <w:sz w:val="22"/>
        </w:rPr>
        <w:t xml:space="preserve"> </w:t>
      </w:r>
      <w:r w:rsidRPr="00B23F25" w:rsidR="0020146D">
        <w:rPr>
          <w:rFonts w:ascii="Palatino Linotype" w:hAnsi="Palatino Linotype" w:eastAsia="Calibri" w:cs="Tahoma"/>
          <w:bCs/>
          <w:color w:val="000000"/>
          <w:sz w:val="22"/>
        </w:rPr>
        <w:t>14 y 28</w:t>
      </w:r>
      <w:r w:rsidRPr="00B23F25" w:rsidR="00A133A9">
        <w:rPr>
          <w:rFonts w:ascii="Palatino Linotype" w:hAnsi="Palatino Linotype" w:eastAsia="Calibri" w:cs="Tahoma"/>
          <w:bCs/>
          <w:color w:val="000000"/>
          <w:sz w:val="22"/>
        </w:rPr>
        <w:t>,</w:t>
      </w:r>
      <w:r w:rsidRPr="00B23F25" w:rsidR="00063AC0">
        <w:rPr>
          <w:rFonts w:ascii="Palatino Linotype" w:hAnsi="Palatino Linotype" w:eastAsia="Calibri" w:cs="Tahoma"/>
          <w:bCs/>
          <w:color w:val="000000"/>
          <w:sz w:val="22"/>
        </w:rPr>
        <w:t xml:space="preserve"> y 90</w:t>
      </w:r>
      <w:r w:rsidRPr="00B23F25" w:rsidR="00A133A9">
        <w:rPr>
          <w:rFonts w:ascii="Palatino Linotype" w:hAnsi="Palatino Linotype" w:eastAsia="Calibri" w:cs="Tahoma"/>
          <w:bCs/>
          <w:color w:val="000000"/>
          <w:sz w:val="22"/>
        </w:rPr>
        <w:t xml:space="preserve"> del Bando Municipal</w:t>
      </w:r>
      <w:r w:rsidRPr="00B23F25" w:rsidR="00800495">
        <w:rPr>
          <w:rFonts w:ascii="Palatino Linotype" w:hAnsi="Palatino Linotype" w:eastAsia="Calibri" w:cs="Tahoma"/>
          <w:bCs/>
          <w:color w:val="000000"/>
          <w:sz w:val="22"/>
        </w:rPr>
        <w:t xml:space="preserve">, dos mil veintidós, </w:t>
      </w:r>
      <w:r w:rsidRPr="00B23F25" w:rsidR="00A133A9">
        <w:rPr>
          <w:rFonts w:ascii="Palatino Linotype" w:hAnsi="Palatino Linotype" w:eastAsia="Calibri" w:cs="Tahoma"/>
          <w:bCs/>
          <w:color w:val="000000"/>
          <w:sz w:val="22"/>
        </w:rPr>
        <w:t xml:space="preserve">del </w:t>
      </w:r>
      <w:r w:rsidRPr="00B23F25" w:rsidR="00A133A9">
        <w:rPr>
          <w:rFonts w:ascii="Palatino Linotype" w:hAnsi="Palatino Linotype" w:eastAsia="Calibri" w:cs="Tahoma"/>
          <w:sz w:val="22"/>
          <w:szCs w:val="22"/>
          <w:lang w:eastAsia="en-US"/>
        </w:rPr>
        <w:t xml:space="preserve">Ayuntamiento de </w:t>
      </w:r>
      <w:r w:rsidRPr="00B23F25" w:rsidR="0020146D">
        <w:rPr>
          <w:rFonts w:ascii="Palatino Linotype" w:hAnsi="Palatino Linotype" w:eastAsia="Calibri" w:cs="Tahoma"/>
          <w:sz w:val="22"/>
          <w:szCs w:val="22"/>
          <w:lang w:eastAsia="en-US"/>
        </w:rPr>
        <w:t>Temascalcingo</w:t>
      </w:r>
      <w:r w:rsidRPr="00B23F25" w:rsidR="00A133A9">
        <w:rPr>
          <w:rFonts w:ascii="Palatino Linotype" w:hAnsi="Palatino Linotype" w:eastAsia="Calibri" w:cs="Tahoma"/>
          <w:sz w:val="22"/>
          <w:szCs w:val="22"/>
          <w:lang w:eastAsia="en-US"/>
        </w:rPr>
        <w:t xml:space="preserve">, que disponen que el Sujeto Obligado para el desarrollo de sus funciones </w:t>
      </w:r>
      <w:r w:rsidRPr="00B23F25" w:rsidR="00F53E41">
        <w:rPr>
          <w:rFonts w:ascii="Palatino Linotype" w:hAnsi="Palatino Linotype" w:eastAsia="Calibri" w:cs="Tahoma"/>
          <w:sz w:val="22"/>
          <w:szCs w:val="22"/>
          <w:lang w:eastAsia="en-US"/>
        </w:rPr>
        <w:t>se auxiliará de diversas dependencias y unidades administrativas,</w:t>
      </w:r>
      <w:r w:rsidRPr="00B23F25" w:rsidR="00135E7A">
        <w:rPr>
          <w:rFonts w:ascii="Palatino Linotype" w:hAnsi="Palatino Linotype" w:eastAsia="Calibri" w:cs="Tahoma"/>
          <w:sz w:val="22"/>
          <w:szCs w:val="22"/>
          <w:lang w:eastAsia="en-US"/>
        </w:rPr>
        <w:t xml:space="preserve"> </w:t>
      </w:r>
      <w:r w:rsidRPr="00B23F25" w:rsidR="00F53E41">
        <w:rPr>
          <w:rFonts w:ascii="Palatino Linotype" w:hAnsi="Palatino Linotype" w:eastAsia="Calibri" w:cs="Tahoma"/>
          <w:sz w:val="22"/>
          <w:szCs w:val="22"/>
          <w:lang w:eastAsia="en-US"/>
        </w:rPr>
        <w:t xml:space="preserve">entre las cuales se encuentra </w:t>
      </w:r>
      <w:r w:rsidRPr="00B23F25" w:rsidR="00135E7A">
        <w:rPr>
          <w:rFonts w:ascii="Palatino Linotype" w:hAnsi="Palatino Linotype" w:eastAsia="Calibri" w:cs="Tahoma"/>
          <w:sz w:val="22"/>
          <w:szCs w:val="22"/>
          <w:lang w:eastAsia="en-US"/>
        </w:rPr>
        <w:t>la Dirección de Administración</w:t>
      </w:r>
      <w:r w:rsidRPr="00B23F25" w:rsidR="00F53E41">
        <w:rPr>
          <w:rFonts w:ascii="Palatino Linotype" w:hAnsi="Palatino Linotype" w:eastAsia="Calibri" w:cs="Tahoma"/>
          <w:sz w:val="22"/>
          <w:szCs w:val="22"/>
          <w:lang w:eastAsia="en-US"/>
        </w:rPr>
        <w:t xml:space="preserve">, encargada </w:t>
      </w:r>
      <w:r w:rsidRPr="00B23F25" w:rsidR="00045427">
        <w:rPr>
          <w:rFonts w:ascii="Palatino Linotype" w:hAnsi="Palatino Linotype" w:eastAsia="Calibri" w:cs="Tahoma"/>
          <w:sz w:val="22"/>
          <w:szCs w:val="22"/>
          <w:lang w:eastAsia="en-US"/>
        </w:rPr>
        <w:t>de integrar la nómina del Ayuntamiento, así como, calcular los sueldos o salarios ordinarios, extraordinarios y tiempo extra para pagar las remuneraciones, conforme a lo establecido en el Manual de Organización de la Coordinación de Administración y Recursos Materiales.</w:t>
      </w:r>
    </w:p>
    <w:p w:rsidRPr="00B23F25" w:rsidR="001D6CB2" w:rsidP="00710DA7" w:rsidRDefault="001D6CB2" w14:paraId="0554C937" w14:textId="1F45CD38">
      <w:pPr>
        <w:spacing w:line="360" w:lineRule="auto"/>
        <w:jc w:val="both"/>
        <w:rPr>
          <w:rFonts w:ascii="Palatino Linotype" w:hAnsi="Palatino Linotype" w:eastAsia="Calibri" w:cs="Tahoma"/>
          <w:sz w:val="22"/>
          <w:szCs w:val="22"/>
          <w:lang w:eastAsia="en-US"/>
        </w:rPr>
      </w:pPr>
    </w:p>
    <w:p w:rsidRPr="00B23F25" w:rsidR="00817B10" w:rsidP="00710DA7" w:rsidRDefault="002331FE" w14:paraId="64236A0C" w14:textId="6A48668F">
      <w:pPr>
        <w:spacing w:line="360" w:lineRule="auto"/>
        <w:jc w:val="both"/>
        <w:rPr>
          <w:rFonts w:ascii="Palatino Linotype" w:hAnsi="Palatino Linotype" w:eastAsia="Calibri" w:cs="Tahoma"/>
          <w:bCs/>
          <w:iCs/>
          <w:color w:val="000000"/>
          <w:sz w:val="22"/>
        </w:rPr>
      </w:pPr>
      <w:r w:rsidRPr="00B23F25">
        <w:rPr>
          <w:rFonts w:ascii="Palatino Linotype" w:hAnsi="Palatino Linotype" w:eastAsia="Calibri" w:cs="Tahoma"/>
          <w:bCs/>
          <w:iCs/>
          <w:color w:val="000000"/>
          <w:sz w:val="22"/>
        </w:rPr>
        <w:t xml:space="preserve">Conforme a lo anterior, se logra colegir que el Sujeto Obligado cuenta con </w:t>
      </w:r>
      <w:r w:rsidRPr="00B23F25" w:rsidR="00045427">
        <w:rPr>
          <w:rFonts w:ascii="Palatino Linotype" w:hAnsi="Palatino Linotype" w:eastAsia="Calibri" w:cs="Tahoma"/>
          <w:bCs/>
          <w:iCs/>
          <w:color w:val="000000"/>
          <w:sz w:val="22"/>
        </w:rPr>
        <w:t xml:space="preserve">un </w:t>
      </w:r>
      <w:r w:rsidRPr="00B23F25" w:rsidR="00F978EE">
        <w:rPr>
          <w:rFonts w:ascii="Palatino Linotype" w:hAnsi="Palatino Linotype" w:eastAsia="Calibri" w:cs="Tahoma"/>
          <w:bCs/>
          <w:iCs/>
          <w:color w:val="000000"/>
          <w:sz w:val="22"/>
        </w:rPr>
        <w:t>área competente</w:t>
      </w:r>
      <w:r w:rsidRPr="00B23F25">
        <w:rPr>
          <w:rFonts w:ascii="Palatino Linotype" w:hAnsi="Palatino Linotype" w:eastAsia="Calibri" w:cs="Tahoma"/>
          <w:bCs/>
          <w:iCs/>
          <w:color w:val="000000"/>
          <w:sz w:val="22"/>
        </w:rPr>
        <w:t xml:space="preserve"> para conocer de la información peticionada, a saber, </w:t>
      </w:r>
      <w:r w:rsidRPr="00B23F25" w:rsidR="00A15B04">
        <w:rPr>
          <w:rFonts w:ascii="Palatino Linotype" w:hAnsi="Palatino Linotype" w:eastAsia="Calibri" w:cs="Tahoma"/>
          <w:bCs/>
          <w:iCs/>
          <w:color w:val="000000"/>
          <w:sz w:val="22"/>
        </w:rPr>
        <w:t>la Dirección de Administración</w:t>
      </w:r>
      <w:r w:rsidRPr="00B23F25">
        <w:rPr>
          <w:rFonts w:ascii="Palatino Linotype" w:hAnsi="Palatino Linotype" w:eastAsia="Calibri" w:cs="Tahoma"/>
          <w:bCs/>
          <w:iCs/>
          <w:color w:val="000000"/>
          <w:sz w:val="22"/>
        </w:rPr>
        <w:t xml:space="preserve">, que ve todas las cuestiones relacionadas </w:t>
      </w:r>
      <w:r w:rsidRPr="00B23F25" w:rsidR="00817B10">
        <w:rPr>
          <w:rFonts w:ascii="Palatino Linotype" w:hAnsi="Palatino Linotype" w:eastAsia="Calibri" w:cs="Tahoma"/>
          <w:bCs/>
          <w:iCs/>
          <w:color w:val="000000"/>
          <w:sz w:val="22"/>
        </w:rPr>
        <w:t>el pago de nómina</w:t>
      </w:r>
      <w:r w:rsidRPr="00B23F25">
        <w:rPr>
          <w:rFonts w:ascii="Palatino Linotype" w:hAnsi="Palatino Linotype" w:eastAsia="Calibri" w:cs="Tahoma"/>
          <w:bCs/>
          <w:iCs/>
          <w:color w:val="000000"/>
          <w:sz w:val="22"/>
        </w:rPr>
        <w:t xml:space="preserve">; por lo que, es posible advertir que el Sujeto Obligado cumplió con </w:t>
      </w:r>
      <w:r w:rsidRPr="00B23F25" w:rsidR="00817B10">
        <w:rPr>
          <w:rFonts w:ascii="Palatino Linotype" w:hAnsi="Palatino Linotype" w:eastAsia="Calibri" w:cs="Tahoma"/>
          <w:bCs/>
          <w:iCs/>
          <w:color w:val="000000"/>
          <w:sz w:val="22"/>
        </w:rPr>
        <w:t>parte de lo</w:t>
      </w:r>
      <w:r w:rsidRPr="00B23F25">
        <w:rPr>
          <w:rFonts w:ascii="Palatino Linotype" w:hAnsi="Palatino Linotype" w:eastAsia="Calibri" w:cs="Tahoma"/>
          <w:bCs/>
          <w:iCs/>
          <w:color w:val="000000"/>
          <w:sz w:val="22"/>
        </w:rPr>
        <w:t xml:space="preserve"> establecido en el artículo 162 de la Ley de Transparencia y Acceso a la Información Pública del Estado de México y Municipios</w:t>
      </w:r>
      <w:r w:rsidRPr="00B23F25" w:rsidR="00817B10">
        <w:rPr>
          <w:rFonts w:ascii="Palatino Linotype" w:hAnsi="Palatino Linotype" w:eastAsia="Calibri" w:cs="Tahoma"/>
          <w:bCs/>
          <w:iCs/>
          <w:color w:val="000000"/>
          <w:sz w:val="22"/>
        </w:rPr>
        <w:t>.</w:t>
      </w:r>
    </w:p>
    <w:p w:rsidRPr="00B23F25" w:rsidR="002331FE" w:rsidP="00710DA7" w:rsidRDefault="002331FE" w14:paraId="75F3B6A4" w14:textId="0C5B37FC">
      <w:pPr>
        <w:spacing w:line="360" w:lineRule="auto"/>
        <w:jc w:val="both"/>
        <w:rPr>
          <w:rFonts w:ascii="Palatino Linotype" w:hAnsi="Palatino Linotype" w:eastAsia="Calibri" w:cs="Tahoma"/>
          <w:color w:val="000000"/>
          <w:sz w:val="22"/>
        </w:rPr>
      </w:pPr>
    </w:p>
    <w:p w:rsidRPr="00B23F25" w:rsidR="00817B10" w:rsidP="00710DA7" w:rsidRDefault="00817B10" w14:paraId="227F8402" w14:textId="7629580C">
      <w:pPr>
        <w:spacing w:line="360" w:lineRule="auto"/>
        <w:jc w:val="both"/>
        <w:rPr>
          <w:rFonts w:ascii="Palatino Linotype" w:hAnsi="Palatino Linotype" w:eastAsia="Calibri" w:cs="Tahoma"/>
          <w:color w:val="000000"/>
          <w:sz w:val="22"/>
        </w:rPr>
      </w:pPr>
      <w:r w:rsidRPr="00B23F25">
        <w:rPr>
          <w:rFonts w:ascii="Palatino Linotype" w:hAnsi="Palatino Linotype" w:eastAsia="Calibri" w:cs="Tahoma"/>
          <w:color w:val="000000"/>
          <w:sz w:val="22"/>
        </w:rPr>
        <w:t xml:space="preserve">Ahora bien, dicha área </w:t>
      </w:r>
      <w:r w:rsidRPr="00B23F25" w:rsidR="00F72B55">
        <w:rPr>
          <w:rFonts w:ascii="Palatino Linotype" w:hAnsi="Palatino Linotype" w:eastAsia="Calibri" w:cs="Tahoma"/>
          <w:color w:val="000000"/>
          <w:sz w:val="22"/>
        </w:rPr>
        <w:t>precisó que el requerimiento de información</w:t>
      </w:r>
      <w:r w:rsidRPr="00B23F25" w:rsidR="00F978EE">
        <w:rPr>
          <w:rFonts w:ascii="Palatino Linotype" w:hAnsi="Palatino Linotype" w:eastAsia="Calibri" w:cs="Tahoma"/>
          <w:color w:val="000000"/>
          <w:sz w:val="22"/>
        </w:rPr>
        <w:t xml:space="preserve"> era ambiguo, lo cual resulta incongruente, pues como se advirtió en párrafos anteriores, el Particular dio elementos suficientes para determinar el tipo de información requería; aunado a </w:t>
      </w:r>
      <w:r w:rsidRPr="00B23F25" w:rsidR="00492BB9">
        <w:rPr>
          <w:rFonts w:ascii="Palatino Linotype" w:hAnsi="Palatino Linotype" w:eastAsia="Calibri" w:cs="Tahoma"/>
          <w:color w:val="000000"/>
          <w:sz w:val="22"/>
        </w:rPr>
        <w:t>que,</w:t>
      </w:r>
      <w:r w:rsidRPr="00B23F25" w:rsidR="00F978EE">
        <w:rPr>
          <w:rFonts w:ascii="Palatino Linotype" w:hAnsi="Palatino Linotype" w:eastAsia="Calibri" w:cs="Tahoma"/>
          <w:color w:val="000000"/>
          <w:sz w:val="22"/>
        </w:rPr>
        <w:t xml:space="preserve"> si el Sujeto Obligado consideraba que la solicitud era poco clara, pudo solicitar una aclaración.  </w:t>
      </w:r>
    </w:p>
    <w:p w:rsidRPr="00B23F25" w:rsidR="00D41FC4" w:rsidP="006F02F0" w:rsidRDefault="00D41FC4" w14:paraId="2560C481" w14:textId="0C5F4004">
      <w:pPr>
        <w:spacing w:line="360" w:lineRule="auto"/>
        <w:jc w:val="both"/>
        <w:rPr>
          <w:rFonts w:ascii="Palatino Linotype" w:hAnsi="Palatino Linotype" w:eastAsia="Calibri" w:cs="Tahoma"/>
          <w:color w:val="000000"/>
          <w:sz w:val="22"/>
        </w:rPr>
      </w:pPr>
    </w:p>
    <w:p w:rsidRPr="00B23F25" w:rsidR="006F02F0" w:rsidP="006F02F0" w:rsidRDefault="00F978EE" w14:paraId="0EA86976" w14:textId="594300C5">
      <w:pPr>
        <w:spacing w:line="360" w:lineRule="auto"/>
        <w:jc w:val="both"/>
        <w:rPr>
          <w:rFonts w:ascii="Palatino Linotype" w:hAnsi="Palatino Linotype" w:eastAsia="Calibri"/>
          <w:color w:val="000000"/>
          <w:sz w:val="22"/>
          <w:szCs w:val="22"/>
          <w:lang w:eastAsia="en-US"/>
        </w:rPr>
      </w:pPr>
      <w:r w:rsidRPr="00B23F25">
        <w:rPr>
          <w:rFonts w:ascii="Palatino Linotype" w:hAnsi="Palatino Linotype" w:eastAsia="Calibri" w:cs="Tahoma"/>
          <w:color w:val="000000"/>
          <w:sz w:val="22"/>
        </w:rPr>
        <w:t>Sobre dicha situación</w:t>
      </w:r>
      <w:r w:rsidRPr="00B23F25" w:rsidR="006F02F0">
        <w:rPr>
          <w:rFonts w:ascii="Palatino Linotype" w:hAnsi="Palatino Linotype" w:cs="Tahoma"/>
          <w:iCs/>
          <w:sz w:val="22"/>
          <w:szCs w:val="22"/>
          <w:lang w:val="es-ES" w:eastAsia="es-ES"/>
        </w:rPr>
        <w:t xml:space="preserve">, el artículo 159 de la Ley de Transparencia y Acceso a la Información Pública del Estado de México y Municipios, precisa que cuando los detalles proporcionados para localizar los documentos resulten </w:t>
      </w:r>
      <w:r w:rsidRPr="00B23F25" w:rsidR="006F02F0">
        <w:rPr>
          <w:rFonts w:ascii="Palatino Linotype" w:hAnsi="Palatino Linotype" w:eastAsia="Calibri"/>
          <w:color w:val="000000"/>
          <w:sz w:val="22"/>
          <w:szCs w:val="22"/>
          <w:lang w:eastAsia="en-US"/>
        </w:rPr>
        <w:t xml:space="preserve">insuficientes, incompletos o sean erróneos, la Unidad de Transparencia podrá requerir al solicitante que indique otros elementos que </w:t>
      </w:r>
      <w:r w:rsidRPr="00B23F25" w:rsidR="006F02F0">
        <w:rPr>
          <w:rFonts w:ascii="Palatino Linotype" w:hAnsi="Palatino Linotype" w:eastAsia="Calibri"/>
          <w:color w:val="000000"/>
          <w:sz w:val="22"/>
          <w:szCs w:val="22"/>
          <w:lang w:eastAsia="en-US"/>
        </w:rPr>
        <w:lastRenderedPageBreak/>
        <w:t xml:space="preserve">complementen, corrijan o amplíen los datos proporcionados o bien, precise uno o varios requerimientos de información; </w:t>
      </w:r>
      <w:r w:rsidRPr="00B23F25" w:rsidR="00E87A86">
        <w:rPr>
          <w:rFonts w:ascii="Palatino Linotype" w:hAnsi="Palatino Linotype" w:eastAsia="Calibri"/>
          <w:color w:val="000000"/>
          <w:sz w:val="22"/>
          <w:szCs w:val="22"/>
          <w:lang w:eastAsia="en-US"/>
        </w:rPr>
        <w:t>lo cual no aconteció, pues el Ayuntamiento no requirió ninguna aclaración</w:t>
      </w:r>
      <w:r w:rsidRPr="00B23F25" w:rsidR="006F02F0">
        <w:rPr>
          <w:rFonts w:ascii="Palatino Linotype" w:hAnsi="Palatino Linotype" w:eastAsia="Calibri"/>
          <w:color w:val="000000"/>
          <w:sz w:val="22"/>
          <w:szCs w:val="22"/>
          <w:lang w:eastAsia="en-US"/>
        </w:rPr>
        <w:t>.</w:t>
      </w:r>
    </w:p>
    <w:p w:rsidRPr="00B23F25" w:rsidR="006F02F0" w:rsidP="006F02F0" w:rsidRDefault="006F02F0" w14:paraId="6DE2823F" w14:textId="55C31909">
      <w:pPr>
        <w:spacing w:line="360" w:lineRule="auto"/>
        <w:jc w:val="both"/>
        <w:rPr>
          <w:rFonts w:ascii="Palatino Linotype" w:hAnsi="Palatino Linotype" w:eastAsia="Calibri"/>
          <w:color w:val="000000"/>
          <w:sz w:val="22"/>
          <w:szCs w:val="22"/>
          <w:lang w:eastAsia="en-US"/>
        </w:rPr>
      </w:pPr>
    </w:p>
    <w:p w:rsidRPr="00B23F25" w:rsidR="00D41FC4" w:rsidP="00D41FC4" w:rsidRDefault="00E87A86" w14:paraId="17A86425" w14:textId="2648752D">
      <w:pPr>
        <w:spacing w:line="360" w:lineRule="auto"/>
        <w:jc w:val="both"/>
        <w:rPr>
          <w:rFonts w:ascii="Palatino Linotype" w:hAnsi="Palatino Linotype" w:eastAsia="Calibri" w:cs="Tahoma"/>
          <w:bCs/>
          <w:sz w:val="22"/>
          <w:szCs w:val="22"/>
          <w:lang w:val="es-ES" w:eastAsia="en-US"/>
        </w:rPr>
      </w:pPr>
      <w:r w:rsidRPr="00B23F25">
        <w:rPr>
          <w:rFonts w:ascii="Palatino Linotype" w:hAnsi="Palatino Linotype" w:cs="Tahoma"/>
          <w:sz w:val="22"/>
          <w:szCs w:val="22"/>
          <w:lang w:eastAsia="es-ES"/>
        </w:rPr>
        <w:t>Además</w:t>
      </w:r>
      <w:r w:rsidRPr="00B23F25" w:rsidR="00D41FC4">
        <w:rPr>
          <w:rFonts w:ascii="Palatino Linotype" w:hAnsi="Palatino Linotype" w:eastAsia="Calibri" w:cs="Tahoma"/>
          <w:color w:val="000000" w:themeColor="text1"/>
          <w:sz w:val="22"/>
          <w:szCs w:val="22"/>
          <w:lang w:val="es-ES" w:eastAsia="en-US"/>
        </w:rPr>
        <w:t xml:space="preserve">, </w:t>
      </w:r>
      <w:r w:rsidRPr="00B23F25" w:rsidR="00D41FC4">
        <w:rPr>
          <w:rFonts w:ascii="Palatino Linotype" w:hAnsi="Palatino Linotype" w:eastAsia="Calibri"/>
          <w:color w:val="000000" w:themeColor="text1"/>
          <w:sz w:val="22"/>
          <w:szCs w:val="22"/>
          <w:lang w:eastAsia="en-US"/>
        </w:rPr>
        <w:t xml:space="preserve">el </w:t>
      </w:r>
      <w:r w:rsidRPr="00B23F25" w:rsidR="00D41FC4">
        <w:rPr>
          <w:rFonts w:ascii="Palatino Linotype" w:hAnsi="Palatino Linotype" w:cs="Tahoma"/>
          <w:sz w:val="22"/>
          <w:szCs w:val="22"/>
          <w:lang w:val="es-ES" w:eastAsia="es-ES"/>
        </w:rPr>
        <w:t>artículo 1.8, fracción IX, del Código Administrativo del Estado de México, establece que para que un acto administrativo tenga validez, deberá guardar congruencia con lo solicitado; as</w:t>
      </w:r>
      <w:r w:rsidRPr="00B23F25" w:rsidR="00D41FC4">
        <w:rPr>
          <w:rFonts w:ascii="Palatino Linotype" w:hAnsi="Palatino Linotype"/>
          <w:sz w:val="22"/>
          <w:szCs w:val="22"/>
          <w:lang w:val="es-ES" w:eastAsia="es-ES"/>
        </w:rPr>
        <w:t>imismo,</w:t>
      </w:r>
      <w:r w:rsidRPr="00B23F25" w:rsidR="00D41FC4">
        <w:rPr>
          <w:rFonts w:ascii="Palatino Linotype" w:hAnsi="Palatino Linotype" w:cs="Tahoma"/>
          <w:sz w:val="22"/>
          <w:szCs w:val="20"/>
        </w:rPr>
        <w:t xml:space="preserve"> resulta necesario traer</w:t>
      </w:r>
      <w:r w:rsidRPr="00B23F25" w:rsidR="00D41FC4">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B23F25" w:rsidR="00D41FC4" w:rsidP="00D41FC4" w:rsidRDefault="00D41FC4" w14:paraId="471FA70A" w14:textId="77777777">
      <w:pPr>
        <w:spacing w:line="360" w:lineRule="auto"/>
        <w:ind w:left="567" w:right="567"/>
        <w:jc w:val="both"/>
        <w:rPr>
          <w:rFonts w:ascii="Palatino Linotype" w:hAnsi="Palatino Linotype" w:eastAsia="Calibri" w:cs="Tahoma"/>
          <w:b/>
          <w:bCs/>
          <w:i/>
          <w:sz w:val="22"/>
          <w:szCs w:val="22"/>
          <w:lang w:eastAsia="en-US"/>
        </w:rPr>
      </w:pPr>
    </w:p>
    <w:p w:rsidRPr="00B23F25" w:rsidR="00D41FC4" w:rsidP="00D41FC4" w:rsidRDefault="00D41FC4" w14:paraId="27FAC871" w14:textId="52D4C1E7">
      <w:pPr>
        <w:spacing w:line="360" w:lineRule="auto"/>
        <w:ind w:left="567" w:right="567"/>
        <w:jc w:val="both"/>
        <w:rPr>
          <w:rFonts w:ascii="Palatino Linotype" w:hAnsi="Palatino Linotype" w:eastAsia="Calibri" w:cs="Tahoma"/>
          <w:i/>
          <w:sz w:val="20"/>
          <w:szCs w:val="20"/>
          <w:lang w:eastAsia="en-US"/>
        </w:rPr>
      </w:pPr>
      <w:r w:rsidRPr="00B23F25">
        <w:rPr>
          <w:rFonts w:ascii="Palatino Linotype" w:hAnsi="Palatino Linotype" w:eastAsia="Calibri" w:cs="Tahoma"/>
          <w:b/>
          <w:bCs/>
          <w:i/>
          <w:sz w:val="20"/>
          <w:szCs w:val="20"/>
          <w:lang w:eastAsia="en-US"/>
        </w:rPr>
        <w:t xml:space="preserve">“Congruencia y exhaustividad. Sus alcances para garantizar el derecho de acceso a la información. </w:t>
      </w:r>
      <w:r w:rsidRPr="00B23F25">
        <w:rPr>
          <w:rFonts w:ascii="Palatino Linotype" w:hAnsi="Palatino Linotype" w:eastAsia="Calibri" w:cs="Tahoma"/>
          <w:bCs/>
          <w:i/>
          <w:sz w:val="20"/>
          <w:szCs w:val="20"/>
          <w:lang w:eastAsia="en-US"/>
        </w:rPr>
        <w:t xml:space="preserve">De conformidad con el artículo </w:t>
      </w:r>
      <w:r w:rsidRPr="00B23F25">
        <w:rPr>
          <w:rFonts w:ascii="Palatino Linotype" w:hAnsi="Palatino Linotype" w:eastAsia="Calibri" w:cs="Tahoma"/>
          <w:bCs/>
          <w:i/>
          <w:sz w:val="20"/>
          <w:szCs w:val="20"/>
          <w:lang w:val="es-ES_tradnl" w:eastAsia="en-US"/>
        </w:rPr>
        <w:t>3 de la Ley Federal de Procedimiento Administrativo</w:t>
      </w:r>
      <w:r w:rsidRPr="00B23F25">
        <w:rPr>
          <w:rFonts w:ascii="Palatino Linotype" w:hAnsi="Palatino Linotype" w:eastAsia="Calibri" w:cs="Tahoma"/>
          <w:bCs/>
          <w:i/>
          <w:sz w:val="20"/>
          <w:szCs w:val="20"/>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B23F25">
        <w:rPr>
          <w:rFonts w:ascii="Palatino Linotype" w:hAnsi="Palatino Linotype" w:eastAsia="Calibri" w:cs="Tahoma"/>
          <w:bCs/>
          <w:i/>
          <w:sz w:val="20"/>
          <w:szCs w:val="20"/>
          <w:u w:val="single"/>
          <w:lang w:eastAsia="en-US"/>
        </w:rPr>
        <w:t>a congruencia implica que exista concordancia entre el requerimiento formulado por el particular y la respuesta proporcionada por el sujeto obligado</w:t>
      </w:r>
      <w:r w:rsidRPr="00B23F25">
        <w:rPr>
          <w:rFonts w:ascii="Palatino Linotype" w:hAnsi="Palatino Linotype" w:eastAsia="Calibri" w:cs="Tahoma"/>
          <w:bCs/>
          <w:i/>
          <w:sz w:val="20"/>
          <w:szCs w:val="20"/>
          <w:lang w:eastAsia="en-US"/>
        </w:rPr>
        <w:t xml:space="preserve">; mientras que </w:t>
      </w:r>
      <w:r w:rsidRPr="00B23F25">
        <w:rPr>
          <w:rFonts w:ascii="Palatino Linotype" w:hAnsi="Palatino Linotype" w:eastAsia="Calibri" w:cs="Tahoma"/>
          <w:i/>
          <w:sz w:val="20"/>
          <w:szCs w:val="20"/>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B23F25" w:rsidR="00D41FC4" w:rsidP="00D41FC4" w:rsidRDefault="00D41FC4" w14:paraId="5AE8516B" w14:textId="2F8A6CD4">
      <w:pPr>
        <w:spacing w:line="360" w:lineRule="auto"/>
        <w:jc w:val="both"/>
        <w:rPr>
          <w:rFonts w:ascii="Palatino Linotype" w:hAnsi="Palatino Linotype" w:eastAsia="Calibri"/>
          <w:color w:val="000000" w:themeColor="text1"/>
          <w:sz w:val="22"/>
          <w:szCs w:val="22"/>
          <w:lang w:eastAsia="en-US"/>
        </w:rPr>
      </w:pPr>
    </w:p>
    <w:p w:rsidRPr="00B23F25" w:rsidR="00D41FC4" w:rsidP="00D41FC4" w:rsidRDefault="00D41FC4" w14:paraId="1D8862D2" w14:textId="77777777">
      <w:pPr>
        <w:spacing w:line="360" w:lineRule="auto"/>
        <w:jc w:val="both"/>
        <w:rPr>
          <w:rFonts w:ascii="Palatino Linotype" w:hAnsi="Palatino Linotype" w:eastAsia="Calibri"/>
          <w:color w:val="000000" w:themeColor="text1"/>
          <w:sz w:val="22"/>
          <w:szCs w:val="22"/>
          <w:lang w:val="es-ES" w:eastAsia="en-US"/>
        </w:rPr>
      </w:pPr>
      <w:r w:rsidRPr="00B23F25">
        <w:rPr>
          <w:rFonts w:ascii="Palatino Linotype" w:hAnsi="Palatino Linotype" w:eastAsia="Calibri"/>
          <w:color w:val="000000" w:themeColor="text1"/>
          <w:sz w:val="22"/>
          <w:szCs w:val="22"/>
          <w:lang w:eastAsia="en-US"/>
        </w:rPr>
        <w:t xml:space="preserve">Del citado criterio, se desprende que </w:t>
      </w:r>
      <w:r w:rsidRPr="00B23F25">
        <w:rPr>
          <w:rFonts w:ascii="Palatino Linotype" w:hAnsi="Palatino Linotype" w:eastAsia="Calibri"/>
          <w:bCs/>
          <w:color w:val="000000" w:themeColor="text1"/>
          <w:sz w:val="22"/>
          <w:szCs w:val="22"/>
          <w:lang w:eastAsia="en-US"/>
        </w:rPr>
        <w:t>todo acto administrativo debe apegarse al</w:t>
      </w:r>
      <w:r w:rsidRPr="00B23F25">
        <w:rPr>
          <w:rFonts w:ascii="Palatino Linotype" w:hAnsi="Palatino Linotype" w:eastAsia="Calibri"/>
          <w:color w:val="000000" w:themeColor="text1"/>
          <w:sz w:val="22"/>
          <w:szCs w:val="22"/>
          <w:lang w:val="es-ES" w:eastAsia="en-US"/>
        </w:rPr>
        <w:t xml:space="preserve"> </w:t>
      </w:r>
      <w:r w:rsidRPr="00B23F25">
        <w:rPr>
          <w:rFonts w:ascii="Palatino Linotype" w:hAnsi="Palatino Linotype" w:eastAsia="Calibri"/>
          <w:b/>
          <w:color w:val="000000" w:themeColor="text1"/>
          <w:sz w:val="22"/>
          <w:szCs w:val="22"/>
          <w:lang w:val="es-ES" w:eastAsia="en-US"/>
        </w:rPr>
        <w:t xml:space="preserve">Principio de Congruencia, </w:t>
      </w:r>
      <w:r w:rsidRPr="00B23F25">
        <w:rPr>
          <w:rFonts w:ascii="Palatino Linotype" w:hAnsi="Palatino Linotype" w:eastAsia="Calibri"/>
          <w:color w:val="000000" w:themeColor="text1"/>
          <w:sz w:val="22"/>
          <w:szCs w:val="22"/>
          <w:lang w:val="es-ES" w:eastAsia="en-US"/>
        </w:rPr>
        <w:t>el cual</w:t>
      </w:r>
      <w:r w:rsidRPr="00B23F25">
        <w:rPr>
          <w:rFonts w:ascii="Palatino Linotype" w:hAnsi="Palatino Linotype" w:eastAsia="Calibri"/>
          <w:b/>
          <w:color w:val="000000" w:themeColor="text1"/>
          <w:sz w:val="22"/>
          <w:szCs w:val="22"/>
          <w:lang w:val="es-ES" w:eastAsia="en-US"/>
        </w:rPr>
        <w:t xml:space="preserve"> </w:t>
      </w:r>
      <w:r w:rsidRPr="00B23F25">
        <w:rPr>
          <w:rFonts w:ascii="Palatino Linotype" w:hAnsi="Palatino Linotype" w:eastAsia="Calibri"/>
          <w:color w:val="000000" w:themeColor="text1"/>
          <w:sz w:val="22"/>
          <w:szCs w:val="22"/>
          <w:lang w:val="es-ES" w:eastAsia="en-US"/>
        </w:rPr>
        <w:t>implica que exista concordancia entre el requerimiento formulado y la respuesta entregada por el área.</w:t>
      </w:r>
    </w:p>
    <w:p w:rsidRPr="00B23F25" w:rsidR="00D41FC4" w:rsidP="006F02F0" w:rsidRDefault="00D41FC4" w14:paraId="38A454FF" w14:textId="135D959A">
      <w:pPr>
        <w:spacing w:line="360" w:lineRule="auto"/>
        <w:jc w:val="both"/>
        <w:rPr>
          <w:rFonts w:ascii="Palatino Linotype" w:hAnsi="Palatino Linotype" w:eastAsia="Calibri"/>
          <w:color w:val="000000"/>
          <w:sz w:val="22"/>
          <w:szCs w:val="22"/>
          <w:lang w:eastAsia="en-US"/>
        </w:rPr>
      </w:pPr>
    </w:p>
    <w:p w:rsidRPr="00B23F25" w:rsidR="006F02F0" w:rsidP="009B2403" w:rsidRDefault="006F02F0" w14:paraId="25AB9570" w14:textId="1BE1C4E1">
      <w:pPr>
        <w:spacing w:line="360" w:lineRule="auto"/>
        <w:jc w:val="both"/>
        <w:rPr>
          <w:rFonts w:ascii="Palatino Linotype" w:hAnsi="Palatino Linotype" w:cs="Tahoma"/>
          <w:b/>
          <w:iCs/>
          <w:sz w:val="22"/>
          <w:szCs w:val="22"/>
          <w:lang w:val="es-ES" w:eastAsia="es-ES"/>
        </w:rPr>
      </w:pPr>
      <w:r w:rsidRPr="00B23F25">
        <w:rPr>
          <w:rFonts w:ascii="Palatino Linotype" w:hAnsi="Palatino Linotype" w:eastAsia="Calibri"/>
          <w:color w:val="000000"/>
          <w:sz w:val="22"/>
          <w:szCs w:val="22"/>
          <w:lang w:eastAsia="en-US"/>
        </w:rPr>
        <w:t>Conforme a lo anterior, se considera que toda vez que</w:t>
      </w:r>
      <w:r w:rsidRPr="00B23F25" w:rsidR="00E87A86">
        <w:rPr>
          <w:rFonts w:ascii="Palatino Linotype" w:hAnsi="Palatino Linotype" w:eastAsia="Calibri"/>
          <w:color w:val="000000"/>
          <w:sz w:val="22"/>
          <w:szCs w:val="22"/>
          <w:lang w:eastAsia="en-US"/>
        </w:rPr>
        <w:t xml:space="preserve"> la respuesta </w:t>
      </w:r>
      <w:r w:rsidRPr="00B23F25" w:rsidR="00C179EB">
        <w:rPr>
          <w:rFonts w:ascii="Palatino Linotype" w:hAnsi="Palatino Linotype" w:eastAsia="Calibri"/>
          <w:color w:val="000000"/>
          <w:sz w:val="22"/>
          <w:szCs w:val="22"/>
          <w:lang w:eastAsia="en-US"/>
        </w:rPr>
        <w:t>fue incongruente, pues no solicitó una aclaración y que la solicitud de información</w:t>
      </w:r>
      <w:r w:rsidRPr="00B23F25" w:rsidR="009B2403">
        <w:rPr>
          <w:rFonts w:ascii="Palatino Linotype" w:hAnsi="Palatino Linotype" w:eastAsia="Calibri"/>
          <w:color w:val="000000"/>
          <w:sz w:val="22"/>
          <w:szCs w:val="22"/>
          <w:lang w:eastAsia="en-US"/>
        </w:rPr>
        <w:t xml:space="preserve"> tiene los elementos suficientes para </w:t>
      </w:r>
      <w:r w:rsidRPr="00B23F25" w:rsidR="009B2403">
        <w:rPr>
          <w:rFonts w:ascii="Palatino Linotype" w:hAnsi="Palatino Linotype" w:eastAsia="Calibri"/>
          <w:color w:val="000000"/>
          <w:sz w:val="22"/>
          <w:szCs w:val="22"/>
          <w:lang w:eastAsia="en-US"/>
        </w:rPr>
        <w:lastRenderedPageBreak/>
        <w:t xml:space="preserve">determinar el documento que requiere el Particular, se considera que el agravio es </w:t>
      </w:r>
      <w:r w:rsidRPr="00B23F25">
        <w:rPr>
          <w:rFonts w:ascii="Palatino Linotype" w:hAnsi="Palatino Linotype" w:cs="Tahoma"/>
          <w:b/>
          <w:iCs/>
          <w:sz w:val="22"/>
          <w:szCs w:val="22"/>
          <w:lang w:val="es-ES" w:eastAsia="es-ES"/>
        </w:rPr>
        <w:t xml:space="preserve">FUNDADO. </w:t>
      </w:r>
    </w:p>
    <w:p w:rsidRPr="00B23F25" w:rsidR="009B2403" w:rsidP="009B2403" w:rsidRDefault="009B2403" w14:paraId="3C7727AA" w14:textId="3C262860">
      <w:pPr>
        <w:spacing w:line="360" w:lineRule="auto"/>
        <w:jc w:val="both"/>
        <w:rPr>
          <w:rFonts w:ascii="Palatino Linotype" w:hAnsi="Palatino Linotype" w:cs="Tahoma"/>
          <w:b/>
          <w:iCs/>
          <w:sz w:val="22"/>
          <w:szCs w:val="22"/>
          <w:lang w:val="es-ES" w:eastAsia="es-ES"/>
        </w:rPr>
      </w:pPr>
    </w:p>
    <w:p w:rsidRPr="00B23F25" w:rsidR="009B2403" w:rsidP="009B2403" w:rsidRDefault="009B2403" w14:paraId="1EE7B3C8" w14:textId="6955503D">
      <w:pPr>
        <w:spacing w:line="360" w:lineRule="auto"/>
        <w:jc w:val="both"/>
        <w:rPr>
          <w:rFonts w:ascii="Palatino Linotype" w:hAnsi="Palatino Linotype" w:cs="Tahoma"/>
          <w:bCs/>
          <w:iCs/>
          <w:sz w:val="22"/>
          <w:szCs w:val="22"/>
          <w:lang w:val="es-ES" w:eastAsia="es-ES"/>
        </w:rPr>
      </w:pPr>
      <w:r w:rsidRPr="00B23F25">
        <w:rPr>
          <w:rFonts w:ascii="Palatino Linotype" w:hAnsi="Palatino Linotype" w:cs="Tahoma"/>
          <w:bCs/>
          <w:iCs/>
          <w:sz w:val="22"/>
          <w:szCs w:val="22"/>
          <w:lang w:val="es-ES" w:eastAsia="es-ES"/>
        </w:rPr>
        <w:t>Ahora bien, en Informe Justificado, el Sujeto Obligado proporcionó el Directorio de servidores públicos, sin embargo, dicho documento no da cuenta de lo requerido, pues como ya se refirió la pretensión del ahora Recurrente es obtener la Conciliación de Nómina.</w:t>
      </w:r>
    </w:p>
    <w:p w:rsidRPr="00B23F25" w:rsidR="006F02F0" w:rsidP="006F02F0" w:rsidRDefault="006F02F0" w14:paraId="4290A88D" w14:textId="6FF000B7">
      <w:pPr>
        <w:spacing w:line="360" w:lineRule="auto"/>
        <w:jc w:val="both"/>
        <w:rPr>
          <w:rFonts w:ascii="Palatino Linotype" w:hAnsi="Palatino Linotype" w:cs="Tahoma"/>
          <w:b/>
          <w:iCs/>
          <w:sz w:val="22"/>
          <w:szCs w:val="22"/>
          <w:lang w:val="es-ES" w:eastAsia="es-ES"/>
        </w:rPr>
      </w:pPr>
    </w:p>
    <w:p w:rsidRPr="00B23F25" w:rsidR="006F02F0" w:rsidP="006F02F0" w:rsidRDefault="006F02F0" w14:paraId="76FB5F07" w14:textId="40FBEDE2">
      <w:pPr>
        <w:spacing w:line="360" w:lineRule="auto"/>
        <w:jc w:val="both"/>
        <w:rPr>
          <w:rFonts w:ascii="Palatino Linotype" w:hAnsi="Palatino Linotype" w:cs="Tahoma"/>
          <w:bCs/>
          <w:iCs/>
          <w:sz w:val="22"/>
          <w:szCs w:val="22"/>
          <w:lang w:eastAsia="es-ES"/>
        </w:rPr>
      </w:pPr>
      <w:r w:rsidRPr="00B23F25">
        <w:rPr>
          <w:rFonts w:ascii="Palatino Linotype" w:hAnsi="Palatino Linotype" w:cs="Tahoma"/>
          <w:bCs/>
          <w:iCs/>
          <w:sz w:val="22"/>
          <w:szCs w:val="22"/>
          <w:lang w:val="es-ES" w:eastAsia="es-ES"/>
        </w:rPr>
        <w:t xml:space="preserve">Por tal circunstancia, este Instituto considera que, para atender el requerimiento de información, </w:t>
      </w:r>
      <w:r w:rsidRPr="00B23F25" w:rsidR="00FE2999">
        <w:rPr>
          <w:rFonts w:ascii="Palatino Linotype" w:hAnsi="Palatino Linotype" w:cs="Tahoma"/>
          <w:bCs/>
          <w:iCs/>
          <w:sz w:val="22"/>
          <w:szCs w:val="22"/>
          <w:lang w:val="es-ES" w:eastAsia="es-ES"/>
        </w:rPr>
        <w:t>el</w:t>
      </w:r>
      <w:r w:rsidRPr="00B23F25">
        <w:rPr>
          <w:rFonts w:ascii="Palatino Linotype" w:hAnsi="Palatino Linotype" w:cs="Tahoma"/>
          <w:bCs/>
          <w:iCs/>
          <w:sz w:val="22"/>
          <w:szCs w:val="22"/>
          <w:lang w:val="es-ES" w:eastAsia="es-ES"/>
        </w:rPr>
        <w:t xml:space="preserve"> </w:t>
      </w:r>
      <w:r w:rsidRPr="00B23F25" w:rsidR="00FE2999">
        <w:rPr>
          <w:rFonts w:ascii="Palatino Linotype" w:hAnsi="Palatino Linotype" w:eastAsia="Calibri" w:cs="Tahoma"/>
          <w:color w:val="000000"/>
          <w:sz w:val="22"/>
          <w:szCs w:val="22"/>
          <w:lang w:eastAsia="en-US"/>
        </w:rPr>
        <w:t xml:space="preserve">Ayuntamiento de </w:t>
      </w:r>
      <w:r w:rsidRPr="00B23F25" w:rsidR="00C72DC8">
        <w:rPr>
          <w:rFonts w:ascii="Palatino Linotype" w:hAnsi="Palatino Linotype" w:eastAsia="Calibri" w:cs="Tahoma"/>
          <w:color w:val="000000"/>
          <w:sz w:val="22"/>
          <w:szCs w:val="22"/>
          <w:lang w:eastAsia="en-US"/>
        </w:rPr>
        <w:t>Temascalcingo</w:t>
      </w:r>
      <w:r w:rsidRPr="00B23F25">
        <w:rPr>
          <w:rFonts w:ascii="Palatino Linotype" w:hAnsi="Palatino Linotype" w:eastAsia="Calibri" w:cs="Tahoma"/>
          <w:color w:val="000000"/>
          <w:sz w:val="22"/>
          <w:szCs w:val="22"/>
          <w:lang w:eastAsia="en-US"/>
        </w:rPr>
        <w:t xml:space="preserve">, deberá realizar una </w:t>
      </w:r>
      <w:r w:rsidRPr="00B23F25">
        <w:rPr>
          <w:rFonts w:ascii="Palatino Linotype" w:hAnsi="Palatino Linotype" w:cs="Tahoma"/>
          <w:iCs/>
          <w:sz w:val="22"/>
          <w:szCs w:val="22"/>
          <w:lang w:eastAsia="es-ES"/>
        </w:rPr>
        <w:t xml:space="preserve">búsqueda exhaustiva y razonable, en todas las áreas que estime competentes, entre las cuales no podrá omitir a la </w:t>
      </w:r>
      <w:r w:rsidRPr="00B23F25" w:rsidR="00FE2999">
        <w:rPr>
          <w:rFonts w:ascii="Palatino Linotype" w:hAnsi="Palatino Linotype" w:cs="Tahoma"/>
          <w:bCs/>
          <w:iCs/>
          <w:sz w:val="22"/>
          <w:szCs w:val="22"/>
          <w:lang w:eastAsia="es-ES"/>
        </w:rPr>
        <w:t>Dirección de Administración</w:t>
      </w:r>
      <w:r w:rsidRPr="00B23F25">
        <w:rPr>
          <w:rFonts w:ascii="Palatino Linotype" w:hAnsi="Palatino Linotype" w:cs="Tahoma"/>
          <w:bCs/>
          <w:iCs/>
          <w:sz w:val="22"/>
          <w:szCs w:val="22"/>
          <w:lang w:eastAsia="es-ES"/>
        </w:rPr>
        <w:t>, a efecto de que proporcione el documento que obra en sus archivos y da cuenta de lo solicitado.</w:t>
      </w:r>
    </w:p>
    <w:p w:rsidRPr="00B23F25" w:rsidR="00492BB9" w:rsidP="006F02F0" w:rsidRDefault="00492BB9" w14:paraId="1421F21E" w14:textId="77777777">
      <w:pPr>
        <w:spacing w:line="360" w:lineRule="auto"/>
        <w:jc w:val="both"/>
        <w:rPr>
          <w:rFonts w:ascii="Palatino Linotype" w:hAnsi="Palatino Linotype" w:cs="Tahoma"/>
          <w:iCs/>
          <w:sz w:val="22"/>
          <w:szCs w:val="22"/>
          <w:lang w:val="es-ES" w:eastAsia="es-ES"/>
        </w:rPr>
      </w:pPr>
    </w:p>
    <w:p w:rsidRPr="00B23F25" w:rsidR="006F02F0" w:rsidP="006F02F0" w:rsidRDefault="006F02F0" w14:paraId="2479973D" w14:textId="77777777">
      <w:pPr>
        <w:spacing w:line="360" w:lineRule="auto"/>
        <w:jc w:val="both"/>
        <w:rPr>
          <w:rFonts w:ascii="Palatino Linotype" w:hAnsi="Palatino Linotype" w:cs="Tahoma"/>
          <w:iCs/>
          <w:sz w:val="22"/>
          <w:szCs w:val="22"/>
          <w:lang w:val="es-ES" w:eastAsia="es-ES"/>
        </w:rPr>
      </w:pPr>
      <w:r w:rsidRPr="00B23F25">
        <w:rPr>
          <w:rFonts w:ascii="Palatino Linotype" w:hAnsi="Palatino Linotype" w:cs="Tahoma"/>
          <w:iCs/>
          <w:sz w:val="22"/>
          <w:szCs w:val="22"/>
          <w:lang w:val="es-ES"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B23F25" w:rsidR="006F02F0" w:rsidP="006F02F0" w:rsidRDefault="006F02F0" w14:paraId="67ABD733" w14:textId="77777777">
      <w:pPr>
        <w:spacing w:line="360" w:lineRule="auto"/>
        <w:jc w:val="both"/>
        <w:rPr>
          <w:rFonts w:ascii="Palatino Linotype" w:hAnsi="Palatino Linotype" w:cs="Tahoma"/>
          <w:iCs/>
          <w:sz w:val="22"/>
          <w:szCs w:val="22"/>
          <w:lang w:val="es-ES" w:eastAsia="es-ES"/>
        </w:rPr>
      </w:pPr>
    </w:p>
    <w:p w:rsidRPr="00B23F25" w:rsidR="006F02F0" w:rsidP="009B2403" w:rsidRDefault="006F02F0" w14:paraId="3F399440" w14:textId="08F41E1D">
      <w:pPr>
        <w:spacing w:line="360" w:lineRule="auto"/>
        <w:jc w:val="both"/>
        <w:rPr>
          <w:rFonts w:ascii="Palatino Linotype" w:hAnsi="Palatino Linotype" w:cs="Tahoma"/>
          <w:i/>
          <w:iCs/>
          <w:sz w:val="20"/>
          <w:szCs w:val="20"/>
          <w:lang w:val="es-ES" w:eastAsia="es-ES"/>
        </w:rPr>
      </w:pPr>
      <w:r w:rsidRPr="00B23F25">
        <w:rPr>
          <w:rFonts w:ascii="Palatino Linotype" w:hAnsi="Palatino Linotype" w:cs="Tahoma"/>
          <w:iCs/>
          <w:sz w:val="22"/>
          <w:szCs w:val="22"/>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B23F25">
        <w:rPr>
          <w:rFonts w:ascii="Palatino Linotype" w:hAnsi="Palatino Linotype" w:cs="Tahoma"/>
          <w:i/>
          <w:iCs/>
          <w:sz w:val="22"/>
          <w:szCs w:val="22"/>
          <w:lang w:val="es-ES" w:eastAsia="es-ES"/>
        </w:rPr>
        <w:t>“ad hoc”;</w:t>
      </w:r>
      <w:r w:rsidRPr="00B23F25">
        <w:rPr>
          <w:rFonts w:ascii="Palatino Linotype" w:hAnsi="Palatino Linotype" w:cs="Tahoma"/>
          <w:iCs/>
          <w:sz w:val="22"/>
          <w:szCs w:val="22"/>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B23F25" w:rsidR="006F02F0" w:rsidP="006F02F0" w:rsidRDefault="006F02F0" w14:paraId="1EF9358A" w14:textId="77777777">
      <w:pPr>
        <w:spacing w:line="360" w:lineRule="auto"/>
        <w:jc w:val="both"/>
        <w:rPr>
          <w:rFonts w:ascii="Palatino Linotype" w:hAnsi="Palatino Linotype" w:cs="Tahoma"/>
          <w:bCs/>
          <w:iCs/>
          <w:sz w:val="22"/>
          <w:szCs w:val="22"/>
          <w:lang w:eastAsia="es-ES"/>
        </w:rPr>
      </w:pPr>
    </w:p>
    <w:p w:rsidRPr="00B23F25" w:rsidR="00F0781F" w:rsidP="00710DA7" w:rsidRDefault="006F02F0" w14:paraId="7E62FCCD" w14:textId="45E6E3C4">
      <w:pPr>
        <w:spacing w:line="360" w:lineRule="auto"/>
        <w:jc w:val="both"/>
        <w:rPr>
          <w:rFonts w:ascii="Palatino Linotype" w:hAnsi="Palatino Linotype" w:eastAsia="Calibri" w:cs="Tahoma"/>
          <w:color w:val="000000"/>
          <w:sz w:val="22"/>
          <w:lang w:val="es-ES"/>
        </w:rPr>
      </w:pPr>
      <w:r w:rsidRPr="00B23F25">
        <w:rPr>
          <w:rFonts w:ascii="Palatino Linotype" w:hAnsi="Palatino Linotype" w:cs="Tahoma"/>
          <w:iCs/>
          <w:sz w:val="22"/>
          <w:szCs w:val="22"/>
          <w:lang w:val="es-ES" w:eastAsia="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w:t>
      </w:r>
      <w:r w:rsidRPr="00B23F25" w:rsidR="009B2403">
        <w:rPr>
          <w:rFonts w:ascii="Palatino Linotype" w:hAnsi="Palatino Linotype" w:cs="Tahoma"/>
          <w:iCs/>
          <w:sz w:val="22"/>
          <w:szCs w:val="22"/>
          <w:lang w:val="es-ES" w:eastAsia="es-ES"/>
        </w:rPr>
        <w:t xml:space="preserve"> </w:t>
      </w:r>
      <w:r w:rsidRPr="00B23F25">
        <w:rPr>
          <w:rFonts w:ascii="Palatino Linotype" w:hAnsi="Palatino Linotype" w:cs="Tahoma"/>
          <w:iCs/>
          <w:sz w:val="22"/>
          <w:szCs w:val="22"/>
          <w:lang w:val="es-ES" w:eastAsia="es-ES"/>
        </w:rPr>
        <w:t xml:space="preserve">del Recurrente; por lo que, en el presente caso, deberá entregar </w:t>
      </w:r>
      <w:r w:rsidRPr="00B23F25" w:rsidR="009B2403">
        <w:rPr>
          <w:rFonts w:ascii="Palatino Linotype" w:hAnsi="Palatino Linotype" w:cs="Tahoma"/>
          <w:iCs/>
          <w:sz w:val="22"/>
          <w:szCs w:val="22"/>
          <w:lang w:val="es-ES" w:eastAsia="es-ES"/>
        </w:rPr>
        <w:t>la Conciliación de</w:t>
      </w:r>
      <w:r w:rsidRPr="00B23F25" w:rsidR="00FE2999">
        <w:rPr>
          <w:rFonts w:ascii="Palatino Linotype" w:hAnsi="Palatino Linotype" w:cs="Tahoma"/>
          <w:sz w:val="22"/>
          <w:lang w:val="es-ES" w:eastAsia="es-ES"/>
        </w:rPr>
        <w:t xml:space="preserve"> </w:t>
      </w:r>
      <w:r w:rsidRPr="00B23F25" w:rsidR="009B2403">
        <w:rPr>
          <w:rFonts w:ascii="Palatino Linotype" w:hAnsi="Palatino Linotype" w:cs="Tahoma"/>
          <w:sz w:val="22"/>
          <w:lang w:val="es-ES" w:eastAsia="es-ES"/>
        </w:rPr>
        <w:t>N</w:t>
      </w:r>
      <w:r w:rsidRPr="00B23F25" w:rsidR="00FE2999">
        <w:rPr>
          <w:rFonts w:ascii="Palatino Linotype" w:hAnsi="Palatino Linotype" w:cs="Tahoma"/>
          <w:sz w:val="22"/>
          <w:lang w:val="es-ES" w:eastAsia="es-ES"/>
        </w:rPr>
        <w:t xml:space="preserve">ómina </w:t>
      </w:r>
      <w:r w:rsidRPr="00B23F25" w:rsidR="007C1216">
        <w:rPr>
          <w:rFonts w:ascii="Palatino Linotype" w:hAnsi="Palatino Linotype" w:cs="Tahoma"/>
          <w:sz w:val="22"/>
          <w:lang w:val="es-ES" w:eastAsia="es-ES"/>
        </w:rPr>
        <w:t>de la primera quincena de enero a la segunda quincena de febrero de dos mil veintidós</w:t>
      </w:r>
      <w:r w:rsidRPr="00B23F25" w:rsidR="009B2403">
        <w:rPr>
          <w:rFonts w:ascii="Palatino Linotype" w:hAnsi="Palatino Linotype" w:eastAsia="Calibri" w:cs="Tahoma"/>
          <w:color w:val="000000"/>
          <w:sz w:val="22"/>
          <w:lang w:val="es-ES"/>
        </w:rPr>
        <w:t>.</w:t>
      </w:r>
    </w:p>
    <w:p w:rsidRPr="00B23F25" w:rsidR="007C1216" w:rsidP="00710DA7" w:rsidRDefault="007C1216" w14:paraId="57479F8D" w14:textId="77777777">
      <w:pPr>
        <w:spacing w:line="360" w:lineRule="auto"/>
        <w:jc w:val="both"/>
        <w:rPr>
          <w:rFonts w:ascii="Palatino Linotype" w:hAnsi="Palatino Linotype" w:cs="Tahoma"/>
          <w:sz w:val="22"/>
          <w:lang w:val="es-ES" w:eastAsia="es-ES"/>
        </w:rPr>
      </w:pPr>
    </w:p>
    <w:p w:rsidRPr="00B23F25" w:rsidR="00830863" w:rsidP="00710DA7" w:rsidRDefault="00830863" w14:paraId="2FADEBE5" w14:textId="42521A43">
      <w:pPr>
        <w:spacing w:line="360" w:lineRule="auto"/>
        <w:ind w:right="-93"/>
        <w:jc w:val="both"/>
        <w:rPr>
          <w:rFonts w:ascii="Palatino Linotype" w:hAnsi="Palatino Linotype" w:cs="Tahoma" w:eastAsiaTheme="minorHAnsi"/>
          <w:bCs/>
          <w:color w:val="000000" w:themeColor="text1"/>
          <w:sz w:val="22"/>
          <w:szCs w:val="22"/>
          <w:lang w:val="es-ES_tradnl" w:eastAsia="en-US"/>
        </w:rPr>
      </w:pPr>
      <w:r w:rsidRPr="00B23F25">
        <w:rPr>
          <w:rFonts w:ascii="Palatino Linotype" w:hAnsi="Palatino Linotype" w:cs="Tahoma" w:eastAsiaTheme="minorHAnsi"/>
          <w:bCs/>
          <w:color w:val="000000" w:themeColor="text1"/>
          <w:sz w:val="22"/>
          <w:szCs w:val="22"/>
          <w:lang w:val="es-ES_tradnl" w:eastAsia="en-US"/>
        </w:rPr>
        <w:t>Ahora bien, no pasa desapercibido, que conforme a los</w:t>
      </w:r>
      <w:r w:rsidRPr="00B23F25" w:rsidR="009510EE">
        <w:rPr>
          <w:rFonts w:ascii="Palatino Linotype" w:hAnsi="Palatino Linotype" w:cs="Tahoma" w:eastAsiaTheme="minorHAnsi"/>
          <w:bCs/>
          <w:color w:val="000000" w:themeColor="text1"/>
          <w:sz w:val="22"/>
          <w:szCs w:val="22"/>
          <w:lang w:val="es-ES_tradnl" w:eastAsia="en-US"/>
        </w:rPr>
        <w:t xml:space="preserve"> artículos </w:t>
      </w:r>
      <w:r w:rsidRPr="00B23F25" w:rsidR="00AA7C9E">
        <w:rPr>
          <w:rFonts w:ascii="Palatino Linotype" w:hAnsi="Palatino Linotype" w:cs="Tahoma" w:eastAsiaTheme="minorHAnsi"/>
          <w:bCs/>
          <w:color w:val="000000" w:themeColor="text1"/>
          <w:sz w:val="22"/>
          <w:szCs w:val="22"/>
          <w:lang w:val="es-ES_tradnl" w:eastAsia="en-US"/>
        </w:rPr>
        <w:t>63</w:t>
      </w:r>
      <w:r w:rsidRPr="00B23F25" w:rsidR="009510EE">
        <w:rPr>
          <w:rFonts w:ascii="Palatino Linotype" w:hAnsi="Palatino Linotype" w:cs="Tahoma" w:eastAsiaTheme="minorHAnsi"/>
          <w:bCs/>
          <w:color w:val="000000" w:themeColor="text1"/>
          <w:sz w:val="22"/>
          <w:szCs w:val="22"/>
          <w:lang w:val="es-ES_tradnl" w:eastAsia="en-US"/>
        </w:rPr>
        <w:t xml:space="preserve">, </w:t>
      </w:r>
      <w:r w:rsidRPr="00B23F25" w:rsidR="00AA7C9E">
        <w:rPr>
          <w:rFonts w:ascii="Palatino Linotype" w:hAnsi="Palatino Linotype" w:cs="Tahoma" w:eastAsiaTheme="minorHAnsi"/>
          <w:bCs/>
          <w:color w:val="000000" w:themeColor="text1"/>
          <w:sz w:val="22"/>
          <w:szCs w:val="22"/>
          <w:lang w:val="es-ES_tradnl" w:eastAsia="en-US"/>
        </w:rPr>
        <w:t>numeral 24, 138 y</w:t>
      </w:r>
      <w:r w:rsidRPr="00B23F25" w:rsidR="009510EE">
        <w:rPr>
          <w:rFonts w:ascii="Palatino Linotype" w:hAnsi="Palatino Linotype" w:cs="Tahoma" w:eastAsiaTheme="minorHAnsi"/>
          <w:bCs/>
          <w:color w:val="000000" w:themeColor="text1"/>
          <w:sz w:val="22"/>
          <w:szCs w:val="22"/>
          <w:lang w:val="es-ES_tradnl" w:eastAsia="en-US"/>
        </w:rPr>
        <w:t xml:space="preserve"> </w:t>
      </w:r>
      <w:r w:rsidRPr="00B23F25" w:rsidR="00A424D4">
        <w:rPr>
          <w:rFonts w:ascii="Palatino Linotype" w:hAnsi="Palatino Linotype" w:cs="Tahoma" w:eastAsiaTheme="minorHAnsi"/>
          <w:bCs/>
          <w:color w:val="000000" w:themeColor="text1"/>
          <w:sz w:val="22"/>
          <w:szCs w:val="22"/>
          <w:lang w:val="es-ES_tradnl" w:eastAsia="en-US"/>
        </w:rPr>
        <w:t>1</w:t>
      </w:r>
      <w:r w:rsidRPr="00B23F25" w:rsidR="00AA7C9E">
        <w:rPr>
          <w:rFonts w:ascii="Palatino Linotype" w:hAnsi="Palatino Linotype" w:cs="Tahoma" w:eastAsiaTheme="minorHAnsi"/>
          <w:bCs/>
          <w:color w:val="000000" w:themeColor="text1"/>
          <w:sz w:val="22"/>
          <w:szCs w:val="22"/>
          <w:lang w:val="es-ES_tradnl" w:eastAsia="en-US"/>
        </w:rPr>
        <w:t>44</w:t>
      </w:r>
      <w:r w:rsidRPr="00B23F25" w:rsidR="00A424D4">
        <w:rPr>
          <w:rFonts w:ascii="Palatino Linotype" w:hAnsi="Palatino Linotype" w:cs="Tahoma" w:eastAsiaTheme="minorHAnsi"/>
          <w:bCs/>
          <w:color w:val="000000" w:themeColor="text1"/>
          <w:sz w:val="22"/>
          <w:szCs w:val="22"/>
          <w:lang w:val="es-ES_tradnl" w:eastAsia="en-US"/>
        </w:rPr>
        <w:t xml:space="preserve"> </w:t>
      </w:r>
      <w:r w:rsidRPr="00B23F25" w:rsidR="009510EE">
        <w:rPr>
          <w:rFonts w:ascii="Palatino Linotype" w:hAnsi="Palatino Linotype" w:cs="Tahoma" w:eastAsiaTheme="minorHAnsi"/>
          <w:bCs/>
          <w:color w:val="000000" w:themeColor="text1"/>
          <w:sz w:val="22"/>
          <w:szCs w:val="22"/>
          <w:lang w:val="es-ES_tradnl" w:eastAsia="en-US"/>
        </w:rPr>
        <w:t xml:space="preserve">del </w:t>
      </w:r>
      <w:r w:rsidRPr="00B23F25" w:rsidR="00A424D4">
        <w:rPr>
          <w:rFonts w:ascii="Palatino Linotype" w:hAnsi="Palatino Linotype" w:cs="Tahoma" w:eastAsiaTheme="minorHAnsi"/>
          <w:bCs/>
          <w:color w:val="000000" w:themeColor="text1"/>
          <w:sz w:val="22"/>
          <w:szCs w:val="22"/>
          <w:lang w:val="es-ES_tradnl" w:eastAsia="en-US"/>
        </w:rPr>
        <w:t xml:space="preserve">Bando Municipal, dos mil veintidós, del Ayuntamiento de </w:t>
      </w:r>
      <w:r w:rsidRPr="00B23F25" w:rsidR="00AA7C9E">
        <w:rPr>
          <w:rFonts w:ascii="Palatino Linotype" w:hAnsi="Palatino Linotype" w:cs="Tahoma" w:eastAsiaTheme="minorHAnsi"/>
          <w:bCs/>
          <w:color w:val="000000" w:themeColor="text1"/>
          <w:sz w:val="22"/>
          <w:szCs w:val="22"/>
          <w:lang w:val="es-ES_tradnl" w:eastAsia="en-US"/>
        </w:rPr>
        <w:t>Temascalcingo</w:t>
      </w:r>
      <w:r w:rsidRPr="00B23F25" w:rsidR="009510EE">
        <w:rPr>
          <w:rFonts w:ascii="Palatino Linotype" w:hAnsi="Palatino Linotype" w:cs="Tahoma" w:eastAsiaTheme="minorHAnsi"/>
          <w:bCs/>
          <w:color w:val="000000" w:themeColor="text1"/>
          <w:sz w:val="22"/>
          <w:szCs w:val="22"/>
          <w:lang w:val="es-ES_tradnl" w:eastAsia="en-US"/>
        </w:rPr>
        <w:t>,</w:t>
      </w:r>
      <w:r w:rsidRPr="00B23F25">
        <w:rPr>
          <w:rFonts w:ascii="Palatino Linotype" w:hAnsi="Palatino Linotype" w:cs="Tahoma" w:eastAsiaTheme="minorHAnsi"/>
          <w:bCs/>
          <w:color w:val="000000" w:themeColor="text1"/>
          <w:sz w:val="22"/>
          <w:szCs w:val="22"/>
          <w:lang w:val="es-ES_tradnl" w:eastAsia="en-US"/>
        </w:rPr>
        <w:t xml:space="preserve"> el Sujeto Obligado cuenta con una </w:t>
      </w:r>
      <w:r w:rsidRPr="00B23F25" w:rsidR="00AA7C9E">
        <w:rPr>
          <w:rFonts w:ascii="Palatino Linotype" w:hAnsi="Palatino Linotype" w:cs="Tahoma" w:eastAsiaTheme="minorHAnsi"/>
          <w:bCs/>
          <w:color w:val="000000" w:themeColor="text1"/>
          <w:sz w:val="22"/>
          <w:szCs w:val="22"/>
          <w:lang w:val="es-ES_tradnl" w:eastAsia="en-US"/>
        </w:rPr>
        <w:t>Comisaría</w:t>
      </w:r>
      <w:r w:rsidRPr="00B23F25">
        <w:rPr>
          <w:rFonts w:ascii="Palatino Linotype" w:hAnsi="Palatino Linotype" w:cs="Tahoma" w:eastAsiaTheme="minorHAnsi"/>
          <w:bCs/>
          <w:color w:val="000000" w:themeColor="text1"/>
          <w:sz w:val="22"/>
          <w:szCs w:val="22"/>
          <w:lang w:val="es-ES_tradnl" w:eastAsia="en-US"/>
        </w:rPr>
        <w:t xml:space="preserve"> de Seguridad Pública</w:t>
      </w:r>
      <w:r w:rsidRPr="00B23F25" w:rsidR="00AA7C9E">
        <w:rPr>
          <w:rFonts w:ascii="Palatino Linotype" w:hAnsi="Palatino Linotype" w:cs="Tahoma" w:eastAsiaTheme="minorHAnsi"/>
          <w:bCs/>
          <w:color w:val="000000" w:themeColor="text1"/>
          <w:sz w:val="22"/>
          <w:szCs w:val="22"/>
          <w:lang w:val="es-ES_tradnl" w:eastAsia="en-US"/>
        </w:rPr>
        <w:t xml:space="preserve"> Municipal</w:t>
      </w:r>
      <w:r w:rsidRPr="00B23F25">
        <w:rPr>
          <w:rFonts w:ascii="Palatino Linotype" w:hAnsi="Palatino Linotype" w:cs="Tahoma" w:eastAsiaTheme="minorHAnsi"/>
          <w:bCs/>
          <w:color w:val="000000" w:themeColor="text1"/>
          <w:sz w:val="22"/>
          <w:szCs w:val="22"/>
          <w:lang w:val="es-ES_tradnl" w:eastAsia="en-US"/>
        </w:rPr>
        <w:t>, encargada de</w:t>
      </w:r>
      <w:r w:rsidRPr="00B23F25" w:rsidR="00351A21">
        <w:rPr>
          <w:rFonts w:ascii="Palatino Linotype" w:hAnsi="Palatino Linotype" w:cs="Tahoma" w:eastAsiaTheme="minorHAnsi"/>
          <w:bCs/>
          <w:color w:val="000000" w:themeColor="text1"/>
          <w:sz w:val="22"/>
          <w:szCs w:val="22"/>
          <w:lang w:val="es-ES_tradnl" w:eastAsia="en-US"/>
        </w:rPr>
        <w:t xml:space="preserve"> salvaguardar y garantizar el orden público y la paz social, así como de </w:t>
      </w:r>
      <w:r w:rsidRPr="00B23F25">
        <w:rPr>
          <w:rFonts w:ascii="Palatino Linotype" w:hAnsi="Palatino Linotype" w:cs="Tahoma" w:eastAsiaTheme="minorHAnsi"/>
          <w:bCs/>
          <w:color w:val="000000" w:themeColor="text1"/>
          <w:sz w:val="22"/>
          <w:szCs w:val="22"/>
          <w:lang w:val="es-ES_tradnl" w:eastAsia="en-US"/>
        </w:rPr>
        <w:t xml:space="preserve"> la prevención</w:t>
      </w:r>
      <w:r w:rsidRPr="00B23F25" w:rsidR="00351A21">
        <w:rPr>
          <w:rFonts w:ascii="Palatino Linotype" w:hAnsi="Palatino Linotype" w:cs="Tahoma" w:eastAsiaTheme="minorHAnsi"/>
          <w:bCs/>
          <w:color w:val="000000" w:themeColor="text1"/>
          <w:sz w:val="22"/>
          <w:szCs w:val="22"/>
          <w:lang w:val="es-ES_tradnl" w:eastAsia="en-US"/>
        </w:rPr>
        <w:t>, combate y persecución de delitos</w:t>
      </w:r>
      <w:r w:rsidRPr="00B23F25">
        <w:rPr>
          <w:rFonts w:ascii="Palatino Linotype" w:hAnsi="Palatino Linotype" w:cs="Tahoma" w:eastAsiaTheme="minorHAnsi"/>
          <w:bCs/>
          <w:color w:val="000000" w:themeColor="text1"/>
          <w:sz w:val="22"/>
          <w:szCs w:val="22"/>
          <w:lang w:val="es-ES_tradnl" w:eastAsia="en-US"/>
        </w:rPr>
        <w:t>; por lo que, este Instituto considera que en dicha área existen servidores públicos que realizan funciones operativas en materia de seguridad pública.</w:t>
      </w:r>
    </w:p>
    <w:p w:rsidRPr="00B23F25" w:rsidR="00830863" w:rsidP="00710DA7" w:rsidRDefault="00830863" w14:paraId="3E3F70A1" w14:textId="77777777">
      <w:pPr>
        <w:spacing w:line="360" w:lineRule="auto"/>
        <w:ind w:right="-93"/>
        <w:jc w:val="both"/>
        <w:rPr>
          <w:rFonts w:ascii="Palatino Linotype" w:hAnsi="Palatino Linotype" w:cs="Tahoma" w:eastAsiaTheme="minorHAnsi"/>
          <w:bCs/>
          <w:color w:val="000000" w:themeColor="text1"/>
          <w:sz w:val="22"/>
          <w:szCs w:val="22"/>
          <w:lang w:val="es-ES_tradnl" w:eastAsia="en-US"/>
        </w:rPr>
      </w:pPr>
    </w:p>
    <w:p w:rsidRPr="00B23F25" w:rsidR="00830863" w:rsidP="00710DA7" w:rsidRDefault="00830863" w14:paraId="22D0B26C" w14:textId="77777777">
      <w:pPr>
        <w:spacing w:line="360" w:lineRule="auto"/>
        <w:jc w:val="both"/>
        <w:rPr>
          <w:rFonts w:ascii="Palatino Linotype" w:hAnsi="Palatino Linotype" w:eastAsia="Calibri"/>
          <w:sz w:val="22"/>
          <w:szCs w:val="20"/>
          <w:lang w:eastAsia="es-ES"/>
        </w:rPr>
      </w:pPr>
      <w:r w:rsidRPr="00B23F25">
        <w:rPr>
          <w:rFonts w:ascii="Palatino Linotype" w:hAnsi="Palatino Linotype" w:eastAsia="Calibri"/>
          <w:sz w:val="22"/>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B23F25" w:rsidR="00830863" w:rsidP="00710DA7" w:rsidRDefault="00830863" w14:paraId="3B599C39" w14:textId="77777777">
      <w:pPr>
        <w:spacing w:line="360" w:lineRule="auto"/>
        <w:jc w:val="both"/>
        <w:rPr>
          <w:rFonts w:ascii="Palatino Linotype" w:hAnsi="Palatino Linotype" w:cs="Tahoma"/>
          <w:sz w:val="22"/>
          <w:szCs w:val="22"/>
          <w:lang w:eastAsia="es-ES"/>
        </w:rPr>
      </w:pPr>
    </w:p>
    <w:p w:rsidRPr="00B23F25" w:rsidR="00830863" w:rsidP="00710DA7" w:rsidRDefault="00830863" w14:paraId="77CAF904"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B23F25">
        <w:rPr>
          <w:rFonts w:ascii="Palatino Linotype" w:hAnsi="Palatino Linotype" w:eastAsia="Calibri" w:cs="Tahoma"/>
          <w:i/>
          <w:iCs/>
          <w:sz w:val="20"/>
          <w:szCs w:val="20"/>
          <w:lang w:val="es-ES" w:eastAsia="es-ES_tradnl"/>
        </w:rPr>
        <w:t>“</w:t>
      </w:r>
      <w:r w:rsidRPr="00B23F25">
        <w:rPr>
          <w:rFonts w:ascii="Palatino Linotype" w:hAnsi="Palatino Linotype" w:eastAsia="Calibri" w:cs="Tahoma"/>
          <w:b/>
          <w:i/>
          <w:iCs/>
          <w:sz w:val="20"/>
          <w:szCs w:val="20"/>
          <w:lang w:val="es-ES" w:eastAsia="es-ES_tradnl"/>
        </w:rPr>
        <w:t>Artículo 140.</w:t>
      </w:r>
      <w:r w:rsidRPr="00B23F25">
        <w:rPr>
          <w:rFonts w:ascii="Palatino Linotype" w:hAnsi="Palatino Linotype"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B23F25" w:rsidR="00830863" w:rsidP="00710DA7" w:rsidRDefault="00830863" w14:paraId="40C00524"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B23F25">
        <w:rPr>
          <w:rFonts w:ascii="Palatino Linotype" w:hAnsi="Palatino Linotype" w:eastAsia="Calibri" w:cs="Tahoma"/>
          <w:i/>
          <w:iCs/>
          <w:sz w:val="20"/>
          <w:szCs w:val="20"/>
          <w:lang w:val="es-ES" w:eastAsia="es-ES_tradnl"/>
        </w:rPr>
        <w:t>…</w:t>
      </w:r>
    </w:p>
    <w:p w:rsidRPr="00B23F25" w:rsidR="00830863" w:rsidP="00710DA7" w:rsidRDefault="00830863" w14:paraId="21920521" w14:textId="77777777">
      <w:pPr>
        <w:tabs>
          <w:tab w:val="left" w:pos="4962"/>
        </w:tabs>
        <w:spacing w:line="360" w:lineRule="auto"/>
        <w:ind w:left="567" w:right="567"/>
        <w:jc w:val="both"/>
        <w:rPr>
          <w:rFonts w:ascii="Palatino Linotype" w:hAnsi="Palatino Linotype" w:eastAsia="Calibri" w:cs="Tahoma"/>
          <w:i/>
          <w:iCs/>
          <w:sz w:val="20"/>
          <w:szCs w:val="20"/>
          <w:lang w:eastAsia="es-ES_tradnl"/>
        </w:rPr>
      </w:pPr>
      <w:r w:rsidRPr="00B23F25">
        <w:rPr>
          <w:rFonts w:ascii="Palatino Linotype" w:hAnsi="Palatino Linotype" w:eastAsia="Calibri" w:cs="Tahoma"/>
          <w:i/>
          <w:iCs/>
          <w:sz w:val="20"/>
          <w:szCs w:val="20"/>
          <w:lang w:eastAsia="es-ES_tradnl"/>
        </w:rPr>
        <w:t>IV. Ponga en riesgo la vida, la seguridad o la salud de una persona física;</w:t>
      </w:r>
    </w:p>
    <w:p w:rsidRPr="00B23F25" w:rsidR="00830863" w:rsidP="00710DA7" w:rsidRDefault="00830863" w14:paraId="79DB8EAA"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B23F25">
        <w:rPr>
          <w:rFonts w:ascii="Palatino Linotype" w:hAnsi="Palatino Linotype" w:eastAsia="Calibri" w:cs="Tahoma"/>
          <w:i/>
          <w:iCs/>
          <w:sz w:val="20"/>
          <w:szCs w:val="20"/>
          <w:lang w:val="es-ES" w:eastAsia="es-ES_tradnl"/>
        </w:rPr>
        <w:t xml:space="preserve">…” </w:t>
      </w:r>
    </w:p>
    <w:p w:rsidRPr="00B23F25" w:rsidR="00830863" w:rsidP="00710DA7" w:rsidRDefault="00830863" w14:paraId="76FCFB21"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623B0611"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lastRenderedPageBreak/>
        <w:t xml:space="preserve">Del precepto legal anteriormente citado se desprende que como información reservada podrá clasificarse aquella cuya publicación pueda poner en riesgo la vida, seguridad o salud de una persona física; para acreditar lo anterior, los </w:t>
      </w:r>
      <w:r w:rsidRPr="00B23F25">
        <w:rPr>
          <w:rFonts w:ascii="Palatino Linotype" w:hAnsi="Palatino Linotype" w:eastAsia="Calibri" w:cs="Tahoma"/>
          <w:bCs/>
          <w:sz w:val="22"/>
          <w:szCs w:val="22"/>
          <w:lang w:val="es-ES" w:eastAsia="en-US"/>
        </w:rPr>
        <w:t>Lineamientos Generales,</w:t>
      </w:r>
      <w:r w:rsidRPr="00B23F25">
        <w:rPr>
          <w:rFonts w:ascii="Palatino Linotype" w:hAnsi="Palatino Linotype" w:eastAsia="Calibri" w:cs="Tahoma"/>
          <w:bCs/>
          <w:sz w:val="22"/>
          <w:szCs w:val="22"/>
          <w:lang w:eastAsia="en-US"/>
        </w:rPr>
        <w:t xml:space="preserve"> establecen lo siguiente:</w:t>
      </w:r>
    </w:p>
    <w:p w:rsidRPr="00B23F25" w:rsidR="00830863" w:rsidP="00710DA7" w:rsidRDefault="00830863" w14:paraId="0D64955E"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66C2ECCC" w14:textId="77777777">
      <w:pPr>
        <w:spacing w:line="360" w:lineRule="auto"/>
        <w:ind w:left="567" w:right="567"/>
        <w:jc w:val="both"/>
        <w:rPr>
          <w:rFonts w:ascii="Palatino Linotype" w:hAnsi="Palatino Linotype" w:eastAsia="Calibri" w:cs="Tahoma"/>
          <w:bCs/>
          <w:i/>
          <w:sz w:val="20"/>
          <w:szCs w:val="20"/>
          <w:lang w:eastAsia="en-US"/>
        </w:rPr>
      </w:pPr>
      <w:r w:rsidRPr="00B23F25">
        <w:rPr>
          <w:rFonts w:ascii="Palatino Linotype" w:hAnsi="Palatino Linotype" w:eastAsia="Calibri" w:cs="Tahoma"/>
          <w:b/>
          <w:bCs/>
          <w:i/>
          <w:sz w:val="20"/>
          <w:szCs w:val="20"/>
          <w:lang w:eastAsia="en-US"/>
        </w:rPr>
        <w:t xml:space="preserve">“Vigésimo tercero. </w:t>
      </w:r>
      <w:r w:rsidRPr="00B23F25">
        <w:rPr>
          <w:rFonts w:ascii="Palatino Linotype" w:hAnsi="Palatino Linotype" w:eastAsia="Calibri" w:cs="Tahoma"/>
          <w:bCs/>
          <w:i/>
          <w:sz w:val="20"/>
          <w:szCs w:val="20"/>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B23F25" w:rsidR="00830863" w:rsidP="00710DA7" w:rsidRDefault="00830863" w14:paraId="5F032A0B" w14:textId="77777777">
      <w:pPr>
        <w:spacing w:line="360" w:lineRule="auto"/>
        <w:ind w:left="567" w:right="567"/>
        <w:jc w:val="both"/>
        <w:rPr>
          <w:rFonts w:ascii="Palatino Linotype" w:hAnsi="Palatino Linotype" w:eastAsia="Calibri" w:cs="Tahoma"/>
          <w:bCs/>
          <w:i/>
          <w:sz w:val="20"/>
          <w:szCs w:val="20"/>
          <w:lang w:eastAsia="en-US"/>
        </w:rPr>
      </w:pPr>
    </w:p>
    <w:p w:rsidRPr="00B23F25" w:rsidR="00830863" w:rsidP="00710DA7" w:rsidRDefault="00830863" w14:paraId="1770E355"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B23F25">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B23F25">
        <w:rPr>
          <w:rFonts w:ascii="Palatino Linotype" w:hAnsi="Palatino Linotype" w:eastAsia="Calibri" w:cs="Tahoma"/>
          <w:bCs/>
          <w:sz w:val="22"/>
          <w:szCs w:val="22"/>
          <w:lang w:eastAsia="en-US"/>
        </w:rPr>
        <w:t>.</w:t>
      </w:r>
    </w:p>
    <w:p w:rsidRPr="00B23F25" w:rsidR="00830863" w:rsidP="00710DA7" w:rsidRDefault="00830863" w14:paraId="60CDE69B"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5614A106"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Además, el artículo 81, fracción III, de la Ley de Seguridad del Estado de México, establece lo siguiente:</w:t>
      </w:r>
    </w:p>
    <w:p w:rsidRPr="00B23F25" w:rsidR="00830863" w:rsidP="00710DA7" w:rsidRDefault="00830863" w14:paraId="70723F6A"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69F7B659" w14:textId="77777777">
      <w:pPr>
        <w:spacing w:line="360" w:lineRule="auto"/>
        <w:ind w:left="567" w:right="567"/>
        <w:jc w:val="both"/>
        <w:rPr>
          <w:rFonts w:ascii="Palatino Linotype" w:hAnsi="Palatino Linotype" w:eastAsia="Calibri" w:cs="Tahoma"/>
          <w:bCs/>
          <w:i/>
          <w:sz w:val="20"/>
          <w:szCs w:val="20"/>
          <w:lang w:eastAsia="en-US"/>
        </w:rPr>
      </w:pPr>
      <w:r w:rsidRPr="00B23F25">
        <w:rPr>
          <w:rFonts w:ascii="Palatino Linotype" w:hAnsi="Palatino Linotype" w:eastAsia="Calibri" w:cs="Tahoma"/>
          <w:b/>
          <w:bCs/>
          <w:i/>
          <w:sz w:val="20"/>
          <w:szCs w:val="20"/>
          <w:lang w:eastAsia="en-US"/>
        </w:rPr>
        <w:t>“Artículo 81.-</w:t>
      </w:r>
      <w:r w:rsidRPr="00B23F25">
        <w:rPr>
          <w:rFonts w:ascii="Palatino Linotype" w:hAnsi="Palatino Linotype" w:eastAsia="Calibri" w:cs="Tahoma"/>
          <w:bCs/>
          <w:i/>
          <w:sz w:val="20"/>
          <w:szCs w:val="20"/>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B23F25" w:rsidR="00830863" w:rsidP="00710DA7" w:rsidRDefault="00830863" w14:paraId="5F1B6373" w14:textId="77777777">
      <w:pPr>
        <w:spacing w:line="360" w:lineRule="auto"/>
        <w:ind w:left="567" w:right="567"/>
        <w:jc w:val="both"/>
        <w:rPr>
          <w:rFonts w:ascii="Palatino Linotype" w:hAnsi="Palatino Linotype" w:eastAsia="Calibri" w:cs="Tahoma"/>
          <w:bCs/>
          <w:i/>
          <w:sz w:val="20"/>
          <w:szCs w:val="20"/>
          <w:lang w:eastAsia="en-US"/>
        </w:rPr>
      </w:pPr>
      <w:r w:rsidRPr="00B23F25">
        <w:rPr>
          <w:rFonts w:ascii="Palatino Linotype" w:hAnsi="Palatino Linotype" w:eastAsia="Calibri" w:cs="Tahoma"/>
          <w:bCs/>
          <w:i/>
          <w:sz w:val="20"/>
          <w:szCs w:val="20"/>
          <w:lang w:eastAsia="en-US"/>
        </w:rPr>
        <w:t>…</w:t>
      </w:r>
    </w:p>
    <w:p w:rsidRPr="00B23F25" w:rsidR="00830863" w:rsidP="00710DA7" w:rsidRDefault="00830863" w14:paraId="38C31AEE" w14:textId="77777777">
      <w:pPr>
        <w:spacing w:line="360" w:lineRule="auto"/>
        <w:ind w:left="567" w:right="567"/>
        <w:jc w:val="both"/>
        <w:rPr>
          <w:rFonts w:ascii="Palatino Linotype" w:hAnsi="Palatino Linotype" w:eastAsia="Calibri" w:cs="Tahoma"/>
          <w:bCs/>
          <w:i/>
          <w:sz w:val="20"/>
          <w:szCs w:val="20"/>
          <w:lang w:eastAsia="en-US"/>
        </w:rPr>
      </w:pPr>
      <w:r w:rsidRPr="00B23F25">
        <w:rPr>
          <w:rFonts w:ascii="Palatino Linotype" w:hAnsi="Palatino Linotype" w:eastAsia="Calibri" w:cs="Tahoma"/>
          <w:bCs/>
          <w:i/>
          <w:sz w:val="20"/>
          <w:szCs w:val="20"/>
          <w:lang w:eastAsia="en-US"/>
        </w:rPr>
        <w:t>III. La relativa a los servidores públicos integrantes de las instituciones de seguridad pública, cuya revelación pueda poner en riesgo su vida e integridad física con motivo de sus funciones;</w:t>
      </w:r>
    </w:p>
    <w:p w:rsidRPr="00B23F25" w:rsidR="00830863" w:rsidP="00710DA7" w:rsidRDefault="00830863" w14:paraId="2FECE25F" w14:textId="77777777">
      <w:pPr>
        <w:spacing w:line="360" w:lineRule="auto"/>
        <w:ind w:left="567" w:right="567"/>
        <w:jc w:val="both"/>
        <w:rPr>
          <w:rFonts w:ascii="Palatino Linotype" w:hAnsi="Palatino Linotype" w:eastAsia="Calibri" w:cs="Tahoma"/>
          <w:bCs/>
          <w:i/>
          <w:sz w:val="20"/>
          <w:szCs w:val="20"/>
          <w:lang w:eastAsia="en-US"/>
        </w:rPr>
      </w:pPr>
      <w:r w:rsidRPr="00B23F25">
        <w:rPr>
          <w:rFonts w:ascii="Palatino Linotype" w:hAnsi="Palatino Linotype" w:eastAsia="Calibri" w:cs="Tahoma"/>
          <w:bCs/>
          <w:i/>
          <w:sz w:val="20"/>
          <w:szCs w:val="20"/>
          <w:lang w:eastAsia="en-US"/>
        </w:rPr>
        <w:t>…”</w:t>
      </w:r>
    </w:p>
    <w:p w:rsidRPr="00B23F25" w:rsidR="00830863" w:rsidP="00710DA7" w:rsidRDefault="00830863" w14:paraId="2DB51C0C" w14:textId="77777777">
      <w:pPr>
        <w:spacing w:line="360" w:lineRule="auto"/>
        <w:jc w:val="both"/>
        <w:rPr>
          <w:rFonts w:ascii="Palatino Linotype" w:hAnsi="Palatino Linotype" w:eastAsia="Calibri" w:cs="Tahoma"/>
          <w:bCs/>
          <w:sz w:val="20"/>
          <w:szCs w:val="20"/>
          <w:lang w:eastAsia="en-US"/>
        </w:rPr>
      </w:pPr>
    </w:p>
    <w:p w:rsidRPr="00B23F25" w:rsidR="00830863" w:rsidP="00710DA7" w:rsidRDefault="00830863" w14:paraId="1665DD2C" w14:textId="04E0502F">
      <w:pPr>
        <w:spacing w:line="360" w:lineRule="auto"/>
        <w:jc w:val="both"/>
        <w:rPr>
          <w:rFonts w:ascii="Palatino Linotype" w:hAnsi="Palatino Linotype" w:cs="Tahoma"/>
          <w:sz w:val="22"/>
          <w:szCs w:val="22"/>
          <w:lang w:eastAsia="es-ES"/>
        </w:rPr>
      </w:pPr>
      <w:r w:rsidRPr="00B23F25">
        <w:rPr>
          <w:rFonts w:ascii="Palatino Linotype" w:hAnsi="Palatino Linotype" w:cs="Tahoma"/>
          <w:sz w:val="22"/>
          <w:szCs w:val="22"/>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B23F25" w:rsidR="00830863" w:rsidP="00710DA7" w:rsidRDefault="00830863" w14:paraId="5CE29668"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lastRenderedPageBreak/>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B23F25" w:rsidR="00830863" w:rsidP="00710DA7" w:rsidRDefault="00830863" w14:paraId="7BB1012C"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5086FCAE" w14:textId="77777777">
      <w:pPr>
        <w:spacing w:line="360" w:lineRule="auto"/>
        <w:jc w:val="both"/>
        <w:rPr>
          <w:rFonts w:ascii="Palatino Linotype" w:hAnsi="Palatino Linotype" w:cs="Tahoma"/>
          <w:sz w:val="22"/>
          <w:szCs w:val="22"/>
          <w:lang w:eastAsia="es-ES"/>
        </w:rPr>
      </w:pPr>
      <w:r w:rsidRPr="00B23F25">
        <w:rPr>
          <w:rFonts w:ascii="Palatino Linotype" w:hAnsi="Palatino Linotype" w:eastAsia="Calibri" w:cs="Tahoma"/>
          <w:bCs/>
          <w:sz w:val="22"/>
          <w:szCs w:val="22"/>
          <w:lang w:eastAsia="en-US"/>
        </w:rPr>
        <w:t xml:space="preserve">No obstante, resulta necesario traer a colación por analogía, el Criterio 06/09, emitido por </w:t>
      </w:r>
      <w:r w:rsidRPr="00B23F25">
        <w:rPr>
          <w:rFonts w:ascii="Palatino Linotype" w:hAnsi="Palatino Linotype" w:cs="Tahoma"/>
          <w:sz w:val="22"/>
          <w:szCs w:val="22"/>
          <w:lang w:eastAsia="es-ES"/>
        </w:rPr>
        <w:t>el entonces Instituto Federal de Acceso a la Información y Protección de Datos ahora Instituto Nacional de Transparencia, Acceso a la Información y Protección de Datos Personales, que establece lo siguiente:</w:t>
      </w:r>
    </w:p>
    <w:p w:rsidRPr="00B23F25" w:rsidR="00830863" w:rsidP="00710DA7" w:rsidRDefault="00830863" w14:paraId="65987740" w14:textId="77777777">
      <w:pPr>
        <w:spacing w:line="360" w:lineRule="auto"/>
        <w:jc w:val="both"/>
        <w:rPr>
          <w:rFonts w:ascii="Palatino Linotype" w:hAnsi="Palatino Linotype" w:cs="Tahoma"/>
          <w:i/>
          <w:sz w:val="22"/>
          <w:szCs w:val="22"/>
          <w:lang w:eastAsia="es-ES"/>
        </w:rPr>
      </w:pPr>
    </w:p>
    <w:p w:rsidRPr="00B23F25" w:rsidR="00830863" w:rsidP="00710DA7" w:rsidRDefault="00830863" w14:paraId="2523BC80" w14:textId="77777777">
      <w:pPr>
        <w:tabs>
          <w:tab w:val="left" w:pos="4962"/>
        </w:tabs>
        <w:spacing w:line="360" w:lineRule="auto"/>
        <w:ind w:left="567" w:right="567"/>
        <w:jc w:val="both"/>
        <w:rPr>
          <w:rFonts w:ascii="Palatino Linotype" w:hAnsi="Palatino Linotype" w:cs="Tahoma"/>
          <w:i/>
          <w:sz w:val="20"/>
          <w:szCs w:val="22"/>
          <w:lang w:eastAsia="es-ES"/>
        </w:rPr>
      </w:pPr>
      <w:r w:rsidRPr="00B23F25">
        <w:rPr>
          <w:rFonts w:ascii="Palatino Linotype" w:hAnsi="Palatino Linotype" w:cs="Tahoma"/>
          <w:b/>
          <w:i/>
          <w:sz w:val="20"/>
          <w:szCs w:val="22"/>
          <w:lang w:eastAsia="es-ES"/>
        </w:rPr>
        <w:t>“Nombres de servidores públicos dedicados a actividades en materia de seguridad, por excepción pueden considerarse información reservada.</w:t>
      </w:r>
      <w:r w:rsidRPr="00B23F25">
        <w:rPr>
          <w:rFonts w:ascii="Palatino Linotype" w:hAnsi="Palatino Linotype" w:cs="Tahoma"/>
          <w:i/>
          <w:sz w:val="20"/>
          <w:szCs w:val="22"/>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w:t>
      </w:r>
      <w:r w:rsidRPr="00B23F25">
        <w:rPr>
          <w:rFonts w:ascii="Palatino Linotype" w:hAnsi="Palatino Linotype" w:cs="Tahoma"/>
          <w:i/>
          <w:sz w:val="20"/>
          <w:szCs w:val="22"/>
          <w:lang w:eastAsia="es-ES"/>
        </w:rPr>
        <w:lastRenderedPageBreak/>
        <w:t>en el esfuerzo que realiza el Estado Mexicano para garantizar la seguridad del país en sus diferentes vertientes.”</w:t>
      </w:r>
    </w:p>
    <w:p w:rsidRPr="00B23F25" w:rsidR="00830863" w:rsidP="00710DA7" w:rsidRDefault="00830863" w14:paraId="03493BFE"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2B8F2C75" w14:textId="2C70C8A2">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B23F25" w:rsidR="00684439" w:rsidP="00710DA7" w:rsidRDefault="00684439" w14:paraId="2B69AC7D"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2FE07DD0"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 xml:space="preserve">En ese orden de ideas, si bien por regla general los nombres de los trabajadores gubernamentales son información pública de oficio, existe una excepción relativa a </w:t>
      </w:r>
      <w:r w:rsidRPr="00B23F25">
        <w:rPr>
          <w:rFonts w:ascii="Palatino Linotype" w:hAnsi="Palatino Linotype" w:eastAsia="Calibri" w:cs="Tahoma"/>
          <w:b/>
          <w:bCs/>
          <w:sz w:val="22"/>
          <w:szCs w:val="22"/>
          <w:lang w:eastAsia="en-US"/>
        </w:rPr>
        <w:t>aquellos que realicen actividades operativas en materia de seguridad,</w:t>
      </w:r>
      <w:r w:rsidRPr="00B23F25">
        <w:rPr>
          <w:rFonts w:ascii="Palatino Linotype" w:hAnsi="Palatino Linotype" w:eastAsia="Calibri" w:cs="Tahoma"/>
          <w:bCs/>
          <w:sz w:val="22"/>
          <w:szCs w:val="22"/>
          <w:lang w:eastAsia="en-US"/>
        </w:rPr>
        <w:t xml:space="preserve"> como es el caso de los elementos operativos y la policía municipal.</w:t>
      </w:r>
    </w:p>
    <w:p w:rsidRPr="00B23F25" w:rsidR="00830863" w:rsidP="00710DA7" w:rsidRDefault="00830863" w14:paraId="5247609D"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17524EE3"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B23F25" w:rsidR="00830863" w:rsidP="00710DA7" w:rsidRDefault="00830863" w14:paraId="4BA92ADD"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33DE364E"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B23F25" w:rsidR="00830863" w:rsidP="00710DA7" w:rsidRDefault="00830863" w14:paraId="6ED615E4"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2612B794" w14:textId="77777777">
      <w:pPr>
        <w:numPr>
          <w:ilvl w:val="0"/>
          <w:numId w:val="38"/>
        </w:numPr>
        <w:spacing w:line="360" w:lineRule="auto"/>
        <w:contextualSpacing/>
        <w:jc w:val="both"/>
        <w:rPr>
          <w:rFonts w:ascii="Palatino Linotype" w:hAnsi="Palatino Linotype" w:eastAsia="Calibri" w:cs="Tahoma"/>
          <w:b/>
          <w:bCs/>
          <w:sz w:val="22"/>
          <w:szCs w:val="22"/>
          <w:lang w:eastAsia="en-US"/>
        </w:rPr>
      </w:pPr>
      <w:r w:rsidRPr="00B23F25">
        <w:rPr>
          <w:rFonts w:ascii="Palatino Linotype" w:hAnsi="Palatino Linotype" w:eastAsia="Calibri" w:cs="Tahoma"/>
          <w:b/>
          <w:bCs/>
          <w:sz w:val="22"/>
          <w:szCs w:val="22"/>
          <w:lang w:eastAsia="en-US"/>
        </w:rPr>
        <w:t xml:space="preserve">Instituciones Policiales: </w:t>
      </w:r>
      <w:r w:rsidRPr="00B23F25">
        <w:rPr>
          <w:rFonts w:ascii="Palatino Linotype" w:hAnsi="Palatino Linotype" w:eastAsia="Calibri" w:cs="Tahoma"/>
          <w:bCs/>
          <w:sz w:val="22"/>
          <w:szCs w:val="22"/>
          <w:lang w:eastAsia="en-US"/>
        </w:rPr>
        <w:t xml:space="preserve">Son los cuerpos de policía, de vigilancia y custodia de los establecimientos penitenciarios, detención preventiva, centros de arraigo y en general, </w:t>
      </w:r>
      <w:r w:rsidRPr="00B23F25">
        <w:rPr>
          <w:rFonts w:ascii="Palatino Linotype" w:hAnsi="Palatino Linotype" w:eastAsia="Calibri" w:cs="Tahoma"/>
          <w:b/>
          <w:bCs/>
          <w:sz w:val="22"/>
          <w:szCs w:val="22"/>
          <w:lang w:eastAsia="en-US"/>
        </w:rPr>
        <w:lastRenderedPageBreak/>
        <w:t>todas las dependencias encargadas de la seguridad pública a nivel</w:t>
      </w:r>
      <w:r w:rsidRPr="00B23F25">
        <w:rPr>
          <w:rFonts w:ascii="Palatino Linotype" w:hAnsi="Palatino Linotype" w:eastAsia="Calibri" w:cs="Tahoma"/>
          <w:bCs/>
          <w:sz w:val="22"/>
          <w:szCs w:val="22"/>
          <w:lang w:eastAsia="en-US"/>
        </w:rPr>
        <w:t xml:space="preserve"> estatal y </w:t>
      </w:r>
      <w:r w:rsidRPr="00B23F25">
        <w:rPr>
          <w:rFonts w:ascii="Palatino Linotype" w:hAnsi="Palatino Linotype" w:eastAsia="Calibri" w:cs="Tahoma"/>
          <w:b/>
          <w:bCs/>
          <w:sz w:val="22"/>
          <w:szCs w:val="22"/>
          <w:lang w:eastAsia="en-US"/>
        </w:rPr>
        <w:t>municipal.</w:t>
      </w:r>
    </w:p>
    <w:p w:rsidRPr="00B23F25" w:rsidR="00830863" w:rsidP="00710DA7" w:rsidRDefault="00830863" w14:paraId="37196409" w14:textId="77777777">
      <w:pPr>
        <w:spacing w:line="360" w:lineRule="auto"/>
        <w:ind w:left="720"/>
        <w:contextualSpacing/>
        <w:jc w:val="both"/>
        <w:rPr>
          <w:rFonts w:ascii="Palatino Linotype" w:hAnsi="Palatino Linotype" w:eastAsia="Calibri" w:cs="Tahoma"/>
          <w:bCs/>
          <w:sz w:val="22"/>
          <w:szCs w:val="22"/>
          <w:lang w:eastAsia="en-US"/>
        </w:rPr>
      </w:pPr>
    </w:p>
    <w:p w:rsidRPr="00B23F25" w:rsidR="00830863" w:rsidP="00710DA7" w:rsidRDefault="00830863" w14:paraId="641F7ABE" w14:textId="3CA60835">
      <w:pPr>
        <w:numPr>
          <w:ilvl w:val="0"/>
          <w:numId w:val="38"/>
        </w:numPr>
        <w:spacing w:line="360" w:lineRule="auto"/>
        <w:contextualSpacing/>
        <w:jc w:val="both"/>
        <w:rPr>
          <w:rFonts w:ascii="Palatino Linotype" w:hAnsi="Palatino Linotype" w:eastAsia="Calibri" w:cs="Tahoma"/>
          <w:b/>
          <w:bCs/>
          <w:sz w:val="22"/>
          <w:szCs w:val="22"/>
          <w:lang w:eastAsia="en-US"/>
        </w:rPr>
      </w:pPr>
      <w:r w:rsidRPr="00B23F25">
        <w:rPr>
          <w:rFonts w:ascii="Palatino Linotype" w:hAnsi="Palatino Linotype" w:eastAsia="Calibri" w:cs="Tahoma"/>
          <w:b/>
          <w:bCs/>
          <w:sz w:val="22"/>
          <w:szCs w:val="22"/>
          <w:lang w:eastAsia="en-US"/>
        </w:rPr>
        <w:t xml:space="preserve">Instituciones de Seguridad Pública: </w:t>
      </w:r>
      <w:r w:rsidRPr="00B23F25">
        <w:rPr>
          <w:rFonts w:ascii="Palatino Linotype" w:hAnsi="Palatino Linotype" w:eastAsia="Calibri" w:cs="Tahoma"/>
          <w:bCs/>
          <w:sz w:val="22"/>
          <w:szCs w:val="22"/>
          <w:lang w:eastAsia="en-US"/>
        </w:rPr>
        <w:t xml:space="preserve">Instituciones Policiales, Procuración de Justicia, Sistema Penitenciario y </w:t>
      </w:r>
      <w:r w:rsidRPr="00B23F25">
        <w:rPr>
          <w:rFonts w:ascii="Palatino Linotype" w:hAnsi="Palatino Linotype" w:eastAsia="Calibri" w:cs="Tahoma"/>
          <w:b/>
          <w:bCs/>
          <w:sz w:val="22"/>
          <w:szCs w:val="22"/>
          <w:lang w:eastAsia="en-US"/>
        </w:rPr>
        <w:t xml:space="preserve">dependencias encargadas de la seguridad pública a </w:t>
      </w:r>
      <w:r w:rsidRPr="00B23F25" w:rsidR="00351A21">
        <w:rPr>
          <w:rFonts w:ascii="Palatino Linotype" w:hAnsi="Palatino Linotype" w:eastAsia="Calibri" w:cs="Tahoma"/>
          <w:b/>
          <w:bCs/>
          <w:sz w:val="22"/>
          <w:szCs w:val="22"/>
          <w:lang w:eastAsia="en-US"/>
        </w:rPr>
        <w:t xml:space="preserve">nivel </w:t>
      </w:r>
      <w:r w:rsidRPr="00B23F25" w:rsidR="00351A21">
        <w:rPr>
          <w:rFonts w:ascii="Palatino Linotype" w:hAnsi="Palatino Linotype" w:eastAsia="Calibri" w:cs="Tahoma"/>
          <w:bCs/>
          <w:sz w:val="22"/>
          <w:szCs w:val="22"/>
          <w:lang w:eastAsia="en-US"/>
        </w:rPr>
        <w:t>estatal</w:t>
      </w:r>
      <w:r w:rsidRPr="00B23F25">
        <w:rPr>
          <w:rFonts w:ascii="Palatino Linotype" w:hAnsi="Palatino Linotype" w:eastAsia="Calibri" w:cs="Tahoma"/>
          <w:bCs/>
          <w:sz w:val="22"/>
          <w:szCs w:val="22"/>
          <w:lang w:eastAsia="en-US"/>
        </w:rPr>
        <w:t xml:space="preserve"> y </w:t>
      </w:r>
      <w:r w:rsidRPr="00B23F25">
        <w:rPr>
          <w:rFonts w:ascii="Palatino Linotype" w:hAnsi="Palatino Linotype" w:eastAsia="Calibri" w:cs="Tahoma"/>
          <w:b/>
          <w:bCs/>
          <w:sz w:val="22"/>
          <w:szCs w:val="22"/>
          <w:lang w:eastAsia="en-US"/>
        </w:rPr>
        <w:t>municipal.</w:t>
      </w:r>
    </w:p>
    <w:p w:rsidRPr="00B23F25" w:rsidR="00830863" w:rsidP="00710DA7" w:rsidRDefault="00830863" w14:paraId="26B4C42F" w14:textId="77777777">
      <w:pPr>
        <w:spacing w:line="360" w:lineRule="auto"/>
        <w:contextualSpacing/>
        <w:jc w:val="both"/>
        <w:rPr>
          <w:rFonts w:ascii="Palatino Linotype" w:hAnsi="Palatino Linotype" w:eastAsia="Calibri" w:cs="Tahoma"/>
          <w:b/>
          <w:bCs/>
          <w:sz w:val="22"/>
          <w:szCs w:val="22"/>
          <w:lang w:eastAsia="en-US"/>
        </w:rPr>
      </w:pPr>
    </w:p>
    <w:p w:rsidRPr="00B23F25" w:rsidR="00830863" w:rsidP="00710DA7" w:rsidRDefault="00830863" w14:paraId="783D0DB0" w14:textId="1F1CFCA0">
      <w:pPr>
        <w:spacing w:line="360" w:lineRule="auto"/>
        <w:jc w:val="both"/>
        <w:rPr>
          <w:rFonts w:ascii="Palatino Linotype" w:hAnsi="Palatino Linotype" w:eastAsia="Calibri"/>
          <w:sz w:val="22"/>
          <w:szCs w:val="20"/>
          <w:lang w:eastAsia="es-ES"/>
        </w:rPr>
      </w:pPr>
      <w:r w:rsidRPr="00B23F25">
        <w:rPr>
          <w:rFonts w:ascii="Palatino Linotype" w:hAnsi="Palatino Linotype" w:eastAsia="Calibri" w:cs="Tahoma"/>
          <w:iCs/>
          <w:sz w:val="22"/>
          <w:szCs w:val="20"/>
          <w:lang w:val="es-ES" w:eastAsia="es-ES_tradnl"/>
        </w:rPr>
        <w:t>Conforme a lo anterior</w:t>
      </w:r>
      <w:r w:rsidRPr="00B23F25">
        <w:rPr>
          <w:rFonts w:ascii="Palatino Linotype" w:hAnsi="Palatino Linotype" w:eastAsia="Calibri" w:cs="Tahoma"/>
          <w:bCs/>
          <w:sz w:val="22"/>
          <w:szCs w:val="22"/>
          <w:lang w:eastAsia="en-US"/>
        </w:rPr>
        <w:t xml:space="preserve">, se puede deducir que la </w:t>
      </w:r>
      <w:r w:rsidRPr="00B23F25" w:rsidR="00C34608">
        <w:rPr>
          <w:rFonts w:ascii="Palatino Linotype" w:hAnsi="Palatino Linotype" w:cs="Tahoma" w:eastAsiaTheme="minorHAnsi"/>
          <w:bCs/>
          <w:color w:val="000000" w:themeColor="text1"/>
          <w:sz w:val="22"/>
          <w:szCs w:val="22"/>
          <w:lang w:val="es-ES_tradnl" w:eastAsia="en-US"/>
        </w:rPr>
        <w:t>Comisaría de Seguridad Pública Municipal</w:t>
      </w:r>
      <w:r w:rsidRPr="00B23F25">
        <w:rPr>
          <w:rFonts w:ascii="Palatino Linotype" w:hAnsi="Palatino Linotype" w:eastAsia="Calibri" w:cs="Tahoma"/>
          <w:bCs/>
          <w:sz w:val="22"/>
          <w:szCs w:val="22"/>
          <w:lang w:eastAsia="en-US"/>
        </w:rPr>
        <w:t xml:space="preserve">, es una institución de seguridad pública, pues tiene como atribución principal, la prevención de delitos </w:t>
      </w:r>
      <w:r w:rsidRPr="00B23F25">
        <w:rPr>
          <w:rFonts w:ascii="Palatino Linotype" w:hAnsi="Palatino Linotype" w:eastAsia="Calibri"/>
          <w:sz w:val="22"/>
          <w:szCs w:val="20"/>
          <w:lang w:eastAsia="es-ES"/>
        </w:rPr>
        <w:t>y proteger a las personas, sus propiedades, posesiones y derechos</w:t>
      </w:r>
      <w:r w:rsidRPr="00B23F25" w:rsidR="00684439">
        <w:rPr>
          <w:rFonts w:ascii="Palatino Linotype" w:hAnsi="Palatino Linotype" w:eastAsia="Calibri"/>
          <w:sz w:val="22"/>
          <w:szCs w:val="20"/>
          <w:lang w:eastAsia="es-ES"/>
        </w:rPr>
        <w:t>.</w:t>
      </w:r>
    </w:p>
    <w:p w:rsidRPr="00B23F25" w:rsidR="00684439" w:rsidP="00710DA7" w:rsidRDefault="00684439" w14:paraId="611C1838"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594310BF" w14:textId="134E4364">
      <w:pPr>
        <w:tabs>
          <w:tab w:val="left" w:pos="4962"/>
        </w:tabs>
        <w:spacing w:line="360" w:lineRule="auto"/>
        <w:ind w:right="-28"/>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val="es-ES" w:eastAsia="en-US"/>
        </w:rPr>
        <w:t xml:space="preserve">Además, </w:t>
      </w:r>
      <w:r w:rsidRPr="00B23F25">
        <w:rPr>
          <w:rFonts w:ascii="Palatino Linotype" w:hAnsi="Palatino Linotype" w:eastAsia="Calibri" w:cs="Tahoma"/>
          <w:bCs/>
          <w:sz w:val="22"/>
          <w:szCs w:val="22"/>
          <w:lang w:eastAsia="en-US"/>
        </w:rPr>
        <w:t>el Instructivo de llenado del Formato “Personal de Seguridad Pública”, del Secretariado Ejecutivo del Sistema Nacional de Seguridad Pública (consultado el veinti</w:t>
      </w:r>
      <w:r w:rsidRPr="00B23F25" w:rsidR="0044286D">
        <w:rPr>
          <w:rFonts w:ascii="Palatino Linotype" w:hAnsi="Palatino Linotype" w:eastAsia="Calibri" w:cs="Tahoma"/>
          <w:bCs/>
          <w:sz w:val="22"/>
          <w:szCs w:val="22"/>
          <w:lang w:eastAsia="en-US"/>
        </w:rPr>
        <w:t xml:space="preserve">cinco </w:t>
      </w:r>
      <w:r w:rsidRPr="00B23F25">
        <w:rPr>
          <w:rFonts w:ascii="Palatino Linotype" w:hAnsi="Palatino Linotype" w:eastAsia="Calibri" w:cs="Tahoma"/>
          <w:bCs/>
          <w:sz w:val="22"/>
          <w:szCs w:val="22"/>
          <w:lang w:eastAsia="en-US"/>
        </w:rPr>
        <w:t xml:space="preserve">de </w:t>
      </w:r>
      <w:r w:rsidRPr="00B23F25" w:rsidR="0044286D">
        <w:rPr>
          <w:rFonts w:ascii="Palatino Linotype" w:hAnsi="Palatino Linotype" w:eastAsia="Calibri" w:cs="Tahoma"/>
          <w:bCs/>
          <w:sz w:val="22"/>
          <w:szCs w:val="22"/>
          <w:lang w:eastAsia="en-US"/>
        </w:rPr>
        <w:t>abril</w:t>
      </w:r>
      <w:r w:rsidRPr="00B23F25">
        <w:rPr>
          <w:rFonts w:ascii="Palatino Linotype" w:hAnsi="Palatino Linotype" w:eastAsia="Calibri" w:cs="Tahoma"/>
          <w:bCs/>
          <w:sz w:val="22"/>
          <w:szCs w:val="22"/>
          <w:lang w:eastAsia="en-US"/>
        </w:rPr>
        <w:t xml:space="preserve"> de dos mil veinti</w:t>
      </w:r>
      <w:r w:rsidRPr="00B23F25" w:rsidR="0044286D">
        <w:rPr>
          <w:rFonts w:ascii="Palatino Linotype" w:hAnsi="Palatino Linotype" w:eastAsia="Calibri" w:cs="Tahoma"/>
          <w:bCs/>
          <w:sz w:val="22"/>
          <w:szCs w:val="22"/>
          <w:lang w:eastAsia="en-US"/>
        </w:rPr>
        <w:t>dós</w:t>
      </w:r>
      <w:r w:rsidRPr="00B23F25">
        <w:rPr>
          <w:rFonts w:ascii="Palatino Linotype" w:hAnsi="Palatino Linotype" w:eastAsia="Calibri" w:cs="Tahoma"/>
          <w:bCs/>
          <w:sz w:val="22"/>
          <w:szCs w:val="22"/>
          <w:lang w:eastAsia="en-US"/>
        </w:rPr>
        <w:t xml:space="preserve">, a las </w:t>
      </w:r>
      <w:r w:rsidRPr="00B23F25" w:rsidR="0044286D">
        <w:rPr>
          <w:rFonts w:ascii="Palatino Linotype" w:hAnsi="Palatino Linotype" w:eastAsia="Calibri" w:cs="Tahoma"/>
          <w:bCs/>
          <w:sz w:val="22"/>
          <w:szCs w:val="22"/>
          <w:lang w:eastAsia="en-US"/>
        </w:rPr>
        <w:t>dieciséis</w:t>
      </w:r>
      <w:r w:rsidRPr="00B23F25">
        <w:rPr>
          <w:rFonts w:ascii="Palatino Linotype" w:hAnsi="Palatino Linotype" w:eastAsia="Calibri" w:cs="Tahoma"/>
          <w:bCs/>
          <w:sz w:val="22"/>
          <w:szCs w:val="22"/>
          <w:lang w:eastAsia="en-US"/>
        </w:rPr>
        <w:t xml:space="preserve"> horas, en la liga electrónica </w:t>
      </w:r>
      <w:hyperlink w:history="1" r:id="rId10">
        <w:r w:rsidRPr="00B23F25">
          <w:rPr>
            <w:rFonts w:ascii="Palatino Linotype" w:hAnsi="Palatino Linotype" w:eastAsia="Calibri" w:cs="Tahoma"/>
            <w:bCs/>
            <w:color w:val="0563C1"/>
            <w:sz w:val="22"/>
            <w:szCs w:val="22"/>
            <w:u w:val="single"/>
            <w:lang w:eastAsia="en-US"/>
          </w:rPr>
          <w:t>http://secretariadoejecutivo.gob.mx/work/models/SecretariadoEjecutivo/Resource/328/1/images/instructivo_final_edo_fuerza(1).pdf</w:t>
        </w:r>
      </w:hyperlink>
      <w:r w:rsidRPr="00B23F25">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B23F25">
        <w:rPr>
          <w:rFonts w:ascii="Palatino Linotype" w:hAnsi="Palatino Linotype" w:eastAsia="Calibri" w:cs="Tahoma"/>
          <w:b/>
          <w:bCs/>
          <w:sz w:val="22"/>
          <w:szCs w:val="22"/>
          <w:lang w:eastAsia="en-US"/>
        </w:rPr>
        <w:t>desempeña funciones de mando</w:t>
      </w:r>
      <w:r w:rsidRPr="00B23F25">
        <w:rPr>
          <w:rFonts w:ascii="Palatino Linotype" w:hAnsi="Palatino Linotype" w:eastAsia="Calibri" w:cs="Tahoma"/>
          <w:bCs/>
          <w:sz w:val="22"/>
          <w:szCs w:val="22"/>
          <w:lang w:eastAsia="en-US"/>
        </w:rPr>
        <w:t xml:space="preserve">), entre los cuales, se encuentra </w:t>
      </w:r>
      <w:r w:rsidRPr="00B23F25">
        <w:rPr>
          <w:rFonts w:ascii="Palatino Linotype" w:hAnsi="Palatino Linotype" w:eastAsia="Calibri" w:cs="Tahoma"/>
          <w:b/>
          <w:bCs/>
          <w:sz w:val="22"/>
          <w:szCs w:val="22"/>
          <w:lang w:eastAsia="en-US"/>
        </w:rPr>
        <w:t>la Policía Municipal</w:t>
      </w:r>
      <w:r w:rsidRPr="00B23F25">
        <w:rPr>
          <w:rFonts w:ascii="Palatino Linotype" w:hAnsi="Palatino Linotype" w:eastAsia="Calibri" w:cs="Tahoma"/>
          <w:bCs/>
          <w:sz w:val="22"/>
          <w:szCs w:val="22"/>
          <w:lang w:eastAsia="en-US"/>
        </w:rPr>
        <w:t>.</w:t>
      </w:r>
    </w:p>
    <w:p w:rsidRPr="00B23F25" w:rsidR="00830863" w:rsidP="00710DA7" w:rsidRDefault="00830863" w14:paraId="7CE65A4E"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B23F25" w:rsidR="00830863" w:rsidP="00710DA7" w:rsidRDefault="00830863" w14:paraId="32AD27B5" w14:textId="3C7C11F8">
      <w:pPr>
        <w:tabs>
          <w:tab w:val="left" w:pos="4962"/>
        </w:tabs>
        <w:spacing w:line="360" w:lineRule="auto"/>
        <w:ind w:right="-28"/>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B23F25" w:rsidR="00830863" w:rsidP="00710DA7" w:rsidRDefault="00830863" w14:paraId="37D910F6"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1D6C8EC7"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lastRenderedPageBreak/>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Pr="00B23F25" w:rsidR="00830863" w:rsidP="00710DA7" w:rsidRDefault="00830863" w14:paraId="68AE20DD"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7B2F9D71"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B23F25" w:rsidR="00830863" w:rsidP="00710DA7" w:rsidRDefault="00830863" w14:paraId="6CB7EC1D" w14:textId="77777777">
      <w:pPr>
        <w:spacing w:line="360" w:lineRule="auto"/>
        <w:jc w:val="both"/>
        <w:rPr>
          <w:rFonts w:ascii="Palatino Linotype" w:hAnsi="Palatino Linotype" w:eastAsia="Calibri" w:cs="Tahoma"/>
          <w:bCs/>
          <w:sz w:val="22"/>
          <w:szCs w:val="22"/>
          <w:lang w:eastAsia="en-US"/>
        </w:rPr>
      </w:pPr>
    </w:p>
    <w:p w:rsidRPr="00B23F25" w:rsidR="001D6230" w:rsidP="001D6230" w:rsidRDefault="00830863" w14:paraId="56E7D299" w14:textId="70976242">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Lo anterior, se robustece con las Cifras de Incidencia Delictiva Municipal 2015-202</w:t>
      </w:r>
      <w:r w:rsidRPr="00B23F25" w:rsidR="00871F86">
        <w:rPr>
          <w:rFonts w:ascii="Palatino Linotype" w:hAnsi="Palatino Linotype" w:eastAsia="Calibri" w:cs="Tahoma"/>
          <w:bCs/>
          <w:sz w:val="22"/>
          <w:szCs w:val="22"/>
          <w:lang w:eastAsia="en-US"/>
        </w:rPr>
        <w:t>2</w:t>
      </w:r>
      <w:r w:rsidRPr="00B23F25">
        <w:rPr>
          <w:rFonts w:ascii="Palatino Linotype" w:hAnsi="Palatino Linotype" w:eastAsia="Calibri" w:cs="Tahoma"/>
          <w:bCs/>
          <w:sz w:val="22"/>
          <w:szCs w:val="22"/>
          <w:lang w:eastAsia="en-US"/>
        </w:rPr>
        <w:t xml:space="preserve">, publicado por el Secretariado Ejecutivo del Sistema Nacional de Seguridad Pública, en la página </w:t>
      </w:r>
      <w:hyperlink w:history="1" r:id="rId11">
        <w:r w:rsidRPr="00B23F25">
          <w:rPr>
            <w:rFonts w:ascii="Palatino Linotype" w:hAnsi="Palatino Linotype"/>
            <w:color w:val="0563C1"/>
            <w:sz w:val="22"/>
            <w:szCs w:val="22"/>
            <w:u w:val="single"/>
            <w:lang w:eastAsia="es-ES"/>
          </w:rPr>
          <w:t>https://www.gob.mx/sesnsp/acciones-y-programas/incidencia-delictiva-del-fuero-comun-nueva-metodologia?state=published</w:t>
        </w:r>
      </w:hyperlink>
      <w:r w:rsidRPr="00B23F25">
        <w:rPr>
          <w:rFonts w:ascii="Palatino Linotype" w:hAnsi="Palatino Linotype" w:eastAsia="Calibri" w:cs="Tahoma"/>
          <w:bCs/>
          <w:sz w:val="22"/>
          <w:szCs w:val="22"/>
          <w:lang w:eastAsia="en-US"/>
        </w:rPr>
        <w:t xml:space="preserve"> (consultado el </w:t>
      </w:r>
      <w:r w:rsidRPr="00B23F25" w:rsidR="002870B2">
        <w:rPr>
          <w:rFonts w:ascii="Palatino Linotype" w:hAnsi="Palatino Linotype" w:eastAsia="Calibri" w:cs="Tahoma"/>
          <w:bCs/>
          <w:sz w:val="22"/>
          <w:szCs w:val="22"/>
          <w:lang w:eastAsia="en-US"/>
        </w:rPr>
        <w:t>seis</w:t>
      </w:r>
      <w:r w:rsidRPr="00B23F25">
        <w:rPr>
          <w:rFonts w:ascii="Palatino Linotype" w:hAnsi="Palatino Linotype" w:eastAsia="Calibri" w:cs="Tahoma"/>
          <w:bCs/>
          <w:sz w:val="22"/>
          <w:szCs w:val="22"/>
          <w:lang w:eastAsia="en-US"/>
        </w:rPr>
        <w:t xml:space="preserve"> de </w:t>
      </w:r>
      <w:r w:rsidRPr="00B23F25" w:rsidR="002870B2">
        <w:rPr>
          <w:rFonts w:ascii="Palatino Linotype" w:hAnsi="Palatino Linotype" w:eastAsia="Calibri" w:cs="Tahoma"/>
          <w:bCs/>
          <w:sz w:val="22"/>
          <w:szCs w:val="22"/>
          <w:lang w:eastAsia="en-US"/>
        </w:rPr>
        <w:t>junio</w:t>
      </w:r>
      <w:r w:rsidRPr="00B23F25">
        <w:rPr>
          <w:rFonts w:ascii="Palatino Linotype" w:hAnsi="Palatino Linotype" w:eastAsia="Calibri" w:cs="Tahoma"/>
          <w:bCs/>
          <w:sz w:val="22"/>
          <w:szCs w:val="22"/>
          <w:lang w:eastAsia="en-US"/>
        </w:rPr>
        <w:t xml:space="preserve"> de dos mil veintidós, a las dieci</w:t>
      </w:r>
      <w:r w:rsidRPr="00B23F25" w:rsidR="0044286D">
        <w:rPr>
          <w:rFonts w:ascii="Palatino Linotype" w:hAnsi="Palatino Linotype" w:eastAsia="Calibri" w:cs="Tahoma"/>
          <w:bCs/>
          <w:sz w:val="22"/>
          <w:szCs w:val="22"/>
          <w:lang w:eastAsia="en-US"/>
        </w:rPr>
        <w:t>ocho</w:t>
      </w:r>
      <w:r w:rsidRPr="00B23F25">
        <w:rPr>
          <w:rFonts w:ascii="Palatino Linotype" w:hAnsi="Palatino Linotype" w:eastAsia="Calibri" w:cs="Tahoma"/>
          <w:bCs/>
          <w:sz w:val="22"/>
          <w:szCs w:val="22"/>
          <w:lang w:eastAsia="en-US"/>
        </w:rPr>
        <w:t xml:space="preserve"> horas con tres minutos) de cual se desprenden algunos delitos que se han cometido en el Municipio de </w:t>
      </w:r>
      <w:r w:rsidRPr="00B23F25" w:rsidR="00684439">
        <w:rPr>
          <w:rFonts w:ascii="Palatino Linotype" w:hAnsi="Palatino Linotype" w:eastAsia="Calibri" w:cs="Tahoma"/>
          <w:bCs/>
          <w:sz w:val="22"/>
          <w:szCs w:val="22"/>
          <w:lang w:eastAsia="en-US"/>
        </w:rPr>
        <w:t>Temascalcingo</w:t>
      </w:r>
      <w:r w:rsidRPr="00B23F25">
        <w:rPr>
          <w:rFonts w:ascii="Palatino Linotype" w:hAnsi="Palatino Linotype" w:eastAsia="Calibri" w:cs="Tahoma"/>
          <w:bCs/>
          <w:sz w:val="22"/>
          <w:szCs w:val="22"/>
          <w:lang w:eastAsia="en-US"/>
        </w:rPr>
        <w:t>, tal como se observa a continuación:</w:t>
      </w:r>
    </w:p>
    <w:p w:rsidRPr="00B23F25" w:rsidR="00C34608" w:rsidP="001D6230" w:rsidRDefault="00C34608" w14:paraId="7AA1720A" w14:textId="77777777">
      <w:pPr>
        <w:spacing w:line="360" w:lineRule="auto"/>
        <w:jc w:val="both"/>
        <w:rPr>
          <w:rFonts w:ascii="Palatino Linotype" w:hAnsi="Palatino Linotype" w:eastAsia="Calibri" w:cs="Tahoma"/>
          <w:bCs/>
          <w:sz w:val="22"/>
          <w:szCs w:val="22"/>
          <w:lang w:eastAsia="en-US"/>
        </w:rPr>
      </w:pPr>
    </w:p>
    <w:p w:rsidRPr="00B23F25" w:rsidR="00155EE8" w:rsidP="00710DA7" w:rsidRDefault="001D6230" w14:paraId="64ACFE14" w14:textId="052736D2">
      <w:pPr>
        <w:spacing w:line="360" w:lineRule="auto"/>
        <w:ind w:right="-93"/>
        <w:jc w:val="center"/>
        <w:rPr>
          <w:rFonts w:ascii="Palatino Linotype" w:hAnsi="Palatino Linotype" w:eastAsia="Calibri" w:cs="Tahoma"/>
          <w:bCs/>
          <w:sz w:val="22"/>
          <w:szCs w:val="22"/>
          <w:lang w:eastAsia="en-US"/>
        </w:rPr>
      </w:pPr>
      <w:r w:rsidRPr="00B23F25">
        <w:rPr>
          <w:rFonts w:ascii="Palatino Linotype" w:hAnsi="Palatino Linotype" w:eastAsia="Calibri" w:cs="Tahoma"/>
          <w:bCs/>
          <w:noProof/>
          <w:sz w:val="22"/>
          <w:szCs w:val="22"/>
        </w:rPr>
        <w:drawing>
          <wp:inline distT="0" distB="0" distL="0" distR="0" wp14:anchorId="7CA387D4" wp14:editId="1A201B5B">
            <wp:extent cx="4420235" cy="1285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65020"/>
                    <a:stretch/>
                  </pic:blipFill>
                  <pic:spPr bwMode="auto">
                    <a:xfrm>
                      <a:off x="0" y="0"/>
                      <a:ext cx="4420235" cy="1285875"/>
                    </a:xfrm>
                    <a:prstGeom prst="rect">
                      <a:avLst/>
                    </a:prstGeom>
                    <a:noFill/>
                    <a:ln>
                      <a:noFill/>
                    </a:ln>
                    <a:extLst>
                      <a:ext uri="{53640926-AAD7-44D8-BBD7-CCE9431645EC}">
                        <a14:shadowObscured xmlns:a14="http://schemas.microsoft.com/office/drawing/2010/main"/>
                      </a:ext>
                    </a:extLst>
                  </pic:spPr>
                </pic:pic>
              </a:graphicData>
            </a:graphic>
          </wp:inline>
        </w:drawing>
      </w:r>
    </w:p>
    <w:p w:rsidRPr="00B23F25" w:rsidR="00C34608" w:rsidP="00710DA7" w:rsidRDefault="00C34608" w14:paraId="4C6EDC0C" w14:textId="53FC9652">
      <w:pPr>
        <w:spacing w:line="360" w:lineRule="auto"/>
        <w:ind w:right="-93"/>
        <w:jc w:val="center"/>
        <w:rPr>
          <w:rFonts w:ascii="Palatino Linotype" w:hAnsi="Palatino Linotype" w:eastAsia="Calibri" w:cs="Tahoma"/>
          <w:bCs/>
          <w:sz w:val="22"/>
          <w:szCs w:val="22"/>
          <w:lang w:eastAsia="en-US"/>
        </w:rPr>
      </w:pPr>
      <w:r w:rsidRPr="00B23F25">
        <w:rPr>
          <w:rFonts w:ascii="Palatino Linotype" w:hAnsi="Palatino Linotype" w:eastAsia="Calibri" w:cs="Tahoma"/>
          <w:bCs/>
          <w:noProof/>
          <w:sz w:val="22"/>
          <w:szCs w:val="22"/>
        </w:rPr>
        <w:lastRenderedPageBreak/>
        <w:drawing>
          <wp:inline distT="0" distB="0" distL="0" distR="0" wp14:anchorId="1C1F9917" wp14:editId="7B72A363">
            <wp:extent cx="4420235" cy="23996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34722"/>
                    <a:stretch/>
                  </pic:blipFill>
                  <pic:spPr bwMode="auto">
                    <a:xfrm>
                      <a:off x="0" y="0"/>
                      <a:ext cx="4420235" cy="2399665"/>
                    </a:xfrm>
                    <a:prstGeom prst="rect">
                      <a:avLst/>
                    </a:prstGeom>
                    <a:noFill/>
                    <a:ln>
                      <a:noFill/>
                    </a:ln>
                    <a:extLst>
                      <a:ext uri="{53640926-AAD7-44D8-BBD7-CCE9431645EC}">
                        <a14:shadowObscured xmlns:a14="http://schemas.microsoft.com/office/drawing/2010/main"/>
                      </a:ext>
                    </a:extLst>
                  </pic:spPr>
                </pic:pic>
              </a:graphicData>
            </a:graphic>
          </wp:inline>
        </w:drawing>
      </w:r>
    </w:p>
    <w:p w:rsidRPr="00B23F25" w:rsidR="001D6230" w:rsidP="00710DA7" w:rsidRDefault="001D6230" w14:paraId="55794514" w14:textId="77777777">
      <w:pPr>
        <w:spacing w:line="360" w:lineRule="auto"/>
        <w:ind w:right="-93"/>
        <w:jc w:val="center"/>
        <w:rPr>
          <w:rFonts w:ascii="Palatino Linotype" w:hAnsi="Palatino Linotype" w:eastAsia="Calibri" w:cs="Tahoma"/>
          <w:bCs/>
          <w:sz w:val="22"/>
          <w:szCs w:val="22"/>
          <w:lang w:eastAsia="en-US"/>
        </w:rPr>
      </w:pPr>
    </w:p>
    <w:p w:rsidRPr="00B23F25" w:rsidR="00830863" w:rsidP="00710DA7" w:rsidRDefault="00830863" w14:paraId="1028BF23" w14:textId="616E7A2B">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 xml:space="preserve">Como se logra observar, en el Municipio de </w:t>
      </w:r>
      <w:r w:rsidRPr="00B23F25" w:rsidR="00684439">
        <w:rPr>
          <w:rFonts w:ascii="Palatino Linotype" w:hAnsi="Palatino Linotype" w:eastAsia="Calibri" w:cs="Tahoma"/>
          <w:bCs/>
          <w:sz w:val="22"/>
          <w:szCs w:val="22"/>
          <w:lang w:eastAsia="en-US"/>
        </w:rPr>
        <w:t>Temascalcingo</w:t>
      </w:r>
      <w:r w:rsidRPr="00B23F25">
        <w:rPr>
          <w:rFonts w:ascii="Palatino Linotype" w:hAnsi="Palatino Linotype" w:eastAsia="Calibri" w:cs="Tahoma"/>
          <w:bCs/>
          <w:sz w:val="22"/>
          <w:szCs w:val="22"/>
          <w:lang w:eastAsia="en-US"/>
        </w:rPr>
        <w:t xml:space="preserve"> durante </w:t>
      </w:r>
      <w:r w:rsidRPr="00B23F25" w:rsidR="00FC238E">
        <w:rPr>
          <w:rFonts w:ascii="Palatino Linotype" w:hAnsi="Palatino Linotype" w:eastAsia="Calibri" w:cs="Tahoma"/>
          <w:bCs/>
          <w:sz w:val="22"/>
          <w:szCs w:val="22"/>
          <w:lang w:eastAsia="en-US"/>
        </w:rPr>
        <w:t>la presente anualidad</w:t>
      </w:r>
      <w:r w:rsidRPr="00B23F25">
        <w:rPr>
          <w:rFonts w:ascii="Palatino Linotype" w:hAnsi="Palatino Linotype" w:eastAsia="Calibri" w:cs="Tahoma"/>
          <w:bCs/>
          <w:sz w:val="22"/>
          <w:szCs w:val="22"/>
          <w:lang w:eastAsia="en-US"/>
        </w:rPr>
        <w:t>, se han realizado diversos actos ilícitos, entre los más resaltantes encontramos</w:t>
      </w:r>
      <w:r w:rsidRPr="00B23F25" w:rsidR="009510EE">
        <w:rPr>
          <w:rFonts w:ascii="Palatino Linotype" w:hAnsi="Palatino Linotype" w:eastAsia="Calibri" w:cs="Tahoma"/>
          <w:bCs/>
          <w:sz w:val="22"/>
          <w:szCs w:val="22"/>
          <w:lang w:eastAsia="en-US"/>
        </w:rPr>
        <w:t xml:space="preserve"> </w:t>
      </w:r>
      <w:r w:rsidRPr="00B23F25" w:rsidR="009510EE">
        <w:rPr>
          <w:rFonts w:ascii="Palatino Linotype" w:hAnsi="Palatino Linotype" w:eastAsia="Calibri" w:cs="Tahoma"/>
          <w:b/>
          <w:sz w:val="22"/>
          <w:szCs w:val="22"/>
          <w:lang w:eastAsia="en-US"/>
        </w:rPr>
        <w:t>homicidio,</w:t>
      </w:r>
      <w:r w:rsidRPr="00B23F25" w:rsidR="009510EE">
        <w:rPr>
          <w:rFonts w:ascii="Palatino Linotype" w:hAnsi="Palatino Linotype" w:eastAsia="Calibri" w:cs="Tahoma"/>
          <w:bCs/>
          <w:sz w:val="22"/>
          <w:szCs w:val="22"/>
          <w:lang w:eastAsia="en-US"/>
        </w:rPr>
        <w:t xml:space="preserve"> </w:t>
      </w:r>
      <w:r w:rsidRPr="00B23F25">
        <w:rPr>
          <w:rFonts w:ascii="Palatino Linotype" w:hAnsi="Palatino Linotype" w:eastAsia="Calibri" w:cs="Tahoma"/>
          <w:b/>
          <w:sz w:val="22"/>
          <w:szCs w:val="22"/>
          <w:lang w:eastAsia="en-US"/>
        </w:rPr>
        <w:t>lesiones,</w:t>
      </w:r>
      <w:r w:rsidRPr="00B23F25">
        <w:rPr>
          <w:rFonts w:ascii="Palatino Linotype" w:hAnsi="Palatino Linotype" w:eastAsia="Calibri" w:cs="Tahoma"/>
          <w:bCs/>
          <w:sz w:val="22"/>
          <w:szCs w:val="22"/>
          <w:lang w:eastAsia="en-US"/>
        </w:rPr>
        <w:t xml:space="preserve"> </w:t>
      </w:r>
      <w:r w:rsidRPr="00B23F25">
        <w:rPr>
          <w:rFonts w:ascii="Palatino Linotype" w:hAnsi="Palatino Linotype" w:eastAsia="Calibri" w:cs="Tahoma"/>
          <w:b/>
          <w:bCs/>
          <w:sz w:val="22"/>
          <w:szCs w:val="22"/>
          <w:lang w:eastAsia="en-US"/>
        </w:rPr>
        <w:t>robo,</w:t>
      </w:r>
      <w:r w:rsidRPr="00B23F25" w:rsidR="00155EE8">
        <w:rPr>
          <w:rFonts w:ascii="Palatino Linotype" w:hAnsi="Palatino Linotype" w:eastAsia="Calibri" w:cs="Tahoma"/>
          <w:b/>
          <w:bCs/>
          <w:sz w:val="22"/>
          <w:szCs w:val="22"/>
          <w:lang w:eastAsia="en-US"/>
        </w:rPr>
        <w:t xml:space="preserve"> </w:t>
      </w:r>
      <w:r w:rsidRPr="00B23F25" w:rsidR="00FC238E">
        <w:rPr>
          <w:rFonts w:ascii="Palatino Linotype" w:hAnsi="Palatino Linotype" w:eastAsia="Calibri" w:cs="Tahoma"/>
          <w:b/>
          <w:bCs/>
          <w:sz w:val="22"/>
          <w:szCs w:val="22"/>
          <w:lang w:eastAsia="en-US"/>
        </w:rPr>
        <w:t>fraude</w:t>
      </w:r>
      <w:r w:rsidRPr="00B23F25" w:rsidR="00155EE8">
        <w:rPr>
          <w:rFonts w:ascii="Palatino Linotype" w:hAnsi="Palatino Linotype" w:eastAsia="Calibri" w:cs="Tahoma"/>
          <w:b/>
          <w:bCs/>
          <w:sz w:val="22"/>
          <w:szCs w:val="22"/>
          <w:lang w:eastAsia="en-US"/>
        </w:rPr>
        <w:t xml:space="preserve">, </w:t>
      </w:r>
      <w:r w:rsidRPr="00B23F25" w:rsidR="001D6230">
        <w:rPr>
          <w:rFonts w:ascii="Palatino Linotype" w:hAnsi="Palatino Linotype" w:eastAsia="Calibri" w:cs="Tahoma"/>
          <w:b/>
          <w:bCs/>
          <w:sz w:val="22"/>
          <w:szCs w:val="22"/>
          <w:lang w:eastAsia="en-US"/>
        </w:rPr>
        <w:t>daño a la propiedad</w:t>
      </w:r>
      <w:r w:rsidRPr="00B23F25" w:rsidR="00FC238E">
        <w:rPr>
          <w:rFonts w:ascii="Palatino Linotype" w:hAnsi="Palatino Linotype" w:eastAsia="Calibri" w:cs="Tahoma"/>
          <w:b/>
          <w:bCs/>
          <w:sz w:val="22"/>
          <w:szCs w:val="22"/>
          <w:lang w:eastAsia="en-US"/>
        </w:rPr>
        <w:t>, extorsión,</w:t>
      </w:r>
      <w:r w:rsidRPr="00B23F25" w:rsidR="000157BF">
        <w:rPr>
          <w:rFonts w:ascii="Palatino Linotype" w:hAnsi="Palatino Linotype" w:eastAsia="Calibri" w:cs="Tahoma"/>
          <w:b/>
          <w:bCs/>
          <w:sz w:val="22"/>
          <w:szCs w:val="22"/>
          <w:lang w:eastAsia="en-US"/>
        </w:rPr>
        <w:t xml:space="preserve"> violencia familiar, violencia de género, </w:t>
      </w:r>
      <w:r w:rsidRPr="00B23F25" w:rsidR="001D6230">
        <w:rPr>
          <w:rFonts w:ascii="Palatino Linotype" w:hAnsi="Palatino Linotype" w:eastAsia="Calibri" w:cs="Tahoma"/>
          <w:b/>
          <w:bCs/>
          <w:sz w:val="22"/>
          <w:szCs w:val="22"/>
          <w:lang w:eastAsia="en-US"/>
        </w:rPr>
        <w:t>allanamiento de morada</w:t>
      </w:r>
      <w:r w:rsidRPr="00B23F25" w:rsidR="000157BF">
        <w:rPr>
          <w:rFonts w:ascii="Palatino Linotype" w:hAnsi="Palatino Linotype" w:eastAsia="Calibri" w:cs="Tahoma"/>
          <w:b/>
          <w:bCs/>
          <w:sz w:val="22"/>
          <w:szCs w:val="22"/>
          <w:lang w:eastAsia="en-US"/>
        </w:rPr>
        <w:t xml:space="preserve"> y otros delitos del fuero común, </w:t>
      </w:r>
      <w:r w:rsidRPr="00B23F25">
        <w:rPr>
          <w:rFonts w:ascii="Palatino Linotype" w:hAnsi="Palatino Linotype" w:eastAsia="Calibri" w:cs="Tahoma"/>
          <w:bCs/>
          <w:sz w:val="22"/>
          <w:szCs w:val="22"/>
          <w:lang w:eastAsia="en-US"/>
        </w:rPr>
        <w:t xml:space="preserve">hechos que pueden llegar a ser atendidos directamente por este personal operativo en apoyo de los afectados o incluso de las autoridades encargadas de la procuración de justicia. </w:t>
      </w:r>
    </w:p>
    <w:p w:rsidRPr="00B23F25" w:rsidR="0094000F" w:rsidP="00710DA7" w:rsidRDefault="0094000F" w14:paraId="0E752209"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60102FC6" w14:textId="77777777">
      <w:pPr>
        <w:spacing w:line="360" w:lineRule="auto"/>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B23F25" w:rsidR="00830863" w:rsidP="00710DA7" w:rsidRDefault="00830863" w14:paraId="6805A7D4"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0D471494" w14:textId="61ED8A57">
      <w:pPr>
        <w:tabs>
          <w:tab w:val="left" w:pos="4962"/>
        </w:tabs>
        <w:spacing w:line="360" w:lineRule="auto"/>
        <w:jc w:val="both"/>
        <w:rPr>
          <w:rFonts w:ascii="Palatino Linotype" w:hAnsi="Palatino Linotype" w:eastAsia="Calibri" w:cs="Tahoma"/>
          <w:iCs/>
          <w:sz w:val="22"/>
          <w:szCs w:val="22"/>
          <w:lang w:val="es-ES" w:eastAsia="es-ES_tradnl"/>
        </w:rPr>
      </w:pPr>
      <w:r w:rsidRPr="00B23F25">
        <w:rPr>
          <w:rFonts w:ascii="Palatino Linotype" w:hAnsi="Palatino Linotype" w:eastAsia="Calibri" w:cs="Tahoma"/>
          <w:iCs/>
          <w:sz w:val="22"/>
          <w:szCs w:val="22"/>
          <w:lang w:val="es-ES" w:eastAsia="es-ES_tradnl"/>
        </w:rPr>
        <w:t xml:space="preserve">Sobre el particular, cabe traer a colación el artículo 141 de la Ley de Transparencia y Acceso a la Información Pública del Estado de México y Municipios, que establece que las causales de </w:t>
      </w:r>
      <w:r w:rsidRPr="00B23F25">
        <w:rPr>
          <w:rFonts w:ascii="Palatino Linotype" w:hAnsi="Palatino Linotype" w:eastAsia="Calibri" w:cs="Tahoma"/>
          <w:iCs/>
          <w:sz w:val="22"/>
          <w:szCs w:val="22"/>
          <w:lang w:val="es-ES" w:eastAsia="es-ES_tradnl"/>
        </w:rPr>
        <w:lastRenderedPageBreak/>
        <w:t>reserva se deberán fundar y motivar, a través de la aplicación de la prueba de daño establecida en el artículo 129 de dicho ordenamiento, que se debe justificar de la siguiente manera:</w:t>
      </w:r>
    </w:p>
    <w:p w:rsidRPr="00B23F25" w:rsidR="00C34608" w:rsidP="00710DA7" w:rsidRDefault="00C34608" w14:paraId="70E10E5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23F25" w:rsidR="00830863" w:rsidP="00710DA7" w:rsidRDefault="00830863" w14:paraId="74C663B2"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B23F25">
        <w:rPr>
          <w:rFonts w:ascii="Palatino Linotype" w:hAnsi="Palatino Linotype" w:eastAsia="Calibri" w:cs="Tahoma"/>
          <w:iCs/>
          <w:sz w:val="22"/>
          <w:szCs w:val="22"/>
          <w:lang w:val="es-ES_tradnl" w:eastAsia="es-ES_tradnl"/>
        </w:rPr>
        <w:t>La divulgación de la información representa un riesgo real, demostrable e identificable de perjuicio significativo al interés público o a la seguridad nacional.</w:t>
      </w:r>
    </w:p>
    <w:p w:rsidRPr="00B23F25" w:rsidR="00830863" w:rsidP="00710DA7" w:rsidRDefault="00830863" w14:paraId="79EB9793" w14:textId="77777777">
      <w:pPr>
        <w:tabs>
          <w:tab w:val="left" w:pos="4962"/>
        </w:tabs>
        <w:spacing w:line="360" w:lineRule="auto"/>
        <w:jc w:val="both"/>
        <w:rPr>
          <w:rFonts w:ascii="Palatino Linotype" w:hAnsi="Palatino Linotype" w:eastAsia="Calibri" w:cs="Tahoma"/>
          <w:iCs/>
          <w:sz w:val="22"/>
          <w:szCs w:val="22"/>
          <w:lang w:val="es-ES_tradnl" w:eastAsia="es-ES_tradnl"/>
        </w:rPr>
      </w:pPr>
    </w:p>
    <w:p w:rsidRPr="00B23F25" w:rsidR="00830863" w:rsidP="00710DA7" w:rsidRDefault="00830863" w14:paraId="5E22E29A"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B23F25">
        <w:rPr>
          <w:rFonts w:ascii="Palatino Linotype" w:hAnsi="Palatino Linotype" w:eastAsia="Calibri" w:cs="Tahoma"/>
          <w:iCs/>
          <w:sz w:val="22"/>
          <w:szCs w:val="22"/>
          <w:lang w:val="es-ES_tradnl" w:eastAsia="es-ES_tradnl"/>
        </w:rPr>
        <w:t>El riesgo de perjuicio supera el interés público general de que se difunda.</w:t>
      </w:r>
    </w:p>
    <w:p w:rsidRPr="00B23F25" w:rsidR="00830863" w:rsidP="00710DA7" w:rsidRDefault="00830863" w14:paraId="7B5C260D" w14:textId="77777777">
      <w:pPr>
        <w:tabs>
          <w:tab w:val="left" w:pos="4962"/>
        </w:tabs>
        <w:spacing w:line="360" w:lineRule="auto"/>
        <w:jc w:val="both"/>
        <w:rPr>
          <w:rFonts w:ascii="Palatino Linotype" w:hAnsi="Palatino Linotype" w:eastAsia="Calibri" w:cs="Tahoma"/>
          <w:iCs/>
          <w:sz w:val="22"/>
          <w:szCs w:val="22"/>
          <w:lang w:val="es-ES_tradnl" w:eastAsia="es-ES_tradnl"/>
        </w:rPr>
      </w:pPr>
    </w:p>
    <w:p w:rsidRPr="00B23F25" w:rsidR="00830863" w:rsidP="00710DA7" w:rsidRDefault="00830863" w14:paraId="192CC772"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B23F25">
        <w:rPr>
          <w:rFonts w:ascii="Palatino Linotype" w:hAnsi="Palatino Linotype" w:eastAsia="Calibri" w:cs="Tahoma"/>
          <w:iCs/>
          <w:sz w:val="22"/>
          <w:szCs w:val="22"/>
          <w:lang w:val="es-ES_tradnl" w:eastAsia="es-ES_tradnl"/>
        </w:rPr>
        <w:t>Que la limitación se adecua al principio de proporcionalidad y representa el medio menos restrictivo disponible para evitar el perjuicio.</w:t>
      </w:r>
    </w:p>
    <w:p w:rsidRPr="00B23F25" w:rsidR="00830863" w:rsidP="00710DA7" w:rsidRDefault="00830863" w14:paraId="65EC2AAA" w14:textId="77777777">
      <w:pPr>
        <w:spacing w:line="360" w:lineRule="auto"/>
        <w:jc w:val="both"/>
        <w:rPr>
          <w:rFonts w:ascii="Palatino Linotype" w:hAnsi="Palatino Linotype" w:eastAsia="Calibri" w:cs="Tahoma"/>
          <w:iCs/>
          <w:sz w:val="22"/>
          <w:szCs w:val="22"/>
          <w:lang w:eastAsia="es-ES_tradnl"/>
        </w:rPr>
      </w:pPr>
    </w:p>
    <w:p w:rsidRPr="00B23F25" w:rsidR="00830863" w:rsidP="00710DA7" w:rsidRDefault="00830863" w14:paraId="302DBC30" w14:textId="77777777">
      <w:pPr>
        <w:spacing w:line="360" w:lineRule="auto"/>
        <w:jc w:val="both"/>
        <w:rPr>
          <w:rFonts w:ascii="Palatino Linotype" w:hAnsi="Palatino Linotype" w:eastAsia="Calibri" w:cs="Tahoma"/>
          <w:iCs/>
          <w:sz w:val="22"/>
          <w:szCs w:val="22"/>
          <w:lang w:eastAsia="es-ES_tradnl"/>
        </w:rPr>
      </w:pPr>
      <w:r w:rsidRPr="00B23F25">
        <w:rPr>
          <w:rFonts w:ascii="Palatino Linotype" w:hAnsi="Palatino Linotype" w:eastAsia="Calibri" w:cs="Tahoma"/>
          <w:iCs/>
          <w:sz w:val="22"/>
          <w:szCs w:val="22"/>
          <w:lang w:eastAsia="es-ES_tradnl"/>
        </w:rPr>
        <w:t>Al respecto, este Instituto advierte lo siguiente:</w:t>
      </w:r>
    </w:p>
    <w:p w:rsidRPr="00B23F25" w:rsidR="00830863" w:rsidP="00710DA7" w:rsidRDefault="00830863" w14:paraId="65993DA6" w14:textId="77777777">
      <w:pPr>
        <w:spacing w:line="360" w:lineRule="auto"/>
        <w:jc w:val="both"/>
        <w:rPr>
          <w:rFonts w:ascii="Palatino Linotype" w:hAnsi="Palatino Linotype" w:eastAsia="Calibri" w:cs="Tahoma"/>
          <w:iCs/>
          <w:sz w:val="22"/>
          <w:szCs w:val="22"/>
          <w:lang w:eastAsia="es-ES_tradnl"/>
        </w:rPr>
      </w:pPr>
    </w:p>
    <w:p w:rsidRPr="00B23F25" w:rsidR="00830863" w:rsidP="00927931" w:rsidRDefault="00830863" w14:paraId="7F910802" w14:textId="24503673">
      <w:pPr>
        <w:numPr>
          <w:ilvl w:val="0"/>
          <w:numId w:val="41"/>
        </w:numPr>
        <w:spacing w:line="360" w:lineRule="auto"/>
        <w:contextualSpacing/>
        <w:jc w:val="both"/>
        <w:rPr>
          <w:rFonts w:ascii="Palatino Linotype" w:hAnsi="Palatino Linotype" w:eastAsia="Calibri" w:cs="Tahoma"/>
          <w:bCs/>
          <w:sz w:val="22"/>
          <w:szCs w:val="22"/>
          <w:lang w:eastAsia="en-US"/>
        </w:rPr>
      </w:pPr>
      <w:r w:rsidRPr="00B23F25">
        <w:rPr>
          <w:rFonts w:ascii="Palatino Linotype" w:hAnsi="Palatino Linotype" w:eastAsia="Calibri" w:cs="Tahoma"/>
          <w:bCs/>
          <w:sz w:val="22"/>
          <w:szCs w:val="22"/>
          <w:lang w:eastAsia="en-US"/>
        </w:rPr>
        <w:t xml:space="preserve">Que existe un </w:t>
      </w:r>
      <w:r w:rsidRPr="00B23F25">
        <w:rPr>
          <w:rFonts w:ascii="Palatino Linotype" w:hAnsi="Palatino Linotype" w:eastAsia="Calibri" w:cs="Tahoma"/>
          <w:b/>
          <w:bCs/>
          <w:sz w:val="22"/>
          <w:szCs w:val="22"/>
          <w:lang w:eastAsia="en-US"/>
        </w:rPr>
        <w:t xml:space="preserve">riesgo real, demostrable e identificable, </w:t>
      </w:r>
      <w:r w:rsidRPr="00B23F25">
        <w:rPr>
          <w:rFonts w:ascii="Palatino Linotype" w:hAnsi="Palatino Linotype" w:eastAsia="Calibri"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B23F25" w:rsidR="00C34608">
        <w:rPr>
          <w:rFonts w:ascii="Palatino Linotype" w:hAnsi="Palatino Linotype" w:cs="Tahoma" w:eastAsiaTheme="minorHAnsi"/>
          <w:bCs/>
          <w:color w:val="000000" w:themeColor="text1"/>
          <w:sz w:val="22"/>
          <w:szCs w:val="22"/>
          <w:lang w:val="es-ES_tradnl" w:eastAsia="en-US"/>
        </w:rPr>
        <w:t>Comisaría de Seguridad Pública Municipal</w:t>
      </w:r>
      <w:r w:rsidRPr="00B23F25">
        <w:rPr>
          <w:rFonts w:ascii="Palatino Linotype" w:hAnsi="Palatino Linotype" w:eastAsia="Calibri" w:cs="Tahoma"/>
          <w:bCs/>
          <w:sz w:val="22"/>
          <w:szCs w:val="22"/>
          <w:lang w:eastAsia="en-US"/>
        </w:rPr>
        <w:t>.</w:t>
      </w:r>
    </w:p>
    <w:p w:rsidRPr="00B23F25" w:rsidR="00C34608" w:rsidP="00C34608" w:rsidRDefault="00C34608" w14:paraId="5460CD79" w14:textId="77777777">
      <w:pPr>
        <w:spacing w:line="360" w:lineRule="auto"/>
        <w:ind w:left="720"/>
        <w:contextualSpacing/>
        <w:jc w:val="both"/>
        <w:rPr>
          <w:rFonts w:ascii="Palatino Linotype" w:hAnsi="Palatino Linotype" w:eastAsia="Calibri" w:cs="Tahoma"/>
          <w:bCs/>
          <w:sz w:val="22"/>
          <w:szCs w:val="22"/>
          <w:lang w:eastAsia="en-US"/>
        </w:rPr>
      </w:pPr>
    </w:p>
    <w:p w:rsidRPr="00B23F25" w:rsidR="00830863" w:rsidP="00710DA7" w:rsidRDefault="00830863" w14:paraId="79ED42A3" w14:textId="77777777">
      <w:pPr>
        <w:numPr>
          <w:ilvl w:val="0"/>
          <w:numId w:val="41"/>
        </w:numPr>
        <w:spacing w:line="360" w:lineRule="auto"/>
        <w:contextualSpacing/>
        <w:jc w:val="both"/>
        <w:rPr>
          <w:rFonts w:ascii="Palatino Linotype" w:hAnsi="Palatino Linotype" w:eastAsia="Calibri" w:cs="Tahoma"/>
          <w:b/>
          <w:bCs/>
          <w:sz w:val="22"/>
          <w:szCs w:val="22"/>
          <w:lang w:eastAsia="en-US"/>
        </w:rPr>
      </w:pPr>
      <w:r w:rsidRPr="00B23F25">
        <w:rPr>
          <w:rFonts w:ascii="Palatino Linotype" w:hAnsi="Palatino Linotype" w:eastAsia="Calibri" w:cs="Tahoma"/>
          <w:b/>
          <w:bCs/>
          <w:sz w:val="22"/>
          <w:szCs w:val="22"/>
          <w:lang w:eastAsia="en-US"/>
        </w:rPr>
        <w:t>Que el riesgo de perjuicio que supone la divulgación de la información supera el interés público general</w:t>
      </w:r>
      <w:r w:rsidRPr="00B23F25">
        <w:rPr>
          <w:rFonts w:ascii="Palatino Linotype" w:hAnsi="Palatino Linotype" w:eastAsia="Calibri"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w:t>
      </w:r>
      <w:r w:rsidRPr="00B23F25">
        <w:rPr>
          <w:rFonts w:ascii="Palatino Linotype" w:hAnsi="Palatino Linotype" w:eastAsia="Calibri" w:cs="Tahoma"/>
          <w:bCs/>
          <w:sz w:val="22"/>
          <w:szCs w:val="22"/>
          <w:lang w:eastAsia="en-US"/>
        </w:rPr>
        <w:lastRenderedPageBreak/>
        <w:t xml:space="preserve">información sensible sobre el modus operandi de dicha área, lo cual se traduciría en un detrimento al combate a la delincuencia y un perjuicio a la seguridad pública, </w:t>
      </w:r>
      <w:r w:rsidRPr="00B23F25">
        <w:rPr>
          <w:rFonts w:ascii="Palatino Linotype" w:hAnsi="Palatino Linotype" w:eastAsia="Calibri" w:cs="Tahoma"/>
          <w:b/>
          <w:bCs/>
          <w:sz w:val="22"/>
          <w:szCs w:val="22"/>
          <w:lang w:eastAsia="en-US"/>
        </w:rPr>
        <w:t>vulnerando así, el interés general.</w:t>
      </w:r>
    </w:p>
    <w:p w:rsidRPr="00B23F25" w:rsidR="00830863" w:rsidP="00710DA7" w:rsidRDefault="00830863" w14:paraId="1E22689E" w14:textId="77777777">
      <w:pPr>
        <w:spacing w:line="360" w:lineRule="auto"/>
        <w:ind w:left="720"/>
        <w:contextualSpacing/>
        <w:jc w:val="both"/>
        <w:rPr>
          <w:rFonts w:ascii="Palatino Linotype" w:hAnsi="Palatino Linotype" w:eastAsia="Calibri" w:cs="Tahoma"/>
          <w:bCs/>
          <w:sz w:val="22"/>
          <w:szCs w:val="22"/>
          <w:lang w:eastAsia="en-US"/>
        </w:rPr>
      </w:pPr>
    </w:p>
    <w:p w:rsidRPr="00B23F25" w:rsidR="00830863" w:rsidP="00710DA7" w:rsidRDefault="00830863" w14:paraId="2914438D" w14:textId="77777777">
      <w:pPr>
        <w:numPr>
          <w:ilvl w:val="0"/>
          <w:numId w:val="41"/>
        </w:numPr>
        <w:spacing w:line="360" w:lineRule="auto"/>
        <w:contextualSpacing/>
        <w:jc w:val="both"/>
        <w:rPr>
          <w:rFonts w:ascii="Palatino Linotype" w:hAnsi="Palatino Linotype" w:eastAsia="Calibri" w:cs="Tahoma"/>
          <w:bCs/>
          <w:sz w:val="22"/>
          <w:szCs w:val="22"/>
          <w:lang w:eastAsia="en-US"/>
        </w:rPr>
      </w:pPr>
      <w:r w:rsidRPr="00B23F25">
        <w:rPr>
          <w:rFonts w:ascii="Palatino Linotype" w:hAnsi="Palatino Linotype" w:eastAsia="Calibri" w:cs="Tahoma"/>
          <w:b/>
          <w:bCs/>
          <w:sz w:val="22"/>
          <w:szCs w:val="22"/>
          <w:lang w:eastAsia="en-US"/>
        </w:rPr>
        <w:t xml:space="preserve">Que la reserva no se traduzca en un medio restrictivo al derecho de acceso a la información, </w:t>
      </w:r>
      <w:r w:rsidRPr="00B23F25">
        <w:rPr>
          <w:rFonts w:ascii="Palatino Linotype" w:hAnsi="Palatino Linotype" w:eastAsia="Calibri" w:cs="Tahoma"/>
          <w:bCs/>
          <w:sz w:val="22"/>
          <w:szCs w:val="22"/>
          <w:lang w:eastAsia="en-US"/>
        </w:rPr>
        <w:t xml:space="preserve">en virtud de que la misma prevalece al proteger alguno de los derechos más importantes, como lo son la vida, la salud y la seguridad de </w:t>
      </w:r>
      <w:r w:rsidRPr="00B23F25">
        <w:rPr>
          <w:rFonts w:ascii="Palatino Linotype" w:hAnsi="Palatino Linotype" w:eastAsia="Calibri" w:cs="Tahoma"/>
          <w:b/>
          <w:bCs/>
          <w:sz w:val="22"/>
          <w:szCs w:val="22"/>
          <w:lang w:eastAsia="en-US"/>
        </w:rPr>
        <w:t>los servidores públicos,</w:t>
      </w:r>
      <w:r w:rsidRPr="00B23F25">
        <w:rPr>
          <w:rFonts w:ascii="Palatino Linotype" w:hAnsi="Palatino Linotype" w:eastAsia="Calibri"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B23F25" w:rsidR="00830863" w:rsidP="00710DA7" w:rsidRDefault="00830863" w14:paraId="31E145D3" w14:textId="77777777">
      <w:pPr>
        <w:spacing w:line="360" w:lineRule="auto"/>
        <w:jc w:val="both"/>
        <w:rPr>
          <w:rFonts w:ascii="Palatino Linotype" w:hAnsi="Palatino Linotype" w:eastAsia="Calibri" w:cs="Tahoma"/>
          <w:bCs/>
          <w:sz w:val="22"/>
          <w:szCs w:val="22"/>
          <w:lang w:eastAsia="en-US"/>
        </w:rPr>
      </w:pPr>
    </w:p>
    <w:p w:rsidRPr="00B23F25" w:rsidR="00830863" w:rsidP="00710DA7" w:rsidRDefault="00830863" w14:paraId="2A409029" w14:textId="77777777">
      <w:pPr>
        <w:spacing w:line="360" w:lineRule="auto"/>
        <w:jc w:val="both"/>
        <w:rPr>
          <w:rFonts w:ascii="Palatino Linotype" w:hAnsi="Palatino Linotype" w:eastAsia="Calibri" w:cs="Tahoma"/>
          <w:b/>
          <w:iCs/>
          <w:sz w:val="22"/>
          <w:szCs w:val="22"/>
          <w:lang w:val="es-ES" w:eastAsia="es-ES_tradnl"/>
        </w:rPr>
      </w:pPr>
      <w:r w:rsidRPr="00B23F25">
        <w:rPr>
          <w:rFonts w:ascii="Palatino Linotype" w:hAnsi="Palatino Linotype" w:eastAsia="Calibri" w:cs="Tahoma"/>
          <w:bCs/>
          <w:sz w:val="22"/>
          <w:szCs w:val="22"/>
          <w:lang w:eastAsia="en-US"/>
        </w:rPr>
        <w:t xml:space="preserve">Por tales consideraciones, </w:t>
      </w:r>
      <w:r w:rsidRPr="00B23F25">
        <w:rPr>
          <w:rFonts w:ascii="Palatino Linotype" w:hAnsi="Palatino Linotype" w:eastAsia="Calibri" w:cs="Tahoma"/>
          <w:b/>
          <w:bCs/>
          <w:sz w:val="22"/>
          <w:szCs w:val="22"/>
          <w:lang w:eastAsia="en-US"/>
        </w:rPr>
        <w:t xml:space="preserve">resulta procedente la reserva del nombre de los elementos operativos de la Dirección de Seguridad Pública, en términos del artículo 140, fracción IV, de </w:t>
      </w:r>
      <w:r w:rsidRPr="00B23F25">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B23F25" w:rsidR="0094000F" w:rsidP="00710DA7" w:rsidRDefault="0094000F" w14:paraId="7D3CE2D7" w14:textId="77777777">
      <w:pPr>
        <w:spacing w:line="360" w:lineRule="auto"/>
        <w:jc w:val="both"/>
        <w:rPr>
          <w:rFonts w:ascii="Palatino Linotype" w:hAnsi="Palatino Linotype"/>
          <w:bCs/>
          <w:iCs/>
          <w:sz w:val="22"/>
          <w:szCs w:val="20"/>
          <w:lang w:val="es-ES" w:eastAsia="es-ES"/>
        </w:rPr>
      </w:pPr>
    </w:p>
    <w:p w:rsidRPr="00B23F25" w:rsidR="00830863" w:rsidP="00710DA7" w:rsidRDefault="00830863" w14:paraId="097F5714" w14:textId="77777777">
      <w:pPr>
        <w:autoSpaceDE w:val="0"/>
        <w:autoSpaceDN w:val="0"/>
        <w:spacing w:line="360" w:lineRule="auto"/>
        <w:jc w:val="both"/>
        <w:rPr>
          <w:rFonts w:ascii="Palatino Linotype" w:hAnsi="Palatino Linotype" w:cs="Tahoma"/>
          <w:sz w:val="22"/>
          <w:szCs w:val="22"/>
          <w:lang w:eastAsia="es-ES"/>
        </w:rPr>
      </w:pPr>
      <w:r w:rsidRPr="00B23F25">
        <w:rPr>
          <w:rFonts w:ascii="Palatino Linotype" w:hAnsi="Palatino Linotype" w:eastAsia="Calibri" w:cs="Tahoma"/>
          <w:iCs/>
          <w:sz w:val="22"/>
          <w:szCs w:val="22"/>
          <w:lang w:val="es-ES" w:eastAsia="es-ES_tradnl"/>
        </w:rPr>
        <w:t>Finalmente,</w:t>
      </w:r>
      <w:r w:rsidRPr="00B23F25">
        <w:rPr>
          <w:rFonts w:ascii="Palatino Linotype" w:hAnsi="Palatino Linotype" w:eastAsia="Calibri" w:cs="Tahoma"/>
          <w:b/>
          <w:iCs/>
          <w:sz w:val="22"/>
          <w:szCs w:val="22"/>
          <w:lang w:val="es-ES" w:eastAsia="es-ES_tradnl"/>
        </w:rPr>
        <w:t xml:space="preserve"> </w:t>
      </w:r>
      <w:r w:rsidRPr="00B23F25">
        <w:rPr>
          <w:rFonts w:ascii="Palatino Linotype" w:hAnsi="Palatino Linotype" w:eastAsia="Calibri" w:cs="Tahoma"/>
          <w:bCs/>
          <w:sz w:val="22"/>
          <w:szCs w:val="22"/>
          <w:lang w:eastAsia="en-US"/>
        </w:rPr>
        <w:t xml:space="preserve">respecto al plazo de reserva, el artículo 125 de la Ley de la materia, establece </w:t>
      </w:r>
      <w:r w:rsidRPr="00B23F25">
        <w:rPr>
          <w:rFonts w:ascii="Palatino Linotype" w:hAnsi="Palatino Linotype" w:cs="Tahoma"/>
          <w:bCs/>
          <w:sz w:val="22"/>
          <w:szCs w:val="22"/>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B23F25">
        <w:rPr>
          <w:rFonts w:ascii="Palatino Linotype" w:hAnsi="Palatino Linotype" w:cs="Tahoma"/>
          <w:sz w:val="22"/>
          <w:szCs w:val="22"/>
          <w:lang w:eastAsia="es-ES"/>
        </w:rPr>
        <w:t xml:space="preserve">versiones públicas, deberá clasificar el nombre de los </w:t>
      </w:r>
      <w:r w:rsidRPr="00B23F25">
        <w:rPr>
          <w:rFonts w:ascii="Palatino Linotype" w:hAnsi="Palatino Linotype" w:cs="Tahoma"/>
          <w:sz w:val="22"/>
          <w:szCs w:val="22"/>
          <w:lang w:eastAsia="es-ES"/>
        </w:rPr>
        <w:lastRenderedPageBreak/>
        <w:t>elementos operativos en materia de seguridad, y proporcionar, su respectivo acuerdo de Clasificación.</w:t>
      </w:r>
    </w:p>
    <w:p w:rsidRPr="00B23F25" w:rsidR="00830863" w:rsidP="00710DA7" w:rsidRDefault="00830863" w14:paraId="753C3D1B" w14:textId="77777777">
      <w:pPr>
        <w:autoSpaceDE w:val="0"/>
        <w:autoSpaceDN w:val="0"/>
        <w:spacing w:line="360" w:lineRule="auto"/>
        <w:jc w:val="both"/>
        <w:rPr>
          <w:rFonts w:ascii="Palatino Linotype" w:hAnsi="Palatino Linotype" w:cs="Tahoma"/>
          <w:bCs/>
          <w:sz w:val="22"/>
          <w:szCs w:val="22"/>
          <w:lang w:eastAsia="es-ES"/>
        </w:rPr>
      </w:pPr>
    </w:p>
    <w:p w:rsidRPr="00B23F25" w:rsidR="00594877" w:rsidP="00594877" w:rsidRDefault="00594877" w14:paraId="03EC7920" w14:textId="6D7F628A">
      <w:pPr>
        <w:spacing w:line="360" w:lineRule="auto"/>
        <w:jc w:val="both"/>
        <w:rPr>
          <w:rFonts w:ascii="Palatino Linotype" w:hAnsi="Palatino Linotype" w:cs="Tahoma"/>
          <w:bCs/>
          <w:iCs/>
          <w:sz w:val="22"/>
          <w:szCs w:val="22"/>
          <w:lang w:val="es-ES" w:eastAsia="es-ES"/>
        </w:rPr>
      </w:pPr>
      <w:r w:rsidRPr="00B23F25">
        <w:rPr>
          <w:rFonts w:ascii="Palatino Linotype" w:hAnsi="Palatino Linotype" w:cs="Tahoma"/>
          <w:bCs/>
          <w:iCs/>
          <w:sz w:val="22"/>
          <w:szCs w:val="22"/>
          <w:lang w:val="es-ES_tradnl" w:eastAsia="es-ES"/>
        </w:rPr>
        <w:t xml:space="preserve">No pasa desapercibido para este Instituto que </w:t>
      </w:r>
      <w:r w:rsidRPr="00B23F25" w:rsidR="00C32953">
        <w:rPr>
          <w:rFonts w:ascii="Palatino Linotype" w:hAnsi="Palatino Linotype" w:cs="Tahoma"/>
          <w:bCs/>
          <w:iCs/>
          <w:sz w:val="22"/>
          <w:szCs w:val="22"/>
          <w:lang w:val="es-ES_tradnl" w:eastAsia="es-ES"/>
        </w:rPr>
        <w:t>Conciliación de Nómina</w:t>
      </w:r>
      <w:r w:rsidRPr="00B23F25">
        <w:rPr>
          <w:rFonts w:ascii="Palatino Linotype" w:hAnsi="Palatino Linotype" w:cs="Tahoma"/>
          <w:bCs/>
          <w:iCs/>
          <w:sz w:val="22"/>
          <w:szCs w:val="22"/>
          <w:lang w:val="es-ES_tradnl" w:eastAsia="es-ES"/>
        </w:rPr>
        <w:t>, pudiera contener datos o información clasificada; a</w:t>
      </w:r>
      <w:r w:rsidRPr="00B23F25">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B23F25" w:rsidR="00594877" w:rsidP="00594877" w:rsidRDefault="00594877" w14:paraId="21EF6D36" w14:textId="77777777">
      <w:pPr>
        <w:spacing w:line="360" w:lineRule="auto"/>
        <w:jc w:val="both"/>
        <w:rPr>
          <w:rFonts w:ascii="Palatino Linotype" w:hAnsi="Palatino Linotype" w:cs="Tahoma"/>
          <w:bCs/>
          <w:iCs/>
          <w:sz w:val="22"/>
          <w:szCs w:val="22"/>
          <w:lang w:val="es-ES" w:eastAsia="es-ES"/>
        </w:rPr>
      </w:pPr>
    </w:p>
    <w:p w:rsidRPr="00B23F25" w:rsidR="00594877" w:rsidP="00710DA7" w:rsidRDefault="00594877" w14:paraId="46EECDD8" w14:textId="51E5948D">
      <w:pPr>
        <w:spacing w:line="360" w:lineRule="auto"/>
        <w:jc w:val="both"/>
        <w:rPr>
          <w:rFonts w:ascii="Palatino Linotype" w:hAnsi="Palatino Linotype" w:cs="Tahoma"/>
          <w:bCs/>
          <w:iCs/>
          <w:sz w:val="22"/>
          <w:szCs w:val="22"/>
          <w:lang w:val="es-ES" w:eastAsia="es-ES"/>
        </w:rPr>
      </w:pPr>
      <w:r w:rsidRPr="00B23F25">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B23F25" w:rsidR="0094000F" w:rsidP="00710DA7" w:rsidRDefault="0094000F" w14:paraId="1F700799" w14:textId="77777777">
      <w:pPr>
        <w:spacing w:line="360" w:lineRule="auto"/>
        <w:jc w:val="both"/>
        <w:rPr>
          <w:rFonts w:ascii="Palatino Linotype" w:hAnsi="Palatino Linotype" w:eastAsia="Calibri" w:cs="Tahoma"/>
          <w:color w:val="000000"/>
          <w:sz w:val="22"/>
          <w:lang w:val="es-ES"/>
        </w:rPr>
      </w:pPr>
    </w:p>
    <w:p w:rsidRPr="00B23F25" w:rsidR="007B2E12" w:rsidP="00710DA7" w:rsidRDefault="008D623F" w14:paraId="391F9340" w14:textId="155C38F7">
      <w:pPr>
        <w:spacing w:line="360" w:lineRule="auto"/>
        <w:jc w:val="both"/>
        <w:rPr>
          <w:rFonts w:ascii="Palatino Linotype" w:hAnsi="Palatino Linotype" w:eastAsia="Calibri" w:cs="Tahoma"/>
          <w:b/>
          <w:bCs/>
          <w:iCs/>
          <w:color w:val="000000"/>
          <w:sz w:val="22"/>
        </w:rPr>
      </w:pPr>
      <w:r w:rsidRPr="00B23F25">
        <w:rPr>
          <w:rFonts w:ascii="Palatino Linotype" w:hAnsi="Palatino Linotype" w:eastAsia="Calibri" w:cs="Tahoma"/>
          <w:b/>
          <w:bCs/>
          <w:iCs/>
          <w:color w:val="000000"/>
          <w:sz w:val="22"/>
        </w:rPr>
        <w:t>SEXTO</w:t>
      </w:r>
      <w:r w:rsidRPr="00B23F25" w:rsidR="007B2E12">
        <w:rPr>
          <w:rFonts w:ascii="Palatino Linotype" w:hAnsi="Palatino Linotype" w:eastAsia="Calibri" w:cs="Tahoma"/>
          <w:b/>
          <w:bCs/>
          <w:iCs/>
          <w:color w:val="000000"/>
          <w:sz w:val="22"/>
        </w:rPr>
        <w:t xml:space="preserve">. Decisión. </w:t>
      </w:r>
    </w:p>
    <w:p w:rsidRPr="00B23F25" w:rsidR="007B2E12" w:rsidP="00710DA7" w:rsidRDefault="007B2E12" w14:paraId="0B60DFA9" w14:textId="77777777">
      <w:pPr>
        <w:spacing w:line="360" w:lineRule="auto"/>
        <w:jc w:val="both"/>
        <w:rPr>
          <w:rFonts w:ascii="Palatino Linotype" w:hAnsi="Palatino Linotype" w:eastAsia="Calibri" w:cs="Tahoma"/>
          <w:bCs/>
          <w:iCs/>
          <w:color w:val="000000"/>
          <w:sz w:val="22"/>
        </w:rPr>
      </w:pPr>
    </w:p>
    <w:p w:rsidRPr="00B23F25" w:rsidR="00545667" w:rsidP="00C34608" w:rsidRDefault="009B17DE" w14:paraId="4E30A573" w14:textId="1A51D20C">
      <w:pPr>
        <w:autoSpaceDE w:val="0"/>
        <w:autoSpaceDN w:val="0"/>
        <w:adjustRightInd w:val="0"/>
        <w:spacing w:line="360" w:lineRule="auto"/>
        <w:contextualSpacing/>
        <w:jc w:val="both"/>
        <w:rPr>
          <w:rFonts w:ascii="Palatino Linotype" w:hAnsi="Palatino Linotype" w:eastAsia="Calibri" w:cs="Tahoma"/>
          <w:color w:val="000000"/>
          <w:sz w:val="22"/>
          <w:szCs w:val="22"/>
          <w:lang w:eastAsia="en-US"/>
        </w:rPr>
      </w:pPr>
      <w:r w:rsidRPr="00B23F25">
        <w:rPr>
          <w:rFonts w:ascii="Palatino Linotype" w:hAnsi="Palatino Linotype" w:eastAsia="Calibri" w:cs="Tahoma"/>
          <w:color w:val="000000"/>
          <w:sz w:val="22"/>
          <w:szCs w:val="22"/>
          <w:lang w:eastAsia="en-US"/>
        </w:rPr>
        <w:t>Con fundamento en el artículo 186, fracción III, de la Ley de Transparencia y Acceso a la Información Pública del Estado de México y Municipios, este Instituto considera procedente </w:t>
      </w:r>
      <w:r w:rsidRPr="00B23F25" w:rsidR="00787E8F">
        <w:rPr>
          <w:rFonts w:ascii="Palatino Linotype" w:hAnsi="Palatino Linotype" w:eastAsia="Calibri" w:cs="Tahoma"/>
          <w:b/>
          <w:bCs/>
          <w:color w:val="000000"/>
          <w:sz w:val="22"/>
          <w:szCs w:val="22"/>
          <w:lang w:eastAsia="en-US"/>
        </w:rPr>
        <w:t>REVOCAR</w:t>
      </w:r>
      <w:r w:rsidRPr="00B23F25">
        <w:rPr>
          <w:rFonts w:ascii="Palatino Linotype" w:hAnsi="Palatino Linotype" w:eastAsia="Calibri" w:cs="Tahoma"/>
          <w:bCs/>
          <w:color w:val="000000"/>
          <w:sz w:val="22"/>
          <w:szCs w:val="22"/>
          <w:lang w:eastAsia="en-US"/>
        </w:rPr>
        <w:t> </w:t>
      </w:r>
      <w:r w:rsidRPr="00B23F25">
        <w:rPr>
          <w:rFonts w:ascii="Palatino Linotype" w:hAnsi="Palatino Linotype" w:eastAsia="Calibri" w:cs="Tahoma"/>
          <w:color w:val="000000"/>
          <w:sz w:val="22"/>
          <w:szCs w:val="22"/>
          <w:lang w:eastAsia="en-US"/>
        </w:rPr>
        <w:t xml:space="preserve">la respuesta otorgada por el Sujeto Obligado, a efecto de que, previa búsqueda exhaustiva y razonable en todas las áreas competentes, entre las cuales no podrá omitir </w:t>
      </w:r>
      <w:r w:rsidRPr="00B23F25" w:rsidR="00B81736">
        <w:rPr>
          <w:rFonts w:ascii="Palatino Linotype" w:hAnsi="Palatino Linotype" w:eastAsia="Calibri" w:cs="Tahoma"/>
          <w:color w:val="000000"/>
          <w:sz w:val="22"/>
          <w:szCs w:val="22"/>
          <w:lang w:eastAsia="en-US"/>
        </w:rPr>
        <w:t>a</w:t>
      </w:r>
      <w:r w:rsidRPr="00B23F25" w:rsidR="00142179">
        <w:rPr>
          <w:rFonts w:ascii="Palatino Linotype" w:hAnsi="Palatino Linotype" w:eastAsia="Calibri" w:cs="Tahoma"/>
          <w:color w:val="000000"/>
          <w:sz w:val="22"/>
          <w:szCs w:val="22"/>
          <w:lang w:eastAsia="en-US"/>
        </w:rPr>
        <w:t xml:space="preserve"> </w:t>
      </w:r>
      <w:r w:rsidRPr="00B23F25" w:rsidR="00B81736">
        <w:rPr>
          <w:rFonts w:ascii="Palatino Linotype" w:hAnsi="Palatino Linotype" w:eastAsia="Calibri" w:cs="Tahoma"/>
          <w:color w:val="000000"/>
          <w:sz w:val="22"/>
          <w:szCs w:val="22"/>
          <w:lang w:eastAsia="en-US"/>
        </w:rPr>
        <w:t>l</w:t>
      </w:r>
      <w:r w:rsidRPr="00B23F25" w:rsidR="00142179">
        <w:rPr>
          <w:rFonts w:ascii="Palatino Linotype" w:hAnsi="Palatino Linotype" w:eastAsia="Calibri" w:cs="Tahoma"/>
          <w:color w:val="000000"/>
          <w:sz w:val="22"/>
          <w:szCs w:val="22"/>
          <w:lang w:eastAsia="en-US"/>
        </w:rPr>
        <w:t>a</w:t>
      </w:r>
      <w:r w:rsidRPr="00B23F25" w:rsidR="00B81736">
        <w:rPr>
          <w:rFonts w:ascii="Palatino Linotype" w:hAnsi="Palatino Linotype" w:eastAsia="Calibri" w:cs="Tahoma"/>
          <w:color w:val="000000"/>
          <w:sz w:val="22"/>
          <w:szCs w:val="22"/>
          <w:lang w:eastAsia="en-US"/>
        </w:rPr>
        <w:t xml:space="preserve"> </w:t>
      </w:r>
      <w:r w:rsidRPr="00B23F25" w:rsidR="00142179">
        <w:rPr>
          <w:rFonts w:ascii="Palatino Linotype" w:hAnsi="Palatino Linotype" w:eastAsia="Calibri" w:cs="Tahoma"/>
          <w:color w:val="000000"/>
          <w:sz w:val="22"/>
          <w:szCs w:val="22"/>
          <w:lang w:eastAsia="en-US"/>
        </w:rPr>
        <w:t>Dirección de Administración</w:t>
      </w:r>
      <w:r w:rsidRPr="00B23F25">
        <w:rPr>
          <w:rFonts w:ascii="Palatino Linotype" w:hAnsi="Palatino Linotype" w:eastAsia="Calibri" w:cs="Tahoma"/>
          <w:color w:val="000000"/>
          <w:sz w:val="22"/>
          <w:szCs w:val="22"/>
          <w:lang w:eastAsia="en-US"/>
        </w:rPr>
        <w:t xml:space="preserve">, entregue, a través del Sistema de Acceso a la Información Mexiquense (SAIMEX), en su caso, en versión pública, </w:t>
      </w:r>
      <w:r w:rsidRPr="00B23F25" w:rsidR="00C34608">
        <w:rPr>
          <w:rFonts w:ascii="Palatino Linotype" w:hAnsi="Palatino Linotype" w:eastAsia="Calibri" w:cs="Tahoma"/>
          <w:color w:val="000000"/>
          <w:sz w:val="22"/>
          <w:szCs w:val="22"/>
          <w:lang w:eastAsia="en-US"/>
        </w:rPr>
        <w:t>l</w:t>
      </w:r>
      <w:r w:rsidRPr="00B23F25" w:rsidR="00545667">
        <w:rPr>
          <w:rFonts w:ascii="Palatino Linotype" w:hAnsi="Palatino Linotype" w:eastAsia="Calibri" w:cs="Tahoma"/>
          <w:color w:val="000000"/>
          <w:sz w:val="22"/>
          <w:szCs w:val="22"/>
          <w:lang w:eastAsia="en-US"/>
        </w:rPr>
        <w:t>a Conciliación de Nómina del Ayuntamiento de Temascalcingo, de la primera quincena de enero a la segunda de febrero de dos mil veintidós.</w:t>
      </w:r>
    </w:p>
    <w:p w:rsidRPr="00B23F25" w:rsidR="009B17DE" w:rsidP="00545667" w:rsidRDefault="00B81736" w14:paraId="707DA170" w14:textId="0184773F">
      <w:pPr>
        <w:pStyle w:val="Prrafodelista"/>
        <w:spacing w:line="360" w:lineRule="auto"/>
        <w:rPr>
          <w:rFonts w:cs="Tahoma"/>
          <w:bCs/>
          <w:iCs/>
          <w:szCs w:val="22"/>
          <w:lang w:eastAsia="es-ES"/>
        </w:rPr>
      </w:pPr>
      <w:r w:rsidRPr="00B23F25">
        <w:rPr>
          <w:rFonts w:cs="Tahoma"/>
          <w:bCs/>
          <w:iCs/>
          <w:szCs w:val="22"/>
          <w:lang w:eastAsia="es-ES"/>
        </w:rPr>
        <w:t xml:space="preserve"> </w:t>
      </w:r>
    </w:p>
    <w:p w:rsidRPr="00B23F25" w:rsidR="00DF5F46" w:rsidP="00545667" w:rsidRDefault="00DF5F46" w14:paraId="51DF5180" w14:textId="77777777">
      <w:pPr>
        <w:pStyle w:val="Prrafodelista"/>
        <w:spacing w:line="360" w:lineRule="auto"/>
        <w:rPr>
          <w:rFonts w:cs="Tahoma"/>
          <w:bCs/>
          <w:iCs/>
          <w:szCs w:val="22"/>
          <w:lang w:eastAsia="es-ES"/>
        </w:rPr>
      </w:pPr>
    </w:p>
    <w:p w:rsidRPr="00B23F25" w:rsidR="009B17DE" w:rsidP="00710DA7" w:rsidRDefault="009B17DE" w14:paraId="2551EBA5" w14:textId="680A2DD2">
      <w:pPr>
        <w:spacing w:line="360" w:lineRule="auto"/>
        <w:jc w:val="both"/>
        <w:rPr>
          <w:rFonts w:ascii="Palatino Linotype" w:hAnsi="Palatino Linotype" w:cs="Tahoma"/>
          <w:sz w:val="22"/>
          <w:szCs w:val="22"/>
        </w:rPr>
      </w:pPr>
      <w:r w:rsidRPr="00B23F25">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w:t>
      </w:r>
      <w:r w:rsidRPr="00B23F25" w:rsidR="006F0D92">
        <w:rPr>
          <w:rFonts w:ascii="Palatino Linotype" w:hAnsi="Palatino Linotype" w:cs="Tahoma"/>
          <w:bCs/>
          <w:sz w:val="22"/>
          <w:szCs w:val="22"/>
        </w:rPr>
        <w:t xml:space="preserve"> y</w:t>
      </w:r>
      <w:r w:rsidRPr="00B23F25">
        <w:rPr>
          <w:rFonts w:ascii="Palatino Linotype" w:hAnsi="Palatino Linotype" w:cs="Tahoma"/>
          <w:bCs/>
          <w:sz w:val="22"/>
          <w:szCs w:val="22"/>
        </w:rPr>
        <w:t xml:space="preserve"> 132, fracción II</w:t>
      </w:r>
      <w:r w:rsidRPr="00B23F25" w:rsidR="006F0D92">
        <w:rPr>
          <w:rFonts w:ascii="Palatino Linotype" w:hAnsi="Palatino Linotype" w:cs="Tahoma"/>
          <w:bCs/>
          <w:sz w:val="22"/>
          <w:szCs w:val="22"/>
        </w:rPr>
        <w:t xml:space="preserve">, </w:t>
      </w:r>
      <w:r w:rsidRPr="00B23F25">
        <w:rPr>
          <w:rFonts w:ascii="Palatino Linotype" w:hAnsi="Palatino Linotype" w:cs="Tahoma"/>
          <w:bCs/>
          <w:sz w:val="22"/>
          <w:szCs w:val="22"/>
        </w:rPr>
        <w:t>de la Ley de Transparencia y Acceso a la Información Pública del Estado de México y Municipios.</w:t>
      </w:r>
    </w:p>
    <w:p w:rsidRPr="00B23F25" w:rsidR="009B17DE" w:rsidP="00710DA7" w:rsidRDefault="009B17DE" w14:paraId="212F0EA7" w14:textId="77777777">
      <w:pPr>
        <w:spacing w:line="360" w:lineRule="auto"/>
        <w:jc w:val="both"/>
        <w:rPr>
          <w:rFonts w:ascii="Palatino Linotype" w:hAnsi="Palatino Linotype" w:eastAsia="Calibri" w:cs="Tahoma"/>
          <w:color w:val="000000"/>
          <w:sz w:val="22"/>
        </w:rPr>
      </w:pPr>
    </w:p>
    <w:p w:rsidRPr="00B23F25" w:rsidR="00C240BF" w:rsidP="00710DA7" w:rsidRDefault="00C240BF" w14:paraId="0CDE504A" w14:textId="77777777">
      <w:pPr>
        <w:spacing w:line="360" w:lineRule="auto"/>
        <w:jc w:val="both"/>
        <w:rPr>
          <w:rFonts w:ascii="Palatino Linotype" w:hAnsi="Palatino Linotype" w:eastAsia="Calibri" w:cs="Tahoma"/>
          <w:b/>
          <w:bCs/>
          <w:iCs/>
          <w:color w:val="000000"/>
          <w:sz w:val="22"/>
        </w:rPr>
      </w:pPr>
      <w:r w:rsidRPr="00B23F25">
        <w:rPr>
          <w:rFonts w:ascii="Palatino Linotype" w:hAnsi="Palatino Linotype" w:eastAsia="Calibri" w:cs="Tahoma"/>
          <w:b/>
          <w:bCs/>
          <w:iCs/>
          <w:color w:val="000000"/>
          <w:sz w:val="22"/>
        </w:rPr>
        <w:t>Términos de la Resolución para conocimiento del Particular.</w:t>
      </w:r>
    </w:p>
    <w:p w:rsidRPr="00B23F25" w:rsidR="00C240BF" w:rsidP="00710DA7" w:rsidRDefault="00C240BF" w14:paraId="47BAEF57" w14:textId="77777777">
      <w:pPr>
        <w:spacing w:line="360" w:lineRule="auto"/>
        <w:jc w:val="both"/>
        <w:rPr>
          <w:rFonts w:ascii="Palatino Linotype" w:hAnsi="Palatino Linotype" w:eastAsia="Calibri" w:cs="Tahoma"/>
          <w:bCs/>
          <w:iCs/>
          <w:color w:val="000000"/>
          <w:sz w:val="22"/>
        </w:rPr>
      </w:pPr>
    </w:p>
    <w:p w:rsidRPr="00B23F25" w:rsidR="0094000F" w:rsidP="00710DA7" w:rsidRDefault="00F47CDD" w14:paraId="4B95C4C7" w14:textId="2ECE4645">
      <w:pPr>
        <w:spacing w:line="360" w:lineRule="auto"/>
        <w:ind w:right="-28"/>
        <w:jc w:val="both"/>
        <w:rPr>
          <w:rFonts w:ascii="Palatino Linotype" w:hAnsi="Palatino Linotype" w:eastAsia="Calibri" w:cs="Tahoma"/>
          <w:color w:val="000000"/>
          <w:sz w:val="22"/>
          <w:szCs w:val="22"/>
          <w:lang w:eastAsia="en-US"/>
        </w:rPr>
      </w:pPr>
      <w:r w:rsidRPr="00B23F25">
        <w:rPr>
          <w:rFonts w:ascii="Palatino Linotype" w:hAnsi="Palatino Linotype"/>
          <w:color w:val="000000"/>
          <w:sz w:val="22"/>
          <w:szCs w:val="22"/>
        </w:rPr>
        <w:t xml:space="preserve">Se le hace del conocimiento al Particular, que, en el presente caso, se le concede la razón, pues el </w:t>
      </w:r>
      <w:r w:rsidRPr="00B23F25">
        <w:rPr>
          <w:rFonts w:ascii="Palatino Linotype" w:hAnsi="Palatino Linotype" w:eastAsia="Calibri" w:cs="Tahoma"/>
          <w:color w:val="000000"/>
          <w:sz w:val="22"/>
          <w:szCs w:val="22"/>
          <w:lang w:eastAsia="en-US"/>
        </w:rPr>
        <w:t xml:space="preserve">Ayuntamiento de </w:t>
      </w:r>
      <w:r w:rsidRPr="00B23F25" w:rsidR="00AA7C9E">
        <w:rPr>
          <w:rFonts w:ascii="Palatino Linotype" w:hAnsi="Palatino Linotype" w:eastAsia="Calibri" w:cs="Tahoma"/>
          <w:color w:val="000000"/>
          <w:sz w:val="22"/>
          <w:szCs w:val="22"/>
          <w:lang w:eastAsia="en-US"/>
        </w:rPr>
        <w:t>Temascalcingo</w:t>
      </w:r>
      <w:r w:rsidRPr="00B23F25">
        <w:rPr>
          <w:rFonts w:ascii="Palatino Linotype" w:hAnsi="Palatino Linotype" w:eastAsia="Calibri" w:cs="Tahoma"/>
          <w:color w:val="000000"/>
          <w:sz w:val="22"/>
          <w:szCs w:val="22"/>
          <w:lang w:eastAsia="en-US"/>
        </w:rPr>
        <w:t xml:space="preserve">, proporcionó </w:t>
      </w:r>
      <w:r w:rsidRPr="00B23F25" w:rsidR="00787E8F">
        <w:rPr>
          <w:rFonts w:ascii="Palatino Linotype" w:hAnsi="Palatino Linotype" w:eastAsia="Calibri" w:cs="Tahoma"/>
          <w:color w:val="000000"/>
          <w:sz w:val="22"/>
          <w:szCs w:val="22"/>
          <w:lang w:eastAsia="en-US"/>
        </w:rPr>
        <w:t xml:space="preserve">información que no corresponde con lo solicitado, por lo que deberá entregarle la nómina </w:t>
      </w:r>
      <w:r w:rsidRPr="00B23F25" w:rsidR="00142179">
        <w:rPr>
          <w:rFonts w:ascii="Palatino Linotype" w:hAnsi="Palatino Linotype" w:eastAsia="Calibri" w:cs="Tahoma"/>
          <w:color w:val="000000"/>
          <w:sz w:val="22"/>
          <w:szCs w:val="22"/>
          <w:lang w:eastAsia="en-US"/>
        </w:rPr>
        <w:t>correspondiente a</w:t>
      </w:r>
      <w:r w:rsidRPr="00B23F25" w:rsidR="00545667">
        <w:t xml:space="preserve"> </w:t>
      </w:r>
      <w:r w:rsidRPr="00B23F25" w:rsidR="00545667">
        <w:rPr>
          <w:rFonts w:ascii="Palatino Linotype" w:hAnsi="Palatino Linotype" w:eastAsia="Calibri" w:cs="Tahoma"/>
          <w:color w:val="000000"/>
          <w:sz w:val="22"/>
          <w:szCs w:val="22"/>
          <w:lang w:eastAsia="en-US"/>
        </w:rPr>
        <w:t>la primera quincena de enero a la segunda de febrero de dos mil veintidós.</w:t>
      </w:r>
    </w:p>
    <w:p w:rsidRPr="00B23F25" w:rsidR="0094000F" w:rsidP="00710DA7" w:rsidRDefault="0094000F" w14:paraId="771A365D" w14:textId="77777777">
      <w:pPr>
        <w:spacing w:line="360" w:lineRule="auto"/>
        <w:ind w:right="-28"/>
        <w:jc w:val="both"/>
        <w:rPr>
          <w:rFonts w:ascii="Palatino Linotype" w:hAnsi="Palatino Linotype" w:eastAsia="Calibri" w:cs="Tahoma"/>
          <w:bCs/>
          <w:iCs/>
          <w:color w:val="000000"/>
          <w:sz w:val="22"/>
          <w:lang w:val="es-ES"/>
        </w:rPr>
      </w:pPr>
    </w:p>
    <w:p w:rsidRPr="00B23F25" w:rsidR="008F66F5" w:rsidP="00710DA7" w:rsidRDefault="00C240BF" w14:paraId="1F9B555D" w14:textId="70D66D31">
      <w:pPr>
        <w:spacing w:line="360" w:lineRule="auto"/>
        <w:jc w:val="both"/>
        <w:rPr>
          <w:rFonts w:ascii="Palatino Linotype" w:hAnsi="Palatino Linotype" w:eastAsia="Calibri" w:cs="Tahoma"/>
          <w:bCs/>
          <w:iCs/>
          <w:color w:val="000000"/>
          <w:sz w:val="22"/>
          <w:lang w:val="es-ES_tradnl"/>
        </w:rPr>
      </w:pPr>
      <w:r w:rsidRPr="00B23F25">
        <w:rPr>
          <w:rFonts w:ascii="Palatino Linotype" w:hAnsi="Palatino Linotype" w:eastAsia="Calibri" w:cs="Tahoma"/>
          <w:bCs/>
          <w:iCs/>
          <w:color w:val="000000"/>
          <w:sz w:val="22"/>
          <w:lang w:val="es-ES"/>
        </w:rPr>
        <w:t>Finalmente, se le hace de su conocimiento que l</w:t>
      </w:r>
      <w:r w:rsidRPr="00B23F25">
        <w:rPr>
          <w:rFonts w:ascii="Palatino Linotype" w:hAnsi="Palatino Linotype" w:eastAsia="Calibri"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B23F25" w:rsidR="00B81736" w:rsidP="00710DA7" w:rsidRDefault="00B81736" w14:paraId="6D27DD25" w14:textId="77777777">
      <w:pPr>
        <w:spacing w:line="360" w:lineRule="auto"/>
        <w:jc w:val="both"/>
        <w:rPr>
          <w:rFonts w:ascii="Palatino Linotype" w:hAnsi="Palatino Linotype" w:eastAsia="Calibri" w:cs="Tahoma"/>
          <w:bCs/>
          <w:iCs/>
          <w:color w:val="000000"/>
          <w:sz w:val="22"/>
          <w:lang w:val="es-ES_tradnl"/>
        </w:rPr>
      </w:pPr>
    </w:p>
    <w:p w:rsidRPr="00B23F25" w:rsidR="00C240BF" w:rsidP="00710DA7" w:rsidRDefault="00C240BF" w14:paraId="37272720" w14:textId="16B0E90C">
      <w:pPr>
        <w:spacing w:line="360" w:lineRule="auto"/>
        <w:jc w:val="both"/>
        <w:rPr>
          <w:rFonts w:ascii="Palatino Linotype" w:hAnsi="Palatino Linotype" w:eastAsia="Calibri" w:cs="Tahoma"/>
          <w:bCs/>
          <w:iCs/>
          <w:color w:val="000000"/>
          <w:sz w:val="22"/>
        </w:rPr>
      </w:pPr>
      <w:r w:rsidRPr="00B23F25">
        <w:rPr>
          <w:rFonts w:ascii="Palatino Linotype" w:hAnsi="Palatino Linotype" w:eastAsia="Calibri" w:cs="Tahoma"/>
          <w:bCs/>
          <w:iCs/>
          <w:color w:val="000000"/>
          <w:sz w:val="22"/>
        </w:rPr>
        <w:t xml:space="preserve">Por lo antes expuesto y fundado. </w:t>
      </w:r>
    </w:p>
    <w:p w:rsidRPr="00B23F25" w:rsidR="00DF5F46" w:rsidP="00710DA7" w:rsidRDefault="00DF5F46" w14:paraId="1BE92E95" w14:textId="77777777">
      <w:pPr>
        <w:spacing w:line="360" w:lineRule="auto"/>
        <w:jc w:val="both"/>
        <w:rPr>
          <w:rFonts w:ascii="Palatino Linotype" w:hAnsi="Palatino Linotype" w:eastAsia="Calibri" w:cs="Tahoma"/>
          <w:bCs/>
          <w:iCs/>
          <w:color w:val="000000"/>
          <w:sz w:val="22"/>
        </w:rPr>
      </w:pPr>
    </w:p>
    <w:p w:rsidRPr="00B23F25" w:rsidR="00C240BF" w:rsidP="00710DA7" w:rsidRDefault="00C240BF" w14:paraId="7414D9FA" w14:textId="77777777">
      <w:pPr>
        <w:spacing w:line="360" w:lineRule="auto"/>
        <w:jc w:val="center"/>
        <w:rPr>
          <w:rFonts w:ascii="Palatino Linotype" w:hAnsi="Palatino Linotype" w:eastAsia="Calibri" w:cs="Tahoma"/>
          <w:b/>
          <w:bCs/>
          <w:iCs/>
          <w:color w:val="000000"/>
          <w:sz w:val="22"/>
        </w:rPr>
      </w:pPr>
      <w:r w:rsidRPr="00B23F25">
        <w:rPr>
          <w:rFonts w:ascii="Palatino Linotype" w:hAnsi="Palatino Linotype" w:eastAsia="Calibri" w:cs="Tahoma"/>
          <w:b/>
          <w:bCs/>
          <w:iCs/>
          <w:color w:val="000000"/>
          <w:sz w:val="22"/>
        </w:rPr>
        <w:t>R E S U E L V E:</w:t>
      </w:r>
    </w:p>
    <w:p w:rsidRPr="00B23F25" w:rsidR="00C240BF" w:rsidP="00710DA7" w:rsidRDefault="00C240BF" w14:paraId="5EFB467A" w14:textId="77777777">
      <w:pPr>
        <w:spacing w:line="360" w:lineRule="auto"/>
        <w:jc w:val="both"/>
        <w:rPr>
          <w:rFonts w:ascii="Palatino Linotype" w:hAnsi="Palatino Linotype" w:eastAsia="Calibri" w:cs="Tahoma"/>
          <w:b/>
          <w:bCs/>
          <w:iCs/>
          <w:color w:val="000000"/>
          <w:sz w:val="22"/>
        </w:rPr>
      </w:pPr>
    </w:p>
    <w:p w:rsidRPr="00B23F25" w:rsidR="00F47CDD" w:rsidP="00710DA7" w:rsidRDefault="00F47CDD" w14:paraId="538D4283" w14:textId="50EEE8E0">
      <w:pPr>
        <w:spacing w:line="360" w:lineRule="auto"/>
        <w:contextualSpacing/>
        <w:jc w:val="both"/>
        <w:rPr>
          <w:rFonts w:ascii="Palatino Linotype" w:hAnsi="Palatino Linotype" w:eastAsia="Calibri" w:cs="Tahoma"/>
          <w:bCs/>
          <w:color w:val="000000"/>
          <w:sz w:val="22"/>
          <w:szCs w:val="22"/>
          <w:lang w:eastAsia="en-US"/>
        </w:rPr>
      </w:pPr>
      <w:r w:rsidRPr="00B23F25">
        <w:rPr>
          <w:rFonts w:ascii="Palatino Linotype" w:hAnsi="Palatino Linotype" w:eastAsia="Calibri" w:cs="Tahoma"/>
          <w:b/>
          <w:bCs/>
          <w:color w:val="000000"/>
          <w:sz w:val="22"/>
          <w:szCs w:val="22"/>
          <w:lang w:eastAsia="en-US"/>
        </w:rPr>
        <w:t xml:space="preserve">PRIMERO. </w:t>
      </w:r>
      <w:r w:rsidRPr="00B23F25">
        <w:rPr>
          <w:rFonts w:ascii="Palatino Linotype" w:hAnsi="Palatino Linotype" w:eastAsia="Calibri" w:cs="Tahoma"/>
          <w:bCs/>
          <w:color w:val="000000"/>
          <w:sz w:val="22"/>
          <w:szCs w:val="22"/>
          <w:lang w:eastAsia="en-US"/>
        </w:rPr>
        <w:t xml:space="preserve">Se </w:t>
      </w:r>
      <w:r w:rsidRPr="00B23F25" w:rsidR="0094000F">
        <w:rPr>
          <w:rFonts w:ascii="Palatino Linotype" w:hAnsi="Palatino Linotype" w:eastAsia="Calibri" w:cs="Tahoma"/>
          <w:b/>
          <w:bCs/>
          <w:color w:val="000000"/>
          <w:sz w:val="22"/>
          <w:szCs w:val="22"/>
          <w:lang w:eastAsia="en-US"/>
        </w:rPr>
        <w:t xml:space="preserve">REVOCA </w:t>
      </w:r>
      <w:r w:rsidRPr="00B23F25">
        <w:rPr>
          <w:rFonts w:ascii="Palatino Linotype" w:hAnsi="Palatino Linotype" w:eastAsia="Calibri" w:cs="Tahoma"/>
          <w:bCs/>
          <w:color w:val="000000"/>
          <w:sz w:val="22"/>
          <w:szCs w:val="22"/>
          <w:lang w:eastAsia="en-US"/>
        </w:rPr>
        <w:t>la respuesta</w:t>
      </w:r>
      <w:r w:rsidRPr="00B23F25" w:rsidR="00B81736">
        <w:rPr>
          <w:rFonts w:ascii="Palatino Linotype" w:hAnsi="Palatino Linotype" w:eastAsia="Calibri" w:cs="Tahoma"/>
          <w:bCs/>
          <w:color w:val="000000"/>
          <w:sz w:val="22"/>
          <w:szCs w:val="22"/>
          <w:lang w:eastAsia="en-US"/>
        </w:rPr>
        <w:t xml:space="preserve"> </w:t>
      </w:r>
      <w:r w:rsidRPr="00B23F25">
        <w:rPr>
          <w:rFonts w:ascii="Palatino Linotype" w:hAnsi="Palatino Linotype" w:eastAsia="Calibri" w:cs="Tahoma"/>
          <w:bCs/>
          <w:color w:val="000000"/>
          <w:sz w:val="22"/>
          <w:szCs w:val="22"/>
          <w:lang w:eastAsia="en-US"/>
        </w:rPr>
        <w:t>entregada</w:t>
      </w:r>
      <w:r w:rsidRPr="00B23F25" w:rsidR="00B81736">
        <w:rPr>
          <w:rFonts w:ascii="Palatino Linotype" w:hAnsi="Palatino Linotype" w:eastAsia="Calibri" w:cs="Tahoma"/>
          <w:bCs/>
          <w:color w:val="000000"/>
          <w:sz w:val="22"/>
          <w:szCs w:val="22"/>
          <w:lang w:eastAsia="en-US"/>
        </w:rPr>
        <w:t xml:space="preserve"> </w:t>
      </w:r>
      <w:r w:rsidRPr="00B23F25">
        <w:rPr>
          <w:rFonts w:ascii="Palatino Linotype" w:hAnsi="Palatino Linotype" w:eastAsia="Calibri" w:cs="Tahoma"/>
          <w:bCs/>
          <w:color w:val="000000"/>
          <w:sz w:val="22"/>
          <w:szCs w:val="22"/>
          <w:lang w:eastAsia="en-US"/>
        </w:rPr>
        <w:t xml:space="preserve">por el </w:t>
      </w:r>
      <w:r w:rsidRPr="00B23F25" w:rsidR="00142179">
        <w:rPr>
          <w:rFonts w:ascii="Palatino Linotype" w:hAnsi="Palatino Linotype" w:eastAsia="Calibri" w:cs="Tahoma"/>
          <w:color w:val="000000"/>
          <w:sz w:val="22"/>
          <w:szCs w:val="22"/>
          <w:lang w:eastAsia="en-US"/>
        </w:rPr>
        <w:t xml:space="preserve">Ayuntamiento de </w:t>
      </w:r>
      <w:r w:rsidRPr="00B23F25" w:rsidR="00AA7C9E">
        <w:rPr>
          <w:rFonts w:ascii="Palatino Linotype" w:hAnsi="Palatino Linotype" w:eastAsia="Calibri" w:cs="Tahoma"/>
          <w:color w:val="000000"/>
          <w:sz w:val="22"/>
          <w:szCs w:val="22"/>
          <w:lang w:eastAsia="en-US"/>
        </w:rPr>
        <w:t>Temascalcingo</w:t>
      </w:r>
      <w:r w:rsidRPr="00B23F25" w:rsidR="00142179">
        <w:rPr>
          <w:rFonts w:ascii="Palatino Linotype" w:hAnsi="Palatino Linotype" w:eastAsia="Calibri" w:cs="Tahoma"/>
          <w:color w:val="000000"/>
          <w:sz w:val="22"/>
          <w:szCs w:val="22"/>
          <w:lang w:eastAsia="en-US"/>
        </w:rPr>
        <w:t xml:space="preserve"> </w:t>
      </w:r>
      <w:r w:rsidRPr="00B23F25">
        <w:rPr>
          <w:rFonts w:ascii="Palatino Linotype" w:hAnsi="Palatino Linotype" w:eastAsia="Calibri" w:cs="Tahoma"/>
          <w:bCs/>
          <w:color w:val="000000"/>
          <w:sz w:val="22"/>
          <w:szCs w:val="22"/>
          <w:lang w:eastAsia="en-US"/>
        </w:rPr>
        <w:t xml:space="preserve">a la solicitud de </w:t>
      </w:r>
      <w:r w:rsidRPr="00B23F25">
        <w:rPr>
          <w:rFonts w:ascii="Palatino Linotype" w:hAnsi="Palatino Linotype" w:eastAsia="Calibri" w:cs="Tahoma"/>
          <w:color w:val="000000"/>
          <w:sz w:val="22"/>
          <w:szCs w:val="22"/>
          <w:lang w:eastAsia="en-US"/>
        </w:rPr>
        <w:t xml:space="preserve">información </w:t>
      </w:r>
      <w:r w:rsidRPr="00B23F25" w:rsidR="004C43BF">
        <w:rPr>
          <w:rFonts w:ascii="Palatino Linotype" w:hAnsi="Palatino Linotype" w:cs="Tahoma"/>
          <w:bCs/>
          <w:color w:val="0D0D0D"/>
          <w:sz w:val="22"/>
          <w:szCs w:val="22"/>
        </w:rPr>
        <w:t>00046/TMASCALC/IP/2022</w:t>
      </w:r>
      <w:r w:rsidRPr="00B23F25">
        <w:rPr>
          <w:rFonts w:ascii="Palatino Linotype" w:hAnsi="Palatino Linotype" w:cs="Tahoma"/>
          <w:color w:val="0D0D0D"/>
          <w:sz w:val="22"/>
          <w:szCs w:val="22"/>
        </w:rPr>
        <w:t xml:space="preserve">, </w:t>
      </w:r>
      <w:r w:rsidRPr="00B23F25">
        <w:rPr>
          <w:rFonts w:ascii="Palatino Linotype" w:hAnsi="Palatino Linotype" w:eastAsia="Calibri"/>
          <w:color w:val="000000"/>
          <w:sz w:val="22"/>
          <w:szCs w:val="22"/>
          <w:lang w:eastAsia="en-US"/>
        </w:rPr>
        <w:t xml:space="preserve">por resultar </w:t>
      </w:r>
      <w:r w:rsidRPr="00B23F25">
        <w:rPr>
          <w:rFonts w:ascii="Palatino Linotype" w:hAnsi="Palatino Linotype" w:eastAsia="Calibri"/>
          <w:b/>
          <w:color w:val="000000"/>
          <w:sz w:val="22"/>
          <w:szCs w:val="22"/>
          <w:lang w:eastAsia="en-US"/>
        </w:rPr>
        <w:t>FUNDADAS</w:t>
      </w:r>
      <w:r w:rsidRPr="00B23F25">
        <w:rPr>
          <w:rFonts w:ascii="Palatino Linotype" w:hAnsi="Palatino Linotype" w:eastAsia="Calibri" w:cs="Tahoma"/>
          <w:color w:val="000000"/>
          <w:sz w:val="22"/>
          <w:szCs w:val="22"/>
          <w:lang w:eastAsia="en-US"/>
        </w:rPr>
        <w:t xml:space="preserve"> las razones o motivos de inconformidad hechos valer por el Particular, en</w:t>
      </w:r>
      <w:r w:rsidRPr="00B23F25">
        <w:rPr>
          <w:rFonts w:ascii="Palatino Linotype" w:hAnsi="Palatino Linotype" w:eastAsia="Calibri" w:cs="Tahoma"/>
          <w:bCs/>
          <w:color w:val="000000"/>
          <w:sz w:val="22"/>
          <w:szCs w:val="22"/>
          <w:lang w:eastAsia="en-US"/>
        </w:rPr>
        <w:t xml:space="preserve"> términos de los considerandos </w:t>
      </w:r>
      <w:r w:rsidRPr="00B23F25">
        <w:rPr>
          <w:rFonts w:ascii="Palatino Linotype" w:hAnsi="Palatino Linotype" w:eastAsia="Calibri" w:cs="Tahoma"/>
          <w:color w:val="000000"/>
          <w:sz w:val="22"/>
          <w:szCs w:val="22"/>
          <w:lang w:eastAsia="en-US"/>
        </w:rPr>
        <w:t>QUINTO y SEXTO de</w:t>
      </w:r>
      <w:r w:rsidRPr="00B23F25">
        <w:rPr>
          <w:rFonts w:ascii="Palatino Linotype" w:hAnsi="Palatino Linotype" w:eastAsia="Calibri" w:cs="Tahoma"/>
          <w:bCs/>
          <w:color w:val="000000"/>
          <w:sz w:val="22"/>
          <w:szCs w:val="22"/>
          <w:lang w:eastAsia="en-US"/>
        </w:rPr>
        <w:t xml:space="preserve"> la presente Resolución.</w:t>
      </w:r>
    </w:p>
    <w:p w:rsidRPr="00B23F25" w:rsidR="00F47CDD" w:rsidP="00710DA7" w:rsidRDefault="00F47CDD" w14:paraId="6D3D6E29" w14:textId="5615DA92">
      <w:pPr>
        <w:spacing w:line="360" w:lineRule="auto"/>
        <w:contextualSpacing/>
        <w:jc w:val="both"/>
        <w:rPr>
          <w:rFonts w:ascii="Palatino Linotype" w:hAnsi="Palatino Linotype" w:eastAsia="Calibri" w:cs="Tahoma"/>
          <w:bCs/>
          <w:color w:val="000000"/>
          <w:sz w:val="22"/>
          <w:szCs w:val="22"/>
          <w:lang w:eastAsia="en-US"/>
        </w:rPr>
      </w:pPr>
    </w:p>
    <w:p w:rsidRPr="00B23F25" w:rsidR="00DF5F46" w:rsidP="00710DA7" w:rsidRDefault="00DF5F46" w14:paraId="1F6F07A1" w14:textId="77777777">
      <w:pPr>
        <w:spacing w:line="360" w:lineRule="auto"/>
        <w:contextualSpacing/>
        <w:jc w:val="both"/>
        <w:rPr>
          <w:rFonts w:ascii="Palatino Linotype" w:hAnsi="Palatino Linotype" w:eastAsia="Calibri" w:cs="Tahoma"/>
          <w:bCs/>
          <w:color w:val="000000"/>
          <w:sz w:val="22"/>
          <w:szCs w:val="22"/>
          <w:lang w:eastAsia="en-US"/>
        </w:rPr>
      </w:pPr>
    </w:p>
    <w:p w:rsidRPr="00B23F25" w:rsidR="00F47CDD" w:rsidP="00710DA7" w:rsidRDefault="00F47CDD" w14:paraId="68B7FB2D" w14:textId="45BC9EF1">
      <w:pPr>
        <w:widowControl w:val="0"/>
        <w:autoSpaceDE w:val="0"/>
        <w:autoSpaceDN w:val="0"/>
        <w:adjustRightInd w:val="0"/>
        <w:spacing w:line="360" w:lineRule="auto"/>
        <w:contextualSpacing/>
        <w:jc w:val="both"/>
        <w:rPr>
          <w:rFonts w:ascii="Palatino Linotype" w:hAnsi="Palatino Linotype" w:eastAsia="Calibri" w:cs="Tahoma"/>
          <w:color w:val="000000"/>
          <w:sz w:val="22"/>
          <w:szCs w:val="22"/>
          <w:lang w:val="es-ES" w:eastAsia="en-US"/>
        </w:rPr>
      </w:pPr>
      <w:r w:rsidRPr="00B23F25">
        <w:rPr>
          <w:rFonts w:ascii="Palatino Linotype" w:hAnsi="Palatino Linotype" w:eastAsia="Calibri" w:cs="Tahoma"/>
          <w:b/>
          <w:bCs/>
          <w:color w:val="000000"/>
          <w:sz w:val="22"/>
          <w:szCs w:val="22"/>
          <w:lang w:eastAsia="en-US"/>
        </w:rPr>
        <w:t xml:space="preserve">SEGUNDO. </w:t>
      </w:r>
      <w:r w:rsidRPr="00B23F25">
        <w:rPr>
          <w:rFonts w:ascii="Palatino Linotype" w:hAnsi="Palatino Linotype" w:eastAsia="Calibri" w:cs="Tahoma"/>
          <w:color w:val="000000"/>
          <w:sz w:val="22"/>
          <w:szCs w:val="22"/>
          <w:lang w:eastAsia="en-US"/>
        </w:rPr>
        <w:t xml:space="preserve">Se </w:t>
      </w:r>
      <w:r w:rsidRPr="00B23F25">
        <w:rPr>
          <w:rFonts w:ascii="Palatino Linotype" w:hAnsi="Palatino Linotype" w:eastAsia="Calibri" w:cs="Tahoma"/>
          <w:b/>
          <w:color w:val="000000"/>
          <w:sz w:val="22"/>
          <w:szCs w:val="22"/>
          <w:lang w:eastAsia="en-US"/>
        </w:rPr>
        <w:t xml:space="preserve">ORDENA </w:t>
      </w:r>
      <w:r w:rsidRPr="00B23F25">
        <w:rPr>
          <w:rFonts w:ascii="Palatino Linotype" w:hAnsi="Palatino Linotype" w:eastAsia="Calibri" w:cs="Tahoma"/>
          <w:bCs/>
          <w:color w:val="000000"/>
          <w:sz w:val="22"/>
          <w:szCs w:val="22"/>
          <w:lang w:eastAsia="en-US"/>
        </w:rPr>
        <w:t xml:space="preserve">al </w:t>
      </w:r>
      <w:r w:rsidRPr="00B23F25">
        <w:rPr>
          <w:rFonts w:ascii="Palatino Linotype" w:hAnsi="Palatino Linotype" w:eastAsia="Calibri" w:cs="Tahoma"/>
          <w:color w:val="000000"/>
          <w:sz w:val="22"/>
          <w:szCs w:val="22"/>
          <w:lang w:eastAsia="en-US"/>
        </w:rPr>
        <w:t>Ente Recurrido, a efecto de que, previa búsqueda exhaustiva y razonable en todas las áreas competentes, entregue, a través del Sistema de Acceso a la Información Mexiquense (SAIMEX), en su caso, en versión pública, lo siguiente:</w:t>
      </w:r>
    </w:p>
    <w:p w:rsidRPr="00B23F25" w:rsidR="00F47CDD" w:rsidP="00710DA7" w:rsidRDefault="00F47CDD" w14:paraId="755050B2" w14:textId="77777777">
      <w:pPr>
        <w:spacing w:line="360" w:lineRule="auto"/>
        <w:jc w:val="both"/>
        <w:rPr>
          <w:rFonts w:ascii="Palatino Linotype" w:hAnsi="Palatino Linotype" w:eastAsia="Calibri" w:cs="Tahoma"/>
          <w:b/>
          <w:bCs/>
          <w:iCs/>
          <w:color w:val="000000"/>
          <w:sz w:val="22"/>
        </w:rPr>
      </w:pPr>
    </w:p>
    <w:p w:rsidRPr="00B23F25" w:rsidR="00AD77E8" w:rsidP="00AD77E8" w:rsidRDefault="00AD77E8" w14:paraId="50FAD0E0" w14:textId="2477620E">
      <w:pPr>
        <w:pStyle w:val="Prrafodelista"/>
        <w:numPr>
          <w:ilvl w:val="0"/>
          <w:numId w:val="44"/>
        </w:numPr>
        <w:autoSpaceDE w:val="0"/>
        <w:autoSpaceDN w:val="0"/>
        <w:adjustRightInd w:val="0"/>
        <w:spacing w:line="360" w:lineRule="auto"/>
        <w:rPr>
          <w:rFonts w:eastAsia="Calibri" w:cs="Tahoma"/>
          <w:color w:val="000000"/>
          <w:szCs w:val="22"/>
        </w:rPr>
      </w:pPr>
      <w:r w:rsidRPr="00B23F25">
        <w:rPr>
          <w:rFonts w:eastAsia="Calibri" w:cs="Tahoma"/>
          <w:color w:val="000000"/>
          <w:szCs w:val="22"/>
          <w:lang w:eastAsia="en-US"/>
        </w:rPr>
        <w:t xml:space="preserve">La </w:t>
      </w:r>
      <w:r w:rsidRPr="00B23F25">
        <w:rPr>
          <w:rFonts w:cs="Tahoma"/>
          <w:bCs/>
          <w:iCs/>
          <w:szCs w:val="22"/>
          <w:lang w:eastAsia="es-ES"/>
        </w:rPr>
        <w:t>Conciliación de Nómina del Ayuntamiento de Temascalcingo, de la primera</w:t>
      </w:r>
      <w:r w:rsidRPr="00B23F25" w:rsidR="00FC5C09">
        <w:rPr>
          <w:rFonts w:cs="Tahoma"/>
          <w:bCs/>
          <w:iCs/>
          <w:szCs w:val="22"/>
          <w:lang w:eastAsia="es-ES"/>
        </w:rPr>
        <w:t xml:space="preserve"> quincena de enero a la</w:t>
      </w:r>
      <w:r w:rsidRPr="00B23F25" w:rsidR="00537631">
        <w:rPr>
          <w:rFonts w:cs="Tahoma"/>
          <w:bCs/>
          <w:iCs/>
          <w:szCs w:val="22"/>
          <w:lang w:eastAsia="es-ES"/>
        </w:rPr>
        <w:t xml:space="preserve"> segunda </w:t>
      </w:r>
      <w:r w:rsidRPr="00B23F25">
        <w:rPr>
          <w:rFonts w:cs="Tahoma"/>
          <w:bCs/>
          <w:iCs/>
          <w:szCs w:val="22"/>
          <w:lang w:eastAsia="es-ES"/>
        </w:rPr>
        <w:t>quincena de febrero de dos mil veintidós.</w:t>
      </w:r>
    </w:p>
    <w:p w:rsidRPr="00B23F25" w:rsidR="00057F0C" w:rsidP="00057F0C" w:rsidRDefault="00057F0C" w14:paraId="388B7260" w14:textId="77777777">
      <w:pPr>
        <w:autoSpaceDE w:val="0"/>
        <w:autoSpaceDN w:val="0"/>
        <w:adjustRightInd w:val="0"/>
        <w:spacing w:line="360" w:lineRule="auto"/>
        <w:rPr>
          <w:rFonts w:eastAsia="Calibri" w:cs="Tahoma"/>
          <w:color w:val="000000"/>
          <w:szCs w:val="22"/>
        </w:rPr>
      </w:pPr>
    </w:p>
    <w:p w:rsidRPr="00B23F25" w:rsidR="0094000F" w:rsidP="0094000F" w:rsidRDefault="0094000F" w14:paraId="6A16C622" w14:textId="0DBA40B9">
      <w:pPr>
        <w:spacing w:line="360" w:lineRule="auto"/>
        <w:jc w:val="both"/>
        <w:rPr>
          <w:rFonts w:ascii="Palatino Linotype" w:hAnsi="Palatino Linotype" w:cs="Tahoma"/>
          <w:sz w:val="22"/>
          <w:szCs w:val="22"/>
        </w:rPr>
      </w:pPr>
      <w:r w:rsidRPr="00B23F25">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w:t>
      </w:r>
      <w:r w:rsidRPr="00B23F25" w:rsidR="00DF5F46">
        <w:rPr>
          <w:rFonts w:ascii="Palatino Linotype" w:hAnsi="Palatino Linotype" w:cs="Tahoma"/>
          <w:bCs/>
          <w:sz w:val="22"/>
          <w:szCs w:val="22"/>
        </w:rPr>
        <w:t xml:space="preserve"> y</w:t>
      </w:r>
      <w:r w:rsidRPr="00B23F25">
        <w:rPr>
          <w:rFonts w:ascii="Palatino Linotype" w:hAnsi="Palatino Linotype" w:cs="Tahoma"/>
          <w:bCs/>
          <w:sz w:val="22"/>
          <w:szCs w:val="22"/>
        </w:rPr>
        <w:t xml:space="preserve"> 132, fracción II</w:t>
      </w:r>
      <w:r w:rsidRPr="00B23F25" w:rsidR="00DF5F46">
        <w:rPr>
          <w:rFonts w:ascii="Palatino Linotype" w:hAnsi="Palatino Linotype" w:cs="Tahoma"/>
          <w:bCs/>
          <w:sz w:val="22"/>
          <w:szCs w:val="22"/>
        </w:rPr>
        <w:t>,</w:t>
      </w:r>
      <w:r w:rsidRPr="00B23F25">
        <w:rPr>
          <w:rFonts w:ascii="Palatino Linotype" w:hAnsi="Palatino Linotype" w:cs="Tahoma"/>
          <w:bCs/>
          <w:sz w:val="22"/>
          <w:szCs w:val="22"/>
        </w:rPr>
        <w:t xml:space="preserve"> de la Ley de Transparencia y Acceso a la Información Pública del Estado de México y Municipios.</w:t>
      </w:r>
    </w:p>
    <w:p w:rsidRPr="00B23F25" w:rsidR="0094000F" w:rsidP="0094000F" w:rsidRDefault="0094000F" w14:paraId="18F3CB2A" w14:textId="77777777">
      <w:pPr>
        <w:spacing w:line="360" w:lineRule="auto"/>
        <w:jc w:val="both"/>
        <w:rPr>
          <w:rFonts w:ascii="Palatino Linotype" w:hAnsi="Palatino Linotype" w:eastAsia="Calibri" w:cs="Tahoma"/>
          <w:color w:val="000000"/>
          <w:sz w:val="22"/>
        </w:rPr>
      </w:pPr>
    </w:p>
    <w:p w:rsidRPr="00B23F25" w:rsidR="0094000F" w:rsidP="00710DA7" w:rsidRDefault="008F66F5" w14:paraId="7CCDDB25" w14:textId="3D51B0F4">
      <w:pPr>
        <w:spacing w:line="360" w:lineRule="auto"/>
        <w:jc w:val="both"/>
        <w:rPr>
          <w:rFonts w:ascii="Palatino Linotype" w:hAnsi="Palatino Linotype" w:eastAsia="Calibri" w:cs="Tahoma"/>
          <w:color w:val="000000"/>
          <w:sz w:val="22"/>
          <w:szCs w:val="22"/>
          <w:lang w:eastAsia="en-US"/>
        </w:rPr>
      </w:pPr>
      <w:r w:rsidRPr="00B23F25">
        <w:rPr>
          <w:rFonts w:ascii="Palatino Linotype" w:hAnsi="Palatino Linotype" w:eastAsia="Calibri" w:cs="Arial"/>
          <w:b/>
          <w:color w:val="000000"/>
          <w:sz w:val="22"/>
          <w:szCs w:val="22"/>
          <w:lang w:val="es-ES_tradnl" w:eastAsia="en-US"/>
        </w:rPr>
        <w:t>TERCERO.</w:t>
      </w:r>
      <w:r w:rsidRPr="00B23F25">
        <w:rPr>
          <w:rFonts w:ascii="Palatino Linotype" w:hAnsi="Palatino Linotype" w:eastAsia="Calibri" w:cs="Tahoma"/>
          <w:b/>
          <w:color w:val="000000"/>
          <w:sz w:val="22"/>
          <w:szCs w:val="22"/>
          <w:lang w:eastAsia="en-US"/>
        </w:rPr>
        <w:t xml:space="preserve"> NOTIFÍQUESE </w:t>
      </w:r>
      <w:r w:rsidRPr="00B23F25">
        <w:rPr>
          <w:rFonts w:ascii="Palatino Linotype" w:hAnsi="Palatino Linotype" w:eastAsia="Calibri" w:cs="Tahoma"/>
          <w:color w:val="000000"/>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23F25" w:rsidR="00DF5F46" w:rsidP="00710DA7" w:rsidRDefault="00DF5F46" w14:paraId="01FE5FE1" w14:textId="77777777">
      <w:pPr>
        <w:spacing w:line="360" w:lineRule="auto"/>
        <w:jc w:val="both"/>
        <w:rPr>
          <w:rFonts w:ascii="Palatino Linotype" w:hAnsi="Palatino Linotype" w:eastAsia="Calibri" w:cs="Tahoma"/>
          <w:color w:val="000000"/>
          <w:sz w:val="22"/>
          <w:szCs w:val="22"/>
          <w:lang w:eastAsia="en-US"/>
        </w:rPr>
      </w:pPr>
    </w:p>
    <w:p w:rsidRPr="00B23F25" w:rsidR="008F66F5" w:rsidP="00710DA7" w:rsidRDefault="008F66F5" w14:paraId="67C7196B" w14:textId="77777777">
      <w:pPr>
        <w:spacing w:line="360" w:lineRule="auto"/>
        <w:contextualSpacing/>
        <w:jc w:val="both"/>
        <w:rPr>
          <w:rFonts w:ascii="Palatino Linotype" w:hAnsi="Palatino Linotype" w:eastAsia="Calibri" w:cs="Tahoma"/>
          <w:iCs/>
          <w:color w:val="000000"/>
          <w:sz w:val="22"/>
          <w:szCs w:val="22"/>
          <w:lang w:eastAsia="en-US"/>
        </w:rPr>
      </w:pPr>
      <w:bookmarkStart w:name="_Hlk61509110" w:id="0"/>
      <w:r w:rsidRPr="00B23F25">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B23F25" w:rsidR="008F66F5" w:rsidP="00710DA7" w:rsidRDefault="008F66F5" w14:paraId="5C2714A2" w14:textId="77777777">
      <w:pPr>
        <w:spacing w:line="360" w:lineRule="auto"/>
        <w:jc w:val="both"/>
        <w:rPr>
          <w:rFonts w:ascii="Palatino Linotype" w:hAnsi="Palatino Linotype" w:eastAsia="Calibri" w:cs="Tahoma"/>
          <w:color w:val="000000"/>
          <w:sz w:val="22"/>
          <w:szCs w:val="22"/>
          <w:lang w:eastAsia="en-US"/>
        </w:rPr>
      </w:pPr>
    </w:p>
    <w:p w:rsidRPr="00B23F25" w:rsidR="008F66F5" w:rsidP="00710DA7" w:rsidRDefault="008F66F5" w14:paraId="624F60DE" w14:textId="77777777">
      <w:pPr>
        <w:spacing w:line="360" w:lineRule="auto"/>
        <w:jc w:val="both"/>
        <w:rPr>
          <w:rFonts w:ascii="Palatino Linotype" w:hAnsi="Palatino Linotype" w:eastAsia="Calibri" w:cs="Tahoma"/>
          <w:color w:val="000000"/>
          <w:sz w:val="22"/>
          <w:szCs w:val="22"/>
          <w:lang w:eastAsia="en-US"/>
        </w:rPr>
      </w:pPr>
      <w:r w:rsidRPr="00B23F25">
        <w:rPr>
          <w:rFonts w:ascii="Palatino Linotype" w:hAnsi="Palatino Linotype" w:eastAsia="Calibri" w:cs="Tahoma"/>
          <w:b/>
          <w:color w:val="000000"/>
          <w:sz w:val="22"/>
          <w:szCs w:val="22"/>
          <w:lang w:eastAsia="en-US"/>
        </w:rPr>
        <w:t>CUARTO. NOTIFÍQUESE</w:t>
      </w:r>
      <w:r w:rsidRPr="00B23F25">
        <w:rPr>
          <w:rFonts w:ascii="Palatino Linotype" w:hAnsi="Palatino Linotype" w:eastAsia="Calibri" w:cs="Tahoma"/>
          <w:color w:val="000000"/>
          <w:sz w:val="22"/>
          <w:szCs w:val="22"/>
          <w:lang w:eastAsia="en-US"/>
        </w:rPr>
        <w:t xml:space="preserve"> al Recurrente la presente Resolución, asimismo, se hace de su conocimiento que de conformidad con lo establecido en el artículo 196 de la Ley de </w:t>
      </w:r>
      <w:r w:rsidRPr="00B23F25">
        <w:rPr>
          <w:rFonts w:ascii="Palatino Linotype" w:hAnsi="Palatino Linotype" w:eastAsia="Calibri" w:cs="Tahoma"/>
          <w:color w:val="000000"/>
          <w:sz w:val="22"/>
          <w:szCs w:val="22"/>
          <w:lang w:eastAsia="en-US"/>
        </w:rPr>
        <w:lastRenderedPageBreak/>
        <w:t>Transparencia y Acceso a la Información Pública del Estado de México y Municipios podrá promover el Juicio de Amparo en los términos de las leyes aplicables.</w:t>
      </w:r>
    </w:p>
    <w:p w:rsidRPr="00B23F25" w:rsidR="007E363C" w:rsidP="00710DA7" w:rsidRDefault="007E363C" w14:paraId="291466A8" w14:textId="77777777">
      <w:pPr>
        <w:spacing w:line="360" w:lineRule="auto"/>
        <w:jc w:val="both"/>
        <w:rPr>
          <w:rFonts w:ascii="Palatino Linotype" w:hAnsi="Palatino Linotype" w:cs="Tahoma"/>
          <w:iCs/>
          <w:sz w:val="22"/>
          <w:szCs w:val="22"/>
        </w:rPr>
      </w:pPr>
    </w:p>
    <w:p w:rsidR="00F23CC2" w:rsidP="00710DA7" w:rsidRDefault="00741DCC" w14:paraId="7F0F6C29" w14:textId="48145C81">
      <w:pPr>
        <w:spacing w:line="360" w:lineRule="auto"/>
        <w:ind w:right="-93"/>
        <w:jc w:val="both"/>
        <w:rPr>
          <w:rFonts w:ascii="Palatino Linotype" w:hAnsi="Palatino Linotype" w:cs="Tahoma"/>
          <w:bCs/>
          <w:sz w:val="22"/>
          <w:szCs w:val="22"/>
          <w:lang w:val="es-ES_tradnl"/>
        </w:rPr>
      </w:pPr>
      <w:r w:rsidRPr="00B23F25">
        <w:rPr>
          <w:rFonts w:ascii="Palatino Linotype" w:hAnsi="Palatino Linotype" w:cs="Tahoma"/>
          <w:bCs/>
          <w:sz w:val="22"/>
          <w:szCs w:val="22"/>
          <w:lang w:val="es-ES_tradnl"/>
        </w:rPr>
        <w:t xml:space="preserve">ASÍ LO RESUELVE, POR </w:t>
      </w:r>
      <w:r w:rsidRPr="00B23F25">
        <w:rPr>
          <w:rFonts w:ascii="Palatino Linotype" w:hAnsi="Palatino Linotype" w:cs="Tahoma"/>
          <w:b/>
          <w:bCs/>
          <w:sz w:val="22"/>
          <w:szCs w:val="22"/>
          <w:lang w:val="es-ES_tradnl"/>
        </w:rPr>
        <w:t>UNANIMIDAD</w:t>
      </w:r>
      <w:r w:rsidRPr="00B23F25">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(AUSENCIA JUSTIFICADA), LUIS GUSTAVO PARRA NORIEGA Y GUADALUPE RAMÍREZ PEÑA CON OPINIÓN PARTICULAR, EN LA VIGÉSIMA CUARTA SESIÓN ORDINARIA, CELEBRADA EL </w:t>
      </w:r>
      <w:r w:rsidRPr="00B23F25">
        <w:rPr>
          <w:rFonts w:ascii="Palatino Linotype" w:hAnsi="Palatino Linotype" w:cs="Tahoma"/>
          <w:bCs/>
          <w:sz w:val="22"/>
          <w:szCs w:val="22"/>
        </w:rPr>
        <w:t>VEINTINUEVE DE JUNIO DE DOS MIL VEINTIDÓS</w:t>
      </w:r>
      <w:r w:rsidRPr="00B23F25">
        <w:rPr>
          <w:rFonts w:ascii="Palatino Linotype" w:hAnsi="Palatino Linotype" w:cs="Tahoma"/>
          <w:bCs/>
          <w:sz w:val="22"/>
          <w:szCs w:val="22"/>
          <w:lang w:val="es-ES_tradnl"/>
        </w:rPr>
        <w:t>, ANTE EL SECRETARIO TÉCNICO DEL PLENO, ALEXIS TAPIA RAMÍREZ.</w:t>
      </w:r>
    </w:p>
    <w:p w:rsidR="00421823" w:rsidRDefault="00421823" w14:paraId="3DBE5956" w14:textId="35126463">
      <w:pPr>
        <w:spacing w:after="160" w:line="259" w:lineRule="auto"/>
        <w:rPr>
          <w:rFonts w:ascii="Palatino Linotype" w:hAnsi="Palatino Linotype"/>
        </w:rPr>
      </w:pPr>
      <w:r>
        <w:rPr>
          <w:rFonts w:ascii="Palatino Linotype" w:hAnsi="Palatino Linotype"/>
        </w:rPr>
        <w:br w:type="page"/>
      </w:r>
    </w:p>
    <w:p w:rsidRPr="00ED5C85" w:rsidR="00F37945" w:rsidP="00DF5F46" w:rsidRDefault="00F37945" w14:paraId="1DA203F5" w14:textId="77777777">
      <w:pPr>
        <w:spacing w:line="360" w:lineRule="auto"/>
        <w:ind w:right="-93"/>
        <w:jc w:val="both"/>
        <w:rPr>
          <w:rFonts w:ascii="Palatino Linotype" w:hAnsi="Palatino Linotype"/>
        </w:rPr>
      </w:pPr>
    </w:p>
    <w:sectPr w:rsidRPr="00ED5C85" w:rsidR="00F37945" w:rsidSect="007540F1">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A83" w:rsidP="0044225B" w:rsidRDefault="00BC2A83" w14:paraId="7A304F10" w14:textId="77777777">
      <w:r>
        <w:separator/>
      </w:r>
    </w:p>
  </w:endnote>
  <w:endnote w:type="continuationSeparator" w:id="0">
    <w:p w:rsidR="00BC2A83" w:rsidP="0044225B" w:rsidRDefault="00BC2A83" w14:paraId="4221D62F" w14:textId="77777777">
      <w:r>
        <w:continuationSeparator/>
      </w:r>
    </w:p>
  </w:endnote>
  <w:endnote w:type="continuationNotice" w:id="1">
    <w:p w:rsidR="00BC2A83" w:rsidRDefault="00BC2A83" w14:paraId="794C00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FC5C09">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5C09">
      <w:rPr>
        <w:b/>
        <w:bCs/>
        <w:noProof/>
      </w:rPr>
      <w:t>29</w:t>
    </w:r>
    <w:r>
      <w:rPr>
        <w:b/>
        <w:bCs/>
      </w:rPr>
      <w:fldChar w:fldCharType="end"/>
    </w:r>
  </w:p>
  <w:p w:rsidR="00EB7ECA" w:rsidRDefault="00EB7ECA"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FC5C0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5C09">
      <w:rPr>
        <w:b/>
        <w:bCs/>
        <w:noProof/>
      </w:rPr>
      <w:t>29</w:t>
    </w:r>
    <w:r>
      <w:rPr>
        <w:b/>
        <w:bCs/>
      </w:rPr>
      <w:fldChar w:fldCharType="end"/>
    </w:r>
  </w:p>
  <w:p w:rsidR="00EB7ECA" w:rsidRDefault="00EB7ECA"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A83" w:rsidP="0044225B" w:rsidRDefault="00BC2A83" w14:paraId="1F9DB112" w14:textId="77777777">
      <w:r>
        <w:separator/>
      </w:r>
    </w:p>
  </w:footnote>
  <w:footnote w:type="continuationSeparator" w:id="0">
    <w:p w:rsidR="00BC2A83" w:rsidP="0044225B" w:rsidRDefault="00BC2A83" w14:paraId="09DB68E0" w14:textId="77777777">
      <w:r>
        <w:continuationSeparator/>
      </w:r>
    </w:p>
  </w:footnote>
  <w:footnote w:type="continuationNotice" w:id="1">
    <w:p w:rsidR="00BC2A83" w:rsidRDefault="00BC2A83" w14:paraId="2888AB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B23F25"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alt="" o:spid="_x0000_s2049"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EB7ECA" w:rsidTr="0044225B" w14:paraId="1A1F348D" w14:textId="77777777">
      <w:trPr>
        <w:trHeight w:val="1435"/>
      </w:trPr>
      <w:tc>
        <w:tcPr>
          <w:tcW w:w="2268" w:type="dxa"/>
          <w:shd w:val="clear" w:color="auto" w:fill="auto"/>
        </w:tcPr>
        <w:p w:rsidRPr="005C106F" w:rsidR="00EB7ECA" w:rsidP="007540F1" w:rsidRDefault="00EB7ECA"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EB7ECA" w:rsidP="007540F1" w:rsidRDefault="00EB7ECA" w14:paraId="1DE8530E" w14:textId="77777777"/>
        <w:tbl>
          <w:tblPr>
            <w:tblW w:w="5812" w:type="dxa"/>
            <w:tblInd w:w="891" w:type="dxa"/>
            <w:tblLayout w:type="fixed"/>
            <w:tblLook w:val="0420" w:firstRow="1" w:lastRow="0" w:firstColumn="0" w:lastColumn="0" w:noHBand="0" w:noVBand="1"/>
          </w:tblPr>
          <w:tblGrid>
            <w:gridCol w:w="2551"/>
            <w:gridCol w:w="3261"/>
          </w:tblGrid>
          <w:tr w:rsidR="00EB7ECA" w:rsidTr="00C92705" w14:paraId="58606248" w14:textId="77777777">
            <w:trPr>
              <w:trHeight w:val="150"/>
            </w:trPr>
            <w:tc>
              <w:tcPr>
                <w:tcW w:w="2551" w:type="dxa"/>
                <w:shd w:val="clear" w:color="auto" w:fill="auto"/>
              </w:tcPr>
              <w:p w:rsidRPr="00020E73" w:rsidR="00EB7ECA" w:rsidP="007540F1" w:rsidRDefault="00EB7ECA"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3261" w:type="dxa"/>
                <w:shd w:val="clear" w:color="auto" w:fill="auto"/>
              </w:tcPr>
              <w:p w:rsidRPr="00020E73" w:rsidR="00EB7ECA" w:rsidP="007540F1" w:rsidRDefault="00C94089" w14:paraId="11327933" w14:textId="434702A2">
                <w:pPr>
                  <w:tabs>
                    <w:tab w:val="right" w:pos="8838"/>
                  </w:tabs>
                  <w:ind w:left="-108" w:right="-109"/>
                  <w:jc w:val="both"/>
                  <w:rPr>
                    <w:rFonts w:ascii="Palatino Linotype" w:hAnsi="Palatino Linotype" w:eastAsia="Calibri" w:cs="Tahoma"/>
                    <w:bCs/>
                    <w:sz w:val="22"/>
                    <w:szCs w:val="22"/>
                    <w:lang w:val="es-ES" w:eastAsia="en-US"/>
                  </w:rPr>
                </w:pPr>
                <w:r w:rsidRPr="00C94089">
                  <w:rPr>
                    <w:rFonts w:ascii="Palatino Linotype" w:hAnsi="Palatino Linotype" w:eastAsia="Calibri" w:cs="Tahoma"/>
                    <w:sz w:val="22"/>
                    <w:szCs w:val="22"/>
                    <w:lang w:eastAsia="en-US"/>
                  </w:rPr>
                  <w:t>04736/INFOEM/IP/RR/2022</w:t>
                </w:r>
              </w:p>
            </w:tc>
          </w:tr>
          <w:tr w:rsidR="00EB7ECA" w:rsidTr="00C92705" w14:paraId="78B37E34" w14:textId="77777777">
            <w:trPr>
              <w:trHeight w:val="295"/>
            </w:trPr>
            <w:tc>
              <w:tcPr>
                <w:tcW w:w="2551" w:type="dxa"/>
                <w:shd w:val="clear" w:color="auto" w:fill="auto"/>
              </w:tcPr>
              <w:p w:rsidRPr="00020E73" w:rsidR="00EB7ECA" w:rsidP="007540F1" w:rsidRDefault="00EB7ECA"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1"/>
                <w:r w:rsidRPr="00020E73">
                  <w:rPr>
                    <w:rFonts w:ascii="Palatino Linotype" w:hAnsi="Palatino Linotype" w:eastAsia="Calibri" w:cs="Tahoma"/>
                    <w:b/>
                    <w:sz w:val="22"/>
                    <w:szCs w:val="22"/>
                    <w:lang w:val="es-ES" w:eastAsia="en-US"/>
                  </w:rPr>
                  <w:t>Sujeto Obligado:</w:t>
                </w:r>
              </w:p>
            </w:tc>
            <w:tc>
              <w:tcPr>
                <w:tcW w:w="3261" w:type="dxa"/>
                <w:shd w:val="clear" w:color="auto" w:fill="auto"/>
              </w:tcPr>
              <w:p w:rsidRPr="00D511C7" w:rsidR="00EB7ECA" w:rsidP="007540F1" w:rsidRDefault="00C94089" w14:paraId="2127389C" w14:textId="3DA87507">
                <w:pPr>
                  <w:tabs>
                    <w:tab w:val="right" w:pos="8838"/>
                  </w:tabs>
                  <w:ind w:left="-108" w:right="-102"/>
                  <w:jc w:val="both"/>
                  <w:rPr>
                    <w:rFonts w:ascii="Palatino Linotype" w:hAnsi="Palatino Linotype" w:eastAsia="Calibri" w:cs="Tahoma"/>
                    <w:sz w:val="22"/>
                    <w:szCs w:val="22"/>
                    <w:lang w:val="es-ES" w:eastAsia="en-US"/>
                  </w:rPr>
                </w:pPr>
                <w:r w:rsidRPr="00C94089">
                  <w:rPr>
                    <w:rFonts w:ascii="Palatino Linotype" w:hAnsi="Palatino Linotype" w:eastAsia="Calibri" w:cs="Tahoma"/>
                    <w:sz w:val="22"/>
                    <w:szCs w:val="22"/>
                    <w:lang w:eastAsia="en-US"/>
                  </w:rPr>
                  <w:t>Ayuntamiento de Temascalcingo</w:t>
                </w:r>
              </w:p>
            </w:tc>
          </w:tr>
          <w:bookmarkEnd w:id="1"/>
          <w:tr w:rsidR="00EB7ECA" w:rsidTr="00C92705" w14:paraId="2EC40D8B" w14:textId="77777777">
            <w:trPr>
              <w:trHeight w:val="295"/>
            </w:trPr>
            <w:tc>
              <w:tcPr>
                <w:tcW w:w="2551" w:type="dxa"/>
                <w:shd w:val="clear" w:color="auto" w:fill="auto"/>
              </w:tcPr>
              <w:p w:rsidRPr="00020E73" w:rsidR="00EB7ECA" w:rsidP="007540F1" w:rsidRDefault="00EB7ECA"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3261" w:type="dxa"/>
                <w:shd w:val="clear" w:color="auto" w:fill="auto"/>
              </w:tcPr>
              <w:p w:rsidRPr="00020E73" w:rsidR="00EB7ECA" w:rsidP="007540F1" w:rsidRDefault="00EB7ECA" w14:paraId="5030346F"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64586914"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EB7ECA" w:rsidP="007540F1" w:rsidRDefault="00EB7ECA" w14:paraId="324848D7" w14:textId="77777777">
          <w:pPr>
            <w:tabs>
              <w:tab w:val="right" w:pos="8838"/>
            </w:tabs>
            <w:ind w:left="-28"/>
            <w:jc w:val="both"/>
            <w:rPr>
              <w:rFonts w:ascii="Arial" w:hAnsi="Arial" w:eastAsia="Calibri" w:cs="Arial"/>
              <w:b/>
              <w:sz w:val="22"/>
              <w:szCs w:val="22"/>
              <w:lang w:eastAsia="en-US"/>
            </w:rPr>
          </w:pPr>
        </w:p>
      </w:tc>
    </w:tr>
  </w:tbl>
  <w:p w:rsidRPr="00443C6B" w:rsidR="00EB7ECA" w:rsidP="007540F1" w:rsidRDefault="00B23F25"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8239;mso-wrap-edited:f;mso-width-percent:0;mso-height-percent:0;mso-position-horizontal-relative:margin;mso-position-vertical-relative:margin;mso-width-percent:0;mso-height-percent:0" alt=""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EB7ECA" w:rsidTr="5E5268E9" w14:paraId="59FD1C38" w14:textId="77777777">
      <w:trPr>
        <w:trHeight w:val="1435"/>
      </w:trPr>
      <w:tc>
        <w:tcPr>
          <w:tcW w:w="2268" w:type="dxa"/>
          <w:shd w:val="clear" w:color="auto" w:fill="auto"/>
          <w:tcMar/>
        </w:tcPr>
        <w:p w:rsidRPr="00330DA7" w:rsidR="00EB7ECA" w:rsidP="007540F1" w:rsidRDefault="00EB7ECA" w14:paraId="6CDB25A0" w14:textId="77777777">
          <w:pPr>
            <w:tabs>
              <w:tab w:val="right" w:pos="4273"/>
            </w:tabs>
            <w:rPr>
              <w:rFonts w:ascii="Garamond" w:hAnsi="Garamond" w:eastAsia="Calibri"/>
              <w:sz w:val="22"/>
              <w:szCs w:val="22"/>
              <w:lang w:eastAsia="en-US"/>
            </w:rPr>
          </w:pPr>
        </w:p>
      </w:tc>
      <w:tc>
        <w:tcPr>
          <w:tcW w:w="6804" w:type="dxa"/>
          <w:shd w:val="clear" w:color="auto" w:fill="auto"/>
          <w:tcMar/>
        </w:tcPr>
        <w:tbl>
          <w:tblPr>
            <w:tblW w:w="5811" w:type="dxa"/>
            <w:tblInd w:w="891" w:type="dxa"/>
            <w:tblLayout w:type="fixed"/>
            <w:tblLook w:val="0420" w:firstRow="1" w:lastRow="0" w:firstColumn="0" w:lastColumn="0" w:noHBand="0" w:noVBand="1"/>
          </w:tblPr>
          <w:tblGrid>
            <w:gridCol w:w="2444"/>
            <w:gridCol w:w="3367"/>
          </w:tblGrid>
          <w:tr w:rsidRPr="00330DA7" w:rsidR="00EB7ECA" w:rsidTr="5E5268E9" w14:paraId="53F709DB" w14:textId="77777777">
            <w:trPr>
              <w:trHeight w:val="144"/>
            </w:trPr>
            <w:tc>
              <w:tcPr>
                <w:tcW w:w="2444" w:type="dxa"/>
                <w:shd w:val="clear" w:color="auto" w:fill="auto"/>
                <w:tcMar/>
              </w:tcPr>
              <w:p w:rsidRPr="00020E73" w:rsidR="00EB7ECA" w:rsidP="007540F1" w:rsidRDefault="00EB7ECA"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3367" w:type="dxa"/>
                <w:shd w:val="clear" w:color="auto" w:fill="auto"/>
                <w:tcMar/>
              </w:tcPr>
              <w:p w:rsidRPr="00FC72CE" w:rsidR="00EB7ECA" w:rsidP="007540F1" w:rsidRDefault="00C94089" w14:paraId="1C0A58A2" w14:textId="39CC7DA3">
                <w:pPr>
                  <w:tabs>
                    <w:tab w:val="right" w:pos="8838"/>
                  </w:tabs>
                  <w:ind w:left="-74" w:right="-105"/>
                  <w:jc w:val="both"/>
                  <w:rPr>
                    <w:rFonts w:ascii="Palatino Linotype" w:hAnsi="Palatino Linotype" w:eastAsia="Calibri" w:cs="Tahoma"/>
                    <w:sz w:val="22"/>
                    <w:szCs w:val="22"/>
                    <w:lang w:val="es-ES" w:eastAsia="en-US"/>
                  </w:rPr>
                </w:pPr>
                <w:r w:rsidRPr="00C94089">
                  <w:rPr>
                    <w:rFonts w:ascii="Palatino Linotype" w:hAnsi="Palatino Linotype" w:eastAsia="Calibri" w:cs="Tahoma"/>
                    <w:sz w:val="22"/>
                    <w:szCs w:val="22"/>
                    <w:lang w:eastAsia="en-US"/>
                  </w:rPr>
                  <w:t>04736/INFOEM/IP/RR/2022</w:t>
                </w:r>
              </w:p>
            </w:tc>
          </w:tr>
          <w:tr w:rsidRPr="00330DA7" w:rsidR="00EB7ECA" w:rsidTr="5E5268E9" w14:paraId="1E27F6E9" w14:textId="77777777">
            <w:trPr>
              <w:trHeight w:val="144"/>
            </w:trPr>
            <w:tc>
              <w:tcPr>
                <w:tcW w:w="2444" w:type="dxa"/>
                <w:shd w:val="clear" w:color="auto" w:fill="auto"/>
                <w:tcMar/>
              </w:tcPr>
              <w:p w:rsidRPr="00020E73" w:rsidR="00EB7ECA" w:rsidP="007540F1" w:rsidRDefault="00EB7ECA"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3367" w:type="dxa"/>
                <w:shd w:val="clear" w:color="auto" w:fill="auto"/>
                <w:tcMar/>
              </w:tcPr>
              <w:p w:rsidRPr="00FC72CE" w:rsidR="00EB7ECA" w:rsidP="5E5268E9" w:rsidRDefault="00C94089" w14:paraId="46AAB67F" w14:textId="55235A5A">
                <w:pPr>
                  <w:pStyle w:val="Normal"/>
                  <w:tabs>
                    <w:tab w:val="left" w:leader="none" w:pos="3122"/>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sz w:val="24"/>
                    <w:szCs w:val="24"/>
                    <w:highlight w:val="black"/>
                    <w:lang w:val="es-ES" w:eastAsia="en-US"/>
                  </w:rPr>
                </w:pPr>
                <w:r w:rsidRPr="5E5268E9" w:rsidR="5E5268E9">
                  <w:rPr>
                    <w:rFonts w:ascii="Palatino Linotype" w:hAnsi="Palatino Linotype" w:eastAsia="Calibri" w:cs="Tahoma"/>
                    <w:sz w:val="22"/>
                    <w:szCs w:val="22"/>
                    <w:highlight w:val="black"/>
                    <w:lang w:val="es-ES" w:eastAsia="en-US"/>
                  </w:rPr>
                  <w:t>XXXXXXXXXXXXX</w:t>
                </w:r>
              </w:p>
            </w:tc>
          </w:tr>
          <w:tr w:rsidRPr="00330DA7" w:rsidR="00EB7ECA" w:rsidTr="5E5268E9" w14:paraId="50ECA2F3" w14:textId="77777777">
            <w:trPr>
              <w:trHeight w:val="283"/>
            </w:trPr>
            <w:tc>
              <w:tcPr>
                <w:tcW w:w="2444" w:type="dxa"/>
                <w:shd w:val="clear" w:color="auto" w:fill="auto"/>
                <w:tcMar/>
              </w:tcPr>
              <w:p w:rsidRPr="00020E73" w:rsidR="00EB7ECA" w:rsidP="007540F1" w:rsidRDefault="00EB7ECA"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3367" w:type="dxa"/>
                <w:shd w:val="clear" w:color="auto" w:fill="auto"/>
                <w:tcMar/>
              </w:tcPr>
              <w:p w:rsidRPr="00D511C7" w:rsidR="00EB7ECA" w:rsidP="007540F1" w:rsidRDefault="00C94089" w14:paraId="49760D64" w14:textId="66014AD0">
                <w:pPr>
                  <w:tabs>
                    <w:tab w:val="left" w:pos="2834"/>
                    <w:tab w:val="right" w:pos="8838"/>
                  </w:tabs>
                  <w:ind w:left="-74" w:right="-105"/>
                  <w:jc w:val="both"/>
                  <w:rPr>
                    <w:rFonts w:ascii="Palatino Linotype" w:hAnsi="Palatino Linotype" w:eastAsia="Calibri" w:cs="Tahoma"/>
                    <w:sz w:val="22"/>
                    <w:szCs w:val="22"/>
                    <w:lang w:val="es-ES" w:eastAsia="en-US"/>
                  </w:rPr>
                </w:pPr>
                <w:r w:rsidRPr="00C94089">
                  <w:rPr>
                    <w:rFonts w:ascii="Palatino Linotype" w:hAnsi="Palatino Linotype" w:eastAsia="Calibri" w:cs="Tahoma"/>
                    <w:sz w:val="22"/>
                    <w:szCs w:val="22"/>
                    <w:lang w:eastAsia="en-US"/>
                  </w:rPr>
                  <w:t>Ayuntamiento de Temascalcingo</w:t>
                </w:r>
              </w:p>
            </w:tc>
          </w:tr>
          <w:tr w:rsidRPr="00330DA7" w:rsidR="00EB7ECA" w:rsidTr="5E5268E9" w14:paraId="37CD9738" w14:textId="77777777">
            <w:trPr>
              <w:trHeight w:val="283"/>
            </w:trPr>
            <w:tc>
              <w:tcPr>
                <w:tcW w:w="2444" w:type="dxa"/>
                <w:shd w:val="clear" w:color="auto" w:fill="auto"/>
                <w:tcMar/>
              </w:tcPr>
              <w:p w:rsidRPr="00020E73" w:rsidR="00EB7ECA" w:rsidP="007540F1" w:rsidRDefault="00EB7ECA"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3367" w:type="dxa"/>
                <w:shd w:val="clear" w:color="auto" w:fill="auto"/>
                <w:tcMar/>
              </w:tcPr>
              <w:p w:rsidRPr="00020E73" w:rsidR="00EB7ECA" w:rsidP="007540F1" w:rsidRDefault="00EB7ECA"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EB7ECA" w:rsidP="007540F1" w:rsidRDefault="00EB7ECA" w14:paraId="652F131D" w14:textId="77777777">
          <w:pPr>
            <w:tabs>
              <w:tab w:val="right" w:pos="8838"/>
            </w:tabs>
            <w:ind w:left="-28"/>
            <w:jc w:val="both"/>
            <w:rPr>
              <w:rFonts w:ascii="Arial" w:hAnsi="Arial" w:eastAsia="Calibri" w:cs="Arial"/>
              <w:b/>
              <w:sz w:val="22"/>
              <w:szCs w:val="22"/>
              <w:lang w:eastAsia="en-US"/>
            </w:rPr>
          </w:pPr>
        </w:p>
      </w:tc>
    </w:tr>
  </w:tbl>
  <w:p w:rsidRPr="00827FA0" w:rsidR="00EB7ECA" w:rsidP="007540F1" w:rsidRDefault="00B23F25"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4pt;margin-top:-113.95pt;width:589.8pt;height:768pt;z-index:-251658238;mso-wrap-edited:f;mso-width-percent:0;mso-height-percent:0;mso-position-horizontal-relative:margin;mso-position-vertical-relative:margin;mso-width-percent:0;mso-height-percent:0" alt="" o:spid="_x0000_s2051"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555D6"/>
    <w:multiLevelType w:val="hybridMultilevel"/>
    <w:tmpl w:val="6942A9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2E4014"/>
    <w:multiLevelType w:val="hybridMultilevel"/>
    <w:tmpl w:val="F1A6FD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A8B7A0C"/>
    <w:multiLevelType w:val="hybridMultilevel"/>
    <w:tmpl w:val="14323F5C"/>
    <w:lvl w:ilvl="0" w:tplc="B41627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013A15"/>
    <w:multiLevelType w:val="hybridMultilevel"/>
    <w:tmpl w:val="F286C9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2"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2D4D1C04"/>
    <w:multiLevelType w:val="hybridMultilevel"/>
    <w:tmpl w:val="EC5E63F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E258D3"/>
    <w:multiLevelType w:val="hybridMultilevel"/>
    <w:tmpl w:val="AE1AD1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37E63ED4"/>
    <w:multiLevelType w:val="hybridMultilevel"/>
    <w:tmpl w:val="254665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4AE7BEE"/>
    <w:multiLevelType w:val="hybridMultilevel"/>
    <w:tmpl w:val="4B767A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77A552C"/>
    <w:multiLevelType w:val="hybridMultilevel"/>
    <w:tmpl w:val="978C659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0C7239E"/>
    <w:multiLevelType w:val="hybridMultilevel"/>
    <w:tmpl w:val="F344FF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52BF2D71"/>
    <w:multiLevelType w:val="hybridMultilevel"/>
    <w:tmpl w:val="2B48E2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3B56E0"/>
    <w:multiLevelType w:val="hybridMultilevel"/>
    <w:tmpl w:val="59BAC234"/>
    <w:lvl w:ilvl="0" w:tplc="BB1C9058">
      <w:start w:val="1"/>
      <w:numFmt w:val="upperRoman"/>
      <w:lvlText w:val="%1."/>
      <w:lvlJc w:val="left"/>
      <w:pPr>
        <w:ind w:left="112" w:hanging="156"/>
      </w:pPr>
      <w:rPr>
        <w:rFonts w:hint="default" w:ascii="Bookman Old Style" w:hAnsi="Bookman Old Style" w:eastAsia="Arial" w:cs="Arial"/>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3" w15:restartNumberingAfterBreak="0">
    <w:nsid w:val="594202F3"/>
    <w:multiLevelType w:val="hybridMultilevel"/>
    <w:tmpl w:val="7BBECA4E"/>
    <w:lvl w:ilvl="0" w:tplc="A36ABF8A">
      <w:start w:val="1"/>
      <w:numFmt w:val="upperLetter"/>
      <w:lvlText w:val="%1."/>
      <w:lvlJc w:val="left"/>
      <w:pPr>
        <w:ind w:left="720" w:hanging="360"/>
      </w:pPr>
      <w:rPr>
        <w:rFonts w:hint="default" w:ascii="Palatino Linotype" w:hAnsi="Palatino Linotype"/>
        <w:b/>
        <w:bCs/>
        <w:sz w:val="22"/>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69370C"/>
    <w:multiLevelType w:val="hybridMultilevel"/>
    <w:tmpl w:val="13A6481E"/>
    <w:lvl w:ilvl="0" w:tplc="93246CE0">
      <w:start w:val="1"/>
      <w:numFmt w:val="upperLetter"/>
      <w:lvlText w:val="%1."/>
      <w:lvlJc w:val="left"/>
      <w:pPr>
        <w:ind w:left="720" w:hanging="360"/>
      </w:pPr>
      <w:rPr>
        <w:rFonts w:hint="default" w:ascii="Palatino Linotype" w:hAnsi="Palatino Linotype"/>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F644CED"/>
    <w:multiLevelType w:val="hybridMultilevel"/>
    <w:tmpl w:val="DA4AFA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FF46A28"/>
    <w:multiLevelType w:val="hybridMultilevel"/>
    <w:tmpl w:val="AE9E6D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70E5EED"/>
    <w:multiLevelType w:val="hybridMultilevel"/>
    <w:tmpl w:val="CDBAE2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B1A090E"/>
    <w:multiLevelType w:val="hybridMultilevel"/>
    <w:tmpl w:val="44225B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D6E447C"/>
    <w:multiLevelType w:val="hybridMultilevel"/>
    <w:tmpl w:val="9BB4ED8A"/>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308361667">
    <w:abstractNumId w:val="37"/>
  </w:num>
  <w:num w:numId="2" w16cid:durableId="1190800043">
    <w:abstractNumId w:val="14"/>
  </w:num>
  <w:num w:numId="3" w16cid:durableId="1628507083">
    <w:abstractNumId w:val="19"/>
  </w:num>
  <w:num w:numId="4" w16cid:durableId="809134502">
    <w:abstractNumId w:val="1"/>
  </w:num>
  <w:num w:numId="5" w16cid:durableId="1575699844">
    <w:abstractNumId w:val="24"/>
  </w:num>
  <w:num w:numId="6" w16cid:durableId="1835491609">
    <w:abstractNumId w:val="20"/>
  </w:num>
  <w:num w:numId="7" w16cid:durableId="667712578">
    <w:abstractNumId w:val="40"/>
  </w:num>
  <w:num w:numId="8" w16cid:durableId="185364975">
    <w:abstractNumId w:val="17"/>
  </w:num>
  <w:num w:numId="9" w16cid:durableId="1074856325">
    <w:abstractNumId w:val="32"/>
  </w:num>
  <w:num w:numId="10" w16cid:durableId="17315417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3922789">
    <w:abstractNumId w:val="28"/>
  </w:num>
  <w:num w:numId="12" w16cid:durableId="11563849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844843">
    <w:abstractNumId w:val="35"/>
  </w:num>
  <w:num w:numId="14" w16cid:durableId="237980331">
    <w:abstractNumId w:val="4"/>
  </w:num>
  <w:num w:numId="15" w16cid:durableId="224680397">
    <w:abstractNumId w:val="0"/>
  </w:num>
  <w:num w:numId="16" w16cid:durableId="403836629">
    <w:abstractNumId w:val="13"/>
  </w:num>
  <w:num w:numId="17" w16cid:durableId="1917350749">
    <w:abstractNumId w:val="2"/>
  </w:num>
  <w:num w:numId="18" w16cid:durableId="1291010774">
    <w:abstractNumId w:val="3"/>
  </w:num>
  <w:num w:numId="19" w16cid:durableId="264580541">
    <w:abstractNumId w:val="21"/>
  </w:num>
  <w:num w:numId="20" w16cid:durableId="446856338">
    <w:abstractNumId w:val="33"/>
  </w:num>
  <w:num w:numId="21" w16cid:durableId="1431121834">
    <w:abstractNumId w:val="34"/>
  </w:num>
  <w:num w:numId="22" w16cid:durableId="319970663">
    <w:abstractNumId w:val="7"/>
  </w:num>
  <w:num w:numId="23" w16cid:durableId="279454109">
    <w:abstractNumId w:val="41"/>
  </w:num>
  <w:num w:numId="24" w16cid:durableId="2130119752">
    <w:abstractNumId w:val="43"/>
  </w:num>
  <w:num w:numId="25" w16cid:durableId="823815059">
    <w:abstractNumId w:val="12"/>
  </w:num>
  <w:num w:numId="26" w16cid:durableId="1815289762">
    <w:abstractNumId w:val="22"/>
  </w:num>
  <w:num w:numId="27" w16cid:durableId="1585991239">
    <w:abstractNumId w:val="31"/>
  </w:num>
  <w:num w:numId="28" w16cid:durableId="8683327">
    <w:abstractNumId w:val="16"/>
  </w:num>
  <w:num w:numId="29" w16cid:durableId="1437359686">
    <w:abstractNumId w:val="5"/>
  </w:num>
  <w:num w:numId="30" w16cid:durableId="222058996">
    <w:abstractNumId w:val="9"/>
  </w:num>
  <w:num w:numId="31" w16cid:durableId="648940896">
    <w:abstractNumId w:val="6"/>
  </w:num>
  <w:num w:numId="32" w16cid:durableId="1099368147">
    <w:abstractNumId w:val="26"/>
  </w:num>
  <w:num w:numId="33" w16cid:durableId="616912590">
    <w:abstractNumId w:val="27"/>
  </w:num>
  <w:num w:numId="34" w16cid:durableId="233047778">
    <w:abstractNumId w:val="45"/>
  </w:num>
  <w:num w:numId="35" w16cid:durableId="887839581">
    <w:abstractNumId w:val="38"/>
  </w:num>
  <w:num w:numId="36" w16cid:durableId="1633517110">
    <w:abstractNumId w:val="23"/>
  </w:num>
  <w:num w:numId="37" w16cid:durableId="2115903233">
    <w:abstractNumId w:val="10"/>
  </w:num>
  <w:num w:numId="38" w16cid:durableId="456920516">
    <w:abstractNumId w:val="44"/>
  </w:num>
  <w:num w:numId="39" w16cid:durableId="1078600479">
    <w:abstractNumId w:val="29"/>
  </w:num>
  <w:num w:numId="40" w16cid:durableId="1563297057">
    <w:abstractNumId w:val="25"/>
  </w:num>
  <w:num w:numId="41" w16cid:durableId="2038651369">
    <w:abstractNumId w:val="18"/>
  </w:num>
  <w:num w:numId="42" w16cid:durableId="441069810">
    <w:abstractNumId w:val="30"/>
  </w:num>
  <w:num w:numId="43" w16cid:durableId="1804540177">
    <w:abstractNumId w:val="8"/>
  </w:num>
  <w:num w:numId="44" w16cid:durableId="1484662616">
    <w:abstractNumId w:val="36"/>
  </w:num>
  <w:num w:numId="45" w16cid:durableId="1798066779">
    <w:abstractNumId w:val="11"/>
  </w:num>
  <w:num w:numId="46" w16cid:durableId="1856115003">
    <w:abstractNumId w:val="39"/>
  </w:num>
  <w:num w:numId="47" w16cid:durableId="970670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1E1"/>
    <w:rsid w:val="00004401"/>
    <w:rsid w:val="00004EE1"/>
    <w:rsid w:val="0000510E"/>
    <w:rsid w:val="000054CC"/>
    <w:rsid w:val="00007F61"/>
    <w:rsid w:val="000100EF"/>
    <w:rsid w:val="0001057E"/>
    <w:rsid w:val="00010914"/>
    <w:rsid w:val="000111F0"/>
    <w:rsid w:val="000112B9"/>
    <w:rsid w:val="0001472B"/>
    <w:rsid w:val="00014CA4"/>
    <w:rsid w:val="00015458"/>
    <w:rsid w:val="000157BF"/>
    <w:rsid w:val="0001702B"/>
    <w:rsid w:val="0001720B"/>
    <w:rsid w:val="000175EE"/>
    <w:rsid w:val="00020DAC"/>
    <w:rsid w:val="0002206C"/>
    <w:rsid w:val="00022A7B"/>
    <w:rsid w:val="00023A0B"/>
    <w:rsid w:val="00026149"/>
    <w:rsid w:val="0002662F"/>
    <w:rsid w:val="000277F8"/>
    <w:rsid w:val="00027CD3"/>
    <w:rsid w:val="00030C67"/>
    <w:rsid w:val="000330B4"/>
    <w:rsid w:val="0003366E"/>
    <w:rsid w:val="00037B46"/>
    <w:rsid w:val="00040093"/>
    <w:rsid w:val="00041435"/>
    <w:rsid w:val="0004183B"/>
    <w:rsid w:val="00041FC8"/>
    <w:rsid w:val="00045427"/>
    <w:rsid w:val="000455EF"/>
    <w:rsid w:val="000463AD"/>
    <w:rsid w:val="000504B4"/>
    <w:rsid w:val="00050EA4"/>
    <w:rsid w:val="00051436"/>
    <w:rsid w:val="00056EE7"/>
    <w:rsid w:val="00056EF5"/>
    <w:rsid w:val="00057F0C"/>
    <w:rsid w:val="0006133F"/>
    <w:rsid w:val="00061703"/>
    <w:rsid w:val="00062FCE"/>
    <w:rsid w:val="000632E7"/>
    <w:rsid w:val="00063AC0"/>
    <w:rsid w:val="000650D6"/>
    <w:rsid w:val="0007241D"/>
    <w:rsid w:val="00072554"/>
    <w:rsid w:val="000727FA"/>
    <w:rsid w:val="00073081"/>
    <w:rsid w:val="00075932"/>
    <w:rsid w:val="00076801"/>
    <w:rsid w:val="00077F41"/>
    <w:rsid w:val="000800D4"/>
    <w:rsid w:val="00081701"/>
    <w:rsid w:val="000822EB"/>
    <w:rsid w:val="000828D0"/>
    <w:rsid w:val="00087CF1"/>
    <w:rsid w:val="00087FCC"/>
    <w:rsid w:val="00090271"/>
    <w:rsid w:val="000909ED"/>
    <w:rsid w:val="00091513"/>
    <w:rsid w:val="00093F68"/>
    <w:rsid w:val="0009402D"/>
    <w:rsid w:val="00094121"/>
    <w:rsid w:val="00096403"/>
    <w:rsid w:val="00096EE6"/>
    <w:rsid w:val="000A0241"/>
    <w:rsid w:val="000A116D"/>
    <w:rsid w:val="000A2ADC"/>
    <w:rsid w:val="000A46E1"/>
    <w:rsid w:val="000A6780"/>
    <w:rsid w:val="000A6B4B"/>
    <w:rsid w:val="000A7140"/>
    <w:rsid w:val="000B3F31"/>
    <w:rsid w:val="000B62C0"/>
    <w:rsid w:val="000B6308"/>
    <w:rsid w:val="000B6734"/>
    <w:rsid w:val="000B6B48"/>
    <w:rsid w:val="000B7905"/>
    <w:rsid w:val="000C0905"/>
    <w:rsid w:val="000C0E00"/>
    <w:rsid w:val="000C0EEA"/>
    <w:rsid w:val="000C295E"/>
    <w:rsid w:val="000C3ADB"/>
    <w:rsid w:val="000C46E3"/>
    <w:rsid w:val="000C4A8E"/>
    <w:rsid w:val="000D0818"/>
    <w:rsid w:val="000D18C2"/>
    <w:rsid w:val="000D212F"/>
    <w:rsid w:val="000D3892"/>
    <w:rsid w:val="000D3ED2"/>
    <w:rsid w:val="000D569E"/>
    <w:rsid w:val="000E1DCC"/>
    <w:rsid w:val="000E2A9F"/>
    <w:rsid w:val="000E4529"/>
    <w:rsid w:val="000E7223"/>
    <w:rsid w:val="000E7836"/>
    <w:rsid w:val="000F0625"/>
    <w:rsid w:val="000F0D8A"/>
    <w:rsid w:val="000F1577"/>
    <w:rsid w:val="000F36EA"/>
    <w:rsid w:val="000F42CB"/>
    <w:rsid w:val="000F585E"/>
    <w:rsid w:val="000F5F86"/>
    <w:rsid w:val="00101753"/>
    <w:rsid w:val="001028FD"/>
    <w:rsid w:val="00105423"/>
    <w:rsid w:val="0010787A"/>
    <w:rsid w:val="00110272"/>
    <w:rsid w:val="00111AB5"/>
    <w:rsid w:val="00111B81"/>
    <w:rsid w:val="00113CC5"/>
    <w:rsid w:val="001160F5"/>
    <w:rsid w:val="001162C3"/>
    <w:rsid w:val="001163DC"/>
    <w:rsid w:val="001231BA"/>
    <w:rsid w:val="00123779"/>
    <w:rsid w:val="00123A63"/>
    <w:rsid w:val="00124B6D"/>
    <w:rsid w:val="0012644F"/>
    <w:rsid w:val="00130967"/>
    <w:rsid w:val="00130FE9"/>
    <w:rsid w:val="0013196B"/>
    <w:rsid w:val="00134861"/>
    <w:rsid w:val="00135B97"/>
    <w:rsid w:val="00135E7A"/>
    <w:rsid w:val="0013649D"/>
    <w:rsid w:val="00136814"/>
    <w:rsid w:val="00137040"/>
    <w:rsid w:val="0013783F"/>
    <w:rsid w:val="00140BCD"/>
    <w:rsid w:val="00141213"/>
    <w:rsid w:val="00141B06"/>
    <w:rsid w:val="00142179"/>
    <w:rsid w:val="001449A9"/>
    <w:rsid w:val="00144B8A"/>
    <w:rsid w:val="00144EA8"/>
    <w:rsid w:val="001461FF"/>
    <w:rsid w:val="00150320"/>
    <w:rsid w:val="00151013"/>
    <w:rsid w:val="0015102B"/>
    <w:rsid w:val="00152651"/>
    <w:rsid w:val="001526BE"/>
    <w:rsid w:val="00152A08"/>
    <w:rsid w:val="0015427C"/>
    <w:rsid w:val="00154891"/>
    <w:rsid w:val="00155048"/>
    <w:rsid w:val="00155975"/>
    <w:rsid w:val="00155EE8"/>
    <w:rsid w:val="00155FE9"/>
    <w:rsid w:val="00156CF6"/>
    <w:rsid w:val="00157258"/>
    <w:rsid w:val="0015773B"/>
    <w:rsid w:val="00160321"/>
    <w:rsid w:val="00161028"/>
    <w:rsid w:val="00161D70"/>
    <w:rsid w:val="00162E49"/>
    <w:rsid w:val="0016332E"/>
    <w:rsid w:val="00164486"/>
    <w:rsid w:val="0016489A"/>
    <w:rsid w:val="00165BBD"/>
    <w:rsid w:val="00170687"/>
    <w:rsid w:val="00171767"/>
    <w:rsid w:val="001742B4"/>
    <w:rsid w:val="00174621"/>
    <w:rsid w:val="0017465A"/>
    <w:rsid w:val="0017549F"/>
    <w:rsid w:val="00175516"/>
    <w:rsid w:val="00175577"/>
    <w:rsid w:val="0017592B"/>
    <w:rsid w:val="001807EC"/>
    <w:rsid w:val="00181D6A"/>
    <w:rsid w:val="0018227F"/>
    <w:rsid w:val="001832F3"/>
    <w:rsid w:val="00184853"/>
    <w:rsid w:val="001864F9"/>
    <w:rsid w:val="001866B2"/>
    <w:rsid w:val="001906B3"/>
    <w:rsid w:val="00190B33"/>
    <w:rsid w:val="00191625"/>
    <w:rsid w:val="0019176B"/>
    <w:rsid w:val="00192A58"/>
    <w:rsid w:val="00193C15"/>
    <w:rsid w:val="0019508E"/>
    <w:rsid w:val="00196250"/>
    <w:rsid w:val="00196430"/>
    <w:rsid w:val="0019660C"/>
    <w:rsid w:val="00197109"/>
    <w:rsid w:val="001A071B"/>
    <w:rsid w:val="001A094D"/>
    <w:rsid w:val="001A193B"/>
    <w:rsid w:val="001A2B66"/>
    <w:rsid w:val="001A2CB1"/>
    <w:rsid w:val="001A308A"/>
    <w:rsid w:val="001A49C0"/>
    <w:rsid w:val="001A4D52"/>
    <w:rsid w:val="001A6058"/>
    <w:rsid w:val="001A622B"/>
    <w:rsid w:val="001A6D8A"/>
    <w:rsid w:val="001B05CB"/>
    <w:rsid w:val="001B1741"/>
    <w:rsid w:val="001B1968"/>
    <w:rsid w:val="001B2B77"/>
    <w:rsid w:val="001B624D"/>
    <w:rsid w:val="001B7BDC"/>
    <w:rsid w:val="001B7E28"/>
    <w:rsid w:val="001B7E2B"/>
    <w:rsid w:val="001C0028"/>
    <w:rsid w:val="001C2584"/>
    <w:rsid w:val="001C261A"/>
    <w:rsid w:val="001C3646"/>
    <w:rsid w:val="001C4E22"/>
    <w:rsid w:val="001C64EA"/>
    <w:rsid w:val="001C7A81"/>
    <w:rsid w:val="001D04AA"/>
    <w:rsid w:val="001D05E0"/>
    <w:rsid w:val="001D0EC6"/>
    <w:rsid w:val="001D3BA1"/>
    <w:rsid w:val="001D6230"/>
    <w:rsid w:val="001D6CB2"/>
    <w:rsid w:val="001E1A3D"/>
    <w:rsid w:val="001E1E72"/>
    <w:rsid w:val="001E35E5"/>
    <w:rsid w:val="001E5171"/>
    <w:rsid w:val="001E66EE"/>
    <w:rsid w:val="001E67F5"/>
    <w:rsid w:val="001E69A0"/>
    <w:rsid w:val="001F049B"/>
    <w:rsid w:val="001F1A41"/>
    <w:rsid w:val="001F1A4B"/>
    <w:rsid w:val="001F1BA4"/>
    <w:rsid w:val="001F28C4"/>
    <w:rsid w:val="001F45BA"/>
    <w:rsid w:val="001F4C72"/>
    <w:rsid w:val="001F51C1"/>
    <w:rsid w:val="001F53E3"/>
    <w:rsid w:val="001F61E4"/>
    <w:rsid w:val="001F76E8"/>
    <w:rsid w:val="0020146D"/>
    <w:rsid w:val="0020365C"/>
    <w:rsid w:val="00204309"/>
    <w:rsid w:val="0020531D"/>
    <w:rsid w:val="00205774"/>
    <w:rsid w:val="00205F4C"/>
    <w:rsid w:val="0020625E"/>
    <w:rsid w:val="0020626C"/>
    <w:rsid w:val="00210522"/>
    <w:rsid w:val="00210C27"/>
    <w:rsid w:val="00210CCB"/>
    <w:rsid w:val="00211043"/>
    <w:rsid w:val="002120B2"/>
    <w:rsid w:val="00212860"/>
    <w:rsid w:val="002138EA"/>
    <w:rsid w:val="002152D7"/>
    <w:rsid w:val="002171AD"/>
    <w:rsid w:val="00221BD3"/>
    <w:rsid w:val="00223693"/>
    <w:rsid w:val="0022400A"/>
    <w:rsid w:val="002259AC"/>
    <w:rsid w:val="002304C4"/>
    <w:rsid w:val="00231D97"/>
    <w:rsid w:val="00231F37"/>
    <w:rsid w:val="0023207A"/>
    <w:rsid w:val="002331FE"/>
    <w:rsid w:val="002348D7"/>
    <w:rsid w:val="002359AE"/>
    <w:rsid w:val="00240515"/>
    <w:rsid w:val="0024274E"/>
    <w:rsid w:val="00243558"/>
    <w:rsid w:val="00244F24"/>
    <w:rsid w:val="00246CED"/>
    <w:rsid w:val="00247399"/>
    <w:rsid w:val="002529DE"/>
    <w:rsid w:val="00254817"/>
    <w:rsid w:val="00254BCA"/>
    <w:rsid w:val="00255A14"/>
    <w:rsid w:val="0025658C"/>
    <w:rsid w:val="0026038B"/>
    <w:rsid w:val="00260FCE"/>
    <w:rsid w:val="002617F5"/>
    <w:rsid w:val="00262827"/>
    <w:rsid w:val="002632CA"/>
    <w:rsid w:val="00264B62"/>
    <w:rsid w:val="002651F9"/>
    <w:rsid w:val="00266EBE"/>
    <w:rsid w:val="00271123"/>
    <w:rsid w:val="002721DC"/>
    <w:rsid w:val="00273CBE"/>
    <w:rsid w:val="00274FA5"/>
    <w:rsid w:val="002768EA"/>
    <w:rsid w:val="00276ED6"/>
    <w:rsid w:val="002803D6"/>
    <w:rsid w:val="00282D39"/>
    <w:rsid w:val="00284966"/>
    <w:rsid w:val="00286ACA"/>
    <w:rsid w:val="002870B2"/>
    <w:rsid w:val="002873A6"/>
    <w:rsid w:val="002907FA"/>
    <w:rsid w:val="00290EF1"/>
    <w:rsid w:val="00291490"/>
    <w:rsid w:val="002915F9"/>
    <w:rsid w:val="002925DE"/>
    <w:rsid w:val="00292700"/>
    <w:rsid w:val="00292D72"/>
    <w:rsid w:val="0029588E"/>
    <w:rsid w:val="002976C4"/>
    <w:rsid w:val="002A278E"/>
    <w:rsid w:val="002A2A88"/>
    <w:rsid w:val="002A2ED6"/>
    <w:rsid w:val="002A31B6"/>
    <w:rsid w:val="002A56B7"/>
    <w:rsid w:val="002A6D86"/>
    <w:rsid w:val="002B36DA"/>
    <w:rsid w:val="002B43D6"/>
    <w:rsid w:val="002B4F00"/>
    <w:rsid w:val="002B6396"/>
    <w:rsid w:val="002C070A"/>
    <w:rsid w:val="002C34F8"/>
    <w:rsid w:val="002C3F46"/>
    <w:rsid w:val="002C4CE7"/>
    <w:rsid w:val="002C5A8B"/>
    <w:rsid w:val="002C5D43"/>
    <w:rsid w:val="002C686D"/>
    <w:rsid w:val="002C6C43"/>
    <w:rsid w:val="002D02D2"/>
    <w:rsid w:val="002D1F6D"/>
    <w:rsid w:val="002D2183"/>
    <w:rsid w:val="002D449E"/>
    <w:rsid w:val="002D4AA5"/>
    <w:rsid w:val="002E0BCE"/>
    <w:rsid w:val="002E4CBD"/>
    <w:rsid w:val="002E5458"/>
    <w:rsid w:val="002E7993"/>
    <w:rsid w:val="002F02AD"/>
    <w:rsid w:val="002F1AC3"/>
    <w:rsid w:val="002F2682"/>
    <w:rsid w:val="002F3239"/>
    <w:rsid w:val="002F4F6F"/>
    <w:rsid w:val="00300F8C"/>
    <w:rsid w:val="00301E7E"/>
    <w:rsid w:val="003020F3"/>
    <w:rsid w:val="00304A56"/>
    <w:rsid w:val="00306C37"/>
    <w:rsid w:val="0031596F"/>
    <w:rsid w:val="003160B3"/>
    <w:rsid w:val="00316D91"/>
    <w:rsid w:val="00316F0C"/>
    <w:rsid w:val="00320830"/>
    <w:rsid w:val="00320F36"/>
    <w:rsid w:val="00322C20"/>
    <w:rsid w:val="0032352C"/>
    <w:rsid w:val="0032564D"/>
    <w:rsid w:val="003259E2"/>
    <w:rsid w:val="003269B7"/>
    <w:rsid w:val="00327888"/>
    <w:rsid w:val="00330335"/>
    <w:rsid w:val="0033035E"/>
    <w:rsid w:val="00330AAE"/>
    <w:rsid w:val="00334308"/>
    <w:rsid w:val="003344CF"/>
    <w:rsid w:val="003377C9"/>
    <w:rsid w:val="0034171E"/>
    <w:rsid w:val="00342213"/>
    <w:rsid w:val="00342806"/>
    <w:rsid w:val="003450FA"/>
    <w:rsid w:val="003454B5"/>
    <w:rsid w:val="003458EB"/>
    <w:rsid w:val="00345914"/>
    <w:rsid w:val="00345A24"/>
    <w:rsid w:val="003474EC"/>
    <w:rsid w:val="00351A21"/>
    <w:rsid w:val="0035269B"/>
    <w:rsid w:val="003532FE"/>
    <w:rsid w:val="003579B6"/>
    <w:rsid w:val="00360F4E"/>
    <w:rsid w:val="00361A2A"/>
    <w:rsid w:val="0036268B"/>
    <w:rsid w:val="00362E0A"/>
    <w:rsid w:val="00363217"/>
    <w:rsid w:val="0036369A"/>
    <w:rsid w:val="003642FF"/>
    <w:rsid w:val="00364951"/>
    <w:rsid w:val="00365A51"/>
    <w:rsid w:val="003669EE"/>
    <w:rsid w:val="00366E78"/>
    <w:rsid w:val="00367279"/>
    <w:rsid w:val="003704FC"/>
    <w:rsid w:val="003712BE"/>
    <w:rsid w:val="00371557"/>
    <w:rsid w:val="00371D66"/>
    <w:rsid w:val="0037225A"/>
    <w:rsid w:val="003726F6"/>
    <w:rsid w:val="0037362A"/>
    <w:rsid w:val="00376677"/>
    <w:rsid w:val="00381466"/>
    <w:rsid w:val="0038178A"/>
    <w:rsid w:val="00382704"/>
    <w:rsid w:val="00383776"/>
    <w:rsid w:val="003845F7"/>
    <w:rsid w:val="00385979"/>
    <w:rsid w:val="003859EB"/>
    <w:rsid w:val="0038640E"/>
    <w:rsid w:val="00386A32"/>
    <w:rsid w:val="0039060E"/>
    <w:rsid w:val="003941B8"/>
    <w:rsid w:val="00394934"/>
    <w:rsid w:val="00394DE9"/>
    <w:rsid w:val="003954DA"/>
    <w:rsid w:val="00395D91"/>
    <w:rsid w:val="003A076B"/>
    <w:rsid w:val="003A395A"/>
    <w:rsid w:val="003A3BFF"/>
    <w:rsid w:val="003A40F2"/>
    <w:rsid w:val="003A462A"/>
    <w:rsid w:val="003A5023"/>
    <w:rsid w:val="003A5EE6"/>
    <w:rsid w:val="003B1B3D"/>
    <w:rsid w:val="003B2621"/>
    <w:rsid w:val="003B4084"/>
    <w:rsid w:val="003B5BD9"/>
    <w:rsid w:val="003B79C2"/>
    <w:rsid w:val="003C0D23"/>
    <w:rsid w:val="003C17F8"/>
    <w:rsid w:val="003C2075"/>
    <w:rsid w:val="003C3A6A"/>
    <w:rsid w:val="003C449B"/>
    <w:rsid w:val="003C74FB"/>
    <w:rsid w:val="003C7E32"/>
    <w:rsid w:val="003C7E82"/>
    <w:rsid w:val="003D048A"/>
    <w:rsid w:val="003D3B60"/>
    <w:rsid w:val="003D504F"/>
    <w:rsid w:val="003D667D"/>
    <w:rsid w:val="003D6EDA"/>
    <w:rsid w:val="003D7179"/>
    <w:rsid w:val="003D7366"/>
    <w:rsid w:val="003D7B39"/>
    <w:rsid w:val="003E2AE4"/>
    <w:rsid w:val="003E454F"/>
    <w:rsid w:val="003E4D9F"/>
    <w:rsid w:val="003E5AD8"/>
    <w:rsid w:val="003E5F0A"/>
    <w:rsid w:val="003E6F7D"/>
    <w:rsid w:val="003F087E"/>
    <w:rsid w:val="003F2161"/>
    <w:rsid w:val="003F220C"/>
    <w:rsid w:val="003F5C93"/>
    <w:rsid w:val="004022BE"/>
    <w:rsid w:val="00403026"/>
    <w:rsid w:val="00403795"/>
    <w:rsid w:val="00403A06"/>
    <w:rsid w:val="0040487D"/>
    <w:rsid w:val="00405804"/>
    <w:rsid w:val="004100DE"/>
    <w:rsid w:val="004108DD"/>
    <w:rsid w:val="00410C60"/>
    <w:rsid w:val="00412F2C"/>
    <w:rsid w:val="00413B05"/>
    <w:rsid w:val="0041589E"/>
    <w:rsid w:val="00421044"/>
    <w:rsid w:val="00421823"/>
    <w:rsid w:val="004219A0"/>
    <w:rsid w:val="004228F8"/>
    <w:rsid w:val="00424D79"/>
    <w:rsid w:val="00424FFE"/>
    <w:rsid w:val="00426F53"/>
    <w:rsid w:val="0042750F"/>
    <w:rsid w:val="004311B3"/>
    <w:rsid w:val="00432AE2"/>
    <w:rsid w:val="00433B7A"/>
    <w:rsid w:val="00434B3F"/>
    <w:rsid w:val="00434EC3"/>
    <w:rsid w:val="00440C9B"/>
    <w:rsid w:val="0044225B"/>
    <w:rsid w:val="0044286D"/>
    <w:rsid w:val="00444997"/>
    <w:rsid w:val="0044575C"/>
    <w:rsid w:val="00445F74"/>
    <w:rsid w:val="00446545"/>
    <w:rsid w:val="004465E3"/>
    <w:rsid w:val="00446E9E"/>
    <w:rsid w:val="004472FD"/>
    <w:rsid w:val="00447F34"/>
    <w:rsid w:val="0045074B"/>
    <w:rsid w:val="0045714E"/>
    <w:rsid w:val="0045788B"/>
    <w:rsid w:val="0046078A"/>
    <w:rsid w:val="00461D26"/>
    <w:rsid w:val="004621F4"/>
    <w:rsid w:val="0046377E"/>
    <w:rsid w:val="004639DF"/>
    <w:rsid w:val="00463A12"/>
    <w:rsid w:val="00464637"/>
    <w:rsid w:val="00465A1F"/>
    <w:rsid w:val="00466D01"/>
    <w:rsid w:val="00467136"/>
    <w:rsid w:val="00471875"/>
    <w:rsid w:val="00472249"/>
    <w:rsid w:val="00472F1C"/>
    <w:rsid w:val="0047370A"/>
    <w:rsid w:val="00483822"/>
    <w:rsid w:val="00483DD3"/>
    <w:rsid w:val="00484C4C"/>
    <w:rsid w:val="0048560C"/>
    <w:rsid w:val="00486EA3"/>
    <w:rsid w:val="004876B3"/>
    <w:rsid w:val="004907A8"/>
    <w:rsid w:val="00492BB9"/>
    <w:rsid w:val="00492CE5"/>
    <w:rsid w:val="004A2501"/>
    <w:rsid w:val="004A272C"/>
    <w:rsid w:val="004A2A83"/>
    <w:rsid w:val="004A3BBB"/>
    <w:rsid w:val="004A4321"/>
    <w:rsid w:val="004A729F"/>
    <w:rsid w:val="004A75DD"/>
    <w:rsid w:val="004B10F8"/>
    <w:rsid w:val="004B4453"/>
    <w:rsid w:val="004B4B92"/>
    <w:rsid w:val="004B73A5"/>
    <w:rsid w:val="004B7CC1"/>
    <w:rsid w:val="004C1E8D"/>
    <w:rsid w:val="004C292E"/>
    <w:rsid w:val="004C3902"/>
    <w:rsid w:val="004C43BF"/>
    <w:rsid w:val="004C4503"/>
    <w:rsid w:val="004C5885"/>
    <w:rsid w:val="004D0C9A"/>
    <w:rsid w:val="004D16F1"/>
    <w:rsid w:val="004D2553"/>
    <w:rsid w:val="004D7ACD"/>
    <w:rsid w:val="004E3661"/>
    <w:rsid w:val="004E46AA"/>
    <w:rsid w:val="004E6008"/>
    <w:rsid w:val="004E7138"/>
    <w:rsid w:val="004E7F85"/>
    <w:rsid w:val="004F2A69"/>
    <w:rsid w:val="004F626E"/>
    <w:rsid w:val="004F7606"/>
    <w:rsid w:val="005004AD"/>
    <w:rsid w:val="005006F3"/>
    <w:rsid w:val="005017B2"/>
    <w:rsid w:val="005031F8"/>
    <w:rsid w:val="005039D4"/>
    <w:rsid w:val="00505674"/>
    <w:rsid w:val="0050581A"/>
    <w:rsid w:val="0050593F"/>
    <w:rsid w:val="00506FC1"/>
    <w:rsid w:val="005119E6"/>
    <w:rsid w:val="005159C8"/>
    <w:rsid w:val="0051763E"/>
    <w:rsid w:val="00517AB8"/>
    <w:rsid w:val="0052160E"/>
    <w:rsid w:val="00521B91"/>
    <w:rsid w:val="005236A1"/>
    <w:rsid w:val="0052382F"/>
    <w:rsid w:val="0052443D"/>
    <w:rsid w:val="00524553"/>
    <w:rsid w:val="00526135"/>
    <w:rsid w:val="005279EC"/>
    <w:rsid w:val="0053033A"/>
    <w:rsid w:val="005324A8"/>
    <w:rsid w:val="005325AB"/>
    <w:rsid w:val="005329E8"/>
    <w:rsid w:val="00534BC4"/>
    <w:rsid w:val="005353D3"/>
    <w:rsid w:val="005372E9"/>
    <w:rsid w:val="00537631"/>
    <w:rsid w:val="0054003A"/>
    <w:rsid w:val="00540168"/>
    <w:rsid w:val="00541B9F"/>
    <w:rsid w:val="00541BA5"/>
    <w:rsid w:val="0054272A"/>
    <w:rsid w:val="00544CC2"/>
    <w:rsid w:val="00545190"/>
    <w:rsid w:val="00545667"/>
    <w:rsid w:val="005472A5"/>
    <w:rsid w:val="0055065C"/>
    <w:rsid w:val="005513F9"/>
    <w:rsid w:val="005524B8"/>
    <w:rsid w:val="00552539"/>
    <w:rsid w:val="0055288B"/>
    <w:rsid w:val="00554530"/>
    <w:rsid w:val="00555A8A"/>
    <w:rsid w:val="00556D2A"/>
    <w:rsid w:val="005570E6"/>
    <w:rsid w:val="00557500"/>
    <w:rsid w:val="005577B6"/>
    <w:rsid w:val="00560BE8"/>
    <w:rsid w:val="0056175E"/>
    <w:rsid w:val="00561ED6"/>
    <w:rsid w:val="00563892"/>
    <w:rsid w:val="00563C8C"/>
    <w:rsid w:val="00563D49"/>
    <w:rsid w:val="0056520D"/>
    <w:rsid w:val="00566B78"/>
    <w:rsid w:val="00566D25"/>
    <w:rsid w:val="005702C5"/>
    <w:rsid w:val="00571395"/>
    <w:rsid w:val="00571D38"/>
    <w:rsid w:val="0057259E"/>
    <w:rsid w:val="00573484"/>
    <w:rsid w:val="005760FF"/>
    <w:rsid w:val="005764DE"/>
    <w:rsid w:val="00583B0D"/>
    <w:rsid w:val="00584C89"/>
    <w:rsid w:val="0058588B"/>
    <w:rsid w:val="005904F6"/>
    <w:rsid w:val="00591D5B"/>
    <w:rsid w:val="00592D76"/>
    <w:rsid w:val="00593B93"/>
    <w:rsid w:val="00594877"/>
    <w:rsid w:val="005952DB"/>
    <w:rsid w:val="00595D42"/>
    <w:rsid w:val="00596F7B"/>
    <w:rsid w:val="005A1669"/>
    <w:rsid w:val="005A3B09"/>
    <w:rsid w:val="005A43E2"/>
    <w:rsid w:val="005A471C"/>
    <w:rsid w:val="005A4EDE"/>
    <w:rsid w:val="005A6EFF"/>
    <w:rsid w:val="005A7239"/>
    <w:rsid w:val="005C0526"/>
    <w:rsid w:val="005C2ABC"/>
    <w:rsid w:val="005C61AA"/>
    <w:rsid w:val="005C62AE"/>
    <w:rsid w:val="005D2F1D"/>
    <w:rsid w:val="005D5720"/>
    <w:rsid w:val="005D5941"/>
    <w:rsid w:val="005D629A"/>
    <w:rsid w:val="005D644E"/>
    <w:rsid w:val="005D6F39"/>
    <w:rsid w:val="005E19AE"/>
    <w:rsid w:val="005E3E4F"/>
    <w:rsid w:val="005E4607"/>
    <w:rsid w:val="005E53F9"/>
    <w:rsid w:val="005E5CE8"/>
    <w:rsid w:val="005F02C2"/>
    <w:rsid w:val="005F0CC6"/>
    <w:rsid w:val="005F1FDB"/>
    <w:rsid w:val="005F4DFE"/>
    <w:rsid w:val="00600A57"/>
    <w:rsid w:val="00603404"/>
    <w:rsid w:val="006043C3"/>
    <w:rsid w:val="00604C32"/>
    <w:rsid w:val="00605D5A"/>
    <w:rsid w:val="0060705B"/>
    <w:rsid w:val="00607464"/>
    <w:rsid w:val="006100EA"/>
    <w:rsid w:val="00612AB7"/>
    <w:rsid w:val="006133AC"/>
    <w:rsid w:val="006149CF"/>
    <w:rsid w:val="00615245"/>
    <w:rsid w:val="0061542D"/>
    <w:rsid w:val="00620A78"/>
    <w:rsid w:val="00620C90"/>
    <w:rsid w:val="00621B80"/>
    <w:rsid w:val="006226E2"/>
    <w:rsid w:val="0062326D"/>
    <w:rsid w:val="006334D5"/>
    <w:rsid w:val="00633812"/>
    <w:rsid w:val="00635EE7"/>
    <w:rsid w:val="0063670F"/>
    <w:rsid w:val="00636801"/>
    <w:rsid w:val="00636810"/>
    <w:rsid w:val="00636C50"/>
    <w:rsid w:val="00637602"/>
    <w:rsid w:val="00643A72"/>
    <w:rsid w:val="006457A3"/>
    <w:rsid w:val="00647396"/>
    <w:rsid w:val="00652292"/>
    <w:rsid w:val="00652392"/>
    <w:rsid w:val="006568B7"/>
    <w:rsid w:val="00656F5D"/>
    <w:rsid w:val="006623B7"/>
    <w:rsid w:val="006631B2"/>
    <w:rsid w:val="00664846"/>
    <w:rsid w:val="00664C9C"/>
    <w:rsid w:val="006656A3"/>
    <w:rsid w:val="00666701"/>
    <w:rsid w:val="006710F9"/>
    <w:rsid w:val="0067218E"/>
    <w:rsid w:val="00675604"/>
    <w:rsid w:val="006757D8"/>
    <w:rsid w:val="00675891"/>
    <w:rsid w:val="00675FD4"/>
    <w:rsid w:val="0067765A"/>
    <w:rsid w:val="00677DAE"/>
    <w:rsid w:val="00677E0D"/>
    <w:rsid w:val="00680E80"/>
    <w:rsid w:val="00681596"/>
    <w:rsid w:val="006818EC"/>
    <w:rsid w:val="00684439"/>
    <w:rsid w:val="0068491A"/>
    <w:rsid w:val="00685707"/>
    <w:rsid w:val="00685954"/>
    <w:rsid w:val="00687920"/>
    <w:rsid w:val="00691B7E"/>
    <w:rsid w:val="00691BA7"/>
    <w:rsid w:val="00693B87"/>
    <w:rsid w:val="00695668"/>
    <w:rsid w:val="006A0751"/>
    <w:rsid w:val="006A0ED8"/>
    <w:rsid w:val="006A1A25"/>
    <w:rsid w:val="006A207D"/>
    <w:rsid w:val="006A35B7"/>
    <w:rsid w:val="006A3D72"/>
    <w:rsid w:val="006A5ACA"/>
    <w:rsid w:val="006A730C"/>
    <w:rsid w:val="006A79F2"/>
    <w:rsid w:val="006B1C31"/>
    <w:rsid w:val="006B31FA"/>
    <w:rsid w:val="006B41C4"/>
    <w:rsid w:val="006B4282"/>
    <w:rsid w:val="006B7513"/>
    <w:rsid w:val="006C137B"/>
    <w:rsid w:val="006C169B"/>
    <w:rsid w:val="006C2074"/>
    <w:rsid w:val="006C63D1"/>
    <w:rsid w:val="006C7359"/>
    <w:rsid w:val="006C7BFA"/>
    <w:rsid w:val="006D0C19"/>
    <w:rsid w:val="006D23D1"/>
    <w:rsid w:val="006D427A"/>
    <w:rsid w:val="006D428A"/>
    <w:rsid w:val="006D5255"/>
    <w:rsid w:val="006D5A61"/>
    <w:rsid w:val="006D7A8C"/>
    <w:rsid w:val="006E0A42"/>
    <w:rsid w:val="006E2225"/>
    <w:rsid w:val="006E4F29"/>
    <w:rsid w:val="006E55D9"/>
    <w:rsid w:val="006E6C4E"/>
    <w:rsid w:val="006E72CF"/>
    <w:rsid w:val="006F02F0"/>
    <w:rsid w:val="006F05AA"/>
    <w:rsid w:val="006F0D92"/>
    <w:rsid w:val="006F2465"/>
    <w:rsid w:val="006F292B"/>
    <w:rsid w:val="006F2D13"/>
    <w:rsid w:val="006F45D6"/>
    <w:rsid w:val="006F46DF"/>
    <w:rsid w:val="006F6632"/>
    <w:rsid w:val="006F7B16"/>
    <w:rsid w:val="00701688"/>
    <w:rsid w:val="0070421C"/>
    <w:rsid w:val="00704537"/>
    <w:rsid w:val="007047A0"/>
    <w:rsid w:val="00707AC0"/>
    <w:rsid w:val="0071031D"/>
    <w:rsid w:val="00710DA7"/>
    <w:rsid w:val="0071297D"/>
    <w:rsid w:val="00715C9D"/>
    <w:rsid w:val="00717A67"/>
    <w:rsid w:val="007216EC"/>
    <w:rsid w:val="00722E39"/>
    <w:rsid w:val="00725E4A"/>
    <w:rsid w:val="00726385"/>
    <w:rsid w:val="00727C29"/>
    <w:rsid w:val="007300D0"/>
    <w:rsid w:val="00735B1A"/>
    <w:rsid w:val="007367ED"/>
    <w:rsid w:val="00741DCC"/>
    <w:rsid w:val="0074206C"/>
    <w:rsid w:val="00742716"/>
    <w:rsid w:val="00746145"/>
    <w:rsid w:val="00746D20"/>
    <w:rsid w:val="007527A1"/>
    <w:rsid w:val="007527D8"/>
    <w:rsid w:val="007540F1"/>
    <w:rsid w:val="007559BB"/>
    <w:rsid w:val="00756A78"/>
    <w:rsid w:val="00760FB1"/>
    <w:rsid w:val="0076106D"/>
    <w:rsid w:val="00762BB9"/>
    <w:rsid w:val="00763B3F"/>
    <w:rsid w:val="0076432C"/>
    <w:rsid w:val="00765865"/>
    <w:rsid w:val="0076671D"/>
    <w:rsid w:val="00771BC7"/>
    <w:rsid w:val="00771F27"/>
    <w:rsid w:val="00776A6B"/>
    <w:rsid w:val="007772B5"/>
    <w:rsid w:val="00777579"/>
    <w:rsid w:val="007834F7"/>
    <w:rsid w:val="00783599"/>
    <w:rsid w:val="0078446C"/>
    <w:rsid w:val="00785FE7"/>
    <w:rsid w:val="00787630"/>
    <w:rsid w:val="00787E8F"/>
    <w:rsid w:val="007908D5"/>
    <w:rsid w:val="00790E3D"/>
    <w:rsid w:val="007930BC"/>
    <w:rsid w:val="00793F9B"/>
    <w:rsid w:val="00795334"/>
    <w:rsid w:val="0079535F"/>
    <w:rsid w:val="00795F75"/>
    <w:rsid w:val="00797012"/>
    <w:rsid w:val="00797120"/>
    <w:rsid w:val="007A070F"/>
    <w:rsid w:val="007A28AB"/>
    <w:rsid w:val="007A2B0F"/>
    <w:rsid w:val="007A4604"/>
    <w:rsid w:val="007A474B"/>
    <w:rsid w:val="007A5AC6"/>
    <w:rsid w:val="007A7858"/>
    <w:rsid w:val="007A7F1A"/>
    <w:rsid w:val="007B2E10"/>
    <w:rsid w:val="007B2E12"/>
    <w:rsid w:val="007B38E2"/>
    <w:rsid w:val="007B4966"/>
    <w:rsid w:val="007B56B1"/>
    <w:rsid w:val="007B5A64"/>
    <w:rsid w:val="007B786D"/>
    <w:rsid w:val="007B7B76"/>
    <w:rsid w:val="007B7EEC"/>
    <w:rsid w:val="007C1216"/>
    <w:rsid w:val="007C23D5"/>
    <w:rsid w:val="007C2461"/>
    <w:rsid w:val="007C2F2B"/>
    <w:rsid w:val="007C51F5"/>
    <w:rsid w:val="007C7E9E"/>
    <w:rsid w:val="007D10EE"/>
    <w:rsid w:val="007D260A"/>
    <w:rsid w:val="007D2FD0"/>
    <w:rsid w:val="007D5E77"/>
    <w:rsid w:val="007D6732"/>
    <w:rsid w:val="007E1A1D"/>
    <w:rsid w:val="007E2260"/>
    <w:rsid w:val="007E363C"/>
    <w:rsid w:val="007E3B03"/>
    <w:rsid w:val="007E3E83"/>
    <w:rsid w:val="007E7ABA"/>
    <w:rsid w:val="007F09FB"/>
    <w:rsid w:val="007F0F5E"/>
    <w:rsid w:val="007F24B6"/>
    <w:rsid w:val="007F295E"/>
    <w:rsid w:val="007F5995"/>
    <w:rsid w:val="007F781F"/>
    <w:rsid w:val="00800155"/>
    <w:rsid w:val="00800495"/>
    <w:rsid w:val="00800F58"/>
    <w:rsid w:val="008021D8"/>
    <w:rsid w:val="00805D4B"/>
    <w:rsid w:val="00806016"/>
    <w:rsid w:val="008065F6"/>
    <w:rsid w:val="0081433F"/>
    <w:rsid w:val="00815049"/>
    <w:rsid w:val="008154F5"/>
    <w:rsid w:val="00815E94"/>
    <w:rsid w:val="00817B10"/>
    <w:rsid w:val="00817C57"/>
    <w:rsid w:val="00821150"/>
    <w:rsid w:val="008224B6"/>
    <w:rsid w:val="00822C28"/>
    <w:rsid w:val="00823030"/>
    <w:rsid w:val="00824031"/>
    <w:rsid w:val="00825652"/>
    <w:rsid w:val="00825EFF"/>
    <w:rsid w:val="00826E5E"/>
    <w:rsid w:val="00830863"/>
    <w:rsid w:val="00834ADF"/>
    <w:rsid w:val="008359A7"/>
    <w:rsid w:val="00836465"/>
    <w:rsid w:val="00837130"/>
    <w:rsid w:val="008404CE"/>
    <w:rsid w:val="008406F5"/>
    <w:rsid w:val="0084136B"/>
    <w:rsid w:val="00843609"/>
    <w:rsid w:val="00845055"/>
    <w:rsid w:val="008462E3"/>
    <w:rsid w:val="00852913"/>
    <w:rsid w:val="00852E8F"/>
    <w:rsid w:val="00853800"/>
    <w:rsid w:val="008603C7"/>
    <w:rsid w:val="008603E6"/>
    <w:rsid w:val="008625F7"/>
    <w:rsid w:val="00862ED4"/>
    <w:rsid w:val="00863C82"/>
    <w:rsid w:val="00864C46"/>
    <w:rsid w:val="00865E37"/>
    <w:rsid w:val="00866F64"/>
    <w:rsid w:val="008677BE"/>
    <w:rsid w:val="00867EE1"/>
    <w:rsid w:val="00871F86"/>
    <w:rsid w:val="0087302A"/>
    <w:rsid w:val="00873361"/>
    <w:rsid w:val="008737CF"/>
    <w:rsid w:val="008743A1"/>
    <w:rsid w:val="008834AE"/>
    <w:rsid w:val="00886207"/>
    <w:rsid w:val="0088794A"/>
    <w:rsid w:val="00887A6D"/>
    <w:rsid w:val="00887A94"/>
    <w:rsid w:val="008906B0"/>
    <w:rsid w:val="008917E0"/>
    <w:rsid w:val="00892B1D"/>
    <w:rsid w:val="0089360F"/>
    <w:rsid w:val="00893A2E"/>
    <w:rsid w:val="00894893"/>
    <w:rsid w:val="008A0E3D"/>
    <w:rsid w:val="008A235F"/>
    <w:rsid w:val="008A5548"/>
    <w:rsid w:val="008A55DB"/>
    <w:rsid w:val="008A635A"/>
    <w:rsid w:val="008A7D87"/>
    <w:rsid w:val="008B00C7"/>
    <w:rsid w:val="008B100B"/>
    <w:rsid w:val="008B20D5"/>
    <w:rsid w:val="008B31AA"/>
    <w:rsid w:val="008B4029"/>
    <w:rsid w:val="008B539F"/>
    <w:rsid w:val="008B6DBD"/>
    <w:rsid w:val="008B7004"/>
    <w:rsid w:val="008B719B"/>
    <w:rsid w:val="008B7C8E"/>
    <w:rsid w:val="008C03F5"/>
    <w:rsid w:val="008C04AF"/>
    <w:rsid w:val="008C1CDC"/>
    <w:rsid w:val="008C393C"/>
    <w:rsid w:val="008C690A"/>
    <w:rsid w:val="008C6C63"/>
    <w:rsid w:val="008C78EB"/>
    <w:rsid w:val="008D0CCA"/>
    <w:rsid w:val="008D2D5E"/>
    <w:rsid w:val="008D2EE6"/>
    <w:rsid w:val="008D3B32"/>
    <w:rsid w:val="008D623F"/>
    <w:rsid w:val="008D6DAB"/>
    <w:rsid w:val="008E0D78"/>
    <w:rsid w:val="008E3D06"/>
    <w:rsid w:val="008E52BD"/>
    <w:rsid w:val="008E5CC6"/>
    <w:rsid w:val="008F11A0"/>
    <w:rsid w:val="008F15C4"/>
    <w:rsid w:val="008F221B"/>
    <w:rsid w:val="008F34ED"/>
    <w:rsid w:val="008F48B3"/>
    <w:rsid w:val="008F4C7D"/>
    <w:rsid w:val="008F5731"/>
    <w:rsid w:val="008F6217"/>
    <w:rsid w:val="008F66F5"/>
    <w:rsid w:val="008F6872"/>
    <w:rsid w:val="00900C28"/>
    <w:rsid w:val="0090104F"/>
    <w:rsid w:val="009010F8"/>
    <w:rsid w:val="009019C8"/>
    <w:rsid w:val="00901F80"/>
    <w:rsid w:val="009026CF"/>
    <w:rsid w:val="00903AB8"/>
    <w:rsid w:val="00904B23"/>
    <w:rsid w:val="00907471"/>
    <w:rsid w:val="00910C5B"/>
    <w:rsid w:val="00913B1D"/>
    <w:rsid w:val="009145CD"/>
    <w:rsid w:val="009157AD"/>
    <w:rsid w:val="009160FE"/>
    <w:rsid w:val="00920D96"/>
    <w:rsid w:val="00923414"/>
    <w:rsid w:val="00923F50"/>
    <w:rsid w:val="00926EF0"/>
    <w:rsid w:val="00927291"/>
    <w:rsid w:val="00927931"/>
    <w:rsid w:val="00937366"/>
    <w:rsid w:val="0094000F"/>
    <w:rsid w:val="009408BC"/>
    <w:rsid w:val="00940DB8"/>
    <w:rsid w:val="00943AA4"/>
    <w:rsid w:val="00944311"/>
    <w:rsid w:val="009502C0"/>
    <w:rsid w:val="009510EE"/>
    <w:rsid w:val="0095136B"/>
    <w:rsid w:val="00952BBA"/>
    <w:rsid w:val="00952E38"/>
    <w:rsid w:val="009538D5"/>
    <w:rsid w:val="00953CD8"/>
    <w:rsid w:val="00954A42"/>
    <w:rsid w:val="00955764"/>
    <w:rsid w:val="00956541"/>
    <w:rsid w:val="009640DB"/>
    <w:rsid w:val="00965079"/>
    <w:rsid w:val="00965133"/>
    <w:rsid w:val="009652A4"/>
    <w:rsid w:val="00967DFE"/>
    <w:rsid w:val="00970301"/>
    <w:rsid w:val="009710A4"/>
    <w:rsid w:val="009748DD"/>
    <w:rsid w:val="00976B64"/>
    <w:rsid w:val="009775A9"/>
    <w:rsid w:val="00980EF8"/>
    <w:rsid w:val="009824EF"/>
    <w:rsid w:val="00982A4D"/>
    <w:rsid w:val="00983871"/>
    <w:rsid w:val="00983C11"/>
    <w:rsid w:val="00984845"/>
    <w:rsid w:val="00985E32"/>
    <w:rsid w:val="00986D88"/>
    <w:rsid w:val="00990671"/>
    <w:rsid w:val="00996599"/>
    <w:rsid w:val="009A0D19"/>
    <w:rsid w:val="009A1A44"/>
    <w:rsid w:val="009A43FE"/>
    <w:rsid w:val="009A5349"/>
    <w:rsid w:val="009A7038"/>
    <w:rsid w:val="009A77DC"/>
    <w:rsid w:val="009B04E2"/>
    <w:rsid w:val="009B177F"/>
    <w:rsid w:val="009B17DE"/>
    <w:rsid w:val="009B2403"/>
    <w:rsid w:val="009B2E81"/>
    <w:rsid w:val="009B6D4A"/>
    <w:rsid w:val="009C0E96"/>
    <w:rsid w:val="009C16AE"/>
    <w:rsid w:val="009C22CB"/>
    <w:rsid w:val="009C4010"/>
    <w:rsid w:val="009C46E4"/>
    <w:rsid w:val="009C4AC5"/>
    <w:rsid w:val="009C5577"/>
    <w:rsid w:val="009C6170"/>
    <w:rsid w:val="009C6B0E"/>
    <w:rsid w:val="009D0170"/>
    <w:rsid w:val="009D2049"/>
    <w:rsid w:val="009D6FA9"/>
    <w:rsid w:val="009D7642"/>
    <w:rsid w:val="009D7B88"/>
    <w:rsid w:val="009E007E"/>
    <w:rsid w:val="009E2549"/>
    <w:rsid w:val="009E4741"/>
    <w:rsid w:val="009E6F2C"/>
    <w:rsid w:val="009E6FDC"/>
    <w:rsid w:val="009E7616"/>
    <w:rsid w:val="009F1CD8"/>
    <w:rsid w:val="009F2E71"/>
    <w:rsid w:val="009F2ECF"/>
    <w:rsid w:val="009F2F11"/>
    <w:rsid w:val="009F4452"/>
    <w:rsid w:val="009F782D"/>
    <w:rsid w:val="009F7858"/>
    <w:rsid w:val="00A0022A"/>
    <w:rsid w:val="00A01943"/>
    <w:rsid w:val="00A01F6D"/>
    <w:rsid w:val="00A02456"/>
    <w:rsid w:val="00A0283E"/>
    <w:rsid w:val="00A02DEC"/>
    <w:rsid w:val="00A05211"/>
    <w:rsid w:val="00A05371"/>
    <w:rsid w:val="00A05384"/>
    <w:rsid w:val="00A06F2B"/>
    <w:rsid w:val="00A1015D"/>
    <w:rsid w:val="00A10E56"/>
    <w:rsid w:val="00A1195B"/>
    <w:rsid w:val="00A131FF"/>
    <w:rsid w:val="00A133A9"/>
    <w:rsid w:val="00A13ECE"/>
    <w:rsid w:val="00A144DD"/>
    <w:rsid w:val="00A15432"/>
    <w:rsid w:val="00A15B04"/>
    <w:rsid w:val="00A161C6"/>
    <w:rsid w:val="00A16E75"/>
    <w:rsid w:val="00A1736A"/>
    <w:rsid w:val="00A20A49"/>
    <w:rsid w:val="00A20E8B"/>
    <w:rsid w:val="00A21B0D"/>
    <w:rsid w:val="00A2290E"/>
    <w:rsid w:val="00A254F2"/>
    <w:rsid w:val="00A25CFD"/>
    <w:rsid w:val="00A25F47"/>
    <w:rsid w:val="00A26500"/>
    <w:rsid w:val="00A27918"/>
    <w:rsid w:val="00A27B85"/>
    <w:rsid w:val="00A27FDA"/>
    <w:rsid w:val="00A31516"/>
    <w:rsid w:val="00A33300"/>
    <w:rsid w:val="00A33F06"/>
    <w:rsid w:val="00A348CE"/>
    <w:rsid w:val="00A34D3C"/>
    <w:rsid w:val="00A35CA8"/>
    <w:rsid w:val="00A400E0"/>
    <w:rsid w:val="00A41074"/>
    <w:rsid w:val="00A424D4"/>
    <w:rsid w:val="00A43B3B"/>
    <w:rsid w:val="00A44BBC"/>
    <w:rsid w:val="00A44D69"/>
    <w:rsid w:val="00A44F50"/>
    <w:rsid w:val="00A451B4"/>
    <w:rsid w:val="00A45439"/>
    <w:rsid w:val="00A505B6"/>
    <w:rsid w:val="00A51B9E"/>
    <w:rsid w:val="00A52100"/>
    <w:rsid w:val="00A52A7D"/>
    <w:rsid w:val="00A52C7E"/>
    <w:rsid w:val="00A57834"/>
    <w:rsid w:val="00A633F0"/>
    <w:rsid w:val="00A6499A"/>
    <w:rsid w:val="00A66271"/>
    <w:rsid w:val="00A67C47"/>
    <w:rsid w:val="00A71123"/>
    <w:rsid w:val="00A71C3B"/>
    <w:rsid w:val="00A72D1C"/>
    <w:rsid w:val="00A73556"/>
    <w:rsid w:val="00A7395F"/>
    <w:rsid w:val="00A75BD9"/>
    <w:rsid w:val="00A75D8D"/>
    <w:rsid w:val="00A764E9"/>
    <w:rsid w:val="00A7797B"/>
    <w:rsid w:val="00A80977"/>
    <w:rsid w:val="00A80BF3"/>
    <w:rsid w:val="00A81031"/>
    <w:rsid w:val="00A8122F"/>
    <w:rsid w:val="00A813A9"/>
    <w:rsid w:val="00A824D5"/>
    <w:rsid w:val="00A82B1A"/>
    <w:rsid w:val="00A82DFB"/>
    <w:rsid w:val="00A844AE"/>
    <w:rsid w:val="00A864EB"/>
    <w:rsid w:val="00A907D7"/>
    <w:rsid w:val="00A9186D"/>
    <w:rsid w:val="00A92E62"/>
    <w:rsid w:val="00A93295"/>
    <w:rsid w:val="00A97DED"/>
    <w:rsid w:val="00AA1FBC"/>
    <w:rsid w:val="00AA26C2"/>
    <w:rsid w:val="00AA2E79"/>
    <w:rsid w:val="00AA4124"/>
    <w:rsid w:val="00AA5230"/>
    <w:rsid w:val="00AA5317"/>
    <w:rsid w:val="00AA73D9"/>
    <w:rsid w:val="00AA75E8"/>
    <w:rsid w:val="00AA7C9E"/>
    <w:rsid w:val="00AA7EDC"/>
    <w:rsid w:val="00AB3838"/>
    <w:rsid w:val="00AB6C5F"/>
    <w:rsid w:val="00AC12FE"/>
    <w:rsid w:val="00AC447C"/>
    <w:rsid w:val="00AC470F"/>
    <w:rsid w:val="00AC5548"/>
    <w:rsid w:val="00AC77B8"/>
    <w:rsid w:val="00AD2A18"/>
    <w:rsid w:val="00AD77E8"/>
    <w:rsid w:val="00AD7F0F"/>
    <w:rsid w:val="00AE104B"/>
    <w:rsid w:val="00AE151F"/>
    <w:rsid w:val="00AE1C77"/>
    <w:rsid w:val="00AE3EAB"/>
    <w:rsid w:val="00AE4C56"/>
    <w:rsid w:val="00AE4CDF"/>
    <w:rsid w:val="00AE5510"/>
    <w:rsid w:val="00AE607B"/>
    <w:rsid w:val="00AE736F"/>
    <w:rsid w:val="00AF2A6B"/>
    <w:rsid w:val="00AF361D"/>
    <w:rsid w:val="00AF451F"/>
    <w:rsid w:val="00AF4C1A"/>
    <w:rsid w:val="00AF4F8A"/>
    <w:rsid w:val="00AF6141"/>
    <w:rsid w:val="00AF6BA8"/>
    <w:rsid w:val="00B0273C"/>
    <w:rsid w:val="00B03802"/>
    <w:rsid w:val="00B05004"/>
    <w:rsid w:val="00B06FCA"/>
    <w:rsid w:val="00B1065D"/>
    <w:rsid w:val="00B115A2"/>
    <w:rsid w:val="00B116E0"/>
    <w:rsid w:val="00B13205"/>
    <w:rsid w:val="00B1508D"/>
    <w:rsid w:val="00B16B6C"/>
    <w:rsid w:val="00B1735F"/>
    <w:rsid w:val="00B17823"/>
    <w:rsid w:val="00B1790C"/>
    <w:rsid w:val="00B17DEE"/>
    <w:rsid w:val="00B2176B"/>
    <w:rsid w:val="00B21850"/>
    <w:rsid w:val="00B23A2A"/>
    <w:rsid w:val="00B23F25"/>
    <w:rsid w:val="00B2550B"/>
    <w:rsid w:val="00B2644F"/>
    <w:rsid w:val="00B26AA0"/>
    <w:rsid w:val="00B27BBD"/>
    <w:rsid w:val="00B31167"/>
    <w:rsid w:val="00B319BA"/>
    <w:rsid w:val="00B31BF3"/>
    <w:rsid w:val="00B32A69"/>
    <w:rsid w:val="00B353DB"/>
    <w:rsid w:val="00B405DB"/>
    <w:rsid w:val="00B428FA"/>
    <w:rsid w:val="00B429F2"/>
    <w:rsid w:val="00B4452B"/>
    <w:rsid w:val="00B44597"/>
    <w:rsid w:val="00B4584A"/>
    <w:rsid w:val="00B47738"/>
    <w:rsid w:val="00B47853"/>
    <w:rsid w:val="00B519C6"/>
    <w:rsid w:val="00B52AE3"/>
    <w:rsid w:val="00B5651F"/>
    <w:rsid w:val="00B566B8"/>
    <w:rsid w:val="00B57A17"/>
    <w:rsid w:val="00B6048B"/>
    <w:rsid w:val="00B62280"/>
    <w:rsid w:val="00B651F1"/>
    <w:rsid w:val="00B65E57"/>
    <w:rsid w:val="00B6700E"/>
    <w:rsid w:val="00B7083A"/>
    <w:rsid w:val="00B70E79"/>
    <w:rsid w:val="00B7131C"/>
    <w:rsid w:val="00B718E8"/>
    <w:rsid w:val="00B727DB"/>
    <w:rsid w:val="00B73958"/>
    <w:rsid w:val="00B74B46"/>
    <w:rsid w:val="00B77178"/>
    <w:rsid w:val="00B772E8"/>
    <w:rsid w:val="00B77C83"/>
    <w:rsid w:val="00B80084"/>
    <w:rsid w:val="00B811AA"/>
    <w:rsid w:val="00B81736"/>
    <w:rsid w:val="00B817B9"/>
    <w:rsid w:val="00B81AC8"/>
    <w:rsid w:val="00B8203E"/>
    <w:rsid w:val="00B83508"/>
    <w:rsid w:val="00B838DA"/>
    <w:rsid w:val="00B8440C"/>
    <w:rsid w:val="00B85BC5"/>
    <w:rsid w:val="00B87EC4"/>
    <w:rsid w:val="00B92C18"/>
    <w:rsid w:val="00B9392B"/>
    <w:rsid w:val="00B94618"/>
    <w:rsid w:val="00B94E88"/>
    <w:rsid w:val="00BA0A8D"/>
    <w:rsid w:val="00BA21FE"/>
    <w:rsid w:val="00BA26F2"/>
    <w:rsid w:val="00BA3F82"/>
    <w:rsid w:val="00BA6FD2"/>
    <w:rsid w:val="00BB1B1C"/>
    <w:rsid w:val="00BB2004"/>
    <w:rsid w:val="00BB241C"/>
    <w:rsid w:val="00BB30C1"/>
    <w:rsid w:val="00BC0754"/>
    <w:rsid w:val="00BC11C9"/>
    <w:rsid w:val="00BC2952"/>
    <w:rsid w:val="00BC2A83"/>
    <w:rsid w:val="00BC3BCC"/>
    <w:rsid w:val="00BC3C5B"/>
    <w:rsid w:val="00BC4291"/>
    <w:rsid w:val="00BC5229"/>
    <w:rsid w:val="00BC5BDF"/>
    <w:rsid w:val="00BD2529"/>
    <w:rsid w:val="00BD4FD1"/>
    <w:rsid w:val="00BD50A5"/>
    <w:rsid w:val="00BE33C1"/>
    <w:rsid w:val="00BE4361"/>
    <w:rsid w:val="00BE4874"/>
    <w:rsid w:val="00BE7BEC"/>
    <w:rsid w:val="00BE7E03"/>
    <w:rsid w:val="00BF2D83"/>
    <w:rsid w:val="00BF6C9D"/>
    <w:rsid w:val="00BF7626"/>
    <w:rsid w:val="00BF768D"/>
    <w:rsid w:val="00BF7D5C"/>
    <w:rsid w:val="00C005AA"/>
    <w:rsid w:val="00C012A2"/>
    <w:rsid w:val="00C03E81"/>
    <w:rsid w:val="00C05522"/>
    <w:rsid w:val="00C071AD"/>
    <w:rsid w:val="00C10575"/>
    <w:rsid w:val="00C11924"/>
    <w:rsid w:val="00C11A3C"/>
    <w:rsid w:val="00C139EC"/>
    <w:rsid w:val="00C139FA"/>
    <w:rsid w:val="00C1406E"/>
    <w:rsid w:val="00C1534E"/>
    <w:rsid w:val="00C1584E"/>
    <w:rsid w:val="00C179EB"/>
    <w:rsid w:val="00C17BC6"/>
    <w:rsid w:val="00C22019"/>
    <w:rsid w:val="00C22AD6"/>
    <w:rsid w:val="00C2317F"/>
    <w:rsid w:val="00C240BF"/>
    <w:rsid w:val="00C26CD7"/>
    <w:rsid w:val="00C27112"/>
    <w:rsid w:val="00C32373"/>
    <w:rsid w:val="00C32953"/>
    <w:rsid w:val="00C32E37"/>
    <w:rsid w:val="00C32FD9"/>
    <w:rsid w:val="00C33ADC"/>
    <w:rsid w:val="00C33E60"/>
    <w:rsid w:val="00C345A2"/>
    <w:rsid w:val="00C34608"/>
    <w:rsid w:val="00C35140"/>
    <w:rsid w:val="00C3542E"/>
    <w:rsid w:val="00C4146C"/>
    <w:rsid w:val="00C44D06"/>
    <w:rsid w:val="00C45B03"/>
    <w:rsid w:val="00C465B8"/>
    <w:rsid w:val="00C50B6F"/>
    <w:rsid w:val="00C51641"/>
    <w:rsid w:val="00C51E60"/>
    <w:rsid w:val="00C5216C"/>
    <w:rsid w:val="00C524AF"/>
    <w:rsid w:val="00C52872"/>
    <w:rsid w:val="00C530A3"/>
    <w:rsid w:val="00C605AD"/>
    <w:rsid w:val="00C606AC"/>
    <w:rsid w:val="00C61693"/>
    <w:rsid w:val="00C6351B"/>
    <w:rsid w:val="00C6464B"/>
    <w:rsid w:val="00C64957"/>
    <w:rsid w:val="00C65377"/>
    <w:rsid w:val="00C72DC8"/>
    <w:rsid w:val="00C73703"/>
    <w:rsid w:val="00C74D5D"/>
    <w:rsid w:val="00C819FE"/>
    <w:rsid w:val="00C85B8D"/>
    <w:rsid w:val="00C87FB7"/>
    <w:rsid w:val="00C92705"/>
    <w:rsid w:val="00C93E55"/>
    <w:rsid w:val="00C94089"/>
    <w:rsid w:val="00C94551"/>
    <w:rsid w:val="00C96490"/>
    <w:rsid w:val="00C965AE"/>
    <w:rsid w:val="00C96E3B"/>
    <w:rsid w:val="00CA042D"/>
    <w:rsid w:val="00CA0941"/>
    <w:rsid w:val="00CA11CD"/>
    <w:rsid w:val="00CA3C75"/>
    <w:rsid w:val="00CA3F15"/>
    <w:rsid w:val="00CA48B6"/>
    <w:rsid w:val="00CA4AA7"/>
    <w:rsid w:val="00CA66D5"/>
    <w:rsid w:val="00CA69AE"/>
    <w:rsid w:val="00CA74CB"/>
    <w:rsid w:val="00CB10B8"/>
    <w:rsid w:val="00CB2389"/>
    <w:rsid w:val="00CB2D2C"/>
    <w:rsid w:val="00CB4394"/>
    <w:rsid w:val="00CB5F73"/>
    <w:rsid w:val="00CB7FD9"/>
    <w:rsid w:val="00CC3B0C"/>
    <w:rsid w:val="00CC7A3B"/>
    <w:rsid w:val="00CD3444"/>
    <w:rsid w:val="00CD6A6A"/>
    <w:rsid w:val="00CD7F3C"/>
    <w:rsid w:val="00CE0818"/>
    <w:rsid w:val="00CE0906"/>
    <w:rsid w:val="00CE2D2C"/>
    <w:rsid w:val="00CE3681"/>
    <w:rsid w:val="00CE482A"/>
    <w:rsid w:val="00CE566B"/>
    <w:rsid w:val="00CE6F2C"/>
    <w:rsid w:val="00CF06F9"/>
    <w:rsid w:val="00CF2193"/>
    <w:rsid w:val="00CF222F"/>
    <w:rsid w:val="00CF27F2"/>
    <w:rsid w:val="00CF35C3"/>
    <w:rsid w:val="00CF4850"/>
    <w:rsid w:val="00CF69E3"/>
    <w:rsid w:val="00CF6BB6"/>
    <w:rsid w:val="00CF711D"/>
    <w:rsid w:val="00D015F9"/>
    <w:rsid w:val="00D02DF9"/>
    <w:rsid w:val="00D03176"/>
    <w:rsid w:val="00D043CF"/>
    <w:rsid w:val="00D055D4"/>
    <w:rsid w:val="00D06B3A"/>
    <w:rsid w:val="00D079A8"/>
    <w:rsid w:val="00D10B11"/>
    <w:rsid w:val="00D1214A"/>
    <w:rsid w:val="00D12615"/>
    <w:rsid w:val="00D144FF"/>
    <w:rsid w:val="00D14F68"/>
    <w:rsid w:val="00D175A5"/>
    <w:rsid w:val="00D204FA"/>
    <w:rsid w:val="00D21D45"/>
    <w:rsid w:val="00D229DE"/>
    <w:rsid w:val="00D23673"/>
    <w:rsid w:val="00D24B9A"/>
    <w:rsid w:val="00D252AF"/>
    <w:rsid w:val="00D25DF8"/>
    <w:rsid w:val="00D306E8"/>
    <w:rsid w:val="00D30C8A"/>
    <w:rsid w:val="00D335A7"/>
    <w:rsid w:val="00D3540C"/>
    <w:rsid w:val="00D358CC"/>
    <w:rsid w:val="00D35C1C"/>
    <w:rsid w:val="00D35EA0"/>
    <w:rsid w:val="00D37282"/>
    <w:rsid w:val="00D40DF8"/>
    <w:rsid w:val="00D41FC4"/>
    <w:rsid w:val="00D43BF1"/>
    <w:rsid w:val="00D44CB7"/>
    <w:rsid w:val="00D5085E"/>
    <w:rsid w:val="00D511C7"/>
    <w:rsid w:val="00D51DA0"/>
    <w:rsid w:val="00D52551"/>
    <w:rsid w:val="00D53E2A"/>
    <w:rsid w:val="00D54A37"/>
    <w:rsid w:val="00D576E4"/>
    <w:rsid w:val="00D60E80"/>
    <w:rsid w:val="00D61A1C"/>
    <w:rsid w:val="00D61C6A"/>
    <w:rsid w:val="00D62553"/>
    <w:rsid w:val="00D63BA5"/>
    <w:rsid w:val="00D65C35"/>
    <w:rsid w:val="00D6799C"/>
    <w:rsid w:val="00D71EFE"/>
    <w:rsid w:val="00D72C7A"/>
    <w:rsid w:val="00D7366D"/>
    <w:rsid w:val="00D736D9"/>
    <w:rsid w:val="00D739A9"/>
    <w:rsid w:val="00D748BE"/>
    <w:rsid w:val="00D749D0"/>
    <w:rsid w:val="00D75736"/>
    <w:rsid w:val="00D767B1"/>
    <w:rsid w:val="00D803DB"/>
    <w:rsid w:val="00D83309"/>
    <w:rsid w:val="00D84A27"/>
    <w:rsid w:val="00D84BC5"/>
    <w:rsid w:val="00D84DFF"/>
    <w:rsid w:val="00D855CC"/>
    <w:rsid w:val="00D86629"/>
    <w:rsid w:val="00D8734E"/>
    <w:rsid w:val="00D87D9A"/>
    <w:rsid w:val="00D91A7B"/>
    <w:rsid w:val="00D92C95"/>
    <w:rsid w:val="00D935AA"/>
    <w:rsid w:val="00D9615B"/>
    <w:rsid w:val="00DA05B5"/>
    <w:rsid w:val="00DA22EB"/>
    <w:rsid w:val="00DA2F78"/>
    <w:rsid w:val="00DA3FBD"/>
    <w:rsid w:val="00DA6284"/>
    <w:rsid w:val="00DA7AA2"/>
    <w:rsid w:val="00DB08BB"/>
    <w:rsid w:val="00DB1CE8"/>
    <w:rsid w:val="00DB2F61"/>
    <w:rsid w:val="00DC0A2E"/>
    <w:rsid w:val="00DC5F3D"/>
    <w:rsid w:val="00DC6285"/>
    <w:rsid w:val="00DC687E"/>
    <w:rsid w:val="00DD1890"/>
    <w:rsid w:val="00DD1CF9"/>
    <w:rsid w:val="00DD2DFA"/>
    <w:rsid w:val="00DD445E"/>
    <w:rsid w:val="00DD4A5C"/>
    <w:rsid w:val="00DD52B7"/>
    <w:rsid w:val="00DD65B7"/>
    <w:rsid w:val="00DD77B2"/>
    <w:rsid w:val="00DD79DB"/>
    <w:rsid w:val="00DE0371"/>
    <w:rsid w:val="00DE16C7"/>
    <w:rsid w:val="00DE2BAF"/>
    <w:rsid w:val="00DE5792"/>
    <w:rsid w:val="00DE68EE"/>
    <w:rsid w:val="00DE785C"/>
    <w:rsid w:val="00DF120D"/>
    <w:rsid w:val="00DF18ED"/>
    <w:rsid w:val="00DF348D"/>
    <w:rsid w:val="00DF35B9"/>
    <w:rsid w:val="00DF4547"/>
    <w:rsid w:val="00DF5F46"/>
    <w:rsid w:val="00DF7520"/>
    <w:rsid w:val="00E0065C"/>
    <w:rsid w:val="00E013BE"/>
    <w:rsid w:val="00E01D5D"/>
    <w:rsid w:val="00E020AE"/>
    <w:rsid w:val="00E02938"/>
    <w:rsid w:val="00E03332"/>
    <w:rsid w:val="00E041EE"/>
    <w:rsid w:val="00E04CE5"/>
    <w:rsid w:val="00E07F1D"/>
    <w:rsid w:val="00E112CC"/>
    <w:rsid w:val="00E14ECD"/>
    <w:rsid w:val="00E15B88"/>
    <w:rsid w:val="00E15BC9"/>
    <w:rsid w:val="00E173BE"/>
    <w:rsid w:val="00E179BD"/>
    <w:rsid w:val="00E22E31"/>
    <w:rsid w:val="00E234CF"/>
    <w:rsid w:val="00E24D7D"/>
    <w:rsid w:val="00E279EE"/>
    <w:rsid w:val="00E3046E"/>
    <w:rsid w:val="00E31072"/>
    <w:rsid w:val="00E328AB"/>
    <w:rsid w:val="00E42165"/>
    <w:rsid w:val="00E4369C"/>
    <w:rsid w:val="00E437D0"/>
    <w:rsid w:val="00E4424E"/>
    <w:rsid w:val="00E45DD8"/>
    <w:rsid w:val="00E46946"/>
    <w:rsid w:val="00E501AB"/>
    <w:rsid w:val="00E509B3"/>
    <w:rsid w:val="00E54569"/>
    <w:rsid w:val="00E55343"/>
    <w:rsid w:val="00E5777F"/>
    <w:rsid w:val="00E608FB"/>
    <w:rsid w:val="00E60CE1"/>
    <w:rsid w:val="00E62E85"/>
    <w:rsid w:val="00E71C88"/>
    <w:rsid w:val="00E71CFF"/>
    <w:rsid w:val="00E72471"/>
    <w:rsid w:val="00E732EF"/>
    <w:rsid w:val="00E73E70"/>
    <w:rsid w:val="00E75EE5"/>
    <w:rsid w:val="00E77BA8"/>
    <w:rsid w:val="00E77D9A"/>
    <w:rsid w:val="00E807E4"/>
    <w:rsid w:val="00E808BF"/>
    <w:rsid w:val="00E808E1"/>
    <w:rsid w:val="00E82DBD"/>
    <w:rsid w:val="00E8425E"/>
    <w:rsid w:val="00E866E5"/>
    <w:rsid w:val="00E87A86"/>
    <w:rsid w:val="00E90A01"/>
    <w:rsid w:val="00E92979"/>
    <w:rsid w:val="00EA1830"/>
    <w:rsid w:val="00EA2441"/>
    <w:rsid w:val="00EA30D2"/>
    <w:rsid w:val="00EA33ED"/>
    <w:rsid w:val="00EA4700"/>
    <w:rsid w:val="00EA54EE"/>
    <w:rsid w:val="00EA704C"/>
    <w:rsid w:val="00EA710E"/>
    <w:rsid w:val="00EB052C"/>
    <w:rsid w:val="00EB19A5"/>
    <w:rsid w:val="00EB1E9B"/>
    <w:rsid w:val="00EB6AEB"/>
    <w:rsid w:val="00EB7ECA"/>
    <w:rsid w:val="00EB7F3E"/>
    <w:rsid w:val="00EC0652"/>
    <w:rsid w:val="00EC2E40"/>
    <w:rsid w:val="00EC47E4"/>
    <w:rsid w:val="00EC589C"/>
    <w:rsid w:val="00EC5A00"/>
    <w:rsid w:val="00EC6853"/>
    <w:rsid w:val="00EC736B"/>
    <w:rsid w:val="00EC7A87"/>
    <w:rsid w:val="00ED0077"/>
    <w:rsid w:val="00ED2244"/>
    <w:rsid w:val="00ED2979"/>
    <w:rsid w:val="00ED3C63"/>
    <w:rsid w:val="00ED4C64"/>
    <w:rsid w:val="00ED5BB2"/>
    <w:rsid w:val="00ED5C85"/>
    <w:rsid w:val="00ED6417"/>
    <w:rsid w:val="00ED7043"/>
    <w:rsid w:val="00ED7886"/>
    <w:rsid w:val="00EE317B"/>
    <w:rsid w:val="00EE5531"/>
    <w:rsid w:val="00EE6C75"/>
    <w:rsid w:val="00EF03FB"/>
    <w:rsid w:val="00EF0870"/>
    <w:rsid w:val="00EF1301"/>
    <w:rsid w:val="00EF1A1D"/>
    <w:rsid w:val="00EF292D"/>
    <w:rsid w:val="00EF3188"/>
    <w:rsid w:val="00EF3D3D"/>
    <w:rsid w:val="00EF4174"/>
    <w:rsid w:val="00EF7AE8"/>
    <w:rsid w:val="00F01410"/>
    <w:rsid w:val="00F0238B"/>
    <w:rsid w:val="00F02F1E"/>
    <w:rsid w:val="00F06CE8"/>
    <w:rsid w:val="00F0781F"/>
    <w:rsid w:val="00F105F9"/>
    <w:rsid w:val="00F10BEE"/>
    <w:rsid w:val="00F1174B"/>
    <w:rsid w:val="00F13051"/>
    <w:rsid w:val="00F15799"/>
    <w:rsid w:val="00F16BC8"/>
    <w:rsid w:val="00F210C7"/>
    <w:rsid w:val="00F21B7E"/>
    <w:rsid w:val="00F2383E"/>
    <w:rsid w:val="00F23CC2"/>
    <w:rsid w:val="00F2425D"/>
    <w:rsid w:val="00F26D5E"/>
    <w:rsid w:val="00F276EB"/>
    <w:rsid w:val="00F30046"/>
    <w:rsid w:val="00F30D56"/>
    <w:rsid w:val="00F31468"/>
    <w:rsid w:val="00F31826"/>
    <w:rsid w:val="00F3421A"/>
    <w:rsid w:val="00F3421B"/>
    <w:rsid w:val="00F3574D"/>
    <w:rsid w:val="00F37945"/>
    <w:rsid w:val="00F427AC"/>
    <w:rsid w:val="00F42875"/>
    <w:rsid w:val="00F4413A"/>
    <w:rsid w:val="00F44318"/>
    <w:rsid w:val="00F45396"/>
    <w:rsid w:val="00F454EE"/>
    <w:rsid w:val="00F47C05"/>
    <w:rsid w:val="00F47CDD"/>
    <w:rsid w:val="00F50462"/>
    <w:rsid w:val="00F5198A"/>
    <w:rsid w:val="00F51A2E"/>
    <w:rsid w:val="00F52351"/>
    <w:rsid w:val="00F53991"/>
    <w:rsid w:val="00F53E41"/>
    <w:rsid w:val="00F54596"/>
    <w:rsid w:val="00F549AD"/>
    <w:rsid w:val="00F555BE"/>
    <w:rsid w:val="00F55952"/>
    <w:rsid w:val="00F567FB"/>
    <w:rsid w:val="00F5723F"/>
    <w:rsid w:val="00F5729E"/>
    <w:rsid w:val="00F62FDE"/>
    <w:rsid w:val="00F63E7D"/>
    <w:rsid w:val="00F65789"/>
    <w:rsid w:val="00F666C7"/>
    <w:rsid w:val="00F672EE"/>
    <w:rsid w:val="00F70DC6"/>
    <w:rsid w:val="00F72B55"/>
    <w:rsid w:val="00F7573F"/>
    <w:rsid w:val="00F777A5"/>
    <w:rsid w:val="00F8073F"/>
    <w:rsid w:val="00F812B5"/>
    <w:rsid w:val="00F8263F"/>
    <w:rsid w:val="00F82F7D"/>
    <w:rsid w:val="00F83C4C"/>
    <w:rsid w:val="00F841A1"/>
    <w:rsid w:val="00F909C0"/>
    <w:rsid w:val="00F94027"/>
    <w:rsid w:val="00F9562A"/>
    <w:rsid w:val="00F978EE"/>
    <w:rsid w:val="00FA2333"/>
    <w:rsid w:val="00FA27B5"/>
    <w:rsid w:val="00FA6DC4"/>
    <w:rsid w:val="00FA79B7"/>
    <w:rsid w:val="00FA7F03"/>
    <w:rsid w:val="00FB1037"/>
    <w:rsid w:val="00FB2088"/>
    <w:rsid w:val="00FB2140"/>
    <w:rsid w:val="00FB5D01"/>
    <w:rsid w:val="00FC1288"/>
    <w:rsid w:val="00FC1CA8"/>
    <w:rsid w:val="00FC238E"/>
    <w:rsid w:val="00FC2951"/>
    <w:rsid w:val="00FC359C"/>
    <w:rsid w:val="00FC3B15"/>
    <w:rsid w:val="00FC5459"/>
    <w:rsid w:val="00FC5C09"/>
    <w:rsid w:val="00FC72CE"/>
    <w:rsid w:val="00FD03EF"/>
    <w:rsid w:val="00FD1B44"/>
    <w:rsid w:val="00FD2372"/>
    <w:rsid w:val="00FD2930"/>
    <w:rsid w:val="00FD2CD5"/>
    <w:rsid w:val="00FD2DE4"/>
    <w:rsid w:val="00FD5F6F"/>
    <w:rsid w:val="00FD6B49"/>
    <w:rsid w:val="00FD6EF0"/>
    <w:rsid w:val="00FD7823"/>
    <w:rsid w:val="00FD7CD9"/>
    <w:rsid w:val="00FE060C"/>
    <w:rsid w:val="00FE07F5"/>
    <w:rsid w:val="00FE2999"/>
    <w:rsid w:val="00FE4709"/>
    <w:rsid w:val="00FE4A69"/>
    <w:rsid w:val="00FE4D8A"/>
    <w:rsid w:val="00FE7AED"/>
    <w:rsid w:val="00FF0A29"/>
    <w:rsid w:val="00FF0A5B"/>
    <w:rsid w:val="00FF178F"/>
    <w:rsid w:val="00FF229B"/>
    <w:rsid w:val="00FF23F3"/>
    <w:rsid w:val="00FF5491"/>
    <w:rsid w:val="00FF5F9A"/>
    <w:rsid w:val="00FF63F0"/>
    <w:rsid w:val="00FF6E94"/>
    <w:rsid w:val="00FF7644"/>
    <w:rsid w:val="00FF7DD7"/>
    <w:rsid w:val="5E526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00F"/>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D06"/>
    <w:pPr>
      <w:ind w:left="720"/>
      <w:contextualSpacing/>
      <w:jc w:val="both"/>
    </w:pPr>
    <w:rPr>
      <w:rFonts w:ascii="Palatino Linotype" w:hAnsi="Palatino Linotype"/>
      <w:color w:val="000000" w:themeColor="text1"/>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3D06"/>
    <w:rPr>
      <w:rFonts w:ascii="Palatino Linotype" w:hAnsi="Palatino Linotype" w:eastAsia="Times New Roman"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arkedcontent" w:customStyle="1">
    <w:name w:val="markedcontent"/>
    <w:basedOn w:val="Fuentedeprrafopredeter"/>
    <w:rsid w:val="00687920"/>
  </w:style>
  <w:style w:type="character" w:styleId="Mencinsinresolver3" w:customStyle="1">
    <w:name w:val="Mención sin resolver3"/>
    <w:basedOn w:val="Fuentedeprrafopredeter"/>
    <w:uiPriority w:val="99"/>
    <w:semiHidden/>
    <w:unhideWhenUsed/>
    <w:rsid w:val="00330335"/>
    <w:rPr>
      <w:color w:val="605E5C"/>
      <w:shd w:val="clear" w:color="auto" w:fill="E1DFDD"/>
    </w:rPr>
  </w:style>
  <w:style w:type="character" w:styleId="Mencinsinresolver4" w:customStyle="1">
    <w:name w:val="Mención sin resolver4"/>
    <w:basedOn w:val="Fuentedeprrafopredeter"/>
    <w:uiPriority w:val="99"/>
    <w:semiHidden/>
    <w:unhideWhenUsed/>
    <w:rsid w:val="0061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221">
      <w:bodyDiv w:val="1"/>
      <w:marLeft w:val="0"/>
      <w:marRight w:val="0"/>
      <w:marTop w:val="0"/>
      <w:marBottom w:val="0"/>
      <w:divBdr>
        <w:top w:val="none" w:sz="0" w:space="0" w:color="auto"/>
        <w:left w:val="none" w:sz="0" w:space="0" w:color="auto"/>
        <w:bottom w:val="none" w:sz="0" w:space="0" w:color="auto"/>
        <w:right w:val="none" w:sz="0" w:space="0" w:color="auto"/>
      </w:divBdr>
    </w:div>
    <w:div w:id="184368726">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65646148">
      <w:bodyDiv w:val="1"/>
      <w:marLeft w:val="0"/>
      <w:marRight w:val="0"/>
      <w:marTop w:val="0"/>
      <w:marBottom w:val="0"/>
      <w:divBdr>
        <w:top w:val="none" w:sz="0" w:space="0" w:color="auto"/>
        <w:left w:val="none" w:sz="0" w:space="0" w:color="auto"/>
        <w:bottom w:val="none" w:sz="0" w:space="0" w:color="auto"/>
        <w:right w:val="none" w:sz="0" w:space="0" w:color="auto"/>
      </w:divBdr>
    </w:div>
    <w:div w:id="476387299">
      <w:bodyDiv w:val="1"/>
      <w:marLeft w:val="0"/>
      <w:marRight w:val="0"/>
      <w:marTop w:val="0"/>
      <w:marBottom w:val="0"/>
      <w:divBdr>
        <w:top w:val="none" w:sz="0" w:space="0" w:color="auto"/>
        <w:left w:val="none" w:sz="0" w:space="0" w:color="auto"/>
        <w:bottom w:val="none" w:sz="0" w:space="0" w:color="auto"/>
        <w:right w:val="none" w:sz="0" w:space="0" w:color="auto"/>
      </w:divBdr>
    </w:div>
    <w:div w:id="572589526">
      <w:bodyDiv w:val="1"/>
      <w:marLeft w:val="0"/>
      <w:marRight w:val="0"/>
      <w:marTop w:val="0"/>
      <w:marBottom w:val="0"/>
      <w:divBdr>
        <w:top w:val="none" w:sz="0" w:space="0" w:color="auto"/>
        <w:left w:val="none" w:sz="0" w:space="0" w:color="auto"/>
        <w:bottom w:val="none" w:sz="0" w:space="0" w:color="auto"/>
        <w:right w:val="none" w:sz="0" w:space="0" w:color="auto"/>
      </w:divBdr>
    </w:div>
    <w:div w:id="598949618">
      <w:bodyDiv w:val="1"/>
      <w:marLeft w:val="0"/>
      <w:marRight w:val="0"/>
      <w:marTop w:val="0"/>
      <w:marBottom w:val="0"/>
      <w:divBdr>
        <w:top w:val="none" w:sz="0" w:space="0" w:color="auto"/>
        <w:left w:val="none" w:sz="0" w:space="0" w:color="auto"/>
        <w:bottom w:val="none" w:sz="0" w:space="0" w:color="auto"/>
        <w:right w:val="none" w:sz="0" w:space="0" w:color="auto"/>
      </w:divBdr>
    </w:div>
    <w:div w:id="803961812">
      <w:bodyDiv w:val="1"/>
      <w:marLeft w:val="0"/>
      <w:marRight w:val="0"/>
      <w:marTop w:val="0"/>
      <w:marBottom w:val="0"/>
      <w:divBdr>
        <w:top w:val="none" w:sz="0" w:space="0" w:color="auto"/>
        <w:left w:val="none" w:sz="0" w:space="0" w:color="auto"/>
        <w:bottom w:val="none" w:sz="0" w:space="0" w:color="auto"/>
        <w:right w:val="none" w:sz="0" w:space="0" w:color="auto"/>
      </w:divBdr>
    </w:div>
    <w:div w:id="815488474">
      <w:bodyDiv w:val="1"/>
      <w:marLeft w:val="0"/>
      <w:marRight w:val="0"/>
      <w:marTop w:val="0"/>
      <w:marBottom w:val="0"/>
      <w:divBdr>
        <w:top w:val="none" w:sz="0" w:space="0" w:color="auto"/>
        <w:left w:val="none" w:sz="0" w:space="0" w:color="auto"/>
        <w:bottom w:val="none" w:sz="0" w:space="0" w:color="auto"/>
        <w:right w:val="none" w:sz="0" w:space="0" w:color="auto"/>
      </w:divBdr>
    </w:div>
    <w:div w:id="1205949168">
      <w:bodyDiv w:val="1"/>
      <w:marLeft w:val="0"/>
      <w:marRight w:val="0"/>
      <w:marTop w:val="0"/>
      <w:marBottom w:val="0"/>
      <w:divBdr>
        <w:top w:val="none" w:sz="0" w:space="0" w:color="auto"/>
        <w:left w:val="none" w:sz="0" w:space="0" w:color="auto"/>
        <w:bottom w:val="none" w:sz="0" w:space="0" w:color="auto"/>
        <w:right w:val="none" w:sz="0" w:space="0" w:color="auto"/>
      </w:divBdr>
    </w:div>
    <w:div w:id="1306163072">
      <w:bodyDiv w:val="1"/>
      <w:marLeft w:val="0"/>
      <w:marRight w:val="0"/>
      <w:marTop w:val="0"/>
      <w:marBottom w:val="0"/>
      <w:divBdr>
        <w:top w:val="none" w:sz="0" w:space="0" w:color="auto"/>
        <w:left w:val="none" w:sz="0" w:space="0" w:color="auto"/>
        <w:bottom w:val="none" w:sz="0" w:space="0" w:color="auto"/>
        <w:right w:val="none" w:sz="0" w:space="0" w:color="auto"/>
      </w:divBdr>
    </w:div>
    <w:div w:id="1945069507">
      <w:bodyDiv w:val="1"/>
      <w:marLeft w:val="0"/>
      <w:marRight w:val="0"/>
      <w:marTop w:val="0"/>
      <w:marBottom w:val="0"/>
      <w:divBdr>
        <w:top w:val="none" w:sz="0" w:space="0" w:color="auto"/>
        <w:left w:val="none" w:sz="0" w:space="0" w:color="auto"/>
        <w:bottom w:val="none" w:sz="0" w:space="0" w:color="auto"/>
        <w:right w:val="none" w:sz="0" w:space="0" w:color="auto"/>
      </w:divBdr>
    </w:div>
    <w:div w:id="1948342287">
      <w:bodyDiv w:val="1"/>
      <w:marLeft w:val="0"/>
      <w:marRight w:val="0"/>
      <w:marTop w:val="0"/>
      <w:marBottom w:val="0"/>
      <w:divBdr>
        <w:top w:val="none" w:sz="0" w:space="0" w:color="auto"/>
        <w:left w:val="none" w:sz="0" w:space="0" w:color="auto"/>
        <w:bottom w:val="none" w:sz="0" w:space="0" w:color="auto"/>
        <w:right w:val="none" w:sz="0" w:space="0" w:color="auto"/>
      </w:divBdr>
    </w:div>
    <w:div w:id="2035300220">
      <w:bodyDiv w:val="1"/>
      <w:marLeft w:val="0"/>
      <w:marRight w:val="0"/>
      <w:marTop w:val="0"/>
      <w:marBottom w:val="0"/>
      <w:divBdr>
        <w:top w:val="none" w:sz="0" w:space="0" w:color="auto"/>
        <w:left w:val="none" w:sz="0" w:space="0" w:color="auto"/>
        <w:bottom w:val="none" w:sz="0" w:space="0" w:color="auto"/>
        <w:right w:val="none" w:sz="0" w:space="0" w:color="auto"/>
      </w:divBdr>
    </w:div>
    <w:div w:id="2049722741">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b.mx/sesnsp/acciones-y-programas/incidencia-delictiva-del-fuero-comun-nueva-metodologia?state=published"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ecretariadoejecutivo.gob.mx/work/models/SecretariadoEjecutivo/Resource/328/1/images/instructivo_final_edo_fuerza(1).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3DD0-B75F-49E3-8677-449A8C9AD4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12</revision>
  <lastPrinted>2022-04-27T17:38:00.0000000Z</lastPrinted>
  <dcterms:created xsi:type="dcterms:W3CDTF">2022-06-27T22:03:00.0000000Z</dcterms:created>
  <dcterms:modified xsi:type="dcterms:W3CDTF">2022-07-13T05:10:50.2172644Z</dcterms:modified>
</coreProperties>
</file>