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627BB" w14:textId="77777777" w:rsidR="00112A1A" w:rsidRPr="00F058B9" w:rsidRDefault="00112A1A" w:rsidP="00112A1A">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quince de junio de dos mil veintidós. </w:t>
      </w:r>
    </w:p>
    <w:p w14:paraId="2E715455" w14:textId="77777777" w:rsidR="00B11D9D" w:rsidRPr="00F058B9" w:rsidRDefault="00B11D9D">
      <w:pPr>
        <w:spacing w:line="360" w:lineRule="auto"/>
        <w:jc w:val="both"/>
        <w:rPr>
          <w:rFonts w:ascii="Palatino Linotype" w:eastAsia="Palatino Linotype" w:hAnsi="Palatino Linotype" w:cs="Palatino Linotype"/>
        </w:rPr>
      </w:pPr>
    </w:p>
    <w:p w14:paraId="4CBD16AC"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b/>
          <w:sz w:val="28"/>
          <w:szCs w:val="28"/>
        </w:rPr>
        <w:t>VISTO</w:t>
      </w:r>
      <w:r w:rsidRPr="00F058B9">
        <w:rPr>
          <w:rFonts w:ascii="Palatino Linotype" w:eastAsia="Palatino Linotype" w:hAnsi="Palatino Linotype" w:cs="Palatino Linotype"/>
        </w:rPr>
        <w:t xml:space="preserve"> el expediente formado con motivo del Recurso de Revisión </w:t>
      </w:r>
      <w:r w:rsidRPr="00F058B9">
        <w:rPr>
          <w:rFonts w:ascii="Palatino Linotype" w:eastAsia="Palatino Linotype" w:hAnsi="Palatino Linotype" w:cs="Palatino Linotype"/>
          <w:b/>
        </w:rPr>
        <w:t xml:space="preserve">05547/INFOEM/IP/RR/2022, </w:t>
      </w:r>
      <w:r w:rsidRPr="00F058B9">
        <w:rPr>
          <w:rFonts w:ascii="Palatino Linotype" w:eastAsia="Palatino Linotype" w:hAnsi="Palatino Linotype" w:cs="Palatino Linotype"/>
        </w:rPr>
        <w:t xml:space="preserve">promovido por un particular de forma anónima, a quien en lo sucesivo se le denominara como </w:t>
      </w:r>
      <w:r w:rsidRPr="00F058B9">
        <w:rPr>
          <w:rFonts w:ascii="Palatino Linotype" w:eastAsia="Palatino Linotype" w:hAnsi="Palatino Linotype" w:cs="Palatino Linotype"/>
          <w:b/>
        </w:rPr>
        <w:t>EL RECURRENTE,</w:t>
      </w:r>
      <w:r w:rsidRPr="00F058B9">
        <w:rPr>
          <w:rFonts w:ascii="Palatino Linotype" w:eastAsia="Palatino Linotype" w:hAnsi="Palatino Linotype" w:cs="Palatino Linotype"/>
        </w:rPr>
        <w:t xml:space="preserve"> en contra de la respuesta del </w:t>
      </w:r>
      <w:r w:rsidRPr="00F058B9">
        <w:rPr>
          <w:rFonts w:ascii="Palatino Linotype" w:eastAsia="Palatino Linotype" w:hAnsi="Palatino Linotype" w:cs="Palatino Linotype"/>
          <w:b/>
        </w:rPr>
        <w:t xml:space="preserve">Ayuntamiento de Texcoco, </w:t>
      </w:r>
      <w:r w:rsidRPr="00F058B9">
        <w:rPr>
          <w:rFonts w:ascii="Palatino Linotype" w:eastAsia="Palatino Linotype" w:hAnsi="Palatino Linotype" w:cs="Palatino Linotype"/>
        </w:rPr>
        <w:t xml:space="preserve">en lo subsecuente se le denominará </w:t>
      </w:r>
      <w:r w:rsidRPr="00F058B9">
        <w:rPr>
          <w:rFonts w:ascii="Palatino Linotype" w:eastAsia="Palatino Linotype" w:hAnsi="Palatino Linotype" w:cs="Palatino Linotype"/>
          <w:b/>
        </w:rPr>
        <w:t xml:space="preserve">EL SUJETO OBLIGADO, </w:t>
      </w:r>
      <w:r w:rsidRPr="00F058B9">
        <w:rPr>
          <w:rFonts w:ascii="Palatino Linotype" w:eastAsia="Palatino Linotype" w:hAnsi="Palatino Linotype" w:cs="Palatino Linotype"/>
        </w:rPr>
        <w:t>se procede a dictar la presente resolución con base en lo siguiente:</w:t>
      </w:r>
    </w:p>
    <w:p w14:paraId="0D1B9D81" w14:textId="77777777" w:rsidR="00B11D9D" w:rsidRPr="00F058B9" w:rsidRDefault="00B11D9D">
      <w:pPr>
        <w:spacing w:line="360" w:lineRule="auto"/>
        <w:jc w:val="both"/>
        <w:rPr>
          <w:rFonts w:ascii="Palatino Linotype" w:eastAsia="Palatino Linotype" w:hAnsi="Palatino Linotype" w:cs="Palatino Linotype"/>
          <w:b/>
        </w:rPr>
      </w:pPr>
    </w:p>
    <w:p w14:paraId="7776093E" w14:textId="77777777" w:rsidR="00B11D9D" w:rsidRPr="00F058B9" w:rsidRDefault="00CF0DAC">
      <w:pPr>
        <w:jc w:val="center"/>
        <w:rPr>
          <w:rFonts w:ascii="Palatino Linotype" w:eastAsia="Palatino Linotype" w:hAnsi="Palatino Linotype" w:cs="Palatino Linotype"/>
          <w:b/>
          <w:sz w:val="28"/>
          <w:szCs w:val="28"/>
        </w:rPr>
      </w:pPr>
      <w:r w:rsidRPr="00F058B9">
        <w:rPr>
          <w:rFonts w:ascii="Palatino Linotype" w:eastAsia="Palatino Linotype" w:hAnsi="Palatino Linotype" w:cs="Palatino Linotype"/>
          <w:b/>
          <w:sz w:val="28"/>
          <w:szCs w:val="28"/>
        </w:rPr>
        <w:t>ANTECEDENTES</w:t>
      </w:r>
    </w:p>
    <w:p w14:paraId="064D9640" w14:textId="77777777" w:rsidR="00B11D9D" w:rsidRPr="00F058B9" w:rsidRDefault="00B11D9D">
      <w:pPr>
        <w:rPr>
          <w:rFonts w:ascii="Palatino Linotype" w:eastAsia="Palatino Linotype" w:hAnsi="Palatino Linotype" w:cs="Palatino Linotype"/>
          <w:b/>
        </w:rPr>
      </w:pPr>
    </w:p>
    <w:p w14:paraId="6989B923" w14:textId="77777777" w:rsidR="00B11D9D" w:rsidRPr="00F058B9" w:rsidRDefault="00CF0DAC">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F058B9">
        <w:rPr>
          <w:rFonts w:ascii="Palatino Linotype" w:eastAsia="Palatino Linotype" w:hAnsi="Palatino Linotype" w:cs="Palatino Linotype"/>
          <w:b/>
          <w:sz w:val="28"/>
          <w:szCs w:val="28"/>
        </w:rPr>
        <w:t>I.</w:t>
      </w:r>
      <w:r w:rsidRPr="00F058B9">
        <w:rPr>
          <w:rFonts w:ascii="Palatino Linotype" w:eastAsia="Palatino Linotype" w:hAnsi="Palatino Linotype" w:cs="Palatino Linotype"/>
          <w:b/>
        </w:rPr>
        <w:t xml:space="preserve"> </w:t>
      </w:r>
      <w:r w:rsidRPr="00F058B9">
        <w:rPr>
          <w:rFonts w:ascii="Palatino Linotype" w:eastAsia="Palatino Linotype" w:hAnsi="Palatino Linotype" w:cs="Palatino Linotype"/>
          <w:b/>
          <w:sz w:val="28"/>
          <w:szCs w:val="28"/>
        </w:rPr>
        <w:t>De la Solicitud de Información</w:t>
      </w:r>
    </w:p>
    <w:p w14:paraId="63907424" w14:textId="77777777" w:rsidR="00B11D9D" w:rsidRPr="00F058B9" w:rsidRDefault="00CF0DAC">
      <w:pPr>
        <w:spacing w:line="360" w:lineRule="auto"/>
        <w:jc w:val="both"/>
        <w:rPr>
          <w:rFonts w:ascii="Palatino Linotype" w:eastAsia="Palatino Linotype" w:hAnsi="Palatino Linotype" w:cs="Palatino Linotype"/>
          <w:i/>
          <w:sz w:val="20"/>
          <w:szCs w:val="20"/>
        </w:rPr>
      </w:pPr>
      <w:bookmarkStart w:id="1" w:name="_heading=h.ifuj3wtxm21l" w:colFirst="0" w:colLast="0"/>
      <w:bookmarkEnd w:id="1"/>
      <w:r w:rsidRPr="00F058B9">
        <w:rPr>
          <w:rFonts w:ascii="Palatino Linotype" w:eastAsia="Palatino Linotype" w:hAnsi="Palatino Linotype" w:cs="Palatino Linotype"/>
        </w:rPr>
        <w:t xml:space="preserve"> En fecha </w:t>
      </w:r>
      <w:r w:rsidRPr="00F058B9">
        <w:rPr>
          <w:rFonts w:ascii="Palatino Linotype" w:eastAsia="Palatino Linotype" w:hAnsi="Palatino Linotype" w:cs="Palatino Linotype"/>
          <w:b/>
          <w:bCs/>
        </w:rPr>
        <w:t>veintitrés de marzo de dos mil veintidós,</w:t>
      </w:r>
      <w:r w:rsidRPr="00F058B9">
        <w:rPr>
          <w:rFonts w:ascii="Palatino Linotype" w:eastAsia="Palatino Linotype" w:hAnsi="Palatino Linotype" w:cs="Palatino Linotype"/>
        </w:rPr>
        <w:t xml:space="preserve"> </w:t>
      </w:r>
      <w:r w:rsidRPr="00F058B9">
        <w:rPr>
          <w:rFonts w:ascii="Palatino Linotype" w:eastAsia="Palatino Linotype" w:hAnsi="Palatino Linotype" w:cs="Palatino Linotype"/>
          <w:b/>
        </w:rPr>
        <w:t>EL RECURRENTE</w:t>
      </w:r>
      <w:r w:rsidRPr="00F058B9">
        <w:rPr>
          <w:rFonts w:ascii="Palatino Linotype" w:eastAsia="Palatino Linotype" w:hAnsi="Palatino Linotype" w:cs="Palatino Linotype"/>
        </w:rPr>
        <w:t xml:space="preserve"> presentó a través del Sistema de Acceso a la Información Mexiquense, en lo subsecuente </w:t>
      </w:r>
      <w:r w:rsidRPr="00F058B9">
        <w:rPr>
          <w:rFonts w:ascii="Palatino Linotype" w:eastAsia="Palatino Linotype" w:hAnsi="Palatino Linotype" w:cs="Palatino Linotype"/>
          <w:b/>
        </w:rPr>
        <w:t>EL SAIMEX</w:t>
      </w:r>
      <w:r w:rsidRPr="00F058B9">
        <w:rPr>
          <w:rFonts w:ascii="Palatino Linotype" w:eastAsia="Palatino Linotype" w:hAnsi="Palatino Linotype" w:cs="Palatino Linotype"/>
        </w:rPr>
        <w:t xml:space="preserve"> ante </w:t>
      </w:r>
      <w:r w:rsidRPr="00F058B9">
        <w:rPr>
          <w:rFonts w:ascii="Palatino Linotype" w:eastAsia="Palatino Linotype" w:hAnsi="Palatino Linotype" w:cs="Palatino Linotype"/>
          <w:b/>
        </w:rPr>
        <w:t>EL SUJETO OBLIGADO</w:t>
      </w:r>
      <w:r w:rsidRPr="00F058B9">
        <w:rPr>
          <w:rFonts w:ascii="Palatino Linotype" w:eastAsia="Palatino Linotype" w:hAnsi="Palatino Linotype" w:cs="Palatino Linotype"/>
        </w:rPr>
        <w:t xml:space="preserve">, la solicitud de acceso a la información pública, a la que se le asignó el número de expediente </w:t>
      </w:r>
      <w:r w:rsidRPr="00F058B9">
        <w:rPr>
          <w:rFonts w:ascii="Palatino Linotype" w:eastAsia="Palatino Linotype" w:hAnsi="Palatino Linotype" w:cs="Palatino Linotype"/>
          <w:b/>
        </w:rPr>
        <w:t xml:space="preserve">00169/TEXCOCO/IP/2022, </w:t>
      </w:r>
      <w:r w:rsidRPr="00F058B9">
        <w:rPr>
          <w:rFonts w:ascii="Palatino Linotype" w:eastAsia="Palatino Linotype" w:hAnsi="Palatino Linotype" w:cs="Palatino Linotype"/>
        </w:rPr>
        <w:t>requirió, lo siguiente:</w:t>
      </w:r>
    </w:p>
    <w:p w14:paraId="37C46FA8" w14:textId="77777777" w:rsidR="00B11D9D" w:rsidRPr="00F058B9" w:rsidRDefault="00CF0DAC">
      <w:pPr>
        <w:ind w:left="850" w:right="899"/>
        <w:jc w:val="both"/>
        <w:rPr>
          <w:rFonts w:ascii="Palatino Linotype" w:eastAsia="Palatino Linotype" w:hAnsi="Palatino Linotype" w:cs="Palatino Linotype"/>
          <w:sz w:val="22"/>
          <w:szCs w:val="22"/>
        </w:rPr>
      </w:pPr>
      <w:r w:rsidRPr="00F058B9">
        <w:rPr>
          <w:rFonts w:ascii="Palatino Linotype" w:eastAsia="Palatino Linotype" w:hAnsi="Palatino Linotype" w:cs="Palatino Linotype"/>
          <w:i/>
          <w:sz w:val="22"/>
          <w:szCs w:val="22"/>
        </w:rPr>
        <w:t>“Se adjunta una solicitud dirigida al organismo de agua de Texcoco más el anexo correspondiente.” (sic)</w:t>
      </w:r>
    </w:p>
    <w:p w14:paraId="05FC4D10" w14:textId="77777777" w:rsidR="00B11D9D" w:rsidRPr="00F058B9" w:rsidRDefault="00B11D9D">
      <w:pPr>
        <w:tabs>
          <w:tab w:val="left" w:pos="851"/>
        </w:tabs>
        <w:ind w:right="901"/>
        <w:jc w:val="both"/>
        <w:rPr>
          <w:rFonts w:ascii="Palatino Linotype" w:eastAsia="Palatino Linotype" w:hAnsi="Palatino Linotype" w:cs="Palatino Linotype"/>
          <w:sz w:val="22"/>
          <w:szCs w:val="22"/>
        </w:rPr>
      </w:pPr>
    </w:p>
    <w:p w14:paraId="3B2507CD" w14:textId="77777777" w:rsidR="00B11D9D" w:rsidRPr="00F058B9" w:rsidRDefault="00CF0DAC">
      <w:pPr>
        <w:widowControl w:val="0"/>
        <w:spacing w:line="360" w:lineRule="auto"/>
        <w:jc w:val="both"/>
        <w:rPr>
          <w:rFonts w:ascii="Palatino Linotype" w:eastAsia="Palatino Linotype" w:hAnsi="Palatino Linotype" w:cs="Palatino Linotype"/>
          <w:b/>
        </w:rPr>
      </w:pPr>
      <w:r w:rsidRPr="00F058B9">
        <w:rPr>
          <w:rFonts w:ascii="Palatino Linotype" w:eastAsia="Palatino Linotype" w:hAnsi="Palatino Linotype" w:cs="Palatino Linotype"/>
          <w:b/>
        </w:rPr>
        <w:t xml:space="preserve">MODALIDAD DE ENTREGA: </w:t>
      </w:r>
      <w:r w:rsidRPr="00F058B9">
        <w:rPr>
          <w:rFonts w:ascii="Palatino Linotype" w:eastAsia="Palatino Linotype" w:hAnsi="Palatino Linotype" w:cs="Palatino Linotype"/>
        </w:rPr>
        <w:t xml:space="preserve">Vía </w:t>
      </w:r>
      <w:r w:rsidRPr="00F058B9">
        <w:rPr>
          <w:rFonts w:ascii="Palatino Linotype" w:eastAsia="Palatino Linotype" w:hAnsi="Palatino Linotype" w:cs="Palatino Linotype"/>
          <w:b/>
        </w:rPr>
        <w:t>SAIMEX.</w:t>
      </w:r>
    </w:p>
    <w:p w14:paraId="16A904AA" w14:textId="5F050D5F" w:rsidR="00B11D9D" w:rsidRPr="00F058B9" w:rsidRDefault="00CF0DAC">
      <w:pPr>
        <w:pBdr>
          <w:top w:val="nil"/>
          <w:left w:val="nil"/>
          <w:bottom w:val="nil"/>
          <w:right w:val="nil"/>
          <w:between w:val="nil"/>
        </w:pBd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lastRenderedPageBreak/>
        <w:t xml:space="preserve">Adjuntando a su solicitud de información pública los archivos que se describen a continuación: </w:t>
      </w:r>
    </w:p>
    <w:p w14:paraId="6D24A248" w14:textId="77777777" w:rsidR="00B11D9D" w:rsidRPr="00F058B9" w:rsidRDefault="00CF0DAC">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ANEXO.pdf: archivo que consta de veinte fojas de las cuales se aprecia la respuesta a una solicitud de información hecha al Organismo de Agua del municipio de Chimalhuacán en fecha diecisiete de enero de dos mil veintidós.  </w:t>
      </w:r>
    </w:p>
    <w:p w14:paraId="31728AA9" w14:textId="77777777" w:rsidR="00B11D9D" w:rsidRPr="00F058B9" w:rsidRDefault="00CF0DAC">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Agua_Texcoco.pdf: solicitud de información que consta de varios cuestionamientos y cuyo contenido es el </w:t>
      </w:r>
      <w:r w:rsidR="006C4C36" w:rsidRPr="00F058B9">
        <w:rPr>
          <w:rFonts w:ascii="Palatino Linotype" w:eastAsia="Palatino Linotype" w:hAnsi="Palatino Linotype" w:cs="Palatino Linotype"/>
        </w:rPr>
        <w:t>siguiente</w:t>
      </w:r>
      <w:r w:rsidRPr="00F058B9">
        <w:rPr>
          <w:rFonts w:ascii="Palatino Linotype" w:eastAsia="Palatino Linotype" w:hAnsi="Palatino Linotype" w:cs="Palatino Linotype"/>
        </w:rPr>
        <w:t xml:space="preserve">: </w:t>
      </w:r>
    </w:p>
    <w:p w14:paraId="123E3B75" w14:textId="77777777" w:rsidR="00B11D9D" w:rsidRPr="00F058B9" w:rsidRDefault="00B11D9D">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787BA49C" w14:textId="77777777" w:rsidR="00756DFA" w:rsidRPr="00F058B9" w:rsidRDefault="00756DFA">
      <w:pPr>
        <w:pBdr>
          <w:top w:val="nil"/>
          <w:left w:val="nil"/>
          <w:bottom w:val="nil"/>
          <w:right w:val="nil"/>
          <w:between w:val="nil"/>
        </w:pBdr>
        <w:ind w:left="850" w:right="899"/>
        <w:jc w:val="both"/>
        <w:rPr>
          <w:rFonts w:ascii="Palatino Linotype" w:eastAsia="Palatino Linotype" w:hAnsi="Palatino Linotype" w:cs="Palatino Linotype"/>
          <w:i/>
          <w:sz w:val="22"/>
          <w:szCs w:val="22"/>
        </w:rPr>
      </w:pPr>
    </w:p>
    <w:p w14:paraId="3A66DBD9" w14:textId="77777777" w:rsidR="00B11D9D" w:rsidRPr="00F058B9" w:rsidRDefault="00CF0DAC">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“De acuerdo a lo contenido en la respuesta emitida por el organismo de agua potable y saneamiento del municipio de Chimalhuacán en cumplimento a la resolución con número de folio 00005/INFOEM/IP/RR/2022, en relación a la solicitud de información pública 00030/OASCHIMAL/IP/2021, a través de la cual expuso lo siguiente: </w:t>
      </w:r>
    </w:p>
    <w:p w14:paraId="170CF252" w14:textId="77777777" w:rsidR="00B11D9D" w:rsidRPr="00F058B9" w:rsidRDefault="00B11D9D">
      <w:pPr>
        <w:pBdr>
          <w:top w:val="nil"/>
          <w:left w:val="nil"/>
          <w:bottom w:val="nil"/>
          <w:right w:val="nil"/>
          <w:between w:val="nil"/>
        </w:pBdr>
        <w:ind w:left="850" w:right="899"/>
        <w:jc w:val="both"/>
        <w:rPr>
          <w:rFonts w:ascii="Palatino Linotype" w:eastAsia="Palatino Linotype" w:hAnsi="Palatino Linotype" w:cs="Palatino Linotype"/>
          <w:i/>
          <w:sz w:val="22"/>
          <w:szCs w:val="22"/>
        </w:rPr>
      </w:pPr>
    </w:p>
    <w:p w14:paraId="66B8E923" w14:textId="77777777" w:rsidR="00B11D9D" w:rsidRPr="00F058B9" w:rsidRDefault="00CF0DAC">
      <w:pPr>
        <w:pBdr>
          <w:top w:val="nil"/>
          <w:left w:val="nil"/>
          <w:bottom w:val="nil"/>
          <w:right w:val="nil"/>
          <w:between w:val="nil"/>
        </w:pBdr>
        <w:ind w:left="1275" w:right="1324"/>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“Para dar respuesta a su inconformidad por no tener la clave catastral, que bien es un requisito el cual es necesario al adquirir una fracción o terreno, y que usted debidamente tramite en la institución correspondiente para poder solicitar los servicios de agua y drenaje (…) se podrá brindar el servicio con una MANIFESTACION DE BUENA FE, como usuario y no como propietario hasta que acredite dichos requisitos.” (Sic.) </w:t>
      </w:r>
    </w:p>
    <w:p w14:paraId="5ED4CA24" w14:textId="77777777" w:rsidR="00B11D9D" w:rsidRPr="00F058B9" w:rsidRDefault="00B11D9D">
      <w:pPr>
        <w:pBdr>
          <w:top w:val="nil"/>
          <w:left w:val="nil"/>
          <w:bottom w:val="nil"/>
          <w:right w:val="nil"/>
          <w:between w:val="nil"/>
        </w:pBdr>
        <w:ind w:left="1275" w:right="899"/>
        <w:jc w:val="both"/>
        <w:rPr>
          <w:rFonts w:ascii="Palatino Linotype" w:eastAsia="Palatino Linotype" w:hAnsi="Palatino Linotype" w:cs="Palatino Linotype"/>
          <w:i/>
          <w:sz w:val="22"/>
          <w:szCs w:val="22"/>
        </w:rPr>
      </w:pPr>
    </w:p>
    <w:p w14:paraId="245BAC88" w14:textId="77777777" w:rsidR="00B11D9D" w:rsidRPr="00F058B9" w:rsidRDefault="00CF0DAC">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En virtud de lo anterior, en atención al principio de máxima publicidad y conforme a los documentos físicos y digitales que obran en sus archivos, al organismo de agua del municipio de Texcoco requiero lo siguiente: </w:t>
      </w:r>
    </w:p>
    <w:p w14:paraId="6BF6B4FF" w14:textId="77777777" w:rsidR="00B11D9D" w:rsidRPr="00F058B9" w:rsidRDefault="00B11D9D">
      <w:pPr>
        <w:pBdr>
          <w:top w:val="nil"/>
          <w:left w:val="nil"/>
          <w:bottom w:val="nil"/>
          <w:right w:val="nil"/>
          <w:between w:val="nil"/>
        </w:pBdr>
        <w:ind w:left="850" w:right="899"/>
        <w:jc w:val="both"/>
        <w:rPr>
          <w:rFonts w:ascii="Palatino Linotype" w:eastAsia="Palatino Linotype" w:hAnsi="Palatino Linotype" w:cs="Palatino Linotype"/>
          <w:i/>
          <w:sz w:val="22"/>
          <w:szCs w:val="22"/>
        </w:rPr>
      </w:pPr>
    </w:p>
    <w:p w14:paraId="728A8170" w14:textId="77777777" w:rsidR="00B11D9D" w:rsidRPr="00F058B9" w:rsidRDefault="00CF0DAC">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1.- En un periodo comprendido entre el año 2017 al 22 de marzo de 2022, requiero el número total de conexiones de tomas nuevas para agua potable como usuarios, es decir, de todas aquellas conexiones de las cuales se hayan brindado el servicio con una MANIFESTACIÓN DE BUENA FE; </w:t>
      </w:r>
    </w:p>
    <w:p w14:paraId="4694879E" w14:textId="77777777" w:rsidR="00B11D9D" w:rsidRPr="00F058B9" w:rsidRDefault="00B11D9D">
      <w:pPr>
        <w:pBdr>
          <w:top w:val="nil"/>
          <w:left w:val="nil"/>
          <w:bottom w:val="nil"/>
          <w:right w:val="nil"/>
          <w:between w:val="nil"/>
        </w:pBdr>
        <w:ind w:left="850" w:right="899"/>
        <w:jc w:val="both"/>
        <w:rPr>
          <w:rFonts w:ascii="Palatino Linotype" w:eastAsia="Palatino Linotype" w:hAnsi="Palatino Linotype" w:cs="Palatino Linotype"/>
          <w:i/>
          <w:sz w:val="22"/>
          <w:szCs w:val="22"/>
        </w:rPr>
      </w:pPr>
    </w:p>
    <w:p w14:paraId="4B23A1D2" w14:textId="77777777" w:rsidR="00B11D9D" w:rsidRPr="00F058B9" w:rsidRDefault="00CF0DAC">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lastRenderedPageBreak/>
        <w:t xml:space="preserve">2.- En un periodo comprendido entre el año 2017 al 22 de marzo de 2022, requiero el número total de conexiones de drenaje como usuarios, es decir, de todas aquellas conexiones de las cuales se hayan brindado el servicio con una MANIFESTACIÓN DE BUENA FE; </w:t>
      </w:r>
    </w:p>
    <w:p w14:paraId="3103E4EF" w14:textId="77777777" w:rsidR="00B11D9D" w:rsidRPr="00F058B9" w:rsidRDefault="00B11D9D">
      <w:pPr>
        <w:pBdr>
          <w:top w:val="nil"/>
          <w:left w:val="nil"/>
          <w:bottom w:val="nil"/>
          <w:right w:val="nil"/>
          <w:between w:val="nil"/>
        </w:pBdr>
        <w:ind w:left="850" w:right="899"/>
        <w:jc w:val="both"/>
        <w:rPr>
          <w:rFonts w:ascii="Palatino Linotype" w:eastAsia="Palatino Linotype" w:hAnsi="Palatino Linotype" w:cs="Palatino Linotype"/>
          <w:i/>
          <w:sz w:val="22"/>
          <w:szCs w:val="22"/>
        </w:rPr>
      </w:pPr>
    </w:p>
    <w:p w14:paraId="7D727106" w14:textId="77777777" w:rsidR="00B11D9D" w:rsidRPr="00F058B9" w:rsidRDefault="00CF0DAC">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3.- Respecto del numeral 1, del número total de conexiones de agua, requiero únicamente los números de expedientes, folios o similar, para su identificación; </w:t>
      </w:r>
    </w:p>
    <w:p w14:paraId="2A66E8F8" w14:textId="77777777" w:rsidR="00B11D9D" w:rsidRPr="00F058B9" w:rsidRDefault="00B11D9D">
      <w:pPr>
        <w:pBdr>
          <w:top w:val="nil"/>
          <w:left w:val="nil"/>
          <w:bottom w:val="nil"/>
          <w:right w:val="nil"/>
          <w:between w:val="nil"/>
        </w:pBdr>
        <w:ind w:left="850" w:right="899"/>
        <w:jc w:val="both"/>
        <w:rPr>
          <w:rFonts w:ascii="Palatino Linotype" w:eastAsia="Palatino Linotype" w:hAnsi="Palatino Linotype" w:cs="Palatino Linotype"/>
          <w:i/>
          <w:sz w:val="22"/>
          <w:szCs w:val="22"/>
        </w:rPr>
      </w:pPr>
    </w:p>
    <w:p w14:paraId="49043A40" w14:textId="77777777" w:rsidR="00B11D9D" w:rsidRPr="00F058B9" w:rsidRDefault="00CF0DAC">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4.- Respecto del numeral 2, del número total de conexiones de drenaje, requiero únicamente los números de expedientes, folios o similar, para su identificación; </w:t>
      </w:r>
    </w:p>
    <w:p w14:paraId="423B8004" w14:textId="77777777" w:rsidR="00B11D9D" w:rsidRPr="00F058B9" w:rsidRDefault="00B11D9D">
      <w:pPr>
        <w:pBdr>
          <w:top w:val="nil"/>
          <w:left w:val="nil"/>
          <w:bottom w:val="nil"/>
          <w:right w:val="nil"/>
          <w:between w:val="nil"/>
        </w:pBdr>
        <w:ind w:left="850" w:right="899"/>
        <w:jc w:val="both"/>
        <w:rPr>
          <w:rFonts w:ascii="Palatino Linotype" w:eastAsia="Palatino Linotype" w:hAnsi="Palatino Linotype" w:cs="Palatino Linotype"/>
          <w:i/>
          <w:sz w:val="22"/>
          <w:szCs w:val="22"/>
        </w:rPr>
      </w:pPr>
    </w:p>
    <w:p w14:paraId="7FAB0053" w14:textId="77777777" w:rsidR="00B11D9D" w:rsidRPr="00F058B9" w:rsidRDefault="00CF0DAC">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5.- En el mismo periodo comprendido entre el año 2017 al 22 de marzo de 2022, de los últimos 20 expedientes referentes a conexiones de tomas nuevas para agua potable como usuarios, requiero la versión pública únicamente del documento que acredite el servicio brindado con la MANIFESTACIÓN DE BUENA FE y/o documento mediante el cual se acredite el servicio brindado como usuario; </w:t>
      </w:r>
    </w:p>
    <w:p w14:paraId="5E387F6A" w14:textId="77777777" w:rsidR="00B11D9D" w:rsidRPr="00F058B9" w:rsidRDefault="00B11D9D">
      <w:pPr>
        <w:pBdr>
          <w:top w:val="nil"/>
          <w:left w:val="nil"/>
          <w:bottom w:val="nil"/>
          <w:right w:val="nil"/>
          <w:between w:val="nil"/>
        </w:pBdr>
        <w:ind w:left="850" w:right="899"/>
        <w:jc w:val="both"/>
        <w:rPr>
          <w:rFonts w:ascii="Palatino Linotype" w:eastAsia="Palatino Linotype" w:hAnsi="Palatino Linotype" w:cs="Palatino Linotype"/>
          <w:i/>
          <w:sz w:val="22"/>
          <w:szCs w:val="22"/>
        </w:rPr>
      </w:pPr>
    </w:p>
    <w:p w14:paraId="387CEABD" w14:textId="77777777" w:rsidR="00B11D9D" w:rsidRPr="00F058B9" w:rsidRDefault="00CF0DAC">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6- En el mismo periodo comprendido entre el año 2017 al 22 de marzo de 2022, de los últimos 20 expedientes referentes a conexiones de drenaje como usuarios, requiero la versión pública únicamente del documento que acredite el servicio brindado con la MANIFESTACIÓN DE BUENA FE y/o documento mediante el cual se acredite el servicio brindado como usuario. </w:t>
      </w:r>
    </w:p>
    <w:p w14:paraId="2B461759" w14:textId="77777777" w:rsidR="00B11D9D" w:rsidRPr="00F058B9" w:rsidRDefault="00B11D9D">
      <w:pPr>
        <w:pBdr>
          <w:top w:val="nil"/>
          <w:left w:val="nil"/>
          <w:bottom w:val="nil"/>
          <w:right w:val="nil"/>
          <w:between w:val="nil"/>
        </w:pBdr>
        <w:ind w:left="850" w:right="899"/>
        <w:jc w:val="both"/>
        <w:rPr>
          <w:rFonts w:ascii="Palatino Linotype" w:eastAsia="Palatino Linotype" w:hAnsi="Palatino Linotype" w:cs="Palatino Linotype"/>
          <w:i/>
          <w:sz w:val="22"/>
          <w:szCs w:val="22"/>
        </w:rPr>
      </w:pPr>
    </w:p>
    <w:p w14:paraId="3AFA7E22" w14:textId="77777777" w:rsidR="00B11D9D" w:rsidRPr="00F058B9" w:rsidRDefault="00CF0DAC">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En caso de no contar con la información total o parcial, requiero me sea comprobada la búsqueda exhaustiva; si después de dicha búsqueda no se localiza la información, requiero el acta del comité de transparencia donde se declare la inexistencia de la información, fundando y motivando las razones por las cuales no cuenta con dicha información. </w:t>
      </w:r>
    </w:p>
    <w:p w14:paraId="36C5BF29" w14:textId="77777777" w:rsidR="00B11D9D" w:rsidRPr="00F058B9" w:rsidRDefault="00B11D9D">
      <w:pPr>
        <w:pBdr>
          <w:top w:val="nil"/>
          <w:left w:val="nil"/>
          <w:bottom w:val="nil"/>
          <w:right w:val="nil"/>
          <w:between w:val="nil"/>
        </w:pBdr>
        <w:ind w:left="850" w:right="899"/>
        <w:jc w:val="both"/>
        <w:rPr>
          <w:rFonts w:ascii="Palatino Linotype" w:eastAsia="Palatino Linotype" w:hAnsi="Palatino Linotype" w:cs="Palatino Linotype"/>
          <w:i/>
          <w:sz w:val="22"/>
          <w:szCs w:val="22"/>
        </w:rPr>
      </w:pPr>
    </w:p>
    <w:p w14:paraId="5B435572" w14:textId="77777777" w:rsidR="00B11D9D" w:rsidRPr="00F058B9" w:rsidRDefault="00CF0DAC">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No se omite señalar que, se anexa la respuesta emitida por el organismo de agua y saneamiento de Chimalhuacán para pronta referencia.” (Sic)</w:t>
      </w:r>
      <w:r w:rsidR="006C4C36" w:rsidRPr="00F058B9">
        <w:rPr>
          <w:rFonts w:ascii="Palatino Linotype" w:eastAsia="Palatino Linotype" w:hAnsi="Palatino Linotype" w:cs="Palatino Linotype"/>
          <w:i/>
          <w:sz w:val="22"/>
          <w:szCs w:val="22"/>
        </w:rPr>
        <w:t>.</w:t>
      </w:r>
    </w:p>
    <w:p w14:paraId="4131D02E" w14:textId="77777777" w:rsidR="00B11D9D" w:rsidRPr="00F058B9" w:rsidRDefault="00B11D9D">
      <w:pPr>
        <w:pBdr>
          <w:top w:val="nil"/>
          <w:left w:val="nil"/>
          <w:bottom w:val="nil"/>
          <w:right w:val="nil"/>
          <w:between w:val="nil"/>
        </w:pBdr>
        <w:spacing w:line="360" w:lineRule="auto"/>
        <w:ind w:left="850"/>
        <w:jc w:val="both"/>
        <w:rPr>
          <w:rFonts w:ascii="Palatino Linotype" w:eastAsia="Palatino Linotype" w:hAnsi="Palatino Linotype" w:cs="Palatino Linotype"/>
        </w:rPr>
      </w:pPr>
    </w:p>
    <w:p w14:paraId="2F0C3F6A" w14:textId="77777777" w:rsidR="006C4C36" w:rsidRPr="00F058B9" w:rsidRDefault="006C4C36">
      <w:pPr>
        <w:spacing w:line="360" w:lineRule="auto"/>
        <w:jc w:val="both"/>
        <w:rPr>
          <w:rFonts w:ascii="Palatino Linotype" w:eastAsia="Palatino Linotype" w:hAnsi="Palatino Linotype" w:cs="Palatino Linotype"/>
          <w:b/>
          <w:sz w:val="28"/>
          <w:szCs w:val="28"/>
        </w:rPr>
      </w:pPr>
    </w:p>
    <w:p w14:paraId="03E9A306" w14:textId="77777777" w:rsidR="006C4C36" w:rsidRPr="00F058B9" w:rsidRDefault="006C4C36">
      <w:pPr>
        <w:spacing w:line="360" w:lineRule="auto"/>
        <w:jc w:val="both"/>
        <w:rPr>
          <w:rFonts w:ascii="Palatino Linotype" w:eastAsia="Palatino Linotype" w:hAnsi="Palatino Linotype" w:cs="Palatino Linotype"/>
          <w:b/>
          <w:sz w:val="28"/>
          <w:szCs w:val="28"/>
        </w:rPr>
      </w:pPr>
    </w:p>
    <w:p w14:paraId="351FC4AB" w14:textId="77777777" w:rsidR="00B11D9D" w:rsidRPr="00F058B9" w:rsidRDefault="00CF0DAC">
      <w:pPr>
        <w:spacing w:line="360" w:lineRule="auto"/>
        <w:jc w:val="both"/>
        <w:rPr>
          <w:rFonts w:ascii="Palatino Linotype" w:eastAsia="Palatino Linotype" w:hAnsi="Palatino Linotype" w:cs="Palatino Linotype"/>
          <w:b/>
          <w:sz w:val="28"/>
          <w:szCs w:val="28"/>
        </w:rPr>
      </w:pPr>
      <w:r w:rsidRPr="00F058B9">
        <w:rPr>
          <w:rFonts w:ascii="Palatino Linotype" w:eastAsia="Palatino Linotype" w:hAnsi="Palatino Linotype" w:cs="Palatino Linotype"/>
          <w:b/>
          <w:sz w:val="28"/>
          <w:szCs w:val="28"/>
        </w:rPr>
        <w:lastRenderedPageBreak/>
        <w:t>II. Turno de requerimiento del Sujeto Obligado</w:t>
      </w:r>
    </w:p>
    <w:p w14:paraId="1EC8A366"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De las constancias que obran en los expedientes electrónicos del SAIMEX se advierte que el veinticinco de marzo del año dos mil veintidós, el Titular de la Unidad de Transparencia realizó el turno a los servidores públicos habilitados que estimó competentes, en términos de lo establecido por el artículo 162 de la Ley de Transparencia y Acceso a la Información Pública del Estado de México y Municipios.</w:t>
      </w:r>
    </w:p>
    <w:p w14:paraId="12313A47" w14:textId="77777777" w:rsidR="00B11D9D" w:rsidRPr="00F058B9" w:rsidRDefault="00CF0DAC">
      <w:pPr>
        <w:spacing w:line="360" w:lineRule="auto"/>
        <w:jc w:val="both"/>
        <w:rPr>
          <w:rFonts w:ascii="Palatino Linotype" w:eastAsia="Palatino Linotype" w:hAnsi="Palatino Linotype" w:cs="Palatino Linotype"/>
          <w:b/>
          <w:sz w:val="28"/>
          <w:szCs w:val="28"/>
        </w:rPr>
      </w:pPr>
      <w:r w:rsidRPr="00F058B9">
        <w:rPr>
          <w:rFonts w:ascii="Palatino Linotype" w:eastAsia="Palatino Linotype" w:hAnsi="Palatino Linotype" w:cs="Palatino Linotype"/>
          <w:b/>
          <w:sz w:val="28"/>
          <w:szCs w:val="28"/>
        </w:rPr>
        <w:t xml:space="preserve"> </w:t>
      </w:r>
    </w:p>
    <w:p w14:paraId="05956E71" w14:textId="77777777" w:rsidR="00B11D9D" w:rsidRPr="00F058B9" w:rsidRDefault="00CF0DAC">
      <w:pPr>
        <w:spacing w:line="360" w:lineRule="auto"/>
        <w:jc w:val="both"/>
        <w:rPr>
          <w:rFonts w:ascii="Palatino Linotype" w:eastAsia="Palatino Linotype" w:hAnsi="Palatino Linotype" w:cs="Palatino Linotype"/>
          <w:b/>
          <w:sz w:val="28"/>
          <w:szCs w:val="28"/>
        </w:rPr>
      </w:pPr>
      <w:r w:rsidRPr="00F058B9">
        <w:rPr>
          <w:rFonts w:ascii="Palatino Linotype" w:eastAsia="Palatino Linotype" w:hAnsi="Palatino Linotype" w:cs="Palatino Linotype"/>
          <w:b/>
          <w:sz w:val="28"/>
          <w:szCs w:val="28"/>
        </w:rPr>
        <w:t>III. Respuesta del Sujeto Obligado</w:t>
      </w:r>
    </w:p>
    <w:p w14:paraId="50BAA4D0"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De las constancias que obran en el expediente electrónico del SAIMEX se observa que en fecha cinco de abril de dos mil veintidós, </w:t>
      </w:r>
      <w:r w:rsidRPr="00F058B9">
        <w:rPr>
          <w:rFonts w:ascii="Palatino Linotype" w:eastAsia="Palatino Linotype" w:hAnsi="Palatino Linotype" w:cs="Palatino Linotype"/>
          <w:b/>
        </w:rPr>
        <w:t>EL SUJETO OBLIGADO</w:t>
      </w:r>
      <w:r w:rsidRPr="00F058B9">
        <w:rPr>
          <w:rFonts w:ascii="Palatino Linotype" w:eastAsia="Palatino Linotype" w:hAnsi="Palatino Linotype" w:cs="Palatino Linotype"/>
        </w:rPr>
        <w:t xml:space="preserve"> dio respuesta a la solicitud de acceso a la información pública en los términos siguientes: </w:t>
      </w:r>
    </w:p>
    <w:p w14:paraId="2351AF82"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C6CFF1"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Texcoco, México a 05 de Abril de 2022 Folio de la solicitud: 000169/TEXCOCO/IP/2022 C. SOLICITANTE En respuesta a la solicitud recibida, nos permitimos hacer de su conocimiento que con fundamento en el artículo 53, Fracciones: II, V y VI de la Ley de Transparencia y Acceso a la Información Pública del Estado de México y Municipios, le contestamos que: Encontrará una respuesta a su solicitud de acuerdo a lo establecido en la Ley de Transparencia y Acceso a la Información Pública del Estado de México y Municipios en archivo PDF(...)”(Sic)</w:t>
      </w:r>
    </w:p>
    <w:p w14:paraId="59240F7D" w14:textId="77777777" w:rsidR="00B11D9D" w:rsidRPr="00F058B9" w:rsidRDefault="00B11D9D">
      <w:pPr>
        <w:spacing w:line="360" w:lineRule="auto"/>
        <w:jc w:val="both"/>
        <w:rPr>
          <w:rFonts w:ascii="Palatino Linotype" w:eastAsia="Palatino Linotype" w:hAnsi="Palatino Linotype" w:cs="Palatino Linotype"/>
        </w:rPr>
      </w:pPr>
    </w:p>
    <w:p w14:paraId="57731E6D"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Adjuntando a su respuesta el documento de nombre “</w:t>
      </w:r>
      <w:r w:rsidRPr="00F058B9">
        <w:rPr>
          <w:rFonts w:ascii="Palatino Linotype" w:eastAsia="Palatino Linotype" w:hAnsi="Palatino Linotype" w:cs="Palatino Linotype"/>
          <w:i/>
        </w:rPr>
        <w:t>RESPUESTA SOLICITUD 169-2022.pdf</w:t>
      </w:r>
      <w:r w:rsidRPr="00F058B9">
        <w:rPr>
          <w:rFonts w:ascii="Palatino Linotype" w:eastAsia="Palatino Linotype" w:hAnsi="Palatino Linotype" w:cs="Palatino Linotype"/>
        </w:rPr>
        <w:t xml:space="preserve">” el cual contiene la respuesta del </w:t>
      </w:r>
      <w:r w:rsidRPr="00F058B9">
        <w:rPr>
          <w:rFonts w:ascii="Palatino Linotype" w:eastAsia="Palatino Linotype" w:hAnsi="Palatino Linotype" w:cs="Palatino Linotype"/>
          <w:b/>
        </w:rPr>
        <w:t xml:space="preserve">SUJETO OBLIGADO </w:t>
      </w:r>
      <w:r w:rsidRPr="00F058B9">
        <w:rPr>
          <w:rFonts w:ascii="Palatino Linotype" w:eastAsia="Palatino Linotype" w:hAnsi="Palatino Linotype" w:cs="Palatino Linotype"/>
        </w:rPr>
        <w:t xml:space="preserve">a los diversos rubros </w:t>
      </w:r>
      <w:r w:rsidRPr="00F058B9">
        <w:rPr>
          <w:rFonts w:ascii="Palatino Linotype" w:eastAsia="Palatino Linotype" w:hAnsi="Palatino Linotype" w:cs="Palatino Linotype"/>
        </w:rPr>
        <w:lastRenderedPageBreak/>
        <w:t xml:space="preserve">de la solicitud del particular como se puede apreciar de las imagenes que se insertan a continuación: </w:t>
      </w:r>
    </w:p>
    <w:p w14:paraId="76632AA3"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noProof/>
        </w:rPr>
        <w:drawing>
          <wp:inline distT="114300" distB="114300" distL="114300" distR="114300" wp14:anchorId="53B0A7D1" wp14:editId="3B22EB12">
            <wp:extent cx="5791835" cy="876300"/>
            <wp:effectExtent l="0" t="0" r="0" b="0"/>
            <wp:docPr id="2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91835" cy="876300"/>
                    </a:xfrm>
                    <a:prstGeom prst="rect">
                      <a:avLst/>
                    </a:prstGeom>
                    <a:ln/>
                  </pic:spPr>
                </pic:pic>
              </a:graphicData>
            </a:graphic>
          </wp:inline>
        </w:drawing>
      </w:r>
      <w:r w:rsidRPr="00F058B9">
        <w:rPr>
          <w:rFonts w:ascii="Palatino Linotype" w:eastAsia="Palatino Linotype" w:hAnsi="Palatino Linotype" w:cs="Palatino Linotype"/>
        </w:rPr>
        <w:t xml:space="preserve"> </w:t>
      </w:r>
    </w:p>
    <w:p w14:paraId="5567B6C2" w14:textId="77777777" w:rsidR="00B11D9D" w:rsidRPr="00F058B9" w:rsidRDefault="00CF0DAC" w:rsidP="006C4C36">
      <w:pPr>
        <w:spacing w:line="360" w:lineRule="auto"/>
        <w:jc w:val="center"/>
        <w:rPr>
          <w:rFonts w:ascii="Palatino Linotype" w:eastAsia="Palatino Linotype" w:hAnsi="Palatino Linotype" w:cs="Palatino Linotype"/>
        </w:rPr>
      </w:pPr>
      <w:r w:rsidRPr="00F058B9">
        <w:rPr>
          <w:rFonts w:ascii="Palatino Linotype" w:eastAsia="Palatino Linotype" w:hAnsi="Palatino Linotype" w:cs="Palatino Linotype"/>
          <w:noProof/>
        </w:rPr>
        <w:drawing>
          <wp:inline distT="114300" distB="114300" distL="114300" distR="114300" wp14:anchorId="45A0EBD4" wp14:editId="4983F922">
            <wp:extent cx="4867910" cy="4670425"/>
            <wp:effectExtent l="0" t="0" r="8890" b="0"/>
            <wp:docPr id="2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4867910" cy="4670425"/>
                    </a:xfrm>
                    <a:prstGeom prst="rect">
                      <a:avLst/>
                    </a:prstGeom>
                    <a:ln/>
                  </pic:spPr>
                </pic:pic>
              </a:graphicData>
            </a:graphic>
          </wp:inline>
        </w:drawing>
      </w:r>
    </w:p>
    <w:p w14:paraId="06DB20F3"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noProof/>
        </w:rPr>
        <w:lastRenderedPageBreak/>
        <w:drawing>
          <wp:inline distT="114300" distB="114300" distL="114300" distR="114300" wp14:anchorId="66F97460" wp14:editId="0AF27DB7">
            <wp:extent cx="5791835" cy="1562100"/>
            <wp:effectExtent l="0" t="0" r="0" b="0"/>
            <wp:docPr id="2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91835" cy="1562100"/>
                    </a:xfrm>
                    <a:prstGeom prst="rect">
                      <a:avLst/>
                    </a:prstGeom>
                    <a:ln/>
                  </pic:spPr>
                </pic:pic>
              </a:graphicData>
            </a:graphic>
          </wp:inline>
        </w:drawing>
      </w:r>
    </w:p>
    <w:p w14:paraId="1F8BB00B"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noProof/>
        </w:rPr>
        <w:drawing>
          <wp:inline distT="114300" distB="114300" distL="114300" distR="114300" wp14:anchorId="13CD8C1B" wp14:editId="4F84AB3E">
            <wp:extent cx="5791835" cy="4864100"/>
            <wp:effectExtent l="0" t="0" r="0" b="0"/>
            <wp:docPr id="2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91835" cy="4864100"/>
                    </a:xfrm>
                    <a:prstGeom prst="rect">
                      <a:avLst/>
                    </a:prstGeom>
                    <a:ln/>
                  </pic:spPr>
                </pic:pic>
              </a:graphicData>
            </a:graphic>
          </wp:inline>
        </w:drawing>
      </w:r>
    </w:p>
    <w:p w14:paraId="4CED5E74"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 </w:t>
      </w:r>
    </w:p>
    <w:p w14:paraId="494D546B" w14:textId="77777777" w:rsidR="00B11D9D" w:rsidRPr="00F058B9" w:rsidRDefault="00CF0DAC">
      <w:pPr>
        <w:widowControl w:val="0"/>
        <w:spacing w:line="360" w:lineRule="auto"/>
        <w:jc w:val="both"/>
        <w:rPr>
          <w:rFonts w:ascii="Palatino Linotype" w:eastAsia="Palatino Linotype" w:hAnsi="Palatino Linotype" w:cs="Palatino Linotype"/>
          <w:b/>
        </w:rPr>
      </w:pPr>
      <w:r w:rsidRPr="00F058B9">
        <w:rPr>
          <w:rFonts w:ascii="Palatino Linotype" w:eastAsia="Palatino Linotype" w:hAnsi="Palatino Linotype" w:cs="Palatino Linotype"/>
          <w:b/>
          <w:sz w:val="28"/>
          <w:szCs w:val="28"/>
        </w:rPr>
        <w:lastRenderedPageBreak/>
        <w:t>IV.  Del Recurso de Revisión</w:t>
      </w:r>
      <w:r w:rsidRPr="00F058B9">
        <w:rPr>
          <w:rFonts w:ascii="Palatino Linotype" w:eastAsia="Palatino Linotype" w:hAnsi="Palatino Linotype" w:cs="Palatino Linotype"/>
          <w:b/>
        </w:rPr>
        <w:t>.</w:t>
      </w:r>
    </w:p>
    <w:p w14:paraId="36AC6344" w14:textId="77777777" w:rsidR="00B11D9D" w:rsidRPr="00F058B9" w:rsidRDefault="00CF0DAC">
      <w:pPr>
        <w:widowControl w:val="0"/>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Inconforme con la respuesta del</w:t>
      </w:r>
      <w:r w:rsidRPr="00F058B9">
        <w:rPr>
          <w:rFonts w:ascii="Palatino Linotype" w:eastAsia="Palatino Linotype" w:hAnsi="Palatino Linotype" w:cs="Palatino Linotype"/>
          <w:b/>
        </w:rPr>
        <w:t xml:space="preserve"> SUJETO OBLIGADO</w:t>
      </w:r>
      <w:r w:rsidRPr="00F058B9">
        <w:rPr>
          <w:rFonts w:ascii="Palatino Linotype" w:eastAsia="Palatino Linotype" w:hAnsi="Palatino Linotype" w:cs="Palatino Linotype"/>
        </w:rPr>
        <w:t xml:space="preserve">, el cinco de abril de dos mil veintidós, </w:t>
      </w:r>
      <w:r w:rsidRPr="00F058B9">
        <w:rPr>
          <w:rFonts w:ascii="Palatino Linotype" w:eastAsia="Palatino Linotype" w:hAnsi="Palatino Linotype" w:cs="Palatino Linotype"/>
          <w:b/>
        </w:rPr>
        <w:t>EL RECURRENTE</w:t>
      </w:r>
      <w:r w:rsidRPr="00F058B9">
        <w:rPr>
          <w:rFonts w:ascii="Palatino Linotype" w:eastAsia="Palatino Linotype" w:hAnsi="Palatino Linotype" w:cs="Palatino Linotype"/>
        </w:rPr>
        <w:t xml:space="preserve"> interpuso el Recurso de Revisión. El cual fue registrado en </w:t>
      </w:r>
      <w:r w:rsidRPr="00F058B9">
        <w:rPr>
          <w:rFonts w:ascii="Palatino Linotype" w:eastAsia="Palatino Linotype" w:hAnsi="Palatino Linotype" w:cs="Palatino Linotype"/>
          <w:b/>
        </w:rPr>
        <w:t>EL SAIMEX</w:t>
      </w:r>
      <w:r w:rsidRPr="00F058B9">
        <w:rPr>
          <w:rFonts w:ascii="Palatino Linotype" w:eastAsia="Palatino Linotype" w:hAnsi="Palatino Linotype" w:cs="Palatino Linotype"/>
        </w:rPr>
        <w:t xml:space="preserve"> y se le asignó el número de expediente </w:t>
      </w:r>
      <w:r w:rsidRPr="00F058B9">
        <w:rPr>
          <w:rFonts w:ascii="Palatino Linotype" w:eastAsia="Palatino Linotype" w:hAnsi="Palatino Linotype" w:cs="Palatino Linotype"/>
          <w:b/>
        </w:rPr>
        <w:t xml:space="preserve">05547/INFOEM/IP/RR/2022, </w:t>
      </w:r>
      <w:r w:rsidRPr="00F058B9">
        <w:rPr>
          <w:rFonts w:ascii="Palatino Linotype" w:eastAsia="Palatino Linotype" w:hAnsi="Palatino Linotype" w:cs="Palatino Linotype"/>
        </w:rPr>
        <w:t xml:space="preserve">donde los motivos de agravio del </w:t>
      </w:r>
      <w:r w:rsidRPr="00F058B9">
        <w:rPr>
          <w:rFonts w:ascii="Palatino Linotype" w:eastAsia="Palatino Linotype" w:hAnsi="Palatino Linotype" w:cs="Palatino Linotype"/>
          <w:b/>
        </w:rPr>
        <w:t xml:space="preserve">RECURRENTE </w:t>
      </w:r>
      <w:r w:rsidRPr="00F058B9">
        <w:rPr>
          <w:rFonts w:ascii="Palatino Linotype" w:eastAsia="Palatino Linotype" w:hAnsi="Palatino Linotype" w:cs="Palatino Linotype"/>
        </w:rPr>
        <w:t>fueron los siguientes:</w:t>
      </w:r>
    </w:p>
    <w:p w14:paraId="0E68EBBE" w14:textId="77777777" w:rsidR="00B11D9D" w:rsidRPr="00F058B9" w:rsidRDefault="00B11D9D">
      <w:pPr>
        <w:widowControl w:val="0"/>
        <w:spacing w:line="360" w:lineRule="auto"/>
        <w:jc w:val="both"/>
        <w:rPr>
          <w:rFonts w:ascii="Palatino Linotype" w:eastAsia="Palatino Linotype" w:hAnsi="Palatino Linotype" w:cs="Palatino Linotype"/>
        </w:rPr>
      </w:pPr>
    </w:p>
    <w:p w14:paraId="6A2888CD" w14:textId="77777777" w:rsidR="00B11D9D" w:rsidRPr="00F058B9" w:rsidRDefault="00CF0DAC">
      <w:pPr>
        <w:spacing w:line="360" w:lineRule="auto"/>
        <w:ind w:left="-57" w:right="-57"/>
        <w:jc w:val="both"/>
        <w:rPr>
          <w:rFonts w:ascii="Palatino Linotype" w:eastAsia="Palatino Linotype" w:hAnsi="Palatino Linotype" w:cs="Palatino Linotype"/>
          <w:b/>
          <w:u w:val="single"/>
        </w:rPr>
      </w:pPr>
      <w:r w:rsidRPr="00F058B9">
        <w:rPr>
          <w:rFonts w:ascii="Palatino Linotype" w:eastAsia="Palatino Linotype" w:hAnsi="Palatino Linotype" w:cs="Palatino Linotype"/>
          <w:b/>
          <w:u w:val="single"/>
        </w:rPr>
        <w:t>Acto Impugnado:</w:t>
      </w:r>
      <w:r w:rsidRPr="00F058B9">
        <w:rPr>
          <w:b/>
          <w:u w:val="single"/>
        </w:rPr>
        <w:t xml:space="preserve"> </w:t>
      </w:r>
    </w:p>
    <w:p w14:paraId="301503D4" w14:textId="77777777" w:rsidR="00B11D9D" w:rsidRPr="00F058B9" w:rsidRDefault="00CF0DAC">
      <w:pPr>
        <w:tabs>
          <w:tab w:val="left" w:pos="709"/>
        </w:tabs>
        <w:spacing w:before="66"/>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“Si bien es cierto que, los ciudadanos no estamos obligados a saber la terminología que utilizan los servidores públicos en el ejercicio de sus funciones, también lo cierto es que, no estamos obligados a saber el nombre que le asignan a cada trámite y servicios que ofrecen, es decir, para el caso concreto, los servidores públicos deben responder las solicitudes de información apegándose al principio de máxima publicidad, congruencia y exhaustividad. Por lo tanto, la respuesta no corresponde con lo solicitado ya que, en materia de agua y saneamiento, siendo un derecho humano consagrado en la Constitución Federal y en los tratados internacionales de los que México es parte, no debe perderse de vista que el municipio de Chimalhuacán fundo y motivo la razón por la cual si puede brindar el servicio de agua y drenaje con una “manifestación de buena fe” como usuario y no como propietario, no obstante, el sujeto obligado por parte del municipio de Texcoco únicamente se limitó a invocar el “Reglamento de Agua Potable, Drenaje y Alcantarillado del Municipio de Texcoco”, es decir, se viola el principio de congruencia y exhaustividad, pues no tomo en cuenta lo señalado en la Ley del Agua para el Estado de México. Por lo tanto, el sujeto obligado responsable en el municipio de Texcoco de dar respuesta a la solicitud de mérito, al no haber comprobado una búsqueda exhaustiva y razonable de la información dentro de sus archivos físicos y digitales, aunado a que, LOS CIUDADANOS NO ESTAMOS OBLIGADOS a saber si se llama específicamente “manifestación de buena fe” (trámite y/o servicio que ofrecen); para efectos legales y administrativos tiene el mismo fin ya que la normatividad que regula al municipio de Chimalhuacán es aplicable a los municipios restantes que conforman al Estado de México.”(sic)</w:t>
      </w:r>
    </w:p>
    <w:p w14:paraId="3140B050" w14:textId="77777777" w:rsidR="00B11D9D" w:rsidRPr="00F058B9" w:rsidRDefault="00B11D9D">
      <w:pPr>
        <w:tabs>
          <w:tab w:val="left" w:pos="709"/>
        </w:tabs>
        <w:spacing w:before="66"/>
        <w:ind w:left="850" w:right="899"/>
        <w:rPr>
          <w:rFonts w:ascii="Palatino Linotype" w:eastAsia="Palatino Linotype" w:hAnsi="Palatino Linotype" w:cs="Palatino Linotype"/>
          <w:i/>
          <w:sz w:val="20"/>
          <w:szCs w:val="20"/>
        </w:rPr>
      </w:pPr>
    </w:p>
    <w:p w14:paraId="19B8ADCE" w14:textId="77777777" w:rsidR="00B11D9D" w:rsidRPr="00F058B9" w:rsidRDefault="00CF0DAC">
      <w:pPr>
        <w:tabs>
          <w:tab w:val="left" w:pos="709"/>
        </w:tabs>
        <w:spacing w:before="66"/>
        <w:rPr>
          <w:rFonts w:ascii="Palatino Linotype" w:eastAsia="Palatino Linotype" w:hAnsi="Palatino Linotype" w:cs="Palatino Linotype"/>
          <w:b/>
          <w:u w:val="single"/>
        </w:rPr>
      </w:pPr>
      <w:r w:rsidRPr="00F058B9">
        <w:rPr>
          <w:rFonts w:ascii="Palatino Linotype" w:eastAsia="Palatino Linotype" w:hAnsi="Palatino Linotype" w:cs="Palatino Linotype"/>
          <w:b/>
          <w:u w:val="single"/>
        </w:rPr>
        <w:lastRenderedPageBreak/>
        <w:t>Razones o motivos de la inconformidad:</w:t>
      </w:r>
    </w:p>
    <w:p w14:paraId="5CF068EA" w14:textId="77777777" w:rsidR="00B11D9D" w:rsidRPr="00F058B9" w:rsidRDefault="00B11D9D">
      <w:pPr>
        <w:tabs>
          <w:tab w:val="left" w:pos="709"/>
        </w:tabs>
        <w:spacing w:before="66"/>
        <w:rPr>
          <w:rFonts w:ascii="Palatino Linotype" w:eastAsia="Palatino Linotype" w:hAnsi="Palatino Linotype" w:cs="Palatino Linotype"/>
        </w:rPr>
      </w:pPr>
    </w:p>
    <w:p w14:paraId="0DF5B1E0" w14:textId="77777777" w:rsidR="00B11D9D" w:rsidRPr="00F058B9" w:rsidRDefault="00CF0DAC">
      <w:pPr>
        <w:ind w:left="850" w:right="899"/>
        <w:jc w:val="both"/>
        <w:rPr>
          <w:rFonts w:ascii="Palatino Linotype" w:eastAsia="Palatino Linotype" w:hAnsi="Palatino Linotype" w:cs="Palatino Linotype"/>
          <w:b/>
        </w:rPr>
      </w:pPr>
      <w:r w:rsidRPr="00F058B9">
        <w:rPr>
          <w:rFonts w:ascii="Palatino Linotype" w:eastAsia="Palatino Linotype" w:hAnsi="Palatino Linotype" w:cs="Palatino Linotype"/>
          <w:i/>
          <w:sz w:val="22"/>
          <w:szCs w:val="22"/>
        </w:rPr>
        <w:t>“Si bien es cierto que, los ciudadanos no estamos obligados a saber la terminología que utilizan los servidores públicos en el ejercicio de sus funciones, también lo cierto es que, no estamos obligados a saber el nombre que le asignan a cada trámite y servicios que ofrecen, es decir, para el caso concreto, los servidores públicos deben responder las solicitudes de información apegándose al principio de máxima publicidad, congruencia y exhaustividad. Por lo tanto, la respuesta no corresponde con lo solicitado ya que, en materia de agua y saneamiento, siendo un derecho humano consagrado en la Constitución Federal y en los tratados internacionales de los que México es parte, no debe perderse de vista que el municipio de Chimalhuacán fundo y motivo la razón por la cual si puede brindar el servicio de agua y drenaje con una “manifestación de buena fe” como usuario y no como propietario, no obstante, el sujeto obligado por parte del municipio de Texcoco únicamente se limitó a invocar el “Reglamento de Agua Potable, Drenaje y Alcantarillado del Municipio de Texcoco”, es decir, se viola el principio de congruencia y exhaustividad, pues no tomo en cuenta lo señalado en la Ley del Agua para el Estado de México. Por lo tanto, el sujeto obligado responsable en el municipio de Texcoco de dar respuesta a la solicitud de mérito, al no haber comprobado una búsqueda exhaustiva y razonable de la información dentro de sus archivos físicos y digitales, aunado a que, LOS CIUDADANOS NO ESTAMOS OBLIGADOS a saber si se llama específicamente “manifestación de buena fe” (trámite y/o servicio que ofrecen); para efectos legales y administrativos tiene el mismo fin ya que la normatividad que regula al municipio de Chimalhuacán es aplicable a los municipios restantes que conforman al Estado de México.” (sic)</w:t>
      </w:r>
    </w:p>
    <w:p w14:paraId="25B5A230" w14:textId="77777777" w:rsidR="00B11D9D" w:rsidRPr="00F058B9" w:rsidRDefault="00B11D9D">
      <w:pPr>
        <w:spacing w:line="360" w:lineRule="auto"/>
        <w:jc w:val="both"/>
        <w:rPr>
          <w:rFonts w:ascii="Palatino Linotype" w:eastAsia="Palatino Linotype" w:hAnsi="Palatino Linotype" w:cs="Palatino Linotype"/>
        </w:rPr>
      </w:pPr>
    </w:p>
    <w:p w14:paraId="441BCDAD" w14:textId="77777777" w:rsidR="00B11D9D" w:rsidRPr="00F058B9" w:rsidRDefault="00CF0DAC">
      <w:pPr>
        <w:spacing w:line="360" w:lineRule="auto"/>
        <w:jc w:val="both"/>
        <w:rPr>
          <w:rFonts w:ascii="Palatino Linotype" w:eastAsia="Palatino Linotype" w:hAnsi="Palatino Linotype" w:cs="Palatino Linotype"/>
          <w:b/>
          <w:sz w:val="28"/>
          <w:szCs w:val="28"/>
        </w:rPr>
      </w:pPr>
      <w:r w:rsidRPr="00F058B9">
        <w:rPr>
          <w:rFonts w:ascii="Palatino Linotype" w:eastAsia="Palatino Linotype" w:hAnsi="Palatino Linotype" w:cs="Palatino Linotype"/>
          <w:b/>
          <w:sz w:val="28"/>
          <w:szCs w:val="28"/>
        </w:rPr>
        <w:t xml:space="preserve">V. Del turno del Recurso de Revisión. </w:t>
      </w:r>
    </w:p>
    <w:p w14:paraId="79AE2F33"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El cinco de abril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w:t>
      </w:r>
      <w:r w:rsidRPr="00F058B9">
        <w:rPr>
          <w:rFonts w:ascii="Palatino Linotype" w:eastAsia="Palatino Linotype" w:hAnsi="Palatino Linotype" w:cs="Palatino Linotype"/>
        </w:rPr>
        <w:lastRenderedPageBreak/>
        <w:t xml:space="preserve">Pública del Estado de México y Municipios, se turnó a la </w:t>
      </w:r>
      <w:r w:rsidRPr="00F058B9">
        <w:rPr>
          <w:rFonts w:ascii="Palatino Linotype" w:eastAsia="Palatino Linotype" w:hAnsi="Palatino Linotype" w:cs="Palatino Linotype"/>
          <w:b/>
        </w:rPr>
        <w:t>Comisionada Sharon Cristina Morales Martínez</w:t>
      </w:r>
      <w:r w:rsidRPr="00F058B9">
        <w:rPr>
          <w:rFonts w:ascii="Palatino Linotype" w:eastAsia="Palatino Linotype" w:hAnsi="Palatino Linotype" w:cs="Palatino Linotype"/>
        </w:rPr>
        <w:t>; a efecto de decretar su admisión o desechamiento.</w:t>
      </w:r>
    </w:p>
    <w:p w14:paraId="2A55B110" w14:textId="77777777" w:rsidR="00B11D9D" w:rsidRPr="00F058B9" w:rsidRDefault="00B11D9D">
      <w:pPr>
        <w:spacing w:line="360" w:lineRule="auto"/>
        <w:jc w:val="both"/>
        <w:rPr>
          <w:rFonts w:ascii="Palatino Linotype" w:eastAsia="Palatino Linotype" w:hAnsi="Palatino Linotype" w:cs="Palatino Linotype"/>
        </w:rPr>
      </w:pPr>
    </w:p>
    <w:p w14:paraId="34767E44" w14:textId="77777777" w:rsidR="00B11D9D" w:rsidRPr="00F058B9" w:rsidRDefault="00CF0DAC">
      <w:pPr>
        <w:tabs>
          <w:tab w:val="center" w:pos="4252"/>
          <w:tab w:val="right" w:pos="8504"/>
        </w:tabs>
        <w:spacing w:line="360" w:lineRule="auto"/>
        <w:jc w:val="both"/>
        <w:rPr>
          <w:rFonts w:ascii="Palatino Linotype" w:eastAsia="Palatino Linotype" w:hAnsi="Palatino Linotype" w:cs="Palatino Linotype"/>
          <w:b/>
        </w:rPr>
      </w:pPr>
      <w:r w:rsidRPr="00F058B9">
        <w:rPr>
          <w:rFonts w:ascii="Palatino Linotype" w:eastAsia="Palatino Linotype" w:hAnsi="Palatino Linotype" w:cs="Palatino Linotype"/>
          <w:b/>
        </w:rPr>
        <w:t>a) Admisión del Recurso de Revisión</w:t>
      </w:r>
    </w:p>
    <w:p w14:paraId="40D6CD2C" w14:textId="77777777" w:rsidR="00B11D9D" w:rsidRPr="00F058B9" w:rsidRDefault="00CF0DAC">
      <w:pPr>
        <w:tabs>
          <w:tab w:val="center" w:pos="4252"/>
          <w:tab w:val="right" w:pos="8504"/>
        </w:tabs>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De las constancias que obran en el expediente electrónico del</w:t>
      </w:r>
      <w:r w:rsidRPr="00F058B9">
        <w:rPr>
          <w:rFonts w:ascii="Palatino Linotype" w:eastAsia="Palatino Linotype" w:hAnsi="Palatino Linotype" w:cs="Palatino Linotype"/>
          <w:b/>
        </w:rPr>
        <w:t xml:space="preserve"> SAIMEX</w:t>
      </w:r>
      <w:r w:rsidRPr="00F058B9">
        <w:rPr>
          <w:rFonts w:ascii="Palatino Linotype" w:eastAsia="Palatino Linotype" w:hAnsi="Palatino Linotype" w:cs="Palatino Linotype"/>
        </w:rPr>
        <w:t xml:space="preserve">, se advierte que en fecha </w:t>
      </w:r>
      <w:r w:rsidRPr="00F058B9">
        <w:rPr>
          <w:rFonts w:ascii="Palatino Linotype" w:eastAsia="Palatino Linotype" w:hAnsi="Palatino Linotype" w:cs="Palatino Linotype"/>
          <w:b/>
          <w:bCs/>
        </w:rPr>
        <w:t>siete de abril de dos mil veintidós</w:t>
      </w:r>
      <w:r w:rsidRPr="00F058B9">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w:t>
      </w:r>
      <w:r w:rsidRPr="00F058B9">
        <w:rPr>
          <w:rFonts w:ascii="Palatino Linotype" w:eastAsia="Palatino Linotype" w:hAnsi="Palatino Linotype" w:cs="Palatino Linotype"/>
          <w:b/>
        </w:rPr>
        <w:t xml:space="preserve">EL RECURRENTE </w:t>
      </w:r>
      <w:r w:rsidRPr="00F058B9">
        <w:rPr>
          <w:rFonts w:ascii="Palatino Linotype" w:eastAsia="Palatino Linotype" w:hAnsi="Palatino Linotype" w:cs="Palatino Linotype"/>
        </w:rPr>
        <w:t xml:space="preserve">manifestara lo que a su derecho conviniera, a efecto de presentar pruebas y alegatos; así como, para que </w:t>
      </w:r>
      <w:r w:rsidRPr="00F058B9">
        <w:rPr>
          <w:rFonts w:ascii="Palatino Linotype" w:eastAsia="Palatino Linotype" w:hAnsi="Palatino Linotype" w:cs="Palatino Linotype"/>
          <w:b/>
        </w:rPr>
        <w:t xml:space="preserve">EL SUJETO OBLIGADO </w:t>
      </w:r>
      <w:r w:rsidRPr="00F058B9">
        <w:rPr>
          <w:rFonts w:ascii="Palatino Linotype" w:eastAsia="Palatino Linotype" w:hAnsi="Palatino Linotype" w:cs="Palatino Linotype"/>
        </w:rPr>
        <w:t>rindiera el correspondiente</w:t>
      </w:r>
      <w:r w:rsidRPr="00F058B9">
        <w:rPr>
          <w:rFonts w:ascii="Palatino Linotype" w:eastAsia="Palatino Linotype" w:hAnsi="Palatino Linotype" w:cs="Palatino Linotype"/>
          <w:b/>
        </w:rPr>
        <w:t xml:space="preserve"> </w:t>
      </w:r>
      <w:r w:rsidRPr="00F058B9">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0B89DBFE" w14:textId="77777777" w:rsidR="00B11D9D" w:rsidRPr="00F058B9" w:rsidRDefault="00B11D9D">
      <w:pPr>
        <w:tabs>
          <w:tab w:val="center" w:pos="4252"/>
          <w:tab w:val="right" w:pos="8504"/>
        </w:tabs>
        <w:spacing w:line="360" w:lineRule="auto"/>
        <w:jc w:val="both"/>
        <w:rPr>
          <w:rFonts w:ascii="Palatino Linotype" w:eastAsia="Palatino Linotype" w:hAnsi="Palatino Linotype" w:cs="Palatino Linotype"/>
        </w:rPr>
      </w:pPr>
    </w:p>
    <w:p w14:paraId="42C94BEE" w14:textId="77777777" w:rsidR="00B11D9D" w:rsidRPr="00F058B9" w:rsidRDefault="00CF0DAC">
      <w:pPr>
        <w:spacing w:line="360" w:lineRule="auto"/>
        <w:jc w:val="both"/>
        <w:rPr>
          <w:rFonts w:ascii="Palatino Linotype" w:eastAsia="Palatino Linotype" w:hAnsi="Palatino Linotype" w:cs="Palatino Linotype"/>
          <w:b/>
        </w:rPr>
      </w:pPr>
      <w:r w:rsidRPr="00F058B9">
        <w:rPr>
          <w:rFonts w:ascii="Palatino Linotype" w:eastAsia="Palatino Linotype" w:hAnsi="Palatino Linotype" w:cs="Palatino Linotype"/>
          <w:b/>
        </w:rPr>
        <w:t>b) Informe Justificado</w:t>
      </w:r>
    </w:p>
    <w:p w14:paraId="3F72CD31" w14:textId="77777777" w:rsidR="00B11D9D" w:rsidRPr="00F058B9" w:rsidRDefault="00CF0DAC">
      <w:pPr>
        <w:widowControl w:val="0"/>
        <w:tabs>
          <w:tab w:val="left" w:pos="0"/>
        </w:tabs>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Conforme a las constancias que obran en el expediente del </w:t>
      </w:r>
      <w:r w:rsidRPr="00F058B9">
        <w:rPr>
          <w:rFonts w:ascii="Palatino Linotype" w:eastAsia="Palatino Linotype" w:hAnsi="Palatino Linotype" w:cs="Palatino Linotype"/>
          <w:b/>
        </w:rPr>
        <w:t>SAIMEX,</w:t>
      </w:r>
      <w:r w:rsidRPr="00F058B9">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F058B9">
        <w:rPr>
          <w:rFonts w:ascii="Palatino Linotype" w:eastAsia="Palatino Linotype" w:hAnsi="Palatino Linotype" w:cs="Palatino Linotype"/>
          <w:b/>
        </w:rPr>
        <w:t>EL</w:t>
      </w:r>
      <w:r w:rsidRPr="00F058B9">
        <w:rPr>
          <w:rFonts w:ascii="Palatino Linotype" w:eastAsia="Palatino Linotype" w:hAnsi="Palatino Linotype" w:cs="Palatino Linotype"/>
        </w:rPr>
        <w:t xml:space="preserve"> </w:t>
      </w:r>
      <w:r w:rsidRPr="00F058B9">
        <w:rPr>
          <w:rFonts w:ascii="Palatino Linotype" w:eastAsia="Palatino Linotype" w:hAnsi="Palatino Linotype" w:cs="Palatino Linotype"/>
          <w:b/>
        </w:rPr>
        <w:t>RECURRENTE</w:t>
      </w:r>
      <w:r w:rsidRPr="00F058B9">
        <w:rPr>
          <w:rFonts w:ascii="Palatino Linotype" w:eastAsia="Palatino Linotype" w:hAnsi="Palatino Linotype" w:cs="Palatino Linotype"/>
        </w:rPr>
        <w:t xml:space="preserve"> no presentó manifestaciones que a su derecho convinieran. </w:t>
      </w:r>
    </w:p>
    <w:p w14:paraId="3236A193" w14:textId="77777777" w:rsidR="00B11D9D" w:rsidRPr="00F058B9" w:rsidRDefault="00B11D9D">
      <w:pPr>
        <w:widowControl w:val="0"/>
        <w:tabs>
          <w:tab w:val="left" w:pos="0"/>
        </w:tabs>
        <w:spacing w:line="360" w:lineRule="auto"/>
        <w:jc w:val="both"/>
        <w:rPr>
          <w:rFonts w:ascii="Palatino Linotype" w:eastAsia="Palatino Linotype" w:hAnsi="Palatino Linotype" w:cs="Palatino Linotype"/>
        </w:rPr>
      </w:pPr>
    </w:p>
    <w:p w14:paraId="74E156E5" w14:textId="77777777" w:rsidR="00B11D9D" w:rsidRPr="00F058B9" w:rsidRDefault="00CF0DAC">
      <w:pPr>
        <w:widowControl w:val="0"/>
        <w:tabs>
          <w:tab w:val="left" w:pos="0"/>
        </w:tabs>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Por su parte, </w:t>
      </w:r>
      <w:r w:rsidRPr="00F058B9">
        <w:rPr>
          <w:rFonts w:ascii="Palatino Linotype" w:eastAsia="Palatino Linotype" w:hAnsi="Palatino Linotype" w:cs="Palatino Linotype"/>
          <w:b/>
        </w:rPr>
        <w:t>EL SUJETO OBLIGADO</w:t>
      </w:r>
      <w:r w:rsidRPr="00F058B9">
        <w:rPr>
          <w:rFonts w:ascii="Palatino Linotype" w:eastAsia="Palatino Linotype" w:hAnsi="Palatino Linotype" w:cs="Palatino Linotype"/>
        </w:rPr>
        <w:t xml:space="preserve"> rindió su Informe Justificado, el cual consta de </w:t>
      </w:r>
      <w:r w:rsidRPr="00F058B9">
        <w:rPr>
          <w:rFonts w:ascii="Palatino Linotype" w:eastAsia="Palatino Linotype" w:hAnsi="Palatino Linotype" w:cs="Palatino Linotype"/>
        </w:rPr>
        <w:lastRenderedPageBreak/>
        <w:t xml:space="preserve">cinco archivos de los cuales tres fueron puestos a disposición del </w:t>
      </w:r>
      <w:r w:rsidRPr="00F058B9">
        <w:rPr>
          <w:rFonts w:ascii="Palatino Linotype" w:eastAsia="Palatino Linotype" w:hAnsi="Palatino Linotype" w:cs="Palatino Linotype"/>
          <w:b/>
        </w:rPr>
        <w:t xml:space="preserve">RECURRENTE </w:t>
      </w:r>
      <w:r w:rsidRPr="00F058B9">
        <w:rPr>
          <w:rFonts w:ascii="Palatino Linotype" w:eastAsia="Palatino Linotype" w:hAnsi="Palatino Linotype" w:cs="Palatino Linotype"/>
        </w:rPr>
        <w:t xml:space="preserve">y de cuyo contenido se advierte que  el ente recurrido contesta los requerimientos del particular además de adjuntar documentos probatorios, entre los cuales se encuentran dos listados de conexiones de agua, y dos archivos con solicitudes de conexión de drenaje , estos últimos dos no fueron puestos a disposición del particular toda vez que dentro de los documentos se advirtieron datos personales que debieron ser testados. </w:t>
      </w:r>
    </w:p>
    <w:p w14:paraId="03CF8EE0" w14:textId="77777777" w:rsidR="00B11D9D" w:rsidRPr="00F058B9" w:rsidRDefault="00B11D9D">
      <w:pPr>
        <w:widowControl w:val="0"/>
        <w:tabs>
          <w:tab w:val="left" w:pos="0"/>
        </w:tabs>
        <w:spacing w:line="360" w:lineRule="auto"/>
        <w:jc w:val="both"/>
        <w:rPr>
          <w:rFonts w:ascii="Palatino Linotype" w:eastAsia="Palatino Linotype" w:hAnsi="Palatino Linotype" w:cs="Palatino Linotype"/>
        </w:rPr>
      </w:pPr>
    </w:p>
    <w:p w14:paraId="4CA8C845" w14:textId="77777777" w:rsidR="00B11D9D" w:rsidRPr="00F058B9" w:rsidRDefault="00CF0DAC">
      <w:pPr>
        <w:widowControl w:val="0"/>
        <w:tabs>
          <w:tab w:val="left" w:pos="0"/>
        </w:tabs>
        <w:spacing w:line="360" w:lineRule="auto"/>
        <w:jc w:val="both"/>
        <w:rPr>
          <w:rFonts w:ascii="Palatino Linotype" w:eastAsia="Palatino Linotype" w:hAnsi="Palatino Linotype" w:cs="Palatino Linotype"/>
          <w:b/>
        </w:rPr>
      </w:pPr>
      <w:r w:rsidRPr="00F058B9">
        <w:rPr>
          <w:rFonts w:ascii="Palatino Linotype" w:eastAsia="Palatino Linotype" w:hAnsi="Palatino Linotype" w:cs="Palatino Linotype"/>
          <w:b/>
        </w:rPr>
        <w:t xml:space="preserve">c) De la ampliación </w:t>
      </w:r>
    </w:p>
    <w:p w14:paraId="0217CEF2"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En fecha treinta y uno de mayo de dos mil veintidós, se notificó el acuerdo de ampliación de plazo para resolver el presente Recurso de Revisión, previsto en el artículo 181, tercer párrafo de la Ley de Transparencia y Acceso a la Información Pública del Estado de México y Municipios.</w:t>
      </w:r>
    </w:p>
    <w:p w14:paraId="666ABF27" w14:textId="77777777" w:rsidR="00B11D9D" w:rsidRPr="00F058B9" w:rsidRDefault="00B11D9D">
      <w:pPr>
        <w:spacing w:line="360" w:lineRule="auto"/>
        <w:jc w:val="both"/>
        <w:rPr>
          <w:rFonts w:ascii="Palatino Linotype" w:eastAsia="Palatino Linotype" w:hAnsi="Palatino Linotype" w:cs="Palatino Linotype"/>
        </w:rPr>
      </w:pPr>
    </w:p>
    <w:p w14:paraId="28341F93" w14:textId="77777777" w:rsidR="00B11D9D" w:rsidRPr="00F058B9" w:rsidRDefault="00CF0DAC">
      <w:pPr>
        <w:spacing w:line="360" w:lineRule="auto"/>
        <w:jc w:val="both"/>
        <w:rPr>
          <w:rFonts w:ascii="Palatino Linotype" w:eastAsia="Palatino Linotype" w:hAnsi="Palatino Linotype" w:cs="Palatino Linotype"/>
          <w:b/>
        </w:rPr>
      </w:pPr>
      <w:r w:rsidRPr="00F058B9">
        <w:rPr>
          <w:rFonts w:ascii="Palatino Linotype" w:eastAsia="Palatino Linotype" w:hAnsi="Palatino Linotype" w:cs="Palatino Linotype"/>
          <w:b/>
        </w:rPr>
        <w:t>d) Cierre de Instrucción</w:t>
      </w:r>
    </w:p>
    <w:p w14:paraId="72AC242A" w14:textId="6A32CE52"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Por lo que, una vez analizado el estado procesal que guarda el expediente, en fecha catorce de junio de dos mil veintidós, la </w:t>
      </w:r>
      <w:r w:rsidRPr="00F058B9">
        <w:rPr>
          <w:rFonts w:ascii="Palatino Linotype" w:eastAsia="Palatino Linotype" w:hAnsi="Palatino Linotype" w:cs="Palatino Linotype"/>
          <w:b/>
        </w:rPr>
        <w:t xml:space="preserve">Comisionada Sharon Cristina Morales Martínez </w:t>
      </w:r>
      <w:r w:rsidRPr="00F058B9">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F058B9" w:rsidRPr="00F058B9">
        <w:rPr>
          <w:rFonts w:ascii="Palatino Linotype" w:eastAsia="Palatino Linotype" w:hAnsi="Palatino Linotype" w:cs="Palatino Linotype"/>
        </w:rPr>
        <w:t>.</w:t>
      </w:r>
    </w:p>
    <w:p w14:paraId="50F45053" w14:textId="77777777" w:rsidR="00791B78" w:rsidRPr="00F058B9" w:rsidRDefault="00791B78">
      <w:pPr>
        <w:spacing w:line="360" w:lineRule="auto"/>
        <w:jc w:val="both"/>
        <w:rPr>
          <w:rFonts w:ascii="Palatino Linotype" w:eastAsia="Palatino Linotype" w:hAnsi="Palatino Linotype" w:cs="Palatino Linotype"/>
        </w:rPr>
      </w:pPr>
    </w:p>
    <w:p w14:paraId="47BA5DBD" w14:textId="77777777" w:rsidR="00791B78" w:rsidRPr="00F058B9" w:rsidRDefault="00791B78">
      <w:pPr>
        <w:spacing w:line="360" w:lineRule="auto"/>
        <w:jc w:val="both"/>
        <w:rPr>
          <w:rFonts w:ascii="Palatino Linotype" w:eastAsia="Palatino Linotype" w:hAnsi="Palatino Linotype" w:cs="Palatino Linotype"/>
        </w:rPr>
      </w:pPr>
    </w:p>
    <w:p w14:paraId="53AAF07A" w14:textId="77777777" w:rsidR="00B11D9D" w:rsidRPr="00F058B9" w:rsidRDefault="00CF0DAC">
      <w:pPr>
        <w:jc w:val="center"/>
        <w:rPr>
          <w:rFonts w:ascii="Palatino Linotype" w:eastAsia="Palatino Linotype" w:hAnsi="Palatino Linotype" w:cs="Palatino Linotype"/>
          <w:b/>
          <w:sz w:val="28"/>
          <w:szCs w:val="28"/>
        </w:rPr>
      </w:pPr>
      <w:r w:rsidRPr="00F058B9">
        <w:rPr>
          <w:rFonts w:ascii="Palatino Linotype" w:eastAsia="Palatino Linotype" w:hAnsi="Palatino Linotype" w:cs="Palatino Linotype"/>
          <w:b/>
          <w:sz w:val="28"/>
          <w:szCs w:val="28"/>
        </w:rPr>
        <w:lastRenderedPageBreak/>
        <w:t>CONSIDERANDO</w:t>
      </w:r>
    </w:p>
    <w:p w14:paraId="5FD869D6" w14:textId="77777777" w:rsidR="00B11D9D" w:rsidRPr="00F058B9" w:rsidRDefault="00B11D9D">
      <w:pPr>
        <w:jc w:val="center"/>
        <w:rPr>
          <w:rFonts w:ascii="Palatino Linotype" w:eastAsia="Palatino Linotype" w:hAnsi="Palatino Linotype" w:cs="Palatino Linotype"/>
          <w:b/>
          <w:sz w:val="28"/>
          <w:szCs w:val="28"/>
        </w:rPr>
      </w:pPr>
    </w:p>
    <w:p w14:paraId="0C6117B4" w14:textId="77777777" w:rsidR="00B11D9D" w:rsidRPr="00F058B9" w:rsidRDefault="00CF0DAC">
      <w:pPr>
        <w:widowControl w:val="0"/>
        <w:tabs>
          <w:tab w:val="left" w:pos="1701"/>
        </w:tabs>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b/>
          <w:sz w:val="28"/>
          <w:szCs w:val="28"/>
        </w:rPr>
        <w:t>PRIMERO.</w:t>
      </w:r>
      <w:r w:rsidRPr="00F058B9">
        <w:rPr>
          <w:rFonts w:ascii="Palatino Linotype" w:eastAsia="Palatino Linotype" w:hAnsi="Palatino Linotype" w:cs="Palatino Linotype"/>
          <w:b/>
        </w:rPr>
        <w:t xml:space="preserve"> Competencia</w:t>
      </w:r>
      <w:r w:rsidRPr="00F058B9">
        <w:rPr>
          <w:rFonts w:ascii="Palatino Linotype" w:eastAsia="Palatino Linotype" w:hAnsi="Palatino Linotype" w:cs="Palatino Linotype"/>
        </w:rPr>
        <w:t>.</w:t>
      </w:r>
      <w:r w:rsidRPr="00F058B9">
        <w:rPr>
          <w:rFonts w:ascii="Palatino Linotype" w:eastAsia="Palatino Linotype" w:hAnsi="Palatino Linotype" w:cs="Palatino Linotype"/>
          <w:b/>
        </w:rPr>
        <w:t xml:space="preserve"> </w:t>
      </w:r>
    </w:p>
    <w:p w14:paraId="03D70985" w14:textId="77777777" w:rsidR="00B11D9D" w:rsidRPr="00F058B9" w:rsidRDefault="00CF0DAC">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F058B9">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B94DE79" w14:textId="77777777" w:rsidR="00B11D9D" w:rsidRPr="00F058B9" w:rsidRDefault="00B11D9D">
      <w:pPr>
        <w:spacing w:line="360" w:lineRule="auto"/>
        <w:jc w:val="both"/>
        <w:rPr>
          <w:rFonts w:ascii="Palatino Linotype" w:eastAsia="Palatino Linotype" w:hAnsi="Palatino Linotype" w:cs="Palatino Linotype"/>
          <w:b/>
          <w:sz w:val="28"/>
          <w:szCs w:val="28"/>
        </w:rPr>
      </w:pPr>
    </w:p>
    <w:p w14:paraId="4927B9C6" w14:textId="77777777" w:rsidR="00B11D9D" w:rsidRPr="00F058B9" w:rsidRDefault="00CF0DAC">
      <w:pPr>
        <w:spacing w:line="360" w:lineRule="auto"/>
        <w:jc w:val="both"/>
        <w:rPr>
          <w:rFonts w:ascii="Palatino Linotype" w:eastAsia="Palatino Linotype" w:hAnsi="Palatino Linotype" w:cs="Palatino Linotype"/>
          <w:b/>
        </w:rPr>
      </w:pPr>
      <w:r w:rsidRPr="00F058B9">
        <w:rPr>
          <w:rFonts w:ascii="Palatino Linotype" w:eastAsia="Palatino Linotype" w:hAnsi="Palatino Linotype" w:cs="Palatino Linotype"/>
          <w:b/>
          <w:sz w:val="28"/>
          <w:szCs w:val="28"/>
        </w:rPr>
        <w:t>SEGUNDO</w:t>
      </w:r>
      <w:r w:rsidRPr="00F058B9">
        <w:rPr>
          <w:rFonts w:ascii="Palatino Linotype" w:eastAsia="Palatino Linotype" w:hAnsi="Palatino Linotype" w:cs="Palatino Linotype"/>
          <w:b/>
        </w:rPr>
        <w:t xml:space="preserve">. Interés. </w:t>
      </w:r>
    </w:p>
    <w:p w14:paraId="140EB77A" w14:textId="77777777" w:rsidR="00B11D9D" w:rsidRPr="00F058B9" w:rsidRDefault="00CF0DAC">
      <w:pPr>
        <w:spacing w:line="360" w:lineRule="auto"/>
        <w:jc w:val="both"/>
        <w:rPr>
          <w:rFonts w:ascii="Palatino Linotype" w:eastAsia="Palatino Linotype" w:hAnsi="Palatino Linotype" w:cs="Palatino Linotype"/>
          <w:color w:val="000000"/>
        </w:rPr>
      </w:pPr>
      <w:r w:rsidRPr="00F058B9">
        <w:rPr>
          <w:rFonts w:ascii="Palatino Linotype" w:eastAsia="Palatino Linotype" w:hAnsi="Palatino Linotype" w:cs="Palatino Linotype"/>
        </w:rPr>
        <w:t>El</w:t>
      </w:r>
      <w:r w:rsidRPr="00F058B9">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F058B9">
        <w:rPr>
          <w:rFonts w:ascii="Palatino Linotype" w:eastAsia="Palatino Linotype" w:hAnsi="Palatino Linotype" w:cs="Palatino Linotype"/>
          <w:b/>
        </w:rPr>
        <w:t>EL</w:t>
      </w:r>
      <w:r w:rsidRPr="00F058B9">
        <w:rPr>
          <w:rFonts w:ascii="Palatino Linotype" w:eastAsia="Palatino Linotype" w:hAnsi="Palatino Linotype" w:cs="Palatino Linotype"/>
          <w:b/>
          <w:color w:val="000000"/>
        </w:rPr>
        <w:t xml:space="preserve"> RECURRENTE,</w:t>
      </w:r>
      <w:r w:rsidRPr="00F058B9">
        <w:rPr>
          <w:rFonts w:ascii="Palatino Linotype" w:eastAsia="Palatino Linotype" w:hAnsi="Palatino Linotype" w:cs="Palatino Linotype"/>
          <w:color w:val="000000"/>
        </w:rPr>
        <w:t xml:space="preserve"> quien es la misma persona que formuló la solicitud de acceso a la información pública al </w:t>
      </w:r>
      <w:r w:rsidRPr="00F058B9">
        <w:rPr>
          <w:rFonts w:ascii="Palatino Linotype" w:eastAsia="Palatino Linotype" w:hAnsi="Palatino Linotype" w:cs="Palatino Linotype"/>
          <w:b/>
          <w:color w:val="000000"/>
        </w:rPr>
        <w:t xml:space="preserve">SUJETO OBLIGADO, </w:t>
      </w:r>
      <w:r w:rsidRPr="00F058B9">
        <w:rPr>
          <w:rFonts w:ascii="Palatino Linotype" w:eastAsia="Palatino Linotype" w:hAnsi="Palatino Linotype" w:cs="Palatino Linotype"/>
          <w:color w:val="000000"/>
        </w:rPr>
        <w:t xml:space="preserve">pues para ello, es necesario que el particular ingrese al </w:t>
      </w:r>
      <w:r w:rsidRPr="00F058B9">
        <w:rPr>
          <w:rFonts w:ascii="Palatino Linotype" w:eastAsia="Palatino Linotype" w:hAnsi="Palatino Linotype" w:cs="Palatino Linotype"/>
          <w:b/>
          <w:color w:val="000000"/>
        </w:rPr>
        <w:t xml:space="preserve">SAIMEX </w:t>
      </w:r>
      <w:r w:rsidRPr="00F058B9">
        <w:rPr>
          <w:rFonts w:ascii="Palatino Linotype" w:eastAsia="Palatino Linotype" w:hAnsi="Palatino Linotype" w:cs="Palatino Linotype"/>
          <w:color w:val="000000"/>
        </w:rPr>
        <w:t>mediante la utilización de su clave de usuario y contraseña.</w:t>
      </w:r>
    </w:p>
    <w:p w14:paraId="13A16EEE" w14:textId="77777777" w:rsidR="00791B78" w:rsidRPr="00F058B9" w:rsidRDefault="00791B78">
      <w:pPr>
        <w:spacing w:line="360" w:lineRule="auto"/>
        <w:jc w:val="both"/>
        <w:rPr>
          <w:rFonts w:ascii="Palatino Linotype" w:eastAsia="Palatino Linotype" w:hAnsi="Palatino Linotype" w:cs="Palatino Linotype"/>
          <w:color w:val="000000"/>
        </w:rPr>
      </w:pPr>
    </w:p>
    <w:p w14:paraId="33296F5D" w14:textId="77777777" w:rsidR="00B11D9D" w:rsidRPr="00F058B9" w:rsidRDefault="00B11D9D">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7A20086" w14:textId="77777777" w:rsidR="00B11D9D" w:rsidRPr="00F058B9" w:rsidRDefault="00CF0DAC">
      <w:pPr>
        <w:tabs>
          <w:tab w:val="center" w:pos="4252"/>
          <w:tab w:val="right" w:pos="8504"/>
        </w:tabs>
        <w:spacing w:line="360" w:lineRule="auto"/>
        <w:ind w:left="-57"/>
        <w:jc w:val="both"/>
        <w:rPr>
          <w:rFonts w:ascii="Palatino Linotype" w:eastAsia="Palatino Linotype" w:hAnsi="Palatino Linotype" w:cs="Palatino Linotype"/>
          <w:color w:val="000000"/>
        </w:rPr>
      </w:pPr>
      <w:r w:rsidRPr="00F058B9">
        <w:rPr>
          <w:rFonts w:ascii="Palatino Linotype" w:eastAsia="Palatino Linotype" w:hAnsi="Palatino Linotype" w:cs="Palatino Linotype"/>
          <w:b/>
          <w:sz w:val="28"/>
          <w:szCs w:val="28"/>
        </w:rPr>
        <w:lastRenderedPageBreak/>
        <w:t>TERCERO.</w:t>
      </w:r>
      <w:r w:rsidRPr="00F058B9">
        <w:rPr>
          <w:rFonts w:ascii="Palatino Linotype" w:eastAsia="Palatino Linotype" w:hAnsi="Palatino Linotype" w:cs="Palatino Linotype"/>
        </w:rPr>
        <w:t xml:space="preserve"> </w:t>
      </w:r>
      <w:r w:rsidRPr="00F058B9">
        <w:rPr>
          <w:rFonts w:ascii="Palatino Linotype" w:eastAsia="Palatino Linotype" w:hAnsi="Palatino Linotype" w:cs="Palatino Linotype"/>
          <w:b/>
          <w:color w:val="000000"/>
        </w:rPr>
        <w:t>Oportunidad</w:t>
      </w:r>
      <w:r w:rsidRPr="00F058B9">
        <w:rPr>
          <w:rFonts w:ascii="Palatino Linotype" w:eastAsia="Palatino Linotype" w:hAnsi="Palatino Linotype" w:cs="Palatino Linotype"/>
          <w:color w:val="000000"/>
        </w:rPr>
        <w:t xml:space="preserve">. </w:t>
      </w:r>
    </w:p>
    <w:p w14:paraId="7CFB084A" w14:textId="77777777" w:rsidR="00B11D9D" w:rsidRPr="00F058B9" w:rsidRDefault="00CF0DAC">
      <w:pPr>
        <w:widowControl w:val="0"/>
        <w:tabs>
          <w:tab w:val="left" w:pos="1701"/>
        </w:tabs>
        <w:spacing w:line="360" w:lineRule="auto"/>
        <w:ind w:right="49"/>
        <w:jc w:val="both"/>
        <w:rPr>
          <w:rFonts w:ascii="Palatino Linotype" w:eastAsia="Palatino Linotype" w:hAnsi="Palatino Linotype" w:cs="Palatino Linotype"/>
          <w:b/>
        </w:rPr>
      </w:pPr>
      <w:r w:rsidRPr="00F058B9">
        <w:rPr>
          <w:rFonts w:ascii="Palatino Linotype" w:eastAsia="Palatino Linotype" w:hAnsi="Palatino Linotype" w:cs="Palatino Linotype"/>
        </w:rPr>
        <w:t xml:space="preserve">El Recurso de Revisión fue interpuesto dentro del plazo de quince días hábiles, contados a partir del día siguiente al que </w:t>
      </w:r>
      <w:r w:rsidRPr="00F058B9">
        <w:rPr>
          <w:rFonts w:ascii="Palatino Linotype" w:eastAsia="Palatino Linotype" w:hAnsi="Palatino Linotype" w:cs="Palatino Linotype"/>
          <w:b/>
        </w:rPr>
        <w:t xml:space="preserve">EL RECURRENTE </w:t>
      </w:r>
      <w:r w:rsidRPr="00F058B9">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57A0980" w14:textId="77777777" w:rsidR="00B11D9D" w:rsidRPr="00F058B9" w:rsidRDefault="00B11D9D">
      <w:pPr>
        <w:ind w:left="720" w:right="709"/>
        <w:jc w:val="both"/>
        <w:rPr>
          <w:rFonts w:ascii="Palatino Linotype" w:eastAsia="Palatino Linotype" w:hAnsi="Palatino Linotype" w:cs="Palatino Linotype"/>
          <w:i/>
          <w:sz w:val="22"/>
          <w:szCs w:val="22"/>
        </w:rPr>
      </w:pPr>
    </w:p>
    <w:p w14:paraId="75CB4ED6" w14:textId="77777777" w:rsidR="00B11D9D" w:rsidRPr="00F058B9" w:rsidRDefault="00CF0DAC">
      <w:pPr>
        <w:ind w:left="851"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w:t>
      </w:r>
      <w:r w:rsidRPr="00F058B9">
        <w:rPr>
          <w:rFonts w:ascii="Palatino Linotype" w:eastAsia="Palatino Linotype" w:hAnsi="Palatino Linotype" w:cs="Palatino Linotype"/>
          <w:b/>
          <w:i/>
          <w:sz w:val="22"/>
          <w:szCs w:val="22"/>
        </w:rPr>
        <w:t>Artículo 178.</w:t>
      </w:r>
      <w:r w:rsidRPr="00F058B9">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39C51B2" w14:textId="77777777" w:rsidR="00B11D9D" w:rsidRPr="00F058B9" w:rsidRDefault="00B11D9D">
      <w:pPr>
        <w:ind w:left="851" w:right="899"/>
        <w:jc w:val="both"/>
        <w:rPr>
          <w:rFonts w:ascii="Palatino Linotype" w:eastAsia="Palatino Linotype" w:hAnsi="Palatino Linotype" w:cs="Palatino Linotype"/>
          <w:i/>
          <w:sz w:val="22"/>
          <w:szCs w:val="22"/>
        </w:rPr>
      </w:pPr>
    </w:p>
    <w:p w14:paraId="6EF6C725" w14:textId="77777777" w:rsidR="00B11D9D" w:rsidRPr="00F058B9" w:rsidRDefault="00CF0DAC">
      <w:pPr>
        <w:ind w:left="851"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C42BA19" w14:textId="77777777" w:rsidR="00B11D9D" w:rsidRPr="00F058B9" w:rsidRDefault="00B11D9D">
      <w:pPr>
        <w:ind w:left="851" w:right="899"/>
        <w:jc w:val="both"/>
        <w:rPr>
          <w:rFonts w:ascii="Palatino Linotype" w:eastAsia="Palatino Linotype" w:hAnsi="Palatino Linotype" w:cs="Palatino Linotype"/>
          <w:i/>
          <w:sz w:val="22"/>
          <w:szCs w:val="22"/>
        </w:rPr>
      </w:pPr>
    </w:p>
    <w:p w14:paraId="76EA1B09" w14:textId="77777777" w:rsidR="00B11D9D" w:rsidRPr="00F058B9" w:rsidRDefault="00CF0DAC">
      <w:pPr>
        <w:ind w:left="851"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0E1C0CD4" w14:textId="77777777" w:rsidR="00B11D9D" w:rsidRPr="00F058B9" w:rsidRDefault="00B11D9D">
      <w:pPr>
        <w:ind w:left="720" w:right="709"/>
        <w:jc w:val="both"/>
        <w:rPr>
          <w:rFonts w:ascii="Palatino Linotype" w:eastAsia="Palatino Linotype" w:hAnsi="Palatino Linotype" w:cs="Palatino Linotype"/>
          <w:i/>
          <w:sz w:val="22"/>
          <w:szCs w:val="22"/>
        </w:rPr>
      </w:pPr>
    </w:p>
    <w:p w14:paraId="6524CB7F" w14:textId="5491A302" w:rsidR="00B11D9D" w:rsidRPr="00F058B9" w:rsidRDefault="00CF0DAC">
      <w:pPr>
        <w:spacing w:line="360" w:lineRule="auto"/>
        <w:jc w:val="both"/>
        <w:rPr>
          <w:rFonts w:ascii="Palatino Linotype" w:eastAsia="Palatino Linotype" w:hAnsi="Palatino Linotype" w:cs="Palatino Linotype"/>
        </w:rPr>
      </w:pPr>
      <w:bookmarkStart w:id="3" w:name="_heading=h.2et92p0" w:colFirst="0" w:colLast="0"/>
      <w:bookmarkEnd w:id="3"/>
      <w:r w:rsidRPr="00F058B9">
        <w:rPr>
          <w:rFonts w:ascii="Palatino Linotype" w:eastAsia="Palatino Linotype" w:hAnsi="Palatino Linotype" w:cs="Palatino Linotype"/>
        </w:rPr>
        <w:t xml:space="preserve">En esa tesitura, atendiendo a que </w:t>
      </w:r>
      <w:r w:rsidRPr="00F058B9">
        <w:rPr>
          <w:rFonts w:ascii="Palatino Linotype" w:eastAsia="Palatino Linotype" w:hAnsi="Palatino Linotype" w:cs="Palatino Linotype"/>
          <w:b/>
        </w:rPr>
        <w:t>EL SUJETO OBLIGADO</w:t>
      </w:r>
      <w:r w:rsidRPr="00F058B9">
        <w:rPr>
          <w:rFonts w:ascii="Palatino Linotype" w:eastAsia="Palatino Linotype" w:hAnsi="Palatino Linotype" w:cs="Palatino Linotype"/>
        </w:rPr>
        <w:t xml:space="preserve"> notificó la respuesta a la solicitud de acceso a la información pública el día</w:t>
      </w:r>
      <w:r w:rsidRPr="00F058B9">
        <w:rPr>
          <w:rFonts w:ascii="Palatino Linotype" w:eastAsia="Palatino Linotype" w:hAnsi="Palatino Linotype" w:cs="Palatino Linotype"/>
          <w:b/>
        </w:rPr>
        <w:t xml:space="preserve"> cinco de abril de dos mil veintidós</w:t>
      </w:r>
      <w:r w:rsidRPr="00F058B9">
        <w:rPr>
          <w:rFonts w:ascii="Palatino Linotype" w:eastAsia="Palatino Linotype" w:hAnsi="Palatino Linotype" w:cs="Palatino Linotype"/>
        </w:rPr>
        <w:t xml:space="preserve">; así, el plazo de quince días hábiles que el artículo 178 de la Ley de la materia otorga al </w:t>
      </w:r>
      <w:r w:rsidRPr="00F058B9">
        <w:rPr>
          <w:rFonts w:ascii="Palatino Linotype" w:eastAsia="Palatino Linotype" w:hAnsi="Palatino Linotype" w:cs="Palatino Linotype"/>
          <w:b/>
        </w:rPr>
        <w:t xml:space="preserve"> RECURRENTE</w:t>
      </w:r>
      <w:r w:rsidRPr="00F058B9">
        <w:rPr>
          <w:rFonts w:ascii="Palatino Linotype" w:eastAsia="Palatino Linotype" w:hAnsi="Palatino Linotype" w:cs="Palatino Linotype"/>
        </w:rPr>
        <w:t xml:space="preserve"> para presentar el respectivo Recurso de Revisión, transcurrió del</w:t>
      </w:r>
      <w:r w:rsidRPr="00F058B9">
        <w:rPr>
          <w:rFonts w:ascii="Palatino Linotype" w:eastAsia="Palatino Linotype" w:hAnsi="Palatino Linotype" w:cs="Palatino Linotype"/>
          <w:b/>
        </w:rPr>
        <w:t xml:space="preserve"> seis de abril al tres de mayo  de dos mil veintidós, </w:t>
      </w:r>
      <w:r w:rsidRPr="00F058B9">
        <w:rPr>
          <w:rFonts w:ascii="Palatino Linotype" w:eastAsia="Palatino Linotype" w:hAnsi="Palatino Linotype" w:cs="Palatino Linotype"/>
        </w:rPr>
        <w:t xml:space="preserve">sin contemplar en el cómputo los días dos, tres, nueve, diez, dieciséis, diecisiete, veintitrés, veinticuatro y treinta de abril, así como el uno de mayo de dos mil veintidós por corresponder a sábados y domingos, considerados como días inhábiles, en términos del artículo 3, fracción X de la Ley de </w:t>
      </w:r>
      <w:r w:rsidRPr="00F058B9">
        <w:rPr>
          <w:rFonts w:ascii="Palatino Linotype" w:eastAsia="Palatino Linotype" w:hAnsi="Palatino Linotype" w:cs="Palatino Linotype"/>
        </w:rPr>
        <w:lastRenderedPageBreak/>
        <w:t xml:space="preserve">Transparencia y Acceso a la Información Pública del Estado de México y Municipios. Exceptuando además de dicho plazo el periodo del once al quince de abril por ser considerados como </w:t>
      </w:r>
      <w:r w:rsidR="00F058B9" w:rsidRPr="00F058B9">
        <w:rPr>
          <w:rFonts w:ascii="Palatino Linotype" w:eastAsia="Palatino Linotype" w:hAnsi="Palatino Linotype" w:cs="Palatino Linotype"/>
        </w:rPr>
        <w:t>días inhábiles</w:t>
      </w:r>
      <w:r w:rsidRPr="00F058B9">
        <w:rPr>
          <w:rFonts w:ascii="Palatino Linotype" w:eastAsia="Palatino Linotype" w:hAnsi="Palatino Linotype" w:cs="Palatino Linotype"/>
        </w:rPr>
        <w:t xml:space="preserve"> por periodo vacacional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F058B9">
        <w:rPr>
          <w:rFonts w:ascii="Palatino Linotype" w:eastAsia="Palatino Linotype" w:hAnsi="Palatino Linotype" w:cs="Palatino Linotype"/>
          <w:vertAlign w:val="superscript"/>
        </w:rPr>
        <w:footnoteReference w:id="1"/>
      </w:r>
      <w:r w:rsidRPr="00F058B9">
        <w:rPr>
          <w:rFonts w:ascii="Palatino Linotype" w:eastAsia="Palatino Linotype" w:hAnsi="Palatino Linotype" w:cs="Palatino Linotype"/>
        </w:rPr>
        <w:t>.</w:t>
      </w:r>
    </w:p>
    <w:p w14:paraId="4F9FC6F7" w14:textId="77777777" w:rsidR="00B11D9D" w:rsidRPr="00F058B9" w:rsidRDefault="00B11D9D">
      <w:pPr>
        <w:spacing w:line="360" w:lineRule="auto"/>
        <w:jc w:val="both"/>
        <w:rPr>
          <w:rFonts w:ascii="Palatino Linotype" w:eastAsia="Palatino Linotype" w:hAnsi="Palatino Linotype" w:cs="Palatino Linotype"/>
        </w:rPr>
      </w:pPr>
      <w:bookmarkStart w:id="4" w:name="_heading=h.orkc3o7h9xbv" w:colFirst="0" w:colLast="0"/>
      <w:bookmarkEnd w:id="4"/>
    </w:p>
    <w:p w14:paraId="3FA0C6ED" w14:textId="77777777" w:rsidR="00B11D9D" w:rsidRPr="00F058B9" w:rsidRDefault="00CF0DAC">
      <w:pPr>
        <w:spacing w:line="360" w:lineRule="auto"/>
        <w:ind w:left="-5" w:hanging="10"/>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En ese tenor, se advierte que </w:t>
      </w:r>
      <w:r w:rsidRPr="00F058B9">
        <w:rPr>
          <w:rFonts w:ascii="Palatino Linotype" w:eastAsia="Palatino Linotype" w:hAnsi="Palatino Linotype" w:cs="Palatino Linotype"/>
          <w:b/>
        </w:rPr>
        <w:t>EL RECURRENTE</w:t>
      </w:r>
      <w:r w:rsidRPr="00F058B9">
        <w:rPr>
          <w:rFonts w:ascii="Palatino Linotype" w:eastAsia="Palatino Linotype" w:hAnsi="Palatino Linotype" w:cs="Palatino Linotype"/>
        </w:rPr>
        <w:t xml:space="preserve"> presentó el medio de impugnación, el mismo día en que se le notificó las respuesta impugnada; no obstante lo anterior, ello no implica que su interposición sea extemporánea, es decir, fuera del plazo señalado para tales efectos, en razón de que el artículo 178, de la Ley de Transparencia y Acceso a la Información Pública del Estado de México y Municipios, establece que el Recurso de Revisión se promueve </w:t>
      </w:r>
      <w:r w:rsidRPr="00F058B9">
        <w:rPr>
          <w:rFonts w:ascii="Palatino Linotype" w:eastAsia="Palatino Linotype" w:hAnsi="Palatino Linotype" w:cs="Palatino Linotype"/>
          <w:b/>
          <w:u w:val="single"/>
        </w:rPr>
        <w:t>dentro</w:t>
      </w:r>
      <w:r w:rsidRPr="00F058B9">
        <w:rPr>
          <w:rFonts w:ascii="Palatino Linotype" w:eastAsia="Palatino Linotype" w:hAnsi="Palatino Linotype" w:cs="Palatino Linotype"/>
        </w:rPr>
        <w:t xml:space="preserve"> de los quince días hábiles siguientes en que </w:t>
      </w:r>
      <w:r w:rsidRPr="00F058B9">
        <w:rPr>
          <w:rFonts w:ascii="Palatino Linotype" w:eastAsia="Palatino Linotype" w:hAnsi="Palatino Linotype" w:cs="Palatino Linotype"/>
          <w:b/>
        </w:rPr>
        <w:t>EL RECURRENTE</w:t>
      </w:r>
      <w:r w:rsidRPr="00F058B9">
        <w:rPr>
          <w:rFonts w:ascii="Palatino Linotype" w:eastAsia="Palatino Linotype" w:hAnsi="Palatino Linotype" w:cs="Palatino Linotype"/>
        </w:rPr>
        <w:t xml:space="preserve"> tenga conocimiento de la respuesta impugnada, no limita a los particulares para que lo puedan presentar </w:t>
      </w:r>
      <w:r w:rsidRPr="00F058B9">
        <w:rPr>
          <w:rFonts w:ascii="Palatino Linotype" w:eastAsia="Palatino Linotype" w:hAnsi="Palatino Linotype" w:cs="Palatino Linotype"/>
          <w:b/>
        </w:rPr>
        <w:t>el mismo día</w:t>
      </w:r>
      <w:r w:rsidRPr="00F058B9">
        <w:rPr>
          <w:rFonts w:ascii="Palatino Linotype" w:eastAsia="Palatino Linotype" w:hAnsi="Palatino Linotype" w:cs="Palatino Linotype"/>
        </w:rPr>
        <w:t xml:space="preserve"> en que le sea notificada dicha respuesta.</w:t>
      </w:r>
    </w:p>
    <w:p w14:paraId="15FC39BB" w14:textId="77777777" w:rsidR="00B11D9D" w:rsidRPr="00F058B9" w:rsidRDefault="00B11D9D">
      <w:pPr>
        <w:spacing w:line="360" w:lineRule="auto"/>
        <w:jc w:val="both"/>
      </w:pPr>
    </w:p>
    <w:p w14:paraId="083F874A" w14:textId="77777777" w:rsidR="00B11D9D" w:rsidRPr="00F058B9" w:rsidRDefault="00CF0DAC">
      <w:pPr>
        <w:spacing w:line="360" w:lineRule="auto"/>
        <w:jc w:val="both"/>
      </w:pPr>
      <w:r w:rsidRPr="00F058B9">
        <w:rPr>
          <w:rFonts w:ascii="Palatino Linotype" w:eastAsia="Palatino Linotype" w:hAnsi="Palatino Linotype" w:cs="Palatino Linotype"/>
        </w:rPr>
        <w:t xml:space="preserve">En apoyo a lo anterior, resulta aplicable por analogía la Jurisprudencia número 1a./J. 41/2015 (10a.), Décima Época, sustentada por la Primera Sala de la Suprema Corte de </w:t>
      </w:r>
      <w:r w:rsidRPr="00F058B9">
        <w:rPr>
          <w:rFonts w:ascii="Palatino Linotype" w:eastAsia="Palatino Linotype" w:hAnsi="Palatino Linotype" w:cs="Palatino Linotype"/>
        </w:rPr>
        <w:lastRenderedPageBreak/>
        <w:t>Justicia de la Nación, visible en la página 569, libro 19, tomo I, del Semanario Judicial de la Federación y su de la Gaceta de junio de 2015, cuyo rubro y texto esgrimen:</w:t>
      </w:r>
    </w:p>
    <w:p w14:paraId="0835D8E2" w14:textId="77777777" w:rsidR="00B11D9D" w:rsidRPr="00F058B9" w:rsidRDefault="00B11D9D">
      <w:pPr>
        <w:ind w:left="709" w:right="709"/>
        <w:jc w:val="both"/>
        <w:rPr>
          <w:rFonts w:ascii="Palatino Linotype" w:eastAsia="Palatino Linotype" w:hAnsi="Palatino Linotype" w:cs="Palatino Linotype"/>
          <w:i/>
          <w:sz w:val="22"/>
          <w:szCs w:val="22"/>
        </w:rPr>
      </w:pPr>
    </w:p>
    <w:p w14:paraId="14CE1605" w14:textId="77777777" w:rsidR="00B11D9D" w:rsidRPr="00F058B9" w:rsidRDefault="00CF0DAC">
      <w:pPr>
        <w:ind w:left="709" w:right="709"/>
        <w:jc w:val="both"/>
      </w:pPr>
      <w:r w:rsidRPr="00F058B9">
        <w:rPr>
          <w:rFonts w:ascii="Palatino Linotype" w:eastAsia="Palatino Linotype" w:hAnsi="Palatino Linotype" w:cs="Palatino Linotype"/>
          <w:i/>
          <w:sz w:val="22"/>
          <w:szCs w:val="22"/>
        </w:rPr>
        <w:t>“</w:t>
      </w:r>
      <w:r w:rsidRPr="00F058B9">
        <w:rPr>
          <w:rFonts w:ascii="Palatino Linotype" w:eastAsia="Palatino Linotype" w:hAnsi="Palatino Linotype" w:cs="Palatino Linotype"/>
          <w:b/>
          <w:i/>
          <w:sz w:val="22"/>
          <w:szCs w:val="22"/>
        </w:rPr>
        <w:t xml:space="preserve">RECURSO DE RECLAMACIÓN. SU INTERPOSICIÓN NO ES EXTEMPORÁNEA SI SE REALIZA ANTES DE QUE INICIE EL PLAZO PARA HACERLO. </w:t>
      </w:r>
      <w:r w:rsidRPr="00F058B9">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RPr="00F058B9">
        <w:t xml:space="preserve"> </w:t>
      </w:r>
    </w:p>
    <w:p w14:paraId="412F6EF8" w14:textId="77777777" w:rsidR="00B11D9D" w:rsidRPr="00F058B9" w:rsidRDefault="00B11D9D">
      <w:pPr>
        <w:ind w:left="709" w:right="709"/>
        <w:jc w:val="both"/>
      </w:pPr>
    </w:p>
    <w:p w14:paraId="53C0FFED"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Dicha tesis establece que si bien, los artículos contemplan un plazo, este debe ser entendido en el sentido de que la presentación del recurso no debe hacerse después de la cantidad de días contemplados, pero no debe limitarse la presentación si esta se hace antes de que comiencen a contar los días indicados en la ley. </w:t>
      </w:r>
    </w:p>
    <w:p w14:paraId="2E270D27" w14:textId="77777777" w:rsidR="00B11D9D" w:rsidRPr="00F058B9" w:rsidRDefault="00B11D9D">
      <w:pPr>
        <w:spacing w:line="360" w:lineRule="auto"/>
        <w:ind w:right="49"/>
        <w:jc w:val="both"/>
        <w:rPr>
          <w:rFonts w:ascii="Palatino Linotype" w:eastAsia="Palatino Linotype" w:hAnsi="Palatino Linotype" w:cs="Palatino Linotype"/>
        </w:rPr>
      </w:pPr>
    </w:p>
    <w:p w14:paraId="2B3053C8" w14:textId="77777777" w:rsidR="00B11D9D" w:rsidRPr="00F058B9" w:rsidRDefault="00CF0DAC">
      <w:pPr>
        <w:spacing w:line="360" w:lineRule="auto"/>
        <w:ind w:right="49"/>
        <w:jc w:val="both"/>
        <w:rPr>
          <w:sz w:val="28"/>
          <w:szCs w:val="28"/>
        </w:rPr>
      </w:pPr>
      <w:r w:rsidRPr="00F058B9">
        <w:rPr>
          <w:rFonts w:ascii="Palatino Linotype" w:eastAsia="Palatino Linotype" w:hAnsi="Palatino Linotype" w:cs="Palatino Linotype"/>
        </w:rPr>
        <w:t xml:space="preserve">Por ello, al haber interpuesto el recurso materia de este análisis el mismo día de la notificación de la respuesta del </w:t>
      </w:r>
      <w:r w:rsidRPr="00F058B9">
        <w:rPr>
          <w:rFonts w:ascii="Palatino Linotype" w:eastAsia="Palatino Linotype" w:hAnsi="Palatino Linotype" w:cs="Palatino Linotype"/>
          <w:b/>
        </w:rPr>
        <w:t>SUJETO OBLIGADO</w:t>
      </w:r>
      <w:r w:rsidRPr="00F058B9">
        <w:rPr>
          <w:rFonts w:ascii="Palatino Linotype" w:eastAsia="Palatino Linotype" w:hAnsi="Palatino Linotype" w:cs="Palatino Linotype"/>
        </w:rPr>
        <w:t xml:space="preserve"> debe considerarse en tiempo. </w:t>
      </w:r>
    </w:p>
    <w:p w14:paraId="780AE57C" w14:textId="77777777" w:rsidR="00B11D9D" w:rsidRPr="00F058B9" w:rsidRDefault="00B11D9D">
      <w:pPr>
        <w:spacing w:line="360" w:lineRule="auto"/>
        <w:ind w:left="-5" w:hanging="10"/>
        <w:jc w:val="both"/>
        <w:rPr>
          <w:rFonts w:ascii="Palatino Linotype" w:eastAsia="Palatino Linotype" w:hAnsi="Palatino Linotype" w:cs="Palatino Linotype"/>
        </w:rPr>
      </w:pPr>
    </w:p>
    <w:p w14:paraId="5512D156" w14:textId="77777777" w:rsidR="00B11D9D" w:rsidRPr="00F058B9" w:rsidRDefault="00CF0DAC">
      <w:pPr>
        <w:spacing w:line="360" w:lineRule="auto"/>
        <w:ind w:right="49"/>
        <w:jc w:val="both"/>
        <w:rPr>
          <w:rFonts w:ascii="Palatino Linotype" w:eastAsia="Palatino Linotype" w:hAnsi="Palatino Linotype" w:cs="Palatino Linotype"/>
          <w:b/>
        </w:rPr>
      </w:pPr>
      <w:r w:rsidRPr="00F058B9">
        <w:rPr>
          <w:rFonts w:ascii="Palatino Linotype" w:eastAsia="Palatino Linotype" w:hAnsi="Palatino Linotype" w:cs="Palatino Linotype"/>
          <w:b/>
          <w:sz w:val="28"/>
          <w:szCs w:val="28"/>
        </w:rPr>
        <w:t>CUARTO</w:t>
      </w:r>
      <w:r w:rsidRPr="00F058B9">
        <w:rPr>
          <w:rFonts w:ascii="Palatino Linotype" w:eastAsia="Palatino Linotype" w:hAnsi="Palatino Linotype" w:cs="Palatino Linotype"/>
          <w:b/>
        </w:rPr>
        <w:t xml:space="preserve">. Procedibilidad. </w:t>
      </w:r>
    </w:p>
    <w:p w14:paraId="4DF5C3DB"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68678CCF" w14:textId="77777777" w:rsidR="00B11D9D" w:rsidRPr="00F058B9" w:rsidRDefault="00B11D9D">
      <w:pPr>
        <w:ind w:right="49"/>
        <w:jc w:val="both"/>
        <w:rPr>
          <w:rFonts w:ascii="Palatino Linotype" w:eastAsia="Palatino Linotype" w:hAnsi="Palatino Linotype" w:cs="Palatino Linotype"/>
        </w:rPr>
      </w:pPr>
    </w:p>
    <w:p w14:paraId="6791E2C0" w14:textId="77777777" w:rsidR="00B11D9D" w:rsidRPr="00F058B9" w:rsidRDefault="00CF0DAC">
      <w:pPr>
        <w:tabs>
          <w:tab w:val="left" w:pos="851"/>
        </w:tabs>
        <w:ind w:left="851" w:right="901"/>
        <w:jc w:val="both"/>
        <w:rPr>
          <w:rFonts w:ascii="Palatino Linotype" w:eastAsia="Palatino Linotype" w:hAnsi="Palatino Linotype" w:cs="Palatino Linotype"/>
          <w:b/>
          <w:i/>
          <w:sz w:val="22"/>
          <w:szCs w:val="22"/>
        </w:rPr>
      </w:pPr>
      <w:r w:rsidRPr="00F058B9">
        <w:rPr>
          <w:rFonts w:ascii="Palatino Linotype" w:eastAsia="Palatino Linotype" w:hAnsi="Palatino Linotype" w:cs="Palatino Linotype"/>
          <w:b/>
          <w:i/>
          <w:sz w:val="22"/>
          <w:szCs w:val="22"/>
        </w:rPr>
        <w:t xml:space="preserve">“Artículo 180. </w:t>
      </w:r>
      <w:r w:rsidRPr="00F058B9">
        <w:rPr>
          <w:rFonts w:ascii="Palatino Linotype" w:eastAsia="Palatino Linotype" w:hAnsi="Palatino Linotype" w:cs="Palatino Linotype"/>
          <w:i/>
          <w:sz w:val="22"/>
          <w:szCs w:val="22"/>
        </w:rPr>
        <w:t>El Recurso de Revisión contendrá:</w:t>
      </w:r>
      <w:r w:rsidRPr="00F058B9">
        <w:rPr>
          <w:rFonts w:ascii="Palatino Linotype" w:eastAsia="Palatino Linotype" w:hAnsi="Palatino Linotype" w:cs="Palatino Linotype"/>
          <w:b/>
          <w:i/>
          <w:sz w:val="22"/>
          <w:szCs w:val="22"/>
        </w:rPr>
        <w:t xml:space="preserve"> </w:t>
      </w:r>
    </w:p>
    <w:p w14:paraId="62B4BBC3" w14:textId="77777777" w:rsidR="00B11D9D" w:rsidRPr="00F058B9" w:rsidRDefault="00CF0DAC">
      <w:pPr>
        <w:tabs>
          <w:tab w:val="left" w:pos="851"/>
        </w:tabs>
        <w:ind w:left="851" w:right="901"/>
        <w:jc w:val="both"/>
        <w:rPr>
          <w:rFonts w:ascii="Palatino Linotype" w:eastAsia="Palatino Linotype" w:hAnsi="Palatino Linotype" w:cs="Palatino Linotype"/>
          <w:b/>
          <w:i/>
          <w:sz w:val="22"/>
          <w:szCs w:val="22"/>
        </w:rPr>
      </w:pPr>
      <w:r w:rsidRPr="00F058B9">
        <w:rPr>
          <w:rFonts w:ascii="Palatino Linotype" w:eastAsia="Palatino Linotype" w:hAnsi="Palatino Linotype" w:cs="Palatino Linotype"/>
          <w:b/>
          <w:i/>
          <w:sz w:val="22"/>
          <w:szCs w:val="22"/>
        </w:rPr>
        <w:t>…</w:t>
      </w:r>
    </w:p>
    <w:p w14:paraId="4A9403C7" w14:textId="77777777" w:rsidR="00B11D9D" w:rsidRPr="00F058B9" w:rsidRDefault="00CF0DAC">
      <w:pPr>
        <w:tabs>
          <w:tab w:val="left" w:pos="851"/>
        </w:tabs>
        <w:ind w:left="851" w:right="901"/>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 xml:space="preserve">II. El nombre del solicitante que recurre </w:t>
      </w:r>
      <w:r w:rsidRPr="00F058B9">
        <w:rPr>
          <w:rFonts w:ascii="Palatino Linotype" w:eastAsia="Palatino Linotype" w:hAnsi="Palatino Linotype" w:cs="Palatino Linotype"/>
          <w:i/>
          <w:sz w:val="22"/>
          <w:szCs w:val="22"/>
        </w:rPr>
        <w:t>o de su representante y, en su caso, …</w:t>
      </w:r>
    </w:p>
    <w:p w14:paraId="2B61BE43" w14:textId="77777777" w:rsidR="00B11D9D" w:rsidRPr="00F058B9" w:rsidRDefault="00CF0DAC">
      <w:pPr>
        <w:tabs>
          <w:tab w:val="left" w:pos="851"/>
        </w:tabs>
        <w:ind w:left="851" w:right="901"/>
        <w:jc w:val="both"/>
        <w:rPr>
          <w:rFonts w:ascii="Palatino Linotype" w:eastAsia="Palatino Linotype" w:hAnsi="Palatino Linotype" w:cs="Palatino Linotype"/>
          <w:b/>
          <w:i/>
          <w:sz w:val="22"/>
          <w:szCs w:val="22"/>
        </w:rPr>
      </w:pPr>
      <w:r w:rsidRPr="00F058B9">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F058B9">
        <w:rPr>
          <w:rFonts w:ascii="Palatino Linotype" w:eastAsia="Palatino Linotype" w:hAnsi="Palatino Linotype" w:cs="Palatino Linotype"/>
          <w:i/>
          <w:sz w:val="22"/>
          <w:szCs w:val="22"/>
        </w:rPr>
        <w:t>, IV, VII y VIII.</w:t>
      </w:r>
      <w:r w:rsidRPr="00F058B9">
        <w:rPr>
          <w:rFonts w:ascii="Palatino Linotype" w:eastAsia="Palatino Linotype" w:hAnsi="Palatino Linotype" w:cs="Palatino Linotype"/>
          <w:b/>
          <w:i/>
          <w:sz w:val="22"/>
          <w:szCs w:val="22"/>
        </w:rPr>
        <w:t>”</w:t>
      </w:r>
    </w:p>
    <w:p w14:paraId="5FCCE96E" w14:textId="77777777" w:rsidR="00B11D9D" w:rsidRPr="00F058B9" w:rsidRDefault="00CF0DAC">
      <w:pPr>
        <w:tabs>
          <w:tab w:val="left" w:pos="851"/>
        </w:tabs>
        <w:ind w:left="851" w:right="901"/>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(Énfasis añadido)</w:t>
      </w:r>
    </w:p>
    <w:p w14:paraId="5323F9AD" w14:textId="77777777" w:rsidR="00B11D9D" w:rsidRPr="00F058B9" w:rsidRDefault="00B11D9D">
      <w:pPr>
        <w:tabs>
          <w:tab w:val="left" w:pos="851"/>
        </w:tabs>
        <w:ind w:right="901"/>
        <w:jc w:val="both"/>
        <w:rPr>
          <w:rFonts w:ascii="Palatino Linotype" w:eastAsia="Palatino Linotype" w:hAnsi="Palatino Linotype" w:cs="Palatino Linotype"/>
          <w:i/>
          <w:sz w:val="22"/>
          <w:szCs w:val="22"/>
        </w:rPr>
      </w:pPr>
    </w:p>
    <w:p w14:paraId="262E3E16" w14:textId="77777777" w:rsidR="00B11D9D" w:rsidRPr="00F058B9" w:rsidRDefault="00CF0DAC">
      <w:pPr>
        <w:spacing w:line="360" w:lineRule="auto"/>
        <w:jc w:val="both"/>
        <w:rPr>
          <w:rFonts w:ascii="Palatino Linotype" w:eastAsia="Palatino Linotype" w:hAnsi="Palatino Linotype" w:cs="Palatino Linotype"/>
          <w:b/>
        </w:rPr>
      </w:pPr>
      <w:r w:rsidRPr="00F058B9">
        <w:rPr>
          <w:rFonts w:ascii="Palatino Linotype" w:eastAsia="Palatino Linotype" w:hAnsi="Palatino Linotype" w:cs="Palatino Linotype"/>
        </w:rPr>
        <w:t>Por lo que, derivado que el Recurso de Revisión materia del presente asunto, se interpuso de manera electrónica, no es necesario que contenga determinados requisitos, entre ellos, el nombre del</w:t>
      </w:r>
      <w:r w:rsidRPr="00F058B9">
        <w:rPr>
          <w:rFonts w:ascii="Palatino Linotype" w:eastAsia="Palatino Linotype" w:hAnsi="Palatino Linotype" w:cs="Palatino Linotype"/>
          <w:b/>
        </w:rPr>
        <w:t xml:space="preserve"> RECURRENTE;</w:t>
      </w:r>
      <w:r w:rsidRPr="00F058B9">
        <w:rPr>
          <w:rFonts w:ascii="Palatino Linotype" w:eastAsia="Palatino Linotype" w:hAnsi="Palatino Linotype" w:cs="Palatino Linotype"/>
        </w:rPr>
        <w:t xml:space="preserve"> por lo que, en el presente caso, al haber sido presentado el Recurso de Revisión vía </w:t>
      </w:r>
      <w:r w:rsidRPr="00F058B9">
        <w:rPr>
          <w:rFonts w:ascii="Palatino Linotype" w:eastAsia="Palatino Linotype" w:hAnsi="Palatino Linotype" w:cs="Palatino Linotype"/>
          <w:b/>
        </w:rPr>
        <w:t>SAIMEX</w:t>
      </w:r>
      <w:r w:rsidRPr="00F058B9">
        <w:rPr>
          <w:rFonts w:ascii="Palatino Linotype" w:eastAsia="Palatino Linotype" w:hAnsi="Palatino Linotype" w:cs="Palatino Linotype"/>
        </w:rPr>
        <w:t>, dicho requisito resulta innecesario.</w:t>
      </w:r>
    </w:p>
    <w:p w14:paraId="57109C78" w14:textId="77777777" w:rsidR="00B11D9D" w:rsidRPr="00F058B9" w:rsidRDefault="00B11D9D">
      <w:pPr>
        <w:spacing w:line="360" w:lineRule="auto"/>
        <w:jc w:val="both"/>
        <w:rPr>
          <w:rFonts w:ascii="Palatino Linotype" w:eastAsia="Palatino Linotype" w:hAnsi="Palatino Linotype" w:cs="Palatino Linotype"/>
        </w:rPr>
      </w:pPr>
    </w:p>
    <w:p w14:paraId="334F9690"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F058B9">
        <w:rPr>
          <w:rFonts w:ascii="Palatino Linotype" w:eastAsia="Palatino Linotype" w:hAnsi="Palatino Linotype" w:cs="Palatino Linotype"/>
          <w:b/>
          <w:u w:val="single"/>
        </w:rPr>
        <w:t xml:space="preserve">el nombre no es un requisito </w:t>
      </w:r>
      <w:r w:rsidRPr="00F058B9">
        <w:rPr>
          <w:rFonts w:ascii="Palatino Linotype" w:eastAsia="Palatino Linotype" w:hAnsi="Palatino Linotype" w:cs="Palatino Linotype"/>
          <w:b/>
          <w:i/>
          <w:u w:val="single"/>
        </w:rPr>
        <w:t>sine qua non</w:t>
      </w:r>
      <w:r w:rsidRPr="00F058B9">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F4FEC88" w14:textId="77777777" w:rsidR="00B11D9D" w:rsidRPr="00F058B9" w:rsidRDefault="00B11D9D">
      <w:pPr>
        <w:spacing w:line="360" w:lineRule="auto"/>
        <w:jc w:val="both"/>
        <w:rPr>
          <w:rFonts w:ascii="Palatino Linotype" w:eastAsia="Palatino Linotype" w:hAnsi="Palatino Linotype" w:cs="Palatino Linotype"/>
        </w:rPr>
      </w:pPr>
    </w:p>
    <w:p w14:paraId="0831C532" w14:textId="77777777" w:rsidR="00B11D9D" w:rsidRPr="00F058B9" w:rsidRDefault="00CF0DAC">
      <w:pPr>
        <w:spacing w:line="360" w:lineRule="auto"/>
        <w:jc w:val="both"/>
        <w:rPr>
          <w:rFonts w:ascii="Palatino Linotype" w:eastAsia="Palatino Linotype" w:hAnsi="Palatino Linotype" w:cs="Palatino Linotype"/>
          <w:sz w:val="22"/>
          <w:szCs w:val="22"/>
        </w:rPr>
      </w:pPr>
      <w:r w:rsidRPr="00F058B9">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trigésimo, </w:t>
      </w:r>
      <w:r w:rsidRPr="00F058B9">
        <w:rPr>
          <w:rFonts w:ascii="Palatino Linotype" w:eastAsia="Palatino Linotype" w:hAnsi="Palatino Linotype" w:cs="Palatino Linotype"/>
        </w:rPr>
        <w:lastRenderedPageBreak/>
        <w:t>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866D3F2" w14:textId="77777777" w:rsidR="00B11D9D" w:rsidRPr="00F058B9" w:rsidRDefault="00B11D9D">
      <w:pPr>
        <w:tabs>
          <w:tab w:val="left" w:pos="851"/>
        </w:tabs>
        <w:spacing w:line="360" w:lineRule="auto"/>
        <w:ind w:left="851" w:right="901"/>
        <w:jc w:val="both"/>
        <w:rPr>
          <w:rFonts w:ascii="Palatino Linotype" w:eastAsia="Palatino Linotype" w:hAnsi="Palatino Linotype" w:cs="Palatino Linotype"/>
          <w:sz w:val="22"/>
          <w:szCs w:val="22"/>
        </w:rPr>
      </w:pPr>
    </w:p>
    <w:p w14:paraId="1BDDE161"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Asimismo, se estima que el requisito relativo al nombre del </w:t>
      </w:r>
      <w:r w:rsidRPr="00F058B9">
        <w:rPr>
          <w:rFonts w:ascii="Palatino Linotype" w:eastAsia="Palatino Linotype" w:hAnsi="Palatino Linotype" w:cs="Palatino Linotype"/>
          <w:b/>
        </w:rPr>
        <w:t>RECURRENTE</w:t>
      </w:r>
      <w:r w:rsidRPr="00F058B9">
        <w:rPr>
          <w:rFonts w:ascii="Palatino Linotype" w:eastAsia="Palatino Linotype" w:hAnsi="Palatino Linotype" w:cs="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058B9">
        <w:rPr>
          <w:rFonts w:ascii="Palatino Linotype" w:eastAsia="Palatino Linotype" w:hAnsi="Palatino Linotype" w:cs="Palatino Linotype"/>
          <w:b/>
        </w:rPr>
        <w:t>EL RECURRENTE</w:t>
      </w:r>
      <w:r w:rsidRPr="00F058B9">
        <w:rPr>
          <w:rFonts w:ascii="Palatino Linotype" w:eastAsia="Palatino Linotype" w:hAnsi="Palatino Linotype" w:cs="Palatino Linotype"/>
        </w:rPr>
        <w:t xml:space="preserve"> es la misma persona que realizó la solicitud de acceso a la información pública que ahora se impugna.</w:t>
      </w:r>
    </w:p>
    <w:p w14:paraId="2A1C0076" w14:textId="77777777" w:rsidR="00B11D9D" w:rsidRPr="00F058B9" w:rsidRDefault="00B11D9D">
      <w:pPr>
        <w:tabs>
          <w:tab w:val="left" w:pos="851"/>
        </w:tabs>
        <w:spacing w:line="360" w:lineRule="auto"/>
        <w:ind w:left="851" w:right="901"/>
        <w:jc w:val="both"/>
        <w:rPr>
          <w:rFonts w:ascii="Palatino Linotype" w:eastAsia="Palatino Linotype" w:hAnsi="Palatino Linotype" w:cs="Palatino Linotype"/>
          <w:sz w:val="22"/>
          <w:szCs w:val="22"/>
        </w:rPr>
      </w:pPr>
    </w:p>
    <w:p w14:paraId="0F4A6784"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w:t>
      </w:r>
      <w:r w:rsidRPr="00F058B9">
        <w:rPr>
          <w:rFonts w:ascii="Palatino Linotype" w:eastAsia="Palatino Linotype" w:hAnsi="Palatino Linotype" w:cs="Palatino Linotype"/>
        </w:rPr>
        <w:lastRenderedPageBreak/>
        <w:t xml:space="preserve">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471F2B8" w14:textId="77777777" w:rsidR="00B11D9D" w:rsidRPr="00F058B9" w:rsidRDefault="00B11D9D">
      <w:pPr>
        <w:spacing w:line="360" w:lineRule="auto"/>
        <w:jc w:val="both"/>
        <w:rPr>
          <w:rFonts w:ascii="Palatino Linotype" w:eastAsia="Palatino Linotype" w:hAnsi="Palatino Linotype" w:cs="Palatino Linotype"/>
        </w:rPr>
      </w:pPr>
    </w:p>
    <w:p w14:paraId="1279466D" w14:textId="77777777" w:rsidR="00B11D9D" w:rsidRPr="00F058B9" w:rsidRDefault="00CF0DAC">
      <w:pPr>
        <w:spacing w:line="360" w:lineRule="auto"/>
        <w:jc w:val="both"/>
        <w:rPr>
          <w:rFonts w:ascii="Palatino Linotype" w:eastAsia="Palatino Linotype" w:hAnsi="Palatino Linotype" w:cs="Palatino Linotype"/>
          <w:b/>
        </w:rPr>
      </w:pPr>
      <w:r w:rsidRPr="00F058B9">
        <w:rPr>
          <w:rFonts w:ascii="Palatino Linotype" w:eastAsia="Palatino Linotype" w:hAnsi="Palatino Linotype" w:cs="Palatino Linotype"/>
          <w:b/>
          <w:sz w:val="28"/>
          <w:szCs w:val="28"/>
        </w:rPr>
        <w:t>QUINTO</w:t>
      </w:r>
      <w:r w:rsidRPr="00F058B9">
        <w:rPr>
          <w:rFonts w:ascii="Palatino Linotype" w:eastAsia="Palatino Linotype" w:hAnsi="Palatino Linotype" w:cs="Palatino Linotype"/>
          <w:b/>
        </w:rPr>
        <w:t xml:space="preserve">. Estudio y resolución del asunto. </w:t>
      </w:r>
    </w:p>
    <w:p w14:paraId="518F854F" w14:textId="77777777" w:rsidR="00B11D9D" w:rsidRPr="00F058B9" w:rsidRDefault="00CF0DAC">
      <w:pPr>
        <w:tabs>
          <w:tab w:val="left" w:pos="709"/>
        </w:tabs>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En primera instancia es importante precisar que, </w:t>
      </w:r>
      <w:r w:rsidRPr="00F058B9">
        <w:rPr>
          <w:rFonts w:ascii="Palatino Linotype" w:eastAsia="Palatino Linotype" w:hAnsi="Palatino Linotype" w:cs="Palatino Linotype"/>
          <w:b/>
        </w:rPr>
        <w:t>EL RECURRENTE</w:t>
      </w:r>
      <w:r w:rsidRPr="00F058B9">
        <w:rPr>
          <w:rFonts w:ascii="Palatino Linotype" w:eastAsia="Palatino Linotype" w:hAnsi="Palatino Linotype" w:cs="Palatino Linotype"/>
        </w:rPr>
        <w:t xml:space="preserve"> solicitó al </w:t>
      </w:r>
      <w:r w:rsidRPr="00F058B9">
        <w:rPr>
          <w:rFonts w:ascii="Palatino Linotype" w:eastAsia="Palatino Linotype" w:hAnsi="Palatino Linotype" w:cs="Palatino Linotype"/>
          <w:b/>
        </w:rPr>
        <w:t>SUJETO OBLIGADO</w:t>
      </w:r>
      <w:r w:rsidRPr="00F058B9">
        <w:rPr>
          <w:rFonts w:ascii="Palatino Linotype" w:eastAsia="Palatino Linotype" w:hAnsi="Palatino Linotype" w:cs="Palatino Linotype"/>
        </w:rPr>
        <w:t xml:space="preserve"> lo siguiente: </w:t>
      </w:r>
    </w:p>
    <w:p w14:paraId="09FA0D02"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rPr>
        <w:t>“</w:t>
      </w:r>
      <w:r w:rsidRPr="00F058B9">
        <w:rPr>
          <w:rFonts w:ascii="Palatino Linotype" w:eastAsia="Palatino Linotype" w:hAnsi="Palatino Linotype" w:cs="Palatino Linotype"/>
          <w:i/>
          <w:sz w:val="22"/>
          <w:szCs w:val="22"/>
        </w:rPr>
        <w:t xml:space="preserve">1.- En un periodo comprendido entre el año 2017 al 22 de marzo de 2022, requiero el número total de conexiones de tomas nuevas para agua potable como usuarios, es decir, de todas aquellas conexiones de las cuales se hayan brindado el servicio con una MANIFESTACIÓN DE BUENA FE; </w:t>
      </w:r>
    </w:p>
    <w:p w14:paraId="58D1A904" w14:textId="77777777" w:rsidR="00B11D9D" w:rsidRPr="00F058B9" w:rsidRDefault="00B11D9D">
      <w:pPr>
        <w:ind w:left="850" w:right="899"/>
        <w:jc w:val="both"/>
        <w:rPr>
          <w:rFonts w:ascii="Palatino Linotype" w:eastAsia="Palatino Linotype" w:hAnsi="Palatino Linotype" w:cs="Palatino Linotype"/>
          <w:i/>
          <w:sz w:val="22"/>
          <w:szCs w:val="22"/>
        </w:rPr>
      </w:pPr>
    </w:p>
    <w:p w14:paraId="7E4DED7E"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2.- En un periodo comprendido entre el año 2017 al 22 de marzo de 2022, requiero el número total de conexiones de drenaje como usuarios, es decir, de todas aquellas conexiones de las cuales se hayan brindado el servicio con una MANIFESTACIÓN DE BUENA FE; </w:t>
      </w:r>
    </w:p>
    <w:p w14:paraId="0E9D0252" w14:textId="77777777" w:rsidR="00B11D9D" w:rsidRPr="00F058B9" w:rsidRDefault="00B11D9D">
      <w:pPr>
        <w:ind w:left="850" w:right="899"/>
        <w:jc w:val="both"/>
        <w:rPr>
          <w:rFonts w:ascii="Palatino Linotype" w:eastAsia="Palatino Linotype" w:hAnsi="Palatino Linotype" w:cs="Palatino Linotype"/>
          <w:i/>
          <w:sz w:val="22"/>
          <w:szCs w:val="22"/>
        </w:rPr>
      </w:pPr>
    </w:p>
    <w:p w14:paraId="386ECDE5"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3.- Respecto del numeral 1, del número total de conexiones de agua, requiero únicamente los números de expedientes, folios o similar, para su identificación; </w:t>
      </w:r>
    </w:p>
    <w:p w14:paraId="0DDD9652" w14:textId="77777777" w:rsidR="00B11D9D" w:rsidRPr="00F058B9" w:rsidRDefault="00B11D9D">
      <w:pPr>
        <w:ind w:left="850" w:right="899"/>
        <w:jc w:val="both"/>
        <w:rPr>
          <w:rFonts w:ascii="Palatino Linotype" w:eastAsia="Palatino Linotype" w:hAnsi="Palatino Linotype" w:cs="Palatino Linotype"/>
          <w:i/>
          <w:sz w:val="22"/>
          <w:szCs w:val="22"/>
        </w:rPr>
      </w:pPr>
    </w:p>
    <w:p w14:paraId="08DC9040"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4.- Respecto del numeral 2, del número total de conexiones de drenaje, requiero únicamente los números de expedientes, folios o similar, para su identificación; </w:t>
      </w:r>
    </w:p>
    <w:p w14:paraId="10968D2B" w14:textId="77777777" w:rsidR="00B11D9D" w:rsidRPr="00F058B9" w:rsidRDefault="00B11D9D">
      <w:pPr>
        <w:ind w:left="850" w:right="899"/>
        <w:jc w:val="both"/>
        <w:rPr>
          <w:rFonts w:ascii="Palatino Linotype" w:eastAsia="Palatino Linotype" w:hAnsi="Palatino Linotype" w:cs="Palatino Linotype"/>
          <w:i/>
          <w:sz w:val="22"/>
          <w:szCs w:val="22"/>
        </w:rPr>
      </w:pPr>
    </w:p>
    <w:p w14:paraId="7AB25AA6"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5.- En el mismo periodo comprendido entre el año 2017 al 22 de marzo de 2022, de los últimos 20 expedientes referentes a conexiones de tomas nuevas para agua potable como usuarios, requiero la versión pública únicamente del documento que acredite el servicio brindado con la MANIFESTACIÓN DE BUENA FE y/o documento mediante el cual se acredite el servicio brindado como usuario; </w:t>
      </w:r>
    </w:p>
    <w:p w14:paraId="274C7CB4" w14:textId="77777777" w:rsidR="00B11D9D" w:rsidRPr="00F058B9" w:rsidRDefault="00B11D9D">
      <w:pPr>
        <w:ind w:left="850" w:right="899"/>
        <w:jc w:val="both"/>
        <w:rPr>
          <w:rFonts w:ascii="Palatino Linotype" w:eastAsia="Palatino Linotype" w:hAnsi="Palatino Linotype" w:cs="Palatino Linotype"/>
          <w:i/>
          <w:sz w:val="22"/>
          <w:szCs w:val="22"/>
        </w:rPr>
      </w:pPr>
    </w:p>
    <w:p w14:paraId="3C58DC88" w14:textId="77777777" w:rsidR="00B11D9D" w:rsidRPr="00F058B9" w:rsidRDefault="00CF0DAC">
      <w:pPr>
        <w:ind w:left="850" w:right="899"/>
        <w:jc w:val="both"/>
        <w:rPr>
          <w:rFonts w:ascii="Palatino Linotype" w:eastAsia="Palatino Linotype" w:hAnsi="Palatino Linotype" w:cs="Palatino Linotype"/>
          <w:i/>
        </w:rPr>
      </w:pPr>
      <w:r w:rsidRPr="00F058B9">
        <w:rPr>
          <w:rFonts w:ascii="Palatino Linotype" w:eastAsia="Palatino Linotype" w:hAnsi="Palatino Linotype" w:cs="Palatino Linotype"/>
          <w:i/>
          <w:sz w:val="22"/>
          <w:szCs w:val="22"/>
        </w:rPr>
        <w:t xml:space="preserve">6- En el mismo periodo comprendido entre el año 2017 al 22 de marzo de 2022, de los últimos 20 expedientes referentes a conexiones de drenaje como usuarios, requiero la versión pública únicamente del documento que acredite el servicio brindado con la </w:t>
      </w:r>
      <w:r w:rsidRPr="00F058B9">
        <w:rPr>
          <w:rFonts w:ascii="Palatino Linotype" w:eastAsia="Palatino Linotype" w:hAnsi="Palatino Linotype" w:cs="Palatino Linotype"/>
          <w:i/>
          <w:sz w:val="22"/>
          <w:szCs w:val="22"/>
        </w:rPr>
        <w:lastRenderedPageBreak/>
        <w:t xml:space="preserve">MANIFESTACIÓN DE BUENA FE y/o documento mediante el cual se acredite el servicio brindado como usuario. </w:t>
      </w:r>
      <w:r w:rsidRPr="00F058B9">
        <w:rPr>
          <w:rFonts w:ascii="Palatino Linotype" w:eastAsia="Palatino Linotype" w:hAnsi="Palatino Linotype" w:cs="Palatino Linotype"/>
          <w:i/>
        </w:rPr>
        <w:t>”(Sic)</w:t>
      </w:r>
    </w:p>
    <w:p w14:paraId="381130C3" w14:textId="77777777" w:rsidR="00791B78" w:rsidRPr="00F058B9" w:rsidRDefault="00791B78">
      <w:pPr>
        <w:ind w:left="850" w:right="899"/>
        <w:jc w:val="both"/>
        <w:rPr>
          <w:rFonts w:ascii="Palatino Linotype" w:eastAsia="Palatino Linotype" w:hAnsi="Palatino Linotype" w:cs="Palatino Linotype"/>
          <w:i/>
          <w:sz w:val="22"/>
          <w:szCs w:val="22"/>
        </w:rPr>
      </w:pPr>
    </w:p>
    <w:p w14:paraId="06887D23"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Posteriormente, </w:t>
      </w:r>
      <w:r w:rsidRPr="00F058B9">
        <w:rPr>
          <w:rFonts w:ascii="Palatino Linotype" w:eastAsia="Palatino Linotype" w:hAnsi="Palatino Linotype" w:cs="Palatino Linotype"/>
          <w:b/>
        </w:rPr>
        <w:t>EL SUJETO OBLIGADO</w:t>
      </w:r>
      <w:r w:rsidRPr="00F058B9">
        <w:rPr>
          <w:rFonts w:ascii="Palatino Linotype" w:eastAsia="Palatino Linotype" w:hAnsi="Palatino Linotype" w:cs="Palatino Linotype"/>
        </w:rPr>
        <w:t xml:space="preserve"> dio respuesta a la solicitud de acceso a la información pública señalando que el Ayuntamiento no cuenta con un Organismo de Agua sino con una Dirección que forma parte de la Administración Pública Municipal, y en lo que respecta a los cuestionamientos hechos por el particular indicó que en el Ayuntamiento de Texcoco no se  cuenta con la figura de Manifestación de Buena Fe, ya que únicamente se le otorga el servicio de conexión de toma de agua y drenaje a los solicitantes que cuentan con todos los requisitos establecidos. </w:t>
      </w:r>
    </w:p>
    <w:p w14:paraId="3D356874" w14:textId="77777777" w:rsidR="00B11D9D" w:rsidRPr="00F058B9" w:rsidRDefault="00B11D9D">
      <w:pPr>
        <w:spacing w:line="360" w:lineRule="auto"/>
        <w:jc w:val="both"/>
        <w:rPr>
          <w:rFonts w:ascii="Palatino Linotype" w:eastAsia="Palatino Linotype" w:hAnsi="Palatino Linotype" w:cs="Palatino Linotype"/>
        </w:rPr>
      </w:pPr>
    </w:p>
    <w:p w14:paraId="44F50195" w14:textId="72275D43"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Inconforme con dicha respuesta el ahora </w:t>
      </w:r>
      <w:r w:rsidRPr="00F058B9">
        <w:rPr>
          <w:rFonts w:ascii="Palatino Linotype" w:eastAsia="Palatino Linotype" w:hAnsi="Palatino Linotype" w:cs="Palatino Linotype"/>
          <w:b/>
        </w:rPr>
        <w:t>RECURRENTE</w:t>
      </w:r>
      <w:r w:rsidRPr="00F058B9">
        <w:rPr>
          <w:rFonts w:ascii="Palatino Linotype" w:eastAsia="Palatino Linotype" w:hAnsi="Palatino Linotype" w:cs="Palatino Linotype"/>
        </w:rPr>
        <w:t xml:space="preserve"> interpuso el presente medio de impugnación señalando que la información entregada no corresponde a lo solicitado ya que los particulares no son expertos en la materia y no necesitan saber los términos exactos de los procedimientos administrativos por lo que </w:t>
      </w:r>
      <w:r w:rsidRPr="00F058B9">
        <w:rPr>
          <w:rFonts w:ascii="Palatino Linotype" w:eastAsia="Palatino Linotype" w:hAnsi="Palatino Linotype" w:cs="Palatino Linotype"/>
          <w:b/>
        </w:rPr>
        <w:t>EL SUJETO OBLIGADO</w:t>
      </w:r>
      <w:r w:rsidRPr="00F058B9">
        <w:rPr>
          <w:rFonts w:ascii="Palatino Linotype" w:eastAsia="Palatino Linotype" w:hAnsi="Palatino Linotype" w:cs="Palatino Linotype"/>
        </w:rPr>
        <w:t xml:space="preserve"> debió haber dado respuesta con la información que obraba en sus archivos acreditando la búsqueda de la misma y en atención al principio de máxima publicidad. </w:t>
      </w:r>
    </w:p>
    <w:p w14:paraId="064A89FF" w14:textId="77777777" w:rsidR="00B11D9D" w:rsidRPr="00F058B9" w:rsidRDefault="00B11D9D">
      <w:pPr>
        <w:spacing w:line="360" w:lineRule="auto"/>
        <w:ind w:right="49"/>
        <w:jc w:val="both"/>
        <w:rPr>
          <w:rFonts w:ascii="Palatino Linotype" w:eastAsia="Palatino Linotype" w:hAnsi="Palatino Linotype" w:cs="Palatino Linotype"/>
        </w:rPr>
      </w:pPr>
    </w:p>
    <w:p w14:paraId="749CBF72"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De las constancias que obran en el expediente electrónico del SAIMEX, se advierte que la intención del particular es conocer diversas cuestiones referentes a la conexión de tomas de agua y drenaje respecto de usuarios que tienen en su posesión un bien sin acreditar la propiedad situación que refiere como manifestación de buena fe. </w:t>
      </w:r>
    </w:p>
    <w:p w14:paraId="3C696104" w14:textId="77777777" w:rsidR="00B11D9D" w:rsidRPr="00F058B9" w:rsidRDefault="00B11D9D">
      <w:pPr>
        <w:spacing w:line="360" w:lineRule="auto"/>
        <w:ind w:right="49"/>
        <w:jc w:val="both"/>
        <w:rPr>
          <w:rFonts w:ascii="Palatino Linotype" w:eastAsia="Palatino Linotype" w:hAnsi="Palatino Linotype" w:cs="Palatino Linotype"/>
        </w:rPr>
      </w:pPr>
    </w:p>
    <w:p w14:paraId="31BB9FCF"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lastRenderedPageBreak/>
        <w:t xml:space="preserve">En tal sentido es conveniente traer a colación el contenido del Reglamento de Agua Potable, Drenaje y Alcantarillado del Municipio de Texcoco, el cual dentro de su capítulo tercero contempla la prestación de los servicios de Agua Potable, Drenaje y Alcantarillado, señalando en su artículo 27 que el Ayuntamiento a través de la Dirección de Agua Potable, Drenaje y Alcantarillado estará obligado a prestar dichos servicios en los asentamientos regulares a los </w:t>
      </w:r>
      <w:r w:rsidRPr="00F058B9">
        <w:rPr>
          <w:rFonts w:ascii="Palatino Linotype" w:eastAsia="Palatino Linotype" w:hAnsi="Palatino Linotype" w:cs="Palatino Linotype"/>
          <w:b/>
        </w:rPr>
        <w:t>propietarios o poseedores a cualquier título</w:t>
      </w:r>
      <w:r w:rsidRPr="00F058B9">
        <w:rPr>
          <w:rFonts w:ascii="Palatino Linotype" w:eastAsia="Palatino Linotype" w:hAnsi="Palatino Linotype" w:cs="Palatino Linotype"/>
        </w:rPr>
        <w:t xml:space="preserve"> de predios edificados, no edificados y giros o establecimientos comerciales que requieran de agua potable, alcantarillado y saneamiento. Se inserta el precepto en comento para mayor certeza: </w:t>
      </w:r>
    </w:p>
    <w:p w14:paraId="05EE9B60"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w:t>
      </w:r>
      <w:r w:rsidRPr="00F058B9">
        <w:rPr>
          <w:rFonts w:ascii="Palatino Linotype" w:eastAsia="Palatino Linotype" w:hAnsi="Palatino Linotype" w:cs="Palatino Linotype"/>
          <w:b/>
          <w:i/>
          <w:sz w:val="22"/>
          <w:szCs w:val="22"/>
        </w:rPr>
        <w:t>CAPÍTULO TERCERO</w:t>
      </w:r>
      <w:r w:rsidRPr="00F058B9">
        <w:rPr>
          <w:rFonts w:ascii="Palatino Linotype" w:eastAsia="Palatino Linotype" w:hAnsi="Palatino Linotype" w:cs="Palatino Linotype"/>
          <w:i/>
          <w:sz w:val="22"/>
          <w:szCs w:val="22"/>
        </w:rPr>
        <w:t xml:space="preserve"> </w:t>
      </w:r>
    </w:p>
    <w:p w14:paraId="2DCB56D1"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De la Prestación de los Servicios Públicos de Agua Potable, Drenaje, Alcantarillado </w:t>
      </w:r>
    </w:p>
    <w:p w14:paraId="6CCE5874"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 xml:space="preserve">Artículo 27.- </w:t>
      </w:r>
      <w:r w:rsidRPr="00F058B9">
        <w:rPr>
          <w:rFonts w:ascii="Palatino Linotype" w:eastAsia="Palatino Linotype" w:hAnsi="Palatino Linotype" w:cs="Palatino Linotype"/>
          <w:i/>
          <w:sz w:val="22"/>
          <w:szCs w:val="22"/>
        </w:rPr>
        <w:t xml:space="preserve">El Ayuntamiento a través de la Dirección, está obligado a prestar los servicios de agua potable, drenaje, alcantarillado y saneamiento, en los asentamientos regulares donde existan dichos servicios, </w:t>
      </w:r>
      <w:r w:rsidRPr="00F058B9">
        <w:rPr>
          <w:rFonts w:ascii="Palatino Linotype" w:eastAsia="Palatino Linotype" w:hAnsi="Palatino Linotype" w:cs="Palatino Linotype"/>
          <w:b/>
          <w:i/>
          <w:sz w:val="22"/>
          <w:szCs w:val="22"/>
        </w:rPr>
        <w:t>a los propietarios o poseedores de cualquier título de</w:t>
      </w:r>
      <w:r w:rsidRPr="00F058B9">
        <w:rPr>
          <w:rFonts w:ascii="Palatino Linotype" w:eastAsia="Palatino Linotype" w:hAnsi="Palatino Linotype" w:cs="Palatino Linotype"/>
          <w:i/>
          <w:sz w:val="22"/>
          <w:szCs w:val="22"/>
        </w:rPr>
        <w:t xml:space="preserve">: </w:t>
      </w:r>
    </w:p>
    <w:p w14:paraId="432453C0"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I. Predios edificados; </w:t>
      </w:r>
    </w:p>
    <w:p w14:paraId="63ADBF18"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II. Predios no edificados, cuando frente a los mismos existan instalaciones adecuadas para que los servicios sean utilizados y se tenga la disponibilidad, además de contar con la licencia de construcción expedida por la autoridad competente, y </w:t>
      </w:r>
    </w:p>
    <w:p w14:paraId="1B88ED76"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III. Giros o establecimientos mercantiles, industriales, de prestación de servicios y de cualquier otra actividad que por su naturaleza requieran del uso de agua potable, alcantarillado y saneamiento; siempre y cuando sea viable y no afecte la calidad del servicio para el resto de la población. </w:t>
      </w:r>
    </w:p>
    <w:p w14:paraId="6F0A975D"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Los giros o establecimientos a que se refiere la fracción III, tendrán la obligación de colocar sistemas o trampas captadoras de sólidos, con la finalidad de mitigar la afectación a las redes de drenaje y alcantarillado. “</w:t>
      </w:r>
    </w:p>
    <w:p w14:paraId="045DC047" w14:textId="77777777" w:rsidR="00B11D9D" w:rsidRPr="00F058B9" w:rsidRDefault="00B11D9D">
      <w:pPr>
        <w:spacing w:line="360" w:lineRule="auto"/>
        <w:ind w:right="49"/>
        <w:jc w:val="both"/>
        <w:rPr>
          <w:rFonts w:ascii="Palatino Linotype" w:eastAsia="Palatino Linotype" w:hAnsi="Palatino Linotype" w:cs="Palatino Linotype"/>
        </w:rPr>
      </w:pPr>
    </w:p>
    <w:p w14:paraId="1BA61014"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Así bien las personas a las que se refiere el artículo antes citado deberán solicitar la instalación de la toma de agua o conexión de descargas residuales en su caso a través </w:t>
      </w:r>
      <w:r w:rsidRPr="00F058B9">
        <w:rPr>
          <w:rFonts w:ascii="Palatino Linotype" w:eastAsia="Palatino Linotype" w:hAnsi="Palatino Linotype" w:cs="Palatino Linotype"/>
        </w:rPr>
        <w:lastRenderedPageBreak/>
        <w:t>de los formatos que proporcione la Dirección de Agua, adjuntando a éste la documentación que acredite los requisitos y el pago de los derechos. Lo anterior de conformidad con el artículo 28 del mismo reglamento mismo que a la letra dice:</w:t>
      </w:r>
    </w:p>
    <w:p w14:paraId="4CC39027"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“Artículo 28.- Las personas a que se refiere el artículo anterior, deberán solicitar la instalación de su toma de agua y la conexión de sus descargas residuales, a través de los formatos especiales que al efecto se proporcionen en la Dirección, adjuntando los requisitos establecidos en el formato único, así como también deberán cubrir los derechos y contar con su medidor de volumen de agua con las características establecidas por la Dirección.”(Sic)</w:t>
      </w:r>
    </w:p>
    <w:p w14:paraId="057E0D8D" w14:textId="77777777" w:rsidR="00B11D9D" w:rsidRPr="00F058B9" w:rsidRDefault="00B11D9D">
      <w:pPr>
        <w:ind w:left="850" w:right="899"/>
        <w:jc w:val="both"/>
        <w:rPr>
          <w:rFonts w:ascii="Palatino Linotype" w:eastAsia="Palatino Linotype" w:hAnsi="Palatino Linotype" w:cs="Palatino Linotype"/>
          <w:i/>
          <w:sz w:val="22"/>
          <w:szCs w:val="22"/>
        </w:rPr>
      </w:pPr>
    </w:p>
    <w:p w14:paraId="4FDA847B" w14:textId="71E6694E"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Por lo que, una vez presentada la solicitud, la Dirección deberá practicar una inspección al predio giro o establecimiento dentro de los cinco días hábiles siguientes para corroborar la información otorgada y verificar si la instalación o conexión es viable y si fuese el caso, se llevará a cabo la conexión o instalación correspondiente, como lo marcan los artículos 30 y 31 del multicitado reglamento que a la letra dicen:</w:t>
      </w:r>
    </w:p>
    <w:p w14:paraId="0D194D9C"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w:t>
      </w:r>
      <w:r w:rsidRPr="00F058B9">
        <w:rPr>
          <w:rFonts w:ascii="Palatino Linotype" w:eastAsia="Palatino Linotype" w:hAnsi="Palatino Linotype" w:cs="Palatino Linotype"/>
          <w:b/>
          <w:i/>
          <w:sz w:val="22"/>
          <w:szCs w:val="22"/>
        </w:rPr>
        <w:t>Artículo 30.-</w:t>
      </w:r>
      <w:r w:rsidRPr="00F058B9">
        <w:rPr>
          <w:rFonts w:ascii="Palatino Linotype" w:eastAsia="Palatino Linotype" w:hAnsi="Palatino Linotype" w:cs="Palatino Linotype"/>
          <w:i/>
          <w:sz w:val="22"/>
          <w:szCs w:val="22"/>
        </w:rPr>
        <w:t xml:space="preserve"> Presentada la solicitud debidamente requisitada, dentro de los cinco días hábiles siguientes, personal debidamente identificado de la Dirección, practicará una inspección del predio, giro o establecimiento, con el objeto siguiente: </w:t>
      </w:r>
    </w:p>
    <w:p w14:paraId="1EC314DE"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I. Corroborar la existencia real del inmueble;</w:t>
      </w:r>
    </w:p>
    <w:p w14:paraId="3D044F28"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 II. Constatar la veracidad de los datos proporcionados por el solicitante; </w:t>
      </w:r>
    </w:p>
    <w:p w14:paraId="695D8872"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III. Conocer las circunstancias que considere necesarias, para determinar sobre la prestación de los servicios solicitados; I</w:t>
      </w:r>
    </w:p>
    <w:p w14:paraId="4448723A"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V. Diagnosticar la viabilidad o no de la conexión al sistema de agua potable y el de descarga, y </w:t>
      </w:r>
    </w:p>
    <w:p w14:paraId="2A52FBBB"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V. Estudiar el presupuesto que comprenderá el importe del material necesario y la mano de obra, ruptura y reposición de banqueta y pavimento, si lo hubiese, así como cualquier otro trabajo que se requiera para estar en condiciones de prestar los servicios solicitados. </w:t>
      </w:r>
    </w:p>
    <w:p w14:paraId="4C8FF48C" w14:textId="77777777" w:rsidR="00B11D9D" w:rsidRPr="00F058B9" w:rsidRDefault="00B11D9D">
      <w:pPr>
        <w:ind w:left="850" w:right="899"/>
        <w:jc w:val="both"/>
        <w:rPr>
          <w:rFonts w:ascii="Palatino Linotype" w:eastAsia="Palatino Linotype" w:hAnsi="Palatino Linotype" w:cs="Palatino Linotype"/>
          <w:i/>
          <w:sz w:val="22"/>
          <w:szCs w:val="22"/>
        </w:rPr>
      </w:pPr>
    </w:p>
    <w:p w14:paraId="49A580DE"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Artículo 31.</w:t>
      </w:r>
      <w:r w:rsidRPr="00F058B9">
        <w:rPr>
          <w:rFonts w:ascii="Palatino Linotype" w:eastAsia="Palatino Linotype" w:hAnsi="Palatino Linotype" w:cs="Palatino Linotype"/>
          <w:i/>
          <w:sz w:val="22"/>
          <w:szCs w:val="22"/>
        </w:rPr>
        <w:t xml:space="preserve">- La instalación o conexión de las tomas solicitadas, sólo se realizará si el resultado de la inspección a que se refiere el artículo anterior es favorable, previa </w:t>
      </w:r>
      <w:r w:rsidRPr="00F058B9">
        <w:rPr>
          <w:rFonts w:ascii="Palatino Linotype" w:eastAsia="Palatino Linotype" w:hAnsi="Palatino Linotype" w:cs="Palatino Linotype"/>
          <w:i/>
          <w:sz w:val="22"/>
          <w:szCs w:val="22"/>
        </w:rPr>
        <w:lastRenderedPageBreak/>
        <w:t>firma del contrato respectivo y el pago de derechos ante la Tesorería Municipal, la cual expedirá el recibo de cobro del costo de la instalación y conexión, así como las cuotas que correspondan conforme a las tarifas vigentes en el código financiero.” (Sic)</w:t>
      </w:r>
    </w:p>
    <w:p w14:paraId="6D4D8E9A" w14:textId="77777777" w:rsidR="00B11D9D" w:rsidRPr="00F058B9" w:rsidRDefault="00B11D9D">
      <w:pPr>
        <w:spacing w:line="360" w:lineRule="auto"/>
        <w:ind w:right="49"/>
        <w:jc w:val="both"/>
        <w:rPr>
          <w:rFonts w:ascii="Palatino Linotype" w:eastAsia="Palatino Linotype" w:hAnsi="Palatino Linotype" w:cs="Palatino Linotype"/>
        </w:rPr>
      </w:pPr>
    </w:p>
    <w:p w14:paraId="53648E80"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Así, del contenido de los artículos antes señalados se puede interpretar que la conexión de agua y drenaje se lleva a cabo una vez acreditados los requisitos solicitados por la normatividad de la materia, que en el caso que nos ocupa es el Reglamento mismo, que se refiere un formato de llenado, el cual fue localizado por esta Ponencia y es del contenido siguiente: </w:t>
      </w:r>
    </w:p>
    <w:p w14:paraId="53BB9559"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noProof/>
        </w:rPr>
        <w:drawing>
          <wp:inline distT="114300" distB="114300" distL="114300" distR="114300" wp14:anchorId="2FAA55A5" wp14:editId="34A478E7">
            <wp:extent cx="5791835" cy="3975100"/>
            <wp:effectExtent l="0" t="0" r="0" b="0"/>
            <wp:docPr id="2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791835" cy="3975100"/>
                    </a:xfrm>
                    <a:prstGeom prst="rect">
                      <a:avLst/>
                    </a:prstGeom>
                    <a:ln/>
                  </pic:spPr>
                </pic:pic>
              </a:graphicData>
            </a:graphic>
          </wp:inline>
        </w:drawing>
      </w:r>
    </w:p>
    <w:p w14:paraId="5E5D50CB"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noProof/>
        </w:rPr>
        <w:lastRenderedPageBreak/>
        <w:drawing>
          <wp:inline distT="114300" distB="114300" distL="114300" distR="114300" wp14:anchorId="24BF0738" wp14:editId="4F84A5E4">
            <wp:extent cx="5791835" cy="5054600"/>
            <wp:effectExtent l="0" t="0" r="0" b="0"/>
            <wp:docPr id="2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91835" cy="5054600"/>
                    </a:xfrm>
                    <a:prstGeom prst="rect">
                      <a:avLst/>
                    </a:prstGeom>
                    <a:ln/>
                  </pic:spPr>
                </pic:pic>
              </a:graphicData>
            </a:graphic>
          </wp:inline>
        </w:drawing>
      </w:r>
    </w:p>
    <w:p w14:paraId="3CF1774E" w14:textId="77777777" w:rsidR="00791B78" w:rsidRPr="00F058B9" w:rsidRDefault="00791B78">
      <w:pPr>
        <w:spacing w:line="360" w:lineRule="auto"/>
        <w:ind w:right="49"/>
        <w:jc w:val="both"/>
        <w:rPr>
          <w:rFonts w:ascii="Palatino Linotype" w:eastAsia="Palatino Linotype" w:hAnsi="Palatino Linotype" w:cs="Palatino Linotype"/>
        </w:rPr>
      </w:pPr>
    </w:p>
    <w:p w14:paraId="167AB2F8"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Del formato insertado se puede observar que es necesario proporcionar diversos datos, entre los cuales se encuentra el carácter con el que comparece a hacer la solicitud, pudiendo escoger entre: propietario, apoderado legal u otro. </w:t>
      </w:r>
    </w:p>
    <w:p w14:paraId="7C30A071" w14:textId="77777777" w:rsidR="00B11D9D" w:rsidRPr="00F058B9" w:rsidRDefault="00B11D9D">
      <w:pPr>
        <w:spacing w:line="360" w:lineRule="auto"/>
        <w:ind w:right="49"/>
        <w:jc w:val="both"/>
        <w:rPr>
          <w:rFonts w:ascii="Palatino Linotype" w:eastAsia="Palatino Linotype" w:hAnsi="Palatino Linotype" w:cs="Palatino Linotype"/>
        </w:rPr>
      </w:pPr>
    </w:p>
    <w:p w14:paraId="708812C6"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lastRenderedPageBreak/>
        <w:t xml:space="preserve">En ese contexto el artículo 27 ya referido señala que se dará el servicio a los propietarios o poseedores a cualquier título de un predio. </w:t>
      </w:r>
    </w:p>
    <w:p w14:paraId="2F451C5C" w14:textId="77777777" w:rsidR="00791B78" w:rsidRPr="00F058B9" w:rsidRDefault="00791B78">
      <w:pPr>
        <w:spacing w:line="360" w:lineRule="auto"/>
        <w:ind w:right="49"/>
        <w:jc w:val="both"/>
        <w:rPr>
          <w:rFonts w:ascii="Palatino Linotype" w:eastAsia="Palatino Linotype" w:hAnsi="Palatino Linotype" w:cs="Palatino Linotype"/>
        </w:rPr>
      </w:pPr>
    </w:p>
    <w:p w14:paraId="095DB497" w14:textId="77777777" w:rsidR="00791B78" w:rsidRPr="00F058B9" w:rsidRDefault="00CF0DAC" w:rsidP="00791B78">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Razón por la cual se debe citar la disposición 5.28 y 5.29 del Código Civil del Estado de México que define al poseedor de un bien como aquel que ejerce sobre él un poder o posee un derecho. Entendiendo que se puede convertir en poseedor de un bien cuando se le concede el derecho de retenerlo temporalmente en calidad de usufructuario, arrendatario, deposit</w:t>
      </w:r>
      <w:r w:rsidR="00791B78" w:rsidRPr="00F058B9">
        <w:rPr>
          <w:rFonts w:ascii="Palatino Linotype" w:eastAsia="Palatino Linotype" w:hAnsi="Palatino Linotype" w:cs="Palatino Linotype"/>
        </w:rPr>
        <w:t>ario, comodatario, entre otros:</w:t>
      </w:r>
    </w:p>
    <w:p w14:paraId="6AE5BD0D" w14:textId="77777777" w:rsidR="00791B78" w:rsidRPr="00F058B9" w:rsidRDefault="00791B78" w:rsidP="00791B78">
      <w:pPr>
        <w:spacing w:line="360" w:lineRule="auto"/>
        <w:ind w:right="49"/>
        <w:jc w:val="both"/>
        <w:rPr>
          <w:rFonts w:ascii="Palatino Linotype" w:eastAsia="Palatino Linotype" w:hAnsi="Palatino Linotype" w:cs="Palatino Linotype"/>
        </w:rPr>
      </w:pPr>
    </w:p>
    <w:p w14:paraId="0A927E68" w14:textId="77777777" w:rsidR="00B11D9D" w:rsidRPr="00F058B9" w:rsidRDefault="00CF0DAC" w:rsidP="00791B78">
      <w:pPr>
        <w:spacing w:line="360" w:lineRule="auto"/>
        <w:ind w:right="49"/>
        <w:jc w:val="both"/>
        <w:rPr>
          <w:rFonts w:ascii="Palatino Linotype" w:eastAsia="Palatino Linotype" w:hAnsi="Palatino Linotype" w:cs="Palatino Linotype"/>
          <w:b/>
          <w:i/>
          <w:sz w:val="22"/>
          <w:szCs w:val="22"/>
        </w:rPr>
      </w:pPr>
      <w:r w:rsidRPr="00F058B9">
        <w:rPr>
          <w:rFonts w:ascii="Palatino Linotype" w:eastAsia="Palatino Linotype" w:hAnsi="Palatino Linotype" w:cs="Palatino Linotype"/>
          <w:b/>
          <w:i/>
          <w:sz w:val="22"/>
          <w:szCs w:val="22"/>
        </w:rPr>
        <w:t>“Concepto de posesión</w:t>
      </w:r>
    </w:p>
    <w:p w14:paraId="310817CD" w14:textId="77777777" w:rsidR="00B11D9D" w:rsidRPr="00F058B9" w:rsidRDefault="00CF0DAC">
      <w:pPr>
        <w:shd w:val="clear" w:color="auto" w:fill="FFFFFF"/>
        <w:spacing w:after="160"/>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ARTICULO 5.28.</w:t>
      </w:r>
      <w:r w:rsidRPr="00F058B9">
        <w:rPr>
          <w:rFonts w:ascii="Palatino Linotype" w:eastAsia="Palatino Linotype" w:hAnsi="Palatino Linotype" w:cs="Palatino Linotype"/>
          <w:i/>
          <w:sz w:val="22"/>
          <w:szCs w:val="22"/>
        </w:rPr>
        <w:t xml:space="preserve"> Es poseedor de un bien el que ejerce sobre él un poder de hecho. Posee un derecho el que lo goza.</w:t>
      </w:r>
    </w:p>
    <w:p w14:paraId="1E85D9E8" w14:textId="77777777" w:rsidR="00B11D9D" w:rsidRPr="00F058B9" w:rsidRDefault="00CF0DAC">
      <w:pPr>
        <w:shd w:val="clear" w:color="auto" w:fill="FFFFFF"/>
        <w:spacing w:after="160"/>
        <w:ind w:left="850" w:right="899"/>
        <w:jc w:val="both"/>
        <w:rPr>
          <w:rFonts w:ascii="Palatino Linotype" w:eastAsia="Palatino Linotype" w:hAnsi="Palatino Linotype" w:cs="Palatino Linotype"/>
          <w:b/>
          <w:i/>
          <w:sz w:val="22"/>
          <w:szCs w:val="22"/>
        </w:rPr>
      </w:pPr>
      <w:r w:rsidRPr="00F058B9">
        <w:rPr>
          <w:rFonts w:ascii="Palatino Linotype" w:eastAsia="Palatino Linotype" w:hAnsi="Palatino Linotype" w:cs="Palatino Linotype"/>
          <w:b/>
          <w:i/>
          <w:sz w:val="22"/>
          <w:szCs w:val="22"/>
        </w:rPr>
        <w:t>Posesión originaria o derivada</w:t>
      </w:r>
    </w:p>
    <w:p w14:paraId="1005693C" w14:textId="77777777" w:rsidR="00B11D9D" w:rsidRPr="00F058B9" w:rsidRDefault="00CF0DAC">
      <w:pPr>
        <w:shd w:val="clear" w:color="auto" w:fill="FFFFFF"/>
        <w:spacing w:after="160"/>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ARTICULO 5.29.</w:t>
      </w:r>
      <w:r w:rsidRPr="00F058B9">
        <w:rPr>
          <w:rFonts w:ascii="Palatino Linotype" w:eastAsia="Palatino Linotype" w:hAnsi="Palatino Linotype" w:cs="Palatino Linotype"/>
          <w:i/>
          <w:sz w:val="22"/>
          <w:szCs w:val="22"/>
        </w:rPr>
        <w:t xml:space="preserve"> Cuando en virtud de un acto jurídico el propietario entrega a otro un bien, concediéndole el derecho de retenerlo temporalmente en su poder en calidad de usufructuario, arrendatario, acreedor pignoraticio, depositario, comodatario u otro título análogo, los dos son poseedores. El que lo posee a título de propietario tiene una posesión originaria; el otro, una posesión derivada.”</w:t>
      </w:r>
    </w:p>
    <w:p w14:paraId="3AA2CF01" w14:textId="77777777" w:rsidR="00B11D9D" w:rsidRPr="00F058B9" w:rsidRDefault="00B11D9D">
      <w:pPr>
        <w:spacing w:line="360" w:lineRule="auto"/>
        <w:ind w:right="49"/>
        <w:jc w:val="both"/>
        <w:rPr>
          <w:rFonts w:ascii="Palatino Linotype" w:eastAsia="Palatino Linotype" w:hAnsi="Palatino Linotype" w:cs="Palatino Linotype"/>
        </w:rPr>
      </w:pPr>
    </w:p>
    <w:p w14:paraId="12EC39A6"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Así pues si bien es cierto, </w:t>
      </w:r>
      <w:r w:rsidRPr="00F058B9">
        <w:rPr>
          <w:rFonts w:ascii="Palatino Linotype" w:eastAsia="Palatino Linotype" w:hAnsi="Palatino Linotype" w:cs="Palatino Linotype"/>
          <w:b/>
        </w:rPr>
        <w:t>EL SUJETO OBLIGADO</w:t>
      </w:r>
      <w:r w:rsidRPr="00F058B9">
        <w:rPr>
          <w:rFonts w:ascii="Palatino Linotype" w:eastAsia="Palatino Linotype" w:hAnsi="Palatino Linotype" w:cs="Palatino Linotype"/>
        </w:rPr>
        <w:t xml:space="preserve"> no cuenta con la figura de Manifestación de Buena Fe ya que la ley es clara al señalar que la conexión de agua y drenaje será otorgada a los propietarios o poseedores que acrediten los requisitos establecidos por el formato que ponga a disposición la Dirección de Agua, lo cierto también es que los particulares no son expertos en la materia, ni tienen la obligación de conocer los términos específicos de los trámites que ofrecen, por lo que el ente </w:t>
      </w:r>
      <w:r w:rsidRPr="00F058B9">
        <w:rPr>
          <w:rFonts w:ascii="Palatino Linotype" w:eastAsia="Palatino Linotype" w:hAnsi="Palatino Linotype" w:cs="Palatino Linotype"/>
        </w:rPr>
        <w:lastRenderedPageBreak/>
        <w:t xml:space="preserve">recurrido debió de haber dado respuesta a la solicitud en términos de la información que obra en sus archivos. </w:t>
      </w:r>
    </w:p>
    <w:p w14:paraId="0B6C5872" w14:textId="77777777" w:rsidR="00B11D9D" w:rsidRPr="00F058B9" w:rsidRDefault="00B11D9D">
      <w:pPr>
        <w:spacing w:line="360" w:lineRule="auto"/>
        <w:ind w:right="49"/>
        <w:jc w:val="both"/>
        <w:rPr>
          <w:rFonts w:ascii="Palatino Linotype" w:eastAsia="Palatino Linotype" w:hAnsi="Palatino Linotype" w:cs="Palatino Linotype"/>
        </w:rPr>
      </w:pPr>
    </w:p>
    <w:p w14:paraId="5689B74C"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Dicho lo anterior, de las constancias que obran en el expediente electrónico del </w:t>
      </w:r>
      <w:r w:rsidRPr="00F058B9">
        <w:rPr>
          <w:rFonts w:ascii="Palatino Linotype" w:eastAsia="Palatino Linotype" w:hAnsi="Palatino Linotype" w:cs="Palatino Linotype"/>
          <w:b/>
        </w:rPr>
        <w:t>SAIMEX,</w:t>
      </w:r>
      <w:r w:rsidRPr="00F058B9">
        <w:rPr>
          <w:rFonts w:ascii="Palatino Linotype" w:eastAsia="Palatino Linotype" w:hAnsi="Palatino Linotype" w:cs="Palatino Linotype"/>
        </w:rPr>
        <w:t xml:space="preserve">  se advierte que en un acto posterior dentro de la etapa de manifestaciones, </w:t>
      </w:r>
      <w:r w:rsidRPr="00F058B9">
        <w:rPr>
          <w:rFonts w:ascii="Palatino Linotype" w:eastAsia="Palatino Linotype" w:hAnsi="Palatino Linotype" w:cs="Palatino Linotype"/>
          <w:b/>
        </w:rPr>
        <w:t xml:space="preserve">EL SUJETO OBLIGADO </w:t>
      </w:r>
      <w:r w:rsidRPr="00F058B9">
        <w:rPr>
          <w:rFonts w:ascii="Palatino Linotype" w:eastAsia="Palatino Linotype" w:hAnsi="Palatino Linotype" w:cs="Palatino Linotype"/>
        </w:rPr>
        <w:t xml:space="preserve">remitió su Informe Justificado en el cual da una nueva contestación a los cuestionamiento realizados por el particular atendiendo a las manifestaciones vertidas en la interposición del presente Recurso de Revisión en el tenor siguiente: </w:t>
      </w:r>
    </w:p>
    <w:p w14:paraId="7C49CD0D" w14:textId="77777777" w:rsidR="00B11D9D" w:rsidRPr="00F058B9" w:rsidRDefault="00CF0DAC">
      <w:pPr>
        <w:spacing w:line="360" w:lineRule="auto"/>
        <w:ind w:right="49"/>
        <w:jc w:val="center"/>
        <w:rPr>
          <w:rFonts w:ascii="Palatino Linotype" w:eastAsia="Palatino Linotype" w:hAnsi="Palatino Linotype" w:cs="Palatino Linotype"/>
        </w:rPr>
      </w:pPr>
      <w:r w:rsidRPr="00F058B9">
        <w:rPr>
          <w:rFonts w:ascii="Palatino Linotype" w:eastAsia="Palatino Linotype" w:hAnsi="Palatino Linotype" w:cs="Palatino Linotype"/>
          <w:noProof/>
        </w:rPr>
        <w:drawing>
          <wp:inline distT="114300" distB="114300" distL="114300" distR="114300" wp14:anchorId="2EDCFEA9" wp14:editId="6F226345">
            <wp:extent cx="5418773" cy="1263160"/>
            <wp:effectExtent l="0" t="0" r="0" b="0"/>
            <wp:docPr id="2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t="46115"/>
                    <a:stretch>
                      <a:fillRect/>
                    </a:stretch>
                  </pic:blipFill>
                  <pic:spPr>
                    <a:xfrm>
                      <a:off x="0" y="0"/>
                      <a:ext cx="5418773" cy="1263160"/>
                    </a:xfrm>
                    <a:prstGeom prst="rect">
                      <a:avLst/>
                    </a:prstGeom>
                    <a:ln/>
                  </pic:spPr>
                </pic:pic>
              </a:graphicData>
            </a:graphic>
          </wp:inline>
        </w:drawing>
      </w:r>
    </w:p>
    <w:p w14:paraId="364C61E3" w14:textId="77777777" w:rsidR="00B11D9D" w:rsidRPr="00F058B9" w:rsidRDefault="00CF0DAC">
      <w:pPr>
        <w:spacing w:line="360" w:lineRule="auto"/>
        <w:ind w:right="49"/>
        <w:jc w:val="center"/>
        <w:rPr>
          <w:rFonts w:ascii="Palatino Linotype" w:eastAsia="Palatino Linotype" w:hAnsi="Palatino Linotype" w:cs="Palatino Linotype"/>
        </w:rPr>
      </w:pPr>
      <w:r w:rsidRPr="00F058B9">
        <w:rPr>
          <w:rFonts w:ascii="Palatino Linotype" w:eastAsia="Palatino Linotype" w:hAnsi="Palatino Linotype" w:cs="Palatino Linotype"/>
          <w:noProof/>
        </w:rPr>
        <w:lastRenderedPageBreak/>
        <w:drawing>
          <wp:inline distT="114300" distB="114300" distL="114300" distR="114300" wp14:anchorId="15475205" wp14:editId="6C223858">
            <wp:extent cx="5308981" cy="3708006"/>
            <wp:effectExtent l="0" t="0" r="0" b="0"/>
            <wp:docPr id="2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308981" cy="3708006"/>
                    </a:xfrm>
                    <a:prstGeom prst="rect">
                      <a:avLst/>
                    </a:prstGeom>
                    <a:ln/>
                  </pic:spPr>
                </pic:pic>
              </a:graphicData>
            </a:graphic>
          </wp:inline>
        </w:drawing>
      </w:r>
    </w:p>
    <w:p w14:paraId="2B54062D" w14:textId="77777777" w:rsidR="00791B78" w:rsidRPr="00F058B9" w:rsidRDefault="00791B78">
      <w:pPr>
        <w:spacing w:line="360" w:lineRule="auto"/>
        <w:ind w:right="49"/>
        <w:jc w:val="both"/>
        <w:rPr>
          <w:rFonts w:ascii="Palatino Linotype" w:eastAsia="Palatino Linotype" w:hAnsi="Palatino Linotype" w:cs="Palatino Linotype"/>
        </w:rPr>
      </w:pPr>
    </w:p>
    <w:p w14:paraId="517DB57A" w14:textId="2F62D670"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De la imagen inserta se puede apreciar que </w:t>
      </w:r>
      <w:r w:rsidRPr="00F058B9">
        <w:rPr>
          <w:rFonts w:ascii="Palatino Linotype" w:eastAsia="Palatino Linotype" w:hAnsi="Palatino Linotype" w:cs="Palatino Linotype"/>
          <w:b/>
        </w:rPr>
        <w:t>EL SUJETO OBLIGADO</w:t>
      </w:r>
      <w:r w:rsidRPr="00F058B9">
        <w:rPr>
          <w:rFonts w:ascii="Palatino Linotype" w:eastAsia="Palatino Linotype" w:hAnsi="Palatino Linotype" w:cs="Palatino Linotype"/>
        </w:rPr>
        <w:t xml:space="preserve"> refiere que la cantidad de conexiones de agua y drenaje que han sido brindadas desde el año dos mil diecisiete a veintidós de marzo del dos mil veintidós.  </w:t>
      </w:r>
    </w:p>
    <w:p w14:paraId="5EA7EDF3" w14:textId="77777777" w:rsidR="00B11D9D" w:rsidRPr="00F058B9" w:rsidRDefault="00B11D9D">
      <w:pPr>
        <w:spacing w:line="360" w:lineRule="auto"/>
        <w:ind w:right="49"/>
        <w:jc w:val="both"/>
        <w:rPr>
          <w:rFonts w:ascii="Palatino Linotype" w:eastAsia="Palatino Linotype" w:hAnsi="Palatino Linotype" w:cs="Palatino Linotype"/>
        </w:rPr>
      </w:pPr>
    </w:p>
    <w:p w14:paraId="6B605AF1"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Señalando también que adjunta a al Informe Justificado los folios requeridos por el particular de tomas de agua y conexiones de drenaje del periodo comprendido al primero de enero de dos mil diecisiete a veintidós de marzo de dos mil veintidós como se puede apreciar en las imágenes que se insertan a continuación.  </w:t>
      </w:r>
    </w:p>
    <w:p w14:paraId="6A8DBD52" w14:textId="77777777" w:rsidR="00B11D9D" w:rsidRPr="00F058B9" w:rsidRDefault="00CF0DAC">
      <w:pPr>
        <w:spacing w:line="360" w:lineRule="auto"/>
        <w:ind w:right="49"/>
        <w:jc w:val="center"/>
        <w:rPr>
          <w:rFonts w:ascii="Palatino Linotype" w:eastAsia="Palatino Linotype" w:hAnsi="Palatino Linotype" w:cs="Palatino Linotype"/>
        </w:rPr>
      </w:pPr>
      <w:r w:rsidRPr="00F058B9">
        <w:rPr>
          <w:rFonts w:ascii="Palatino Linotype" w:eastAsia="Palatino Linotype" w:hAnsi="Palatino Linotype" w:cs="Palatino Linotype"/>
          <w:noProof/>
        </w:rPr>
        <w:lastRenderedPageBreak/>
        <w:drawing>
          <wp:inline distT="114300" distB="114300" distL="114300" distR="114300" wp14:anchorId="77D88073" wp14:editId="47C4BEFA">
            <wp:extent cx="3962400" cy="1921770"/>
            <wp:effectExtent l="0" t="0" r="0" b="0"/>
            <wp:docPr id="2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b="38109"/>
                    <a:stretch>
                      <a:fillRect/>
                    </a:stretch>
                  </pic:blipFill>
                  <pic:spPr>
                    <a:xfrm>
                      <a:off x="0" y="0"/>
                      <a:ext cx="3962400" cy="1921770"/>
                    </a:xfrm>
                    <a:prstGeom prst="rect">
                      <a:avLst/>
                    </a:prstGeom>
                    <a:ln/>
                  </pic:spPr>
                </pic:pic>
              </a:graphicData>
            </a:graphic>
          </wp:inline>
        </w:drawing>
      </w:r>
    </w:p>
    <w:p w14:paraId="5AA4D0AC" w14:textId="77777777" w:rsidR="00B11D9D" w:rsidRPr="00F058B9" w:rsidRDefault="00B11D9D">
      <w:pPr>
        <w:spacing w:line="360" w:lineRule="auto"/>
        <w:ind w:right="49"/>
        <w:jc w:val="center"/>
        <w:rPr>
          <w:rFonts w:ascii="Palatino Linotype" w:eastAsia="Palatino Linotype" w:hAnsi="Palatino Linotype" w:cs="Palatino Linotype"/>
        </w:rPr>
      </w:pPr>
    </w:p>
    <w:p w14:paraId="7FE6472C" w14:textId="77777777" w:rsidR="00B11D9D" w:rsidRPr="00F058B9" w:rsidRDefault="00CF0DAC">
      <w:pPr>
        <w:spacing w:line="360" w:lineRule="auto"/>
        <w:ind w:right="49"/>
        <w:jc w:val="center"/>
        <w:rPr>
          <w:rFonts w:ascii="Palatino Linotype" w:eastAsia="Palatino Linotype" w:hAnsi="Palatino Linotype" w:cs="Palatino Linotype"/>
        </w:rPr>
      </w:pPr>
      <w:r w:rsidRPr="00F058B9">
        <w:rPr>
          <w:rFonts w:ascii="Palatino Linotype" w:eastAsia="Palatino Linotype" w:hAnsi="Palatino Linotype" w:cs="Palatino Linotype"/>
          <w:noProof/>
        </w:rPr>
        <w:drawing>
          <wp:inline distT="114300" distB="114300" distL="114300" distR="114300" wp14:anchorId="61DF58C1" wp14:editId="505CDF72">
            <wp:extent cx="5791835" cy="1663700"/>
            <wp:effectExtent l="0" t="0" r="0" b="0"/>
            <wp:docPr id="2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791835" cy="1663700"/>
                    </a:xfrm>
                    <a:prstGeom prst="rect">
                      <a:avLst/>
                    </a:prstGeom>
                    <a:ln/>
                  </pic:spPr>
                </pic:pic>
              </a:graphicData>
            </a:graphic>
          </wp:inline>
        </w:drawing>
      </w:r>
    </w:p>
    <w:p w14:paraId="40456A61" w14:textId="77777777" w:rsidR="00B11D9D" w:rsidRPr="00F058B9" w:rsidRDefault="00B11D9D">
      <w:pPr>
        <w:spacing w:line="360" w:lineRule="auto"/>
        <w:ind w:right="49"/>
        <w:jc w:val="both"/>
        <w:rPr>
          <w:rFonts w:ascii="Palatino Linotype" w:eastAsia="Palatino Linotype" w:hAnsi="Palatino Linotype" w:cs="Palatino Linotype"/>
        </w:rPr>
      </w:pPr>
    </w:p>
    <w:p w14:paraId="420EEDC5" w14:textId="77777777" w:rsidR="00B11D9D" w:rsidRPr="00F058B9" w:rsidRDefault="00CF0DAC">
      <w:pPr>
        <w:widowControl w:val="0"/>
        <w:tabs>
          <w:tab w:val="left" w:pos="1701"/>
          <w:tab w:val="left" w:pos="1843"/>
        </w:tabs>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Es así que mediante el Informe Justificado, </w:t>
      </w:r>
      <w:r w:rsidRPr="00F058B9">
        <w:rPr>
          <w:rFonts w:ascii="Palatino Linotype" w:eastAsia="Palatino Linotype" w:hAnsi="Palatino Linotype" w:cs="Palatino Linotype"/>
          <w:b/>
        </w:rPr>
        <w:t>EL SUJETO OBLIGADO</w:t>
      </w:r>
      <w:r w:rsidRPr="00F058B9">
        <w:rPr>
          <w:rFonts w:ascii="Palatino Linotype" w:eastAsia="Palatino Linotype" w:hAnsi="Palatino Linotype" w:cs="Palatino Linotype"/>
        </w:rPr>
        <w:t xml:space="preserve"> se pronuncia sobre los requerimientos del particular informando el número de conexiones de agua y drenaje de los usuarios que cumplieron con los requisitos para tales efectos y con respecto a la información que obra dentro de sus archivos.  </w:t>
      </w:r>
    </w:p>
    <w:p w14:paraId="51C472EF" w14:textId="77777777" w:rsidR="00B11D9D" w:rsidRPr="00F058B9" w:rsidRDefault="00B11D9D">
      <w:pPr>
        <w:widowControl w:val="0"/>
        <w:tabs>
          <w:tab w:val="left" w:pos="1701"/>
          <w:tab w:val="left" w:pos="1843"/>
        </w:tabs>
        <w:spacing w:line="360" w:lineRule="auto"/>
        <w:ind w:right="49"/>
        <w:jc w:val="both"/>
        <w:rPr>
          <w:rFonts w:ascii="Palatino Linotype" w:eastAsia="Palatino Linotype" w:hAnsi="Palatino Linotype" w:cs="Palatino Linotype"/>
        </w:rPr>
      </w:pPr>
    </w:p>
    <w:p w14:paraId="787A28E4" w14:textId="2903D1B3" w:rsidR="00B11D9D" w:rsidRPr="00F058B9" w:rsidRDefault="00CF0DAC">
      <w:pPr>
        <w:widowControl w:val="0"/>
        <w:tabs>
          <w:tab w:val="left" w:pos="1701"/>
          <w:tab w:val="left" w:pos="1843"/>
        </w:tabs>
        <w:spacing w:line="360" w:lineRule="auto"/>
        <w:ind w:right="49"/>
        <w:jc w:val="both"/>
      </w:pPr>
      <w:r w:rsidRPr="00F058B9">
        <w:rPr>
          <w:rFonts w:ascii="Palatino Linotype" w:eastAsia="Palatino Linotype" w:hAnsi="Palatino Linotype" w:cs="Palatino Linotype"/>
        </w:rPr>
        <w:t xml:space="preserve">Sobre ello es importante señalar </w:t>
      </w:r>
      <w:r w:rsidR="00F058B9" w:rsidRPr="00F058B9">
        <w:rPr>
          <w:rFonts w:ascii="Palatino Linotype" w:eastAsia="Palatino Linotype" w:hAnsi="Palatino Linotype" w:cs="Palatino Linotype"/>
        </w:rPr>
        <w:t>que,</w:t>
      </w:r>
      <w:r w:rsidRPr="00F058B9">
        <w:rPr>
          <w:rFonts w:ascii="Palatino Linotype" w:eastAsia="Palatino Linotype" w:hAnsi="Palatino Linotype" w:cs="Palatino Linotype"/>
        </w:rPr>
        <w:t xml:space="preserve"> al haber existido un pronunciamiento por parte del </w:t>
      </w:r>
      <w:r w:rsidRPr="00F058B9">
        <w:rPr>
          <w:rFonts w:ascii="Palatino Linotype" w:eastAsia="Palatino Linotype" w:hAnsi="Palatino Linotype" w:cs="Palatino Linotype"/>
          <w:b/>
        </w:rPr>
        <w:t>SUJETO OBLIGADO</w:t>
      </w:r>
      <w:r w:rsidRPr="00F058B9">
        <w:rPr>
          <w:rFonts w:ascii="Palatino Linotype" w:eastAsia="Palatino Linotype" w:hAnsi="Palatino Linotype" w:cs="Palatino Linotype"/>
        </w:rPr>
        <w:t xml:space="preserve"> a fin de dar respuesta a los </w:t>
      </w:r>
      <w:r w:rsidR="00F058B9" w:rsidRPr="00F058B9">
        <w:rPr>
          <w:rFonts w:ascii="Palatino Linotype" w:eastAsia="Palatino Linotype" w:hAnsi="Palatino Linotype" w:cs="Palatino Linotype"/>
        </w:rPr>
        <w:t>cuestionamientos planteados</w:t>
      </w:r>
      <w:r w:rsidRPr="00F058B9">
        <w:rPr>
          <w:rFonts w:ascii="Palatino Linotype" w:eastAsia="Palatino Linotype" w:hAnsi="Palatino Linotype" w:cs="Palatino Linotype"/>
        </w:rPr>
        <w:t xml:space="preserve">, este Instituto no está facultado para manifestarse sobre la veracidad de la información </w:t>
      </w:r>
      <w:r w:rsidRPr="00F058B9">
        <w:rPr>
          <w:rFonts w:ascii="Palatino Linotype" w:eastAsia="Palatino Linotype" w:hAnsi="Palatino Linotype" w:cs="Palatino Linotype"/>
        </w:rPr>
        <w:lastRenderedPageBreak/>
        <w:t xml:space="preserve">proporcionada, lo anterior, conforme al artículo 36 de la Ley de la Materia. </w:t>
      </w:r>
    </w:p>
    <w:p w14:paraId="017FAC84" w14:textId="77777777" w:rsidR="00B11D9D" w:rsidRPr="00F058B9" w:rsidRDefault="00CF0DAC">
      <w:pPr>
        <w:spacing w:before="280" w:after="280" w:line="360" w:lineRule="auto"/>
        <w:jc w:val="both"/>
      </w:pPr>
      <w:r w:rsidRPr="00F058B9">
        <w:rPr>
          <w:rFonts w:ascii="Palatino Linotype" w:eastAsia="Palatino Linotype" w:hAnsi="Palatino Linotype" w:cs="Palatino Linotype"/>
        </w:rPr>
        <w:t>Sirve de sustento a lo anterior, el criterio 31/10 emitido por el entonces Instituto Federal de Acceso a la Información y Protección de Datos, ahora Instituto Nacional de Acceso a la Información y Protección de Datos,  el cual refiere: </w:t>
      </w:r>
    </w:p>
    <w:p w14:paraId="1A09F6D5" w14:textId="77777777" w:rsidR="00B11D9D" w:rsidRPr="00F058B9" w:rsidRDefault="00CF0DAC">
      <w:pPr>
        <w:ind w:left="851" w:right="1041"/>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F058B9">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058B9">
        <w:rPr>
          <w:rFonts w:ascii="Palatino Linotype" w:eastAsia="Palatino Linotype" w:hAnsi="Palatino Linotype" w:cs="Palatino Linotype"/>
          <w:b/>
          <w:i/>
          <w:sz w:val="22"/>
          <w:szCs w:val="22"/>
        </w:rPr>
        <w:t>”</w:t>
      </w:r>
      <w:r w:rsidRPr="00F058B9">
        <w:rPr>
          <w:rFonts w:ascii="Palatino Linotype" w:eastAsia="Palatino Linotype" w:hAnsi="Palatino Linotype" w:cs="Palatino Linotype"/>
          <w:i/>
          <w:sz w:val="22"/>
          <w:szCs w:val="22"/>
        </w:rPr>
        <w:t xml:space="preserve"> (Sic)</w:t>
      </w:r>
    </w:p>
    <w:p w14:paraId="0B4F09AC" w14:textId="77777777" w:rsidR="00B11D9D" w:rsidRPr="00F058B9" w:rsidRDefault="00B11D9D">
      <w:pPr>
        <w:ind w:left="851" w:right="1041"/>
        <w:jc w:val="both"/>
        <w:rPr>
          <w:rFonts w:ascii="Palatino Linotype" w:eastAsia="Palatino Linotype" w:hAnsi="Palatino Linotype" w:cs="Palatino Linotype"/>
          <w:i/>
          <w:sz w:val="22"/>
          <w:szCs w:val="22"/>
        </w:rPr>
      </w:pPr>
    </w:p>
    <w:p w14:paraId="7232C49D"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Así con la información proporcionada en el Informe Justificado se pueden colmar las partes de la solicitud de información identificadas con los numerales 1, 2, 3 y 4, relativos al número de conexiones de drenaje y agua y los números de folio de las solicitudes.  </w:t>
      </w:r>
    </w:p>
    <w:p w14:paraId="20ADBB47" w14:textId="77777777" w:rsidR="00B11D9D" w:rsidRPr="00F058B9" w:rsidRDefault="00B11D9D">
      <w:pPr>
        <w:spacing w:line="360" w:lineRule="auto"/>
        <w:ind w:right="49"/>
        <w:jc w:val="both"/>
        <w:rPr>
          <w:rFonts w:ascii="Palatino Linotype" w:eastAsia="Palatino Linotype" w:hAnsi="Palatino Linotype" w:cs="Palatino Linotype"/>
        </w:rPr>
      </w:pPr>
    </w:p>
    <w:p w14:paraId="43F654CE" w14:textId="1D3230D6"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En lo que respecta a los requerimientos 5 y 6 donde se solicitan los últimos 20 expedientes de conexiones de agua y drenaje sobre lo cual el ente recurrido señala en el Informe Justificado que remite las últimas 20 solicitudes de conexión de agua y </w:t>
      </w:r>
      <w:r w:rsidRPr="00F058B9">
        <w:rPr>
          <w:rFonts w:ascii="Palatino Linotype" w:eastAsia="Palatino Linotype" w:hAnsi="Palatino Linotype" w:cs="Palatino Linotype"/>
        </w:rPr>
        <w:lastRenderedPageBreak/>
        <w:t xml:space="preserve">drenaje. No </w:t>
      </w:r>
      <w:r w:rsidR="00F058B9" w:rsidRPr="00F058B9">
        <w:rPr>
          <w:rFonts w:ascii="Palatino Linotype" w:eastAsia="Palatino Linotype" w:hAnsi="Palatino Linotype" w:cs="Palatino Linotype"/>
        </w:rPr>
        <w:t>obstante,</w:t>
      </w:r>
      <w:r w:rsidRPr="00F058B9">
        <w:rPr>
          <w:rFonts w:ascii="Palatino Linotype" w:eastAsia="Palatino Linotype" w:hAnsi="Palatino Linotype" w:cs="Palatino Linotype"/>
        </w:rPr>
        <w:t xml:space="preserve"> dichos documentos no fueron puestos a disposición del particular, toda vez que de su contenido se aprecian datos personales visibles, tales como la dirección de particulares, nombres y firmas. </w:t>
      </w:r>
    </w:p>
    <w:p w14:paraId="5C203DA6" w14:textId="77777777" w:rsidR="00B11D9D" w:rsidRPr="00F058B9" w:rsidRDefault="00B11D9D">
      <w:pPr>
        <w:spacing w:line="360" w:lineRule="auto"/>
        <w:ind w:right="49"/>
        <w:jc w:val="both"/>
        <w:rPr>
          <w:rFonts w:ascii="Palatino Linotype" w:eastAsia="Palatino Linotype" w:hAnsi="Palatino Linotype" w:cs="Palatino Linotype"/>
        </w:rPr>
      </w:pPr>
    </w:p>
    <w:p w14:paraId="5BE9E8D6"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Luego entonces para poder satisfacer el derecho de acceso a la información del </w:t>
      </w:r>
      <w:r w:rsidRPr="00F058B9">
        <w:rPr>
          <w:rFonts w:ascii="Palatino Linotype" w:eastAsia="Palatino Linotype" w:hAnsi="Palatino Linotype" w:cs="Palatino Linotype"/>
          <w:b/>
        </w:rPr>
        <w:t>RECURRENTE</w:t>
      </w:r>
      <w:r w:rsidRPr="00F058B9">
        <w:rPr>
          <w:rFonts w:ascii="Palatino Linotype" w:eastAsia="Palatino Linotype" w:hAnsi="Palatino Linotype" w:cs="Palatino Linotype"/>
        </w:rPr>
        <w:t>,</w:t>
      </w:r>
      <w:r w:rsidRPr="00F058B9">
        <w:rPr>
          <w:rFonts w:ascii="Palatino Linotype" w:eastAsia="Palatino Linotype" w:hAnsi="Palatino Linotype" w:cs="Palatino Linotype"/>
          <w:b/>
        </w:rPr>
        <w:t xml:space="preserve"> EL SUJETO OBLIGADO</w:t>
      </w:r>
      <w:r w:rsidRPr="00F058B9">
        <w:rPr>
          <w:rFonts w:ascii="Palatino Linotype" w:eastAsia="Palatino Linotype" w:hAnsi="Palatino Linotype" w:cs="Palatino Linotype"/>
        </w:rPr>
        <w:t xml:space="preserve"> deberá hacer entrega de los mismos en su correcta versión pública. </w:t>
      </w:r>
    </w:p>
    <w:p w14:paraId="37964A49" w14:textId="77777777" w:rsidR="00B11D9D" w:rsidRPr="00F058B9" w:rsidRDefault="00B11D9D">
      <w:pPr>
        <w:spacing w:line="360" w:lineRule="auto"/>
        <w:ind w:right="49"/>
        <w:jc w:val="both"/>
        <w:rPr>
          <w:rFonts w:ascii="Palatino Linotype" w:eastAsia="Palatino Linotype" w:hAnsi="Palatino Linotype" w:cs="Palatino Linotype"/>
        </w:rPr>
      </w:pPr>
    </w:p>
    <w:p w14:paraId="1BACA59E"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En tal sentido, deberán ser testados los datos que actualicen las hipótesis normativas previstas en dicho precepto legal, y deberá procederse a su clasificación mediante las formalidades de Ley, es decir, que el Comité de Transparencia del </w:t>
      </w:r>
      <w:r w:rsidRPr="00F058B9">
        <w:rPr>
          <w:rFonts w:ascii="Palatino Linotype" w:eastAsia="Palatino Linotype" w:hAnsi="Palatino Linotype" w:cs="Palatino Linotype"/>
          <w:b/>
        </w:rPr>
        <w:t>SUJETO OBLIGADO</w:t>
      </w:r>
      <w:r w:rsidRPr="00F058B9">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495A62BC" w14:textId="77777777" w:rsidR="00B11D9D" w:rsidRPr="00F058B9" w:rsidRDefault="00B11D9D">
      <w:pPr>
        <w:spacing w:line="360" w:lineRule="auto"/>
        <w:jc w:val="both"/>
        <w:rPr>
          <w:rFonts w:ascii="Palatino Linotype" w:eastAsia="Palatino Linotype" w:hAnsi="Palatino Linotype" w:cs="Palatino Linotype"/>
        </w:rPr>
      </w:pPr>
    </w:p>
    <w:p w14:paraId="2B8A92F3"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lastRenderedPageBreak/>
        <w:t xml:space="preserve">Por ende, </w:t>
      </w:r>
      <w:r w:rsidRPr="00F058B9">
        <w:rPr>
          <w:rFonts w:ascii="Palatino Linotype" w:eastAsia="Palatino Linotype" w:hAnsi="Palatino Linotype" w:cs="Palatino Linotype"/>
          <w:b/>
        </w:rPr>
        <w:t>EL SUJETO OBLIGADO</w:t>
      </w:r>
      <w:r w:rsidRPr="00F058B9">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E344725" w14:textId="77777777" w:rsidR="00B11D9D" w:rsidRPr="00F058B9" w:rsidRDefault="00CF0DAC">
      <w:pPr>
        <w:ind w:left="851" w:right="902"/>
        <w:jc w:val="center"/>
        <w:rPr>
          <w:rFonts w:ascii="Palatino Linotype" w:eastAsia="Palatino Linotype" w:hAnsi="Palatino Linotype" w:cs="Palatino Linotype"/>
          <w:b/>
          <w:i/>
          <w:sz w:val="22"/>
          <w:szCs w:val="22"/>
        </w:rPr>
      </w:pPr>
      <w:r w:rsidRPr="00F058B9">
        <w:rPr>
          <w:rFonts w:ascii="Palatino Linotype" w:eastAsia="Palatino Linotype" w:hAnsi="Palatino Linotype" w:cs="Palatino Linotype"/>
          <w:b/>
          <w:i/>
          <w:sz w:val="22"/>
          <w:szCs w:val="22"/>
        </w:rPr>
        <w:t>Ley de Transparencia y Acceso a la Información Pública del Estado de México y Municipios</w:t>
      </w:r>
    </w:p>
    <w:p w14:paraId="369A5299"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w:t>
      </w:r>
      <w:r w:rsidRPr="00F058B9">
        <w:rPr>
          <w:rFonts w:ascii="Palatino Linotype" w:eastAsia="Palatino Linotype" w:hAnsi="Palatino Linotype" w:cs="Palatino Linotype"/>
          <w:b/>
          <w:i/>
          <w:sz w:val="22"/>
          <w:szCs w:val="22"/>
        </w:rPr>
        <w:t xml:space="preserve">Artículo 49. </w:t>
      </w:r>
      <w:r w:rsidRPr="00F058B9">
        <w:rPr>
          <w:rFonts w:ascii="Palatino Linotype" w:eastAsia="Palatino Linotype" w:hAnsi="Palatino Linotype" w:cs="Palatino Linotype"/>
          <w:i/>
          <w:sz w:val="22"/>
          <w:szCs w:val="22"/>
        </w:rPr>
        <w:t>Los Comités de Transparencia tendrán las siguientes atribuciones:</w:t>
      </w:r>
    </w:p>
    <w:p w14:paraId="595F90AC"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VIII.</w:t>
      </w:r>
      <w:r w:rsidRPr="00F058B9">
        <w:rPr>
          <w:rFonts w:ascii="Palatino Linotype" w:eastAsia="Palatino Linotype" w:hAnsi="Palatino Linotype" w:cs="Palatino Linotype"/>
          <w:i/>
          <w:sz w:val="22"/>
          <w:szCs w:val="22"/>
        </w:rPr>
        <w:t xml:space="preserve"> </w:t>
      </w:r>
      <w:r w:rsidRPr="00F058B9">
        <w:rPr>
          <w:rFonts w:ascii="Palatino Linotype" w:eastAsia="Palatino Linotype" w:hAnsi="Palatino Linotype" w:cs="Palatino Linotype"/>
          <w:b/>
          <w:i/>
          <w:sz w:val="22"/>
          <w:szCs w:val="22"/>
        </w:rPr>
        <w:t>Aprobar</w:t>
      </w:r>
      <w:r w:rsidRPr="00F058B9">
        <w:rPr>
          <w:rFonts w:ascii="Palatino Linotype" w:eastAsia="Palatino Linotype" w:hAnsi="Palatino Linotype" w:cs="Palatino Linotype"/>
          <w:i/>
          <w:sz w:val="22"/>
          <w:szCs w:val="22"/>
        </w:rPr>
        <w:t>, modificar o revocar la clasificación de la información;</w:t>
      </w:r>
    </w:p>
    <w:p w14:paraId="423DEF33" w14:textId="77777777" w:rsidR="00B11D9D" w:rsidRPr="00F058B9" w:rsidRDefault="00CF0DAC">
      <w:pPr>
        <w:ind w:left="851" w:right="902"/>
        <w:jc w:val="both"/>
        <w:rPr>
          <w:rFonts w:ascii="Palatino Linotype" w:eastAsia="Palatino Linotype" w:hAnsi="Palatino Linotype" w:cs="Palatino Linotype"/>
          <w:b/>
          <w:i/>
          <w:sz w:val="22"/>
          <w:szCs w:val="22"/>
        </w:rPr>
      </w:pPr>
      <w:r w:rsidRPr="00F058B9">
        <w:rPr>
          <w:rFonts w:ascii="Palatino Linotype" w:eastAsia="Palatino Linotype" w:hAnsi="Palatino Linotype" w:cs="Palatino Linotype"/>
          <w:b/>
          <w:i/>
          <w:sz w:val="22"/>
          <w:szCs w:val="22"/>
        </w:rPr>
        <w:t>Artículo 132.</w:t>
      </w:r>
      <w:r w:rsidRPr="00F058B9">
        <w:rPr>
          <w:rFonts w:ascii="Palatino Linotype" w:eastAsia="Palatino Linotype" w:hAnsi="Palatino Linotype" w:cs="Palatino Linotype"/>
          <w:i/>
          <w:sz w:val="22"/>
          <w:szCs w:val="22"/>
        </w:rPr>
        <w:t xml:space="preserve"> </w:t>
      </w:r>
      <w:r w:rsidRPr="00F058B9">
        <w:rPr>
          <w:rFonts w:ascii="Palatino Linotype" w:eastAsia="Palatino Linotype" w:hAnsi="Palatino Linotype" w:cs="Palatino Linotype"/>
          <w:b/>
          <w:i/>
          <w:sz w:val="22"/>
          <w:szCs w:val="22"/>
        </w:rPr>
        <w:t>La clasificación de la información se llevará a cabo en el momento en que:</w:t>
      </w:r>
    </w:p>
    <w:p w14:paraId="5D0E53C3"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w:t>
      </w:r>
    </w:p>
    <w:p w14:paraId="09B050AF"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II.</w:t>
      </w:r>
      <w:r w:rsidRPr="00F058B9">
        <w:rPr>
          <w:rFonts w:ascii="Palatino Linotype" w:eastAsia="Palatino Linotype" w:hAnsi="Palatino Linotype" w:cs="Palatino Linotype"/>
          <w:i/>
          <w:sz w:val="22"/>
          <w:szCs w:val="22"/>
        </w:rPr>
        <w:t xml:space="preserve"> Se determine mediante resolución de autoridad competente; o</w:t>
      </w:r>
    </w:p>
    <w:p w14:paraId="4C14122E"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III</w:t>
      </w:r>
      <w:r w:rsidRPr="00F058B9">
        <w:rPr>
          <w:rFonts w:ascii="Palatino Linotype" w:eastAsia="Palatino Linotype" w:hAnsi="Palatino Linotype" w:cs="Palatino Linotype"/>
          <w:i/>
          <w:sz w:val="22"/>
          <w:szCs w:val="22"/>
        </w:rPr>
        <w:t xml:space="preserve">. </w:t>
      </w:r>
      <w:r w:rsidRPr="00F058B9">
        <w:rPr>
          <w:rFonts w:ascii="Palatino Linotype" w:eastAsia="Palatino Linotype" w:hAnsi="Palatino Linotype" w:cs="Palatino Linotype"/>
          <w:b/>
          <w:i/>
          <w:sz w:val="22"/>
          <w:szCs w:val="22"/>
        </w:rPr>
        <w:t>Se generen versiones públicas para dar cumplimiento a las obligaciones de transparencia previstas en esta Ley</w:t>
      </w:r>
      <w:r w:rsidRPr="00F058B9">
        <w:rPr>
          <w:rFonts w:ascii="Palatino Linotype" w:eastAsia="Palatino Linotype" w:hAnsi="Palatino Linotype" w:cs="Palatino Linotype"/>
          <w:i/>
          <w:sz w:val="22"/>
          <w:szCs w:val="22"/>
        </w:rPr>
        <w:t>.”</w:t>
      </w:r>
    </w:p>
    <w:p w14:paraId="390A48ED" w14:textId="77777777" w:rsidR="00B11D9D" w:rsidRPr="00F058B9" w:rsidRDefault="00CF0DAC">
      <w:pPr>
        <w:ind w:left="851" w:right="902"/>
        <w:jc w:val="center"/>
        <w:rPr>
          <w:rFonts w:ascii="Palatino Linotype" w:eastAsia="Palatino Linotype" w:hAnsi="Palatino Linotype" w:cs="Palatino Linotype"/>
          <w:b/>
          <w:i/>
          <w:sz w:val="22"/>
          <w:szCs w:val="22"/>
        </w:rPr>
      </w:pPr>
      <w:r w:rsidRPr="00F058B9">
        <w:rPr>
          <w:rFonts w:ascii="Palatino Linotype" w:eastAsia="Palatino Linotype" w:hAnsi="Palatino Linotype" w:cs="Palatino Linotype"/>
          <w:b/>
          <w:i/>
          <w:sz w:val="22"/>
          <w:szCs w:val="22"/>
        </w:rPr>
        <w:t>Lineamientos Generales en materia de Clasificación y Desclasificación de la Información</w:t>
      </w:r>
    </w:p>
    <w:p w14:paraId="5A9C7A3F"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w:t>
      </w:r>
      <w:r w:rsidRPr="00F058B9">
        <w:rPr>
          <w:rFonts w:ascii="Palatino Linotype" w:eastAsia="Palatino Linotype" w:hAnsi="Palatino Linotype" w:cs="Palatino Linotype"/>
          <w:b/>
          <w:i/>
          <w:sz w:val="22"/>
          <w:szCs w:val="22"/>
        </w:rPr>
        <w:t>Segundo.-</w:t>
      </w:r>
      <w:r w:rsidRPr="00F058B9">
        <w:rPr>
          <w:rFonts w:ascii="Palatino Linotype" w:eastAsia="Palatino Linotype" w:hAnsi="Palatino Linotype" w:cs="Palatino Linotype"/>
          <w:i/>
          <w:sz w:val="22"/>
          <w:szCs w:val="22"/>
        </w:rPr>
        <w:t xml:space="preserve"> Para efectos de los presentes Lineamientos Generales, se entenderá por:</w:t>
      </w:r>
    </w:p>
    <w:p w14:paraId="400AAE09"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XVIII.</w:t>
      </w:r>
      <w:r w:rsidRPr="00F058B9">
        <w:rPr>
          <w:rFonts w:ascii="Palatino Linotype" w:eastAsia="Palatino Linotype" w:hAnsi="Palatino Linotype" w:cs="Palatino Linotype"/>
          <w:i/>
          <w:sz w:val="22"/>
          <w:szCs w:val="22"/>
        </w:rPr>
        <w:t xml:space="preserve"> </w:t>
      </w:r>
      <w:r w:rsidRPr="00F058B9">
        <w:rPr>
          <w:rFonts w:ascii="Palatino Linotype" w:eastAsia="Palatino Linotype" w:hAnsi="Palatino Linotype" w:cs="Palatino Linotype"/>
          <w:b/>
          <w:i/>
          <w:sz w:val="22"/>
          <w:szCs w:val="22"/>
        </w:rPr>
        <w:t>Versión pública:</w:t>
      </w:r>
      <w:r w:rsidRPr="00F058B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F058B9">
        <w:rPr>
          <w:rFonts w:ascii="Palatino Linotype" w:eastAsia="Palatino Linotype" w:hAnsi="Palatino Linotype" w:cs="Palatino Linotype"/>
          <w:b/>
          <w:i/>
          <w:sz w:val="22"/>
          <w:szCs w:val="22"/>
        </w:rPr>
        <w:t>fundando y motivando la</w:t>
      </w:r>
      <w:r w:rsidRPr="00F058B9">
        <w:rPr>
          <w:rFonts w:ascii="Palatino Linotype" w:eastAsia="Palatino Linotype" w:hAnsi="Palatino Linotype" w:cs="Palatino Linotype"/>
          <w:i/>
          <w:sz w:val="22"/>
          <w:szCs w:val="22"/>
        </w:rPr>
        <w:t xml:space="preserve"> reserva o </w:t>
      </w:r>
      <w:r w:rsidRPr="00F058B9">
        <w:rPr>
          <w:rFonts w:ascii="Palatino Linotype" w:eastAsia="Palatino Linotype" w:hAnsi="Palatino Linotype" w:cs="Palatino Linotype"/>
          <w:b/>
          <w:i/>
          <w:sz w:val="22"/>
          <w:szCs w:val="22"/>
        </w:rPr>
        <w:t>confidencialidad</w:t>
      </w:r>
      <w:r w:rsidRPr="00F058B9">
        <w:rPr>
          <w:rFonts w:ascii="Palatino Linotype" w:eastAsia="Palatino Linotype" w:hAnsi="Palatino Linotype" w:cs="Palatino Linotype"/>
          <w:i/>
          <w:sz w:val="22"/>
          <w:szCs w:val="22"/>
        </w:rPr>
        <w:t>, a través de la resolución que para tal efecto emita el Comité de Transparencia.</w:t>
      </w:r>
    </w:p>
    <w:p w14:paraId="74C35F5D"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Cuarto.</w:t>
      </w:r>
      <w:r w:rsidRPr="00F058B9">
        <w:rPr>
          <w:rFonts w:ascii="Palatino Linotype" w:eastAsia="Palatino Linotype" w:hAnsi="Palatino Linotype" w:cs="Palatino Linotype"/>
          <w:i/>
          <w:sz w:val="22"/>
          <w:szCs w:val="22"/>
        </w:rPr>
        <w:t xml:space="preserve"> </w:t>
      </w:r>
      <w:r w:rsidRPr="00F058B9">
        <w:rPr>
          <w:rFonts w:ascii="Palatino Linotype" w:eastAsia="Palatino Linotype" w:hAnsi="Palatino Linotype" w:cs="Palatino Linotype"/>
          <w:b/>
          <w:i/>
          <w:sz w:val="22"/>
          <w:szCs w:val="22"/>
        </w:rPr>
        <w:t>Para clasificar la información como</w:t>
      </w:r>
      <w:r w:rsidRPr="00F058B9">
        <w:rPr>
          <w:rFonts w:ascii="Palatino Linotype" w:eastAsia="Palatino Linotype" w:hAnsi="Palatino Linotype" w:cs="Palatino Linotype"/>
          <w:i/>
          <w:sz w:val="22"/>
          <w:szCs w:val="22"/>
        </w:rPr>
        <w:t xml:space="preserve"> reservada o </w:t>
      </w:r>
      <w:r w:rsidRPr="00F058B9">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F058B9">
        <w:rPr>
          <w:rFonts w:ascii="Palatino Linotype" w:eastAsia="Palatino Linotype" w:hAnsi="Palatino Linotype" w:cs="Palatino Linotype"/>
          <w:i/>
          <w:sz w:val="22"/>
          <w:szCs w:val="22"/>
        </w:rPr>
        <w:t xml:space="preserve">, en relación con las disposiciones contenidas en los presentes lineamientos, así como en aquellas </w:t>
      </w:r>
      <w:r w:rsidRPr="00F058B9">
        <w:rPr>
          <w:rFonts w:ascii="Palatino Linotype" w:eastAsia="Palatino Linotype" w:hAnsi="Palatino Linotype" w:cs="Palatino Linotype"/>
          <w:i/>
          <w:sz w:val="22"/>
          <w:szCs w:val="22"/>
        </w:rPr>
        <w:lastRenderedPageBreak/>
        <w:t>disposiciones legales aplicables a la materia en el ámbito de sus respectivas competencias, en tanto estas últimas no contravengan lo dispuesto en la Ley General.</w:t>
      </w:r>
    </w:p>
    <w:p w14:paraId="062E79A9"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FFDFA13"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Quinto.</w:t>
      </w:r>
      <w:r w:rsidRPr="00F058B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D6F6ECA"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Sexto.</w:t>
      </w:r>
      <w:r w:rsidRPr="00F058B9">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6FA0497"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08EDA17"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Séptimo.</w:t>
      </w:r>
      <w:r w:rsidRPr="00F058B9">
        <w:rPr>
          <w:rFonts w:ascii="Palatino Linotype" w:eastAsia="Palatino Linotype" w:hAnsi="Palatino Linotype" w:cs="Palatino Linotype"/>
          <w:i/>
          <w:sz w:val="22"/>
          <w:szCs w:val="22"/>
        </w:rPr>
        <w:t xml:space="preserve"> La clasificación de la información se llevará a cabo en el momento en que:</w:t>
      </w:r>
    </w:p>
    <w:p w14:paraId="435177E7"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I.</w:t>
      </w:r>
      <w:r w:rsidRPr="00F058B9">
        <w:rPr>
          <w:rFonts w:ascii="Palatino Linotype" w:eastAsia="Palatino Linotype" w:hAnsi="Palatino Linotype" w:cs="Palatino Linotype"/>
          <w:i/>
          <w:sz w:val="22"/>
          <w:szCs w:val="22"/>
        </w:rPr>
        <w:t xml:space="preserve"> Se reciba una solicitud de acceso a la información;</w:t>
      </w:r>
    </w:p>
    <w:p w14:paraId="2771A0B3"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II.</w:t>
      </w:r>
      <w:r w:rsidRPr="00F058B9">
        <w:rPr>
          <w:rFonts w:ascii="Palatino Linotype" w:eastAsia="Palatino Linotype" w:hAnsi="Palatino Linotype" w:cs="Palatino Linotype"/>
          <w:i/>
          <w:sz w:val="22"/>
          <w:szCs w:val="22"/>
        </w:rPr>
        <w:t xml:space="preserve"> Se determine mediante resolución de autoridad competente, o</w:t>
      </w:r>
    </w:p>
    <w:p w14:paraId="4D2ECD51"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III.</w:t>
      </w:r>
      <w:r w:rsidRPr="00F058B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787718C"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21BC886"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Octavo.</w:t>
      </w:r>
      <w:r w:rsidRPr="00F058B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EE88D27"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A7BEE27"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F6C37F7"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75ABEAD9"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5F5D8B3B"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Noveno.</w:t>
      </w:r>
      <w:r w:rsidRPr="00F058B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2B32EC7"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Décimo.</w:t>
      </w:r>
      <w:r w:rsidRPr="00F058B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F1641B0"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3E2DC06" w14:textId="77777777" w:rsidR="00B11D9D" w:rsidRPr="00F058B9" w:rsidRDefault="00CF0DAC">
      <w:pPr>
        <w:ind w:left="851" w:right="902"/>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Décimo primero.</w:t>
      </w:r>
      <w:r w:rsidRPr="00F058B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11F98E9" w14:textId="77777777" w:rsidR="00B11D9D" w:rsidRPr="00F058B9" w:rsidRDefault="00B11D9D">
      <w:pPr>
        <w:ind w:left="851" w:right="902"/>
        <w:jc w:val="both"/>
        <w:rPr>
          <w:rFonts w:ascii="Palatino Linotype" w:eastAsia="Palatino Linotype" w:hAnsi="Palatino Linotype" w:cs="Palatino Linotype"/>
          <w:i/>
          <w:sz w:val="22"/>
          <w:szCs w:val="22"/>
        </w:rPr>
      </w:pPr>
    </w:p>
    <w:p w14:paraId="443A0E77" w14:textId="77777777" w:rsidR="00B11D9D" w:rsidRPr="00F058B9" w:rsidRDefault="00CF0DAC">
      <w:pPr>
        <w:ind w:left="850" w:right="901"/>
        <w:jc w:val="center"/>
        <w:rPr>
          <w:rFonts w:ascii="Palatino Linotype" w:eastAsia="Palatino Linotype" w:hAnsi="Palatino Linotype" w:cs="Palatino Linotype"/>
          <w:b/>
          <w:i/>
          <w:sz w:val="22"/>
          <w:szCs w:val="22"/>
        </w:rPr>
      </w:pPr>
      <w:r w:rsidRPr="00F058B9">
        <w:rPr>
          <w:rFonts w:ascii="Palatino Linotype" w:eastAsia="Palatino Linotype" w:hAnsi="Palatino Linotype" w:cs="Palatino Linotype"/>
          <w:b/>
          <w:i/>
          <w:sz w:val="22"/>
          <w:szCs w:val="22"/>
        </w:rPr>
        <w:t>CAPÍTULO VIII</w:t>
      </w:r>
    </w:p>
    <w:p w14:paraId="0249D3AF" w14:textId="77777777" w:rsidR="00B11D9D" w:rsidRPr="00F058B9" w:rsidRDefault="00CF0DAC">
      <w:pPr>
        <w:ind w:left="850" w:right="901"/>
        <w:jc w:val="center"/>
        <w:rPr>
          <w:rFonts w:ascii="Palatino Linotype" w:eastAsia="Palatino Linotype" w:hAnsi="Palatino Linotype" w:cs="Palatino Linotype"/>
          <w:b/>
          <w:i/>
          <w:sz w:val="22"/>
          <w:szCs w:val="22"/>
        </w:rPr>
      </w:pPr>
      <w:r w:rsidRPr="00F058B9">
        <w:rPr>
          <w:rFonts w:ascii="Palatino Linotype" w:eastAsia="Palatino Linotype" w:hAnsi="Palatino Linotype" w:cs="Palatino Linotype"/>
          <w:b/>
          <w:i/>
          <w:sz w:val="22"/>
          <w:szCs w:val="22"/>
        </w:rPr>
        <w:t>DE LA LEYENDA DE CLASIFICACIÓN</w:t>
      </w:r>
    </w:p>
    <w:p w14:paraId="654A9BFE" w14:textId="77777777" w:rsidR="00B11D9D" w:rsidRPr="00F058B9" w:rsidRDefault="00CF0DAC">
      <w:pPr>
        <w:ind w:left="850" w:right="901"/>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 xml:space="preserve">Quincuagésimo. </w:t>
      </w:r>
      <w:r w:rsidRPr="00F058B9">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F058B9">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7A4F3AAF" w14:textId="77777777" w:rsidR="00B11D9D" w:rsidRPr="00F058B9" w:rsidRDefault="00CF0DAC">
      <w:pPr>
        <w:ind w:left="850" w:right="901"/>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w:t>
      </w:r>
    </w:p>
    <w:p w14:paraId="4C8B537E" w14:textId="77777777" w:rsidR="00B11D9D" w:rsidRPr="00F058B9" w:rsidRDefault="00CF0DAC">
      <w:pPr>
        <w:ind w:left="850" w:right="901"/>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b/>
          <w:i/>
          <w:sz w:val="22"/>
          <w:szCs w:val="22"/>
        </w:rPr>
        <w:t xml:space="preserve">Quincuagésimo tercero. </w:t>
      </w:r>
      <w:r w:rsidRPr="00F058B9">
        <w:rPr>
          <w:rFonts w:ascii="Palatino Linotype" w:eastAsia="Palatino Linotype" w:hAnsi="Palatino Linotype" w:cs="Palatino Linotype"/>
          <w:b/>
          <w:i/>
          <w:sz w:val="22"/>
          <w:szCs w:val="22"/>
          <w:u w:val="single"/>
        </w:rPr>
        <w:t>El formato para señalar la clasificación parcial de un documento</w:t>
      </w:r>
      <w:r w:rsidRPr="00F058B9">
        <w:rPr>
          <w:rFonts w:ascii="Palatino Linotype" w:eastAsia="Palatino Linotype" w:hAnsi="Palatino Linotype" w:cs="Palatino Linotype"/>
          <w:i/>
          <w:sz w:val="22"/>
          <w:szCs w:val="22"/>
        </w:rPr>
        <w:t>, es el siguiente:</w:t>
      </w:r>
    </w:p>
    <w:p w14:paraId="180EF5CC" w14:textId="77777777" w:rsidR="00791B78" w:rsidRPr="00F058B9" w:rsidRDefault="00791B78">
      <w:pPr>
        <w:ind w:left="850" w:right="901"/>
        <w:jc w:val="both"/>
        <w:rPr>
          <w:rFonts w:ascii="Palatino Linotype" w:eastAsia="Palatino Linotype" w:hAnsi="Palatino Linotype" w:cs="Palatino Linotype"/>
          <w:i/>
          <w:sz w:val="22"/>
          <w:szCs w:val="22"/>
        </w:rPr>
      </w:pPr>
    </w:p>
    <w:p w14:paraId="10F8519A" w14:textId="77777777" w:rsidR="00791B78" w:rsidRPr="00F058B9" w:rsidRDefault="00791B78">
      <w:pPr>
        <w:ind w:left="850" w:right="901"/>
        <w:jc w:val="both"/>
        <w:rPr>
          <w:rFonts w:ascii="Palatino Linotype" w:eastAsia="Palatino Linotype" w:hAnsi="Palatino Linotype" w:cs="Palatino Linotype"/>
          <w:i/>
          <w:sz w:val="22"/>
          <w:szCs w:val="22"/>
        </w:rPr>
      </w:pPr>
    </w:p>
    <w:p w14:paraId="215F4728" w14:textId="77777777" w:rsidR="00B11D9D" w:rsidRPr="00F058B9" w:rsidRDefault="00B11D9D">
      <w:pPr>
        <w:ind w:left="850" w:right="901"/>
        <w:jc w:val="both"/>
        <w:rPr>
          <w:rFonts w:ascii="Palatino Linotype" w:eastAsia="Palatino Linotype" w:hAnsi="Palatino Linotype" w:cs="Palatino Linotype"/>
          <w:i/>
          <w:sz w:val="22"/>
          <w:szCs w:val="22"/>
        </w:rPr>
      </w:pPr>
    </w:p>
    <w:tbl>
      <w:tblPr>
        <w:tblStyle w:val="afffff7"/>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B11D9D" w:rsidRPr="00F058B9" w14:paraId="09B7E11F"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5F398493" w14:textId="77777777" w:rsidR="00B11D9D" w:rsidRPr="00F058B9" w:rsidRDefault="00B11D9D">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C9FDA56" w14:textId="77777777" w:rsidR="00B11D9D" w:rsidRPr="00F058B9" w:rsidRDefault="00CF0DAC">
            <w:pPr>
              <w:jc w:val="center"/>
              <w:rPr>
                <w:rFonts w:ascii="Palatino Linotype" w:eastAsia="Palatino Linotype" w:hAnsi="Palatino Linotype" w:cs="Palatino Linotype"/>
                <w:b/>
                <w:i/>
              </w:rPr>
            </w:pPr>
            <w:r w:rsidRPr="00F058B9">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B87F466" w14:textId="77777777" w:rsidR="00B11D9D" w:rsidRPr="00F058B9" w:rsidRDefault="00CF0DAC">
            <w:pPr>
              <w:jc w:val="center"/>
              <w:rPr>
                <w:rFonts w:ascii="Palatino Linotype" w:eastAsia="Palatino Linotype" w:hAnsi="Palatino Linotype" w:cs="Palatino Linotype"/>
                <w:b/>
                <w:i/>
              </w:rPr>
            </w:pPr>
            <w:r w:rsidRPr="00F058B9">
              <w:rPr>
                <w:rFonts w:ascii="Palatino Linotype" w:eastAsia="Palatino Linotype" w:hAnsi="Palatino Linotype" w:cs="Palatino Linotype"/>
                <w:b/>
                <w:i/>
              </w:rPr>
              <w:t>Dónde:</w:t>
            </w:r>
          </w:p>
        </w:tc>
      </w:tr>
      <w:tr w:rsidR="00B11D9D" w:rsidRPr="00F058B9" w14:paraId="576D25AC"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6E442399" w14:textId="77777777" w:rsidR="00B11D9D" w:rsidRPr="00F058B9" w:rsidRDefault="00CF0DAC">
            <w:pPr>
              <w:jc w:val="center"/>
              <w:rPr>
                <w:rFonts w:ascii="Palatino Linotype" w:eastAsia="Palatino Linotype" w:hAnsi="Palatino Linotype" w:cs="Palatino Linotype"/>
                <w:b/>
                <w:i/>
              </w:rPr>
            </w:pPr>
            <w:r w:rsidRPr="00F058B9">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47168D68" w14:textId="77777777" w:rsidR="00B11D9D" w:rsidRPr="00F058B9" w:rsidRDefault="00CF0DAC">
            <w:pPr>
              <w:jc w:val="center"/>
              <w:rPr>
                <w:rFonts w:ascii="Palatino Linotype" w:eastAsia="Palatino Linotype" w:hAnsi="Palatino Linotype" w:cs="Palatino Linotype"/>
                <w:i/>
              </w:rPr>
            </w:pPr>
            <w:r w:rsidRPr="00F058B9">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73BAD1E" w14:textId="77777777" w:rsidR="00B11D9D" w:rsidRPr="00F058B9" w:rsidRDefault="00CF0DAC">
            <w:pPr>
              <w:jc w:val="both"/>
              <w:rPr>
                <w:rFonts w:ascii="Palatino Linotype" w:eastAsia="Palatino Linotype" w:hAnsi="Palatino Linotype" w:cs="Palatino Linotype"/>
                <w:i/>
              </w:rPr>
            </w:pPr>
            <w:r w:rsidRPr="00F058B9">
              <w:rPr>
                <w:rFonts w:ascii="Palatino Linotype" w:eastAsia="Palatino Linotype" w:hAnsi="Palatino Linotype" w:cs="Palatino Linotype"/>
                <w:i/>
              </w:rPr>
              <w:t>Se anotará la fecha en la que el Comité de Transparencia confirmó la clasificación del documento, en su caso.</w:t>
            </w:r>
          </w:p>
        </w:tc>
      </w:tr>
      <w:tr w:rsidR="00B11D9D" w:rsidRPr="00F058B9" w14:paraId="12758298"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14B2628" w14:textId="77777777" w:rsidR="00B11D9D" w:rsidRPr="00F058B9" w:rsidRDefault="00B11D9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B038AE0" w14:textId="77777777" w:rsidR="00B11D9D" w:rsidRPr="00F058B9" w:rsidRDefault="00CF0DAC">
            <w:pPr>
              <w:jc w:val="center"/>
              <w:rPr>
                <w:rFonts w:ascii="Palatino Linotype" w:eastAsia="Palatino Linotype" w:hAnsi="Palatino Linotype" w:cs="Palatino Linotype"/>
                <w:i/>
              </w:rPr>
            </w:pPr>
            <w:r w:rsidRPr="00F058B9">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21F36BA6" w14:textId="77777777" w:rsidR="00B11D9D" w:rsidRPr="00F058B9" w:rsidRDefault="00CF0DAC">
            <w:pPr>
              <w:jc w:val="both"/>
              <w:rPr>
                <w:rFonts w:ascii="Palatino Linotype" w:eastAsia="Palatino Linotype" w:hAnsi="Palatino Linotype" w:cs="Palatino Linotype"/>
                <w:i/>
              </w:rPr>
            </w:pPr>
            <w:r w:rsidRPr="00F058B9">
              <w:rPr>
                <w:rFonts w:ascii="Palatino Linotype" w:eastAsia="Palatino Linotype" w:hAnsi="Palatino Linotype" w:cs="Palatino Linotype"/>
                <w:i/>
              </w:rPr>
              <w:t>Se señalará el nombre del área del cual es titular quien clasifica.</w:t>
            </w:r>
          </w:p>
        </w:tc>
      </w:tr>
      <w:tr w:rsidR="00B11D9D" w:rsidRPr="00F058B9" w14:paraId="66F6FEE9"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11FB90A" w14:textId="77777777" w:rsidR="00B11D9D" w:rsidRPr="00F058B9" w:rsidRDefault="00B11D9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90A9AD5" w14:textId="77777777" w:rsidR="00B11D9D" w:rsidRPr="00F058B9" w:rsidRDefault="00CF0DAC">
            <w:pPr>
              <w:jc w:val="center"/>
              <w:rPr>
                <w:rFonts w:ascii="Palatino Linotype" w:eastAsia="Palatino Linotype" w:hAnsi="Palatino Linotype" w:cs="Palatino Linotype"/>
                <w:i/>
              </w:rPr>
            </w:pPr>
            <w:r w:rsidRPr="00F058B9">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26E2D44B" w14:textId="77777777" w:rsidR="00B11D9D" w:rsidRPr="00F058B9" w:rsidRDefault="00CF0DAC">
            <w:pPr>
              <w:jc w:val="both"/>
              <w:rPr>
                <w:rFonts w:ascii="Palatino Linotype" w:eastAsia="Palatino Linotype" w:hAnsi="Palatino Linotype" w:cs="Palatino Linotype"/>
                <w:i/>
              </w:rPr>
            </w:pPr>
            <w:r w:rsidRPr="00F058B9">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11D9D" w:rsidRPr="00F058B9" w14:paraId="5D7AF2EA"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C9E1D4B" w14:textId="77777777" w:rsidR="00B11D9D" w:rsidRPr="00F058B9" w:rsidRDefault="00B11D9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8D68842" w14:textId="77777777" w:rsidR="00B11D9D" w:rsidRPr="00F058B9" w:rsidRDefault="00CF0DAC">
            <w:pPr>
              <w:jc w:val="center"/>
              <w:rPr>
                <w:rFonts w:ascii="Palatino Linotype" w:eastAsia="Palatino Linotype" w:hAnsi="Palatino Linotype" w:cs="Palatino Linotype"/>
                <w:i/>
              </w:rPr>
            </w:pPr>
            <w:r w:rsidRPr="00F058B9">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693626CA" w14:textId="77777777" w:rsidR="00B11D9D" w:rsidRPr="00F058B9" w:rsidRDefault="00CF0DAC">
            <w:pPr>
              <w:jc w:val="both"/>
              <w:rPr>
                <w:rFonts w:ascii="Palatino Linotype" w:eastAsia="Palatino Linotype" w:hAnsi="Palatino Linotype" w:cs="Palatino Linotype"/>
                <w:i/>
              </w:rPr>
            </w:pPr>
            <w:r w:rsidRPr="00F058B9">
              <w:rPr>
                <w:rFonts w:ascii="Palatino Linotype" w:eastAsia="Palatino Linotype" w:hAnsi="Palatino Linotype" w:cs="Palatino Linotype"/>
                <w:i/>
              </w:rPr>
              <w:t>Se anotará el número de años o meses por los que se mantendrá el documento o las partes del mismo como reservado.</w:t>
            </w:r>
          </w:p>
        </w:tc>
      </w:tr>
      <w:tr w:rsidR="00B11D9D" w:rsidRPr="00F058B9" w14:paraId="7A81D94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0C5EB8D" w14:textId="77777777" w:rsidR="00B11D9D" w:rsidRPr="00F058B9" w:rsidRDefault="00B11D9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3EA5351" w14:textId="77777777" w:rsidR="00B11D9D" w:rsidRPr="00F058B9" w:rsidRDefault="00CF0DAC">
            <w:pPr>
              <w:jc w:val="center"/>
              <w:rPr>
                <w:rFonts w:ascii="Palatino Linotype" w:eastAsia="Palatino Linotype" w:hAnsi="Palatino Linotype" w:cs="Palatino Linotype"/>
                <w:i/>
              </w:rPr>
            </w:pPr>
            <w:r w:rsidRPr="00F058B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F8B351F" w14:textId="77777777" w:rsidR="00B11D9D" w:rsidRPr="00F058B9" w:rsidRDefault="00CF0DAC">
            <w:pPr>
              <w:jc w:val="both"/>
              <w:rPr>
                <w:rFonts w:ascii="Palatino Linotype" w:eastAsia="Palatino Linotype" w:hAnsi="Palatino Linotype" w:cs="Palatino Linotype"/>
                <w:i/>
              </w:rPr>
            </w:pPr>
            <w:r w:rsidRPr="00F058B9">
              <w:rPr>
                <w:rFonts w:ascii="Palatino Linotype" w:eastAsia="Palatino Linotype" w:hAnsi="Palatino Linotype" w:cs="Palatino Linotype"/>
                <w:i/>
              </w:rPr>
              <w:t>Se señalará el nombre del ordenamiento, el o los artículos, fracción(es), párrafo(s) con base en los cuales se sustente la reserva.</w:t>
            </w:r>
          </w:p>
        </w:tc>
      </w:tr>
      <w:tr w:rsidR="00B11D9D" w:rsidRPr="00F058B9" w14:paraId="687419B0"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2794BA9" w14:textId="77777777" w:rsidR="00B11D9D" w:rsidRPr="00F058B9" w:rsidRDefault="00B11D9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2588EB3" w14:textId="77777777" w:rsidR="00B11D9D" w:rsidRPr="00F058B9" w:rsidRDefault="00CF0DAC">
            <w:pPr>
              <w:jc w:val="center"/>
              <w:rPr>
                <w:rFonts w:ascii="Palatino Linotype" w:eastAsia="Palatino Linotype" w:hAnsi="Palatino Linotype" w:cs="Palatino Linotype"/>
                <w:i/>
              </w:rPr>
            </w:pPr>
            <w:r w:rsidRPr="00F058B9">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7A674FFA" w14:textId="77777777" w:rsidR="00B11D9D" w:rsidRPr="00F058B9" w:rsidRDefault="00CF0DAC">
            <w:pPr>
              <w:jc w:val="both"/>
              <w:rPr>
                <w:rFonts w:ascii="Palatino Linotype" w:eastAsia="Palatino Linotype" w:hAnsi="Palatino Linotype" w:cs="Palatino Linotype"/>
                <w:i/>
              </w:rPr>
            </w:pPr>
            <w:r w:rsidRPr="00F058B9">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B11D9D" w:rsidRPr="00F058B9" w14:paraId="5627F15B"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90A561F" w14:textId="77777777" w:rsidR="00B11D9D" w:rsidRPr="00F058B9" w:rsidRDefault="00B11D9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C96AD4B" w14:textId="77777777" w:rsidR="00B11D9D" w:rsidRPr="00F058B9" w:rsidRDefault="00CF0DAC">
            <w:pPr>
              <w:jc w:val="center"/>
              <w:rPr>
                <w:rFonts w:ascii="Palatino Linotype" w:eastAsia="Palatino Linotype" w:hAnsi="Palatino Linotype" w:cs="Palatino Linotype"/>
                <w:b/>
                <w:i/>
                <w:u w:val="single"/>
              </w:rPr>
            </w:pPr>
            <w:r w:rsidRPr="00F058B9">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2B82DB68" w14:textId="77777777" w:rsidR="00B11D9D" w:rsidRPr="00F058B9" w:rsidRDefault="00CF0DAC">
            <w:pPr>
              <w:jc w:val="both"/>
              <w:rPr>
                <w:rFonts w:ascii="Palatino Linotype" w:eastAsia="Palatino Linotype" w:hAnsi="Palatino Linotype" w:cs="Palatino Linotype"/>
                <w:i/>
              </w:rPr>
            </w:pPr>
            <w:r w:rsidRPr="00F058B9">
              <w:rPr>
                <w:rFonts w:ascii="Palatino Linotype" w:eastAsia="Palatino Linotype" w:hAnsi="Palatino Linotype" w:cs="Palatino Linotype"/>
                <w:i/>
              </w:rPr>
              <w:t xml:space="preserve">Se indicarán, en su caso, </w:t>
            </w:r>
            <w:r w:rsidRPr="00F058B9">
              <w:rPr>
                <w:rFonts w:ascii="Palatino Linotype" w:eastAsia="Palatino Linotype" w:hAnsi="Palatino Linotype" w:cs="Palatino Linotype"/>
                <w:b/>
                <w:i/>
                <w:u w:val="single"/>
              </w:rPr>
              <w:t>las partes o páginas del documento que se clasifica como confidencial</w:t>
            </w:r>
            <w:r w:rsidRPr="00F058B9">
              <w:rPr>
                <w:rFonts w:ascii="Palatino Linotype" w:eastAsia="Palatino Linotype" w:hAnsi="Palatino Linotype" w:cs="Palatino Linotype"/>
                <w:i/>
              </w:rPr>
              <w:t xml:space="preserve">. </w:t>
            </w:r>
            <w:r w:rsidRPr="00F058B9">
              <w:rPr>
                <w:rFonts w:ascii="Palatino Linotype" w:eastAsia="Palatino Linotype" w:hAnsi="Palatino Linotype" w:cs="Palatino Linotype"/>
                <w:b/>
                <w:i/>
                <w:u w:val="single"/>
              </w:rPr>
              <w:t>Si el documento fuera confidencial en su totalidad, se anotarán todas las páginas que lo conforman</w:t>
            </w:r>
            <w:r w:rsidRPr="00F058B9">
              <w:rPr>
                <w:rFonts w:ascii="Palatino Linotype" w:eastAsia="Palatino Linotype" w:hAnsi="Palatino Linotype" w:cs="Palatino Linotype"/>
                <w:i/>
              </w:rPr>
              <w:t>. Si el documento no contiene información confidencial, se tachará este apartado.</w:t>
            </w:r>
          </w:p>
        </w:tc>
      </w:tr>
      <w:tr w:rsidR="00B11D9D" w:rsidRPr="00F058B9" w14:paraId="04983F33"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5632253" w14:textId="77777777" w:rsidR="00B11D9D" w:rsidRPr="00F058B9" w:rsidRDefault="00B11D9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728A411" w14:textId="77777777" w:rsidR="00B11D9D" w:rsidRPr="00F058B9" w:rsidRDefault="00CF0DAC">
            <w:pPr>
              <w:jc w:val="center"/>
              <w:rPr>
                <w:rFonts w:ascii="Palatino Linotype" w:eastAsia="Palatino Linotype" w:hAnsi="Palatino Linotype" w:cs="Palatino Linotype"/>
                <w:i/>
              </w:rPr>
            </w:pPr>
            <w:r w:rsidRPr="00F058B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D2AF8D1" w14:textId="77777777" w:rsidR="00B11D9D" w:rsidRPr="00F058B9" w:rsidRDefault="00CF0DAC">
            <w:pPr>
              <w:jc w:val="both"/>
              <w:rPr>
                <w:rFonts w:ascii="Palatino Linotype" w:eastAsia="Palatino Linotype" w:hAnsi="Palatino Linotype" w:cs="Palatino Linotype"/>
                <w:i/>
              </w:rPr>
            </w:pPr>
            <w:r w:rsidRPr="00F058B9">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B11D9D" w:rsidRPr="00F058B9" w14:paraId="4A142C48"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FBD2FC3" w14:textId="77777777" w:rsidR="00B11D9D" w:rsidRPr="00F058B9" w:rsidRDefault="00B11D9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7DE3A6E" w14:textId="77777777" w:rsidR="00B11D9D" w:rsidRPr="00F058B9" w:rsidRDefault="00CF0DAC">
            <w:pPr>
              <w:jc w:val="center"/>
              <w:rPr>
                <w:rFonts w:ascii="Palatino Linotype" w:eastAsia="Palatino Linotype" w:hAnsi="Palatino Linotype" w:cs="Palatino Linotype"/>
                <w:i/>
              </w:rPr>
            </w:pPr>
            <w:r w:rsidRPr="00F058B9">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23749210" w14:textId="77777777" w:rsidR="00B11D9D" w:rsidRPr="00F058B9" w:rsidRDefault="00CF0DAC">
            <w:pPr>
              <w:jc w:val="both"/>
              <w:rPr>
                <w:rFonts w:ascii="Palatino Linotype" w:eastAsia="Palatino Linotype" w:hAnsi="Palatino Linotype" w:cs="Palatino Linotype"/>
                <w:i/>
              </w:rPr>
            </w:pPr>
            <w:r w:rsidRPr="00F058B9">
              <w:rPr>
                <w:rFonts w:ascii="Palatino Linotype" w:eastAsia="Palatino Linotype" w:hAnsi="Palatino Linotype" w:cs="Palatino Linotype"/>
                <w:i/>
              </w:rPr>
              <w:t>Rúbrica autógrafa de quien clasifica.</w:t>
            </w:r>
          </w:p>
        </w:tc>
      </w:tr>
      <w:tr w:rsidR="00B11D9D" w:rsidRPr="00F058B9" w14:paraId="4E9CEF65"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2F3900A" w14:textId="77777777" w:rsidR="00B11D9D" w:rsidRPr="00F058B9" w:rsidRDefault="00B11D9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4E986DB" w14:textId="77777777" w:rsidR="00B11D9D" w:rsidRPr="00F058B9" w:rsidRDefault="00CF0DAC">
            <w:pPr>
              <w:jc w:val="center"/>
              <w:rPr>
                <w:rFonts w:ascii="Palatino Linotype" w:eastAsia="Palatino Linotype" w:hAnsi="Palatino Linotype" w:cs="Palatino Linotype"/>
                <w:i/>
              </w:rPr>
            </w:pPr>
            <w:r w:rsidRPr="00F058B9">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1DE75462" w14:textId="77777777" w:rsidR="00B11D9D" w:rsidRPr="00F058B9" w:rsidRDefault="00CF0DAC">
            <w:pPr>
              <w:jc w:val="both"/>
              <w:rPr>
                <w:rFonts w:ascii="Palatino Linotype" w:eastAsia="Palatino Linotype" w:hAnsi="Palatino Linotype" w:cs="Palatino Linotype"/>
                <w:i/>
              </w:rPr>
            </w:pPr>
            <w:r w:rsidRPr="00F058B9">
              <w:rPr>
                <w:rFonts w:ascii="Palatino Linotype" w:eastAsia="Palatino Linotype" w:hAnsi="Palatino Linotype" w:cs="Palatino Linotype"/>
                <w:i/>
              </w:rPr>
              <w:t>Se anotará la fecha en que se desclasifica el documento.</w:t>
            </w:r>
          </w:p>
        </w:tc>
      </w:tr>
      <w:tr w:rsidR="00B11D9D" w:rsidRPr="00F058B9" w14:paraId="1BA363FD"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598CD94" w14:textId="77777777" w:rsidR="00B11D9D" w:rsidRPr="00F058B9" w:rsidRDefault="00B11D9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213A972" w14:textId="77777777" w:rsidR="00B11D9D" w:rsidRPr="00F058B9" w:rsidRDefault="00CF0DAC">
            <w:pPr>
              <w:jc w:val="center"/>
              <w:rPr>
                <w:rFonts w:ascii="Palatino Linotype" w:eastAsia="Palatino Linotype" w:hAnsi="Palatino Linotype" w:cs="Palatino Linotype"/>
                <w:i/>
              </w:rPr>
            </w:pPr>
            <w:r w:rsidRPr="00F058B9">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4758257F" w14:textId="77777777" w:rsidR="00B11D9D" w:rsidRPr="00F058B9" w:rsidRDefault="00CF0DAC">
            <w:pPr>
              <w:rPr>
                <w:rFonts w:ascii="Palatino Linotype" w:eastAsia="Palatino Linotype" w:hAnsi="Palatino Linotype" w:cs="Palatino Linotype"/>
                <w:i/>
              </w:rPr>
            </w:pPr>
            <w:r w:rsidRPr="00F058B9">
              <w:rPr>
                <w:rFonts w:ascii="Palatino Linotype" w:eastAsia="Palatino Linotype" w:hAnsi="Palatino Linotype" w:cs="Palatino Linotype"/>
                <w:i/>
              </w:rPr>
              <w:t>Rúbrica autógrafa de quien desclasifica.</w:t>
            </w:r>
          </w:p>
        </w:tc>
      </w:tr>
    </w:tbl>
    <w:p w14:paraId="663FAC23" w14:textId="77777777" w:rsidR="00B11D9D" w:rsidRPr="00F058B9" w:rsidRDefault="00CF0DAC">
      <w:pPr>
        <w:ind w:left="709" w:right="709"/>
        <w:jc w:val="both"/>
        <w:rPr>
          <w:rFonts w:ascii="Palatino Linotype" w:eastAsia="Palatino Linotype" w:hAnsi="Palatino Linotype" w:cs="Palatino Linotype"/>
          <w:sz w:val="22"/>
          <w:szCs w:val="22"/>
        </w:rPr>
      </w:pPr>
      <w:r w:rsidRPr="00F058B9">
        <w:rPr>
          <w:rFonts w:ascii="Palatino Linotype" w:eastAsia="Palatino Linotype" w:hAnsi="Palatino Linotype" w:cs="Palatino Linotype"/>
          <w:sz w:val="22"/>
          <w:szCs w:val="22"/>
        </w:rPr>
        <w:t>(Énfasis Añadido)</w:t>
      </w:r>
    </w:p>
    <w:p w14:paraId="33BBA2A4" w14:textId="77777777" w:rsidR="00B11D9D" w:rsidRPr="00F058B9" w:rsidRDefault="00B11D9D">
      <w:pPr>
        <w:spacing w:line="360" w:lineRule="auto"/>
        <w:jc w:val="both"/>
        <w:rPr>
          <w:rFonts w:ascii="Palatino Linotype" w:eastAsia="Palatino Linotype" w:hAnsi="Palatino Linotype" w:cs="Palatino Linotype"/>
        </w:rPr>
      </w:pPr>
    </w:p>
    <w:p w14:paraId="405B44F2"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rPr>
        <w:t xml:space="preserve">Es importante referir que, </w:t>
      </w:r>
      <w:r w:rsidRPr="00F058B9">
        <w:rPr>
          <w:rFonts w:ascii="Palatino Linotype" w:eastAsia="Palatino Linotype" w:hAnsi="Palatino Linotype" w:cs="Palatino Linotype"/>
          <w:b/>
        </w:rPr>
        <w:t>EL SUJETO OBLIGADO</w:t>
      </w:r>
      <w:r w:rsidRPr="00F058B9">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F058B9">
        <w:rPr>
          <w:rFonts w:ascii="Palatino Linotype" w:eastAsia="Palatino Linotype" w:hAnsi="Palatino Linotype" w:cs="Palatino Linotype"/>
          <w:b/>
        </w:rPr>
        <w:t xml:space="preserve"> </w:t>
      </w:r>
      <w:r w:rsidRPr="00F058B9">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870C9D0" w14:textId="77777777" w:rsidR="00B11D9D" w:rsidRPr="00F058B9" w:rsidRDefault="00B11D9D">
      <w:pPr>
        <w:spacing w:line="360" w:lineRule="auto"/>
        <w:ind w:right="-28"/>
        <w:jc w:val="both"/>
        <w:rPr>
          <w:rFonts w:ascii="Palatino Linotype" w:eastAsia="Palatino Linotype" w:hAnsi="Palatino Linotype" w:cs="Palatino Linotype"/>
        </w:rPr>
      </w:pPr>
    </w:p>
    <w:p w14:paraId="69FAF87E" w14:textId="77777777" w:rsidR="00B11D9D" w:rsidRPr="00F058B9" w:rsidRDefault="00CF0DAC">
      <w:pPr>
        <w:spacing w:line="360" w:lineRule="auto"/>
        <w:jc w:val="both"/>
        <w:rPr>
          <w:rFonts w:ascii="Palatino Linotype" w:eastAsia="Palatino Linotype" w:hAnsi="Palatino Linotype" w:cs="Palatino Linotype"/>
          <w:sz w:val="22"/>
          <w:szCs w:val="22"/>
        </w:rPr>
      </w:pPr>
      <w:bookmarkStart w:id="5" w:name="_heading=h.ba50id1aq30d" w:colFirst="0" w:colLast="0"/>
      <w:bookmarkEnd w:id="5"/>
      <w:r w:rsidRPr="00F058B9">
        <w:rPr>
          <w:rFonts w:ascii="Palatino Linotype" w:eastAsia="Palatino Linotype" w:hAnsi="Palatino Linotype" w:cs="Palatino Linotype"/>
        </w:rPr>
        <w:lastRenderedPageBreak/>
        <w:t>Expuesto todo lo anterior</w:t>
      </w:r>
      <w:r w:rsidRPr="00F058B9">
        <w:rPr>
          <w:rFonts w:ascii="Palatino Linotype" w:eastAsia="Palatino Linotype" w:hAnsi="Palatino Linotype" w:cs="Palatino Linotype"/>
          <w:b/>
        </w:rPr>
        <w:t xml:space="preserve">, </w:t>
      </w:r>
      <w:r w:rsidRPr="00F058B9">
        <w:rPr>
          <w:rFonts w:ascii="Palatino Linotype" w:eastAsia="Palatino Linotype" w:hAnsi="Palatino Linotype" w:cs="Palatino Linotype"/>
        </w:rPr>
        <w:t xml:space="preserve">en términos de lo dispuesto en el artículo 186, fracción III de la Ley de Transparencia y Acceso a la Información Pública del Estado de México y Municipios, el Pleno de este Instituto, estima que las razones o motivos de inconformidad hechos valer por </w:t>
      </w:r>
      <w:r w:rsidRPr="00F058B9">
        <w:rPr>
          <w:rFonts w:ascii="Palatino Linotype" w:eastAsia="Palatino Linotype" w:hAnsi="Palatino Linotype" w:cs="Palatino Linotype"/>
          <w:b/>
        </w:rPr>
        <w:t>EL RECURRENTE</w:t>
      </w:r>
      <w:r w:rsidRPr="00F058B9">
        <w:rPr>
          <w:rFonts w:ascii="Palatino Linotype" w:eastAsia="Palatino Linotype" w:hAnsi="Palatino Linotype" w:cs="Palatino Linotype"/>
        </w:rPr>
        <w:t xml:space="preserve"> resultan </w:t>
      </w:r>
      <w:r w:rsidRPr="00F058B9">
        <w:rPr>
          <w:rFonts w:ascii="Palatino Linotype" w:eastAsia="Palatino Linotype" w:hAnsi="Palatino Linotype" w:cs="Palatino Linotype"/>
          <w:b/>
        </w:rPr>
        <w:t>fundadas</w:t>
      </w:r>
      <w:r w:rsidRPr="00F058B9">
        <w:rPr>
          <w:rFonts w:ascii="Palatino Linotype" w:eastAsia="Palatino Linotype" w:hAnsi="Palatino Linotype" w:cs="Palatino Linotype"/>
        </w:rPr>
        <w:t xml:space="preserve"> y suficientes para </w:t>
      </w:r>
      <w:r w:rsidRPr="00F058B9">
        <w:rPr>
          <w:rFonts w:ascii="Palatino Linotype" w:eastAsia="Palatino Linotype" w:hAnsi="Palatino Linotype" w:cs="Palatino Linotype"/>
          <w:b/>
        </w:rPr>
        <w:t xml:space="preserve">MODIFICAR </w:t>
      </w:r>
      <w:r w:rsidRPr="00F058B9">
        <w:rPr>
          <w:rFonts w:ascii="Palatino Linotype" w:eastAsia="Palatino Linotype" w:hAnsi="Palatino Linotype" w:cs="Palatino Linotype"/>
        </w:rPr>
        <w:t xml:space="preserve">la respuesta del </w:t>
      </w:r>
      <w:r w:rsidRPr="00F058B9">
        <w:rPr>
          <w:rFonts w:ascii="Palatino Linotype" w:eastAsia="Palatino Linotype" w:hAnsi="Palatino Linotype" w:cs="Palatino Linotype"/>
          <w:b/>
        </w:rPr>
        <w:t>SUJETO OBLIGADO</w:t>
      </w:r>
      <w:r w:rsidRPr="00F058B9">
        <w:rPr>
          <w:rFonts w:ascii="Palatino Linotype" w:eastAsia="Palatino Linotype" w:hAnsi="Palatino Linotype" w:cs="Palatino Linotype"/>
        </w:rPr>
        <w:t xml:space="preserve"> y </w:t>
      </w:r>
      <w:r w:rsidRPr="00F058B9">
        <w:rPr>
          <w:rFonts w:ascii="Palatino Linotype" w:eastAsia="Palatino Linotype" w:hAnsi="Palatino Linotype" w:cs="Palatino Linotype"/>
          <w:b/>
        </w:rPr>
        <w:t>ordenarle</w:t>
      </w:r>
      <w:r w:rsidRPr="00F058B9">
        <w:rPr>
          <w:rFonts w:ascii="Palatino Linotype" w:eastAsia="Palatino Linotype" w:hAnsi="Palatino Linotype" w:cs="Palatino Linotype"/>
        </w:rPr>
        <w:t xml:space="preserve"> haga entrega de las solicitudes de conexión de agua y drenaje remitidas en Informe Justificado en su correcta versión pública </w:t>
      </w:r>
    </w:p>
    <w:p w14:paraId="5C1BE1FF" w14:textId="77777777" w:rsidR="00B11D9D" w:rsidRPr="00F058B9" w:rsidRDefault="00CF0DAC">
      <w:pPr>
        <w:shd w:val="clear" w:color="auto" w:fill="FFFFFF"/>
        <w:jc w:val="both"/>
      </w:pPr>
      <w:r w:rsidRPr="00F058B9">
        <w:rPr>
          <w:rFonts w:ascii="Palatino Linotype" w:eastAsia="Palatino Linotype" w:hAnsi="Palatino Linotype" w:cs="Palatino Linotype"/>
          <w:sz w:val="22"/>
          <w:szCs w:val="22"/>
        </w:rPr>
        <w:t> </w:t>
      </w:r>
    </w:p>
    <w:p w14:paraId="34B9E6E1" w14:textId="77777777" w:rsidR="00B11D9D" w:rsidRPr="00F058B9" w:rsidRDefault="00CF0DAC">
      <w:pPr>
        <w:spacing w:line="360" w:lineRule="auto"/>
        <w:jc w:val="both"/>
        <w:rPr>
          <w:rFonts w:ascii="Palatino Linotype" w:eastAsia="Palatino Linotype" w:hAnsi="Palatino Linotype" w:cs="Palatino Linotype"/>
        </w:rPr>
      </w:pPr>
      <w:bookmarkStart w:id="6" w:name="_heading=h.5n8wysaobgd3" w:colFirst="0" w:colLast="0"/>
      <w:bookmarkEnd w:id="6"/>
      <w:r w:rsidRPr="00F058B9">
        <w:rPr>
          <w:rFonts w:ascii="Palatino Linotype" w:eastAsia="Palatino Linotype" w:hAnsi="Palatino Linotype" w:cs="Palatino Linotype"/>
        </w:rPr>
        <w:t>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5ADB0726" w14:textId="77777777" w:rsidR="00B11D9D" w:rsidRPr="00F058B9" w:rsidRDefault="00B11D9D">
      <w:pPr>
        <w:spacing w:line="360" w:lineRule="auto"/>
        <w:jc w:val="center"/>
        <w:rPr>
          <w:rFonts w:ascii="Palatino Linotype" w:eastAsia="Palatino Linotype" w:hAnsi="Palatino Linotype" w:cs="Palatino Linotype"/>
          <w:b/>
          <w:sz w:val="26"/>
          <w:szCs w:val="26"/>
        </w:rPr>
      </w:pPr>
    </w:p>
    <w:p w14:paraId="1FAE2C9A" w14:textId="77777777" w:rsidR="00B11D9D" w:rsidRPr="00F058B9" w:rsidRDefault="00CF0DAC">
      <w:pPr>
        <w:spacing w:line="360" w:lineRule="auto"/>
        <w:jc w:val="center"/>
        <w:rPr>
          <w:rFonts w:ascii="Palatino Linotype" w:eastAsia="Palatino Linotype" w:hAnsi="Palatino Linotype" w:cs="Palatino Linotype"/>
          <w:b/>
          <w:sz w:val="26"/>
          <w:szCs w:val="26"/>
        </w:rPr>
      </w:pPr>
      <w:r w:rsidRPr="00F058B9">
        <w:rPr>
          <w:rFonts w:ascii="Palatino Linotype" w:eastAsia="Palatino Linotype" w:hAnsi="Palatino Linotype" w:cs="Palatino Linotype"/>
          <w:b/>
          <w:sz w:val="26"/>
          <w:szCs w:val="26"/>
        </w:rPr>
        <w:t>RESUELVE</w:t>
      </w:r>
    </w:p>
    <w:p w14:paraId="77F1C3B8" w14:textId="77777777" w:rsidR="00B11D9D" w:rsidRPr="00F058B9" w:rsidRDefault="00B11D9D">
      <w:pPr>
        <w:spacing w:line="360" w:lineRule="auto"/>
        <w:jc w:val="center"/>
        <w:rPr>
          <w:rFonts w:ascii="Palatino Linotype" w:eastAsia="Palatino Linotype" w:hAnsi="Palatino Linotype" w:cs="Palatino Linotype"/>
          <w:b/>
          <w:sz w:val="26"/>
          <w:szCs w:val="26"/>
        </w:rPr>
      </w:pPr>
    </w:p>
    <w:p w14:paraId="10EE5764" w14:textId="77777777" w:rsidR="00B11D9D" w:rsidRPr="00F058B9" w:rsidRDefault="00CF0DAC">
      <w:pPr>
        <w:spacing w:line="360" w:lineRule="auto"/>
        <w:ind w:right="49"/>
        <w:jc w:val="both"/>
        <w:rPr>
          <w:rFonts w:ascii="Palatino Linotype" w:eastAsia="Palatino Linotype" w:hAnsi="Palatino Linotype" w:cs="Palatino Linotype"/>
        </w:rPr>
      </w:pPr>
      <w:r w:rsidRPr="00F058B9">
        <w:rPr>
          <w:rFonts w:ascii="Palatino Linotype" w:eastAsia="Palatino Linotype" w:hAnsi="Palatino Linotype" w:cs="Palatino Linotype"/>
          <w:b/>
        </w:rPr>
        <w:t>PRIMERO.</w:t>
      </w:r>
      <w:r w:rsidRPr="00F058B9">
        <w:rPr>
          <w:rFonts w:ascii="Palatino Linotype" w:eastAsia="Palatino Linotype" w:hAnsi="Palatino Linotype" w:cs="Palatino Linotype"/>
        </w:rPr>
        <w:t xml:space="preserve"> Resultan </w:t>
      </w:r>
      <w:r w:rsidRPr="00F058B9">
        <w:rPr>
          <w:rFonts w:ascii="Palatino Linotype" w:eastAsia="Palatino Linotype" w:hAnsi="Palatino Linotype" w:cs="Palatino Linotype"/>
          <w:b/>
        </w:rPr>
        <w:t>Fundados</w:t>
      </w:r>
      <w:r w:rsidRPr="00F058B9">
        <w:rPr>
          <w:rFonts w:ascii="Palatino Linotype" w:eastAsia="Palatino Linotype" w:hAnsi="Palatino Linotype" w:cs="Palatino Linotype"/>
        </w:rPr>
        <w:t xml:space="preserve"> los motivos de inconformidad hechos valer por </w:t>
      </w:r>
      <w:r w:rsidRPr="00F058B9">
        <w:rPr>
          <w:rFonts w:ascii="Palatino Linotype" w:eastAsia="Palatino Linotype" w:hAnsi="Palatino Linotype" w:cs="Palatino Linotype"/>
          <w:b/>
        </w:rPr>
        <w:t>EL RECURRENTE</w:t>
      </w:r>
      <w:r w:rsidRPr="00F058B9">
        <w:rPr>
          <w:rFonts w:ascii="Palatino Linotype" w:eastAsia="Palatino Linotype" w:hAnsi="Palatino Linotype" w:cs="Palatino Linotype"/>
        </w:rPr>
        <w:t xml:space="preserve"> en el Recurso de Revisión </w:t>
      </w:r>
      <w:r w:rsidRPr="00F058B9">
        <w:rPr>
          <w:rFonts w:ascii="Palatino Linotype" w:eastAsia="Palatino Linotype" w:hAnsi="Palatino Linotype" w:cs="Palatino Linotype"/>
          <w:b/>
        </w:rPr>
        <w:t>05547/INFOEM/IP/RR/2022</w:t>
      </w:r>
      <w:r w:rsidRPr="00F058B9">
        <w:rPr>
          <w:rFonts w:ascii="Palatino Linotype" w:eastAsia="Palatino Linotype" w:hAnsi="Palatino Linotype" w:cs="Palatino Linotype"/>
        </w:rPr>
        <w:t xml:space="preserve">, en términos del considerando </w:t>
      </w:r>
      <w:r w:rsidRPr="00F058B9">
        <w:rPr>
          <w:rFonts w:ascii="Palatino Linotype" w:eastAsia="Palatino Linotype" w:hAnsi="Palatino Linotype" w:cs="Palatino Linotype"/>
          <w:b/>
        </w:rPr>
        <w:t>QUINTO</w:t>
      </w:r>
      <w:r w:rsidRPr="00F058B9">
        <w:rPr>
          <w:rFonts w:ascii="Palatino Linotype" w:eastAsia="Palatino Linotype" w:hAnsi="Palatino Linotype" w:cs="Palatino Linotype"/>
        </w:rPr>
        <w:t>.</w:t>
      </w:r>
    </w:p>
    <w:p w14:paraId="229B6063" w14:textId="77777777" w:rsidR="00B11D9D" w:rsidRPr="00F058B9" w:rsidRDefault="00B11D9D">
      <w:pPr>
        <w:spacing w:line="360" w:lineRule="auto"/>
        <w:ind w:right="49"/>
        <w:jc w:val="both"/>
        <w:rPr>
          <w:rFonts w:ascii="Palatino Linotype" w:eastAsia="Palatino Linotype" w:hAnsi="Palatino Linotype" w:cs="Palatino Linotype"/>
        </w:rPr>
      </w:pPr>
    </w:p>
    <w:p w14:paraId="3DCD6D43"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b/>
        </w:rPr>
        <w:t xml:space="preserve">SEGUNDO. </w:t>
      </w:r>
      <w:r w:rsidRPr="00F058B9">
        <w:rPr>
          <w:rFonts w:ascii="Palatino Linotype" w:eastAsia="Palatino Linotype" w:hAnsi="Palatino Linotype" w:cs="Palatino Linotype"/>
        </w:rPr>
        <w:t xml:space="preserve">Se </w:t>
      </w:r>
      <w:r w:rsidRPr="00F058B9">
        <w:rPr>
          <w:rFonts w:ascii="Palatino Linotype" w:eastAsia="Palatino Linotype" w:hAnsi="Palatino Linotype" w:cs="Palatino Linotype"/>
          <w:b/>
        </w:rPr>
        <w:t xml:space="preserve">MODIFICA </w:t>
      </w:r>
      <w:r w:rsidRPr="00F058B9">
        <w:rPr>
          <w:rFonts w:ascii="Palatino Linotype" w:eastAsia="Palatino Linotype" w:hAnsi="Palatino Linotype" w:cs="Palatino Linotype"/>
        </w:rPr>
        <w:t xml:space="preserve">la respuesta otorgada por al </w:t>
      </w:r>
      <w:r w:rsidRPr="00F058B9">
        <w:rPr>
          <w:rFonts w:ascii="Palatino Linotype" w:eastAsia="Palatino Linotype" w:hAnsi="Palatino Linotype" w:cs="Palatino Linotype"/>
          <w:b/>
        </w:rPr>
        <w:t>SUJETO OBLIGADO</w:t>
      </w:r>
      <w:r w:rsidRPr="00F058B9">
        <w:rPr>
          <w:rFonts w:ascii="Palatino Linotype" w:eastAsia="Palatino Linotype" w:hAnsi="Palatino Linotype" w:cs="Palatino Linotype"/>
        </w:rPr>
        <w:t xml:space="preserve"> a la solicitud de acceso a la información pública que dio origen al Recurso de Revisión </w:t>
      </w:r>
      <w:r w:rsidRPr="00F058B9">
        <w:rPr>
          <w:rFonts w:ascii="Palatino Linotype" w:eastAsia="Palatino Linotype" w:hAnsi="Palatino Linotype" w:cs="Palatino Linotype"/>
          <w:b/>
        </w:rPr>
        <w:t xml:space="preserve">05547/INFOEM/IP/RR/2022 </w:t>
      </w:r>
      <w:r w:rsidRPr="00F058B9">
        <w:rPr>
          <w:rFonts w:ascii="Palatino Linotype" w:eastAsia="Palatino Linotype" w:hAnsi="Palatino Linotype" w:cs="Palatino Linotype"/>
        </w:rPr>
        <w:t>y se le ordena</w:t>
      </w:r>
      <w:r w:rsidRPr="00F058B9">
        <w:rPr>
          <w:rFonts w:ascii="Palatino Linotype" w:eastAsia="Palatino Linotype" w:hAnsi="Palatino Linotype" w:cs="Palatino Linotype"/>
          <w:b/>
        </w:rPr>
        <w:t xml:space="preserve"> </w:t>
      </w:r>
      <w:r w:rsidRPr="00F058B9">
        <w:rPr>
          <w:rFonts w:ascii="Palatino Linotype" w:eastAsia="Palatino Linotype" w:hAnsi="Palatino Linotype" w:cs="Palatino Linotype"/>
        </w:rPr>
        <w:t>que e</w:t>
      </w:r>
      <w:bookmarkStart w:id="7" w:name="_GoBack"/>
      <w:bookmarkEnd w:id="7"/>
      <w:r w:rsidRPr="00F058B9">
        <w:rPr>
          <w:rFonts w:ascii="Palatino Linotype" w:eastAsia="Palatino Linotype" w:hAnsi="Palatino Linotype" w:cs="Palatino Linotype"/>
        </w:rPr>
        <w:t xml:space="preserve">n términos del Considerando </w:t>
      </w:r>
      <w:r w:rsidRPr="00F058B9">
        <w:rPr>
          <w:rFonts w:ascii="Palatino Linotype" w:eastAsia="Palatino Linotype" w:hAnsi="Palatino Linotype" w:cs="Palatino Linotype"/>
          <w:b/>
        </w:rPr>
        <w:t>Quinto</w:t>
      </w:r>
      <w:r w:rsidRPr="00F058B9">
        <w:rPr>
          <w:rFonts w:ascii="Palatino Linotype" w:eastAsia="Palatino Linotype" w:hAnsi="Palatino Linotype" w:cs="Palatino Linotype"/>
        </w:rPr>
        <w:t xml:space="preserve"> </w:t>
      </w:r>
      <w:r w:rsidRPr="00F058B9">
        <w:rPr>
          <w:rFonts w:ascii="Palatino Linotype" w:eastAsia="Palatino Linotype" w:hAnsi="Palatino Linotype" w:cs="Palatino Linotype"/>
        </w:rPr>
        <w:lastRenderedPageBreak/>
        <w:t xml:space="preserve">haga entrega al Recurrente mediante el Sistema de Acceso a la Información Mexiquense </w:t>
      </w:r>
      <w:r w:rsidRPr="00F058B9">
        <w:rPr>
          <w:rFonts w:ascii="Palatino Linotype" w:eastAsia="Palatino Linotype" w:hAnsi="Palatino Linotype" w:cs="Palatino Linotype"/>
          <w:b/>
        </w:rPr>
        <w:t>(SAIMEX),</w:t>
      </w:r>
      <w:r w:rsidRPr="00F058B9">
        <w:rPr>
          <w:rFonts w:ascii="Palatino Linotype" w:eastAsia="Palatino Linotype" w:hAnsi="Palatino Linotype" w:cs="Palatino Linotype"/>
        </w:rPr>
        <w:t xml:space="preserve"> de lo siguiente: </w:t>
      </w:r>
    </w:p>
    <w:p w14:paraId="0CE57F21" w14:textId="77777777" w:rsidR="00B11D9D" w:rsidRPr="00F058B9" w:rsidRDefault="00B11D9D">
      <w:pPr>
        <w:spacing w:line="360" w:lineRule="auto"/>
        <w:jc w:val="both"/>
        <w:rPr>
          <w:rFonts w:ascii="Palatino Linotype" w:eastAsia="Palatino Linotype" w:hAnsi="Palatino Linotype" w:cs="Palatino Linotype"/>
        </w:rPr>
      </w:pPr>
    </w:p>
    <w:p w14:paraId="5B4ADC05" w14:textId="77777777" w:rsidR="00B11D9D" w:rsidRPr="00F058B9" w:rsidRDefault="00791B78">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El documento o documentos en donde consten l</w:t>
      </w:r>
      <w:r w:rsidR="00CF0DAC" w:rsidRPr="00F058B9">
        <w:rPr>
          <w:rFonts w:ascii="Palatino Linotype" w:eastAsia="Palatino Linotype" w:hAnsi="Palatino Linotype" w:cs="Palatino Linotype"/>
          <w:i/>
          <w:sz w:val="22"/>
          <w:szCs w:val="22"/>
        </w:rPr>
        <w:t xml:space="preserve">as solicitudes de conexión de agua y drenaje remitidas en Informe Justificado en su correcta versión pública. </w:t>
      </w:r>
    </w:p>
    <w:p w14:paraId="61E78D26" w14:textId="77777777" w:rsidR="00B11D9D" w:rsidRPr="00F058B9" w:rsidRDefault="00B11D9D">
      <w:pPr>
        <w:ind w:left="850" w:right="899"/>
        <w:jc w:val="both"/>
        <w:rPr>
          <w:rFonts w:ascii="Palatino Linotype" w:eastAsia="Palatino Linotype" w:hAnsi="Palatino Linotype" w:cs="Palatino Linotype"/>
          <w:i/>
          <w:sz w:val="22"/>
          <w:szCs w:val="22"/>
        </w:rPr>
      </w:pPr>
    </w:p>
    <w:p w14:paraId="0B1EC2C6" w14:textId="77777777" w:rsidR="00B11D9D" w:rsidRPr="00F058B9" w:rsidRDefault="00CF0DAC">
      <w:pPr>
        <w:ind w:left="850" w:right="899"/>
        <w:jc w:val="both"/>
        <w:rPr>
          <w:rFonts w:ascii="Palatino Linotype" w:eastAsia="Palatino Linotype" w:hAnsi="Palatino Linotype" w:cs="Palatino Linotype"/>
          <w:i/>
          <w:sz w:val="22"/>
          <w:szCs w:val="22"/>
        </w:rPr>
      </w:pPr>
      <w:r w:rsidRPr="00F058B9">
        <w:rPr>
          <w:rFonts w:ascii="Palatino Linotype" w:eastAsia="Palatino Linotype" w:hAnsi="Palatino Linotype" w:cs="Palatino Linotype"/>
          <w:i/>
          <w:sz w:val="22"/>
          <w:szCs w:val="22"/>
        </w:rPr>
        <w:t xml:space="preserve">Debiendo notificar al </w:t>
      </w:r>
      <w:r w:rsidRPr="00F058B9">
        <w:rPr>
          <w:rFonts w:ascii="Palatino Linotype" w:eastAsia="Palatino Linotype" w:hAnsi="Palatino Linotype" w:cs="Palatino Linotype"/>
          <w:b/>
          <w:i/>
          <w:sz w:val="22"/>
          <w:szCs w:val="22"/>
        </w:rPr>
        <w:t>RECURRENTE</w:t>
      </w:r>
      <w:r w:rsidRPr="00F058B9">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3622E2D9" w14:textId="77777777" w:rsidR="00B11D9D" w:rsidRPr="00F058B9" w:rsidRDefault="00B11D9D">
      <w:pPr>
        <w:tabs>
          <w:tab w:val="left" w:pos="709"/>
        </w:tabs>
        <w:ind w:right="899"/>
        <w:jc w:val="both"/>
        <w:rPr>
          <w:rFonts w:ascii="Palatino Linotype" w:eastAsia="Palatino Linotype" w:hAnsi="Palatino Linotype" w:cs="Palatino Linotype"/>
          <w:i/>
          <w:sz w:val="20"/>
          <w:szCs w:val="20"/>
        </w:rPr>
      </w:pPr>
    </w:p>
    <w:p w14:paraId="73656C28" w14:textId="77777777" w:rsidR="00B11D9D" w:rsidRPr="00F058B9" w:rsidRDefault="00B11D9D">
      <w:pPr>
        <w:spacing w:line="360" w:lineRule="auto"/>
        <w:jc w:val="both"/>
        <w:rPr>
          <w:rFonts w:ascii="Palatino Linotype" w:eastAsia="Palatino Linotype" w:hAnsi="Palatino Linotype" w:cs="Palatino Linotype"/>
        </w:rPr>
      </w:pPr>
    </w:p>
    <w:p w14:paraId="14F325C2" w14:textId="77777777" w:rsidR="00B11D9D" w:rsidRPr="00F058B9" w:rsidRDefault="00CF0DAC">
      <w:pPr>
        <w:spacing w:line="360" w:lineRule="auto"/>
        <w:jc w:val="both"/>
        <w:rPr>
          <w:rFonts w:ascii="Palatino Linotype" w:eastAsia="Palatino Linotype" w:hAnsi="Palatino Linotype" w:cs="Palatino Linotype"/>
        </w:rPr>
      </w:pPr>
      <w:bookmarkStart w:id="8" w:name="_heading=h.1fob9te" w:colFirst="0" w:colLast="0"/>
      <w:bookmarkEnd w:id="8"/>
      <w:r w:rsidRPr="00F058B9">
        <w:rPr>
          <w:rFonts w:ascii="Palatino Linotype" w:eastAsia="Palatino Linotype" w:hAnsi="Palatino Linotype" w:cs="Palatino Linotype"/>
          <w:b/>
        </w:rPr>
        <w:t>TERCERO. Notifíquese</w:t>
      </w:r>
      <w:r w:rsidRPr="00F058B9">
        <w:rPr>
          <w:rFonts w:ascii="Palatino Linotype" w:eastAsia="Palatino Linotype" w:hAnsi="Palatino Linotype" w:cs="Palatino Linotype"/>
          <w:b/>
          <w:i/>
        </w:rPr>
        <w:t xml:space="preserve"> </w:t>
      </w:r>
      <w:r w:rsidRPr="00F058B9">
        <w:rPr>
          <w:rFonts w:ascii="Palatino Linotype" w:eastAsia="Palatino Linotype" w:hAnsi="Palatino Linotype" w:cs="Palatino Linotype"/>
        </w:rPr>
        <w:t>al Titular de la Unidad de Transparencia del</w:t>
      </w:r>
      <w:r w:rsidRPr="00F058B9">
        <w:rPr>
          <w:rFonts w:ascii="Palatino Linotype" w:eastAsia="Palatino Linotype" w:hAnsi="Palatino Linotype" w:cs="Palatino Linotype"/>
          <w:b/>
        </w:rPr>
        <w:t xml:space="preserve"> </w:t>
      </w:r>
      <w:r w:rsidRPr="00F058B9">
        <w:rPr>
          <w:rFonts w:ascii="Palatino Linotype" w:eastAsia="Palatino Linotype" w:hAnsi="Palatino Linotype" w:cs="Palatino Linotype"/>
        </w:rPr>
        <w:t>Sujeto Obligado por medio del Sistema de Acceso a la Información Mexiquense (</w:t>
      </w:r>
      <w:r w:rsidRPr="00F058B9">
        <w:rPr>
          <w:rFonts w:ascii="Palatino Linotype" w:eastAsia="Palatino Linotype" w:hAnsi="Palatino Linotype" w:cs="Palatino Linotype"/>
          <w:b/>
        </w:rPr>
        <w:t>SAIMEX),</w:t>
      </w:r>
      <w:r w:rsidRPr="00F058B9">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EFC3441" w14:textId="77777777" w:rsidR="00B11D9D" w:rsidRPr="00F058B9" w:rsidRDefault="00B11D9D">
      <w:pPr>
        <w:spacing w:line="360" w:lineRule="auto"/>
        <w:jc w:val="both"/>
        <w:rPr>
          <w:rFonts w:ascii="Palatino Linotype" w:eastAsia="Palatino Linotype" w:hAnsi="Palatino Linotype" w:cs="Palatino Linotype"/>
        </w:rPr>
      </w:pPr>
    </w:p>
    <w:p w14:paraId="3C6D84F8" w14:textId="77777777" w:rsidR="00B11D9D" w:rsidRPr="00F058B9" w:rsidRDefault="00CF0DAC">
      <w:pPr>
        <w:spacing w:line="360" w:lineRule="auto"/>
        <w:jc w:val="both"/>
        <w:rPr>
          <w:rFonts w:ascii="Palatino Linotype" w:eastAsia="Palatino Linotype" w:hAnsi="Palatino Linotype" w:cs="Palatino Linotype"/>
        </w:rPr>
      </w:pPr>
      <w:r w:rsidRPr="00F058B9">
        <w:rPr>
          <w:rFonts w:ascii="Palatino Linotype" w:eastAsia="Palatino Linotype" w:hAnsi="Palatino Linotype" w:cs="Palatino Linotype"/>
          <w:b/>
        </w:rPr>
        <w:t xml:space="preserve">CUARTO. </w:t>
      </w:r>
      <w:r w:rsidRPr="00F058B9">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092F263" w14:textId="77777777" w:rsidR="00B11D9D" w:rsidRPr="00F058B9" w:rsidRDefault="00B11D9D">
      <w:pPr>
        <w:spacing w:line="360" w:lineRule="auto"/>
        <w:jc w:val="both"/>
        <w:rPr>
          <w:rFonts w:ascii="Palatino Linotype" w:eastAsia="Palatino Linotype" w:hAnsi="Palatino Linotype" w:cs="Palatino Linotype"/>
          <w:b/>
        </w:rPr>
      </w:pPr>
    </w:p>
    <w:p w14:paraId="3069A711" w14:textId="77777777" w:rsidR="00B11D9D" w:rsidRPr="00F058B9" w:rsidRDefault="00CF0DAC">
      <w:pPr>
        <w:spacing w:line="360" w:lineRule="auto"/>
        <w:jc w:val="both"/>
        <w:rPr>
          <w:rFonts w:ascii="Palatino Linotype" w:eastAsia="Palatino Linotype" w:hAnsi="Palatino Linotype" w:cs="Palatino Linotype"/>
          <w:b/>
          <w:sz w:val="26"/>
          <w:szCs w:val="26"/>
        </w:rPr>
      </w:pPr>
      <w:r w:rsidRPr="00F058B9">
        <w:rPr>
          <w:rFonts w:ascii="Palatino Linotype" w:eastAsia="Palatino Linotype" w:hAnsi="Palatino Linotype" w:cs="Palatino Linotype"/>
          <w:b/>
        </w:rPr>
        <w:t xml:space="preserve">QUINTO. Notifíquese </w:t>
      </w:r>
      <w:r w:rsidRPr="00F058B9">
        <w:rPr>
          <w:rFonts w:ascii="Palatino Linotype" w:eastAsia="Palatino Linotype" w:hAnsi="Palatino Linotype" w:cs="Palatino Linotype"/>
        </w:rPr>
        <w:t xml:space="preserve">la presente resolución al Recurrente mediante el Sistema de Acceso a la Información Mexiquense </w:t>
      </w:r>
      <w:r w:rsidRPr="00F058B9">
        <w:rPr>
          <w:rFonts w:ascii="Palatino Linotype" w:eastAsia="Palatino Linotype" w:hAnsi="Palatino Linotype" w:cs="Palatino Linotype"/>
          <w:b/>
        </w:rPr>
        <w:t>(SAIMEX)</w:t>
      </w:r>
      <w:r w:rsidRPr="00F058B9">
        <w:rPr>
          <w:rFonts w:ascii="Palatino Linotype" w:eastAsia="Palatino Linotype" w:hAnsi="Palatino Linotype" w:cs="Palatino Linotype"/>
        </w:rPr>
        <w:t xml:space="preserve"> y hágase de su conocimiento que, de </w:t>
      </w:r>
      <w:r w:rsidRPr="00F058B9">
        <w:rPr>
          <w:rFonts w:ascii="Palatino Linotype" w:eastAsia="Palatino Linotype" w:hAnsi="Palatino Linotype" w:cs="Palatino Linotype"/>
        </w:rPr>
        <w:lastRenderedPageBreak/>
        <w:t>conformidad con lo establecido en el artículo 196 de la Ley de Transparencia y Acceso a la Información Pública del Estado de México y Municipios, podrá promover el Juicio de Amparo en los términos de las leyes aplicables.</w:t>
      </w:r>
    </w:p>
    <w:p w14:paraId="603B0E9E" w14:textId="77777777" w:rsidR="00B11D9D" w:rsidRPr="00F058B9" w:rsidRDefault="00B11D9D">
      <w:pPr>
        <w:spacing w:line="360" w:lineRule="auto"/>
        <w:jc w:val="both"/>
        <w:rPr>
          <w:rFonts w:ascii="Palatino Linotype" w:eastAsia="Palatino Linotype" w:hAnsi="Palatino Linotype" w:cs="Palatino Linotype"/>
        </w:rPr>
      </w:pPr>
    </w:p>
    <w:p w14:paraId="06126FD7" w14:textId="77777777" w:rsidR="00112A1A" w:rsidRPr="00F058B9" w:rsidRDefault="00112A1A" w:rsidP="00112A1A">
      <w:pPr>
        <w:widowControl w:val="0"/>
        <w:autoSpaceDE w:val="0"/>
        <w:autoSpaceDN w:val="0"/>
        <w:adjustRightInd w:val="0"/>
        <w:spacing w:line="360" w:lineRule="auto"/>
        <w:contextualSpacing/>
        <w:jc w:val="both"/>
        <w:rPr>
          <w:rFonts w:ascii="Palatino Linotype" w:hAnsi="Palatino Linotype" w:cs="Arial"/>
          <w:color w:val="000000" w:themeColor="text1"/>
        </w:rPr>
      </w:pPr>
      <w:bookmarkStart w:id="9" w:name="_heading=h.30j0zll" w:colFirst="0" w:colLast="0"/>
      <w:bookmarkEnd w:id="9"/>
      <w:r w:rsidRPr="00F058B9">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w:t>
      </w:r>
      <w:r w:rsidRPr="00F058B9">
        <w:rPr>
          <w:rFonts w:ascii="Palatino Linotype" w:hAnsi="Palatino Linotype" w:cs="Arial"/>
          <w:color w:val="000000" w:themeColor="text1"/>
          <w:lang w:val="es-419"/>
        </w:rPr>
        <w:t xml:space="preserve"> DE </w:t>
      </w:r>
      <w:r w:rsidRPr="00F058B9">
        <w:rPr>
          <w:rFonts w:ascii="Palatino Linotype" w:hAnsi="Palatino Linotype" w:cs="Arial"/>
          <w:color w:val="000000" w:themeColor="text1"/>
        </w:rPr>
        <w:t xml:space="preserve">JUNIO DE DOS MIL VEINTIDÓS, ANTE EL SECRETARIO TÉCNICO DEL PLENO, ALEXIS TAPIA RAMÍREZ. </w:t>
      </w:r>
    </w:p>
    <w:p w14:paraId="7CF3A083" w14:textId="77777777" w:rsidR="00B11D9D" w:rsidRDefault="00CF0DAC">
      <w:pPr>
        <w:spacing w:line="360" w:lineRule="auto"/>
        <w:jc w:val="both"/>
        <w:rPr>
          <w:rFonts w:ascii="Palatino Linotype" w:eastAsia="Palatino Linotype" w:hAnsi="Palatino Linotype" w:cs="Palatino Linotype"/>
          <w:sz w:val="14"/>
          <w:szCs w:val="14"/>
        </w:rPr>
      </w:pPr>
      <w:r w:rsidRPr="00F058B9">
        <w:rPr>
          <w:rFonts w:ascii="Palatino Linotype" w:eastAsia="Palatino Linotype" w:hAnsi="Palatino Linotype" w:cs="Palatino Linotype"/>
          <w:sz w:val="14"/>
          <w:szCs w:val="14"/>
        </w:rPr>
        <w:t>SCMM/BLA/DEMF/PMRE</w:t>
      </w:r>
    </w:p>
    <w:p w14:paraId="2961AA31" w14:textId="77777777" w:rsidR="00B11D9D" w:rsidRDefault="00CF0DAC">
      <w:pPr>
        <w:rPr>
          <w:rFonts w:ascii="Palatino Linotype" w:eastAsia="Palatino Linotype" w:hAnsi="Palatino Linotype" w:cs="Palatino Linotype"/>
        </w:rPr>
      </w:pPr>
      <w:r>
        <w:br w:type="page"/>
      </w:r>
    </w:p>
    <w:p w14:paraId="22CAE328" w14:textId="77777777" w:rsidR="00B11D9D" w:rsidRDefault="00B11D9D">
      <w:pPr>
        <w:spacing w:line="360" w:lineRule="auto"/>
        <w:jc w:val="both"/>
        <w:rPr>
          <w:rFonts w:ascii="Palatino Linotype" w:eastAsia="Palatino Linotype" w:hAnsi="Palatino Linotype" w:cs="Palatino Linotype"/>
        </w:rPr>
      </w:pPr>
    </w:p>
    <w:p w14:paraId="5C7948B3" w14:textId="77777777" w:rsidR="00B11D9D" w:rsidRDefault="00B11D9D">
      <w:pPr>
        <w:spacing w:line="360" w:lineRule="auto"/>
        <w:jc w:val="both"/>
        <w:rPr>
          <w:rFonts w:ascii="Palatino Linotype" w:eastAsia="Palatino Linotype" w:hAnsi="Palatino Linotype" w:cs="Palatino Linotype"/>
        </w:rPr>
      </w:pPr>
    </w:p>
    <w:p w14:paraId="33E6ECB2" w14:textId="77777777" w:rsidR="00B11D9D" w:rsidRDefault="00B11D9D">
      <w:pPr>
        <w:spacing w:line="360" w:lineRule="auto"/>
        <w:jc w:val="both"/>
        <w:rPr>
          <w:rFonts w:ascii="Palatino Linotype" w:eastAsia="Palatino Linotype" w:hAnsi="Palatino Linotype" w:cs="Palatino Linotype"/>
        </w:rPr>
      </w:pPr>
    </w:p>
    <w:p w14:paraId="3D133132" w14:textId="77777777" w:rsidR="00B11D9D" w:rsidRDefault="00B11D9D">
      <w:pPr>
        <w:spacing w:line="360" w:lineRule="auto"/>
        <w:jc w:val="both"/>
        <w:rPr>
          <w:rFonts w:ascii="Palatino Linotype" w:eastAsia="Palatino Linotype" w:hAnsi="Palatino Linotype" w:cs="Palatino Linotype"/>
        </w:rPr>
      </w:pPr>
    </w:p>
    <w:p w14:paraId="24531E69" w14:textId="77777777" w:rsidR="00B11D9D" w:rsidRDefault="00B11D9D">
      <w:pPr>
        <w:spacing w:line="360" w:lineRule="auto"/>
        <w:jc w:val="both"/>
        <w:rPr>
          <w:rFonts w:ascii="Palatino Linotype" w:eastAsia="Palatino Linotype" w:hAnsi="Palatino Linotype" w:cs="Palatino Linotype"/>
        </w:rPr>
      </w:pPr>
    </w:p>
    <w:p w14:paraId="23C2746B" w14:textId="77777777" w:rsidR="00B11D9D" w:rsidRDefault="00B11D9D">
      <w:pPr>
        <w:spacing w:line="360" w:lineRule="auto"/>
        <w:jc w:val="both"/>
        <w:rPr>
          <w:rFonts w:ascii="Palatino Linotype" w:eastAsia="Palatino Linotype" w:hAnsi="Palatino Linotype" w:cs="Palatino Linotype"/>
        </w:rPr>
      </w:pPr>
    </w:p>
    <w:p w14:paraId="75F8F147" w14:textId="77777777" w:rsidR="00B11D9D" w:rsidRDefault="00B11D9D">
      <w:pPr>
        <w:spacing w:line="360" w:lineRule="auto"/>
        <w:jc w:val="both"/>
        <w:rPr>
          <w:rFonts w:ascii="Palatino Linotype" w:eastAsia="Palatino Linotype" w:hAnsi="Palatino Linotype" w:cs="Palatino Linotype"/>
        </w:rPr>
      </w:pPr>
    </w:p>
    <w:p w14:paraId="6A4D2AC6" w14:textId="77777777" w:rsidR="00B11D9D" w:rsidRDefault="00B11D9D">
      <w:pPr>
        <w:spacing w:line="360" w:lineRule="auto"/>
        <w:jc w:val="both"/>
        <w:rPr>
          <w:rFonts w:ascii="Palatino Linotype" w:eastAsia="Palatino Linotype" w:hAnsi="Palatino Linotype" w:cs="Palatino Linotype"/>
        </w:rPr>
      </w:pPr>
    </w:p>
    <w:p w14:paraId="2D6EE30B" w14:textId="77777777" w:rsidR="00B11D9D" w:rsidRDefault="00B11D9D">
      <w:pPr>
        <w:spacing w:line="360" w:lineRule="auto"/>
        <w:jc w:val="both"/>
        <w:rPr>
          <w:rFonts w:ascii="Palatino Linotype" w:eastAsia="Palatino Linotype" w:hAnsi="Palatino Linotype" w:cs="Palatino Linotype"/>
        </w:rPr>
      </w:pPr>
    </w:p>
    <w:p w14:paraId="1208F32B" w14:textId="77777777" w:rsidR="00B11D9D" w:rsidRDefault="00B11D9D">
      <w:pPr>
        <w:spacing w:line="360" w:lineRule="auto"/>
        <w:jc w:val="both"/>
        <w:rPr>
          <w:rFonts w:ascii="Palatino Linotype" w:eastAsia="Palatino Linotype" w:hAnsi="Palatino Linotype" w:cs="Palatino Linotype"/>
        </w:rPr>
      </w:pPr>
    </w:p>
    <w:p w14:paraId="7C6567BF" w14:textId="77777777" w:rsidR="00B11D9D" w:rsidRDefault="00B11D9D">
      <w:pPr>
        <w:spacing w:line="360" w:lineRule="auto"/>
        <w:jc w:val="both"/>
        <w:rPr>
          <w:rFonts w:ascii="Palatino Linotype" w:eastAsia="Palatino Linotype" w:hAnsi="Palatino Linotype" w:cs="Palatino Linotype"/>
        </w:rPr>
      </w:pPr>
    </w:p>
    <w:p w14:paraId="594A1441" w14:textId="77777777" w:rsidR="00B11D9D" w:rsidRDefault="00B11D9D">
      <w:pPr>
        <w:spacing w:line="360" w:lineRule="auto"/>
        <w:jc w:val="both"/>
        <w:rPr>
          <w:rFonts w:ascii="Palatino Linotype" w:eastAsia="Palatino Linotype" w:hAnsi="Palatino Linotype" w:cs="Palatino Linotype"/>
        </w:rPr>
      </w:pPr>
    </w:p>
    <w:p w14:paraId="09F7E3D9" w14:textId="77777777" w:rsidR="00B11D9D" w:rsidRDefault="00B11D9D">
      <w:pPr>
        <w:spacing w:line="360" w:lineRule="auto"/>
        <w:jc w:val="both"/>
        <w:rPr>
          <w:rFonts w:ascii="Palatino Linotype" w:eastAsia="Palatino Linotype" w:hAnsi="Palatino Linotype" w:cs="Palatino Linotype"/>
        </w:rPr>
      </w:pPr>
    </w:p>
    <w:p w14:paraId="05ECB455" w14:textId="77777777" w:rsidR="00B11D9D" w:rsidRDefault="00B11D9D">
      <w:pPr>
        <w:spacing w:line="360" w:lineRule="auto"/>
        <w:jc w:val="both"/>
        <w:rPr>
          <w:rFonts w:ascii="Palatino Linotype" w:eastAsia="Palatino Linotype" w:hAnsi="Palatino Linotype" w:cs="Palatino Linotype"/>
        </w:rPr>
      </w:pPr>
    </w:p>
    <w:p w14:paraId="64CED2B4" w14:textId="77777777" w:rsidR="00B11D9D" w:rsidRDefault="00B11D9D">
      <w:pPr>
        <w:spacing w:line="360" w:lineRule="auto"/>
        <w:jc w:val="both"/>
        <w:rPr>
          <w:rFonts w:ascii="Palatino Linotype" w:eastAsia="Palatino Linotype" w:hAnsi="Palatino Linotype" w:cs="Palatino Linotype"/>
        </w:rPr>
      </w:pPr>
    </w:p>
    <w:p w14:paraId="6D763B93" w14:textId="77777777" w:rsidR="00B11D9D" w:rsidRDefault="00B11D9D">
      <w:pPr>
        <w:spacing w:line="360" w:lineRule="auto"/>
        <w:jc w:val="both"/>
        <w:rPr>
          <w:rFonts w:ascii="Palatino Linotype" w:eastAsia="Palatino Linotype" w:hAnsi="Palatino Linotype" w:cs="Palatino Linotype"/>
        </w:rPr>
      </w:pPr>
    </w:p>
    <w:p w14:paraId="6BD85DBA" w14:textId="77777777" w:rsidR="00B11D9D" w:rsidRDefault="00B11D9D">
      <w:pPr>
        <w:spacing w:line="360" w:lineRule="auto"/>
        <w:jc w:val="both"/>
        <w:rPr>
          <w:rFonts w:ascii="Palatino Linotype" w:eastAsia="Palatino Linotype" w:hAnsi="Palatino Linotype" w:cs="Palatino Linotype"/>
        </w:rPr>
      </w:pPr>
    </w:p>
    <w:p w14:paraId="669094FD" w14:textId="77777777" w:rsidR="00B11D9D" w:rsidRDefault="00B11D9D">
      <w:pPr>
        <w:spacing w:line="360" w:lineRule="auto"/>
        <w:jc w:val="both"/>
        <w:rPr>
          <w:rFonts w:ascii="Palatino Linotype" w:eastAsia="Palatino Linotype" w:hAnsi="Palatino Linotype" w:cs="Palatino Linotype"/>
        </w:rPr>
      </w:pPr>
    </w:p>
    <w:sectPr w:rsidR="00B11D9D">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A29C2E" w14:textId="77777777" w:rsidR="00775517" w:rsidRDefault="00775517">
      <w:r>
        <w:separator/>
      </w:r>
    </w:p>
  </w:endnote>
  <w:endnote w:type="continuationSeparator" w:id="0">
    <w:p w14:paraId="55ADA5A2" w14:textId="77777777" w:rsidR="00775517" w:rsidRDefault="00775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99AA5" w14:textId="77777777" w:rsidR="00B11D9D" w:rsidRDefault="00CF0DA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023D2">
      <w:rPr>
        <w:rFonts w:ascii="Palatino Linotype" w:eastAsia="Palatino Linotype" w:hAnsi="Palatino Linotype" w:cs="Palatino Linotype"/>
        <w:noProof/>
        <w:color w:val="000000"/>
        <w:sz w:val="22"/>
        <w:szCs w:val="22"/>
      </w:rPr>
      <w:t>36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023D2">
      <w:rPr>
        <w:rFonts w:ascii="Palatino Linotype" w:eastAsia="Palatino Linotype" w:hAnsi="Palatino Linotype" w:cs="Palatino Linotype"/>
        <w:noProof/>
        <w:color w:val="000000"/>
        <w:sz w:val="22"/>
        <w:szCs w:val="22"/>
      </w:rPr>
      <w:t>37</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8B06B" w14:textId="77777777" w:rsidR="00B11D9D" w:rsidRDefault="00CF0DAC">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023D2">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023D2">
      <w:rPr>
        <w:rFonts w:ascii="Palatino Linotype" w:eastAsia="Palatino Linotype" w:hAnsi="Palatino Linotype" w:cs="Palatino Linotype"/>
        <w:noProof/>
        <w:color w:val="000000"/>
        <w:sz w:val="22"/>
        <w:szCs w:val="22"/>
      </w:rPr>
      <w:t>37</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B3618" w14:textId="77777777" w:rsidR="00775517" w:rsidRDefault="00775517">
      <w:r>
        <w:separator/>
      </w:r>
    </w:p>
  </w:footnote>
  <w:footnote w:type="continuationSeparator" w:id="0">
    <w:p w14:paraId="2796FEF5" w14:textId="77777777" w:rsidR="00775517" w:rsidRDefault="00775517">
      <w:r>
        <w:continuationSeparator/>
      </w:r>
    </w:p>
  </w:footnote>
  <w:footnote w:id="1">
    <w:p w14:paraId="61F04E8E" w14:textId="77777777" w:rsidR="00B11D9D" w:rsidRDefault="00CF0DAC">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C403B" w14:textId="77777777" w:rsidR="00B11D9D" w:rsidRDefault="00C023D2">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0B42B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48D5B" w14:textId="77777777" w:rsidR="00B11D9D" w:rsidRDefault="00C023D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18DF8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5"/>
          <w10:wrap anchorx="margin" anchory="margin"/>
        </v:shape>
      </w:pict>
    </w:r>
  </w:p>
  <w:tbl>
    <w:tblPr>
      <w:tblStyle w:val="afffff9"/>
      <w:tblW w:w="9534" w:type="dxa"/>
      <w:tblInd w:w="-142" w:type="dxa"/>
      <w:tblLayout w:type="fixed"/>
      <w:tblLook w:val="0400" w:firstRow="0" w:lastRow="0" w:firstColumn="0" w:lastColumn="0" w:noHBand="0" w:noVBand="1"/>
    </w:tblPr>
    <w:tblGrid>
      <w:gridCol w:w="3261"/>
      <w:gridCol w:w="2551"/>
      <w:gridCol w:w="3722"/>
    </w:tblGrid>
    <w:tr w:rsidR="00B11D9D" w14:paraId="6486F008" w14:textId="77777777">
      <w:tc>
        <w:tcPr>
          <w:tcW w:w="3261" w:type="dxa"/>
          <w:vMerge w:val="restart"/>
        </w:tcPr>
        <w:p w14:paraId="599FD25E" w14:textId="77777777" w:rsidR="00B11D9D" w:rsidRDefault="00CF0DAC">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52042CE4" wp14:editId="053B0D1C">
                <wp:extent cx="1692162" cy="852673"/>
                <wp:effectExtent l="0" t="0" r="0" b="0"/>
                <wp:docPr id="2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3565928" w14:textId="77777777" w:rsidR="00B11D9D" w:rsidRDefault="00CF0DA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02A73AC9" w14:textId="77777777" w:rsidR="00B11D9D" w:rsidRDefault="00CF0DAC">
          <w:pPr>
            <w:jc w:val="both"/>
            <w:rPr>
              <w:rFonts w:ascii="Palatino Linotype" w:eastAsia="Palatino Linotype" w:hAnsi="Palatino Linotype" w:cs="Palatino Linotype"/>
              <w:b/>
            </w:rPr>
          </w:pPr>
          <w:r>
            <w:rPr>
              <w:rFonts w:ascii="Palatino Linotype" w:eastAsia="Palatino Linotype" w:hAnsi="Palatino Linotype" w:cs="Palatino Linotype"/>
              <w:b/>
            </w:rPr>
            <w:t>05547/INFOEM/IP/RR/2022</w:t>
          </w:r>
        </w:p>
      </w:tc>
    </w:tr>
    <w:tr w:rsidR="00B11D9D" w14:paraId="6AF67EA3" w14:textId="77777777">
      <w:tc>
        <w:tcPr>
          <w:tcW w:w="3261" w:type="dxa"/>
          <w:vMerge/>
        </w:tcPr>
        <w:p w14:paraId="27B359E6" w14:textId="77777777" w:rsidR="00B11D9D" w:rsidRDefault="00B11D9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68C81C1" w14:textId="77777777" w:rsidR="00B11D9D" w:rsidRDefault="00CF0DA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775AA19A" w14:textId="77777777" w:rsidR="00B11D9D" w:rsidRDefault="00CF0DAC">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Texcoco</w:t>
          </w:r>
        </w:p>
      </w:tc>
    </w:tr>
    <w:tr w:rsidR="00B11D9D" w14:paraId="78DDB69E" w14:textId="77777777">
      <w:trPr>
        <w:trHeight w:val="790"/>
      </w:trPr>
      <w:tc>
        <w:tcPr>
          <w:tcW w:w="3261" w:type="dxa"/>
          <w:vMerge/>
        </w:tcPr>
        <w:p w14:paraId="0D65306C" w14:textId="77777777" w:rsidR="00B11D9D" w:rsidRDefault="00B11D9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DFF66CA" w14:textId="77777777" w:rsidR="00B11D9D" w:rsidRDefault="00CF0DAC">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4A173F21" w14:textId="77777777" w:rsidR="00B11D9D" w:rsidRDefault="00CF0DAC">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6CB3BF3C" w14:textId="77777777" w:rsidR="00B11D9D" w:rsidRDefault="00B11D9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CB7D7" w14:textId="77777777" w:rsidR="00B11D9D" w:rsidRDefault="00C023D2">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5729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5"/>
          <w10:wrap anchorx="margin" anchory="margin"/>
        </v:shape>
      </w:pict>
    </w:r>
  </w:p>
  <w:tbl>
    <w:tblPr>
      <w:tblStyle w:val="afffff8"/>
      <w:tblW w:w="9900" w:type="dxa"/>
      <w:tblInd w:w="-833" w:type="dxa"/>
      <w:tblLayout w:type="fixed"/>
      <w:tblLook w:val="0400" w:firstRow="0" w:lastRow="0" w:firstColumn="0" w:lastColumn="0" w:noHBand="0" w:noVBand="1"/>
    </w:tblPr>
    <w:tblGrid>
      <w:gridCol w:w="3805"/>
      <w:gridCol w:w="3000"/>
      <w:gridCol w:w="3095"/>
    </w:tblGrid>
    <w:tr w:rsidR="00B11D9D" w14:paraId="4AC89D81" w14:textId="77777777">
      <w:tc>
        <w:tcPr>
          <w:tcW w:w="3805" w:type="dxa"/>
          <w:vMerge w:val="restart"/>
          <w:shd w:val="clear" w:color="auto" w:fill="auto"/>
        </w:tcPr>
        <w:p w14:paraId="6CA569F3" w14:textId="77777777" w:rsidR="00B11D9D" w:rsidRDefault="00CF0DAC">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58E3FBFC" wp14:editId="3D46D89A">
                <wp:extent cx="1692162" cy="852673"/>
                <wp:effectExtent l="0" t="0" r="0" b="0"/>
                <wp:docPr id="2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20DE8DFC" w14:textId="77777777" w:rsidR="00B11D9D" w:rsidRDefault="00CF0DA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14F9B605" w14:textId="77777777" w:rsidR="00B11D9D" w:rsidRDefault="00CF0DAC">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05547/INFOEM/IP/RR/2022 </w:t>
          </w:r>
        </w:p>
      </w:tc>
    </w:tr>
    <w:tr w:rsidR="00B11D9D" w14:paraId="6FD13B12" w14:textId="77777777">
      <w:tc>
        <w:tcPr>
          <w:tcW w:w="3805" w:type="dxa"/>
          <w:vMerge/>
          <w:shd w:val="clear" w:color="auto" w:fill="auto"/>
        </w:tcPr>
        <w:p w14:paraId="0D4F46D7" w14:textId="77777777" w:rsidR="00B11D9D" w:rsidRDefault="00B11D9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55D6BF1" w14:textId="77777777" w:rsidR="00B11D9D" w:rsidRDefault="00CF0DAC">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5C02BB1D" w14:textId="77777777" w:rsidR="00B11D9D" w:rsidRDefault="00B11D9D">
          <w:pPr>
            <w:jc w:val="both"/>
            <w:rPr>
              <w:rFonts w:ascii="Palatino Linotype" w:eastAsia="Palatino Linotype" w:hAnsi="Palatino Linotype" w:cs="Palatino Linotype"/>
              <w:b/>
            </w:rPr>
          </w:pPr>
        </w:p>
      </w:tc>
    </w:tr>
    <w:tr w:rsidR="00B11D9D" w14:paraId="3A452788" w14:textId="77777777">
      <w:trPr>
        <w:trHeight w:val="228"/>
      </w:trPr>
      <w:tc>
        <w:tcPr>
          <w:tcW w:w="3805" w:type="dxa"/>
          <w:vMerge/>
          <w:shd w:val="clear" w:color="auto" w:fill="auto"/>
        </w:tcPr>
        <w:p w14:paraId="48D42530" w14:textId="77777777" w:rsidR="00B11D9D" w:rsidRDefault="00B11D9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0DA381D3" w14:textId="77777777" w:rsidR="00B11D9D" w:rsidRDefault="00CF0DA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4B837E5" w14:textId="77777777" w:rsidR="00B11D9D" w:rsidRDefault="00CF0DAC">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Texcoco</w:t>
          </w:r>
        </w:p>
      </w:tc>
    </w:tr>
    <w:tr w:rsidR="00B11D9D" w14:paraId="0EA6669D" w14:textId="77777777">
      <w:tc>
        <w:tcPr>
          <w:tcW w:w="3805" w:type="dxa"/>
          <w:vMerge/>
          <w:shd w:val="clear" w:color="auto" w:fill="auto"/>
        </w:tcPr>
        <w:p w14:paraId="0A0A4FFF" w14:textId="77777777" w:rsidR="00B11D9D" w:rsidRDefault="00B11D9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48AB96F8" w14:textId="77777777" w:rsidR="00B11D9D" w:rsidRDefault="00CF0DAC">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79CB7DCF" w14:textId="77777777" w:rsidR="00B11D9D" w:rsidRDefault="00CF0DAC">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20BB449E" w14:textId="77777777" w:rsidR="00B11D9D" w:rsidRDefault="00B11D9D">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535CD7"/>
    <w:multiLevelType w:val="multilevel"/>
    <w:tmpl w:val="E1BEE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D9D"/>
    <w:rsid w:val="000C461B"/>
    <w:rsid w:val="00112A1A"/>
    <w:rsid w:val="006C4C36"/>
    <w:rsid w:val="00756DFA"/>
    <w:rsid w:val="00775517"/>
    <w:rsid w:val="00791B78"/>
    <w:rsid w:val="00AA2A91"/>
    <w:rsid w:val="00B11D9D"/>
    <w:rsid w:val="00C023D2"/>
    <w:rsid w:val="00C241C4"/>
    <w:rsid w:val="00CF0DAC"/>
    <w:rsid w:val="00F058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A621AB"/>
  <w15:docId w15:val="{0810F47D-743E-4532-BFF8-6522CC0BF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e"/>
    <w:tblPr>
      <w:tblStyleRowBandSize w:val="1"/>
      <w:tblStyleColBandSize w:val="1"/>
      <w:tblCellMar>
        <w:top w:w="100" w:type="dxa"/>
        <w:left w:w="100" w:type="dxa"/>
        <w:bottom w:w="100" w:type="dxa"/>
        <w:right w:w="100" w:type="dxa"/>
      </w:tblCellMar>
    </w:tblPr>
  </w:style>
  <w:style w:type="table" w:customStyle="1" w:styleId="a0">
    <w:basedOn w:val="TableNormalfe"/>
    <w:tblPr>
      <w:tblStyleRowBandSize w:val="1"/>
      <w:tblStyleColBandSize w:val="1"/>
      <w:tblCellMar>
        <w:left w:w="115" w:type="dxa"/>
        <w:right w:w="115" w:type="dxa"/>
      </w:tblCellMar>
    </w:tblPr>
  </w:style>
  <w:style w:type="table" w:customStyle="1" w:styleId="a1">
    <w:basedOn w:val="TableNormalfe"/>
    <w:tblPr>
      <w:tblStyleRowBandSize w:val="1"/>
      <w:tblStyleColBandSize w:val="1"/>
      <w:tblCellMar>
        <w:left w:w="115" w:type="dxa"/>
        <w:right w:w="115" w:type="dxa"/>
      </w:tblCellMar>
    </w:tblPr>
  </w:style>
  <w:style w:type="table" w:customStyle="1" w:styleId="a2">
    <w:basedOn w:val="TableNormalfe"/>
    <w:tblPr>
      <w:tblStyleRowBandSize w:val="1"/>
      <w:tblStyleColBandSize w:val="1"/>
      <w:tblCellMar>
        <w:left w:w="115" w:type="dxa"/>
        <w:right w:w="115" w:type="dxa"/>
      </w:tblCellMar>
    </w:tblPr>
  </w:style>
  <w:style w:type="table" w:customStyle="1" w:styleId="a3">
    <w:basedOn w:val="TableNormalfe"/>
    <w:tblPr>
      <w:tblStyleRowBandSize w:val="1"/>
      <w:tblStyleColBandSize w:val="1"/>
      <w:tblCellMar>
        <w:left w:w="115" w:type="dxa"/>
        <w:right w:w="115" w:type="dxa"/>
      </w:tblCellMar>
    </w:tblPr>
  </w:style>
  <w:style w:type="table" w:customStyle="1" w:styleId="a4">
    <w:basedOn w:val="TableNormalfe"/>
    <w:tblPr>
      <w:tblStyleRowBandSize w:val="1"/>
      <w:tblStyleColBandSize w:val="1"/>
      <w:tblCellMar>
        <w:left w:w="115" w:type="dxa"/>
        <w:right w:w="115" w:type="dxa"/>
      </w:tblCellMar>
    </w:tblPr>
  </w:style>
  <w:style w:type="table" w:customStyle="1" w:styleId="a5">
    <w:basedOn w:val="TableNormalfe"/>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e"/>
    <w:tblPr>
      <w:tblStyleRowBandSize w:val="1"/>
      <w:tblStyleColBandSize w:val="1"/>
      <w:tblCellMar>
        <w:left w:w="115" w:type="dxa"/>
        <w:right w:w="115" w:type="dxa"/>
      </w:tblCellMar>
    </w:tblPr>
  </w:style>
  <w:style w:type="table" w:customStyle="1" w:styleId="a7">
    <w:basedOn w:val="TableNormalfe"/>
    <w:tblPr>
      <w:tblStyleRowBandSize w:val="1"/>
      <w:tblStyleColBandSize w:val="1"/>
      <w:tblCellMar>
        <w:left w:w="115" w:type="dxa"/>
        <w:right w:w="115" w:type="dxa"/>
      </w:tblCellMar>
    </w:tblPr>
  </w:style>
  <w:style w:type="table" w:customStyle="1" w:styleId="a8">
    <w:basedOn w:val="TableNormalfe"/>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e"/>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b"/>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d"/>
    <w:tblPr>
      <w:tblStyleRowBandSize w:val="1"/>
      <w:tblStyleColBandSize w:val="1"/>
      <w:tblCellMar>
        <w:left w:w="115" w:type="dxa"/>
        <w:right w:w="115" w:type="dxa"/>
      </w:tblCellMar>
    </w:tblPr>
  </w:style>
  <w:style w:type="table" w:customStyle="1" w:styleId="afff3">
    <w:basedOn w:val="TableNormald"/>
    <w:tblPr>
      <w:tblStyleRowBandSize w:val="1"/>
      <w:tblStyleColBandSize w:val="1"/>
      <w:tblCellMar>
        <w:top w:w="100" w:type="dxa"/>
        <w:left w:w="100" w:type="dxa"/>
        <w:bottom w:w="100" w:type="dxa"/>
        <w:right w:w="100" w:type="dxa"/>
      </w:tblCellMar>
    </w:tblPr>
  </w:style>
  <w:style w:type="table" w:customStyle="1" w:styleId="afff4">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d"/>
    <w:tblPr>
      <w:tblStyleRowBandSize w:val="1"/>
      <w:tblStyleColBandSize w:val="1"/>
      <w:tblCellMar>
        <w:top w:w="100" w:type="dxa"/>
        <w:left w:w="100" w:type="dxa"/>
        <w:bottom w:w="100" w:type="dxa"/>
        <w:right w:w="100" w:type="dxa"/>
      </w:tblCellMar>
    </w:tblPr>
  </w:style>
  <w:style w:type="table" w:customStyle="1" w:styleId="afff7">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d"/>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d"/>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07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05F2MB2CV88P5l9g8y7/NZlUUQ==">AMUW2mWQ7WpphRlfvgLqnW5Mn6wiBDS7nT58E3w/62Q8dtUqoQHSGWIXPT0KDH4i1qRStlivrS7fyCEyraiNcxKy5F8EiF8mEvOqh6V1m8yklgI82A9ZgRELKIJNjY1p/pVJoKamo5KNaGMJjt1oJ+H2UWqHs+kRkov+8ay48lPQXHHwnTnUyVZYvxAAAHJ7cSSxeYr3V6PZF70CCEUSOPnh+VDeeZpJ8M8icmwjg/17ySRekAkmMwQqiXU76qvRx63bg+oCM7U7vwWerIuEpazewlQyMf01p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27D125-A1C4-44F5-AC2F-3AEE13695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7789</Words>
  <Characters>42845</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 infoem</cp:lastModifiedBy>
  <cp:revision>5</cp:revision>
  <cp:lastPrinted>2022-06-17T16:35:00Z</cp:lastPrinted>
  <dcterms:created xsi:type="dcterms:W3CDTF">2022-06-10T03:57:00Z</dcterms:created>
  <dcterms:modified xsi:type="dcterms:W3CDTF">2022-06-17T16:36:00Z</dcterms:modified>
</cp:coreProperties>
</file>