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BC94E" w14:textId="75C576E9" w:rsidR="004E37E2" w:rsidRDefault="001E6E50">
      <w:pPr>
        <w:spacing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37AA8">
        <w:rPr>
          <w:rFonts w:ascii="Palatino Linotype" w:eastAsia="Palatino Linotype" w:hAnsi="Palatino Linotype" w:cs="Palatino Linotype"/>
        </w:rPr>
        <w:t xml:space="preserve">veintiuno </w:t>
      </w:r>
      <w:r>
        <w:rPr>
          <w:rFonts w:ascii="Palatino Linotype" w:eastAsia="Palatino Linotype" w:hAnsi="Palatino Linotype" w:cs="Palatino Linotype"/>
        </w:rPr>
        <w:t xml:space="preserve">de </w:t>
      </w:r>
      <w:r w:rsidR="00E37AA8">
        <w:rPr>
          <w:rFonts w:ascii="Palatino Linotype" w:eastAsia="Palatino Linotype" w:hAnsi="Palatino Linotype" w:cs="Palatino Linotype"/>
        </w:rPr>
        <w:t>junio</w:t>
      </w:r>
      <w:r>
        <w:rPr>
          <w:rFonts w:ascii="Palatino Linotype" w:eastAsia="Palatino Linotype" w:hAnsi="Palatino Linotype" w:cs="Palatino Linotype"/>
        </w:rPr>
        <w:t xml:space="preserve"> del dos mil veintidós.</w:t>
      </w:r>
    </w:p>
    <w:p w14:paraId="17D68523" w14:textId="77777777" w:rsidR="004E37E2" w:rsidRDefault="001E6E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03544/INFOEM/IP/RR/2022</w:t>
      </w:r>
      <w:r>
        <w:rPr>
          <w:rFonts w:ascii="Palatino Linotype" w:eastAsia="Palatino Linotype" w:hAnsi="Palatino Linotype" w:cs="Palatino Linotype"/>
        </w:rPr>
        <w:t>, interpuesto por una persona de manera anónima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 la </w:t>
      </w:r>
      <w:r>
        <w:rPr>
          <w:rFonts w:ascii="Palatino Linotype" w:eastAsia="Palatino Linotype" w:hAnsi="Palatino Linotype" w:cs="Palatino Linotype"/>
          <w:b/>
        </w:rPr>
        <w:t>Secretaría de Movilidad</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 se procede a dictar la presente resolución, con base en los siguientes:</w:t>
      </w:r>
    </w:p>
    <w:p w14:paraId="1BBE545A" w14:textId="77777777" w:rsidR="004E37E2" w:rsidRDefault="001E6E50">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b/>
        </w:rPr>
        <w:t>I. A N T E C E D E N T E S</w:t>
      </w:r>
    </w:p>
    <w:p w14:paraId="6FB6C2DB" w14:textId="77777777" w:rsidR="004E37E2" w:rsidRDefault="001E6E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veinticuatro de enero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información pública registrada con el número</w:t>
      </w:r>
      <w:r>
        <w:rPr>
          <w:rFonts w:ascii="Verdana" w:eastAsia="Verdana" w:hAnsi="Verdana" w:cs="Verdana"/>
          <w:b/>
          <w:color w:val="FF0000"/>
        </w:rPr>
        <w:t> </w:t>
      </w:r>
      <w:r>
        <w:rPr>
          <w:rFonts w:ascii="Palatino Linotype" w:eastAsia="Palatino Linotype" w:hAnsi="Palatino Linotype" w:cs="Palatino Linotype"/>
          <w:b/>
        </w:rPr>
        <w:t>00051/SMOV/IP/2022,</w:t>
      </w:r>
      <w:r>
        <w:rPr>
          <w:rFonts w:ascii="Palatino Linotype" w:eastAsia="Palatino Linotype" w:hAnsi="Palatino Linotype" w:cs="Palatino Linotype"/>
        </w:rPr>
        <w:t xml:space="preserve"> mediante la cual solicitó lo siguiente:</w:t>
      </w:r>
    </w:p>
    <w:p w14:paraId="515E344F" w14:textId="77777777" w:rsidR="004E37E2" w:rsidRDefault="001E6E50">
      <w:pPr>
        <w:spacing w:before="240"/>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color w:val="000000"/>
          <w:sz w:val="22"/>
          <w:szCs w:val="22"/>
        </w:rPr>
        <w:t>Todos los contratos de adquisiciones y pagos realizados por cualquier concepto, facturas que se hayan pagando en 2020 y 2021 por la dependencia de movilidad.</w:t>
      </w:r>
      <w:r>
        <w:rPr>
          <w:rFonts w:ascii="Palatino Linotype" w:eastAsia="Palatino Linotype" w:hAnsi="Palatino Linotype" w:cs="Palatino Linotype"/>
          <w:i/>
          <w:sz w:val="22"/>
          <w:szCs w:val="22"/>
        </w:rPr>
        <w:t>” (Sic)</w:t>
      </w:r>
    </w:p>
    <w:p w14:paraId="26099224" w14:textId="77777777" w:rsidR="004E37E2" w:rsidRDefault="004E37E2">
      <w:pPr>
        <w:ind w:left="992" w:right="1043"/>
        <w:jc w:val="both"/>
        <w:rPr>
          <w:rFonts w:ascii="Palatino Linotype" w:eastAsia="Palatino Linotype" w:hAnsi="Palatino Linotype" w:cs="Palatino Linotype"/>
          <w:sz w:val="22"/>
          <w:szCs w:val="22"/>
        </w:rPr>
      </w:pPr>
    </w:p>
    <w:p w14:paraId="583847F1" w14:textId="77777777" w:rsidR="004E37E2" w:rsidRDefault="001E6E5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Señaló como modalidad de entrega 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022CD2BA" w14:textId="77777777" w:rsidR="004E37E2" w:rsidRDefault="004E37E2">
      <w:pPr>
        <w:spacing w:line="360" w:lineRule="auto"/>
        <w:ind w:right="51"/>
        <w:jc w:val="both"/>
        <w:rPr>
          <w:rFonts w:ascii="Palatino Linotype" w:eastAsia="Palatino Linotype" w:hAnsi="Palatino Linotype" w:cs="Palatino Linotype"/>
        </w:rPr>
      </w:pPr>
    </w:p>
    <w:p w14:paraId="0C9CEBCF" w14:textId="77777777" w:rsidR="004E37E2" w:rsidRDefault="001E6E5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2. Prórroga.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catorce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solicitó prórroga para dar contestación a lo solicitado en los términos siguientes:</w:t>
      </w:r>
    </w:p>
    <w:p w14:paraId="7B0F2D8E" w14:textId="77777777" w:rsidR="004E37E2" w:rsidRDefault="001E6E50">
      <w:pPr>
        <w:spacing w:after="240" w:line="276" w:lineRule="auto"/>
        <w:ind w:left="851"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“Folio de la solicitud: 00051/SMOV/IP/2022</w:t>
      </w:r>
    </w:p>
    <w:p w14:paraId="10538AC1" w14:textId="77777777" w:rsidR="004E37E2" w:rsidRDefault="001E6E50">
      <w:pPr>
        <w:spacing w:before="240" w:after="240" w:line="276" w:lineRule="auto"/>
        <w:ind w:left="851"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FFEC123" w14:textId="77777777" w:rsidR="004E37E2" w:rsidRDefault="001E6E50">
      <w:pPr>
        <w:spacing w:before="240" w:after="240" w:line="276" w:lineRule="auto"/>
        <w:ind w:left="851"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Mediante sesión de Comité de Transparencia, en el Acta de la Séptima Sesión Extraordinaria se aprobó por unanimidad la Prórroga requerida por el área responsable.</w:t>
      </w:r>
    </w:p>
    <w:p w14:paraId="1B44504E" w14:textId="77777777" w:rsidR="004E37E2" w:rsidRDefault="001E6E50">
      <w:pPr>
        <w:spacing w:before="240" w:after="240" w:line="276" w:lineRule="auto"/>
        <w:ind w:left="851"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 Luis Gustavo Mondragón Duarte</w:t>
      </w:r>
    </w:p>
    <w:p w14:paraId="26C98C17" w14:textId="77777777" w:rsidR="004E37E2" w:rsidRDefault="001E6E50">
      <w:pPr>
        <w:spacing w:before="240" w:after="240" w:line="276" w:lineRule="auto"/>
        <w:ind w:left="851"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Responsable de la Unidad de Transparencia”(Sic). </w:t>
      </w:r>
    </w:p>
    <w:p w14:paraId="1D101A56" w14:textId="77777777" w:rsidR="004E37E2" w:rsidRDefault="001E6E50">
      <w:pPr>
        <w:spacing w:before="240" w:after="240" w:line="276" w:lineRule="auto"/>
        <w:ind w:right="615"/>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adjuntó a la notificación de prórroga los siguientes archivos: </w:t>
      </w:r>
    </w:p>
    <w:p w14:paraId="0DCF0FC4" w14:textId="77777777" w:rsidR="004E37E2" w:rsidRDefault="001E6E50">
      <w:pPr>
        <w:spacing w:before="240" w:after="240" w:line="276" w:lineRule="auto"/>
        <w:ind w:right="615"/>
        <w:jc w:val="both"/>
        <w:rPr>
          <w:rFonts w:ascii="Palatino Linotype" w:eastAsia="Palatino Linotype" w:hAnsi="Palatino Linotype" w:cs="Palatino Linotype"/>
        </w:rPr>
      </w:pPr>
      <w:r>
        <w:rPr>
          <w:rFonts w:ascii="Palatino Linotype" w:eastAsia="Palatino Linotype" w:hAnsi="Palatino Linotype" w:cs="Palatino Linotype"/>
          <w:b/>
          <w:i/>
        </w:rPr>
        <w:t xml:space="preserve">- Respuesta UT Solicitud 00051.pdf </w:t>
      </w:r>
      <w:r>
        <w:rPr>
          <w:rFonts w:ascii="Palatino Linotype" w:eastAsia="Palatino Linotype" w:hAnsi="Palatino Linotype" w:cs="Palatino Linotype"/>
        </w:rPr>
        <w:t xml:space="preserve">Documento de fecha catorce de febrero de dos mil veintidós a través del cual le notifica la solicitud de ampliación de plazo, requerida por el servidor público habilitado de la Coordinación Administrativa. </w:t>
      </w:r>
    </w:p>
    <w:p w14:paraId="5B9C805C" w14:textId="77777777" w:rsidR="004E37E2" w:rsidRDefault="001E6E50">
      <w:pPr>
        <w:spacing w:before="240" w:after="240" w:line="276" w:lineRule="auto"/>
        <w:ind w:right="615"/>
        <w:jc w:val="both"/>
        <w:rPr>
          <w:rFonts w:ascii="Palatino Linotype" w:eastAsia="Palatino Linotype" w:hAnsi="Palatino Linotype" w:cs="Palatino Linotype"/>
        </w:rPr>
      </w:pPr>
      <w:r>
        <w:rPr>
          <w:rFonts w:ascii="Palatino Linotype" w:eastAsia="Palatino Linotype" w:hAnsi="Palatino Linotype" w:cs="Palatino Linotype"/>
          <w:b/>
          <w:i/>
        </w:rPr>
        <w:t xml:space="preserve">- Acta 7a Extraord Solic 00051 (Prórroga).pdf. </w:t>
      </w:r>
      <w:r>
        <w:rPr>
          <w:rFonts w:ascii="Palatino Linotype" w:eastAsia="Palatino Linotype" w:hAnsi="Palatino Linotype" w:cs="Palatino Linotype"/>
        </w:rPr>
        <w:t xml:space="preserve">Contiene el Acta de la séptima sesión extraordinaria del año dos mil veintidós, del comité de transparencia de la secretaría de movilidad del gobierno del estado de México, a través del cual se autorizó prórroga para dar respuesta a la solicitud. </w:t>
      </w:r>
    </w:p>
    <w:p w14:paraId="1DF51F11" w14:textId="77777777" w:rsidR="004E37E2" w:rsidRDefault="001E6E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 xml:space="preserve">veinticuatro de febrero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w:t>
      </w:r>
      <w:r>
        <w:rPr>
          <w:rFonts w:ascii="Palatino Linotype" w:eastAsia="Palatino Linotype" w:hAnsi="Palatino Linotype" w:cs="Palatino Linotype"/>
          <w:b/>
        </w:rPr>
        <w:t>SAIMEX</w:t>
      </w:r>
      <w:r>
        <w:rPr>
          <w:rFonts w:ascii="Palatino Linotype" w:eastAsia="Palatino Linotype" w:hAnsi="Palatino Linotype" w:cs="Palatino Linotype"/>
        </w:rPr>
        <w:t xml:space="preserve">, sustancialmente en los siguientes términos: </w:t>
      </w:r>
    </w:p>
    <w:p w14:paraId="5FB59A41" w14:textId="77777777" w:rsidR="004E37E2" w:rsidRDefault="001E6E50">
      <w:pPr>
        <w:spacing w:before="240" w:after="24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“Deberá ingresar al Portal de Servicios al Contribuyente del Estado de México en la dirección electrónica https://sfpya.edomexico.gob.mx/recaudacion/ </w:t>
      </w:r>
      <w:r>
        <w:rPr>
          <w:rFonts w:ascii="Palatino Linotype" w:eastAsia="Palatino Linotype" w:hAnsi="Palatino Linotype" w:cs="Palatino Linotype"/>
          <w:b/>
          <w:i/>
          <w:sz w:val="22"/>
          <w:szCs w:val="22"/>
          <w:u w:val="single"/>
        </w:rPr>
        <w:t>y una vez que se haya realizado el pago correspondiente deberá acreditarlo previa cita en la Unidad de Transparencia de la Secretaría de Movilidad del Gobierno del Estado de México</w:t>
      </w:r>
      <w:r>
        <w:rPr>
          <w:rFonts w:ascii="Palatino Linotype" w:eastAsia="Palatino Linotype" w:hAnsi="Palatino Linotype" w:cs="Palatino Linotype"/>
          <w:i/>
          <w:sz w:val="22"/>
          <w:szCs w:val="22"/>
        </w:rPr>
        <w:t>, ubicada en Av. Gustavo Baz Prada No. 2160, 1er piso, Colonia La Loma, C.P. 54060, Tlalnepantla de Baz, Estado de México, en un horario de 09:00 a 18:00 horas, con el Lic. Luis Gustavo Mondragón Duarte, Titular de la Unidad de Transparencia, con teléfono 55 5666 8200 Ext. 55150.</w:t>
      </w:r>
    </w:p>
    <w:p w14:paraId="54EB899A" w14:textId="77777777" w:rsidR="004E37E2" w:rsidRDefault="001E6E50">
      <w:pPr>
        <w:spacing w:before="240" w:after="240" w:line="360"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ATENTAMENTE</w:t>
      </w:r>
    </w:p>
    <w:p w14:paraId="6B0AB88D" w14:textId="77777777" w:rsidR="004E37E2" w:rsidRDefault="001E6E50">
      <w:pPr>
        <w:spacing w:before="240" w:after="240" w:line="360"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 Luis Gustavo Mondragón Duarte</w:t>
      </w:r>
    </w:p>
    <w:p w14:paraId="1556F0BC" w14:textId="77777777" w:rsidR="004E37E2" w:rsidRDefault="001E6E50">
      <w:pPr>
        <w:spacing w:before="240" w:after="240" w:line="360"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Responsable de la Unidad de Transparencia</w:t>
      </w:r>
    </w:p>
    <w:p w14:paraId="435E2B59" w14:textId="77777777" w:rsidR="004E37E2" w:rsidRDefault="001E6E50">
      <w:pPr>
        <w:spacing w:before="240" w:after="240" w:line="360"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Secretaría de Movilidad” (Sic).</w:t>
      </w:r>
    </w:p>
    <w:p w14:paraId="0EB1C103" w14:textId="77777777" w:rsidR="004E37E2" w:rsidRDefault="001E6E5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los siguientes archivos: </w:t>
      </w:r>
    </w:p>
    <w:p w14:paraId="54465519" w14:textId="77777777" w:rsidR="004E37E2" w:rsidRDefault="001E6E5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w:t>
      </w:r>
      <w:r>
        <w:rPr>
          <w:rFonts w:ascii="Palatino Linotype" w:eastAsia="Palatino Linotype" w:hAnsi="Palatino Linotype" w:cs="Palatino Linotype"/>
          <w:b/>
          <w:i/>
          <w:u w:val="single"/>
        </w:rPr>
        <w:t>Acta 26a Extraord Solic 00051 (VP).pdf”</w:t>
      </w:r>
      <w:r>
        <w:rPr>
          <w:rFonts w:ascii="Palatino Linotype" w:eastAsia="Palatino Linotype" w:hAnsi="Palatino Linotype" w:cs="Palatino Linotype"/>
          <w:i/>
          <w:u w:val="single"/>
        </w:rPr>
        <w:t>,</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que consiste en el acta de la vigésima sexta sesión extraordinaria del año dos mil veintidós del comité de transparencia de la Secretaría de Movilidad del Gobierno del Estado de México, a través de la cual se aprueba la versión pública de las facturas solicitadas. </w:t>
      </w:r>
    </w:p>
    <w:p w14:paraId="293B8516" w14:textId="77777777" w:rsidR="004E37E2" w:rsidRDefault="001E6E5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b/>
          <w:i/>
          <w:u w:val="single"/>
        </w:rPr>
        <w:t xml:space="preserve">Respuesta UT Solicitud 00051 (final).pdf </w:t>
      </w:r>
      <w:r>
        <w:rPr>
          <w:rFonts w:ascii="Palatino Linotype" w:eastAsia="Palatino Linotype" w:hAnsi="Palatino Linotype" w:cs="Palatino Linotype"/>
        </w:rPr>
        <w:t xml:space="preserve">que consiste en un oficio elaborado por la unidad de transparencia del Sujeto Obligado a través del cual notifica al particular la respuesta de la Coordinación Administrativa, a la solicitud de información, en la que se señala básicamente lo siguiente: </w:t>
      </w:r>
    </w:p>
    <w:p w14:paraId="6B6D7122" w14:textId="77777777" w:rsidR="004E37E2" w:rsidRDefault="004E37E2">
      <w:pPr>
        <w:spacing w:before="240" w:after="240" w:line="360" w:lineRule="auto"/>
        <w:ind w:right="49"/>
        <w:jc w:val="center"/>
        <w:rPr>
          <w:rFonts w:ascii="Palatino Linotype" w:eastAsia="Palatino Linotype" w:hAnsi="Palatino Linotype" w:cs="Palatino Linotype"/>
        </w:rPr>
      </w:pPr>
    </w:p>
    <w:p w14:paraId="609A24E1" w14:textId="77777777" w:rsidR="004E37E2" w:rsidRDefault="001E6E50">
      <w:pPr>
        <w:spacing w:before="240" w:after="240" w:line="360" w:lineRule="auto"/>
        <w:ind w:right="49"/>
        <w:jc w:val="both"/>
        <w:rPr>
          <w:rFonts w:ascii="Palatino Linotype" w:eastAsia="Palatino Linotype" w:hAnsi="Palatino Linotype" w:cs="Palatino Linotype"/>
        </w:rPr>
      </w:pPr>
      <w:r>
        <w:rPr>
          <w:noProof/>
          <w:lang w:val="es-MX" w:eastAsia="es-MX"/>
        </w:rPr>
        <w:lastRenderedPageBreak/>
        <w:drawing>
          <wp:inline distT="0" distB="0" distL="0" distR="0" wp14:anchorId="6B59DB82" wp14:editId="7146F6F2">
            <wp:extent cx="5286375" cy="4419600"/>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286375" cy="4419600"/>
                    </a:xfrm>
                    <a:prstGeom prst="rect">
                      <a:avLst/>
                    </a:prstGeom>
                    <a:ln/>
                  </pic:spPr>
                </pic:pic>
              </a:graphicData>
            </a:graphic>
          </wp:inline>
        </w:drawing>
      </w:r>
    </w:p>
    <w:p w14:paraId="1485AB93" w14:textId="77777777" w:rsidR="004E37E2" w:rsidRDefault="001E6E50">
      <w:pPr>
        <w:spacing w:before="240" w:after="240" w:line="360" w:lineRule="auto"/>
        <w:ind w:right="49"/>
        <w:jc w:val="both"/>
        <w:rPr>
          <w:rFonts w:ascii="Palatino Linotype" w:eastAsia="Palatino Linotype" w:hAnsi="Palatino Linotype" w:cs="Palatino Linotype"/>
        </w:rPr>
      </w:pPr>
      <w:r>
        <w:rPr>
          <w:noProof/>
          <w:lang w:val="es-MX" w:eastAsia="es-MX"/>
        </w:rPr>
        <w:lastRenderedPageBreak/>
        <w:drawing>
          <wp:inline distT="0" distB="0" distL="0" distR="0" wp14:anchorId="4A7C9155" wp14:editId="27E0479E">
            <wp:extent cx="5429250" cy="6143625"/>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429250" cy="6143625"/>
                    </a:xfrm>
                    <a:prstGeom prst="rect">
                      <a:avLst/>
                    </a:prstGeom>
                    <a:ln/>
                  </pic:spPr>
                </pic:pic>
              </a:graphicData>
            </a:graphic>
          </wp:inline>
        </w:drawing>
      </w:r>
    </w:p>
    <w:p w14:paraId="6713E617" w14:textId="77777777" w:rsidR="004E37E2" w:rsidRDefault="001E6E5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Interposición del Recurso de Revisión. </w:t>
      </w:r>
      <w:r>
        <w:rPr>
          <w:rFonts w:ascii="Palatino Linotype" w:eastAsia="Palatino Linotype" w:hAnsi="Palatino Linotype" w:cs="Palatino Linotype"/>
        </w:rPr>
        <w:t xml:space="preserve">Inconforme con la respuesta, el día </w:t>
      </w:r>
      <w:r>
        <w:rPr>
          <w:rFonts w:ascii="Palatino Linotype" w:eastAsia="Palatino Linotype" w:hAnsi="Palatino Linotype" w:cs="Palatino Linotype"/>
          <w:b/>
        </w:rPr>
        <w:t>ocho de marzo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materia del presente estudio, en el que señaló como:</w:t>
      </w:r>
    </w:p>
    <w:p w14:paraId="016EE956" w14:textId="77777777" w:rsidR="004E37E2" w:rsidRDefault="004E37E2">
      <w:pPr>
        <w:spacing w:line="360" w:lineRule="auto"/>
        <w:jc w:val="both"/>
        <w:rPr>
          <w:rFonts w:ascii="Palatino Linotype" w:eastAsia="Palatino Linotype" w:hAnsi="Palatino Linotype" w:cs="Palatino Linotype"/>
        </w:rPr>
      </w:pPr>
    </w:p>
    <w:p w14:paraId="16FA27B7" w14:textId="77777777" w:rsidR="004E37E2" w:rsidRDefault="001E6E50">
      <w:pPr>
        <w:spacing w:after="240"/>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15D2560D" w14:textId="77777777" w:rsidR="004E37E2" w:rsidRDefault="001E6E50">
      <w:pPr>
        <w:ind w:left="993"/>
        <w:jc w:val="both"/>
      </w:pPr>
      <w:r>
        <w:rPr>
          <w:rFonts w:ascii="Palatino Linotype" w:eastAsia="Palatino Linotype" w:hAnsi="Palatino Linotype" w:cs="Palatino Linotype"/>
          <w:i/>
          <w:sz w:val="22"/>
          <w:szCs w:val="22"/>
        </w:rPr>
        <w:t xml:space="preserve">“Es mi derecho a la información de manera gratuita </w:t>
      </w:r>
      <w:r>
        <w:rPr>
          <w:rFonts w:ascii="Palatino Linotype" w:eastAsia="Palatino Linotype" w:hAnsi="Palatino Linotype" w:cs="Palatino Linotype"/>
          <w:b/>
          <w:i/>
          <w:sz w:val="22"/>
          <w:szCs w:val="22"/>
          <w:u w:val="single"/>
        </w:rPr>
        <w:t>no esta justificado el pago por lo que requiero se me haga entrega por el medio que lo solicit</w:t>
      </w:r>
      <w:r>
        <w:rPr>
          <w:rFonts w:ascii="Palatino Linotype" w:eastAsia="Palatino Linotype" w:hAnsi="Palatino Linotype" w:cs="Palatino Linotype"/>
          <w:i/>
          <w:sz w:val="22"/>
          <w:szCs w:val="22"/>
        </w:rPr>
        <w:t>e. a demas de ser una obligación la transparencia y rendición de cuentas de los gastos..” (Sic)</w:t>
      </w:r>
    </w:p>
    <w:p w14:paraId="413BE30A" w14:textId="77777777" w:rsidR="004E37E2" w:rsidRDefault="004E37E2">
      <w:pPr>
        <w:tabs>
          <w:tab w:val="left" w:pos="8080"/>
          <w:tab w:val="left" w:pos="8364"/>
        </w:tabs>
        <w:ind w:left="992" w:right="900"/>
        <w:jc w:val="both"/>
        <w:rPr>
          <w:rFonts w:ascii="Palatino Linotype" w:eastAsia="Palatino Linotype" w:hAnsi="Palatino Linotype" w:cs="Palatino Linotype"/>
          <w:i/>
          <w:sz w:val="22"/>
          <w:szCs w:val="22"/>
        </w:rPr>
      </w:pPr>
    </w:p>
    <w:p w14:paraId="3181BC34" w14:textId="77777777" w:rsidR="004E37E2" w:rsidRDefault="001E6E50">
      <w:pPr>
        <w:widowControl w:val="0"/>
        <w:spacing w:after="240" w:line="360" w:lineRule="auto"/>
        <w:ind w:right="567"/>
        <w:jc w:val="both"/>
        <w:rPr>
          <w:rFonts w:ascii="Palatino Linotype" w:eastAsia="Palatino Linotype" w:hAnsi="Palatino Linotype" w:cs="Palatino Linotype"/>
          <w:b/>
        </w:rPr>
      </w:pPr>
      <w:r>
        <w:rPr>
          <w:rFonts w:ascii="Palatino Linotype" w:eastAsia="Palatino Linotype" w:hAnsi="Palatino Linotype" w:cs="Palatino Linotype"/>
          <w:b/>
        </w:rPr>
        <w:t xml:space="preserve">b) Motivo de inconformidad: </w:t>
      </w:r>
    </w:p>
    <w:p w14:paraId="591DF6A6" w14:textId="77777777" w:rsidR="004E37E2" w:rsidRDefault="001E6E50">
      <w:pPr>
        <w:tabs>
          <w:tab w:val="left" w:pos="8080"/>
          <w:tab w:val="left" w:pos="8364"/>
        </w:tabs>
        <w:spacing w:before="240"/>
        <w:ind w:left="99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color w:val="000000"/>
          <w:sz w:val="22"/>
          <w:szCs w:val="22"/>
        </w:rPr>
        <w:t xml:space="preserve">no me entregan la información solicitado, </w:t>
      </w:r>
      <w:r>
        <w:rPr>
          <w:rFonts w:ascii="Palatino Linotype" w:eastAsia="Palatino Linotype" w:hAnsi="Palatino Linotype" w:cs="Palatino Linotype"/>
          <w:b/>
          <w:i/>
          <w:color w:val="000000"/>
          <w:sz w:val="22"/>
          <w:szCs w:val="22"/>
          <w:u w:val="single"/>
        </w:rPr>
        <w:t>requieren un pago cunado es gratis</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sz w:val="22"/>
          <w:szCs w:val="22"/>
        </w:rPr>
        <w:t>” (Sic)</w:t>
      </w:r>
    </w:p>
    <w:p w14:paraId="6D8C1D63" w14:textId="77777777" w:rsidR="004E37E2" w:rsidRDefault="004E37E2">
      <w:pPr>
        <w:tabs>
          <w:tab w:val="left" w:pos="8080"/>
          <w:tab w:val="left" w:pos="8364"/>
        </w:tabs>
        <w:ind w:right="900"/>
        <w:jc w:val="both"/>
        <w:rPr>
          <w:rFonts w:ascii="Palatino Linotype" w:eastAsia="Palatino Linotype" w:hAnsi="Palatino Linotype" w:cs="Palatino Linotype"/>
          <w:i/>
          <w:sz w:val="22"/>
          <w:szCs w:val="22"/>
        </w:rPr>
      </w:pPr>
    </w:p>
    <w:p w14:paraId="33504C10" w14:textId="77777777" w:rsidR="004E37E2" w:rsidRDefault="001E6E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recurso de revisión </w:t>
      </w:r>
      <w:r>
        <w:rPr>
          <w:rFonts w:ascii="Palatino Linotype" w:eastAsia="Palatino Linotype" w:hAnsi="Palatino Linotype" w:cs="Palatino Linotype"/>
          <w:b/>
        </w:rPr>
        <w:t>03544/INFOEM/IP/RR/2022</w:t>
      </w:r>
      <w:r>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14:paraId="2A82C746" w14:textId="77777777" w:rsidR="004E37E2" w:rsidRDefault="004E37E2">
      <w:pPr>
        <w:widowControl w:val="0"/>
        <w:jc w:val="both"/>
        <w:rPr>
          <w:rFonts w:ascii="Palatino Linotype" w:eastAsia="Palatino Linotype" w:hAnsi="Palatino Linotype" w:cs="Palatino Linotype"/>
          <w:b/>
          <w:sz w:val="16"/>
          <w:szCs w:val="16"/>
        </w:rPr>
      </w:pPr>
    </w:p>
    <w:p w14:paraId="76238A83" w14:textId="77777777" w:rsidR="004E37E2" w:rsidRDefault="001E6E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b/>
          <w:sz w:val="28"/>
          <w:szCs w:val="28"/>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once de marzo del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4C85CBBC" w14:textId="77777777" w:rsidR="004E37E2" w:rsidRDefault="001E6E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Pr>
          <w:rFonts w:ascii="Palatino Linotype" w:eastAsia="Palatino Linotype" w:hAnsi="Palatino Linotype" w:cs="Palatino Linotype"/>
          <w:b/>
        </w:rPr>
        <w:t>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 xml:space="preserve">veintitrés de marzo de dos mil veintidós </w:t>
      </w:r>
      <w:r>
        <w:rPr>
          <w:rFonts w:ascii="Palatino Linotype" w:eastAsia="Palatino Linotype" w:hAnsi="Palatino Linotype" w:cs="Palatino Linotype"/>
        </w:rPr>
        <w:t>presentó su informe justificado</w:t>
      </w:r>
      <w:r>
        <w:rPr>
          <w:rFonts w:ascii="Palatino Linotype" w:eastAsia="Palatino Linotype" w:hAnsi="Palatino Linotype" w:cs="Palatino Linotype"/>
          <w:color w:val="000000"/>
        </w:rPr>
        <w:t xml:space="preserve"> a través del cual en términos generales ratifica </w:t>
      </w:r>
      <w:r>
        <w:rPr>
          <w:rFonts w:ascii="Palatino Linotype" w:eastAsia="Palatino Linotype" w:hAnsi="Palatino Linotype" w:cs="Palatino Linotype"/>
          <w:color w:val="000000"/>
        </w:rPr>
        <w:lastRenderedPageBreak/>
        <w:t>su respuesta inicial. Por su parte el recurrente no realizó manifestación alguna, como se observa a continuación:</w:t>
      </w:r>
    </w:p>
    <w:p w14:paraId="43E5C6C9" w14:textId="77777777" w:rsidR="004E37E2" w:rsidRDefault="001E6E50">
      <w:pPr>
        <w:spacing w:before="240" w:after="240" w:line="360" w:lineRule="auto"/>
        <w:jc w:val="both"/>
        <w:rPr>
          <w:rFonts w:ascii="Palatino Linotype" w:eastAsia="Palatino Linotype" w:hAnsi="Palatino Linotype" w:cs="Palatino Linotype"/>
        </w:rPr>
      </w:pPr>
      <w:r>
        <w:rPr>
          <w:noProof/>
          <w:lang w:val="es-MX" w:eastAsia="es-MX"/>
        </w:rPr>
        <w:drawing>
          <wp:inline distT="0" distB="0" distL="0" distR="0" wp14:anchorId="622834CA" wp14:editId="3B7E12A8">
            <wp:extent cx="5760872" cy="2057785"/>
            <wp:effectExtent l="0" t="0" r="0" b="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9741" t="25128" r="29450" b="48960"/>
                    <a:stretch>
                      <a:fillRect/>
                    </a:stretch>
                  </pic:blipFill>
                  <pic:spPr>
                    <a:xfrm>
                      <a:off x="0" y="0"/>
                      <a:ext cx="5760872" cy="2057785"/>
                    </a:xfrm>
                    <a:prstGeom prst="rect">
                      <a:avLst/>
                    </a:prstGeom>
                    <a:ln/>
                  </pic:spPr>
                </pic:pic>
              </a:graphicData>
            </a:graphic>
          </wp:inline>
        </w:drawing>
      </w:r>
    </w:p>
    <w:p w14:paraId="6107DE8A" w14:textId="77777777" w:rsidR="004E37E2" w:rsidRDefault="001E6E5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término para resolver</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trece de mayo de dos mil veintidós</w:t>
      </w:r>
      <w:r>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5F145F4" w14:textId="77777777" w:rsidR="004E37E2" w:rsidRDefault="004E37E2">
      <w:pPr>
        <w:spacing w:line="360" w:lineRule="auto"/>
        <w:jc w:val="both"/>
        <w:rPr>
          <w:rFonts w:ascii="Palatino Linotype" w:eastAsia="Palatino Linotype" w:hAnsi="Palatino Linotype" w:cs="Palatino Linotype"/>
        </w:rPr>
      </w:pPr>
    </w:p>
    <w:p w14:paraId="141551BF" w14:textId="77777777" w:rsidR="004E37E2" w:rsidRDefault="001E6E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9. Cierre de Instrucción</w:t>
      </w:r>
      <w:r>
        <w:rPr>
          <w:rFonts w:ascii="Palatino Linotype" w:eastAsia="Palatino Linotype" w:hAnsi="Palatino Linotype" w:cs="Palatino Linotype"/>
          <w:b/>
          <w:sz w:val="28"/>
          <w:szCs w:val="28"/>
        </w:rPr>
        <w:t>.</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tres de junio del dos mil veintidós,</w:t>
      </w:r>
      <w:r>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10EDD765" w14:textId="77777777" w:rsidR="004E37E2" w:rsidRDefault="004E37E2">
      <w:pPr>
        <w:spacing w:line="360" w:lineRule="auto"/>
        <w:jc w:val="both"/>
        <w:rPr>
          <w:rFonts w:ascii="Palatino Linotype" w:eastAsia="Palatino Linotype" w:hAnsi="Palatino Linotype" w:cs="Palatino Linotype"/>
        </w:rPr>
      </w:pPr>
    </w:p>
    <w:p w14:paraId="0F6CEA5A" w14:textId="77777777" w:rsidR="004E37E2" w:rsidRDefault="001E6E5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0673C0F" w14:textId="77777777" w:rsidR="004E37E2" w:rsidRDefault="001E6E50">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II.CONSIDERANDOS</w:t>
      </w:r>
    </w:p>
    <w:p w14:paraId="73780295" w14:textId="77777777" w:rsidR="004E37E2" w:rsidRDefault="001E6E50">
      <w:pPr>
        <w:spacing w:before="240" w:after="240"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color w:val="222222"/>
          <w:highlight w:val="whit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trigésimos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E0806FD" w14:textId="77777777" w:rsidR="004E37E2" w:rsidRDefault="001E6E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 en el estudio se advierte que el presente recurso fue interpuesto dentro del plazo de quince días hábiles, previsto en el primer artículo señalado anteriormente como referencia,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veinticuatro de febrero de dos mil veintidós,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ocho de marzo de dos mil veintidós</w:t>
      </w:r>
      <w:r>
        <w:rPr>
          <w:rFonts w:ascii="Palatino Linotype" w:eastAsia="Palatino Linotype" w:hAnsi="Palatino Linotype" w:cs="Palatino Linotype"/>
        </w:rPr>
        <w:t>, esto es, al séptimo día hábil siguiente a aquel en que tuvo conocimiento de la respuesta impugnada.</w:t>
      </w:r>
    </w:p>
    <w:p w14:paraId="7500F14C" w14:textId="77777777" w:rsidR="004E37E2" w:rsidRDefault="001E6E50">
      <w:pPr>
        <w:spacing w:before="240" w:after="240" w:line="360" w:lineRule="auto"/>
        <w:jc w:val="both"/>
        <w:rPr>
          <w:rFonts w:ascii="Palatino Linotype" w:eastAsia="Palatino Linotype" w:hAnsi="Palatino Linotype" w:cs="Palatino Linotype"/>
        </w:rPr>
      </w:pPr>
      <w:bookmarkStart w:id="1" w:name="_heading=h.3znysh7" w:colFirst="0" w:colLast="0"/>
      <w:bookmarkEnd w:id="1"/>
      <w:r>
        <w:rPr>
          <w:rFonts w:ascii="Palatino Linotype" w:eastAsia="Palatino Linotype" w:hAnsi="Palatino Linotype" w:cs="Palatino Linotype"/>
        </w:rPr>
        <w:lastRenderedPageBreak/>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4035E533" w14:textId="77777777" w:rsidR="004E37E2" w:rsidRDefault="001E6E50">
      <w:pPr>
        <w:spacing w:before="240" w:after="240" w:line="360" w:lineRule="auto"/>
        <w:jc w:val="both"/>
        <w:rPr>
          <w:rFonts w:ascii="Palatino Linotype" w:eastAsia="Palatino Linotype" w:hAnsi="Palatino Linotype" w:cs="Palatino Linotype"/>
        </w:rPr>
      </w:pPr>
      <w:bookmarkStart w:id="2" w:name="_heading=h.17dp8vu" w:colFirst="0" w:colLast="0"/>
      <w:bookmarkEnd w:id="2"/>
      <w:r>
        <w:rPr>
          <w:rFonts w:ascii="Palatino Linotype" w:eastAsia="Palatino Linotype" w:hAnsi="Palatino Linotype" w:cs="Palatino Linotype"/>
          <w:color w:val="000000"/>
        </w:rPr>
        <w:t xml:space="preserve">Al mismo tiempo, por cuanto hace a la procedibilidad del recurso de revisión, es de suma importancia señalar que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no proporcionó nombre o seudónimo con el cual sea identificado, </w:t>
      </w:r>
      <w:r>
        <w:rPr>
          <w:rFonts w:ascii="Palatino Linotype" w:eastAsia="Palatino Linotype" w:hAnsi="Palatino Linotype" w:cs="Palatino Linotype"/>
          <w:color w:val="000000"/>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EA6A147" w14:textId="77777777" w:rsidR="004E37E2" w:rsidRDefault="001E6E50">
      <w:pPr>
        <w:spacing w:before="240" w:after="240" w:line="276" w:lineRule="auto"/>
        <w:ind w:left="851" w:right="900"/>
        <w:jc w:val="both"/>
        <w:rPr>
          <w:rFonts w:ascii="Palatino Linotype" w:eastAsia="Palatino Linotype" w:hAnsi="Palatino Linotype" w:cs="Palatino Linotype"/>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Las solicitudes anónimas</w:t>
      </w:r>
      <w:r>
        <w:rPr>
          <w:rFonts w:ascii="Palatino Linotype" w:eastAsia="Palatino Linotype" w:hAnsi="Palatino Linotype" w:cs="Palatino Linotype"/>
          <w:i/>
          <w:color w:val="000000"/>
        </w:rPr>
        <w:t xml:space="preserve">, con nombre incompleto o seudónimo </w:t>
      </w:r>
      <w:r>
        <w:rPr>
          <w:rFonts w:ascii="Palatino Linotype" w:eastAsia="Palatino Linotype" w:hAnsi="Palatino Linotype" w:cs="Palatino Linotype"/>
          <w:b/>
          <w:i/>
          <w:color w:val="000000"/>
        </w:rPr>
        <w:t>serán procedentes para su trámite por parte del sujeto obligado ante quien se presente</w:t>
      </w:r>
      <w:r>
        <w:rPr>
          <w:rFonts w:ascii="Palatino Linotype" w:eastAsia="Palatino Linotype" w:hAnsi="Palatino Linotype" w:cs="Palatino Linotype"/>
          <w:i/>
          <w:color w:val="000000"/>
        </w:rPr>
        <w:t>. No podrá requerirse información adicional con motivo del nombre proporcionado por el solicitante."</w:t>
      </w:r>
    </w:p>
    <w:p w14:paraId="09861323" w14:textId="77777777" w:rsidR="004E37E2" w:rsidRDefault="001E6E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7798E061" w14:textId="77777777" w:rsidR="004E37E2" w:rsidRDefault="001E6E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X del ordenamiento legal citado, que a la letra dice: </w:t>
      </w:r>
    </w:p>
    <w:p w14:paraId="3EE4F20F" w14:textId="77777777" w:rsidR="004E37E2" w:rsidRDefault="001E6E50">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026F6FF" w14:textId="77777777" w:rsidR="004E37E2" w:rsidRDefault="001E6E50">
      <w:pPr>
        <w:spacing w:before="240" w:after="240" w:line="276" w:lineRule="auto"/>
        <w:ind w:left="993"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21DE94C4" w14:textId="77777777" w:rsidR="004E37E2" w:rsidRDefault="001E6E50">
      <w:pPr>
        <w:spacing w:before="240" w:after="240" w:line="276"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Los costos o tiempos de entrega de la información;”</w:t>
      </w:r>
    </w:p>
    <w:p w14:paraId="72FDEE0E"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Materia de Revisión</w:t>
      </w:r>
      <w:r>
        <w:rPr>
          <w:rFonts w:ascii="Palatino Linotype" w:eastAsia="Palatino Linotype" w:hAnsi="Palatino Linotype" w:cs="Palatino Linotype"/>
        </w:rPr>
        <w:t xml:space="preserve">: 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información remitida por el SUJETO OBLIGADO es adecuada y suficiente para satisfacer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12A27A89" w14:textId="77777777" w:rsidR="004E37E2" w:rsidRDefault="001E6E5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Antes de entrar al análisis de los pronunciamientos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E439F86" w14:textId="77777777" w:rsidR="004E37E2" w:rsidRDefault="001E6E50">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34BDC02" w14:textId="77777777" w:rsidR="004E37E2" w:rsidRDefault="001E6E50">
      <w:pPr>
        <w:tabs>
          <w:tab w:val="left" w:pos="709"/>
        </w:tabs>
        <w:spacing w:before="240" w:after="240" w:line="276" w:lineRule="auto"/>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043E3D0" w14:textId="77777777" w:rsidR="004E37E2" w:rsidRDefault="001E6E50">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787670D" w14:textId="77777777" w:rsidR="004E37E2" w:rsidRDefault="001E6E50">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08928F3" w14:textId="77777777" w:rsidR="004E37E2" w:rsidRDefault="001E6E50">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68F4DA33" w14:textId="77777777" w:rsidR="004E37E2" w:rsidRDefault="001E6E50">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463D443" w14:textId="77777777" w:rsidR="004E37E2" w:rsidRDefault="001E6E50">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4D2B9DF" w14:textId="77777777" w:rsidR="004E37E2" w:rsidRDefault="001E6E50">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3318E4F" w14:textId="77777777" w:rsidR="004E37E2" w:rsidRDefault="001E6E50">
      <w:pPr>
        <w:spacing w:before="240" w:after="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F2D2E91" w14:textId="77777777" w:rsidR="004E37E2" w:rsidRDefault="001E6E50">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53601730" w14:textId="77777777" w:rsidR="004E37E2" w:rsidRDefault="001E6E50">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8667437" w14:textId="77777777" w:rsidR="004E37E2" w:rsidRDefault="001E6E50">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D852B68" w14:textId="77777777" w:rsidR="004E37E2" w:rsidRDefault="001E6E50">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8DF3548" w14:textId="77777777" w:rsidR="004E37E2" w:rsidRDefault="001E6E50">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60BF8C7" w14:textId="77777777" w:rsidR="004E37E2" w:rsidRDefault="001E6E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453BA3E" w14:textId="77777777" w:rsidR="004E37E2" w:rsidRDefault="001E6E50">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B1CAF19" w14:textId="77777777" w:rsidR="004E37E2" w:rsidRDefault="001E6E50">
      <w:pPr>
        <w:spacing w:before="240" w:after="240" w:line="276" w:lineRule="auto"/>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w:t>
      </w:r>
      <w:r>
        <w:rPr>
          <w:rFonts w:ascii="Palatino Linotype" w:eastAsia="Palatino Linotype" w:hAnsi="Palatino Linotype" w:cs="Palatino Linotype"/>
          <w:b/>
          <w:i/>
          <w:sz w:val="22"/>
          <w:szCs w:val="22"/>
        </w:rPr>
        <w:lastRenderedPageBreak/>
        <w:t>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6760C00" w14:textId="77777777" w:rsidR="004E37E2" w:rsidRDefault="001E6E50">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59B7457F" w14:textId="77777777" w:rsidR="004E37E2" w:rsidRDefault="001E6E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6F20FBF" w14:textId="77777777" w:rsidR="004E37E2" w:rsidRDefault="001E6E50">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F5300D4" w14:textId="77777777" w:rsidR="004E37E2" w:rsidRDefault="001E6E50">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w:t>
      </w:r>
      <w:r>
        <w:rPr>
          <w:rFonts w:ascii="Palatino Linotype" w:eastAsia="Palatino Linotype" w:hAnsi="Palatino Linotype" w:cs="Palatino Linotype"/>
          <w:b/>
          <w:i/>
          <w:sz w:val="22"/>
          <w:szCs w:val="22"/>
        </w:rPr>
        <w:t>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 (Sic)</w:t>
      </w:r>
    </w:p>
    <w:p w14:paraId="5E53BB2D" w14:textId="77777777" w:rsidR="004E37E2" w:rsidRDefault="001E6E50">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w:t>
      </w:r>
      <w:r>
        <w:rPr>
          <w:rFonts w:ascii="Palatino Linotype" w:eastAsia="Palatino Linotype" w:hAnsi="Palatino Linotype" w:cs="Palatino Linotype"/>
          <w:color w:val="000000"/>
        </w:rPr>
        <w:lastRenderedPageBreak/>
        <w:t xml:space="preserve">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4D40986B" w14:textId="77777777" w:rsidR="004E37E2" w:rsidRDefault="001E6E50">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14:paraId="4224305D" w14:textId="77777777" w:rsidR="004E37E2" w:rsidRDefault="001E6E50">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w:t>
      </w:r>
    </w:p>
    <w:p w14:paraId="0160446B" w14:textId="77777777" w:rsidR="004E37E2" w:rsidRDefault="001E6E50">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52D6E2C" w14:textId="77777777" w:rsidR="004E37E2" w:rsidRDefault="001E6E50">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AE87BC2" w14:textId="77777777" w:rsidR="004E37E2" w:rsidRDefault="001E6E5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Pr>
          <w:rFonts w:ascii="Palatino Linotype" w:eastAsia="Palatino Linotype" w:hAnsi="Palatino Linotype" w:cs="Palatino Linotype"/>
        </w:rPr>
        <w:lastRenderedPageBreak/>
        <w:t>público habilitado de cada Sujeto Obligado; como así se establece en la Ley de Transparencia y Acceso a la Información Pública del Estado de México y Municipios.</w:t>
      </w:r>
    </w:p>
    <w:p w14:paraId="63E08463" w14:textId="77777777" w:rsidR="004E37E2" w:rsidRDefault="001E6E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743ABAC" w14:textId="77777777" w:rsidR="004E37E2" w:rsidRDefault="001E6E50">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3A1DB9EE" w14:textId="77777777" w:rsidR="004E37E2" w:rsidRDefault="001E6E50">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172AE23" w14:textId="77777777" w:rsidR="004E37E2" w:rsidRDefault="001E6E50">
      <w:pPr>
        <w:spacing w:before="240" w:after="240"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478F43EA" w14:textId="77777777" w:rsidR="004E37E2" w:rsidRDefault="001E6E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w:t>
      </w:r>
      <w:r>
        <w:rPr>
          <w:rFonts w:ascii="Palatino Linotype" w:eastAsia="Palatino Linotype" w:hAnsi="Palatino Linotype" w:cs="Palatino Linotype"/>
        </w:rPr>
        <w:lastRenderedPageBreak/>
        <w:t>Gobierno del Estado Libre y Soberano de México “Gaceta del Gobierno”, el diecinueve de octubre de dos mil once, cuyo rubro y texto refieren lo siguiente:</w:t>
      </w:r>
    </w:p>
    <w:p w14:paraId="5E2D419F" w14:textId="77777777" w:rsidR="004E37E2" w:rsidRDefault="001E6E50">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093B53E5" w14:textId="77777777" w:rsidR="004E37E2" w:rsidRDefault="001E6E50">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0E3795" w14:textId="77777777" w:rsidR="004E37E2" w:rsidRDefault="001E6E50">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0771C3A" w14:textId="77777777" w:rsidR="004E37E2" w:rsidRDefault="001E6E50">
      <w:pPr>
        <w:numPr>
          <w:ilvl w:val="0"/>
          <w:numId w:val="2"/>
        </w:numPr>
        <w:pBdr>
          <w:top w:val="nil"/>
          <w:left w:val="nil"/>
          <w:bottom w:val="nil"/>
          <w:right w:val="nil"/>
          <w:between w:val="nil"/>
        </w:pBdr>
        <w:spacing w:before="240" w:after="240" w:line="276" w:lineRule="auto"/>
        <w:ind w:left="993" w:right="567" w:firstLine="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2482D9C1" w14:textId="77777777" w:rsidR="004E37E2" w:rsidRDefault="001E6E50">
      <w:pPr>
        <w:numPr>
          <w:ilvl w:val="0"/>
          <w:numId w:val="2"/>
        </w:numPr>
        <w:pBdr>
          <w:top w:val="nil"/>
          <w:left w:val="nil"/>
          <w:bottom w:val="nil"/>
          <w:right w:val="nil"/>
          <w:between w:val="nil"/>
        </w:pBdr>
        <w:spacing w:before="240" w:after="240" w:line="276" w:lineRule="auto"/>
        <w:ind w:left="993" w:right="567" w:firstLine="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4AE87E2E" w14:textId="77777777" w:rsidR="004E37E2" w:rsidRDefault="001E6E50">
      <w:pPr>
        <w:spacing w:before="240" w:after="240" w:line="276" w:lineRule="auto"/>
        <w:ind w:left="993" w:right="567" w:firstLine="14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543D85F9" w14:textId="77777777" w:rsidR="004E37E2" w:rsidRDefault="001E6E5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w:t>
      </w:r>
      <w:r>
        <w:rPr>
          <w:rFonts w:ascii="Palatino Linotype" w:eastAsia="Palatino Linotype" w:hAnsi="Palatino Linotype" w:cs="Palatino Linotype"/>
        </w:rPr>
        <w:lastRenderedPageBreak/>
        <w:t>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14:paraId="57498470" w14:textId="77777777" w:rsidR="004E37E2" w:rsidRDefault="001E6E50">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previo análisis del presente asunto, conviene reiterar que el particular requirió que se le proporcionara la siguiente información, </w:t>
      </w:r>
      <w:r>
        <w:rPr>
          <w:rFonts w:ascii="Palatino Linotype" w:eastAsia="Palatino Linotype" w:hAnsi="Palatino Linotype" w:cs="Palatino Linotype"/>
        </w:rPr>
        <w:t>correspondiente a los años 2020 y 2021</w:t>
      </w:r>
      <w:r>
        <w:rPr>
          <w:rFonts w:ascii="Palatino Linotype" w:eastAsia="Palatino Linotype" w:hAnsi="Palatino Linotype" w:cs="Palatino Linotype"/>
          <w:color w:val="000000"/>
        </w:rPr>
        <w:t xml:space="preserve">: </w:t>
      </w:r>
    </w:p>
    <w:p w14:paraId="3A6A9481" w14:textId="77777777" w:rsidR="004E37E2" w:rsidRDefault="001E6E50">
      <w:pPr>
        <w:numPr>
          <w:ilvl w:val="0"/>
          <w:numId w:val="3"/>
        </w:num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Todos los contratos de adquisiciones</w:t>
      </w:r>
    </w:p>
    <w:p w14:paraId="25CFEE35" w14:textId="77777777" w:rsidR="004E37E2" w:rsidRDefault="001E6E50">
      <w:pPr>
        <w:numPr>
          <w:ilvl w:val="0"/>
          <w:numId w:val="3"/>
        </w:num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rPr>
        <w:t>Pagos realizados por cualquier concepto, facturas que se hayan pagado</w:t>
      </w:r>
      <w:r>
        <w:rPr>
          <w:rFonts w:ascii="Palatino Linotype" w:eastAsia="Palatino Linotype" w:hAnsi="Palatino Linotype" w:cs="Palatino Linotype"/>
        </w:rPr>
        <w:t>.</w:t>
      </w:r>
    </w:p>
    <w:p w14:paraId="34F23CD3" w14:textId="77777777" w:rsidR="004E37E2" w:rsidRDefault="001E6E50">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su parte,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 la Unidad de Transparencia hizo del conocimiento lo siguiente: </w:t>
      </w:r>
    </w:p>
    <w:p w14:paraId="4C142EC3" w14:textId="77777777" w:rsidR="004E37E2" w:rsidRDefault="001E6E50">
      <w:pPr>
        <w:numPr>
          <w:ilvl w:val="3"/>
          <w:numId w:val="2"/>
        </w:numPr>
        <w:pBdr>
          <w:top w:val="nil"/>
          <w:left w:val="nil"/>
          <w:bottom w:val="nil"/>
          <w:right w:val="nil"/>
          <w:between w:val="nil"/>
        </w:pBdr>
        <w:spacing w:after="240" w:line="360" w:lineRule="auto"/>
        <w:ind w:left="851"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Respecto a los contratos de adquisiciones señaló que estos pueden ser localizados en el link </w:t>
      </w:r>
      <w:hyperlink r:id="rId11">
        <w:r>
          <w:rPr>
            <w:rFonts w:ascii="Palatino Linotype" w:eastAsia="Palatino Linotype" w:hAnsi="Palatino Linotype" w:cs="Palatino Linotype"/>
            <w:color w:val="035899"/>
          </w:rPr>
          <w:t>http://ipomex.org.mx/ipo3/lgt/indice/SMOV.web</w:t>
        </w:r>
      </w:hyperlink>
      <w:r>
        <w:rPr>
          <w:rFonts w:ascii="Palatino Linotype" w:eastAsia="Palatino Linotype" w:hAnsi="Palatino Linotype" w:cs="Palatino Linotype"/>
          <w:color w:val="000000"/>
        </w:rPr>
        <w:t xml:space="preserve"> fracción XXIXA en donde localizará los procedimientos de licitación pública e invitación a cuando menos tres personas, del sistema de información pública de oficio mexiquense (IPOMEX). </w:t>
      </w:r>
    </w:p>
    <w:p w14:paraId="3D52CCF3" w14:textId="77777777" w:rsidR="004E37E2" w:rsidRDefault="001E6E50">
      <w:pPr>
        <w:numPr>
          <w:ilvl w:val="3"/>
          <w:numId w:val="2"/>
        </w:numPr>
        <w:pBdr>
          <w:top w:val="nil"/>
          <w:left w:val="nil"/>
          <w:bottom w:val="nil"/>
          <w:right w:val="nil"/>
          <w:between w:val="nil"/>
        </w:pBdr>
        <w:spacing w:after="240" w:line="360" w:lineRule="auto"/>
        <w:ind w:left="851"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lo que respecta a los pagos realizados por cualquier concepto, facturas que se hayan pagado en 2020 y 2021 se informa que se localizaron de manera física 116 fojas, las cuales se pondrán a disposición en copia simple, tomando en consideración que esta Oficina no cuenta con las herramientas tecnológicas para digitalizar dicho volumen de información, y que dichas facturas se pondrían a su disposición en versión pública. </w:t>
      </w:r>
    </w:p>
    <w:p w14:paraId="2C8D6583" w14:textId="77777777" w:rsidR="004E37E2" w:rsidRDefault="001E6E50">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no estar conforme con los términos de la respuesta emitida, el particular presentó el recurso de revisión que nos ocupa, mediante el cual señaló, como motivo de inconformidad,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requiere un pago de información que debe ser proporcionada de manera gratuita, esto es, sólo se inconforma por el cambio de modalidad respecto a la entrega de los documentos donde consten los pagos y facturas que se hayan pagado en 2020 y 2021. </w:t>
      </w:r>
    </w:p>
    <w:p w14:paraId="477C2742" w14:textId="77777777" w:rsidR="004E37E2" w:rsidRDefault="001E6E50">
      <w:pPr>
        <w:spacing w:before="24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satisface la solicitud presentada.</w:t>
      </w:r>
    </w:p>
    <w:p w14:paraId="00FAF28F" w14:textId="77777777" w:rsidR="004E37E2" w:rsidRDefault="001E6E50">
      <w:pPr>
        <w:spacing w:before="240" w:after="360" w:line="360" w:lineRule="auto"/>
        <w:jc w:val="both"/>
      </w:pPr>
      <w:r>
        <w:rPr>
          <w:rFonts w:ascii="Palatino Linotype" w:eastAsia="Palatino Linotype" w:hAnsi="Palatino Linotype" w:cs="Palatino Linotype"/>
          <w:color w:val="000000"/>
        </w:rPr>
        <w:t xml:space="preserve">Lo anterior es así, debido a que cuando un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contravenirla. Sirve de apoyo a lo anterior, por analogía, la Tesis Jurisprudencial Número 3ª./J.7/91, publicada en el </w:t>
      </w:r>
      <w:r>
        <w:rPr>
          <w:rFonts w:ascii="Palatino Linotype" w:eastAsia="Palatino Linotype" w:hAnsi="Palatino Linotype" w:cs="Palatino Linotype"/>
          <w:color w:val="000000"/>
        </w:rPr>
        <w:lastRenderedPageBreak/>
        <w:t>Semanario Judicial de la Federación y su Gaceta bajo el número de registro 174,177, que establece lo siguiente:</w:t>
      </w:r>
    </w:p>
    <w:p w14:paraId="36381AC9" w14:textId="77777777" w:rsidR="004E37E2" w:rsidRDefault="001E6E50">
      <w:pPr>
        <w:spacing w:before="240" w:after="360"/>
        <w:ind w:left="851" w:right="615"/>
        <w:jc w:val="both"/>
      </w:pPr>
      <w:r>
        <w:rPr>
          <w:rFonts w:ascii="Palatino Linotype" w:eastAsia="Palatino Linotype" w:hAnsi="Palatino Linotype" w:cs="Palatino Linotype"/>
          <w:b/>
          <w:i/>
          <w:color w:val="000000"/>
          <w:sz w:val="18"/>
          <w:szCs w:val="18"/>
        </w:rPr>
        <w:t>“</w:t>
      </w:r>
      <w:r>
        <w:rPr>
          <w:rFonts w:ascii="Palatino Linotype" w:eastAsia="Palatino Linotype" w:hAnsi="Palatino Linotype" w:cs="Palatino Linotype"/>
          <w:b/>
          <w:i/>
          <w:color w:val="000000"/>
          <w:sz w:val="22"/>
          <w:szCs w:val="22"/>
        </w:rPr>
        <w:t xml:space="preserve">REVISIÓN EN AMPARO. LOS RESOLUTIVOS NO COMBATIDOS DEBEN DECLARARSE FIRMES. </w:t>
      </w:r>
      <w:r>
        <w:rPr>
          <w:rFonts w:ascii="Palatino Linotype" w:eastAsia="Palatino Linotype" w:hAnsi="Palatino Linotype" w:cs="Palatino Linotype"/>
          <w:i/>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1686BC3" w14:textId="77777777" w:rsidR="004E37E2" w:rsidRDefault="001E6E50">
      <w:pPr>
        <w:spacing w:before="240" w:after="240" w:line="360" w:lineRule="auto"/>
        <w:jc w:val="both"/>
      </w:pPr>
      <w:r>
        <w:rPr>
          <w:rFonts w:ascii="Palatino Linotype" w:eastAsia="Palatino Linotype" w:hAnsi="Palatino Linotype" w:cs="Palatino Linotype"/>
          <w:color w:val="000000"/>
        </w:rPr>
        <w:t xml:space="preserve">Consecuentemente, se insiste, ante la falta de impugnación eficaz, la respuesta entregada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declararse consentida por el particular.</w:t>
      </w:r>
    </w:p>
    <w:p w14:paraId="3DFAD582" w14:textId="77777777" w:rsidR="004E37E2" w:rsidRDefault="001E6E50">
      <w:pPr>
        <w:spacing w:before="240" w:after="240" w:line="360" w:lineRule="auto"/>
        <w:jc w:val="both"/>
      </w:pPr>
      <w:r>
        <w:rPr>
          <w:rFonts w:ascii="Palatino Linotype" w:eastAsia="Palatino Linotype" w:hAnsi="Palatino Linotype" w:cs="Palatino Linotype"/>
          <w:color w:val="000000"/>
        </w:rPr>
        <w:t>Lo anterior se sustenta con lo plasmado en el criterio 01-20 emitido por el Instituto Nacional de Transparencia, Acceso a la Información, y Protección de Datos Personales (INAI), que lleva por rubro y texto los siguientes: </w:t>
      </w:r>
    </w:p>
    <w:p w14:paraId="5ADDA282" w14:textId="77777777" w:rsidR="004E37E2" w:rsidRDefault="001E6E50">
      <w:pPr>
        <w:spacing w:before="120" w:after="120"/>
        <w:ind w:left="851" w:right="902"/>
        <w:jc w:val="both"/>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sz w:val="22"/>
          <w:szCs w:val="22"/>
        </w:rPr>
        <w:t xml:space="preserve">Actos consentidos tácitamente. Improcedencia de su análisis. </w:t>
      </w:r>
      <w:r>
        <w:rPr>
          <w:rFonts w:ascii="Palatino Linotype" w:eastAsia="Palatino Linotype" w:hAnsi="Palatino Linotype" w:cs="Palatino Linotype"/>
          <w:i/>
          <w:color w:val="000000"/>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3B03D9B" w14:textId="77777777" w:rsidR="004E37E2" w:rsidRDefault="001E6E50">
      <w:pP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dado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ha reconocido expresamente que cuenta con la información que colmaría la solicitud interpuesta por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a nada práctico nos llevaría el estudio de la fuente obligacional, en razón de que dicho análisis se efectúa con la finalidad de determinar si los Sujetos Obligados generan, administran o poseen la información que les fue requerida, de manera que, en el presente caso, privilegiando los principios de máxima publicidad, certeza jurídica, y gratuidad de la información pública, lo procedente es verificar si la respuesta emitida por el </w:t>
      </w:r>
      <w:r>
        <w:rPr>
          <w:rFonts w:ascii="Palatino Linotype" w:eastAsia="Palatino Linotype" w:hAnsi="Palatino Linotype" w:cs="Palatino Linotype"/>
          <w:b/>
          <w:color w:val="000000"/>
        </w:rPr>
        <w:t xml:space="preserve">SUJETO </w:t>
      </w:r>
      <w:r>
        <w:rPr>
          <w:rFonts w:ascii="Palatino Linotype" w:eastAsia="Palatino Linotype" w:hAnsi="Palatino Linotype" w:cs="Palatino Linotype"/>
          <w:b/>
          <w:color w:val="000000"/>
        </w:rPr>
        <w:lastRenderedPageBreak/>
        <w:t>OBLIGADO</w:t>
      </w:r>
      <w:r>
        <w:rPr>
          <w:rFonts w:ascii="Palatino Linotype" w:eastAsia="Palatino Linotype" w:hAnsi="Palatino Linotype" w:cs="Palatino Linotype"/>
          <w:color w:val="000000"/>
        </w:rPr>
        <w:t xml:space="preserve"> resulta ser suficiente para colmar con el derecho al acceso a la información de la particular.</w:t>
      </w:r>
    </w:p>
    <w:p w14:paraId="1B3817C3" w14:textId="77777777" w:rsidR="004E37E2" w:rsidRDefault="001E6E50">
      <w:pPr>
        <w:spacing w:before="240" w:after="240" w:line="360" w:lineRule="auto"/>
        <w:jc w:val="both"/>
      </w:pPr>
      <w:r>
        <w:rPr>
          <w:rFonts w:ascii="Palatino Linotype" w:eastAsia="Palatino Linotype" w:hAnsi="Palatino Linotype" w:cs="Palatino Linotype"/>
          <w:color w:val="000000"/>
        </w:rPr>
        <w:t xml:space="preserve">En tal contexto, y del análisis de las constancias que integran el expediente en que se actúa, así como de la materia sobre la que versa la solicitud de acceso a la información pública, se advierte que las razones o motivos de inconformidad devienen fundados, en razón de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no proporcionó la totalidad de la información que le fue requerida, a pesar de haber reconocido, de manera expresa, que cuenta con ella, por tal motivo el derecho de acceso de la parte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no ha quedado colmado, toda vez que se condicionó parte de la entrega de dicha información a la realización de un pago por concepto de derechos para la expedición de copias simples bajo el argumento de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no cuenta con la capacidad para la digitalización de los documentos requeridos. </w:t>
      </w:r>
    </w:p>
    <w:p w14:paraId="51F44D02"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respecto al pago requerido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 </w:t>
      </w:r>
      <w:r>
        <w:rPr>
          <w:rFonts w:ascii="Palatino Linotype" w:eastAsia="Palatino Linotype" w:hAnsi="Palatino Linotype" w:cs="Palatino Linotype"/>
          <w:b/>
        </w:rPr>
        <w:t>gratuidad</w:t>
      </w:r>
      <w:r>
        <w:rPr>
          <w:rFonts w:ascii="Palatino Linotype" w:eastAsia="Palatino Linotype" w:hAnsi="Palatino Linotype" w:cs="Palatino Linotype"/>
        </w:rPr>
        <w:t>, de certeza, de celeridad, de objetividad, entre otros.</w:t>
      </w:r>
    </w:p>
    <w:p w14:paraId="243B3645"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w:t>
      </w:r>
      <w:r>
        <w:rPr>
          <w:rFonts w:ascii="Palatino Linotype" w:eastAsia="Palatino Linotype" w:hAnsi="Palatino Linotype" w:cs="Palatino Linotype"/>
        </w:rPr>
        <w:lastRenderedPageBreak/>
        <w:t xml:space="preserve">la modalidad de acceso a la información solicitada, su costo represente una barrera fácilmente franqueable. </w:t>
      </w:r>
    </w:p>
    <w:p w14:paraId="0E9DC82A"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Pr>
          <w:rFonts w:ascii="Palatino Linotype" w:eastAsia="Palatino Linotype" w:hAnsi="Palatino Linotype" w:cs="Palatino Linotype"/>
          <w:b/>
        </w:rPr>
        <w:t>reproducción</w:t>
      </w:r>
      <w:r>
        <w:rPr>
          <w:rFonts w:ascii="Palatino Linotype" w:eastAsia="Palatino Linotype" w:hAnsi="Palatino Linotype" w:cs="Palatino Linotype"/>
        </w:rPr>
        <w:t xml:space="preserve"> de la información, y en su caso del costo de </w:t>
      </w:r>
      <w:r>
        <w:rPr>
          <w:rFonts w:ascii="Palatino Linotype" w:eastAsia="Palatino Linotype" w:hAnsi="Palatino Linotype" w:cs="Palatino Linotype"/>
          <w:b/>
        </w:rPr>
        <w:t>envío</w:t>
      </w:r>
      <w:r>
        <w:rPr>
          <w:rFonts w:ascii="Palatino Linotype" w:eastAsia="Palatino Linotype" w:hAnsi="Palatino Linotype" w:cs="Palatino Linotype"/>
        </w:rPr>
        <w:t>, finalmente, conlleva implícitamente un esfuerzo por parte de los Sujetos Obligados para reducir los costos de entrega de la información.</w:t>
      </w:r>
    </w:p>
    <w:p w14:paraId="5614B797"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73D40EDE"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Pr>
          <w:rFonts w:ascii="Palatino Linotype" w:eastAsia="Palatino Linotype" w:hAnsi="Palatino Linotype" w:cs="Palatino Linotype"/>
          <w:b/>
          <w:i/>
        </w:rPr>
        <w:t>gratuitos</w:t>
      </w:r>
      <w:r>
        <w:rPr>
          <w:rFonts w:ascii="Palatino Linotype" w:eastAsia="Palatino Linotype" w:hAnsi="Palatino Linotype" w:cs="Palatino Linotype"/>
        </w:rPr>
        <w:t xml:space="preserve">, refiere en los artículos 17 y 150, que la búsqueda y acceso a la información es gratuita y </w:t>
      </w:r>
      <w:r>
        <w:rPr>
          <w:rFonts w:ascii="Palatino Linotype" w:eastAsia="Palatino Linotype" w:hAnsi="Palatino Linotype" w:cs="Palatino Linotype"/>
          <w:b/>
          <w:i/>
        </w:rPr>
        <w:t xml:space="preserve">sólo se cubrirá en su caso, los gastos de reproducción, </w:t>
      </w:r>
      <w:r>
        <w:rPr>
          <w:rFonts w:ascii="Palatino Linotype" w:eastAsia="Palatino Linotype" w:hAnsi="Palatino Linotype" w:cs="Palatino Linotype"/>
          <w:b/>
          <w:i/>
          <w:u w:val="single"/>
        </w:rPr>
        <w:t xml:space="preserve">por la modalidad de entrega solicitada, o por el envío </w:t>
      </w:r>
      <w:r>
        <w:rPr>
          <w:rFonts w:ascii="Palatino Linotype" w:eastAsia="Palatino Linotype" w:hAnsi="Palatino Linotype" w:cs="Palatino Linotype"/>
        </w:rPr>
        <w:t xml:space="preserve">de conformidad con los derechos, productos y aprovechamientos establecidos en la </w:t>
      </w:r>
      <w:r>
        <w:rPr>
          <w:rFonts w:ascii="Palatino Linotype" w:eastAsia="Palatino Linotype" w:hAnsi="Palatino Linotype" w:cs="Palatino Linotype"/>
        </w:rPr>
        <w:lastRenderedPageBreak/>
        <w:t xml:space="preserve">legislación aplicable, en razón de que el procedimiento de acceso a la información es la garantía primaria del derecho en cuestión y </w:t>
      </w:r>
      <w:r>
        <w:rPr>
          <w:rFonts w:ascii="Palatino Linotype" w:eastAsia="Palatino Linotype" w:hAnsi="Palatino Linotype" w:cs="Palatino Linotype"/>
          <w:i/>
        </w:rPr>
        <w:t>se rige por los principios de simplicidad, rapidez</w:t>
      </w:r>
      <w:r>
        <w:rPr>
          <w:rFonts w:ascii="Palatino Linotype" w:eastAsia="Palatino Linotype" w:hAnsi="Palatino Linotype" w:cs="Palatino Linotype"/>
        </w:rPr>
        <w:t xml:space="preserve">, </w:t>
      </w:r>
      <w:r>
        <w:rPr>
          <w:rFonts w:ascii="Palatino Linotype" w:eastAsia="Palatino Linotype" w:hAnsi="Palatino Linotype" w:cs="Palatino Linotype"/>
          <w:i/>
        </w:rPr>
        <w:t>gratuidad</w:t>
      </w:r>
      <w:r>
        <w:rPr>
          <w:rFonts w:ascii="Palatino Linotype" w:eastAsia="Palatino Linotype" w:hAnsi="Palatino Linotype" w:cs="Palatino Linotype"/>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14:paraId="294B53E2"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Pr>
          <w:rFonts w:ascii="Palatino Linotype" w:eastAsia="Palatino Linotype" w:hAnsi="Palatino Linotype" w:cs="Palatino Linotype"/>
          <w:b/>
          <w:i/>
        </w:rPr>
        <w:t>en caso de que se tenga que generar un gasto por la reproducción, por el envío, o por la modalidad de entrega solicitada</w:t>
      </w:r>
      <w:r>
        <w:rPr>
          <w:rFonts w:ascii="Palatino Linotype" w:eastAsia="Palatino Linotype" w:hAnsi="Palatino Linotype" w:cs="Palatino Linotype"/>
        </w:rPr>
        <w:t>, supuestos que encuadran con lo establecido en los artículos 9 fracción III, 17, 165, 174, 175 de la Ley de Acceso a la Información Pública del Estado de México y Municipios, así como el artículo 4.22 de su Reglamento.</w:t>
      </w:r>
    </w:p>
    <w:p w14:paraId="49DDDB0B"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en el caso concreto, dichos preceptos son interpretados en perjuicio de la solicitante, como se explica enseguida, para lo cual es necesario hacer referencia a los mismos en su parte conducente: </w:t>
      </w:r>
    </w:p>
    <w:p w14:paraId="5F291BF2"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i/>
          <w:sz w:val="22"/>
          <w:szCs w:val="22"/>
        </w:rPr>
        <w:t xml:space="preserve">Artículo 9. </w:t>
      </w:r>
      <w:r>
        <w:rPr>
          <w:rFonts w:ascii="Palatino Linotype" w:eastAsia="Palatino Linotype" w:hAnsi="Palatino Linotype" w:cs="Palatino Linotype"/>
          <w:i/>
          <w:sz w:val="22"/>
          <w:szCs w:val="22"/>
        </w:rPr>
        <w:t xml:space="preserve">El Instituto deberá regir su funcionamiento de acuerdo a los siguientes </w:t>
      </w:r>
    </w:p>
    <w:p w14:paraId="472202C8"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principios:</w:t>
      </w:r>
    </w:p>
    <w:p w14:paraId="7ED193C3" w14:textId="77777777" w:rsidR="004E37E2" w:rsidRDefault="001E6E50">
      <w:pPr>
        <w:spacing w:before="280" w:after="280" w:line="276" w:lineRule="auto"/>
        <w:ind w:left="567" w:right="61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14:paraId="491E8944"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 Gratuidad:</w:t>
      </w:r>
      <w:r>
        <w:rPr>
          <w:rFonts w:ascii="Palatino Linotype" w:eastAsia="Palatino Linotype" w:hAnsi="Palatino Linotype" w:cs="Palatino Linotype"/>
          <w:i/>
          <w:sz w:val="22"/>
          <w:szCs w:val="22"/>
        </w:rPr>
        <w:t xml:space="preserve"> Consiste en que el acceso a la información pública no genera costo alguno para los solicitantes, </w:t>
      </w:r>
      <w:r>
        <w:rPr>
          <w:rFonts w:ascii="Palatino Linotype" w:eastAsia="Palatino Linotype" w:hAnsi="Palatino Linotype" w:cs="Palatino Linotype"/>
          <w:b/>
          <w:i/>
          <w:sz w:val="22"/>
          <w:szCs w:val="22"/>
        </w:rPr>
        <w:t>sólo podrá requerirse el cobro correspondiente a la modalidad de reproducción y</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entrega solicitada</w:t>
      </w:r>
      <w:r>
        <w:rPr>
          <w:rFonts w:ascii="Palatino Linotype" w:eastAsia="Palatino Linotype" w:hAnsi="Palatino Linotype" w:cs="Palatino Linotype"/>
          <w:i/>
          <w:sz w:val="22"/>
          <w:szCs w:val="22"/>
        </w:rPr>
        <w:t xml:space="preserve"> conforme a lo establecido en la presente Ley y demás disposiciones jurídicas aplicables;</w:t>
      </w:r>
    </w:p>
    <w:p w14:paraId="3384BF0F"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6A275A0"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w:t>
      </w:r>
      <w:r>
        <w:rPr>
          <w:rFonts w:ascii="Palatino Linotype" w:eastAsia="Palatino Linotype" w:hAnsi="Palatino Linotype" w:cs="Palatino Linotype"/>
          <w:i/>
          <w:sz w:val="22"/>
          <w:szCs w:val="22"/>
        </w:rPr>
        <w:t xml:space="preserve"> La búsqueda y acceso a la información es gratuita y </w:t>
      </w:r>
      <w:r>
        <w:rPr>
          <w:rFonts w:ascii="Palatino Linotype" w:eastAsia="Palatino Linotype" w:hAnsi="Palatino Linotype" w:cs="Palatino Linotype"/>
          <w:b/>
          <w:i/>
          <w:sz w:val="22"/>
          <w:szCs w:val="22"/>
        </w:rPr>
        <w:t>solo se cubrirán los gastos de reproducción, o por la modalidad de entrega solicitada, así como por el envío,</w:t>
      </w:r>
      <w:r>
        <w:rPr>
          <w:rFonts w:ascii="Palatino Linotype" w:eastAsia="Palatino Linotype" w:hAnsi="Palatino Linotype" w:cs="Palatino Linotype"/>
          <w:i/>
          <w:sz w:val="22"/>
          <w:szCs w:val="22"/>
        </w:rPr>
        <w:t xml:space="preserve"> que en su caso se genere, de conformidad con los derechos, productos y aprovechamientos establecidos en la legislación aplicable, sin que exceda de los límites establecidos en la presente Ley.</w:t>
      </w:r>
    </w:p>
    <w:p w14:paraId="21872011"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7E5F4B5" w14:textId="77777777" w:rsidR="004E37E2" w:rsidRDefault="001E6E50">
      <w:pPr>
        <w:spacing w:before="280" w:after="280" w:line="276" w:lineRule="auto"/>
        <w:ind w:left="567" w:right="615"/>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165. …</w:t>
      </w:r>
    </w:p>
    <w:p w14:paraId="2BE99700"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información que se entregue en versión pública, </w:t>
      </w:r>
      <w:r>
        <w:rPr>
          <w:rFonts w:ascii="Palatino Linotype" w:eastAsia="Palatino Linotype" w:hAnsi="Palatino Linotype" w:cs="Palatino Linotype"/>
          <w:b/>
          <w:i/>
          <w:sz w:val="22"/>
          <w:szCs w:val="22"/>
        </w:rPr>
        <w:t>cuya modalidad de reproducción o envío tenga un costo,</w:t>
      </w:r>
      <w:r>
        <w:rPr>
          <w:rFonts w:ascii="Palatino Linotype" w:eastAsia="Palatino Linotype" w:hAnsi="Palatino Linotype" w:cs="Palatino Linotype"/>
          <w:i/>
          <w:sz w:val="22"/>
          <w:szCs w:val="22"/>
        </w:rPr>
        <w:t xml:space="preserve"> procederá una vez que se acredite el pago respectivo. No puede entenderse como reproducción la elaboración de la misma.</w:t>
      </w:r>
    </w:p>
    <w:p w14:paraId="3B52AD46"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DCE1AD6" w14:textId="77777777" w:rsidR="004E37E2" w:rsidRDefault="001E6E50">
      <w:pPr>
        <w:spacing w:before="280" w:after="280" w:line="276" w:lineRule="auto"/>
        <w:ind w:left="567" w:right="615"/>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174. En caso de existir costos para obtener la información </w:t>
      </w:r>
      <w:r>
        <w:rPr>
          <w:rFonts w:ascii="Palatino Linotype" w:eastAsia="Palatino Linotype" w:hAnsi="Palatino Linotype" w:cs="Palatino Linotype"/>
          <w:i/>
          <w:sz w:val="22"/>
          <w:szCs w:val="22"/>
        </w:rPr>
        <w:t xml:space="preserve">deberán cubrirse de manera previa a la entrega y </w:t>
      </w:r>
      <w:r>
        <w:rPr>
          <w:rFonts w:ascii="Palatino Linotype" w:eastAsia="Palatino Linotype" w:hAnsi="Palatino Linotype" w:cs="Palatino Linotype"/>
          <w:b/>
          <w:i/>
          <w:sz w:val="22"/>
          <w:szCs w:val="22"/>
        </w:rPr>
        <w:t xml:space="preserve">no podrán ser superiores a la suma de: </w:t>
      </w:r>
    </w:p>
    <w:p w14:paraId="16E87DBA"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El costo de los materiales utilizados en la reproducción</w:t>
      </w:r>
      <w:r>
        <w:rPr>
          <w:rFonts w:ascii="Palatino Linotype" w:eastAsia="Palatino Linotype" w:hAnsi="Palatino Linotype" w:cs="Palatino Linotype"/>
          <w:i/>
          <w:sz w:val="22"/>
          <w:szCs w:val="22"/>
        </w:rPr>
        <w:t xml:space="preserve"> de la información;</w:t>
      </w:r>
    </w:p>
    <w:p w14:paraId="702C1751"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El costo de envío,</w:t>
      </w:r>
      <w:r>
        <w:rPr>
          <w:rFonts w:ascii="Palatino Linotype" w:eastAsia="Palatino Linotype" w:hAnsi="Palatino Linotype" w:cs="Palatino Linotype"/>
          <w:i/>
          <w:sz w:val="22"/>
          <w:szCs w:val="22"/>
        </w:rPr>
        <w:t xml:space="preserve"> en su caso; y</w:t>
      </w:r>
    </w:p>
    <w:p w14:paraId="66877AF4"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El pago de la certificación de los documentos,</w:t>
      </w:r>
      <w:r>
        <w:rPr>
          <w:rFonts w:ascii="Palatino Linotype" w:eastAsia="Palatino Linotype" w:hAnsi="Palatino Linotype" w:cs="Palatino Linotype"/>
          <w:i/>
          <w:sz w:val="22"/>
          <w:szCs w:val="22"/>
        </w:rPr>
        <w:t xml:space="preserve"> cuando proceda.</w:t>
      </w:r>
    </w:p>
    <w:p w14:paraId="7684DEA5"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cuotas de los derechos aplicables deberán establecerse, en su caso, en el </w:t>
      </w:r>
      <w:r>
        <w:rPr>
          <w:rFonts w:ascii="Palatino Linotype" w:eastAsia="Palatino Linotype" w:hAnsi="Palatino Linotype" w:cs="Palatino Linotype"/>
          <w:b/>
          <w:i/>
          <w:sz w:val="22"/>
          <w:szCs w:val="22"/>
        </w:rPr>
        <w:t xml:space="preserve">Código Financiero del Estado de México y Municipios </w:t>
      </w:r>
      <w:r>
        <w:rPr>
          <w:rFonts w:ascii="Palatino Linotype" w:eastAsia="Palatino Linotype" w:hAnsi="Palatino Linotype" w:cs="Palatino Linotype"/>
          <w:i/>
          <w:sz w:val="22"/>
          <w:szCs w:val="22"/>
        </w:rPr>
        <w:t>y demás disposiciones jurídicas aplicables, las cuales se publicarán en los sitios de internet de los sujetos obligados…”</w:t>
      </w:r>
    </w:p>
    <w:p w14:paraId="625E5162"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5764F6BD" w14:textId="77777777" w:rsidR="004E37E2" w:rsidRDefault="001E6E50">
      <w:pPr>
        <w:spacing w:before="280" w:after="280" w:line="276" w:lineRule="auto"/>
        <w:ind w:left="567" w:right="615"/>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175. …</w:t>
      </w:r>
    </w:p>
    <w:p w14:paraId="575A9E34" w14:textId="77777777" w:rsidR="004E37E2" w:rsidRDefault="001E6E50">
      <w:pPr>
        <w:spacing w:before="280" w:after="280" w:line="276" w:lineRule="auto"/>
        <w:ind w:left="567" w:right="615"/>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En ningún caso, el pago de derechos deberá exceder el </w:t>
      </w:r>
      <w:r>
        <w:rPr>
          <w:rFonts w:ascii="Palatino Linotype" w:eastAsia="Palatino Linotype" w:hAnsi="Palatino Linotype" w:cs="Palatino Linotype"/>
          <w:b/>
          <w:i/>
          <w:sz w:val="22"/>
          <w:szCs w:val="22"/>
        </w:rPr>
        <w:t>costo de reproducción de la información en el material solicitado.”</w:t>
      </w:r>
    </w:p>
    <w:p w14:paraId="4A742029" w14:textId="77777777" w:rsidR="004E37E2" w:rsidRDefault="001E6E50">
      <w:pPr>
        <w:spacing w:before="280" w:after="280" w:line="276" w:lineRule="auto"/>
        <w:ind w:left="567"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4.22.- </w:t>
      </w:r>
      <w:r>
        <w:rPr>
          <w:rFonts w:ascii="Palatino Linotype" w:eastAsia="Palatino Linotype" w:hAnsi="Palatino Linotype" w:cs="Palatino Linotype"/>
          <w:i/>
          <w:sz w:val="22"/>
          <w:szCs w:val="22"/>
        </w:rPr>
        <w:t>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6402949E"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el envío de la misma o el pago por la certificación; sin embargo, en el caso que nos ocupa, no se estima que se actualice alguno de los supuestos previstos en la norma, toda vez que la solicitante requirió la información a través del sistema SAIMEX, por lo tanto no se le está requiriendo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expida copias certificadas o que reproduzca la información que ya asumió poseer, en cualquier otro medio físico, sino que proporcione la información de manera electrónica, en otras palabras, con la finalidad de satisfacer la solicitud, </w:t>
      </w:r>
      <w:r>
        <w:rPr>
          <w:rFonts w:ascii="Palatino Linotype" w:eastAsia="Palatino Linotype" w:hAnsi="Palatino Linotype" w:cs="Palatino Linotype"/>
          <w:b/>
        </w:rPr>
        <w:t>no es necesario que el SUJETO OBLIGADO realice una reproducción física de la información que conserva en sus archivos,</w:t>
      </w:r>
      <w:r>
        <w:rPr>
          <w:rFonts w:ascii="Palatino Linotype" w:eastAsia="Palatino Linotype" w:hAnsi="Palatino Linotype" w:cs="Palatino Linotype"/>
        </w:rPr>
        <w:t xml:space="preserve"> más bien implicaría realizar una digitalización o escaneo de aquellos documentos que por su naturaleza se encuentran en un medio físico.</w:t>
      </w:r>
    </w:p>
    <w:p w14:paraId="520C556D"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el envío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14:paraId="3E36233E"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Pr>
          <w:rFonts w:ascii="Palatino Linotype" w:eastAsia="Palatino Linotype" w:hAnsi="Palatino Linotype" w:cs="Palatino Linotype"/>
          <w:b/>
          <w:i/>
        </w:rPr>
        <w:t>ningún costo</w:t>
      </w:r>
      <w:r>
        <w:rPr>
          <w:rFonts w:ascii="Palatino Linotype" w:eastAsia="Palatino Linotype" w:hAnsi="Palatino Linotype" w:cs="Palatino Linotype"/>
          <w:i/>
        </w:rPr>
        <w:t>,</w:t>
      </w:r>
      <w:r>
        <w:rPr>
          <w:rFonts w:ascii="Palatino Linotype" w:eastAsia="Palatino Linotype" w:hAnsi="Palatino Linotype" w:cs="Palatino Linotype"/>
        </w:rPr>
        <w:t xml:space="preserve"> incluyendo aquella que se hubiera digitalizado previamente por cualquier motivo, y aún menos en aquellos casos en que la modalidad de entrega sea por medio de la plataforma o vía electrónica.</w:t>
      </w:r>
    </w:p>
    <w:p w14:paraId="3DF2E9E6"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no existe presupuesto jurídico que autorice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2B03F75F" w14:textId="77777777" w:rsidR="004E37E2" w:rsidRDefault="001E6E5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5235B0AE" w14:textId="77777777" w:rsidR="004E37E2" w:rsidRDefault="001E6E50">
      <w:pPr>
        <w:spacing w:before="240" w:after="240" w:line="360" w:lineRule="auto"/>
        <w:jc w:val="both"/>
      </w:pPr>
      <w:r>
        <w:rPr>
          <w:rFonts w:ascii="Palatino Linotype" w:eastAsia="Palatino Linotype" w:hAnsi="Palatino Linotype" w:cs="Palatino Linotype"/>
          <w:color w:val="000000"/>
        </w:rPr>
        <w:t xml:space="preserve">Bajo esta óptica, el derecho del particular de acceder a los documentos que obran en posesión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w:t>
      </w:r>
      <w:r>
        <w:rPr>
          <w:rFonts w:ascii="Palatino Linotype" w:eastAsia="Palatino Linotype" w:hAnsi="Palatino Linotype" w:cs="Palatino Linotype"/>
          <w:color w:val="000000"/>
        </w:rPr>
        <w:lastRenderedPageBreak/>
        <w:t>debe ceñir su actuar a la conservación patrimonial de sus archivos documentales y posteriormente el acceso de la información pública, buscando la disponibilidad de los mismos.</w:t>
      </w:r>
    </w:p>
    <w:p w14:paraId="70C7F3C0" w14:textId="77777777" w:rsidR="004E37E2" w:rsidRDefault="001E6E50">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Finalmente, si bien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señaló de manera expresa que cuenta con la capacidad para digitalizar los documentos requeridos, también lo es que los documentos que acompañan respuesta proporcionada al ahora recurrente también fueron digitalizados por lo que se presume que cuenta con los medios para poder llevar a cabo la referida digitalización y posteriormente realizar la versión pública, de ser el caso, -</w:t>
      </w:r>
      <w:r>
        <w:rPr>
          <w:rFonts w:ascii="Palatino Linotype" w:eastAsia="Palatino Linotype" w:hAnsi="Palatino Linotype" w:cs="Palatino Linotype"/>
          <w:color w:val="000000"/>
          <w:sz w:val="22"/>
          <w:szCs w:val="22"/>
        </w:rPr>
        <w:t>mediante algún software o algún programa, sin que deba necesariamente reproducir la información en formato físico-</w:t>
      </w:r>
      <w:r>
        <w:rPr>
          <w:rFonts w:ascii="Palatino Linotype" w:eastAsia="Palatino Linotype" w:hAnsi="Palatino Linotype" w:cs="Palatino Linotype"/>
          <w:color w:val="000000"/>
        </w:rPr>
        <w:t>, para estar en condiciones de  atender la solicitud, este Organismo Garante estima procedente ordenar la entrega de dicho soporte documental, mediante el sistema SAIMEX, sin costo para la solicitante, en los términos del considerando siguiente.</w:t>
      </w:r>
    </w:p>
    <w:p w14:paraId="41DF0635" w14:textId="77777777" w:rsidR="004E37E2" w:rsidRDefault="001E6E50">
      <w:pPr>
        <w:pBdr>
          <w:top w:val="nil"/>
          <w:left w:val="nil"/>
          <w:bottom w:val="nil"/>
          <w:right w:val="nil"/>
          <w:between w:val="nil"/>
        </w:pBdr>
        <w:spacing w:before="280" w:after="280" w:line="360" w:lineRule="auto"/>
        <w:jc w:val="both"/>
        <w:rPr>
          <w:color w:val="000000"/>
        </w:rPr>
      </w:pPr>
      <w:r>
        <w:rPr>
          <w:rFonts w:ascii="Palatino Linotype" w:eastAsia="Palatino Linotype" w:hAnsi="Palatino Linotype" w:cs="Palatino Linotype"/>
          <w:b/>
          <w:color w:val="000000"/>
        </w:rPr>
        <w:t xml:space="preserve">Quinto. Versión Pública. </w:t>
      </w:r>
      <w:r>
        <w:rPr>
          <w:rFonts w:ascii="Palatino Linotype" w:eastAsia="Palatino Linotype" w:hAnsi="Palatino Linotype" w:cs="Palatino Linotype"/>
          <w:color w:val="000000"/>
        </w:rPr>
        <w:t>Finalmente, como ya se ha señalado, el </w:t>
      </w:r>
      <w:r>
        <w:rPr>
          <w:rFonts w:ascii="Palatino Linotype" w:eastAsia="Palatino Linotype" w:hAnsi="Palatino Linotype" w:cs="Palatino Linotype"/>
          <w:b/>
          <w:color w:val="000000"/>
        </w:rPr>
        <w:t>SUJETO OBLIGADO </w:t>
      </w:r>
      <w:r>
        <w:rPr>
          <w:rFonts w:ascii="Palatino Linotype" w:eastAsia="Palatino Linotype" w:hAnsi="Palatino Linotype" w:cs="Palatino Linotype"/>
          <w:color w:val="000000"/>
        </w:rPr>
        <w:t xml:space="preserve">debe satisfacer la solicitud de acceso a la información; sin embargo, por cuanto hace a la información que entregará a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para dar cumplimiento a la presente resolución, que contenga que contenga datos personales que deban ser clasificados como confidenciales y que deban ser protegidos,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hacer la elaboración de la versión pública de tales documentos a fin de satisfacer el derecho de acceso a la información pública de la parte recurrente sin menoscabo al derecho a la protección de los datos personales de terceros.</w:t>
      </w:r>
    </w:p>
    <w:p w14:paraId="23FE0A07"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63D38229" w14:textId="77777777" w:rsidR="004E37E2" w:rsidRDefault="001E6E50">
      <w:pPr>
        <w:ind w:left="993" w:right="1041"/>
        <w:jc w:val="both"/>
      </w:pPr>
      <w:r>
        <w:rPr>
          <w:rFonts w:ascii="Palatino Linotype" w:eastAsia="Palatino Linotype" w:hAnsi="Palatino Linotype" w:cs="Palatino Linotype"/>
          <w:b/>
          <w:i/>
          <w:color w:val="000000"/>
          <w:sz w:val="22"/>
          <w:szCs w:val="22"/>
        </w:rPr>
        <w:t> “Artículo 3. Para los efectos de la presente Ley se entenderá por:</w:t>
      </w:r>
    </w:p>
    <w:p w14:paraId="44355402" w14:textId="77777777" w:rsidR="004E37E2" w:rsidRDefault="001E6E50">
      <w:pPr>
        <w:ind w:left="993" w:right="1041"/>
        <w:jc w:val="both"/>
      </w:pPr>
      <w:r>
        <w:rPr>
          <w:rFonts w:ascii="Palatino Linotype" w:eastAsia="Palatino Linotype" w:hAnsi="Palatino Linotype" w:cs="Palatino Linotype"/>
          <w:b/>
          <w:i/>
          <w:color w:val="000000"/>
          <w:sz w:val="22"/>
          <w:szCs w:val="22"/>
        </w:rPr>
        <w:t>IX. Datos personales:</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La información concerniente a una persona, identificada o identificable</w:t>
      </w:r>
      <w:r>
        <w:rPr>
          <w:rFonts w:ascii="Palatino Linotype" w:eastAsia="Palatino Linotype" w:hAnsi="Palatino Linotype" w:cs="Palatino Linotype"/>
          <w:i/>
          <w:color w:val="000000"/>
          <w:sz w:val="22"/>
          <w:szCs w:val="22"/>
        </w:rPr>
        <w:t xml:space="preserve"> según lo dispuesto por la Ley de Protección de Datos Personales del Estado de México;</w:t>
      </w:r>
    </w:p>
    <w:p w14:paraId="4CE4A6E5" w14:textId="77777777" w:rsidR="004E37E2" w:rsidRDefault="001E6E50">
      <w:pPr>
        <w:ind w:left="993" w:right="1041"/>
        <w:jc w:val="both"/>
      </w:pPr>
      <w:r>
        <w:rPr>
          <w:rFonts w:ascii="Palatino Linotype" w:eastAsia="Palatino Linotype" w:hAnsi="Palatino Linotype" w:cs="Palatino Linotype"/>
          <w:b/>
          <w:i/>
          <w:color w:val="000000"/>
          <w:sz w:val="22"/>
          <w:szCs w:val="22"/>
        </w:rPr>
        <w:t>XX. Información clasificada:</w:t>
      </w:r>
      <w:r>
        <w:rPr>
          <w:rFonts w:ascii="Palatino Linotype" w:eastAsia="Palatino Linotype" w:hAnsi="Palatino Linotype" w:cs="Palatino Linotype"/>
          <w:i/>
          <w:color w:val="000000"/>
          <w:sz w:val="22"/>
          <w:szCs w:val="22"/>
        </w:rPr>
        <w:t xml:space="preserve"> Aquella considerada por la presente Ley como reservada o confidencial;</w:t>
      </w:r>
    </w:p>
    <w:p w14:paraId="7AE374AE" w14:textId="77777777" w:rsidR="004E37E2" w:rsidRDefault="001E6E50">
      <w:pPr>
        <w:ind w:left="993" w:right="1041"/>
        <w:jc w:val="both"/>
      </w:pPr>
      <w:r>
        <w:rPr>
          <w:rFonts w:ascii="Palatino Linotype" w:eastAsia="Palatino Linotype" w:hAnsi="Palatino Linotype" w:cs="Palatino Linotype"/>
          <w:b/>
          <w:i/>
          <w:color w:val="000000"/>
          <w:sz w:val="22"/>
          <w:szCs w:val="22"/>
        </w:rPr>
        <w:t>XXXII. Protección de Datos Personales:</w:t>
      </w:r>
      <w:r>
        <w:rPr>
          <w:rFonts w:ascii="Palatino Linotype" w:eastAsia="Palatino Linotype" w:hAnsi="Palatino Linotype" w:cs="Palatino Linotype"/>
          <w:i/>
          <w:color w:val="000000"/>
          <w:sz w:val="22"/>
          <w:szCs w:val="22"/>
        </w:rPr>
        <w:t xml:space="preserve"> Derecho humano que tutela la privacidad de datos personales en poder de los sujetos obligados y sujetos particulares;</w:t>
      </w:r>
    </w:p>
    <w:p w14:paraId="03004115" w14:textId="77777777" w:rsidR="004E37E2" w:rsidRDefault="001E6E50">
      <w:pPr>
        <w:ind w:left="993" w:right="1041"/>
        <w:jc w:val="both"/>
      </w:pPr>
      <w:r>
        <w:rPr>
          <w:rFonts w:ascii="Palatino Linotype" w:eastAsia="Palatino Linotype" w:hAnsi="Palatino Linotype" w:cs="Palatino Linotype"/>
          <w:b/>
          <w:i/>
          <w:color w:val="000000"/>
          <w:sz w:val="22"/>
          <w:szCs w:val="22"/>
        </w:rPr>
        <w:t>XLV. Versión pública</w:t>
      </w:r>
      <w:r>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14:paraId="3BCD7E7F" w14:textId="77777777" w:rsidR="004E37E2" w:rsidRDefault="004E37E2"/>
    <w:p w14:paraId="557AACFF" w14:textId="77777777" w:rsidR="004E37E2" w:rsidRDefault="001E6E50">
      <w:pPr>
        <w:ind w:left="993" w:right="1041"/>
        <w:jc w:val="both"/>
      </w:pPr>
      <w:r>
        <w:rPr>
          <w:rFonts w:ascii="Palatino Linotype" w:eastAsia="Palatino Linotype" w:hAnsi="Palatino Linotype" w:cs="Palatino Linotype"/>
          <w:b/>
          <w:i/>
          <w:color w:val="000000"/>
          <w:sz w:val="22"/>
          <w:szCs w:val="22"/>
        </w:rPr>
        <w:t>“Artículo 6.</w:t>
      </w:r>
      <w:r>
        <w:rPr>
          <w:rFonts w:ascii="Palatino Linotype" w:eastAsia="Palatino Linotype" w:hAnsi="Palatino Linotype" w:cs="Palatino Linotype"/>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E4BA1D4" w14:textId="77777777" w:rsidR="004E37E2" w:rsidRDefault="004E37E2"/>
    <w:p w14:paraId="168C3123" w14:textId="77777777" w:rsidR="004E37E2" w:rsidRDefault="001E6E50">
      <w:pPr>
        <w:ind w:left="993" w:right="1041"/>
        <w:jc w:val="both"/>
      </w:pPr>
      <w:r>
        <w:rPr>
          <w:rFonts w:ascii="Palatino Linotype" w:eastAsia="Palatino Linotype" w:hAnsi="Palatino Linotype" w:cs="Palatino Linotype"/>
          <w:b/>
          <w:i/>
          <w:color w:val="000000"/>
          <w:sz w:val="22"/>
          <w:szCs w:val="22"/>
        </w:rPr>
        <w:t>“Artículo 137.</w:t>
      </w:r>
      <w:r>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B45CD81" w14:textId="77777777" w:rsidR="004E37E2" w:rsidRDefault="004E37E2"/>
    <w:p w14:paraId="5FE993C5" w14:textId="77777777" w:rsidR="004E37E2" w:rsidRDefault="001E6E50">
      <w:pPr>
        <w:ind w:left="993" w:right="1041"/>
        <w:jc w:val="both"/>
      </w:pPr>
      <w:r>
        <w:rPr>
          <w:rFonts w:ascii="Palatino Linotype" w:eastAsia="Palatino Linotype" w:hAnsi="Palatino Linotype" w:cs="Palatino Linotype"/>
          <w:b/>
          <w:i/>
          <w:color w:val="000000"/>
          <w:sz w:val="22"/>
          <w:szCs w:val="22"/>
        </w:rPr>
        <w:t>“Artículo 143</w:t>
      </w:r>
      <w:r>
        <w:rPr>
          <w:rFonts w:ascii="Palatino Linotype" w:eastAsia="Palatino Linotype" w:hAnsi="Palatino Linotype" w:cs="Palatino Linotype"/>
          <w:i/>
          <w:color w:val="000000"/>
          <w:sz w:val="22"/>
          <w:szCs w:val="22"/>
        </w:rPr>
        <w:t>. Para los efectos de esta Ley se considera información confidencial, la clasificada como tal, de manera permanente, por su naturaleza, cuando:</w:t>
      </w:r>
    </w:p>
    <w:p w14:paraId="1ED6D877" w14:textId="77777777" w:rsidR="004E37E2" w:rsidRDefault="001E6E50">
      <w:pPr>
        <w:ind w:left="993" w:right="1041"/>
        <w:jc w:val="both"/>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Se refiera a la información privada y los datos personales concernientes a una persona física o jurídico colectiva identificada o identificable</w:t>
      </w:r>
      <w:r>
        <w:rPr>
          <w:rFonts w:ascii="Palatino Linotype" w:eastAsia="Palatino Linotype" w:hAnsi="Palatino Linotype" w:cs="Palatino Linotype"/>
          <w:i/>
          <w:color w:val="000000"/>
          <w:sz w:val="22"/>
          <w:szCs w:val="22"/>
        </w:rPr>
        <w:t>…”</w:t>
      </w:r>
    </w:p>
    <w:p w14:paraId="333B1649"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 xml:space="preserve">De los preceptos anteriores se desprende que cuando un documento que vaya a ser entregado vía acceso a la información pública, contenga tanto información de interés </w:t>
      </w:r>
      <w:r>
        <w:rPr>
          <w:rFonts w:ascii="Palatino Linotype" w:eastAsia="Palatino Linotype" w:hAnsi="Palatino Linotype" w:cs="Palatino Linotype"/>
          <w:color w:val="000000"/>
        </w:rPr>
        <w:lastRenderedPageBreak/>
        <w:t>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7CD2CC2D"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DEFDC80"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la Clave Única de Registro de Población (CURP), el número de credencial para votar, la clave de elector, los Códigos QR, el número de cuenta bancaria, que sean exclusivamente de particulares.</w:t>
      </w:r>
    </w:p>
    <w:p w14:paraId="35EAE19C" w14:textId="77777777" w:rsidR="004E37E2" w:rsidRDefault="001E6E50">
      <w:pPr>
        <w:spacing w:before="240" w:after="240" w:line="360" w:lineRule="auto"/>
        <w:jc w:val="both"/>
      </w:pPr>
      <w:r>
        <w:rPr>
          <w:rFonts w:ascii="Palatino Linotype" w:eastAsia="Palatino Linotype" w:hAnsi="Palatino Linotype" w:cs="Palatino Linotype"/>
          <w:color w:val="000000"/>
        </w:rPr>
        <w:lastRenderedPageBreak/>
        <w:t xml:space="preserve">Así, la </w:t>
      </w:r>
      <w:r>
        <w:rPr>
          <w:rFonts w:ascii="Palatino Linotype" w:eastAsia="Palatino Linotype" w:hAnsi="Palatino Linotype" w:cs="Palatino Linotype"/>
          <w:b/>
          <w:color w:val="000000"/>
        </w:rPr>
        <w:t xml:space="preserve">Clave Única de Registro de Población (CURP) </w:t>
      </w:r>
      <w:r>
        <w:rPr>
          <w:rFonts w:ascii="Palatino Linotype" w:eastAsia="Palatino Linotype" w:hAnsi="Palatino Linotype" w:cs="Palatino Linotype"/>
          <w:color w:val="000000"/>
        </w:rPr>
        <w:t>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EDDDF9D" w14:textId="77777777" w:rsidR="004E37E2" w:rsidRDefault="001E6E50">
      <w:pPr>
        <w:spacing w:before="240" w:after="240" w:line="360" w:lineRule="auto"/>
        <w:jc w:val="both"/>
      </w:pPr>
      <w:r>
        <w:rPr>
          <w:rFonts w:ascii="Palatino Linotype" w:eastAsia="Palatino Linotype" w:hAnsi="Palatino Linotype" w:cs="Palatino Linotype"/>
          <w:color w:val="000000"/>
        </w:rPr>
        <w:t>Argumento que es compartido por el Instituto Nacional de Transparencia, Acceso a la Información y Protección de Datos Personales, INAI</w:t>
      </w:r>
      <w:r>
        <w:rPr>
          <w:rFonts w:ascii="Palatino Linotype" w:eastAsia="Palatino Linotype" w:hAnsi="Palatino Linotype" w:cs="Palatino Linotype"/>
          <w:b/>
          <w:color w:val="000000"/>
        </w:rPr>
        <w:t xml:space="preserve">, conforme al </w:t>
      </w:r>
      <w:r>
        <w:rPr>
          <w:rFonts w:ascii="Palatino Linotype" w:eastAsia="Palatino Linotype" w:hAnsi="Palatino Linotype" w:cs="Palatino Linotype"/>
          <w:color w:val="000000"/>
        </w:rPr>
        <w:t>criterio 18/17, el cual refiere: </w:t>
      </w:r>
    </w:p>
    <w:p w14:paraId="70D83784" w14:textId="77777777" w:rsidR="004E37E2" w:rsidRDefault="001E6E50">
      <w:pPr>
        <w:ind w:left="851" w:right="851"/>
        <w:jc w:val="both"/>
      </w:pPr>
      <w:r>
        <w:rPr>
          <w:rFonts w:ascii="Palatino Linotype" w:eastAsia="Palatino Linotype" w:hAnsi="Palatino Linotype" w:cs="Palatino Linotype"/>
          <w:b/>
          <w:i/>
          <w:color w:val="000000"/>
          <w:sz w:val="22"/>
          <w:szCs w:val="22"/>
        </w:rPr>
        <w:t xml:space="preserve">“Clave Única de Registro de Población (CURP). </w:t>
      </w:r>
      <w:r>
        <w:rPr>
          <w:rFonts w:ascii="Palatino Linotype" w:eastAsia="Palatino Linotype" w:hAnsi="Palatino Linotype" w:cs="Palatino Linotype"/>
          <w:i/>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1D6A69C" w14:textId="77777777" w:rsidR="004E37E2" w:rsidRDefault="001E6E50">
      <w:pPr>
        <w:spacing w:before="240" w:after="240" w:line="360" w:lineRule="auto"/>
        <w:jc w:val="both"/>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i/>
          <w:color w:val="000000"/>
        </w:rPr>
        <w:t>número de OCR</w:t>
      </w:r>
      <w:r>
        <w:rPr>
          <w:rFonts w:ascii="Palatino Linotype" w:eastAsia="Palatino Linotype" w:hAnsi="Palatino Linotype" w:cs="Palatino Linotype"/>
          <w:color w:val="000000"/>
        </w:rPr>
        <w:t>,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12C278A1" w14:textId="77777777" w:rsidR="004E37E2" w:rsidRDefault="001E6E50">
      <w:pPr>
        <w:spacing w:before="240" w:after="240" w:line="360" w:lineRule="auto"/>
        <w:jc w:val="both"/>
      </w:pPr>
      <w:r>
        <w:rPr>
          <w:rFonts w:ascii="Palatino Linotype" w:eastAsia="Palatino Linotype" w:hAnsi="Palatino Linotype" w:cs="Palatino Linotype"/>
          <w:color w:val="000000"/>
        </w:rPr>
        <w:t xml:space="preserve">La </w:t>
      </w:r>
      <w:r>
        <w:rPr>
          <w:rFonts w:ascii="Palatino Linotype" w:eastAsia="Palatino Linotype" w:hAnsi="Palatino Linotype" w:cs="Palatino Linotype"/>
          <w:b/>
          <w:i/>
          <w:color w:val="000000"/>
        </w:rPr>
        <w:t>clave de elector</w:t>
      </w:r>
      <w:r>
        <w:rPr>
          <w:rFonts w:ascii="Palatino Linotype" w:eastAsia="Palatino Linotype" w:hAnsi="Palatino Linotype" w:cs="Palatino Linotype"/>
          <w:color w:val="000000"/>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r>
        <w:rPr>
          <w:rFonts w:ascii="Palatino Linotype" w:eastAsia="Palatino Linotype" w:hAnsi="Palatino Linotype" w:cs="Palatino Linotype"/>
          <w:color w:val="000000"/>
        </w:rPr>
        <w:lastRenderedPageBreak/>
        <w:t>homoclave que distingue a su titular de cualquier otro homónimo, por lo tanto, se trata de un dato personal que debe ser protegido.</w:t>
      </w:r>
    </w:p>
    <w:p w14:paraId="499A76AE" w14:textId="77777777" w:rsidR="004E37E2" w:rsidRDefault="001E6E50">
      <w:pPr>
        <w:spacing w:before="240" w:after="240" w:line="360" w:lineRule="auto"/>
        <w:jc w:val="both"/>
      </w:pPr>
      <w:r>
        <w:rPr>
          <w:rFonts w:ascii="Palatino Linotype" w:eastAsia="Palatino Linotype" w:hAnsi="Palatino Linotype" w:cs="Palatino Linotype"/>
          <w:color w:val="000000"/>
        </w:rPr>
        <w:t xml:space="preserve">Los </w:t>
      </w:r>
      <w:r>
        <w:rPr>
          <w:rFonts w:ascii="Palatino Linotype" w:eastAsia="Palatino Linotype" w:hAnsi="Palatino Linotype" w:cs="Palatino Linotype"/>
          <w:b/>
          <w:color w:val="000000"/>
        </w:rPr>
        <w:t>códigos bidimensionales</w:t>
      </w:r>
      <w:r>
        <w:rPr>
          <w:rFonts w:ascii="Palatino Linotype" w:eastAsia="Palatino Linotype" w:hAnsi="Palatino Linotype" w:cs="Palatino Linotype"/>
          <w:color w:val="000000"/>
        </w:rPr>
        <w:t xml:space="preserve"> o </w:t>
      </w:r>
      <w:r>
        <w:rPr>
          <w:rFonts w:ascii="Palatino Linotype" w:eastAsia="Palatino Linotype" w:hAnsi="Palatino Linotype" w:cs="Palatino Linotype"/>
          <w:b/>
          <w:color w:val="000000"/>
        </w:rPr>
        <w:t xml:space="preserve">códigos QR, </w:t>
      </w:r>
      <w:r>
        <w:rPr>
          <w:rFonts w:ascii="Palatino Linotype" w:eastAsia="Palatino Linotype" w:hAnsi="Palatino Linotype" w:cs="Palatino Linotype"/>
          <w:color w:val="000000"/>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45C7C1E9"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B66D32D"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2C01C6B"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w:t>
      </w:r>
      <w:r>
        <w:rPr>
          <w:rFonts w:ascii="Palatino Linotype" w:eastAsia="Palatino Linotype" w:hAnsi="Palatino Linotype" w:cs="Palatino Linotype"/>
          <w:color w:val="000000"/>
        </w:rPr>
        <w:lastRenderedPageBreak/>
        <w:t>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F0F221E"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Es por esta razón que se debe omitir el o los números de cuentas bancarias de particulares en las versiones públicas que de las facturas se hagan, para ser entregadas.</w:t>
      </w:r>
    </w:p>
    <w:p w14:paraId="729CAC4A"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Lo anterior, no es así tratándose de las cuentas bancarias o claves interbancarias de los Sujetos Obligados ya que su publicidad cede a la rendición de cuentas al transparentar la forma en que son administrados los recursos públicos.</w:t>
      </w:r>
    </w:p>
    <w:p w14:paraId="7F8A9973"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Lo argumentado encuentra sustento en los criterios 10/17 y 11/17 emitidos por el Instituto Nacional de Transparencia, Acceso a la Información y Protección de Datos Personales, INAI, que llevan por rubro y texto los siguientes:</w:t>
      </w:r>
    </w:p>
    <w:p w14:paraId="032DD9AD" w14:textId="77777777" w:rsidR="004E37E2" w:rsidRDefault="001E6E50">
      <w:pPr>
        <w:spacing w:before="240" w:after="240"/>
        <w:ind w:left="851" w:right="900"/>
        <w:jc w:val="both"/>
      </w:pPr>
      <w:r>
        <w:rPr>
          <w:rFonts w:ascii="Palatino Linotype" w:eastAsia="Palatino Linotype" w:hAnsi="Palatino Linotype" w:cs="Palatino Linotype"/>
          <w:b/>
          <w:i/>
          <w:color w:val="000000"/>
          <w:sz w:val="22"/>
          <w:szCs w:val="22"/>
        </w:rPr>
        <w:t>“Cuentas bancarias y/o CLABE interbancaria de personas físicas y morales privadas.</w:t>
      </w:r>
      <w:r>
        <w:rPr>
          <w:rFonts w:ascii="Palatino Linotype" w:eastAsia="Palatino Linotype" w:hAnsi="Palatino Linotype" w:cs="Palatino Linotype"/>
          <w:i/>
          <w:color w:val="000000"/>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1046FEF" w14:textId="77777777" w:rsidR="004E37E2" w:rsidRDefault="001E6E50">
      <w:pPr>
        <w:spacing w:before="240" w:after="240"/>
        <w:ind w:left="851" w:right="900"/>
        <w:jc w:val="both"/>
      </w:pPr>
      <w:r>
        <w:rPr>
          <w:rFonts w:ascii="Palatino Linotype" w:eastAsia="Palatino Linotype" w:hAnsi="Palatino Linotype" w:cs="Palatino Linotype"/>
          <w:b/>
          <w:i/>
          <w:color w:val="000000"/>
          <w:sz w:val="22"/>
          <w:szCs w:val="22"/>
        </w:rPr>
        <w:t>Cuentas bancarias y/o CLABE interbancaria de sujetos obligados que reciben y/o transfieren recursos públicos, son información pública</w:t>
      </w:r>
      <w:r>
        <w:rPr>
          <w:rFonts w:ascii="Palatino Linotype" w:eastAsia="Palatino Linotype" w:hAnsi="Palatino Linotype" w:cs="Palatino Linotype"/>
          <w:i/>
          <w:color w:val="000000"/>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246CC23"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lastRenderedPageBreak/>
        <w:t>En esa virtud, este Pleno determina que dicha información no puede ser del dominio público, toda vez que se podría dar un uso inadecuado a la misma o cometer algún ilícito o fraude como ya ha sido expuesto. </w:t>
      </w:r>
    </w:p>
    <w:p w14:paraId="211240EB"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 xml:space="preserve">Por cuanto hace al </w:t>
      </w:r>
      <w:r>
        <w:rPr>
          <w:rFonts w:ascii="Palatino Linotype" w:eastAsia="Palatino Linotype" w:hAnsi="Palatino Linotype" w:cs="Palatino Linotype"/>
          <w:b/>
          <w:color w:val="000000"/>
        </w:rPr>
        <w:t xml:space="preserve">Registro Federal de Contribuyentes (RFC), </w:t>
      </w:r>
      <w:r>
        <w:rPr>
          <w:rFonts w:ascii="Palatino Linotype" w:eastAsia="Palatino Linotype" w:hAnsi="Palatino Linotype" w:cs="Palatino Linotype"/>
          <w:color w:val="000000"/>
        </w:rPr>
        <w:t>si bien este Instituto ha sostenido que el RFC y domicilio fiscal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que vayan a ser entregadas.</w:t>
      </w:r>
    </w:p>
    <w:p w14:paraId="545147EB"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D40E653"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4DD0E3D4"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lastRenderedPageBreak/>
        <w:t>Relacionado con lo anterior, el nombre de las personas físicas o los representantes legales de las personas morales, en su calidad de proveedores, contratistas o prestadores de servicios, y la firma de estos, que participaron en el proceso de adjudicación en la modalidad de licitación pública nacional,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1C12883" w14:textId="77777777" w:rsidR="004E37E2" w:rsidRDefault="001E6E50">
      <w:pPr>
        <w:spacing w:before="240" w:after="240" w:line="360" w:lineRule="auto"/>
        <w:ind w:right="50"/>
        <w:jc w:val="both"/>
      </w:pPr>
      <w:r>
        <w:rPr>
          <w:rFonts w:ascii="Palatino Linotype" w:eastAsia="Palatino Linotype" w:hAnsi="Palatino Linotype" w:cs="Palatino Linotype"/>
          <w:color w:val="000000"/>
        </w:rPr>
        <w:t>Argumentación que guarda sustento en lo estipulado por el artículo 23 de la Ley de Transparencia y Acceso a la Información Pública del Estado de México y Municipios en su penúltimo párrafo, mismo que es del tenor literal siguiente:</w:t>
      </w:r>
    </w:p>
    <w:p w14:paraId="4A3C0407" w14:textId="77777777" w:rsidR="004E37E2" w:rsidRDefault="001E6E50">
      <w:pPr>
        <w:spacing w:before="240" w:after="240"/>
        <w:ind w:left="851" w:right="900"/>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23.</w:t>
      </w:r>
      <w:r>
        <w:rPr>
          <w:rFonts w:ascii="Palatino Linotype" w:eastAsia="Palatino Linotype" w:hAnsi="Palatino Linotype" w:cs="Palatino Linotype"/>
          <w:i/>
          <w:color w:val="000000"/>
          <w:sz w:val="22"/>
          <w:szCs w:val="22"/>
        </w:rPr>
        <w:t xml:space="preserve"> (…)</w:t>
      </w:r>
    </w:p>
    <w:p w14:paraId="7B736398" w14:textId="77777777" w:rsidR="004E37E2" w:rsidRDefault="001E6E50">
      <w:pPr>
        <w:spacing w:before="240" w:after="240"/>
        <w:ind w:left="851" w:right="900"/>
        <w:jc w:val="both"/>
      </w:pPr>
      <w:r>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C0C35F" w14:textId="77777777" w:rsidR="004E37E2" w:rsidRDefault="001E6E50">
      <w:pPr>
        <w:spacing w:before="240" w:after="240" w:line="360" w:lineRule="auto"/>
        <w:jc w:val="both"/>
      </w:pPr>
      <w:r>
        <w:rPr>
          <w:rFonts w:ascii="Palatino Linotype" w:eastAsia="Palatino Linotype" w:hAnsi="Palatino Linotype" w:cs="Palatino Linotype"/>
          <w:color w:val="000000"/>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4213BE72" w14:textId="77777777" w:rsidR="004E37E2" w:rsidRDefault="001E6E50">
      <w:pPr>
        <w:spacing w:before="240" w:after="240" w:line="360" w:lineRule="auto"/>
        <w:jc w:val="both"/>
      </w:pPr>
      <w:r>
        <w:rPr>
          <w:rFonts w:ascii="Palatino Linotype" w:eastAsia="Palatino Linotype" w:hAnsi="Palatino Linotype" w:cs="Palatino Linotype"/>
          <w:color w:val="000000"/>
        </w:rPr>
        <w:lastRenderedPageBreak/>
        <w:t>Al respecto, se destaca que la versión pública que elabore el Sujeto Obligado debe cumplir con las formalidades exigidas en la Ley, por lo que para tal efecto emitirá el Acuerdo del Comité de Transparencia en términos de la 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0A7DF854" w14:textId="77777777" w:rsidR="004E37E2" w:rsidRDefault="001E6E50">
      <w:pPr>
        <w:spacing w:before="240" w:after="240" w:line="360" w:lineRule="auto"/>
        <w:jc w:val="both"/>
      </w:pPr>
      <w:r>
        <w:rPr>
          <w:rFonts w:ascii="Palatino Linotype" w:eastAsia="Palatino Linotype" w:hAnsi="Palatino Linotype" w:cs="Palatino Linotype"/>
          <w:color w:val="000000"/>
        </w:rPr>
        <w:t>Efectivamente, cuando se clasifica información como confidencial o reservada es importante someterlo al Comité de Transparencia, quien debe confirmar, modificar o revocar la clasificación.</w:t>
      </w:r>
    </w:p>
    <w:p w14:paraId="1DAC6AFC" w14:textId="77777777" w:rsidR="004E37E2" w:rsidRDefault="001E6E50">
      <w:pPr>
        <w:spacing w:before="240" w:after="240" w:line="360" w:lineRule="auto"/>
        <w:jc w:val="both"/>
      </w:pPr>
      <w:r>
        <w:rPr>
          <w:rFonts w:ascii="Palatino Linotype" w:eastAsia="Palatino Linotype" w:hAnsi="Palatino Linotype" w:cs="Palatino Linotype"/>
          <w:color w:val="000000"/>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14:paraId="7A910F6C" w14:textId="77777777" w:rsidR="004E37E2" w:rsidRDefault="001E6E50">
      <w:pPr>
        <w:spacing w:before="280" w:after="280" w:line="360" w:lineRule="auto"/>
        <w:jc w:val="both"/>
      </w:pPr>
      <w:r>
        <w:rPr>
          <w:rFonts w:ascii="Palatino Linotype" w:eastAsia="Palatino Linotype" w:hAnsi="Palatino Linotype" w:cs="Palatino Linotype"/>
          <w:color w:val="000000"/>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2A09A62F" w14:textId="77777777" w:rsidR="004E37E2" w:rsidRDefault="001E6E50">
      <w:pPr>
        <w:pBdr>
          <w:top w:val="nil"/>
          <w:left w:val="nil"/>
          <w:bottom w:val="nil"/>
          <w:right w:val="nil"/>
          <w:between w:val="nil"/>
        </w:pBd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color w:val="000000"/>
        </w:rPr>
        <w:t xml:space="preserve">En mérito de todo lo expuesto, ante lo </w:t>
      </w:r>
      <w:r>
        <w:rPr>
          <w:rFonts w:ascii="Palatino Linotype" w:eastAsia="Palatino Linotype" w:hAnsi="Palatino Linotype" w:cs="Palatino Linotype"/>
          <w:b/>
          <w:color w:val="000000"/>
        </w:rPr>
        <w:t>fundado</w:t>
      </w:r>
      <w:r>
        <w:rPr>
          <w:rFonts w:ascii="Palatino Linotype" w:eastAsia="Palatino Linotype" w:hAnsi="Palatino Linotype" w:cs="Palatino Linotype"/>
          <w:color w:val="000000"/>
        </w:rPr>
        <w:t xml:space="preserve"> de las razones o motivos de inconformidad hechos valer por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este Instituto estima que lo dable es </w:t>
      </w:r>
      <w:r>
        <w:rPr>
          <w:rFonts w:ascii="Palatino Linotype" w:eastAsia="Palatino Linotype" w:hAnsi="Palatino Linotype" w:cs="Palatino Linotype"/>
          <w:b/>
          <w:color w:val="000000"/>
        </w:rPr>
        <w:t>Ordenar</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entregue las facturas y comprobantes de pago solicitados. </w:t>
      </w:r>
    </w:p>
    <w:p w14:paraId="4F392DF8" w14:textId="77777777" w:rsidR="004E37E2" w:rsidRDefault="004E37E2">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5FA55537" w14:textId="77777777" w:rsidR="004E37E2" w:rsidRDefault="001E6E50">
      <w:pPr>
        <w:pBdr>
          <w:top w:val="nil"/>
          <w:left w:val="nil"/>
          <w:bottom w:val="nil"/>
          <w:right w:val="nil"/>
          <w:between w:val="nil"/>
        </w:pBd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vigésimo segundo, vigésimo tercero y vigésimo cuarto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14:paraId="64C2FBD1" w14:textId="77777777" w:rsidR="004E37E2" w:rsidRDefault="004E37E2">
      <w:pPr>
        <w:tabs>
          <w:tab w:val="left" w:pos="709"/>
        </w:tabs>
        <w:spacing w:line="360" w:lineRule="auto"/>
        <w:jc w:val="both"/>
        <w:rPr>
          <w:rFonts w:ascii="Palatino Linotype" w:eastAsia="Palatino Linotype" w:hAnsi="Palatino Linotype" w:cs="Palatino Linotype"/>
        </w:rPr>
      </w:pPr>
    </w:p>
    <w:p w14:paraId="27435CCA" w14:textId="77777777" w:rsidR="004E37E2" w:rsidRDefault="001E6E50">
      <w:pPr>
        <w:spacing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5E4B7F62" w14:textId="77777777" w:rsidR="004E37E2" w:rsidRDefault="004E37E2">
      <w:pPr>
        <w:spacing w:line="360" w:lineRule="auto"/>
        <w:ind w:left="360"/>
        <w:jc w:val="center"/>
        <w:rPr>
          <w:rFonts w:ascii="Palatino Linotype" w:eastAsia="Palatino Linotype" w:hAnsi="Palatino Linotype" w:cs="Palatino Linotype"/>
          <w:b/>
        </w:rPr>
      </w:pPr>
    </w:p>
    <w:p w14:paraId="1162AFD1" w14:textId="77777777" w:rsidR="004E37E2" w:rsidRDefault="001E6E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la inconformidad planteadas por el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03544/INFOEM/IP/RR/2022</w:t>
      </w:r>
      <w:r>
        <w:rPr>
          <w:rFonts w:ascii="Palatino Linotype" w:eastAsia="Palatino Linotype" w:hAnsi="Palatino Linotype" w:cs="Palatino Linotype"/>
        </w:rPr>
        <w:t xml:space="preserve">, por lo que, en términos del considerando Cuarto de esta resolución, por lo que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emitida por el Sujeto Obligado.</w:t>
      </w:r>
    </w:p>
    <w:p w14:paraId="11FF96E8" w14:textId="77777777" w:rsidR="004E37E2" w:rsidRDefault="004E37E2">
      <w:pPr>
        <w:spacing w:line="360" w:lineRule="auto"/>
        <w:jc w:val="both"/>
        <w:rPr>
          <w:rFonts w:ascii="Palatino Linotype" w:eastAsia="Palatino Linotype" w:hAnsi="Palatino Linotype" w:cs="Palatino Linotype"/>
        </w:rPr>
      </w:pPr>
    </w:p>
    <w:p w14:paraId="154CFBAE" w14:textId="77777777" w:rsidR="004E37E2" w:rsidRDefault="001E6E50">
      <w:pPr>
        <w:spacing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lastRenderedPageBreak/>
        <w:t xml:space="preserve">Segundo. Se ORDENA </w:t>
      </w:r>
      <w:r>
        <w:rPr>
          <w:rFonts w:ascii="Palatino Linotype" w:eastAsia="Palatino Linotype" w:hAnsi="Palatino Linotype" w:cs="Palatino Linotype"/>
          <w:highlight w:val="white"/>
        </w:rPr>
        <w:t xml:space="preserve">al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en términos de los Considerandos Cuarto y Quinto de la presente resolución, haga entrega vía SAIMEX, de ser el caso en versión pública. de los documentos que den cuenta o donde consten:</w:t>
      </w:r>
    </w:p>
    <w:p w14:paraId="455FFAEF" w14:textId="77777777" w:rsidR="004E37E2" w:rsidRDefault="001E6E50">
      <w:pPr>
        <w:numPr>
          <w:ilvl w:val="0"/>
          <w:numId w:val="1"/>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pagos realizados por cualquier concepto y facturas que se hayan pagado por el Sujeto Obligado en 2020 y 2021. </w:t>
      </w:r>
    </w:p>
    <w:p w14:paraId="0E2A698F" w14:textId="77777777" w:rsidR="004E37E2" w:rsidRDefault="001E6E50">
      <w:pPr>
        <w:spacing w:line="360" w:lineRule="auto"/>
        <w:ind w:right="49"/>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0C205869" w14:textId="77777777" w:rsidR="004E37E2" w:rsidRDefault="004E37E2">
      <w:pPr>
        <w:spacing w:line="360" w:lineRule="auto"/>
        <w:ind w:right="49"/>
        <w:jc w:val="both"/>
        <w:rPr>
          <w:rFonts w:ascii="Palatino Linotype" w:eastAsia="Palatino Linotype" w:hAnsi="Palatino Linotype" w:cs="Palatino Linotype"/>
          <w:b/>
          <w:highlight w:val="white"/>
        </w:rPr>
      </w:pPr>
    </w:p>
    <w:p w14:paraId="4FEC763B" w14:textId="77777777" w:rsidR="004E37E2" w:rsidRDefault="001E6E50">
      <w:pPr>
        <w:spacing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Tercero. Notifíquese</w:t>
      </w:r>
      <w:r>
        <w:rPr>
          <w:rFonts w:ascii="Palatino Linotype" w:eastAsia="Palatino Linotype" w:hAnsi="Palatino Linotype" w:cs="Palatino Linotype"/>
          <w:b/>
          <w:i/>
          <w:highlight w:val="white"/>
        </w:rPr>
        <w:t xml:space="preserve"> vía SAIMEX, </w:t>
      </w:r>
      <w:r>
        <w:rPr>
          <w:rFonts w:ascii="Palatino Linotype" w:eastAsia="Palatino Linotype" w:hAnsi="Palatino Linotype" w:cs="Palatino Linotype"/>
          <w:highlight w:val="white"/>
        </w:rPr>
        <w:t xml:space="preserve">al Responsable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D809737" w14:textId="77777777" w:rsidR="004E37E2" w:rsidRDefault="001E6E50">
      <w:pPr>
        <w:spacing w:before="240" w:after="240" w:line="360" w:lineRule="auto"/>
        <w:jc w:val="both"/>
      </w:pPr>
      <w:r>
        <w:rPr>
          <w:rFonts w:ascii="Palatino Linotype" w:eastAsia="Palatino Linotype" w:hAnsi="Palatino Linotype" w:cs="Palatino Linotype"/>
          <w:b/>
        </w:rPr>
        <w:t>Cuarto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 </w:t>
      </w:r>
      <w:r>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0935F466" w14:textId="77777777" w:rsidR="004E37E2" w:rsidRDefault="004E37E2">
      <w:pPr>
        <w:spacing w:line="360" w:lineRule="auto"/>
        <w:ind w:right="49"/>
        <w:jc w:val="both"/>
        <w:rPr>
          <w:rFonts w:ascii="Palatino Linotype" w:eastAsia="Palatino Linotype" w:hAnsi="Palatino Linotype" w:cs="Palatino Linotype"/>
        </w:rPr>
      </w:pPr>
    </w:p>
    <w:p w14:paraId="75ED913E" w14:textId="77777777" w:rsidR="004E37E2" w:rsidRDefault="001E6E50">
      <w:pPr>
        <w:widowControl w:val="0"/>
        <w:tabs>
          <w:tab w:val="left" w:pos="1701"/>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 xml:space="preserve"> Notifíquese, </w:t>
      </w:r>
      <w:r>
        <w:rPr>
          <w:rFonts w:ascii="Palatino Linotype" w:eastAsia="Palatino Linotype" w:hAnsi="Palatino Linotype" w:cs="Palatino Linotype"/>
          <w:color w:val="000000"/>
        </w:rPr>
        <w:t xml:space="preserve">vía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 así como, que de conformidad con lo establecido en el artículo 196 de la Ley de Transparencia y </w:t>
      </w:r>
      <w:r>
        <w:rPr>
          <w:rFonts w:ascii="Palatino Linotype" w:eastAsia="Palatino Linotype" w:hAnsi="Palatino Linotype" w:cs="Palatino Linotype"/>
          <w:color w:val="000000"/>
        </w:rPr>
        <w:lastRenderedPageBreak/>
        <w:t>Acceso a la Información Pública del Estado de México y Municipios, en caso de que considere que le causa algún perjuicio podrá impugnarla vía Juicio de Amparo en los términos de las leyes aplicables.</w:t>
      </w:r>
    </w:p>
    <w:p w14:paraId="35E9ED76" w14:textId="77777777" w:rsidR="004E37E2" w:rsidRDefault="004E37E2">
      <w:pPr>
        <w:widowControl w:val="0"/>
        <w:tabs>
          <w:tab w:val="left" w:pos="1701"/>
        </w:tabs>
        <w:spacing w:line="360" w:lineRule="auto"/>
        <w:ind w:right="51"/>
        <w:jc w:val="both"/>
        <w:rPr>
          <w:rFonts w:ascii="Palatino Linotype" w:eastAsia="Palatino Linotype" w:hAnsi="Palatino Linotype" w:cs="Palatino Linotype"/>
          <w:b/>
        </w:rPr>
      </w:pPr>
    </w:p>
    <w:bookmarkStart w:id="3" w:name="_heading=h.gjdgxs" w:colFirst="0" w:colLast="0"/>
    <w:bookmarkEnd w:id="3"/>
    <w:p w14:paraId="6A479E1B" w14:textId="7978D25A" w:rsidR="004E37E2" w:rsidRDefault="00E06359">
      <w:pPr>
        <w:spacing w:line="360" w:lineRule="auto"/>
        <w:ind w:right="49"/>
        <w:jc w:val="both"/>
        <w:rPr>
          <w:rFonts w:ascii="Palatino Linotype" w:eastAsia="Palatino Linotype" w:hAnsi="Palatino Linotype" w:cs="Palatino Linotype"/>
        </w:rPr>
        <w:sectPr w:rsidR="004E37E2">
          <w:headerReference w:type="default" r:id="rId12"/>
          <w:footerReference w:type="default" r:id="rId13"/>
          <w:headerReference w:type="first" r:id="rId14"/>
          <w:footerReference w:type="first" r:id="rId15"/>
          <w:pgSz w:w="12240" w:h="15840"/>
          <w:pgMar w:top="1701" w:right="1418" w:bottom="1843" w:left="1418"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2B2AC8FF" wp14:editId="30EB1902">
                <wp:simplePos x="0" y="0"/>
                <wp:positionH relativeFrom="column">
                  <wp:posOffset>266217</wp:posOffset>
                </wp:positionH>
                <wp:positionV relativeFrom="paragraph">
                  <wp:posOffset>2670502</wp:posOffset>
                </wp:positionV>
                <wp:extent cx="5139559" cy="3668111"/>
                <wp:effectExtent l="0" t="0" r="23495" b="27940"/>
                <wp:wrapNone/>
                <wp:docPr id="1" name="Conector recto 1"/>
                <wp:cNvGraphicFramePr/>
                <a:graphic xmlns:a="http://schemas.openxmlformats.org/drawingml/2006/main">
                  <a:graphicData uri="http://schemas.microsoft.com/office/word/2010/wordprocessingShape">
                    <wps:wsp>
                      <wps:cNvCnPr/>
                      <wps:spPr>
                        <a:xfrm>
                          <a:off x="0" y="0"/>
                          <a:ext cx="5139559" cy="36681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B8C6D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95pt,210.3pt" to="425.65pt,4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" strokecolor="#5b9bd5 [3204]" strokeweight=".5pt">
                <v:stroke joinstyle="miter"/>
              </v:line>
            </w:pict>
          </mc:Fallback>
        </mc:AlternateContent>
      </w:r>
      <w:r w:rsidR="001E6E5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VIGESIMA TERCERA SESIÓN ORDINARIA CELEBRADA EL VEINTIUNO DE JUNIO DE DOS MIL VEINTIDÓS, ANTE EL SECRETARIO TÉCNICO DEL PLENO ALEXIS TAPIA RAMÍREZ.</w:t>
      </w:r>
    </w:p>
    <w:p w14:paraId="588974A2" w14:textId="77777777" w:rsidR="004E37E2" w:rsidRDefault="004E37E2">
      <w:pPr>
        <w:spacing w:before="240" w:after="240" w:line="360" w:lineRule="auto"/>
        <w:jc w:val="both"/>
        <w:rPr>
          <w:rFonts w:ascii="Palatino Linotype" w:eastAsia="Palatino Linotype" w:hAnsi="Palatino Linotype" w:cs="Palatino Linotype"/>
        </w:rPr>
      </w:pPr>
    </w:p>
    <w:p w14:paraId="2C4C4A3D" w14:textId="77777777" w:rsidR="004E37E2" w:rsidRDefault="004E37E2">
      <w:pPr>
        <w:spacing w:before="240" w:after="240" w:line="360" w:lineRule="auto"/>
        <w:jc w:val="both"/>
        <w:rPr>
          <w:rFonts w:ascii="Palatino Linotype" w:eastAsia="Palatino Linotype" w:hAnsi="Palatino Linotype" w:cs="Palatino Linotype"/>
        </w:rPr>
      </w:pPr>
    </w:p>
    <w:p w14:paraId="05C8C268" w14:textId="77777777" w:rsidR="004E37E2" w:rsidRDefault="004E37E2">
      <w:pPr>
        <w:spacing w:before="240" w:after="240" w:line="360" w:lineRule="auto"/>
        <w:jc w:val="both"/>
        <w:rPr>
          <w:rFonts w:ascii="Palatino Linotype" w:eastAsia="Palatino Linotype" w:hAnsi="Palatino Linotype" w:cs="Palatino Linotype"/>
        </w:rPr>
      </w:pPr>
    </w:p>
    <w:p w14:paraId="01D6C4C2" w14:textId="77777777" w:rsidR="004E37E2" w:rsidRDefault="004E37E2">
      <w:pPr>
        <w:spacing w:before="240" w:after="240" w:line="360" w:lineRule="auto"/>
        <w:jc w:val="both"/>
        <w:rPr>
          <w:rFonts w:ascii="Palatino Linotype" w:eastAsia="Palatino Linotype" w:hAnsi="Palatino Linotype" w:cs="Palatino Linotype"/>
        </w:rPr>
      </w:pPr>
    </w:p>
    <w:p w14:paraId="27470A10" w14:textId="77777777" w:rsidR="004E37E2" w:rsidRDefault="004E37E2">
      <w:pPr>
        <w:jc w:val="both"/>
        <w:rPr>
          <w:rFonts w:ascii="Palatino Linotype" w:eastAsia="Palatino Linotype" w:hAnsi="Palatino Linotype" w:cs="Palatino Linotype"/>
          <w:sz w:val="20"/>
          <w:szCs w:val="20"/>
        </w:rPr>
      </w:pPr>
    </w:p>
    <w:sectPr w:rsidR="004E37E2">
      <w:headerReference w:type="first" r:id="rId16"/>
      <w:pgSz w:w="12240" w:h="15840"/>
      <w:pgMar w:top="1701" w:right="1418" w:bottom="1843"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5359D" w14:textId="77777777" w:rsidR="002001B3" w:rsidRDefault="002001B3">
      <w:r>
        <w:separator/>
      </w:r>
    </w:p>
  </w:endnote>
  <w:endnote w:type="continuationSeparator" w:id="0">
    <w:p w14:paraId="12397525" w14:textId="77777777" w:rsidR="002001B3" w:rsidRDefault="0020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Tin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DDC2A" w14:textId="77777777" w:rsidR="004E37E2" w:rsidRDefault="001E6E5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50955">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50955">
      <w:rPr>
        <w:rFonts w:ascii="Arial" w:eastAsia="Arial" w:hAnsi="Arial" w:cs="Arial"/>
        <w:b/>
        <w:noProof/>
        <w:color w:val="000000"/>
        <w:sz w:val="20"/>
        <w:szCs w:val="20"/>
      </w:rPr>
      <w:t>39</w:t>
    </w:r>
    <w:r>
      <w:rPr>
        <w:rFonts w:ascii="Arial" w:eastAsia="Arial" w:hAnsi="Arial" w:cs="Arial"/>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16A38" w14:textId="77777777" w:rsidR="004E37E2" w:rsidRDefault="001E6E5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5095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50955">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0684D1B8" w14:textId="77777777" w:rsidR="004E37E2" w:rsidRDefault="004E37E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EBDB1" w14:textId="77777777" w:rsidR="002001B3" w:rsidRDefault="002001B3">
      <w:r>
        <w:separator/>
      </w:r>
    </w:p>
  </w:footnote>
  <w:footnote w:type="continuationSeparator" w:id="0">
    <w:p w14:paraId="67E50A03" w14:textId="77777777" w:rsidR="002001B3" w:rsidRDefault="002001B3">
      <w:r>
        <w:continuationSeparator/>
      </w:r>
    </w:p>
  </w:footnote>
  <w:footnote w:id="1">
    <w:p w14:paraId="523FBA9D" w14:textId="77777777" w:rsidR="004E37E2" w:rsidRDefault="001E6E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1E6EA54" w14:textId="77777777" w:rsidR="004E37E2" w:rsidRDefault="001E6E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7B856" w14:textId="77777777" w:rsidR="004E37E2" w:rsidRDefault="001E6E5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14:anchorId="1FCF8CA0" wp14:editId="7852A0FA">
          <wp:simplePos x="0" y="0"/>
          <wp:positionH relativeFrom="column">
            <wp:posOffset>-545946</wp:posOffset>
          </wp:positionH>
          <wp:positionV relativeFrom="paragraph">
            <wp:posOffset>-446861</wp:posOffset>
          </wp:positionV>
          <wp:extent cx="7635600" cy="9943200"/>
          <wp:effectExtent l="0" t="0" r="0" b="0"/>
          <wp:wrapNone/>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7553" w:type="dxa"/>
      <w:tblInd w:w="3794" w:type="dxa"/>
      <w:tblLayout w:type="fixed"/>
      <w:tblLook w:val="0400" w:firstRow="0" w:lastRow="0" w:firstColumn="0" w:lastColumn="0" w:noHBand="0" w:noVBand="1"/>
    </w:tblPr>
    <w:tblGrid>
      <w:gridCol w:w="2551"/>
      <w:gridCol w:w="4253"/>
      <w:gridCol w:w="749"/>
    </w:tblGrid>
    <w:tr w:rsidR="004E37E2" w14:paraId="3E02214B" w14:textId="77777777">
      <w:tc>
        <w:tcPr>
          <w:tcW w:w="2551" w:type="dxa"/>
          <w:shd w:val="clear" w:color="auto" w:fill="auto"/>
        </w:tcPr>
        <w:p w14:paraId="70678A37" w14:textId="77777777" w:rsidR="004E37E2" w:rsidRDefault="001E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5002" w:type="dxa"/>
          <w:gridSpan w:val="2"/>
          <w:shd w:val="clear" w:color="auto" w:fill="auto"/>
        </w:tcPr>
        <w:p w14:paraId="4F2E4B0D" w14:textId="77777777" w:rsidR="004E37E2" w:rsidRDefault="001E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03544/INFOEM/IP/RR/2022.</w:t>
          </w:r>
        </w:p>
      </w:tc>
    </w:tr>
    <w:tr w:rsidR="004E37E2" w14:paraId="2962D04B" w14:textId="77777777">
      <w:trPr>
        <w:gridAfter w:val="1"/>
        <w:wAfter w:w="749" w:type="dxa"/>
      </w:trPr>
      <w:tc>
        <w:tcPr>
          <w:tcW w:w="2551" w:type="dxa"/>
          <w:shd w:val="clear" w:color="auto" w:fill="auto"/>
        </w:tcPr>
        <w:p w14:paraId="72C3FF7A" w14:textId="77777777" w:rsidR="004E37E2" w:rsidRDefault="001E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3" w:type="dxa"/>
          <w:shd w:val="clear" w:color="auto" w:fill="auto"/>
        </w:tcPr>
        <w:p w14:paraId="642CE53A" w14:textId="77777777" w:rsidR="004E37E2" w:rsidRDefault="001E6E50">
          <w:pPr>
            <w:tabs>
              <w:tab w:val="left" w:pos="3606"/>
            </w:tabs>
            <w:ind w:right="99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4E37E2" w14:paraId="1609264E" w14:textId="77777777">
      <w:trPr>
        <w:trHeight w:val="228"/>
      </w:trPr>
      <w:tc>
        <w:tcPr>
          <w:tcW w:w="2551" w:type="dxa"/>
          <w:shd w:val="clear" w:color="auto" w:fill="auto"/>
        </w:tcPr>
        <w:p w14:paraId="4EDD8824" w14:textId="77777777" w:rsidR="004E37E2" w:rsidRDefault="001E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5002" w:type="dxa"/>
          <w:gridSpan w:val="2"/>
          <w:shd w:val="clear" w:color="auto" w:fill="auto"/>
        </w:tcPr>
        <w:p w14:paraId="23BC9E14" w14:textId="77777777" w:rsidR="004E37E2" w:rsidRDefault="001E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80F4B49" w14:textId="77777777" w:rsidR="004E37E2" w:rsidRDefault="004E37E2">
    <w:pPr>
      <w:pBdr>
        <w:top w:val="nil"/>
        <w:left w:val="nil"/>
        <w:bottom w:val="nil"/>
        <w:right w:val="nil"/>
        <w:between w:val="nil"/>
      </w:pBdr>
      <w:tabs>
        <w:tab w:val="center" w:pos="4252"/>
        <w:tab w:val="right" w:pos="8504"/>
        <w:tab w:val="left" w:pos="2326"/>
        <w:tab w:val="left" w:pos="7051"/>
      </w:tabs>
      <w:rPr>
        <w:rFonts w:ascii="Palatino Linotype" w:eastAsia="Palatino Linotype" w:hAnsi="Palatino Linotype" w:cs="Palatino Linotype"/>
        <w:b/>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66A0" w14:textId="77777777" w:rsidR="004E37E2" w:rsidRDefault="004E37E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6844" w:type="dxa"/>
      <w:tblInd w:w="3794" w:type="dxa"/>
      <w:tblLayout w:type="fixed"/>
      <w:tblLook w:val="0400" w:firstRow="0" w:lastRow="0" w:firstColumn="0" w:lastColumn="0" w:noHBand="0" w:noVBand="1"/>
    </w:tblPr>
    <w:tblGrid>
      <w:gridCol w:w="2551"/>
      <w:gridCol w:w="3544"/>
      <w:gridCol w:w="749"/>
    </w:tblGrid>
    <w:tr w:rsidR="004E37E2" w14:paraId="4BE2C3DA" w14:textId="77777777">
      <w:tc>
        <w:tcPr>
          <w:tcW w:w="2551" w:type="dxa"/>
          <w:shd w:val="clear" w:color="auto" w:fill="auto"/>
        </w:tcPr>
        <w:p w14:paraId="7411C484" w14:textId="77777777" w:rsidR="004E37E2" w:rsidRDefault="001E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93" w:type="dxa"/>
          <w:gridSpan w:val="2"/>
          <w:shd w:val="clear" w:color="auto" w:fill="auto"/>
        </w:tcPr>
        <w:p w14:paraId="68ACE53A" w14:textId="77777777" w:rsidR="004E37E2" w:rsidRDefault="001E6E50">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03544/INFOEM/IP/RR/2022.</w:t>
          </w:r>
        </w:p>
      </w:tc>
    </w:tr>
    <w:tr w:rsidR="004E37E2" w14:paraId="1F0D24A6" w14:textId="77777777">
      <w:trPr>
        <w:gridAfter w:val="1"/>
        <w:wAfter w:w="749" w:type="dxa"/>
      </w:trPr>
      <w:tc>
        <w:tcPr>
          <w:tcW w:w="2551" w:type="dxa"/>
          <w:shd w:val="clear" w:color="auto" w:fill="auto"/>
        </w:tcPr>
        <w:p w14:paraId="55805D9B" w14:textId="77777777" w:rsidR="004E37E2" w:rsidRDefault="001E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shd w:val="clear" w:color="auto" w:fill="auto"/>
        </w:tcPr>
        <w:p w14:paraId="3893F43A" w14:textId="77777777" w:rsidR="004E37E2" w:rsidRDefault="004E37E2">
          <w:pPr>
            <w:ind w:left="-74"/>
            <w:rPr>
              <w:rFonts w:ascii="Palatino Linotype" w:eastAsia="Palatino Linotype" w:hAnsi="Palatino Linotype" w:cs="Palatino Linotype"/>
              <w:b/>
              <w:sz w:val="22"/>
              <w:szCs w:val="22"/>
            </w:rPr>
          </w:pPr>
        </w:p>
      </w:tc>
    </w:tr>
    <w:tr w:rsidR="004E37E2" w14:paraId="10494260" w14:textId="77777777">
      <w:trPr>
        <w:trHeight w:val="228"/>
      </w:trPr>
      <w:tc>
        <w:tcPr>
          <w:tcW w:w="2551" w:type="dxa"/>
          <w:shd w:val="clear" w:color="auto" w:fill="auto"/>
        </w:tcPr>
        <w:p w14:paraId="5643A408" w14:textId="77777777" w:rsidR="004E37E2" w:rsidRDefault="001E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93" w:type="dxa"/>
          <w:gridSpan w:val="2"/>
          <w:shd w:val="clear" w:color="auto" w:fill="auto"/>
        </w:tcPr>
        <w:p w14:paraId="7BF8BBCB" w14:textId="77777777" w:rsidR="004E37E2" w:rsidRDefault="001E6E50">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4E37E2" w14:paraId="057281BC" w14:textId="77777777">
      <w:tc>
        <w:tcPr>
          <w:tcW w:w="2551" w:type="dxa"/>
          <w:shd w:val="clear" w:color="auto" w:fill="auto"/>
        </w:tcPr>
        <w:p w14:paraId="65841871" w14:textId="77777777" w:rsidR="004E37E2" w:rsidRDefault="001E6E50">
          <w:pPr>
            <w:ind w:right="-25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93" w:type="dxa"/>
          <w:gridSpan w:val="2"/>
          <w:shd w:val="clear" w:color="auto" w:fill="auto"/>
        </w:tcPr>
        <w:p w14:paraId="17AA9067" w14:textId="77777777" w:rsidR="004E37E2" w:rsidRDefault="001E6E50">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4E7B342" w14:textId="77777777" w:rsidR="004E37E2" w:rsidRDefault="001E6E50">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eastAsia="es-MX"/>
      </w:rPr>
      <w:drawing>
        <wp:anchor distT="0" distB="0" distL="0" distR="0" simplePos="0" relativeHeight="251659264" behindDoc="1" locked="0" layoutInCell="1" hidden="0" allowOverlap="1" wp14:anchorId="14F68245" wp14:editId="4FF056D3">
          <wp:simplePos x="0" y="0"/>
          <wp:positionH relativeFrom="column">
            <wp:posOffset>-455293</wp:posOffset>
          </wp:positionH>
          <wp:positionV relativeFrom="paragraph">
            <wp:posOffset>-1101724</wp:posOffset>
          </wp:positionV>
          <wp:extent cx="7635600" cy="9943200"/>
          <wp:effectExtent l="0" t="0" r="0" b="0"/>
          <wp:wrapNone/>
          <wp:docPr id="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FEF32" w14:textId="77777777" w:rsidR="004E37E2" w:rsidRDefault="004E37E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F6C37"/>
    <w:multiLevelType w:val="multilevel"/>
    <w:tmpl w:val="A5C060F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6B667241"/>
    <w:multiLevelType w:val="multilevel"/>
    <w:tmpl w:val="E766CB7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
    <w:nsid w:val="7EC76F76"/>
    <w:multiLevelType w:val="multilevel"/>
    <w:tmpl w:val="86F4BC84"/>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E2"/>
    <w:rsid w:val="001E6E50"/>
    <w:rsid w:val="002001B3"/>
    <w:rsid w:val="004E37E2"/>
    <w:rsid w:val="006070F0"/>
    <w:rsid w:val="00D20B65"/>
    <w:rsid w:val="00D50955"/>
    <w:rsid w:val="00E06359"/>
    <w:rsid w:val="00E37AA8"/>
    <w:rsid w:val="00F26D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42DC"/>
  <w15:docId w15:val="{31484703-36ED-475E-95AE-5284305B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C93"/>
    <w:rPr>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59"/>
    <w:rsid w:val="00625E44"/>
    <w:rPr>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qFormat/>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nhideWhenUsed/>
    <w:qFormat/>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lang w:eastAsia="en-US"/>
    </w:rPr>
  </w:style>
  <w:style w:type="paragraph" w:styleId="Sinespaciado">
    <w:name w:val="No Spacing"/>
    <w:aliases w:val="Francesa,INAI"/>
    <w:link w:val="SinespaciadoCar"/>
    <w:uiPriority w:val="1"/>
    <w:qFormat/>
    <w:rsid w:val="00D53BFC"/>
    <w:rPr>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semiHidden/>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 w:type="paragraph" w:customStyle="1" w:styleId="paragraph">
    <w:name w:val="paragraph"/>
    <w:basedOn w:val="Normal"/>
    <w:rsid w:val="00A659D6"/>
    <w:pPr>
      <w:spacing w:before="100" w:beforeAutospacing="1" w:after="100" w:afterAutospacing="1"/>
    </w:pPr>
    <w:rPr>
      <w:lang w:val="es-MX" w:eastAsia="es-MX"/>
    </w:rPr>
  </w:style>
  <w:style w:type="character" w:customStyle="1" w:styleId="apple-style-span">
    <w:name w:val="apple-style-span"/>
    <w:rsid w:val="006B4E54"/>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pomex.org.mx/ipo3/lgt/indice/SMOV.we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p5sPPlFFp3A4/2POlUTruI9Evw==">AMUW2mWBOOWm316aCYd1lI/VThhUoNfpnm96R57byAz0eP+BWtvcid23fny8xWWlVVVoomoM46j6yX/TosL+4Caqbnd4Oxq0nbY5qCLHbJybtnmhNH1PdKo/roFasUXXKpf/1ciEH2ZGWOTYrsOBMIWUH1qcXpMjDg==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9423</Words>
  <Characters>51830</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2022-06-22T16:15:00Z</cp:lastPrinted>
  <dcterms:created xsi:type="dcterms:W3CDTF">2022-07-07T22:32:00Z</dcterms:created>
  <dcterms:modified xsi:type="dcterms:W3CDTF">2022-07-07T22:32:00Z</dcterms:modified>
</cp:coreProperties>
</file>