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2FF" w:rsidRDefault="001607BB">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veintiuno de junio de dos mil veintidós. </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03759/INFOEM/IP/RR/2022</w:t>
      </w:r>
      <w:r>
        <w:rPr>
          <w:rFonts w:ascii="Palatino Linotype" w:eastAsia="Palatino Linotype" w:hAnsi="Palatino Linotype" w:cs="Palatino Linotype"/>
        </w:rPr>
        <w:t xml:space="preserve">, interpuesto por </w:t>
      </w:r>
      <w:proofErr w:type="spellStart"/>
      <w:r w:rsidRPr="001607BB">
        <w:rPr>
          <w:rFonts w:ascii="Palatino Linotype" w:eastAsia="Palatino Linotype" w:hAnsi="Palatino Linotype" w:cs="Palatino Linotype"/>
          <w:b/>
        </w:rPr>
        <w:t>Xxxxx</w:t>
      </w:r>
      <w:proofErr w:type="spellEnd"/>
      <w:r w:rsidRPr="001607BB">
        <w:rPr>
          <w:rFonts w:ascii="Palatino Linotype" w:eastAsia="Palatino Linotype" w:hAnsi="Palatino Linotype" w:cs="Palatino Linotype"/>
          <w:b/>
        </w:rPr>
        <w:t xml:space="preserve"> </w:t>
      </w:r>
      <w:proofErr w:type="spellStart"/>
      <w:r w:rsidRPr="001607BB">
        <w:rPr>
          <w:rFonts w:ascii="Palatino Linotype" w:eastAsia="Palatino Linotype" w:hAnsi="Palatino Linotype" w:cs="Palatino Linotype"/>
          <w:b/>
        </w:rPr>
        <w:t>Xxxxxx</w:t>
      </w:r>
      <w:proofErr w:type="spellEnd"/>
      <w:r w:rsidRPr="001607BB">
        <w:rPr>
          <w:rFonts w:ascii="Palatino Linotype" w:eastAsia="Palatino Linotype" w:hAnsi="Palatino Linotype" w:cs="Palatino Linotype"/>
          <w:b/>
        </w:rPr>
        <w:t xml:space="preserve"> </w:t>
      </w:r>
      <w:proofErr w:type="spellStart"/>
      <w:r w:rsidRPr="001607BB">
        <w:rPr>
          <w:rFonts w:ascii="Palatino Linotype" w:eastAsia="Palatino Linotype" w:hAnsi="Palatino Linotype" w:cs="Palatino Linotype"/>
          <w:b/>
        </w:rPr>
        <w:t>xxxxxx</w:t>
      </w:r>
      <w:proofErr w:type="spellEnd"/>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Ocoyoacac</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1D32FF" w:rsidRDefault="001607BB">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veinticuatro de enero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 la </w:t>
      </w:r>
      <w:r>
        <w:rPr>
          <w:rFonts w:ascii="Palatino Linotype" w:eastAsia="Palatino Linotype" w:hAnsi="Palatino Linotype" w:cs="Palatino Linotype"/>
        </w:rPr>
        <w:t xml:space="preserve">Plataforma Nacional de Transparencia vinculada al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00018/OCOYOAC/IP/2022, </w:t>
      </w:r>
      <w:r>
        <w:rPr>
          <w:rFonts w:ascii="Palatino Linotype" w:eastAsia="Palatino Linotype" w:hAnsi="Palatino Linotype" w:cs="Palatino Linotype"/>
        </w:rPr>
        <w:t>m</w:t>
      </w:r>
      <w:r>
        <w:rPr>
          <w:rFonts w:ascii="Palatino Linotype" w:eastAsia="Palatino Linotype" w:hAnsi="Palatino Linotype" w:cs="Palatino Linotype"/>
        </w:rPr>
        <w:t xml:space="preserve">ediante la cual requirió la información siguiente: </w:t>
      </w:r>
    </w:p>
    <w:p w:rsidR="001D32FF" w:rsidRDefault="001607BB">
      <w:pPr>
        <w:spacing w:before="240" w:after="24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“requiero conocer el listado con número de certificado, número de nómina, monto bruto de percepciones económicas así como departamento al que está adscrito de la cantidad total de empleados sindicalizados</w:t>
      </w:r>
      <w:r>
        <w:rPr>
          <w:rFonts w:ascii="Palatino Linotype" w:eastAsia="Palatino Linotype" w:hAnsi="Palatino Linotype" w:cs="Palatino Linotype"/>
          <w:i/>
          <w:sz w:val="22"/>
          <w:szCs w:val="22"/>
        </w:rPr>
        <w:t xml:space="preserve"> así como personal de confianza que </w:t>
      </w:r>
      <w:proofErr w:type="gramStart"/>
      <w:r>
        <w:rPr>
          <w:rFonts w:ascii="Palatino Linotype" w:eastAsia="Palatino Linotype" w:hAnsi="Palatino Linotype" w:cs="Palatino Linotype"/>
          <w:i/>
          <w:sz w:val="22"/>
          <w:szCs w:val="22"/>
        </w:rPr>
        <w:t>están</w:t>
      </w:r>
      <w:proofErr w:type="gramEnd"/>
      <w:r>
        <w:rPr>
          <w:rFonts w:ascii="Palatino Linotype" w:eastAsia="Palatino Linotype" w:hAnsi="Palatino Linotype" w:cs="Palatino Linotype"/>
          <w:i/>
          <w:sz w:val="22"/>
          <w:szCs w:val="22"/>
        </w:rPr>
        <w:t xml:space="preserve"> activos en nómina municipal, que cuentan con Estándares de Competencia de Marca enlistados a continuación: ECM0059 ECM0060 ECM0061 ECM0062 ECM0063 ECM0064 ECM0065 ECM0066 ECM0067 ECM0068 ECM0069 ECM0070 ECM0071 ava</w:t>
      </w:r>
      <w:r>
        <w:rPr>
          <w:rFonts w:ascii="Palatino Linotype" w:eastAsia="Palatino Linotype" w:hAnsi="Palatino Linotype" w:cs="Palatino Linotype"/>
          <w:i/>
          <w:sz w:val="22"/>
          <w:szCs w:val="22"/>
        </w:rPr>
        <w:t>lados por el Instituto Hacendario del Estado de México.”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1D32FF" w:rsidRDefault="001607B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no adjuntó archivos.</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Electrónico a través del sistema de solicitudes de acceso,</w:t>
      </w:r>
      <w:r>
        <w:rPr>
          <w:rFonts w:ascii="Palatino Linotype" w:eastAsia="Palatino Linotype" w:hAnsi="Palatino Linotype" w:cs="Palatino Linotype"/>
          <w:i/>
        </w:rPr>
        <w:t xml:space="preserve"> </w:t>
      </w:r>
      <w:r>
        <w:rPr>
          <w:rFonts w:ascii="Palatino Linotype" w:eastAsia="Palatino Linotype" w:hAnsi="Palatino Linotype" w:cs="Palatino Linotype"/>
        </w:rPr>
        <w:t>por lo que, para efectos del presente asunto, se entenderá a tr</w:t>
      </w:r>
      <w:r>
        <w:rPr>
          <w:rFonts w:ascii="Palatino Linotype" w:eastAsia="Palatino Linotype" w:hAnsi="Palatino Linotype" w:cs="Palatino Linotype"/>
        </w:rPr>
        <w:t>avés del Sistema de Acceso a la Información Mexiquense (SAIMEX), como se advierte a continuación:</w:t>
      </w:r>
    </w:p>
    <w:p w:rsidR="001D32FF" w:rsidRDefault="001607BB">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4860000" cy="519822"/>
            <wp:effectExtent l="0" t="0" r="0" b="0"/>
            <wp:docPr id="1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60000" cy="519822"/>
                    </a:xfrm>
                    <a:prstGeom prst="rect">
                      <a:avLst/>
                    </a:prstGeom>
                    <a:ln/>
                  </pic:spPr>
                </pic:pic>
              </a:graphicData>
            </a:graphic>
          </wp:inline>
        </w:drawing>
      </w:r>
    </w:p>
    <w:p w:rsidR="001D32FF" w:rsidRDefault="001607B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Prórroga.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dieciocho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solicitó prórroga mediante </w:t>
      </w:r>
      <w:r>
        <w:rPr>
          <w:rFonts w:ascii="Palatino Linotype" w:eastAsia="Palatino Linotype" w:hAnsi="Palatino Linotype" w:cs="Palatino Linotype"/>
          <w:b/>
        </w:rPr>
        <w:t xml:space="preserve">SAIMEX, </w:t>
      </w:r>
      <w:r>
        <w:rPr>
          <w:rFonts w:ascii="Palatino Linotype" w:eastAsia="Palatino Linotype" w:hAnsi="Palatino Linotype" w:cs="Palatino Linotype"/>
        </w:rPr>
        <w:t>argumentando lo siguiente:</w:t>
      </w:r>
    </w:p>
    <w:p w:rsidR="001D32FF" w:rsidRDefault="001607BB">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w:t>
      </w:r>
      <w:r>
        <w:rPr>
          <w:rFonts w:ascii="Palatino Linotype" w:eastAsia="Palatino Linotype" w:hAnsi="Palatino Linotype" w:cs="Palatino Linotype"/>
          <w:i/>
          <w:sz w:val="22"/>
          <w:szCs w:val="22"/>
        </w:rPr>
        <w:t>por 7 días en virtud de las siguientes razones:</w:t>
      </w:r>
    </w:p>
    <w:p w:rsidR="001D32FF" w:rsidRDefault="001607BB">
      <w:pPr>
        <w:spacing w:before="240" w:after="240"/>
        <w:ind w:left="851" w:right="900"/>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cuenta</w:t>
      </w:r>
      <w:proofErr w:type="gramEnd"/>
      <w:r>
        <w:rPr>
          <w:rFonts w:ascii="Palatino Linotype" w:eastAsia="Palatino Linotype" w:hAnsi="Palatino Linotype" w:cs="Palatino Linotype"/>
          <w:i/>
          <w:sz w:val="22"/>
          <w:szCs w:val="22"/>
        </w:rPr>
        <w:t xml:space="preserve"> con 7 días...”</w:t>
      </w:r>
    </w:p>
    <w:p w:rsidR="001D32FF" w:rsidRDefault="001607B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bien refiere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w:t>
      </w:r>
      <w:r>
        <w:rPr>
          <w:rFonts w:ascii="Palatino Linotype" w:eastAsia="Palatino Linotype" w:hAnsi="Palatino Linotype" w:cs="Palatino Linotype"/>
        </w:rPr>
        <w:t>e días, en términos del párrafo segundo del artículo 163, siempre y cuando existan razones fundadas y motivadas para hacerlo, y que estas sean aprobadas por el Comité de Transparencia, mediante la emisión de una resolución, en el caso que nos ocupa y deriv</w:t>
      </w:r>
      <w:r>
        <w:rPr>
          <w:rFonts w:ascii="Palatino Linotype" w:eastAsia="Palatino Linotype" w:hAnsi="Palatino Linotype" w:cs="Palatino Linotype"/>
        </w:rPr>
        <w:t>ado de las constancias que obran en el expediente, se advierte que no se observaron las formalidades que establece la Ley de la materia, pues no se anexó la resolución mediante la cual el Comité de Transparencia aprobara la ampliación del plazo.</w:t>
      </w:r>
    </w:p>
    <w:p w:rsidR="001D32FF" w:rsidRDefault="001D32FF">
      <w:pPr>
        <w:spacing w:before="240" w:after="240" w:line="360" w:lineRule="auto"/>
        <w:jc w:val="both"/>
        <w:rPr>
          <w:rFonts w:ascii="Palatino Linotype" w:eastAsia="Palatino Linotype" w:hAnsi="Palatino Linotype" w:cs="Palatino Linotype"/>
          <w:b/>
        </w:rPr>
      </w:pPr>
    </w:p>
    <w:p w:rsidR="001D32FF" w:rsidRDefault="001607B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3. Respuesta.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veinticinco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1D32FF" w:rsidRDefault="001607BB">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lo que versa en los </w:t>
      </w:r>
      <w:r>
        <w:rPr>
          <w:rFonts w:ascii="Palatino Linotype" w:eastAsia="Palatino Linotype" w:hAnsi="Palatino Linotype" w:cs="Palatino Linotype"/>
          <w:i/>
          <w:sz w:val="22"/>
          <w:szCs w:val="22"/>
        </w:rPr>
        <w:t>artículos 116 de la Ley General de Transparencia y Acceso a la Información Pública; 6 de la Ley de Protección de Datos Personales en Posesión de Sujetos Obligados del Estado de México y Municipios, ampara al incitado a reservarse el derecho a difundir mont</w:t>
      </w:r>
      <w:r>
        <w:rPr>
          <w:rFonts w:ascii="Palatino Linotype" w:eastAsia="Palatino Linotype" w:hAnsi="Palatino Linotype" w:cs="Palatino Linotype"/>
          <w:i/>
          <w:sz w:val="22"/>
          <w:szCs w:val="22"/>
        </w:rPr>
        <w:t>os de percepciones económicas, así mismo, el estándar de competencia de marca al que alude, no tiene relación al requisito que la Ley Orgánica Municipal del Estado de México solicita para desempeñar determinados cargos...”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1D32FF" w:rsidRDefault="001607B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w:t>
      </w:r>
      <w:r>
        <w:rPr>
          <w:rFonts w:ascii="Palatino Linotype" w:eastAsia="Palatino Linotype" w:hAnsi="Palatino Linotype" w:cs="Palatino Linotype"/>
        </w:rPr>
        <w:t xml:space="preserve">el archivo </w:t>
      </w:r>
      <w:r>
        <w:rPr>
          <w:rFonts w:ascii="Palatino Linotype" w:eastAsia="Palatino Linotype" w:hAnsi="Palatino Linotype" w:cs="Palatino Linotype"/>
          <w:i/>
        </w:rPr>
        <w:t>“0018.OCOYOAC.IP.2022RT.pdf”</w:t>
      </w:r>
      <w:r>
        <w:rPr>
          <w:rFonts w:ascii="Palatino Linotype" w:eastAsia="Palatino Linotype" w:hAnsi="Palatino Linotype" w:cs="Palatino Linotype"/>
        </w:rPr>
        <w:t xml:space="preserve">, que consiste en el oficio número DGS0178/2022, de fecha veinticuatro de febrero dos mil veintidós, signado por el Director General de Administración, quien atiende la solicitud de información en los mismos términos </w:t>
      </w:r>
      <w:r>
        <w:rPr>
          <w:rFonts w:ascii="Palatino Linotype" w:eastAsia="Palatino Linotype" w:hAnsi="Palatino Linotype" w:cs="Palatino Linotype"/>
        </w:rPr>
        <w:t xml:space="preserve">vertidos en SAIMEX. </w:t>
      </w:r>
    </w:p>
    <w:p w:rsidR="001D32FF" w:rsidRDefault="001607B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once de 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SAIMEX</w:t>
      </w:r>
      <w:r>
        <w:rPr>
          <w:rFonts w:ascii="Palatino Linotype" w:eastAsia="Palatino Linotype" w:hAnsi="Palatino Linotype" w:cs="Palatino Linotype"/>
          <w:b/>
        </w:rPr>
        <w:t xml:space="preserve">, </w:t>
      </w:r>
      <w:r>
        <w:rPr>
          <w:rFonts w:ascii="Palatino Linotype" w:eastAsia="Palatino Linotype" w:hAnsi="Palatino Linotype" w:cs="Palatino Linotype"/>
        </w:rPr>
        <w:t>en donde se manifestó de la siguiente manera:</w:t>
      </w:r>
    </w:p>
    <w:p w:rsidR="001D32FF" w:rsidRDefault="001607BB">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1D32FF" w:rsidRDefault="001607BB">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entrego la respuesta solicitada, </w:t>
      </w:r>
      <w:r>
        <w:rPr>
          <w:rFonts w:ascii="Palatino Linotype" w:eastAsia="Palatino Linotype" w:hAnsi="Palatino Linotype" w:cs="Palatino Linotype"/>
          <w:b/>
          <w:i/>
          <w:sz w:val="22"/>
          <w:szCs w:val="22"/>
          <w:u w:val="single"/>
        </w:rPr>
        <w:t xml:space="preserve">en su respuesta indica que el proceso de </w:t>
      </w:r>
      <w:proofErr w:type="spellStart"/>
      <w:r>
        <w:rPr>
          <w:rFonts w:ascii="Palatino Linotype" w:eastAsia="Palatino Linotype" w:hAnsi="Palatino Linotype" w:cs="Palatino Linotype"/>
          <w:b/>
          <w:i/>
          <w:sz w:val="22"/>
          <w:szCs w:val="22"/>
          <w:u w:val="single"/>
        </w:rPr>
        <w:t>certificacion</w:t>
      </w:r>
      <w:proofErr w:type="spellEnd"/>
      <w:r>
        <w:rPr>
          <w:rFonts w:ascii="Palatino Linotype" w:eastAsia="Palatino Linotype" w:hAnsi="Palatino Linotype" w:cs="Palatino Linotype"/>
          <w:b/>
          <w:i/>
          <w:sz w:val="22"/>
          <w:szCs w:val="22"/>
          <w:u w:val="single"/>
        </w:rPr>
        <w:t xml:space="preserve"> </w:t>
      </w:r>
      <w:proofErr w:type="spellStart"/>
      <w:r>
        <w:rPr>
          <w:rFonts w:ascii="Palatino Linotype" w:eastAsia="Palatino Linotype" w:hAnsi="Palatino Linotype" w:cs="Palatino Linotype"/>
          <w:b/>
          <w:i/>
          <w:sz w:val="22"/>
          <w:szCs w:val="22"/>
          <w:u w:val="single"/>
        </w:rPr>
        <w:t>esta</w:t>
      </w:r>
      <w:proofErr w:type="spellEnd"/>
      <w:r>
        <w:rPr>
          <w:rFonts w:ascii="Palatino Linotype" w:eastAsia="Palatino Linotype" w:hAnsi="Palatino Linotype" w:cs="Palatino Linotype"/>
          <w:b/>
          <w:i/>
          <w:sz w:val="22"/>
          <w:szCs w:val="22"/>
          <w:u w:val="single"/>
        </w:rPr>
        <w:t xml:space="preserve"> en </w:t>
      </w:r>
      <w:proofErr w:type="spellStart"/>
      <w:r>
        <w:rPr>
          <w:rFonts w:ascii="Palatino Linotype" w:eastAsia="Palatino Linotype" w:hAnsi="Palatino Linotype" w:cs="Palatino Linotype"/>
          <w:b/>
          <w:i/>
          <w:sz w:val="22"/>
          <w:szCs w:val="22"/>
          <w:u w:val="single"/>
        </w:rPr>
        <w:t>tramite</w:t>
      </w:r>
      <w:proofErr w:type="spellEnd"/>
      <w:r>
        <w:rPr>
          <w:rFonts w:ascii="Palatino Linotype" w:eastAsia="Palatino Linotype" w:hAnsi="Palatino Linotype" w:cs="Palatino Linotype"/>
          <w:b/>
          <w:i/>
          <w:sz w:val="22"/>
          <w:szCs w:val="22"/>
          <w:u w:val="single"/>
        </w:rPr>
        <w:t xml:space="preserve"> pero no entrega pruebas del proceso de </w:t>
      </w:r>
      <w:proofErr w:type="spellStart"/>
      <w:r>
        <w:rPr>
          <w:rFonts w:ascii="Palatino Linotype" w:eastAsia="Palatino Linotype" w:hAnsi="Palatino Linotype" w:cs="Palatino Linotype"/>
          <w:b/>
          <w:i/>
          <w:sz w:val="22"/>
          <w:szCs w:val="22"/>
          <w:u w:val="single"/>
        </w:rPr>
        <w:t>certificacion</w:t>
      </w:r>
      <w:proofErr w:type="spellEnd"/>
      <w:r>
        <w:rPr>
          <w:rFonts w:ascii="Palatino Linotype" w:eastAsia="Palatino Linotype" w:hAnsi="Palatino Linotype" w:cs="Palatino Linotype"/>
          <w:i/>
          <w:sz w:val="22"/>
          <w:szCs w:val="22"/>
        </w:rPr>
        <w:t>” (sic)</w:t>
      </w:r>
    </w:p>
    <w:p w:rsidR="001D32FF" w:rsidRDefault="001607B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w:t>
      </w:r>
      <w:r>
        <w:rPr>
          <w:rFonts w:ascii="Palatino Linotype" w:eastAsia="Palatino Linotype" w:hAnsi="Palatino Linotype" w:cs="Palatino Linotype"/>
          <w:b/>
        </w:rPr>
        <w:t xml:space="preserve"> inconformidad</w:t>
      </w:r>
      <w:r>
        <w:rPr>
          <w:rFonts w:ascii="Palatino Linotype" w:eastAsia="Palatino Linotype" w:hAnsi="Palatino Linotype" w:cs="Palatino Linotype"/>
        </w:rPr>
        <w:t xml:space="preserve">: </w:t>
      </w:r>
    </w:p>
    <w:p w:rsidR="001D32FF" w:rsidRDefault="001607BB">
      <w:pPr>
        <w:spacing w:line="360" w:lineRule="auto"/>
        <w:jc w:val="both"/>
        <w:rPr>
          <w:rFonts w:ascii="Palatino Linotype" w:eastAsia="Palatino Linotype" w:hAnsi="Palatino Linotype" w:cs="Palatino Linotype"/>
          <w:b/>
        </w:rPr>
      </w:pPr>
      <w:bookmarkStart w:id="1" w:name="_heading=h.kg5oyp2g5sda" w:colFirst="0" w:colLast="0"/>
      <w:bookmarkEnd w:id="1"/>
      <w:r>
        <w:rPr>
          <w:rFonts w:ascii="Palatino Linotype" w:eastAsia="Palatino Linotype" w:hAnsi="Palatino Linotype" w:cs="Palatino Linotype"/>
        </w:rPr>
        <w:t xml:space="preserve">No se advierten manifestaciones de la parte </w:t>
      </w:r>
      <w:r>
        <w:rPr>
          <w:rFonts w:ascii="Palatino Linotype" w:eastAsia="Palatino Linotype" w:hAnsi="Palatino Linotype" w:cs="Palatino Linotype"/>
          <w:b/>
        </w:rPr>
        <w:t>Recurrente.</w:t>
      </w:r>
    </w:p>
    <w:p w:rsidR="001D32FF" w:rsidRDefault="001607B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el archivo “</w:t>
      </w:r>
      <w:r>
        <w:rPr>
          <w:rFonts w:ascii="Palatino Linotype" w:eastAsia="Palatino Linotype" w:hAnsi="Palatino Linotype" w:cs="Palatino Linotype"/>
          <w:i/>
        </w:rPr>
        <w:t>Archivo1646978790790</w:t>
      </w:r>
      <w:r>
        <w:rPr>
          <w:rFonts w:ascii="Palatino Linotype" w:eastAsia="Palatino Linotype" w:hAnsi="Palatino Linotype" w:cs="Palatino Linotype"/>
        </w:rPr>
        <w:t>” documento al que no es posible acceder.</w:t>
      </w:r>
    </w:p>
    <w:p w:rsidR="001D32FF" w:rsidRDefault="001607BB">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De conformidad con el artículo 185 fracción I de la Ley de Tran</w:t>
      </w:r>
      <w:r>
        <w:rPr>
          <w:rFonts w:ascii="Palatino Linotype" w:eastAsia="Palatino Linotype" w:hAnsi="Palatino Linotype" w:cs="Palatino Linotype"/>
        </w:rPr>
        <w:t xml:space="preserve">sparencia y Acceso a la Información Pública del Estado de México y Municipios vigente, el presente recurso de revisión se turnó por el sistema electrónico del Instituto de Transparencia, Acceso a la Información Pública y Protección de Datos Personales del </w:t>
      </w:r>
      <w:r>
        <w:rPr>
          <w:rFonts w:ascii="Palatino Linotype" w:eastAsia="Palatino Linotype" w:hAnsi="Palatino Linotype" w:cs="Palatino Linotype"/>
        </w:rPr>
        <w:t xml:space="preserve">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dieciséis de marzo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 dando un plazo máximo de siete días hábiles para que las pa</w:t>
      </w:r>
      <w:r>
        <w:rPr>
          <w:rFonts w:ascii="Palatino Linotype" w:eastAsia="Palatino Linotype" w:hAnsi="Palatino Linotype" w:cs="Palatino Linotype"/>
        </w:rPr>
        <w:t xml:space="preserve">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1D32FF" w:rsidRDefault="001607BB">
      <w:pPr>
        <w:spacing w:before="240"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t>7. Manifestaciones</w:t>
      </w:r>
      <w:r>
        <w:rPr>
          <w:rFonts w:ascii="Palatino Linotype" w:eastAsia="Palatino Linotype" w:hAnsi="Palatino Linotype" w:cs="Palatino Linotype"/>
        </w:rPr>
        <w:t>. De las constancias que obran en el expediente electrónico del SAIMEX se despren</w:t>
      </w:r>
      <w:r>
        <w:rPr>
          <w:rFonts w:ascii="Palatino Linotype" w:eastAsia="Palatino Linotype" w:hAnsi="Palatino Linotype" w:cs="Palatino Linotype"/>
        </w:rPr>
        <w:t xml:space="preserve">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extent cx="5610225" cy="1952625"/>
            <wp:effectExtent l="0" t="0" r="0" b="0"/>
            <wp:docPr id="1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0225" cy="1952625"/>
                    </a:xfrm>
                    <a:prstGeom prst="rect">
                      <a:avLst/>
                    </a:prstGeom>
                    <a:ln/>
                  </pic:spPr>
                </pic:pic>
              </a:graphicData>
            </a:graphic>
          </wp:inline>
        </w:drawing>
      </w:r>
    </w:p>
    <w:p w:rsidR="001D32FF" w:rsidRDefault="001607BB">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se ampli</w:t>
      </w:r>
      <w:r>
        <w:rPr>
          <w:rFonts w:ascii="Palatino Linotype" w:eastAsia="Palatino Linotype" w:hAnsi="Palatino Linotype" w:cs="Palatino Linotype"/>
        </w:rPr>
        <w:t>ó el término para resolver el recurso de revisión en términos del artículo 181 párrafo tercero de la Ley de Transparencia y Acceso a la Información Pública del Estado de México y Municipios por un plazo de quince días hábiles.</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Una</w:t>
      </w:r>
      <w:r>
        <w:rPr>
          <w:rFonts w:ascii="Palatino Linotype" w:eastAsia="Palatino Linotype" w:hAnsi="Palatino Linotype" w:cs="Palatino Linotype"/>
        </w:rPr>
        <w:t xml:space="preserve"> vez transcurrido el periodo otorgado a las partes para realizar sus manifestaciones y no habiendo documentos que integrar al expediente, con fecha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la Comisionada Ponente determinó el cierre de instrucción en términos de</w:t>
      </w:r>
      <w:r>
        <w:rPr>
          <w:rFonts w:ascii="Palatino Linotype" w:eastAsia="Palatino Linotype" w:hAnsi="Palatino Linotype" w:cs="Palatino Linotype"/>
        </w:rPr>
        <w:t xml:space="preserve"> la fracción VI del artículo 185 de la Ley de Transparencia y Acceso a la Información Pública del Estado de México y Municipios.</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1D32FF" w:rsidRDefault="001607BB">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w:t>
      </w:r>
      <w:r>
        <w:rPr>
          <w:rFonts w:ascii="Palatino Linotype" w:eastAsia="Palatino Linotype" w:hAnsi="Palatino Linotype" w:cs="Palatino Linotype"/>
        </w:rPr>
        <w:t xml:space="preserve">l Instituto de Transparencia, Acceso a la Información Pública y Protección de Datos Personales del Estado de México y Municipios, es </w:t>
      </w:r>
      <w:r>
        <w:rPr>
          <w:rFonts w:ascii="Palatino Linotype" w:eastAsia="Palatino Linotype" w:hAnsi="Palatino Linotype" w:cs="Palatino Linotype"/>
        </w:rPr>
        <w:lastRenderedPageBreak/>
        <w:t>competente para conocer y resolver el presente recurso de revisión interpuesto por la parte recurrente, conforme a lo dispu</w:t>
      </w:r>
      <w:r>
        <w:rPr>
          <w:rFonts w:ascii="Palatino Linotype" w:eastAsia="Palatino Linotype" w:hAnsi="Palatino Linotype" w:cs="Palatino Linotype"/>
        </w:rPr>
        <w:t>esto en los artículos 6, apartado A de la Constitución Política de los Estados Unidos Mexicanos; 5 párrafos trigésimo, trigésimo primero y trigésimo segundo fracciones IV y V de la Constitución Política del Estado Libre y Soberano de México; 2, fracción II</w:t>
      </w:r>
      <w:r>
        <w:rPr>
          <w:rFonts w:ascii="Palatino Linotype" w:eastAsia="Palatino Linotype" w:hAnsi="Palatino Linotype" w:cs="Palatino Linotype"/>
        </w:rPr>
        <w:t xml:space="preserve">; 29, 36 fracciones I y II; 176, 178, 181, 185, fracción I, 186 y 188 de la Ley Transparencia y Acceso a la Información Pública del Estado de México y Municipios; 9, fracciones I y XXIV y 11 del Reglamento Interior del Instituto de Transparencia, Acceso a </w:t>
      </w:r>
      <w:r>
        <w:rPr>
          <w:rFonts w:ascii="Palatino Linotype" w:eastAsia="Palatino Linotype" w:hAnsi="Palatino Linotype" w:cs="Palatino Linotype"/>
        </w:rPr>
        <w:t>la Información Pública y Protección de Datos Personales del Estado de México y Municipios.</w:t>
      </w:r>
    </w:p>
    <w:p w:rsidR="001D32FF" w:rsidRDefault="001607BB">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w:t>
      </w:r>
      <w:r>
        <w:rPr>
          <w:rFonts w:ascii="Palatino Linotype" w:eastAsia="Palatino Linotype" w:hAnsi="Palatino Linotype" w:cs="Palatino Linotype"/>
        </w:rPr>
        <w:t>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recurso de revisión fue interpuesto dentro del plazo de quinc</w:t>
      </w:r>
      <w:r>
        <w:rPr>
          <w:rFonts w:ascii="Palatino Linotype" w:eastAsia="Palatino Linotype" w:hAnsi="Palatino Linotype" w:cs="Palatino Linotype"/>
        </w:rPr>
        <w:t xml:space="preserve">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veinticinco de febrero de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dos mil veintidós,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once de marzo de dos mil veintidós</w:t>
      </w:r>
      <w:r>
        <w:rPr>
          <w:rFonts w:ascii="Palatino Linotype" w:eastAsia="Palatino Linotype" w:hAnsi="Palatino Linotype" w:cs="Palatino Linotype"/>
        </w:rPr>
        <w:t>, esto es, al noveno día hábil posterior en que tuvo conocimiento de la respuesta impugnada.</w:t>
      </w:r>
    </w:p>
    <w:p w:rsidR="001D32FF" w:rsidRDefault="001607BB">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En este</w:t>
      </w:r>
      <w:r>
        <w:rPr>
          <w:rFonts w:ascii="Palatino Linotype" w:eastAsia="Palatino Linotype" w:hAnsi="Palatino Linotype" w:cs="Palatino Linotype"/>
        </w:rPr>
        <w:t xml:space="preserv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w:t>
      </w:r>
      <w:r>
        <w:rPr>
          <w:rFonts w:ascii="Palatino Linotype" w:eastAsia="Palatino Linotype" w:hAnsi="Palatino Linotype" w:cs="Palatino Linotype"/>
        </w:rPr>
        <w:lastRenderedPageBreak/>
        <w:t xml:space="preserve">de revisión, se concluye que el presente recurso de revisión se encuentra dentro de los </w:t>
      </w:r>
      <w:r>
        <w:rPr>
          <w:rFonts w:ascii="Palatino Linotype" w:eastAsia="Palatino Linotype" w:hAnsi="Palatino Linotype" w:cs="Palatino Linotype"/>
        </w:rPr>
        <w:t>márgenes temporales previstos las disposiciones legales referidas.</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w:t>
      </w:r>
      <w:r>
        <w:rPr>
          <w:rFonts w:ascii="Palatino Linotype" w:eastAsia="Palatino Linotype" w:hAnsi="Palatino Linotype" w:cs="Palatino Linotype"/>
        </w:rPr>
        <w:t>e los elementos formales precisados por el artículo 180 de la Ley de Transparencia y Acceso a la Información Pública del Estado de México y Municipios, en atención a que fue presentado mediante el formato visible en el SAIMEX.</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w:t>
      </w:r>
      <w:r>
        <w:rPr>
          <w:rFonts w:ascii="Palatino Linotype" w:eastAsia="Palatino Linotype" w:hAnsi="Palatino Linotype" w:cs="Palatino Linotype"/>
        </w:rPr>
        <w:t xml:space="preserve">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V del ordenamiento legal citado, que a la letra dice: </w:t>
      </w:r>
    </w:p>
    <w:p w:rsidR="001D32FF" w:rsidRDefault="001607BB">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1D32FF" w:rsidRDefault="001607BB">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D32FF" w:rsidRDefault="001607BB">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La entrega de información incompleta;”</w:t>
      </w:r>
    </w:p>
    <w:p w:rsidR="001D32FF" w:rsidRDefault="001607BB">
      <w:pPr>
        <w:spacing w:before="240" w:after="240" w:line="360" w:lineRule="auto"/>
        <w:jc w:val="both"/>
      </w:pPr>
      <w:r>
        <w:rPr>
          <w:rFonts w:ascii="Palatino Linotype" w:eastAsia="Palatino Linotype" w:hAnsi="Palatino Linotype" w:cs="Palatino Linotype"/>
          <w:b/>
        </w:rPr>
        <w:t>Tercero. Aná</w:t>
      </w:r>
      <w:r>
        <w:rPr>
          <w:rFonts w:ascii="Palatino Linotype" w:eastAsia="Palatino Linotype" w:hAnsi="Palatino Linotype" w:cs="Palatino Linotype"/>
          <w:b/>
        </w:rPr>
        <w:t>lisis de las causales de improcedencia y sobreseimiento del recurso de revisión.</w:t>
      </w:r>
      <w:r>
        <w:t xml:space="preserve"> </w:t>
      </w:r>
      <w:r>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w:t>
      </w:r>
      <w:r>
        <w:rPr>
          <w:rFonts w:ascii="Palatino Linotype" w:eastAsia="Palatino Linotype" w:hAnsi="Palatino Linotype" w:cs="Palatino Linotype"/>
        </w:rPr>
        <w:t>rídica que debe generar lo actuado ante este Organismo garante.</w:t>
      </w:r>
    </w:p>
    <w:p w:rsidR="001D32FF" w:rsidRDefault="001607BB">
      <w:pPr>
        <w:spacing w:line="360" w:lineRule="auto"/>
        <w:jc w:val="both"/>
      </w:pPr>
      <w:r>
        <w:rPr>
          <w:rFonts w:ascii="Palatino Linotype" w:eastAsia="Palatino Linotype" w:hAnsi="Palatino Linotype" w:cs="Palatino Linotype"/>
        </w:rPr>
        <w:lastRenderedPageBreak/>
        <w:t>Siendo una facultad legal entrar al estudio de las causas de improcedencia que hagan valer las partes o que se adviertan de oficio por este Instituto; presupuestos procesales de inicio o trámi</w:t>
      </w:r>
      <w:r>
        <w:rPr>
          <w:rFonts w:ascii="Palatino Linotype" w:eastAsia="Palatino Linotype" w:hAnsi="Palatino Linotype" w:cs="Palatino Linotype"/>
        </w:rPr>
        <w:t>te de un proceso que dotan de seguridad jurídica las resoluciones emitidas por este organismo colegiado, máxime que se trata de una figura procesal adoptada en la ley de la materia, la cual permite dilucidar alguna causal que impida el estudio y resolución</w:t>
      </w:r>
      <w:r>
        <w:rPr>
          <w:rFonts w:ascii="Palatino Linotype" w:eastAsia="Palatino Linotype" w:hAnsi="Palatino Linotype" w:cs="Palatino Linotype"/>
        </w:rPr>
        <w:t xml:space="preserve"> de un asunto en su fondo, cuando una vez admitido el recurso de revisión se advierta una causa de improcedencia que permita sobreseerlo. Estudio de causales de improcedencia que no son incompatibles con el derecho de acceso a la justicia, ya que éste no s</w:t>
      </w:r>
      <w:r>
        <w:rPr>
          <w:rFonts w:ascii="Palatino Linotype" w:eastAsia="Palatino Linotype" w:hAnsi="Palatino Linotype" w:cs="Palatino Linotype"/>
        </w:rPr>
        <w:t>e coarta por regular causas de improcedencia y sobreseimiento con tales fines.</w:t>
      </w:r>
    </w:p>
    <w:p w:rsidR="001D32FF" w:rsidRDefault="001D32FF"/>
    <w:p w:rsidR="001D32FF" w:rsidRDefault="001607BB">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manera preliminar en el caso concreto conviene analizar si se actualiza alguna de las causales de sobreseimiento del recurso de revisión.</w:t>
      </w:r>
    </w:p>
    <w:p w:rsidR="001D32FF" w:rsidRDefault="001D32FF">
      <w:pPr>
        <w:spacing w:line="360" w:lineRule="auto"/>
        <w:ind w:right="51"/>
        <w:jc w:val="both"/>
        <w:rPr>
          <w:rFonts w:ascii="Palatino Linotype" w:eastAsia="Palatino Linotype" w:hAnsi="Palatino Linotype" w:cs="Palatino Linotype"/>
        </w:rPr>
      </w:pPr>
    </w:p>
    <w:p w:rsidR="001D32FF" w:rsidRDefault="001607BB">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Así, del análisis de la solicitud </w:t>
      </w:r>
      <w:r>
        <w:rPr>
          <w:rFonts w:ascii="Palatino Linotype" w:eastAsia="Palatino Linotype" w:hAnsi="Palatino Linotype" w:cs="Palatino Linotype"/>
        </w:rPr>
        <w:t xml:space="preserve">de información motivo del recurso de revisión que ahora se resuelve, se advierte que la parte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proporcione información consistente en lo siguiente:</w:t>
      </w:r>
    </w:p>
    <w:p w:rsidR="001D32FF" w:rsidRDefault="001607BB">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“requiero conocer el listado con número de certificado, número de</w:t>
      </w:r>
      <w:r>
        <w:rPr>
          <w:rFonts w:ascii="Palatino Linotype" w:eastAsia="Palatino Linotype" w:hAnsi="Palatino Linotype" w:cs="Palatino Linotype"/>
          <w:i/>
          <w:sz w:val="22"/>
          <w:szCs w:val="22"/>
        </w:rPr>
        <w:t xml:space="preserve"> nómina, monto bruto de percepciones económicas así como departamento al que está adscrito de la cantidad total de empleados sindicalizados así como personal de confianza que están activos en nómina municipal, que cuentan con Estándares de Competencia de M</w:t>
      </w:r>
      <w:r>
        <w:rPr>
          <w:rFonts w:ascii="Palatino Linotype" w:eastAsia="Palatino Linotype" w:hAnsi="Palatino Linotype" w:cs="Palatino Linotype"/>
          <w:i/>
          <w:sz w:val="22"/>
          <w:szCs w:val="22"/>
        </w:rPr>
        <w:t>arca enlistados a continuación: ECM0059 ECM0060 ECM0061 ECM0062 ECM0063 ECM0064 ECM0065 ECM0066 ECM0067 ECM0068 ECM0069 ECM0070 ECM0071 avalados por el Instituto Hacendario del Estado de México.” (Sic)</w:t>
      </w:r>
    </w:p>
    <w:p w:rsidR="001D32FF" w:rsidRDefault="001D32FF">
      <w:pPr>
        <w:spacing w:before="120" w:after="120"/>
        <w:ind w:right="-234"/>
        <w:jc w:val="both"/>
      </w:pPr>
    </w:p>
    <w:p w:rsidR="001D32FF" w:rsidRDefault="001607BB">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través del Director General de Administración hizo del conocimiento de la persona solicitante lo siguiente:</w:t>
      </w:r>
    </w:p>
    <w:p w:rsidR="001D32FF" w:rsidRDefault="001607BB">
      <w:pPr>
        <w:spacing w:after="16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“…Con fundamento en lo que versa en los artículos 116 de la Ley General de Transparencia y Acceso a la Información Pública; 6 de la Ley de Protecci</w:t>
      </w:r>
      <w:r>
        <w:rPr>
          <w:rFonts w:ascii="Palatino Linotype" w:eastAsia="Palatino Linotype" w:hAnsi="Palatino Linotype" w:cs="Palatino Linotype"/>
          <w:i/>
          <w:sz w:val="22"/>
          <w:szCs w:val="22"/>
        </w:rPr>
        <w:t xml:space="preserve">ón de Datos Personales en Posesión de Sujetos Obligados del Estado de México y Municipios, ampara al incitado a reservarse el derecho a difundir montos de percepciones económicas, así mismo, </w:t>
      </w:r>
      <w:r>
        <w:rPr>
          <w:rFonts w:ascii="Palatino Linotype" w:eastAsia="Palatino Linotype" w:hAnsi="Palatino Linotype" w:cs="Palatino Linotype"/>
          <w:b/>
          <w:i/>
          <w:sz w:val="22"/>
          <w:szCs w:val="22"/>
          <w:u w:val="single"/>
        </w:rPr>
        <w:t>el estándar de competencia de marca al que alude, no tiene relaci</w:t>
      </w:r>
      <w:r>
        <w:rPr>
          <w:rFonts w:ascii="Palatino Linotype" w:eastAsia="Palatino Linotype" w:hAnsi="Palatino Linotype" w:cs="Palatino Linotype"/>
          <w:b/>
          <w:i/>
          <w:sz w:val="22"/>
          <w:szCs w:val="22"/>
          <w:u w:val="single"/>
        </w:rPr>
        <w:t>ón al requisito que la Ley Orgánica Municipal del Estado de México solicita para desempeñar determinados cargos</w:t>
      </w:r>
      <w:r>
        <w:rPr>
          <w:rFonts w:ascii="Palatino Linotype" w:eastAsia="Palatino Linotype" w:hAnsi="Palatino Linotype" w:cs="Palatino Linotype"/>
          <w:i/>
          <w:sz w:val="22"/>
          <w:szCs w:val="22"/>
        </w:rPr>
        <w:t>. Quedo atento a sus dudas y aclaraciones…” (Sic)</w:t>
      </w:r>
    </w:p>
    <w:p w:rsidR="001D32FF" w:rsidRDefault="001607BB">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Conocida la respuesta por la persona solicitante, al no estar conforme con los términos de la m</w:t>
      </w:r>
      <w:r>
        <w:rPr>
          <w:rFonts w:ascii="Palatino Linotype" w:eastAsia="Palatino Linotype" w:hAnsi="Palatino Linotype" w:cs="Palatino Linotype"/>
        </w:rPr>
        <w:t xml:space="preserve">isma, interpuso el recurso de revisión que nos ocupa, mediante el cual señaló como acto impugnado: </w:t>
      </w:r>
      <w:r>
        <w:rPr>
          <w:rFonts w:ascii="Palatino Linotype" w:eastAsia="Palatino Linotype" w:hAnsi="Palatino Linotype" w:cs="Palatino Linotype"/>
          <w:i/>
          <w:sz w:val="22"/>
          <w:szCs w:val="22"/>
        </w:rPr>
        <w:t xml:space="preserve">“no entrego la respuesta solicitada, </w:t>
      </w:r>
      <w:r>
        <w:rPr>
          <w:rFonts w:ascii="Palatino Linotype" w:eastAsia="Palatino Linotype" w:hAnsi="Palatino Linotype" w:cs="Palatino Linotype"/>
          <w:i/>
          <w:sz w:val="22"/>
          <w:szCs w:val="22"/>
          <w:u w:val="single"/>
        </w:rPr>
        <w:t>e</w:t>
      </w:r>
      <w:r>
        <w:rPr>
          <w:rFonts w:ascii="Palatino Linotype" w:eastAsia="Palatino Linotype" w:hAnsi="Palatino Linotype" w:cs="Palatino Linotype"/>
          <w:b/>
          <w:i/>
          <w:sz w:val="22"/>
          <w:szCs w:val="22"/>
          <w:u w:val="single"/>
        </w:rPr>
        <w:t xml:space="preserve">n su respuesta indica que el proceso de </w:t>
      </w:r>
      <w:proofErr w:type="spellStart"/>
      <w:r>
        <w:rPr>
          <w:rFonts w:ascii="Palatino Linotype" w:eastAsia="Palatino Linotype" w:hAnsi="Palatino Linotype" w:cs="Palatino Linotype"/>
          <w:b/>
          <w:i/>
          <w:sz w:val="22"/>
          <w:szCs w:val="22"/>
          <w:u w:val="single"/>
        </w:rPr>
        <w:t>certificacion</w:t>
      </w:r>
      <w:proofErr w:type="spellEnd"/>
      <w:r>
        <w:rPr>
          <w:rFonts w:ascii="Palatino Linotype" w:eastAsia="Palatino Linotype" w:hAnsi="Palatino Linotype" w:cs="Palatino Linotype"/>
          <w:b/>
          <w:i/>
          <w:sz w:val="22"/>
          <w:szCs w:val="22"/>
          <w:u w:val="single"/>
        </w:rPr>
        <w:t xml:space="preserve"> </w:t>
      </w:r>
      <w:proofErr w:type="spellStart"/>
      <w:r>
        <w:rPr>
          <w:rFonts w:ascii="Palatino Linotype" w:eastAsia="Palatino Linotype" w:hAnsi="Palatino Linotype" w:cs="Palatino Linotype"/>
          <w:b/>
          <w:i/>
          <w:sz w:val="22"/>
          <w:szCs w:val="22"/>
          <w:u w:val="single"/>
        </w:rPr>
        <w:t>esta</w:t>
      </w:r>
      <w:proofErr w:type="spellEnd"/>
      <w:r>
        <w:rPr>
          <w:rFonts w:ascii="Palatino Linotype" w:eastAsia="Palatino Linotype" w:hAnsi="Palatino Linotype" w:cs="Palatino Linotype"/>
          <w:b/>
          <w:i/>
          <w:sz w:val="22"/>
          <w:szCs w:val="22"/>
          <w:u w:val="single"/>
        </w:rPr>
        <w:t xml:space="preserve"> en </w:t>
      </w:r>
      <w:proofErr w:type="spellStart"/>
      <w:r>
        <w:rPr>
          <w:rFonts w:ascii="Palatino Linotype" w:eastAsia="Palatino Linotype" w:hAnsi="Palatino Linotype" w:cs="Palatino Linotype"/>
          <w:b/>
          <w:i/>
          <w:sz w:val="22"/>
          <w:szCs w:val="22"/>
          <w:u w:val="single"/>
        </w:rPr>
        <w:t>tramite</w:t>
      </w:r>
      <w:proofErr w:type="spellEnd"/>
      <w:r>
        <w:rPr>
          <w:rFonts w:ascii="Palatino Linotype" w:eastAsia="Palatino Linotype" w:hAnsi="Palatino Linotype" w:cs="Palatino Linotype"/>
          <w:i/>
          <w:sz w:val="22"/>
          <w:szCs w:val="22"/>
          <w:u w:val="single"/>
        </w:rPr>
        <w:t xml:space="preserve"> pero </w:t>
      </w:r>
      <w:r>
        <w:rPr>
          <w:rFonts w:ascii="Palatino Linotype" w:eastAsia="Palatino Linotype" w:hAnsi="Palatino Linotype" w:cs="Palatino Linotype"/>
          <w:b/>
          <w:i/>
          <w:sz w:val="22"/>
          <w:szCs w:val="22"/>
          <w:u w:val="single"/>
        </w:rPr>
        <w:t xml:space="preserve">no entrega pruebas del proceso de </w:t>
      </w:r>
      <w:proofErr w:type="spellStart"/>
      <w:r>
        <w:rPr>
          <w:rFonts w:ascii="Palatino Linotype" w:eastAsia="Palatino Linotype" w:hAnsi="Palatino Linotype" w:cs="Palatino Linotype"/>
          <w:b/>
          <w:i/>
          <w:sz w:val="22"/>
          <w:szCs w:val="22"/>
          <w:u w:val="single"/>
        </w:rPr>
        <w:t>certificac</w:t>
      </w:r>
      <w:r>
        <w:rPr>
          <w:rFonts w:ascii="Palatino Linotype" w:eastAsia="Palatino Linotype" w:hAnsi="Palatino Linotype" w:cs="Palatino Linotype"/>
          <w:b/>
          <w:i/>
          <w:sz w:val="22"/>
          <w:szCs w:val="22"/>
          <w:u w:val="single"/>
        </w:rPr>
        <w:t>ion</w:t>
      </w:r>
      <w:proofErr w:type="spellEnd"/>
      <w:r>
        <w:rPr>
          <w:rFonts w:ascii="Palatino Linotype" w:eastAsia="Palatino Linotype" w:hAnsi="Palatino Linotype" w:cs="Palatino Linotype"/>
          <w:b/>
          <w:i/>
          <w:u w:val="single"/>
        </w:rPr>
        <w:t>.”</w:t>
      </w:r>
      <w:r>
        <w:rPr>
          <w:rFonts w:ascii="Palatino Linotype" w:eastAsia="Palatino Linotype" w:hAnsi="Palatino Linotype" w:cs="Palatino Linotype"/>
        </w:rPr>
        <w:t xml:space="preserve"> </w:t>
      </w:r>
    </w:p>
    <w:p w:rsidR="001D32FF" w:rsidRDefault="001607BB">
      <w:pPr>
        <w:spacing w:after="16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atentos a la inconformidad planteada resulta necesario señalar que </w:t>
      </w:r>
      <w:r>
        <w:rPr>
          <w:rFonts w:ascii="Palatino Linotype" w:eastAsia="Palatino Linotype" w:hAnsi="Palatino Linotype" w:cs="Palatino Linotype"/>
          <w:b/>
        </w:rPr>
        <w:t xml:space="preserve">de la respuesta proporcionada </w:t>
      </w:r>
      <w:r>
        <w:rPr>
          <w:rFonts w:ascii="Palatino Linotype" w:eastAsia="Palatino Linotype" w:hAnsi="Palatino Linotype" w:cs="Palatino Linotype"/>
          <w:b/>
          <w:u w:val="single"/>
        </w:rPr>
        <w:t>no se advierte que el Sujeto Obligado hubiera informado que el proceso de certificación está en trámite</w:t>
      </w:r>
      <w:r>
        <w:rPr>
          <w:rFonts w:ascii="Palatino Linotype" w:eastAsia="Palatino Linotype" w:hAnsi="Palatino Linotype" w:cs="Palatino Linotype"/>
        </w:rPr>
        <w:t xml:space="preserve">, pues contrario a lo aducido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que </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estándar de competencia de marca al que alude, no tiene relación al requisito que la Ley Orgánica Municipal del Estado de México</w:t>
      </w:r>
      <w:r>
        <w:rPr>
          <w:rFonts w:ascii="Palatino Linotype" w:eastAsia="Palatino Linotype" w:hAnsi="Palatino Linotype" w:cs="Palatino Linotype"/>
          <w:i/>
          <w:sz w:val="22"/>
          <w:szCs w:val="22"/>
        </w:rPr>
        <w:t xml:space="preserve"> solicita para desempeñar determinados cargos. Quedo a</w:t>
      </w:r>
      <w:r>
        <w:rPr>
          <w:rFonts w:ascii="Palatino Linotype" w:eastAsia="Palatino Linotype" w:hAnsi="Palatino Linotype" w:cs="Palatino Linotype"/>
          <w:i/>
          <w:sz w:val="22"/>
          <w:szCs w:val="22"/>
        </w:rPr>
        <w:t>tento a sus dudas y aclaraciones…” (Sic)</w:t>
      </w:r>
      <w:r>
        <w:rPr>
          <w:rFonts w:ascii="Palatino Linotype" w:eastAsia="Palatino Linotype" w:hAnsi="Palatino Linotype" w:cs="Palatino Linotype"/>
          <w:b/>
        </w:rPr>
        <w:t>.</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virtud, si bien las razones o motivos de inconformidad se encuentran fundados para la procedencia de la interposición del recurso de revisión, al encuadrar en la hipótesis normativa de la fracción V del artí</w:t>
      </w:r>
      <w:r>
        <w:rPr>
          <w:rFonts w:ascii="Palatino Linotype" w:eastAsia="Palatino Linotype" w:hAnsi="Palatino Linotype" w:cs="Palatino Linotype"/>
        </w:rPr>
        <w:t xml:space="preserve">culo 179 de la Ley de Transparencia Local, toda vez que se impugna la entrega de la información incompleta; también lo es que los mismos resultan inoperantes en el caso particular, toda vez que como quedó acreditado en párrafos anteriores, de la respuesta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se advierte pronunciamiento alguno mediante el cual refiera </w:t>
      </w:r>
      <w:r>
        <w:rPr>
          <w:rFonts w:ascii="Palatino Linotype" w:eastAsia="Palatino Linotype" w:hAnsi="Palatino Linotype" w:cs="Palatino Linotype"/>
          <w:b/>
        </w:rPr>
        <w:lastRenderedPageBreak/>
        <w:t xml:space="preserve">que </w:t>
      </w:r>
      <w:r>
        <w:rPr>
          <w:rFonts w:ascii="Palatino Linotype" w:eastAsia="Palatino Linotype" w:hAnsi="Palatino Linotype" w:cs="Palatino Linotype"/>
          <w:b/>
          <w:u w:val="single"/>
        </w:rPr>
        <w:t>el proceso de certificación está en proceso,</w:t>
      </w:r>
      <w:r>
        <w:rPr>
          <w:rFonts w:ascii="Palatino Linotype" w:eastAsia="Palatino Linotype" w:hAnsi="Palatino Linotype" w:cs="Palatino Linotype"/>
          <w:b/>
        </w:rPr>
        <w:t xml:space="preserve"> </w:t>
      </w:r>
      <w:r>
        <w:rPr>
          <w:rFonts w:ascii="Palatino Linotype" w:eastAsia="Palatino Linotype" w:hAnsi="Palatino Linotype" w:cs="Palatino Linotype"/>
        </w:rPr>
        <w:t>como pretende hacerlo ver la parte Recurrente, sino que señaló que</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el estándar de competencia de marca aludido, no tiene re</w:t>
      </w:r>
      <w:r>
        <w:rPr>
          <w:rFonts w:ascii="Palatino Linotype" w:eastAsia="Palatino Linotype" w:hAnsi="Palatino Linotype" w:cs="Palatino Linotype"/>
          <w:b/>
          <w:u w:val="single"/>
        </w:rPr>
        <w:t>lación con los requisitos que la Ley Orgánica Municipal del Estado de México solicita para desempeñar determinados cargos.</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podemos llegar a la conclusión de la inexistencia del acto reclamado, al acreditarse con las constancias que i</w:t>
      </w:r>
      <w:r>
        <w:rPr>
          <w:rFonts w:ascii="Palatino Linotype" w:eastAsia="Palatino Linotype" w:hAnsi="Palatino Linotype" w:cs="Palatino Linotype"/>
        </w:rPr>
        <w:t xml:space="preserve">ntegran el expediente,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ningún momento refirió o proporcionó indicios respecto de que las certificaciones se encontraran en proceso, quedando sin materia el presente asunto. </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en estricto derecho, la alegación de l</w:t>
      </w:r>
      <w:r>
        <w:rPr>
          <w:rFonts w:ascii="Palatino Linotype" w:eastAsia="Palatino Linotype" w:hAnsi="Palatino Linotype" w:cs="Palatino Linotype"/>
        </w:rPr>
        <w:t xml:space="preserve">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limita a realizar manifestaciones sin sustento, las cuales han quedado demostradas, por ello se califican de inoperantes; quedando sin materia el presente recurso de revisión, resultando necesario traer a colación la Tesis Aislada con</w:t>
      </w:r>
      <w:r>
        <w:rPr>
          <w:rFonts w:ascii="Palatino Linotype" w:eastAsia="Palatino Linotype" w:hAnsi="Palatino Linotype" w:cs="Palatino Linotype"/>
        </w:rPr>
        <w:t xml:space="preserve"> número de registro 2017549, de rubro y texto siguiente:</w:t>
      </w:r>
    </w:p>
    <w:p w:rsidR="001D32FF" w:rsidRDefault="001607BB">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INEXISTENCIA DE LOS ACTOS RECLAMADOS EN EL AMPARO. NO ES UN MOTIVO MANIFIESTO E INDUDABLE DE IMPROCEDENCIA QUE DÉ LUGAR AL DESECHAMIENTO DE LA DEMANDA, SINO QUE CONSTITUYE UNA CAUSAL DE SOBRESEIMIEN</w:t>
      </w:r>
      <w:r>
        <w:rPr>
          <w:rFonts w:ascii="Palatino Linotype" w:eastAsia="Palatino Linotype" w:hAnsi="Palatino Linotype" w:cs="Palatino Linotype"/>
          <w:b/>
          <w:i/>
          <w:color w:val="000000"/>
          <w:sz w:val="22"/>
          <w:szCs w:val="22"/>
        </w:rPr>
        <w:t>TO EN EL JUICIO</w:t>
      </w:r>
      <w:r>
        <w:rPr>
          <w:rFonts w:ascii="Palatino Linotype" w:eastAsia="Palatino Linotype" w:hAnsi="Palatino Linotype" w:cs="Palatino Linotype"/>
          <w:i/>
          <w:color w:val="000000"/>
          <w:sz w:val="22"/>
          <w:szCs w:val="22"/>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Pr>
          <w:rFonts w:ascii="Palatino Linotype" w:eastAsia="Palatino Linotype" w:hAnsi="Palatino Linotype" w:cs="Palatino Linotype"/>
          <w:i/>
          <w:color w:val="000000"/>
          <w:sz w:val="22"/>
          <w:szCs w:val="22"/>
        </w:rPr>
        <w:t>des</w:t>
      </w:r>
      <w:r>
        <w:rPr>
          <w:rFonts w:ascii="Palatino Linotype" w:eastAsia="Palatino Linotype" w:hAnsi="Palatino Linotype" w:cs="Palatino Linotype"/>
          <w:i/>
          <w:color w:val="000000"/>
          <w:sz w:val="22"/>
          <w:szCs w:val="22"/>
        </w:rPr>
        <w:t>echamiento</w:t>
      </w:r>
      <w:proofErr w:type="spellEnd"/>
      <w:r>
        <w:rPr>
          <w:rFonts w:ascii="Palatino Linotype" w:eastAsia="Palatino Linotype" w:hAnsi="Palatino Linotype" w:cs="Palatino Linotype"/>
          <w:i/>
          <w:color w:val="000000"/>
          <w:sz w:val="22"/>
          <w:szCs w:val="22"/>
        </w:rPr>
        <w:t xml:space="preserve"> de la demanda con sustento en el diverso precepto 113 de ese ordenamiento, pues el pronunciamiento relativo necesariamente debe efectuarse hasta la sentencia, al no haberse demostrado su existencia en la audiencia constitucional.”</w:t>
      </w:r>
    </w:p>
    <w:p w:rsidR="001D32FF" w:rsidRDefault="001607B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cual consti</w:t>
      </w:r>
      <w:r>
        <w:rPr>
          <w:rFonts w:ascii="Palatino Linotype" w:eastAsia="Palatino Linotype" w:hAnsi="Palatino Linotype" w:cs="Palatino Linotype"/>
          <w:color w:val="000000"/>
        </w:rPr>
        <w:t xml:space="preserve">tuye un criterio orientador para este Organismo Garante, que pone en aptitudes de poder sobreseer el presente recurso de revisión, lo que en el caso </w:t>
      </w:r>
      <w:r>
        <w:rPr>
          <w:rFonts w:ascii="Palatino Linotype" w:eastAsia="Palatino Linotype" w:hAnsi="Palatino Linotype" w:cs="Palatino Linotype"/>
          <w:color w:val="000000"/>
        </w:rPr>
        <w:lastRenderedPageBreak/>
        <w:t>particular, se tiene por acreditada la inexistencia del acto reclamado, quedando sin materia el presente as</w:t>
      </w:r>
      <w:r>
        <w:rPr>
          <w:rFonts w:ascii="Palatino Linotype" w:eastAsia="Palatino Linotype" w:hAnsi="Palatino Linotype" w:cs="Palatino Linotype"/>
          <w:color w:val="000000"/>
        </w:rPr>
        <w:t>unto.</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Derivado de lo expuesto, es necesario hacer del conocimiento de la persona solicitante que, de la simple lectura a su Recurso de Revisión, </w:t>
      </w:r>
      <w:r>
        <w:rPr>
          <w:rFonts w:ascii="Palatino Linotype" w:eastAsia="Palatino Linotype" w:hAnsi="Palatino Linotype" w:cs="Palatino Linotype"/>
        </w:rPr>
        <w:t>se desprende que</w:t>
      </w:r>
      <w:r>
        <w:rPr>
          <w:rFonts w:ascii="Palatino Linotype" w:eastAsia="Palatino Linotype" w:hAnsi="Palatino Linotype" w:cs="Palatino Linotype"/>
          <w:b/>
          <w:u w:val="single"/>
        </w:rPr>
        <w:t xml:space="preserve"> las razones o motivos de inconformidad hechas valer, no corresponden con la respuesta del Sujeto Obligado para atender su requerimiento de información,</w:t>
      </w:r>
      <w:r>
        <w:rPr>
          <w:rFonts w:ascii="Palatino Linotype" w:eastAsia="Palatino Linotype" w:hAnsi="Palatino Linotype" w:cs="Palatino Linotype"/>
        </w:rPr>
        <w:t xml:space="preserve"> por lo tanto, es claro que el Recurso de Revisión que nos ocupa, no actualiza ninguno de los supuestos </w:t>
      </w:r>
      <w:r>
        <w:rPr>
          <w:rFonts w:ascii="Palatino Linotype" w:eastAsia="Palatino Linotype" w:hAnsi="Palatino Linotype" w:cs="Palatino Linotype"/>
        </w:rPr>
        <w:t>previstos en la Ley de la materia conforme a las actuaciones que obran en el expediente electrónico formado en el Sistema de Acceso a la Información Mexiquense, SAIMEX.</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tales circunstancias, este Instituto se encuentra impedido a entrar al estudio de f</w:t>
      </w:r>
      <w:r>
        <w:rPr>
          <w:rFonts w:ascii="Palatino Linotype" w:eastAsia="Palatino Linotype" w:hAnsi="Palatino Linotype" w:cs="Palatino Linotype"/>
        </w:rPr>
        <w:t xml:space="preserve">ondo, en virtud que la particular no manifestó razones o motivos de inconformidad, relacionados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a fin de atender su solicitud de acceso.</w:t>
      </w:r>
    </w:p>
    <w:p w:rsidR="001D32FF" w:rsidRDefault="001607BB">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Por lo tanto, en virtud de  los argumentos expuestos con anterioridad así como de</w:t>
      </w:r>
      <w:r>
        <w:rPr>
          <w:rFonts w:ascii="Palatino Linotype" w:eastAsia="Palatino Linotype" w:hAnsi="Palatino Linotype" w:cs="Palatino Linotype"/>
        </w:rPr>
        <w:t xml:space="preserve">l análisis realizado a las constancias que obran en el expediente </w:t>
      </w:r>
      <w:proofErr w:type="spellStart"/>
      <w:r>
        <w:rPr>
          <w:rFonts w:ascii="Palatino Linotype" w:eastAsia="Palatino Linotype" w:hAnsi="Palatino Linotype" w:cs="Palatino Linotype"/>
        </w:rPr>
        <w:t>electrónico,toda</w:t>
      </w:r>
      <w:proofErr w:type="spellEnd"/>
      <w:r>
        <w:rPr>
          <w:rFonts w:ascii="Palatino Linotype" w:eastAsia="Palatino Linotype" w:hAnsi="Palatino Linotype" w:cs="Palatino Linotype"/>
        </w:rPr>
        <w:t xml:space="preserve"> vez que no se actualizó algún supuesto de procedencia</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se determina </w:t>
      </w:r>
      <w:r>
        <w:rPr>
          <w:rFonts w:ascii="Palatino Linotype" w:eastAsia="Palatino Linotype" w:hAnsi="Palatino Linotype" w:cs="Palatino Linotype"/>
          <w:i/>
        </w:rPr>
        <w:t xml:space="preserve">sobreseer </w:t>
      </w:r>
      <w:r>
        <w:rPr>
          <w:rFonts w:ascii="Palatino Linotype" w:eastAsia="Palatino Linotype" w:hAnsi="Palatino Linotype" w:cs="Palatino Linotype"/>
        </w:rPr>
        <w:t>el presente recurso de revisión por actualizarse la causal de sobreseimiento prevista en la fra</w:t>
      </w:r>
      <w:r>
        <w:rPr>
          <w:rFonts w:ascii="Palatino Linotype" w:eastAsia="Palatino Linotype" w:hAnsi="Palatino Linotype" w:cs="Palatino Linotype"/>
        </w:rPr>
        <w:t xml:space="preserve">cción IV del artículo 192 de la Ley de Transparencia y Acceso a la Información Pública del Estado de México y Municipios en su correlación con la causal de improcedencia contemplada en la fracción III del artículo 191 del ordenamiento legal en cita, </w:t>
      </w:r>
      <w:r>
        <w:rPr>
          <w:rFonts w:ascii="Palatino Linotype" w:eastAsia="Palatino Linotype" w:hAnsi="Palatino Linotype" w:cs="Palatino Linotype"/>
          <w:sz w:val="22"/>
          <w:szCs w:val="22"/>
        </w:rPr>
        <w:t>l</w:t>
      </w:r>
      <w:r>
        <w:rPr>
          <w:rFonts w:ascii="Palatino Linotype" w:eastAsia="Palatino Linotype" w:hAnsi="Palatino Linotype" w:cs="Palatino Linotype"/>
        </w:rPr>
        <w:t>os que se transcriben a continuación, para un mejor entendimiento:</w:t>
      </w:r>
    </w:p>
    <w:p w:rsidR="001D32FF" w:rsidRDefault="001607BB">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191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será </w:t>
      </w:r>
      <w:r>
        <w:rPr>
          <w:rFonts w:ascii="Palatino Linotype" w:eastAsia="Palatino Linotype" w:hAnsi="Palatino Linotype" w:cs="Palatino Linotype"/>
          <w:i/>
          <w:sz w:val="22"/>
          <w:szCs w:val="22"/>
        </w:rPr>
        <w:t xml:space="preserve">desechado por </w:t>
      </w:r>
      <w:r>
        <w:rPr>
          <w:rFonts w:ascii="Palatino Linotype" w:eastAsia="Palatino Linotype" w:hAnsi="Palatino Linotype" w:cs="Palatino Linotype"/>
          <w:b/>
          <w:i/>
          <w:sz w:val="22"/>
          <w:szCs w:val="22"/>
        </w:rPr>
        <w:t>improcedente cuando</w:t>
      </w:r>
      <w:r>
        <w:rPr>
          <w:rFonts w:ascii="Palatino Linotype" w:eastAsia="Palatino Linotype" w:hAnsi="Palatino Linotype" w:cs="Palatino Linotype"/>
          <w:i/>
          <w:sz w:val="22"/>
          <w:szCs w:val="22"/>
        </w:rPr>
        <w:t>:</w:t>
      </w:r>
    </w:p>
    <w:p w:rsidR="001D32FF" w:rsidRDefault="001607BB">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D32FF" w:rsidRDefault="001607BB">
      <w:pPr>
        <w:tabs>
          <w:tab w:val="left" w:pos="7938"/>
        </w:tabs>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No actualice alguno de los supuestos previstos en la presente Ley</w:t>
      </w:r>
      <w:r>
        <w:rPr>
          <w:rFonts w:ascii="Palatino Linotype" w:eastAsia="Palatino Linotype" w:hAnsi="Palatino Linotype" w:cs="Palatino Linotype"/>
          <w:b/>
          <w:i/>
          <w:sz w:val="22"/>
          <w:szCs w:val="22"/>
        </w:rPr>
        <w:t>;</w:t>
      </w:r>
    </w:p>
    <w:p w:rsidR="001D32FF" w:rsidRDefault="001607BB">
      <w:pPr>
        <w:tabs>
          <w:tab w:val="left" w:pos="7938"/>
        </w:tabs>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1D32FF" w:rsidRDefault="001607BB">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192.</w:t>
      </w:r>
      <w:r>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1D32FF" w:rsidRDefault="001607BB">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D32FF" w:rsidRDefault="001607BB">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Admitido el recurso de revisión, </w:t>
      </w:r>
      <w:r>
        <w:rPr>
          <w:rFonts w:ascii="Palatino Linotype" w:eastAsia="Palatino Linotype" w:hAnsi="Palatino Linotype" w:cs="Palatino Linotype"/>
          <w:b/>
          <w:i/>
          <w:sz w:val="22"/>
          <w:szCs w:val="22"/>
        </w:rPr>
        <w:t>aparezca alguna causal de improcedencia</w:t>
      </w:r>
      <w:r>
        <w:rPr>
          <w:rFonts w:ascii="Palatino Linotype" w:eastAsia="Palatino Linotype" w:hAnsi="Palatino Linotype" w:cs="Palatino Linotype"/>
          <w:i/>
          <w:sz w:val="22"/>
          <w:szCs w:val="22"/>
        </w:rPr>
        <w:t xml:space="preserve"> en los términos de la presente Ley. “</w:t>
      </w:r>
    </w:p>
    <w:p w:rsidR="001D32FF" w:rsidRDefault="001607BB">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w:t>
      </w:r>
      <w:r>
        <w:rPr>
          <w:rFonts w:ascii="Palatino Linotype" w:eastAsia="Palatino Linotype" w:hAnsi="Palatino Linotype" w:cs="Palatino Linotype"/>
          <w:i/>
        </w:rPr>
        <w:t>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w:t>
      </w:r>
      <w:r>
        <w:rPr>
          <w:rFonts w:ascii="Palatino Linotype" w:eastAsia="Palatino Linotype" w:hAnsi="Palatino Linotype" w:cs="Palatino Linotype"/>
        </w:rPr>
        <w:t xml:space="preserve"> del sobreseimiento consisten en dar por concluido el recurso administrativo sin entrar al estudio de fondo del asunto de que se trate; lo anterior con apoyo en el criterio del Poder Judicial de la Federación con rubro:</w:t>
      </w:r>
    </w:p>
    <w:p w:rsidR="001D32FF" w:rsidRDefault="001607BB">
      <w:pPr>
        <w:spacing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w:t>
      </w:r>
      <w:r>
        <w:rPr>
          <w:rFonts w:ascii="Palatino Linotype" w:eastAsia="Palatino Linotype" w:hAnsi="Palatino Linotype" w:cs="Palatino Linotype"/>
          <w:b/>
          <w:i/>
          <w:sz w:val="22"/>
          <w:szCs w:val="22"/>
        </w:rPr>
        <w:t>L ESTUDIO DE LAS CUESTIONES DE FONDO</w:t>
      </w:r>
    </w:p>
    <w:p w:rsidR="001D32FF" w:rsidRDefault="001607B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1D32FF" w:rsidRDefault="001607B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w:t>
      </w:r>
      <w:r>
        <w:rPr>
          <w:rFonts w:ascii="Palatino Linotype" w:eastAsia="Palatino Linotype" w:hAnsi="Palatino Linotype" w:cs="Palatino Linotype"/>
          <w:i/>
          <w:sz w:val="22"/>
          <w:szCs w:val="22"/>
        </w:rPr>
        <w:t>o del juicio.” (Sic)</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w:t>
      </w:r>
      <w:r>
        <w:rPr>
          <w:rFonts w:ascii="Palatino Linotype" w:eastAsia="Palatino Linotype" w:hAnsi="Palatino Linotype" w:cs="Palatino Linotype"/>
        </w:rPr>
        <w:t>alogía, con rubro:</w:t>
      </w:r>
    </w:p>
    <w:p w:rsidR="001D32FF" w:rsidRDefault="001607BB">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“DESECHAMIENTO O SOBRESEIMIENTO EN EL JUICIO DE AMPARO. NO IMPLICA DENEGACIÓN DE JUSTICIA NI GENERA INSEGURIDAD JURÍDICA”</w:t>
      </w:r>
    </w:p>
    <w:p w:rsidR="001D32FF" w:rsidRDefault="001607B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w:t>
      </w:r>
      <w:r>
        <w:rPr>
          <w:rFonts w:ascii="Palatino Linotype" w:eastAsia="Palatino Linotype" w:hAnsi="Palatino Linotype" w:cs="Palatino Linotype"/>
          <w:i/>
          <w:sz w:val="22"/>
          <w:szCs w:val="22"/>
        </w:rPr>
        <w:t xml:space="preserve">ticia ni genera inseguridad jurídica, ya que la obligación de los tribunales no es tramitar y resolver en el fondo todos los asuntos sometidos a su consideración en forma favorable a los intereses del solicitante, sino que se circunscribe a la posibilidad </w:t>
      </w:r>
      <w:r>
        <w:rPr>
          <w:rFonts w:ascii="Palatino Linotype" w:eastAsia="Palatino Linotype" w:hAnsi="Palatino Linotype" w:cs="Palatino Linotype"/>
          <w:i/>
          <w:sz w:val="22"/>
          <w:szCs w:val="22"/>
        </w:rPr>
        <w:t>que tiene cualquier individuo de acudir ante los órganos jurisdiccionales, con su promoción (demanda), a la cual debe darse el trámite acorde a las formalidades rectoras del procedimiento respectivo, dentro de las cuales el legislador previó las causales d</w:t>
      </w:r>
      <w:r>
        <w:rPr>
          <w:rFonts w:ascii="Palatino Linotype" w:eastAsia="Palatino Linotype" w:hAnsi="Palatino Linotype" w:cs="Palatino Linotype"/>
          <w:i/>
          <w:sz w:val="22"/>
          <w:szCs w:val="22"/>
        </w:rPr>
        <w:t>e improcedencia y sobreseimiento. Así, cuando el juzgador o tribunal de amparo se funda en una de ellas para desechar o sobreseer en un juicio, imparte justicia, puesto que el acceso a ella no se ve menoscabado, sino que es efectivo, ni se deja en estado d</w:t>
      </w:r>
      <w:r>
        <w:rPr>
          <w:rFonts w:ascii="Palatino Linotype" w:eastAsia="Palatino Linotype" w:hAnsi="Palatino Linotype" w:cs="Palatino Linotype"/>
          <w:i/>
          <w:sz w:val="22"/>
          <w:szCs w:val="22"/>
        </w:rPr>
        <w:t xml:space="preserve">e indefensión al </w:t>
      </w:r>
      <w:proofErr w:type="spellStart"/>
      <w:r>
        <w:rPr>
          <w:rFonts w:ascii="Palatino Linotype" w:eastAsia="Palatino Linotype" w:hAnsi="Palatino Linotype" w:cs="Palatino Linotype"/>
          <w:i/>
          <w:sz w:val="22"/>
          <w:szCs w:val="22"/>
        </w:rPr>
        <w:t>promovente</w:t>
      </w:r>
      <w:proofErr w:type="spellEnd"/>
      <w:r>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w:t>
      </w:r>
      <w:r>
        <w:rPr>
          <w:rFonts w:ascii="Palatino Linotype" w:eastAsia="Palatino Linotype" w:hAnsi="Palatino Linotype" w:cs="Palatino Linotype"/>
          <w:i/>
          <w:sz w:val="22"/>
          <w:szCs w:val="22"/>
        </w:rPr>
        <w:t>cción, diciendo así el derecho y permitiendo que impere el orden jurídico.” (Sic)</w:t>
      </w:r>
      <w:r>
        <w:rPr>
          <w:rFonts w:ascii="Palatino Linotype" w:eastAsia="Palatino Linotype" w:hAnsi="Palatino Linotype" w:cs="Palatino Linotype"/>
        </w:rPr>
        <w:tab/>
      </w:r>
    </w:p>
    <w:p w:rsidR="001D32FF" w:rsidRDefault="001607BB">
      <w:pPr>
        <w:spacing w:before="240" w:after="240" w:line="360" w:lineRule="auto"/>
        <w:jc w:val="both"/>
        <w:rPr>
          <w:rFonts w:ascii="Palatino Linotype" w:eastAsia="Palatino Linotype" w:hAnsi="Palatino Linotype" w:cs="Palatino Linotype"/>
        </w:rPr>
      </w:pPr>
      <w:bookmarkStart w:id="5" w:name="_heading=h.gjdgxs" w:colFirst="0" w:colLast="0"/>
      <w:bookmarkEnd w:id="5"/>
      <w:r>
        <w:rPr>
          <w:rFonts w:ascii="Palatino Linotype" w:eastAsia="Palatino Linotype" w:hAnsi="Palatino Linotype" w:cs="Palatino Linotype"/>
        </w:rPr>
        <w:t xml:space="preserve">Finalmente, se dejan a salvo los derechos de la particular a fin de que de considerarlo pertinente, interponga una nueva solicitud de acceso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fin de solicitar la información de su interés. </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el recu</w:t>
      </w:r>
      <w:r>
        <w:rPr>
          <w:rFonts w:ascii="Palatino Linotype" w:eastAsia="Palatino Linotype" w:hAnsi="Palatino Linotype" w:cs="Palatino Linotype"/>
        </w:rPr>
        <w:t xml:space="preserve">rso de revisión </w:t>
      </w:r>
      <w:r>
        <w:rPr>
          <w:rFonts w:ascii="Palatino Linotype" w:eastAsia="Palatino Linotype" w:hAnsi="Palatino Linotype" w:cs="Palatino Linotype"/>
          <w:b/>
        </w:rPr>
        <w:t>03759/INFOEM/IP/RR/2022</w:t>
      </w:r>
      <w:r>
        <w:rPr>
          <w:rFonts w:ascii="Palatino Linotype" w:eastAsia="Palatino Linotype" w:hAnsi="Palatino Linotype" w:cs="Palatino Linotype"/>
        </w:rPr>
        <w:t>, que ha sido materia del presente fallo.</w:t>
      </w:r>
    </w:p>
    <w:p w:rsidR="001D32FF" w:rsidRDefault="001607BB">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w:t>
      </w:r>
      <w:r>
        <w:rPr>
          <w:rFonts w:ascii="Palatino Linotype" w:eastAsia="Palatino Linotype" w:hAnsi="Palatino Linotype" w:cs="Palatino Linotype"/>
        </w:rPr>
        <w:t xml:space="preserve">ico; 2, fracción II; 29, 36 fracciones I y II; 176, 178, 181, 185 y 186 </w:t>
      </w:r>
      <w:r>
        <w:rPr>
          <w:rFonts w:ascii="Palatino Linotype" w:eastAsia="Palatino Linotype" w:hAnsi="Palatino Linotype" w:cs="Palatino Linotype"/>
        </w:rPr>
        <w:lastRenderedPageBreak/>
        <w:t>fracción II de la Ley de Transparencia y Acceso a la Información Pública del Estado de México y Municipios, este Pleno:</w:t>
      </w:r>
    </w:p>
    <w:p w:rsidR="001D32FF" w:rsidRDefault="001607B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6" w:name="_heading=h.1fob9te" w:colFirst="0" w:colLast="0"/>
      <w:bookmarkEnd w:id="6"/>
      <w:r>
        <w:rPr>
          <w:rFonts w:ascii="Palatino Linotype" w:eastAsia="Palatino Linotype" w:hAnsi="Palatino Linotype" w:cs="Palatino Linotype"/>
          <w:b/>
        </w:rPr>
        <w:t>III. R E S U E L V E:</w:t>
      </w:r>
    </w:p>
    <w:p w:rsidR="001D32FF" w:rsidRDefault="001607BB">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Se</w:t>
      </w:r>
      <w:r>
        <w:rPr>
          <w:rFonts w:ascii="Palatino Linotype" w:eastAsia="Palatino Linotype" w:hAnsi="Palatino Linotype" w:cs="Palatino Linotype"/>
          <w:b/>
        </w:rPr>
        <w:t xml:space="preserve"> 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 xml:space="preserve">03759/INFOEM/IP/RR/2022, </w:t>
      </w:r>
      <w:r>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vigente en la entidad,</w:t>
      </w:r>
      <w:r>
        <w:rPr>
          <w:rFonts w:ascii="Palatino Linotype" w:eastAsia="Palatino Linotype" w:hAnsi="Palatino Linotype" w:cs="Palatino Linotype"/>
        </w:rPr>
        <w:t xml:space="preserve"> que lo dejó sin materia en términos del Considerando</w:t>
      </w:r>
      <w:r>
        <w:rPr>
          <w:rFonts w:ascii="Palatino Linotype" w:eastAsia="Palatino Linotype" w:hAnsi="Palatino Linotype" w:cs="Palatino Linotype"/>
          <w:b/>
        </w:rPr>
        <w:t xml:space="preserve"> Tercero d</w:t>
      </w:r>
      <w:r>
        <w:rPr>
          <w:rFonts w:ascii="Palatino Linotype" w:eastAsia="Palatino Linotype" w:hAnsi="Palatino Linotype" w:cs="Palatino Linotype"/>
        </w:rPr>
        <w:t>e la presente resolución.</w:t>
      </w:r>
    </w:p>
    <w:p w:rsidR="001D32FF" w:rsidRDefault="001607BB">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su conocimiento.</w:t>
      </w:r>
    </w:p>
    <w:p w:rsidR="001D32FF" w:rsidRDefault="001607B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w:t>
      </w:r>
      <w:r>
        <w:rPr>
          <w:rFonts w:ascii="Palatino Linotype" w:eastAsia="Palatino Linotype" w:hAnsi="Palatino Linotype" w:cs="Palatino Linotype"/>
        </w:rPr>
        <w:t>mparo en los términos de las leyes aplicables.</w:t>
      </w:r>
    </w:p>
    <w:p w:rsidR="001D32FF" w:rsidRDefault="001607B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w:t>
      </w:r>
      <w:r>
        <w:rPr>
          <w:rFonts w:ascii="Palatino Linotype" w:eastAsia="Palatino Linotype" w:hAnsi="Palatino Linotype" w:cs="Palatino Linotype"/>
        </w:rPr>
        <w:t xml:space="preserve">NADOS JOSÉ MARTÍNEZ VILCHIS, MARÍA DEL ROSARIO MEJÍA AYALA, SHARON CRISTINA MORALES MARTÍNEZ, LUIS GUSTAVO PARRA NORIEGA Y GUADALUPE RAMÍREZ PEÑA; EN LA VIGÉSIMO TERCERA SESIÓN ORDINARIA </w:t>
      </w:r>
      <w:r>
        <w:rPr>
          <w:rFonts w:ascii="Palatino Linotype" w:eastAsia="Palatino Linotype" w:hAnsi="Palatino Linotype" w:cs="Palatino Linotype"/>
        </w:rPr>
        <w:lastRenderedPageBreak/>
        <w:t>CELEBRADA EL VEINTIUNO DE JUNIO DE DOS MIL VEINTIDÓS, ANTE EL SECRETA</w:t>
      </w:r>
      <w:r>
        <w:rPr>
          <w:rFonts w:ascii="Palatino Linotype" w:eastAsia="Palatino Linotype" w:hAnsi="Palatino Linotype" w:cs="Palatino Linotype"/>
        </w:rPr>
        <w:t>RIO TÉCNICO DEL PLENO ALEXIS TAPIA RAMÍREZ.</w:t>
      </w:r>
    </w:p>
    <w:p w:rsidR="001D32FF" w:rsidRDefault="001D32FF">
      <w:pPr>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bookmarkStart w:id="7" w:name="_heading=h.3rdcrjn" w:colFirst="0" w:colLast="0"/>
      <w:bookmarkEnd w:id="7"/>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p w:rsidR="001D32FF" w:rsidRDefault="001D32FF">
      <w:pPr>
        <w:spacing w:line="360" w:lineRule="auto"/>
        <w:jc w:val="both"/>
        <w:rPr>
          <w:rFonts w:ascii="Palatino Linotype" w:eastAsia="Palatino Linotype" w:hAnsi="Palatino Linotype" w:cs="Palatino Linotype"/>
        </w:rPr>
      </w:pPr>
    </w:p>
    <w:sectPr w:rsidR="001D32F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607BB">
      <w:r>
        <w:separator/>
      </w:r>
    </w:p>
  </w:endnote>
  <w:endnote w:type="continuationSeparator" w:id="0">
    <w:p w:rsidR="00000000" w:rsidRDefault="001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FF" w:rsidRDefault="001607B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A04087">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A04087">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rsidR="001D32FF" w:rsidRDefault="001D32F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FF" w:rsidRDefault="001607B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A04087">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A04087">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rsidR="001D32FF" w:rsidRDefault="001D32F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607BB">
      <w:r>
        <w:separator/>
      </w:r>
    </w:p>
  </w:footnote>
  <w:footnote w:type="continuationSeparator" w:id="0">
    <w:p w:rsidR="00000000" w:rsidRDefault="00160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FF" w:rsidRDefault="001607BB">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-1080129</wp:posOffset>
          </wp:positionH>
          <wp:positionV relativeFrom="paragraph">
            <wp:posOffset>-488309</wp:posOffset>
          </wp:positionV>
          <wp:extent cx="7809865" cy="10165715"/>
          <wp:effectExtent l="0" t="0" r="0" b="0"/>
          <wp:wrapNone/>
          <wp:docPr id="1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1D32FF">
      <w:tc>
        <w:tcPr>
          <w:tcW w:w="2489" w:type="dxa"/>
          <w:shd w:val="clear" w:color="auto" w:fill="auto"/>
        </w:tcPr>
        <w:p w:rsidR="001D32FF" w:rsidRDefault="00160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1D32FF" w:rsidRDefault="001607B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03759/INFOEM/IP/RR/2022</w:t>
          </w:r>
        </w:p>
      </w:tc>
    </w:tr>
    <w:tr w:rsidR="001D32FF">
      <w:trPr>
        <w:trHeight w:val="228"/>
      </w:trPr>
      <w:tc>
        <w:tcPr>
          <w:tcW w:w="2489" w:type="dxa"/>
          <w:shd w:val="clear" w:color="auto" w:fill="auto"/>
          <w:vAlign w:val="center"/>
        </w:tcPr>
        <w:p w:rsidR="001D32FF" w:rsidRDefault="00160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1D32FF" w:rsidRDefault="001607B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Ocoyoacac</w:t>
          </w:r>
          <w:proofErr w:type="spellEnd"/>
        </w:p>
      </w:tc>
    </w:tr>
    <w:tr w:rsidR="001D32FF">
      <w:tc>
        <w:tcPr>
          <w:tcW w:w="2489" w:type="dxa"/>
          <w:shd w:val="clear" w:color="auto" w:fill="auto"/>
          <w:vAlign w:val="center"/>
        </w:tcPr>
        <w:p w:rsidR="001D32FF" w:rsidRDefault="001607B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1D32FF" w:rsidRDefault="001607B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D32FF" w:rsidRDefault="001607B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2FF" w:rsidRDefault="001607B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-1080134</wp:posOffset>
          </wp:positionH>
          <wp:positionV relativeFrom="paragraph">
            <wp:posOffset>-242569</wp:posOffset>
          </wp:positionV>
          <wp:extent cx="7809865" cy="10165715"/>
          <wp:effectExtent l="0" t="0" r="0" b="0"/>
          <wp:wrapNone/>
          <wp:docPr id="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670" w:type="dxa"/>
      <w:tblInd w:w="3261" w:type="dxa"/>
      <w:tblLayout w:type="fixed"/>
      <w:tblLook w:val="0400" w:firstRow="0" w:lastRow="0" w:firstColumn="0" w:lastColumn="0" w:noHBand="0" w:noVBand="1"/>
    </w:tblPr>
    <w:tblGrid>
      <w:gridCol w:w="2551"/>
      <w:gridCol w:w="3119"/>
    </w:tblGrid>
    <w:tr w:rsidR="001D32FF">
      <w:tc>
        <w:tcPr>
          <w:tcW w:w="2551" w:type="dxa"/>
          <w:shd w:val="clear" w:color="auto" w:fill="auto"/>
          <w:vAlign w:val="center"/>
        </w:tcPr>
        <w:p w:rsidR="001D32FF" w:rsidRDefault="00160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1D32FF" w:rsidRDefault="001607B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03759/INFOEM/IP/RR/2022</w:t>
          </w:r>
        </w:p>
      </w:tc>
    </w:tr>
    <w:tr w:rsidR="001D32FF">
      <w:trPr>
        <w:trHeight w:val="130"/>
      </w:trPr>
      <w:tc>
        <w:tcPr>
          <w:tcW w:w="2551" w:type="dxa"/>
          <w:shd w:val="clear" w:color="auto" w:fill="auto"/>
          <w:vAlign w:val="center"/>
        </w:tcPr>
        <w:p w:rsidR="001D32FF" w:rsidRDefault="00160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1D32FF" w:rsidRDefault="001607BB" w:rsidP="001607BB">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w:t>
          </w:r>
          <w:proofErr w:type="spellEnd"/>
        </w:p>
      </w:tc>
    </w:tr>
    <w:tr w:rsidR="001D32FF">
      <w:trPr>
        <w:trHeight w:val="228"/>
      </w:trPr>
      <w:tc>
        <w:tcPr>
          <w:tcW w:w="2551" w:type="dxa"/>
          <w:shd w:val="clear" w:color="auto" w:fill="auto"/>
          <w:vAlign w:val="center"/>
        </w:tcPr>
        <w:p w:rsidR="001D32FF" w:rsidRDefault="00160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1D32FF" w:rsidRDefault="001607B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Ocoyoacac</w:t>
          </w:r>
          <w:proofErr w:type="spellEnd"/>
        </w:p>
      </w:tc>
    </w:tr>
    <w:tr w:rsidR="001D32FF">
      <w:tc>
        <w:tcPr>
          <w:tcW w:w="2551" w:type="dxa"/>
          <w:shd w:val="clear" w:color="auto" w:fill="auto"/>
          <w:vAlign w:val="center"/>
        </w:tcPr>
        <w:p w:rsidR="001D32FF" w:rsidRDefault="001607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1D32FF" w:rsidRDefault="001607B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D32FF" w:rsidRDefault="001D32F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03F50"/>
    <w:multiLevelType w:val="multilevel"/>
    <w:tmpl w:val="2238316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FF"/>
    <w:rsid w:val="001607BB"/>
    <w:rsid w:val="001D32FF"/>
    <w:rsid w:val="00A04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02B72-01F0-4646-8B28-EA030FFA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
    <w:tblPr>
      <w:tblStyleRowBandSize w:val="1"/>
      <w:tblStyleColBandSize w:val="1"/>
      <w:tblCellMar>
        <w:top w:w="0" w:type="dxa"/>
        <w:left w:w="115" w:type="dxa"/>
        <w:bottom w:w="0" w:type="dxa"/>
        <w:right w:w="115" w:type="dxa"/>
      </w:tblCellMar>
    </w:tblPr>
  </w:style>
  <w:style w:type="table" w:customStyle="1" w:styleId="8">
    <w:name w:val="8"/>
    <w:basedOn w:val="TableNormal2"/>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D9Hb0xXVgWnwCwkTHXbZu3sWQ==">AMUW2mW1GoL32oBWxZzSD6492HXvhv9yE1TZVuv0rsiB5NNrM/1xfmUg5c4iZjj9rH7YXQWjm3lcVZ989/+hZHukjlctTBHUBA54MniBvxfVaeoNW2IvaRR1TluyL1Sj/koRJOndDWUSmf6NL7r8aDHA/EHKf+TWcsCXnqZNSu5PLaev1+H6RbyY7HeNmAK/PV9fA4Xku/SnhrJ15yOyI2j0SR6fHVaCqA==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3560</Words>
  <Characters>19582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dcterms:created xsi:type="dcterms:W3CDTF">2022-07-07T19:46:00Z</dcterms:created>
  <dcterms:modified xsi:type="dcterms:W3CDTF">2022-07-07T19:46:00Z</dcterms:modified>
</cp:coreProperties>
</file>