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doce de octubre de dos mil veintidós.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sz w:val="28"/>
          <w:szCs w:val="28"/>
        </w:rPr>
        <w:t>VISTO</w:t>
      </w:r>
      <w:r w:rsidRPr="003765FB">
        <w:rPr>
          <w:rFonts w:ascii="Palatino Linotype" w:eastAsia="Palatino Linotype" w:hAnsi="Palatino Linotype" w:cs="Palatino Linotype"/>
        </w:rPr>
        <w:t xml:space="preserve"> el expediente formado con motivo del Recurso de Revisión </w:t>
      </w:r>
      <w:r w:rsidRPr="003765FB">
        <w:rPr>
          <w:rFonts w:ascii="Palatino Linotype" w:eastAsia="Palatino Linotype" w:hAnsi="Palatino Linotype" w:cs="Palatino Linotype"/>
          <w:b/>
        </w:rPr>
        <w:t xml:space="preserve">08807/INFOEM/IP/RR/2022, </w:t>
      </w:r>
      <w:r w:rsidRPr="003765FB">
        <w:rPr>
          <w:rFonts w:ascii="Palatino Linotype" w:eastAsia="Palatino Linotype" w:hAnsi="Palatino Linotype" w:cs="Palatino Linotype"/>
        </w:rPr>
        <w:t xml:space="preserve">promovido por un particular de forma anónima, a quien en lo sucesivo se le denominara como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en contra de la respuesta del </w:t>
      </w:r>
      <w:r w:rsidRPr="003765FB">
        <w:rPr>
          <w:rFonts w:ascii="Palatino Linotype" w:eastAsia="Palatino Linotype" w:hAnsi="Palatino Linotype" w:cs="Palatino Linotype"/>
          <w:b/>
        </w:rPr>
        <w:t xml:space="preserve">Ayuntamiento de Xonacatlán </w:t>
      </w:r>
      <w:r w:rsidRPr="003765FB">
        <w:rPr>
          <w:rFonts w:ascii="Palatino Linotype" w:eastAsia="Palatino Linotype" w:hAnsi="Palatino Linotype" w:cs="Palatino Linotype"/>
        </w:rPr>
        <w:t xml:space="preserve">en lo subsecuente se le denominará </w:t>
      </w:r>
      <w:r w:rsidRPr="003765FB">
        <w:rPr>
          <w:rFonts w:ascii="Palatino Linotype" w:eastAsia="Palatino Linotype" w:hAnsi="Palatino Linotype" w:cs="Palatino Linotype"/>
          <w:b/>
        </w:rPr>
        <w:t xml:space="preserve">EL SUJETO OBLIGADO, </w:t>
      </w:r>
      <w:r w:rsidRPr="003765FB">
        <w:rPr>
          <w:rFonts w:ascii="Palatino Linotype" w:eastAsia="Palatino Linotype" w:hAnsi="Palatino Linotype" w:cs="Palatino Linotype"/>
        </w:rPr>
        <w:t>se procede a dictar la presente resolución con base en lo siguiente:</w:t>
      </w:r>
    </w:p>
    <w:p w:rsidR="00910D03" w:rsidRPr="003765FB" w:rsidRDefault="00910D03">
      <w:pPr>
        <w:spacing w:line="360" w:lineRule="auto"/>
        <w:jc w:val="both"/>
        <w:rPr>
          <w:rFonts w:ascii="Palatino Linotype" w:eastAsia="Palatino Linotype" w:hAnsi="Palatino Linotype" w:cs="Palatino Linotype"/>
          <w:b/>
        </w:rPr>
      </w:pPr>
    </w:p>
    <w:p w:rsidR="00910D03" w:rsidRPr="003765FB" w:rsidRDefault="00107658">
      <w:pPr>
        <w:jc w:val="center"/>
        <w:rPr>
          <w:rFonts w:ascii="Palatino Linotype" w:eastAsia="Palatino Linotype" w:hAnsi="Palatino Linotype" w:cs="Palatino Linotype"/>
          <w:b/>
          <w:sz w:val="28"/>
          <w:szCs w:val="28"/>
        </w:rPr>
      </w:pPr>
      <w:r w:rsidRPr="003765FB">
        <w:rPr>
          <w:rFonts w:ascii="Palatino Linotype" w:eastAsia="Palatino Linotype" w:hAnsi="Palatino Linotype" w:cs="Palatino Linotype"/>
          <w:b/>
          <w:sz w:val="28"/>
          <w:szCs w:val="28"/>
        </w:rPr>
        <w:t>ANTECEDENTES</w:t>
      </w:r>
    </w:p>
    <w:p w:rsidR="00910D03" w:rsidRPr="003765FB" w:rsidRDefault="00910D03">
      <w:pPr>
        <w:rPr>
          <w:rFonts w:ascii="Palatino Linotype" w:eastAsia="Palatino Linotype" w:hAnsi="Palatino Linotype" w:cs="Palatino Linotype"/>
          <w:b/>
        </w:rPr>
      </w:pPr>
    </w:p>
    <w:p w:rsidR="00910D03" w:rsidRPr="003765FB" w:rsidRDefault="00107658">
      <w:pPr>
        <w:spacing w:line="360" w:lineRule="auto"/>
        <w:jc w:val="both"/>
        <w:rPr>
          <w:rFonts w:ascii="Palatino Linotype" w:eastAsia="Palatino Linotype" w:hAnsi="Palatino Linotype" w:cs="Palatino Linotype"/>
          <w:b/>
          <w:sz w:val="28"/>
          <w:szCs w:val="28"/>
        </w:rPr>
      </w:pPr>
      <w:r w:rsidRPr="003765FB">
        <w:rPr>
          <w:rFonts w:ascii="Palatino Linotype" w:eastAsia="Palatino Linotype" w:hAnsi="Palatino Linotype" w:cs="Palatino Linotype"/>
          <w:b/>
          <w:sz w:val="28"/>
          <w:szCs w:val="28"/>
        </w:rPr>
        <w:t>I.</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b/>
          <w:sz w:val="28"/>
          <w:szCs w:val="28"/>
        </w:rPr>
        <w:t>De la Solicitud de Información</w:t>
      </w:r>
    </w:p>
    <w:p w:rsidR="00910D03" w:rsidRPr="003765FB" w:rsidRDefault="00107658">
      <w:pPr>
        <w:spacing w:line="360" w:lineRule="auto"/>
        <w:jc w:val="both"/>
        <w:rPr>
          <w:rFonts w:ascii="Palatino Linotype" w:eastAsia="Palatino Linotype" w:hAnsi="Palatino Linotype" w:cs="Palatino Linotype"/>
        </w:rPr>
      </w:pPr>
      <w:bookmarkStart w:id="0" w:name="_heading=h.ifuj3wtxm21l" w:colFirst="0" w:colLast="0"/>
      <w:bookmarkEnd w:id="0"/>
      <w:r w:rsidRPr="003765FB">
        <w:rPr>
          <w:rFonts w:ascii="Palatino Linotype" w:eastAsia="Palatino Linotype" w:hAnsi="Palatino Linotype" w:cs="Palatino Linotype"/>
        </w:rPr>
        <w:t xml:space="preserve">En fecha dos de mayo de dos mil veintidós,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presentó a través del Sistema de Acceso a la Información Mexiquense, en lo subsecuente </w:t>
      </w:r>
      <w:r w:rsidRPr="003765FB">
        <w:rPr>
          <w:rFonts w:ascii="Palatino Linotype" w:eastAsia="Palatino Linotype" w:hAnsi="Palatino Linotype" w:cs="Palatino Linotype"/>
          <w:b/>
        </w:rPr>
        <w:t>EL SAIMEX</w:t>
      </w:r>
      <w:r w:rsidRPr="003765FB">
        <w:rPr>
          <w:rFonts w:ascii="Palatino Linotype" w:eastAsia="Palatino Linotype" w:hAnsi="Palatino Linotype" w:cs="Palatino Linotype"/>
        </w:rPr>
        <w:t xml:space="preserve"> ante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la solicitud de acceso a la información pública, a la que se le asignó el número de expediente </w:t>
      </w:r>
      <w:r w:rsidRPr="003765FB">
        <w:rPr>
          <w:rFonts w:ascii="Palatino Linotype" w:eastAsia="Palatino Linotype" w:hAnsi="Palatino Linotype" w:cs="Palatino Linotype"/>
          <w:b/>
        </w:rPr>
        <w:t xml:space="preserve">00138/XONACAT/IP/2022, </w:t>
      </w:r>
      <w:r w:rsidRPr="003765FB">
        <w:rPr>
          <w:rFonts w:ascii="Palatino Linotype" w:eastAsia="Palatino Linotype" w:hAnsi="Palatino Linotype" w:cs="Palatino Linotype"/>
        </w:rPr>
        <w:t>requirió, lo siguiente:</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ind w:left="850" w:right="899"/>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i/>
          <w:sz w:val="22"/>
          <w:szCs w:val="22"/>
        </w:rPr>
        <w:t xml:space="preserve">“Copia en versión pública de los recibos de pago o nomina de los trabajadores del Ayuntamiento, Directores, Subdirectores, Coordinadores, Auxiliares y Personal Operativo desde Enero de 2022 hasta la fecha de ingreso de la solicitud. Lista de los servidores públicos que ingresaron a laborar al Ayuntamiento desde Enero de 2022 hasta la fecha, sueldo mensual bruto, y neto. Nombramiento del C. Ricardo García </w:t>
      </w:r>
      <w:r w:rsidRPr="003765FB">
        <w:rPr>
          <w:rFonts w:ascii="Palatino Linotype" w:eastAsia="Palatino Linotype" w:hAnsi="Palatino Linotype" w:cs="Palatino Linotype"/>
          <w:i/>
          <w:sz w:val="22"/>
          <w:szCs w:val="22"/>
        </w:rPr>
        <w:lastRenderedPageBreak/>
        <w:t>Becerril, puesto que desempeña, forma de pago, tipo de plaza que ocupa, horario de labores. Nombramiento del C. Emmanuel Uriel Flores Gutiérrez, puesto que desempeña, forma de pago, tipo de plaza que ocupa, horario de labores.” (Sic)</w:t>
      </w:r>
    </w:p>
    <w:p w:rsidR="00910D03" w:rsidRPr="003765FB" w:rsidRDefault="00910D03">
      <w:pPr>
        <w:widowControl w:val="0"/>
        <w:spacing w:line="360" w:lineRule="auto"/>
        <w:jc w:val="both"/>
        <w:rPr>
          <w:rFonts w:ascii="Palatino Linotype" w:eastAsia="Palatino Linotype" w:hAnsi="Palatino Linotype" w:cs="Palatino Linotype"/>
          <w:b/>
        </w:rPr>
      </w:pPr>
    </w:p>
    <w:p w:rsidR="00910D03" w:rsidRPr="003765FB" w:rsidRDefault="00107658">
      <w:pPr>
        <w:widowControl w:val="0"/>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t xml:space="preserve">MODALIDAD DE ENTREGA: </w:t>
      </w:r>
      <w:r w:rsidRPr="003765FB">
        <w:rPr>
          <w:rFonts w:ascii="Palatino Linotype" w:eastAsia="Palatino Linotype" w:hAnsi="Palatino Linotype" w:cs="Palatino Linotype"/>
        </w:rPr>
        <w:t xml:space="preserve">Vía </w:t>
      </w:r>
      <w:r w:rsidRPr="003765FB">
        <w:rPr>
          <w:rFonts w:ascii="Palatino Linotype" w:eastAsia="Palatino Linotype" w:hAnsi="Palatino Linotype" w:cs="Palatino Linotype"/>
          <w:b/>
        </w:rPr>
        <w:t>SAIMEX.</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A50805">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II. </w:t>
      </w:r>
      <w:bookmarkStart w:id="1" w:name="_GoBack"/>
      <w:bookmarkEnd w:id="1"/>
      <w:r w:rsidR="00107658" w:rsidRPr="003765FB">
        <w:rPr>
          <w:rFonts w:ascii="Palatino Linotype" w:eastAsia="Palatino Linotype" w:hAnsi="Palatino Linotype" w:cs="Palatino Linotype"/>
          <w:b/>
          <w:sz w:val="28"/>
          <w:szCs w:val="28"/>
        </w:rPr>
        <w:t>Turno de requerimiento del Sujeto Obligado</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De las constancias que obran en el expediente electrónico del SAIMEX no se advierte turno de requerimiento alguno realizado por el Titular de la Unidad de Transparencia al servidor público habilitado que estimara competente, en términos de lo establecido por el artículo 162 de la Ley de Transparencia y Acceso a la Información Pública del Estado de México y Municipios.</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b/>
          <w:sz w:val="28"/>
          <w:szCs w:val="28"/>
        </w:rPr>
      </w:pPr>
      <w:r w:rsidRPr="003765FB">
        <w:rPr>
          <w:rFonts w:ascii="Palatino Linotype" w:eastAsia="Palatino Linotype" w:hAnsi="Palatino Linotype" w:cs="Palatino Linotype"/>
          <w:b/>
          <w:sz w:val="28"/>
          <w:szCs w:val="28"/>
        </w:rPr>
        <w:t>III.</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sz w:val="28"/>
          <w:szCs w:val="28"/>
        </w:rPr>
        <w:t>Respuesta del Sujeto Obligado</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fecha once de mayo de dos mil veintidós,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notificó la respuesta a la solicitud de acceso a la información pública en los términos siguientes: </w:t>
      </w:r>
    </w:p>
    <w:p w:rsidR="00910D03" w:rsidRPr="003765FB" w:rsidRDefault="00107658">
      <w:pPr>
        <w:ind w:left="850" w:right="899"/>
        <w:jc w:val="both"/>
        <w:rPr>
          <w:rFonts w:ascii="Palatino Linotype" w:eastAsia="Palatino Linotype" w:hAnsi="Palatino Linotype" w:cs="Palatino Linotype"/>
        </w:rPr>
      </w:pPr>
      <w:r w:rsidRPr="003765FB">
        <w:rPr>
          <w:rFonts w:ascii="Palatino Linotype" w:eastAsia="Palatino Linotype" w:hAnsi="Palatino Linotype" w:cs="Palatino Linotype"/>
          <w:i/>
          <w:sz w:val="22"/>
          <w:szCs w:val="22"/>
        </w:rPr>
        <w:t>“Con fundamento en el artículo 50, 51, 52, 53 fracción II y V, 163 de la Ley de Transparencia y Acceso a la Información Pública del Estado de México y Municipios, se da contestación al particular, anexando el OFICIO DE RESPUESTA XON/UT/0260/2022, SIGNADO POR EL C. NADAB ARENAS SOSA TITULAR DE LA UNIDAD DE TRANSPARENCIA DEL H. AYUNTAMIENTO DE XONACATLÁN.”(Sic)</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Adjuntando el documento denominado “</w:t>
      </w:r>
      <w:r w:rsidRPr="003765FB">
        <w:rPr>
          <w:rFonts w:ascii="Palatino Linotype" w:eastAsia="Palatino Linotype" w:hAnsi="Palatino Linotype" w:cs="Palatino Linotype"/>
          <w:i/>
        </w:rPr>
        <w:t xml:space="preserve">respuesta 138.pdf” </w:t>
      </w:r>
      <w:r w:rsidRPr="003765FB">
        <w:rPr>
          <w:rFonts w:ascii="Palatino Linotype" w:eastAsia="Palatino Linotype" w:hAnsi="Palatino Linotype" w:cs="Palatino Linotype"/>
        </w:rPr>
        <w:t xml:space="preserve">de cuyo contenido se aprecia el oficio número XON/UT/0260/2022 firmado en fecha once de mayo de dos mil veintidós por el Titular de la Unidad de Transparencia quien refiere que  la información </w:t>
      </w:r>
      <w:r w:rsidRPr="003765FB">
        <w:rPr>
          <w:rFonts w:ascii="Palatino Linotype" w:eastAsia="Palatino Linotype" w:hAnsi="Palatino Linotype" w:cs="Palatino Linotype"/>
        </w:rPr>
        <w:lastRenderedPageBreak/>
        <w:t xml:space="preserve">solicitada, excede la cantidad 2000 fojas, por lo cual se pone a disposición del particular  para consulta directa en sus instalaciones. </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sz w:val="28"/>
          <w:szCs w:val="28"/>
        </w:rPr>
        <w:t>IV.  Del Recurso de Revisión</w:t>
      </w:r>
      <w:r w:rsidRPr="003765FB">
        <w:rPr>
          <w:rFonts w:ascii="Palatino Linotype" w:eastAsia="Palatino Linotype" w:hAnsi="Palatino Linotype" w:cs="Palatino Linotype"/>
          <w:b/>
        </w:rPr>
        <w:t>.</w:t>
      </w: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Inconforme con la respuesta del</w:t>
      </w:r>
      <w:r w:rsidRPr="003765FB">
        <w:rPr>
          <w:rFonts w:ascii="Palatino Linotype" w:eastAsia="Palatino Linotype" w:hAnsi="Palatino Linotype" w:cs="Palatino Linotype"/>
          <w:b/>
        </w:rPr>
        <w:t xml:space="preserve"> SUJETO OBLIGADO</w:t>
      </w:r>
      <w:r w:rsidRPr="003765FB">
        <w:rPr>
          <w:rFonts w:ascii="Palatino Linotype" w:eastAsia="Palatino Linotype" w:hAnsi="Palatino Linotype" w:cs="Palatino Linotype"/>
        </w:rPr>
        <w:t xml:space="preserve">, el veintitrés de mayo de dos mil veintidós,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interpuso el Recurso de Revisión. El cual fue registrado en </w:t>
      </w:r>
      <w:r w:rsidRPr="003765FB">
        <w:rPr>
          <w:rFonts w:ascii="Palatino Linotype" w:eastAsia="Palatino Linotype" w:hAnsi="Palatino Linotype" w:cs="Palatino Linotype"/>
          <w:b/>
        </w:rPr>
        <w:t>EL SAIMEX</w:t>
      </w:r>
      <w:r w:rsidRPr="003765FB">
        <w:rPr>
          <w:rFonts w:ascii="Palatino Linotype" w:eastAsia="Palatino Linotype" w:hAnsi="Palatino Linotype" w:cs="Palatino Linotype"/>
        </w:rPr>
        <w:t xml:space="preserve"> y se le asignó el número de expediente </w:t>
      </w:r>
      <w:r w:rsidRPr="003765FB">
        <w:rPr>
          <w:rFonts w:ascii="Palatino Linotype" w:eastAsia="Palatino Linotype" w:hAnsi="Palatino Linotype" w:cs="Palatino Linotype"/>
          <w:b/>
        </w:rPr>
        <w:t xml:space="preserve">08807/INFOEM/IP/RR/2022, </w:t>
      </w:r>
      <w:r w:rsidRPr="003765FB">
        <w:rPr>
          <w:rFonts w:ascii="Palatino Linotype" w:eastAsia="Palatino Linotype" w:hAnsi="Palatino Linotype" w:cs="Palatino Linotype"/>
        </w:rPr>
        <w:t xml:space="preserve">donde los motivos de agravio del </w:t>
      </w:r>
      <w:r w:rsidRPr="003765FB">
        <w:rPr>
          <w:rFonts w:ascii="Palatino Linotype" w:eastAsia="Palatino Linotype" w:hAnsi="Palatino Linotype" w:cs="Palatino Linotype"/>
          <w:b/>
        </w:rPr>
        <w:t xml:space="preserve">RECURRENTE </w:t>
      </w:r>
      <w:r w:rsidRPr="003765FB">
        <w:rPr>
          <w:rFonts w:ascii="Palatino Linotype" w:eastAsia="Palatino Linotype" w:hAnsi="Palatino Linotype" w:cs="Palatino Linotype"/>
        </w:rPr>
        <w:t>fueron los siguientes:</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spacing w:line="360" w:lineRule="auto"/>
        <w:ind w:left="-57" w:right="-57"/>
        <w:jc w:val="both"/>
        <w:rPr>
          <w:rFonts w:ascii="Palatino Linotype" w:eastAsia="Palatino Linotype" w:hAnsi="Palatino Linotype" w:cs="Palatino Linotype"/>
          <w:b/>
          <w:u w:val="single"/>
        </w:rPr>
      </w:pPr>
      <w:r w:rsidRPr="003765FB">
        <w:rPr>
          <w:rFonts w:ascii="Palatino Linotype" w:eastAsia="Palatino Linotype" w:hAnsi="Palatino Linotype" w:cs="Palatino Linotype"/>
          <w:b/>
          <w:u w:val="single"/>
        </w:rPr>
        <w:t>Acto Impugnado:</w:t>
      </w:r>
      <w:r w:rsidRPr="003765FB">
        <w:rPr>
          <w:b/>
          <w:u w:val="single"/>
        </w:rPr>
        <w:t xml:space="preserve"> </w:t>
      </w:r>
    </w:p>
    <w:p w:rsidR="00910D03" w:rsidRPr="003765FB" w:rsidRDefault="00107658">
      <w:pPr>
        <w:tabs>
          <w:tab w:val="left" w:pos="709"/>
        </w:tabs>
        <w:spacing w:before="66"/>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“La respuesta del sujeto obligado al poner a disposición la información de manera directa al ciudadano.” (Sic)</w:t>
      </w:r>
    </w:p>
    <w:p w:rsidR="00910D03" w:rsidRPr="003765FB" w:rsidRDefault="00910D03">
      <w:pPr>
        <w:tabs>
          <w:tab w:val="left" w:pos="709"/>
        </w:tabs>
        <w:spacing w:before="66"/>
        <w:ind w:left="850" w:right="899"/>
        <w:jc w:val="both"/>
        <w:rPr>
          <w:rFonts w:ascii="Palatino Linotype" w:eastAsia="Palatino Linotype" w:hAnsi="Palatino Linotype" w:cs="Palatino Linotype"/>
          <w:i/>
          <w:sz w:val="22"/>
          <w:szCs w:val="22"/>
        </w:rPr>
      </w:pPr>
    </w:p>
    <w:p w:rsidR="00910D03" w:rsidRPr="003765FB" w:rsidRDefault="00107658">
      <w:pPr>
        <w:spacing w:line="360" w:lineRule="auto"/>
        <w:ind w:right="49"/>
        <w:jc w:val="both"/>
        <w:rPr>
          <w:rFonts w:ascii="Palatino Linotype" w:eastAsia="Palatino Linotype" w:hAnsi="Palatino Linotype" w:cs="Palatino Linotype"/>
          <w:b/>
          <w:u w:val="single"/>
        </w:rPr>
      </w:pPr>
      <w:r w:rsidRPr="003765FB">
        <w:rPr>
          <w:rFonts w:ascii="Palatino Linotype" w:eastAsia="Palatino Linotype" w:hAnsi="Palatino Linotype" w:cs="Palatino Linotype"/>
          <w:b/>
          <w:u w:val="single"/>
        </w:rPr>
        <w:t>Razones o motivos de inconformidad:</w:t>
      </w:r>
    </w:p>
    <w:p w:rsidR="00910D03" w:rsidRPr="003765FB" w:rsidRDefault="00107658">
      <w:pPr>
        <w:tabs>
          <w:tab w:val="left" w:pos="709"/>
        </w:tabs>
        <w:spacing w:before="66"/>
        <w:ind w:left="850" w:right="899"/>
        <w:jc w:val="both"/>
        <w:rPr>
          <w:rFonts w:ascii="Palatino Linotype" w:eastAsia="Palatino Linotype" w:hAnsi="Palatino Linotype" w:cs="Palatino Linotype"/>
          <w:b/>
          <w:u w:val="single"/>
        </w:rPr>
      </w:pPr>
      <w:r w:rsidRPr="003765FB">
        <w:rPr>
          <w:rFonts w:ascii="Palatino Linotype" w:eastAsia="Palatino Linotype" w:hAnsi="Palatino Linotype" w:cs="Palatino Linotype"/>
          <w:i/>
          <w:sz w:val="22"/>
          <w:szCs w:val="22"/>
        </w:rPr>
        <w:t xml:space="preserve">“El derecho de acceso a la información es un derecho humano de buscar, difundir, investigar, recibir y solicitar información pública sin la necesidad de acreditar personalidad ni interés jurídico; de lo anterior, el Sujeto Obligado esta lacerando al poner a disposición de manera directa, así mismo, no precisa el número exacto de las páginas por lo que esto no implica que no se haga entrega de la información; así mismo, la Ley de Transparencia contempla que una de las obligaciones comunes para los sujetos obligados es el publicar la remuneración bruta y neta de los servidores públicos, misma que del Presidente Municipal , Síndico, Regidores, Directores, Coordinadores, Subdirectores y de personal operativo del Ayuntamiento no se publica en el sistema Ipomex. Por último, la modalidad de entrega de información solicitada , es a través del sistema Saimex, misma que el sujeto obligado no respeta. Por otro lado, los nombramientos solicitados, labores realizadas, forma de pago, etc. de los dos servidores públicos señalados, la Unidad de Transparencia, no indica si </w:t>
      </w:r>
      <w:r w:rsidRPr="003765FB">
        <w:rPr>
          <w:rFonts w:ascii="Palatino Linotype" w:eastAsia="Palatino Linotype" w:hAnsi="Palatino Linotype" w:cs="Palatino Linotype"/>
          <w:i/>
          <w:sz w:val="22"/>
          <w:szCs w:val="22"/>
        </w:rPr>
        <w:lastRenderedPageBreak/>
        <w:t>también, sobrepasa sus capacidades técnicas y administrativas y si ese procesamiento de información, rebasa 2000, páginas. Por lo que la respuesta a la solicitud es ambigua y viola de manera categórica el derecho de acceso a la información del solicitante..”(sic)</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b/>
          <w:sz w:val="28"/>
          <w:szCs w:val="28"/>
        </w:rPr>
      </w:pPr>
      <w:r w:rsidRPr="003765FB">
        <w:rPr>
          <w:rFonts w:ascii="Palatino Linotype" w:eastAsia="Palatino Linotype" w:hAnsi="Palatino Linotype" w:cs="Palatino Linotype"/>
          <w:b/>
          <w:sz w:val="28"/>
          <w:szCs w:val="28"/>
        </w:rPr>
        <w:t xml:space="preserve">V. Del turno del Recurso de Revisión.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El veintitrés de mayo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3765FB">
        <w:rPr>
          <w:rFonts w:ascii="Palatino Linotype" w:eastAsia="Palatino Linotype" w:hAnsi="Palatino Linotype" w:cs="Palatino Linotype"/>
          <w:b/>
        </w:rPr>
        <w:t>Comisionada Sharon Cristina Morales Martínez</w:t>
      </w:r>
      <w:r w:rsidRPr="003765FB">
        <w:rPr>
          <w:rFonts w:ascii="Palatino Linotype" w:eastAsia="Palatino Linotype" w:hAnsi="Palatino Linotype" w:cs="Palatino Linotype"/>
        </w:rPr>
        <w:t>; a efecto de decretar su admisión o desechamiento.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tabs>
          <w:tab w:val="center" w:pos="4252"/>
          <w:tab w:val="right" w:pos="8504"/>
        </w:tabs>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t>a) Admisión del Recurso de Revisión</w:t>
      </w:r>
    </w:p>
    <w:p w:rsidR="00910D03" w:rsidRPr="003765FB" w:rsidRDefault="00107658">
      <w:pPr>
        <w:tabs>
          <w:tab w:val="center" w:pos="4252"/>
          <w:tab w:val="right" w:pos="8504"/>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De las constancias que obran en el expediente electrónico del</w:t>
      </w:r>
      <w:r w:rsidRPr="003765FB">
        <w:rPr>
          <w:rFonts w:ascii="Palatino Linotype" w:eastAsia="Palatino Linotype" w:hAnsi="Palatino Linotype" w:cs="Palatino Linotype"/>
          <w:b/>
        </w:rPr>
        <w:t xml:space="preserve"> SAIMEX</w:t>
      </w:r>
      <w:r w:rsidRPr="003765FB">
        <w:rPr>
          <w:rFonts w:ascii="Palatino Linotype" w:eastAsia="Palatino Linotype" w:hAnsi="Palatino Linotype" w:cs="Palatino Linotype"/>
        </w:rPr>
        <w:t xml:space="preserve">, se advierte que en fecha veinticuatro de mayo de dos mil veintidós, se acordó la admisión a trámite del Recurso de Revisión que nos ocupa; así como la integración del expediente respectivo, mismo que se puso a disposición de las partes, para que en un plazo máximo de siete días hábiles </w:t>
      </w:r>
      <w:r w:rsidRPr="003765FB">
        <w:rPr>
          <w:rFonts w:ascii="Palatino Linotype" w:eastAsia="Palatino Linotype" w:hAnsi="Palatino Linotype" w:cs="Palatino Linotype"/>
          <w:b/>
        </w:rPr>
        <w:t xml:space="preserve">EL RECURRENTE </w:t>
      </w:r>
      <w:r w:rsidRPr="003765FB">
        <w:rPr>
          <w:rFonts w:ascii="Palatino Linotype" w:eastAsia="Palatino Linotype" w:hAnsi="Palatino Linotype" w:cs="Palatino Linotype"/>
        </w:rPr>
        <w:t xml:space="preserve">manifestara lo que a su derecho conviniera, a efecto de presentar pruebas y alegatos; así como, para que </w:t>
      </w:r>
      <w:r w:rsidRPr="003765FB">
        <w:rPr>
          <w:rFonts w:ascii="Palatino Linotype" w:eastAsia="Palatino Linotype" w:hAnsi="Palatino Linotype" w:cs="Palatino Linotype"/>
          <w:b/>
        </w:rPr>
        <w:t xml:space="preserve">EL SUJETO OBLIGADO </w:t>
      </w:r>
      <w:r w:rsidRPr="003765FB">
        <w:rPr>
          <w:rFonts w:ascii="Palatino Linotype" w:eastAsia="Palatino Linotype" w:hAnsi="Palatino Linotype" w:cs="Palatino Linotype"/>
        </w:rPr>
        <w:t>rindiera el correspondiente</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lastRenderedPageBreak/>
        <w:t>b) Informe Justificado</w:t>
      </w:r>
    </w:p>
    <w:p w:rsidR="00910D03" w:rsidRPr="003765FB" w:rsidRDefault="00107658">
      <w:pPr>
        <w:widowControl w:val="0"/>
        <w:tabs>
          <w:tab w:val="left" w:pos="0"/>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Conforme a las constancias que obran en el expediente del </w:t>
      </w:r>
      <w:r w:rsidRPr="003765FB">
        <w:rPr>
          <w:rFonts w:ascii="Palatino Linotype" w:eastAsia="Palatino Linotype" w:hAnsi="Palatino Linotype" w:cs="Palatino Linotype"/>
          <w:b/>
        </w:rPr>
        <w:t>SAIMEX,</w:t>
      </w:r>
      <w:r w:rsidRPr="003765FB">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3765FB">
        <w:rPr>
          <w:rFonts w:ascii="Palatino Linotype" w:eastAsia="Palatino Linotype" w:hAnsi="Palatino Linotype" w:cs="Palatino Linotype"/>
          <w:b/>
        </w:rPr>
        <w:t>EL</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rPr>
        <w:t>RECURRENTE</w:t>
      </w:r>
      <w:r w:rsidRPr="003765FB">
        <w:rPr>
          <w:rFonts w:ascii="Palatino Linotype" w:eastAsia="Palatino Linotype" w:hAnsi="Palatino Linotype" w:cs="Palatino Linotype"/>
        </w:rPr>
        <w:t xml:space="preserve"> no presentó manifestaciones que a su derecho convinieran.  </w:t>
      </w:r>
    </w:p>
    <w:p w:rsidR="00910D03" w:rsidRPr="003765FB" w:rsidRDefault="00910D03">
      <w:pPr>
        <w:widowControl w:val="0"/>
        <w:tabs>
          <w:tab w:val="left" w:pos="0"/>
        </w:tabs>
        <w:spacing w:line="360" w:lineRule="auto"/>
        <w:jc w:val="both"/>
        <w:rPr>
          <w:rFonts w:ascii="Palatino Linotype" w:eastAsia="Palatino Linotype" w:hAnsi="Palatino Linotype" w:cs="Palatino Linotype"/>
        </w:rPr>
      </w:pPr>
    </w:p>
    <w:p w:rsidR="00910D03" w:rsidRPr="003765FB" w:rsidRDefault="00107658">
      <w:pPr>
        <w:widowControl w:val="0"/>
        <w:tabs>
          <w:tab w:val="left" w:pos="0"/>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su parte,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remitió el documento de nombre </w:t>
      </w:r>
      <w:r w:rsidRPr="003765FB">
        <w:rPr>
          <w:rFonts w:ascii="Palatino Linotype" w:eastAsia="Palatino Linotype" w:hAnsi="Palatino Linotype" w:cs="Palatino Linotype"/>
          <w:i/>
        </w:rPr>
        <w:t xml:space="preserve">Manifestaciones a solicitud 138.pdf </w:t>
      </w:r>
      <w:r w:rsidRPr="003765FB">
        <w:rPr>
          <w:rFonts w:ascii="Palatino Linotype" w:eastAsia="Palatino Linotype" w:hAnsi="Palatino Linotype" w:cs="Palatino Linotype"/>
        </w:rPr>
        <w:t xml:space="preserve"> de cuyo contenido se advierte el Informe Justificado firmado por el Titular de la Unidad de Transparencia, quien se pronuncia sobre las manifestaciones del particular indicando que las fracciones del portal de IPOMEX se encuentra en proceso de actualización. </w:t>
      </w:r>
    </w:p>
    <w:p w:rsidR="00910D03" w:rsidRPr="003765FB" w:rsidRDefault="00910D03">
      <w:pPr>
        <w:widowControl w:val="0"/>
        <w:tabs>
          <w:tab w:val="left" w:pos="0"/>
        </w:tabs>
        <w:spacing w:line="360" w:lineRule="auto"/>
        <w:jc w:val="both"/>
        <w:rPr>
          <w:rFonts w:ascii="Palatino Linotype" w:eastAsia="Palatino Linotype" w:hAnsi="Palatino Linotype" w:cs="Palatino Linotype"/>
        </w:rPr>
      </w:pPr>
    </w:p>
    <w:p w:rsidR="00910D03" w:rsidRPr="003765FB" w:rsidRDefault="00107658">
      <w:pPr>
        <w:widowControl w:val="0"/>
        <w:tabs>
          <w:tab w:val="left" w:pos="0"/>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Asimismo señala que la información solicitada corresponde a un aproximado de 484 trabajadores, en un periodo de 10 quincenas, lo que asciende a la cantidad de 4840 fojas que se deben localizar, testar y poner a disposición del Comité de Transparencia.  </w:t>
      </w:r>
    </w:p>
    <w:p w:rsidR="00910D03" w:rsidRPr="003765FB" w:rsidRDefault="00910D03">
      <w:pPr>
        <w:widowControl w:val="0"/>
        <w:tabs>
          <w:tab w:val="left" w:pos="0"/>
        </w:tabs>
        <w:spacing w:line="360" w:lineRule="auto"/>
        <w:jc w:val="both"/>
        <w:rPr>
          <w:rFonts w:ascii="Palatino Linotype" w:eastAsia="Palatino Linotype" w:hAnsi="Palatino Linotype" w:cs="Palatino Linotype"/>
        </w:rPr>
      </w:pPr>
    </w:p>
    <w:p w:rsidR="00910D03" w:rsidRPr="003765FB" w:rsidRDefault="00107658">
      <w:pPr>
        <w:widowControl w:val="0"/>
        <w:tabs>
          <w:tab w:val="left" w:pos="0"/>
        </w:tabs>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t xml:space="preserve">c) De la ampliación </w:t>
      </w:r>
    </w:p>
    <w:p w:rsidR="00910D03" w:rsidRPr="003765FB" w:rsidRDefault="00107658">
      <w:pPr>
        <w:spacing w:line="360" w:lineRule="auto"/>
        <w:jc w:val="both"/>
        <w:rPr>
          <w:rFonts w:ascii="Palatino Linotype" w:eastAsia="Palatino Linotype" w:hAnsi="Palatino Linotype" w:cs="Palatino Linotype"/>
        </w:rPr>
      </w:pPr>
      <w:bookmarkStart w:id="2" w:name="_heading=h.1fob9te" w:colFirst="0" w:colLast="0"/>
      <w:bookmarkEnd w:id="2"/>
      <w:r w:rsidRPr="003765FB">
        <w:rPr>
          <w:rFonts w:ascii="Palatino Linotype" w:eastAsia="Palatino Linotype" w:hAnsi="Palatino Linotype" w:cs="Palatino Linotype"/>
        </w:rPr>
        <w:t xml:space="preserve">En fecha </w:t>
      </w:r>
      <w:r w:rsidRPr="003765FB">
        <w:rPr>
          <w:rFonts w:ascii="Palatino Linotype" w:eastAsia="Palatino Linotype" w:hAnsi="Palatino Linotype" w:cs="Palatino Linotype"/>
          <w:b/>
        </w:rPr>
        <w:t>once de julio de dos mil veintidós</w:t>
      </w:r>
      <w:r w:rsidRPr="003765F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910D03" w:rsidRPr="003765FB" w:rsidRDefault="00107658">
      <w:pPr>
        <w:spacing w:line="360" w:lineRule="auto"/>
        <w:jc w:val="both"/>
        <w:rPr>
          <w:rFonts w:ascii="Palatino Linotype" w:eastAsia="Palatino Linotype" w:hAnsi="Palatino Linotype" w:cs="Palatino Linotype"/>
        </w:rPr>
      </w:pPr>
      <w:bookmarkStart w:id="3" w:name="_heading=h.nopnai2ha9a" w:colFirst="0" w:colLast="0"/>
      <w:bookmarkEnd w:id="3"/>
      <w:r w:rsidRPr="003765FB">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3765FB">
        <w:rPr>
          <w:rFonts w:ascii="Palatino Linotype" w:eastAsia="Palatino Linotype" w:hAnsi="Palatino Linotype" w:cs="Palatino Linotype"/>
        </w:rPr>
        <w:lastRenderedPageBreak/>
        <w:t>jurisdiccionales o cuasi jurisdiccionales, tanto por la complejidad de los hechos, como por el número de casos que conocen.</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a)</w:t>
      </w:r>
      <w:r w:rsidRPr="003765FB">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b)</w:t>
      </w:r>
      <w:r w:rsidRPr="003765FB">
        <w:rPr>
          <w:rFonts w:ascii="Palatino Linotype" w:eastAsia="Palatino Linotype" w:hAnsi="Palatino Linotype" w:cs="Palatino Linotype"/>
        </w:rPr>
        <w:t xml:space="preserve"> Actividad Procesal del interesado: Acciones u omisiones del interesado.</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c)</w:t>
      </w:r>
      <w:r w:rsidRPr="003765FB">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d)</w:t>
      </w:r>
      <w:r w:rsidRPr="003765FB">
        <w:rPr>
          <w:rFonts w:ascii="Palatino Linotype" w:eastAsia="Palatino Linotype" w:hAnsi="Palatino Linotype" w:cs="Palatino Linotype"/>
        </w:rPr>
        <w:t xml:space="preserve"> La afectación generada en la situación jurídica de la persona involucrada en el proceso: Violación a sus derechos humanos.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3765F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765FB">
        <w:rPr>
          <w:rFonts w:ascii="Palatino Linotype" w:eastAsia="Palatino Linotype" w:hAnsi="Palatino Linotype" w:cs="Palatino Linotype"/>
        </w:rPr>
        <w:t>, visible en la Gaceta del Seminario Judicial de la Federación con el registro digital 205635.</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i/>
        </w:rPr>
        <w:lastRenderedPageBreak/>
        <w:t>“PLAZO RAZONABLE PARA RESOLVER. DIMENSIÓN Y EFECTOS DE ESTE CONCEPTO CUANDO SE ADUCE EXCESIVA CARGA DE TRABAJO.</w:t>
      </w:r>
      <w:r w:rsidRPr="003765FB">
        <w:rPr>
          <w:rFonts w:ascii="Palatino Linotype" w:eastAsia="Palatino Linotype" w:hAnsi="Palatino Linotype" w:cs="Palatino Linotype"/>
        </w:rPr>
        <w:t>” consultable en el Seminario Judicial de la Federación y su gaceta, con el registro digital 2002351.</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i/>
        </w:rPr>
        <w:t>“PLAZO RAZONABLE PARA RESOLVER. CONCEPTO Y ELEMENTOS QUE LO INTEGRAN A LA LUZ DEL DERECHO INTERNACIONAL DE LOS DERECHOS HUMANOS.”,</w:t>
      </w:r>
      <w:r w:rsidRPr="003765FB">
        <w:rPr>
          <w:rFonts w:ascii="Palatino Linotype" w:eastAsia="Palatino Linotype" w:hAnsi="Palatino Linotype" w:cs="Palatino Linotype"/>
        </w:rPr>
        <w:t xml:space="preserve"> visible en el Seminario Judicial de la Federación y su gaceta, con el registro digital 2002350.</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 xml:space="preserve">d) Requerimiento de información adicional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fecha </w:t>
      </w:r>
      <w:r w:rsidRPr="003765FB">
        <w:rPr>
          <w:rFonts w:ascii="Palatino Linotype" w:eastAsia="Palatino Linotype" w:hAnsi="Palatino Linotype" w:cs="Palatino Linotype"/>
          <w:b/>
        </w:rPr>
        <w:t>siete de septiembre de dos mil veintidós,</w:t>
      </w:r>
      <w:r w:rsidRPr="003765FB">
        <w:rPr>
          <w:rFonts w:ascii="Palatino Linotype" w:eastAsia="Palatino Linotype" w:hAnsi="Palatino Linotype" w:cs="Palatino Linotype"/>
        </w:rPr>
        <w:t xml:space="preserve"> se realizó un requerimiento de información adicional al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solicitando aportara mayores elementos para fundar y motivar de forma adecuada el cambio de modalidad referido en respuesta.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Posteriormente en fecha veintisiete de septiembre de dos mil veintidós se recibieron por correo dos documentos, el primero de ellos de nombre </w:t>
      </w:r>
      <w:r w:rsidRPr="003765FB">
        <w:rPr>
          <w:rFonts w:ascii="Palatino Linotype" w:eastAsia="Palatino Linotype" w:hAnsi="Palatino Linotype" w:cs="Palatino Linotype"/>
          <w:i/>
        </w:rPr>
        <w:t xml:space="preserve">Oficio de Tesoreria.pdf </w:t>
      </w:r>
      <w:r w:rsidRPr="003765FB">
        <w:rPr>
          <w:rFonts w:ascii="Palatino Linotype" w:eastAsia="Palatino Linotype" w:hAnsi="Palatino Linotype" w:cs="Palatino Linotype"/>
        </w:rPr>
        <w:t xml:space="preserve">de cuyo contenido se advierte el Oficio número XON/TM/0493/2022  firmado por el </w:t>
      </w:r>
      <w:r w:rsidRPr="003765FB">
        <w:rPr>
          <w:rFonts w:ascii="Palatino Linotype" w:eastAsia="Palatino Linotype" w:hAnsi="Palatino Linotype" w:cs="Palatino Linotype"/>
        </w:rPr>
        <w:lastRenderedPageBreak/>
        <w:t xml:space="preserve">Tesorero Municipal en fecha trece de septiembre de dos mil veintidós, en el que refiere que el Titular de la Unidad de Transparencia es la única persona adscrita a la Unidad. </w:t>
      </w:r>
    </w:p>
    <w:p w:rsidR="00910D03" w:rsidRPr="003765FB" w:rsidRDefault="00107658">
      <w:pPr>
        <w:spacing w:line="360" w:lineRule="auto"/>
        <w:jc w:val="both"/>
        <w:rPr>
          <w:rFonts w:ascii="Palatino Linotype" w:eastAsia="Palatino Linotype" w:hAnsi="Palatino Linotype" w:cs="Palatino Linotype"/>
          <w:i/>
        </w:rPr>
      </w:pPr>
      <w:r w:rsidRPr="003765FB">
        <w:rPr>
          <w:rFonts w:ascii="Palatino Linotype" w:eastAsia="Palatino Linotype" w:hAnsi="Palatino Linotype" w:cs="Palatino Linotype"/>
          <w:i/>
        </w:rPr>
        <w:t xml:space="preserve">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El segundo de ellos denominado </w:t>
      </w:r>
      <w:r w:rsidRPr="003765FB">
        <w:rPr>
          <w:rFonts w:ascii="Palatino Linotype" w:eastAsia="Palatino Linotype" w:hAnsi="Palatino Linotype" w:cs="Palatino Linotype"/>
          <w:i/>
        </w:rPr>
        <w:t xml:space="preserve">Acta de Comitè … Transparencia.pdf, </w:t>
      </w:r>
      <w:r w:rsidRPr="003765FB">
        <w:rPr>
          <w:rFonts w:ascii="Palatino Linotype" w:eastAsia="Palatino Linotype" w:hAnsi="Palatino Linotype" w:cs="Palatino Linotype"/>
        </w:rPr>
        <w:t xml:space="preserve">mismo que contiene al Acta de la Décima Sesión Extraordinaria  del Comité de Transparencia del </w:t>
      </w:r>
      <w:r w:rsidRPr="003765FB">
        <w:rPr>
          <w:rFonts w:ascii="Palatino Linotype" w:eastAsia="Palatino Linotype" w:hAnsi="Palatino Linotype" w:cs="Palatino Linotype"/>
          <w:b/>
        </w:rPr>
        <w:t xml:space="preserve">SUJETO OBLIGADO </w:t>
      </w:r>
      <w:r w:rsidRPr="003765FB">
        <w:rPr>
          <w:rFonts w:ascii="Palatino Linotype" w:eastAsia="Palatino Linotype" w:hAnsi="Palatino Linotype" w:cs="Palatino Linotype"/>
        </w:rPr>
        <w:t xml:space="preserve">de fecha veintiséis de septiembre de dos mil veintidós, mediante la cual se aprobó el cambio de modalidad a consulta directa de la información solicitada.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t>e) Cierre de Instrucción</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lo que, una vez analizado el estado procesal que guarda el expediente, en fecha </w:t>
      </w:r>
      <w:r w:rsidRPr="003765FB">
        <w:rPr>
          <w:rFonts w:ascii="Palatino Linotype" w:eastAsia="Palatino Linotype" w:hAnsi="Palatino Linotype" w:cs="Palatino Linotype"/>
          <w:b/>
        </w:rPr>
        <w:t>once de octubre de dos mil veintidós</w:t>
      </w:r>
      <w:r w:rsidRPr="003765FB">
        <w:rPr>
          <w:rFonts w:ascii="Palatino Linotype" w:eastAsia="Palatino Linotype" w:hAnsi="Palatino Linotype" w:cs="Palatino Linotype"/>
        </w:rPr>
        <w:t xml:space="preserve">, la </w:t>
      </w:r>
      <w:r w:rsidRPr="003765FB">
        <w:rPr>
          <w:rFonts w:ascii="Palatino Linotype" w:eastAsia="Palatino Linotype" w:hAnsi="Palatino Linotype" w:cs="Palatino Linotype"/>
          <w:b/>
        </w:rPr>
        <w:t xml:space="preserve">Comisionada Sharon Cristina Morales Martínez </w:t>
      </w:r>
      <w:r w:rsidRPr="003765FB">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910D03" w:rsidRPr="003765FB" w:rsidRDefault="00107658">
      <w:pPr>
        <w:jc w:val="center"/>
        <w:rPr>
          <w:rFonts w:ascii="Palatino Linotype" w:eastAsia="Palatino Linotype" w:hAnsi="Palatino Linotype" w:cs="Palatino Linotype"/>
          <w:b/>
          <w:sz w:val="28"/>
          <w:szCs w:val="28"/>
        </w:rPr>
      </w:pPr>
      <w:r w:rsidRPr="003765FB">
        <w:rPr>
          <w:rFonts w:ascii="Palatino Linotype" w:eastAsia="Palatino Linotype" w:hAnsi="Palatino Linotype" w:cs="Palatino Linotype"/>
          <w:b/>
          <w:sz w:val="28"/>
          <w:szCs w:val="28"/>
        </w:rPr>
        <w:t>CONSIDERANDO</w:t>
      </w:r>
    </w:p>
    <w:p w:rsidR="00910D03" w:rsidRPr="003765FB" w:rsidRDefault="00910D03">
      <w:pPr>
        <w:jc w:val="center"/>
        <w:rPr>
          <w:rFonts w:ascii="Palatino Linotype" w:eastAsia="Palatino Linotype" w:hAnsi="Palatino Linotype" w:cs="Palatino Linotype"/>
          <w:b/>
          <w:sz w:val="28"/>
          <w:szCs w:val="28"/>
        </w:rPr>
      </w:pPr>
    </w:p>
    <w:p w:rsidR="00910D03" w:rsidRPr="003765FB" w:rsidRDefault="00107658">
      <w:pPr>
        <w:widowControl w:val="0"/>
        <w:tabs>
          <w:tab w:val="left" w:pos="1701"/>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sz w:val="28"/>
          <w:szCs w:val="28"/>
        </w:rPr>
        <w:t>PRIMERO.</w:t>
      </w:r>
      <w:r w:rsidRPr="003765FB">
        <w:rPr>
          <w:rFonts w:ascii="Palatino Linotype" w:eastAsia="Palatino Linotype" w:hAnsi="Palatino Linotype" w:cs="Palatino Linotype"/>
          <w:b/>
        </w:rPr>
        <w:t xml:space="preserve"> Competencia</w:t>
      </w:r>
      <w:r w:rsidRPr="003765FB">
        <w:rPr>
          <w:rFonts w:ascii="Palatino Linotype" w:eastAsia="Palatino Linotype" w:hAnsi="Palatino Linotype" w:cs="Palatino Linotype"/>
        </w:rPr>
        <w:t>.</w:t>
      </w:r>
      <w:r w:rsidRPr="003765FB">
        <w:rPr>
          <w:rFonts w:ascii="Palatino Linotype" w:eastAsia="Palatino Linotype" w:hAnsi="Palatino Linotype" w:cs="Palatino Linotype"/>
          <w:b/>
        </w:rPr>
        <w:t xml:space="preserve"> </w:t>
      </w:r>
    </w:p>
    <w:p w:rsidR="00910D03" w:rsidRPr="003765FB" w:rsidRDefault="00107658">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3765F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Pr="003765FB">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910D03" w:rsidRPr="003765FB" w:rsidRDefault="00910D03">
      <w:pPr>
        <w:spacing w:line="360" w:lineRule="auto"/>
        <w:jc w:val="both"/>
        <w:rPr>
          <w:rFonts w:ascii="Palatino Linotype" w:eastAsia="Palatino Linotype" w:hAnsi="Palatino Linotype" w:cs="Palatino Linotype"/>
          <w:b/>
          <w:sz w:val="28"/>
          <w:szCs w:val="28"/>
        </w:rPr>
      </w:pP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sz w:val="28"/>
          <w:szCs w:val="28"/>
        </w:rPr>
        <w:t>SEGUNDO</w:t>
      </w:r>
      <w:r w:rsidRPr="003765FB">
        <w:rPr>
          <w:rFonts w:ascii="Palatino Linotype" w:eastAsia="Palatino Linotype" w:hAnsi="Palatino Linotype" w:cs="Palatino Linotype"/>
          <w:b/>
        </w:rPr>
        <w:t xml:space="preserve">. Interés. </w:t>
      </w:r>
    </w:p>
    <w:p w:rsidR="00910D03" w:rsidRPr="003765FB" w:rsidRDefault="00107658">
      <w:pPr>
        <w:spacing w:line="360" w:lineRule="auto"/>
        <w:jc w:val="both"/>
        <w:rPr>
          <w:rFonts w:ascii="Palatino Linotype" w:eastAsia="Palatino Linotype" w:hAnsi="Palatino Linotype" w:cs="Palatino Linotype"/>
          <w:b/>
          <w:color w:val="000000"/>
        </w:rPr>
      </w:pPr>
      <w:r w:rsidRPr="003765FB">
        <w:rPr>
          <w:rFonts w:ascii="Palatino Linotype" w:eastAsia="Palatino Linotype" w:hAnsi="Palatino Linotype" w:cs="Palatino Linotype"/>
        </w:rPr>
        <w:t>El</w:t>
      </w:r>
      <w:r w:rsidRPr="003765FB">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3765FB">
        <w:rPr>
          <w:rFonts w:ascii="Palatino Linotype" w:eastAsia="Palatino Linotype" w:hAnsi="Palatino Linotype" w:cs="Palatino Linotype"/>
          <w:b/>
        </w:rPr>
        <w:t>EL</w:t>
      </w:r>
      <w:r w:rsidRPr="003765FB">
        <w:rPr>
          <w:rFonts w:ascii="Palatino Linotype" w:eastAsia="Palatino Linotype" w:hAnsi="Palatino Linotype" w:cs="Palatino Linotype"/>
          <w:b/>
          <w:color w:val="000000"/>
        </w:rPr>
        <w:t xml:space="preserve"> RECURRENTE,</w:t>
      </w:r>
      <w:r w:rsidRPr="003765FB">
        <w:rPr>
          <w:rFonts w:ascii="Palatino Linotype" w:eastAsia="Palatino Linotype" w:hAnsi="Palatino Linotype" w:cs="Palatino Linotype"/>
          <w:color w:val="000000"/>
        </w:rPr>
        <w:t xml:space="preserve"> quien es la misma persona que formuló la solicitud de acceso a la información pública al </w:t>
      </w:r>
      <w:r w:rsidRPr="003765FB">
        <w:rPr>
          <w:rFonts w:ascii="Palatino Linotype" w:eastAsia="Palatino Linotype" w:hAnsi="Palatino Linotype" w:cs="Palatino Linotype"/>
          <w:b/>
          <w:color w:val="000000"/>
        </w:rPr>
        <w:t xml:space="preserve">SUJETO OBLIGADO, </w:t>
      </w:r>
      <w:r w:rsidRPr="003765FB">
        <w:rPr>
          <w:rFonts w:ascii="Palatino Linotype" w:eastAsia="Palatino Linotype" w:hAnsi="Palatino Linotype" w:cs="Palatino Linotype"/>
          <w:color w:val="000000"/>
        </w:rPr>
        <w:t xml:space="preserve">pues para ello, es necesario que el particular ingrese al </w:t>
      </w:r>
      <w:r w:rsidRPr="003765FB">
        <w:rPr>
          <w:rFonts w:ascii="Palatino Linotype" w:eastAsia="Palatino Linotype" w:hAnsi="Palatino Linotype" w:cs="Palatino Linotype"/>
          <w:b/>
          <w:color w:val="000000"/>
        </w:rPr>
        <w:t xml:space="preserve">SAIMEX </w:t>
      </w:r>
      <w:r w:rsidRPr="003765FB">
        <w:rPr>
          <w:rFonts w:ascii="Palatino Linotype" w:eastAsia="Palatino Linotype" w:hAnsi="Palatino Linotype" w:cs="Palatino Linotype"/>
          <w:color w:val="000000"/>
        </w:rPr>
        <w:t>mediante la utilización de su clave de usuario y contraseña.</w:t>
      </w:r>
    </w:p>
    <w:p w:rsidR="00910D03" w:rsidRPr="003765FB" w:rsidRDefault="00910D03">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910D03" w:rsidRPr="003765FB" w:rsidRDefault="00910D03">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910D03" w:rsidRPr="003765FB" w:rsidRDefault="00107658">
      <w:pPr>
        <w:tabs>
          <w:tab w:val="center" w:pos="4252"/>
          <w:tab w:val="right" w:pos="8504"/>
        </w:tabs>
        <w:spacing w:line="360" w:lineRule="auto"/>
        <w:ind w:left="-57"/>
        <w:jc w:val="both"/>
        <w:rPr>
          <w:rFonts w:ascii="Palatino Linotype" w:eastAsia="Palatino Linotype" w:hAnsi="Palatino Linotype" w:cs="Palatino Linotype"/>
          <w:color w:val="000000"/>
        </w:rPr>
      </w:pPr>
      <w:r w:rsidRPr="003765FB">
        <w:rPr>
          <w:rFonts w:ascii="Palatino Linotype" w:eastAsia="Palatino Linotype" w:hAnsi="Palatino Linotype" w:cs="Palatino Linotype"/>
          <w:b/>
          <w:sz w:val="28"/>
          <w:szCs w:val="28"/>
        </w:rPr>
        <w:t>TERCERO.</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color w:val="000000"/>
        </w:rPr>
        <w:t>Oportunidad</w:t>
      </w:r>
      <w:r w:rsidRPr="003765FB">
        <w:rPr>
          <w:rFonts w:ascii="Palatino Linotype" w:eastAsia="Palatino Linotype" w:hAnsi="Palatino Linotype" w:cs="Palatino Linotype"/>
          <w:color w:val="000000"/>
        </w:rPr>
        <w:t xml:space="preserve">. </w:t>
      </w:r>
    </w:p>
    <w:p w:rsidR="00910D03" w:rsidRPr="003765FB" w:rsidRDefault="00107658">
      <w:pPr>
        <w:widowControl w:val="0"/>
        <w:tabs>
          <w:tab w:val="left" w:pos="1701"/>
        </w:tabs>
        <w:spacing w:line="360" w:lineRule="auto"/>
        <w:ind w:right="49"/>
        <w:jc w:val="both"/>
        <w:rPr>
          <w:rFonts w:ascii="Palatino Linotype" w:eastAsia="Palatino Linotype" w:hAnsi="Palatino Linotype" w:cs="Palatino Linotype"/>
          <w:b/>
        </w:rPr>
      </w:pPr>
      <w:r w:rsidRPr="003765FB">
        <w:rPr>
          <w:rFonts w:ascii="Palatino Linotype" w:eastAsia="Palatino Linotype" w:hAnsi="Palatino Linotype" w:cs="Palatino Linotype"/>
        </w:rPr>
        <w:t xml:space="preserve">El Recurso de Revisión fue interpuesto dentro del plazo de quince días hábiles, contados a partir del día siguiente al que </w:t>
      </w:r>
      <w:r w:rsidRPr="003765FB">
        <w:rPr>
          <w:rFonts w:ascii="Palatino Linotype" w:eastAsia="Palatino Linotype" w:hAnsi="Palatino Linotype" w:cs="Palatino Linotype"/>
          <w:b/>
        </w:rPr>
        <w:t xml:space="preserve">EL RECURRENTE </w:t>
      </w:r>
      <w:r w:rsidRPr="003765FB">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910D03" w:rsidRPr="003765FB" w:rsidRDefault="00910D03">
      <w:pPr>
        <w:ind w:left="720" w:right="709"/>
        <w:jc w:val="both"/>
        <w:rPr>
          <w:rFonts w:ascii="Palatino Linotype" w:eastAsia="Palatino Linotype" w:hAnsi="Palatino Linotype" w:cs="Palatino Linotype"/>
          <w:i/>
          <w:sz w:val="22"/>
          <w:szCs w:val="22"/>
        </w:rPr>
      </w:pP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lastRenderedPageBreak/>
        <w:t>“</w:t>
      </w:r>
      <w:r w:rsidRPr="003765FB">
        <w:rPr>
          <w:rFonts w:ascii="Palatino Linotype" w:eastAsia="Palatino Linotype" w:hAnsi="Palatino Linotype" w:cs="Palatino Linotype"/>
          <w:b/>
          <w:i/>
          <w:sz w:val="22"/>
          <w:szCs w:val="22"/>
        </w:rPr>
        <w:t>Artículo 178.</w:t>
      </w:r>
      <w:r w:rsidRPr="003765F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10D03" w:rsidRPr="003765FB" w:rsidRDefault="00910D03">
      <w:pPr>
        <w:ind w:left="851" w:right="899"/>
        <w:jc w:val="both"/>
        <w:rPr>
          <w:rFonts w:ascii="Palatino Linotype" w:eastAsia="Palatino Linotype" w:hAnsi="Palatino Linotype" w:cs="Palatino Linotype"/>
          <w:i/>
          <w:sz w:val="22"/>
          <w:szCs w:val="22"/>
        </w:rPr>
      </w:pP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10D03" w:rsidRPr="003765FB" w:rsidRDefault="00910D03">
      <w:pPr>
        <w:ind w:left="851" w:right="899"/>
        <w:jc w:val="both"/>
        <w:rPr>
          <w:rFonts w:ascii="Palatino Linotype" w:eastAsia="Palatino Linotype" w:hAnsi="Palatino Linotype" w:cs="Palatino Linotype"/>
          <w:i/>
          <w:sz w:val="22"/>
          <w:szCs w:val="22"/>
        </w:rPr>
      </w:pP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910D03" w:rsidRPr="003765FB" w:rsidRDefault="00910D03">
      <w:pPr>
        <w:ind w:left="720" w:right="709"/>
        <w:jc w:val="both"/>
        <w:rPr>
          <w:rFonts w:ascii="Palatino Linotype" w:eastAsia="Palatino Linotype" w:hAnsi="Palatino Linotype" w:cs="Palatino Linotype"/>
          <w:i/>
          <w:sz w:val="22"/>
          <w:szCs w:val="22"/>
        </w:rPr>
      </w:pPr>
    </w:p>
    <w:p w:rsidR="00910D03" w:rsidRPr="003765FB" w:rsidRDefault="00107658">
      <w:pPr>
        <w:spacing w:line="360" w:lineRule="auto"/>
        <w:jc w:val="both"/>
        <w:rPr>
          <w:rFonts w:ascii="Palatino Linotype" w:eastAsia="Palatino Linotype" w:hAnsi="Palatino Linotype" w:cs="Palatino Linotype"/>
        </w:rPr>
      </w:pPr>
      <w:bookmarkStart w:id="5" w:name="_heading=h.2et92p0" w:colFirst="0" w:colLast="0"/>
      <w:bookmarkEnd w:id="5"/>
      <w:r w:rsidRPr="003765FB">
        <w:rPr>
          <w:rFonts w:ascii="Palatino Linotype" w:eastAsia="Palatino Linotype" w:hAnsi="Palatino Linotype" w:cs="Palatino Linotype"/>
        </w:rPr>
        <w:t xml:space="preserve">En esa tesitura, atendiendo a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notificó la respuesta a la solicitud de acceso a la información pública el día</w:t>
      </w:r>
      <w:r w:rsidRPr="003765FB">
        <w:rPr>
          <w:rFonts w:ascii="Palatino Linotype" w:eastAsia="Palatino Linotype" w:hAnsi="Palatino Linotype" w:cs="Palatino Linotype"/>
          <w:b/>
        </w:rPr>
        <w:t xml:space="preserve"> once de de mayo de dos mil veintidós</w:t>
      </w:r>
      <w:r w:rsidRPr="003765FB">
        <w:rPr>
          <w:rFonts w:ascii="Palatino Linotype" w:eastAsia="Palatino Linotype" w:hAnsi="Palatino Linotype" w:cs="Palatino Linotype"/>
        </w:rPr>
        <w:t xml:space="preserve">, así el plazo de quince días hábiles que el artículo 178 de la Ley de la materia otorga al </w:t>
      </w:r>
      <w:r w:rsidRPr="003765FB">
        <w:rPr>
          <w:rFonts w:ascii="Palatino Linotype" w:eastAsia="Palatino Linotype" w:hAnsi="Palatino Linotype" w:cs="Palatino Linotype"/>
          <w:b/>
        </w:rPr>
        <w:t xml:space="preserve"> RECURRENTE</w:t>
      </w:r>
      <w:r w:rsidRPr="003765FB">
        <w:rPr>
          <w:rFonts w:ascii="Palatino Linotype" w:eastAsia="Palatino Linotype" w:hAnsi="Palatino Linotype" w:cs="Palatino Linotype"/>
        </w:rPr>
        <w:t xml:space="preserve"> para presentar el respectivo Recurso de Revisión, transcurrió del</w:t>
      </w:r>
      <w:r w:rsidRPr="003765FB">
        <w:rPr>
          <w:rFonts w:ascii="Palatino Linotype" w:eastAsia="Palatino Linotype" w:hAnsi="Palatino Linotype" w:cs="Palatino Linotype"/>
          <w:b/>
        </w:rPr>
        <w:t xml:space="preserve"> doce de mayo al uno de junio de dos mil veintidós.</w:t>
      </w:r>
      <w:r w:rsidRPr="003765FB">
        <w:rPr>
          <w:rFonts w:ascii="Palatino Linotype" w:eastAsia="Palatino Linotype" w:hAnsi="Palatino Linotype" w:cs="Palatino Linotype"/>
        </w:rPr>
        <w:t xml:space="preserve"> Sin contemplar en el cómputo los días catorce, quince, veintiuno, veintidós, veintiocho y veintinueve de mayo de dos mil veintidós por corresponder a sábados y domingos, considerados como días inhábiles, en términos del artículo 3, fracción X de la Ley de Transparencia y Acceso a la Información Pública del Estado de México y Municipios.</w:t>
      </w:r>
    </w:p>
    <w:p w:rsidR="00910D03" w:rsidRPr="003765FB" w:rsidRDefault="00910D03">
      <w:pPr>
        <w:spacing w:line="360" w:lineRule="auto"/>
        <w:jc w:val="both"/>
        <w:rPr>
          <w:rFonts w:ascii="Palatino Linotype" w:eastAsia="Palatino Linotype" w:hAnsi="Palatino Linotype" w:cs="Palatino Linotype"/>
        </w:rPr>
      </w:pPr>
      <w:bookmarkStart w:id="6" w:name="_heading=h.p48h4hnhg60k" w:colFirst="0" w:colLast="0"/>
      <w:bookmarkEnd w:id="6"/>
    </w:p>
    <w:p w:rsidR="00910D03" w:rsidRPr="003765FB" w:rsidRDefault="00107658">
      <w:pPr>
        <w:spacing w:line="360" w:lineRule="auto"/>
        <w:ind w:left="-5" w:hanging="10"/>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ese tenor, se advierte que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presentó el medio de impugnación, el día  veintitrés de mayo de la anualidad y por tanto su interposición se considera oportuna.  </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b/>
        </w:rPr>
      </w:pPr>
      <w:r w:rsidRPr="003765FB">
        <w:rPr>
          <w:rFonts w:ascii="Palatino Linotype" w:eastAsia="Palatino Linotype" w:hAnsi="Palatino Linotype" w:cs="Palatino Linotype"/>
          <w:b/>
          <w:sz w:val="28"/>
          <w:szCs w:val="28"/>
        </w:rPr>
        <w:lastRenderedPageBreak/>
        <w:t>CUARTO</w:t>
      </w:r>
      <w:r w:rsidRPr="003765FB">
        <w:rPr>
          <w:rFonts w:ascii="Palatino Linotype" w:eastAsia="Palatino Linotype" w:hAnsi="Palatino Linotype" w:cs="Palatino Linotype"/>
          <w:b/>
        </w:rPr>
        <w:t xml:space="preserve">. Procedibilidad. </w:t>
      </w: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rsidR="00910D03" w:rsidRPr="003765FB" w:rsidRDefault="00910D03">
      <w:pPr>
        <w:ind w:right="49"/>
        <w:jc w:val="both"/>
        <w:rPr>
          <w:rFonts w:ascii="Palatino Linotype" w:eastAsia="Palatino Linotype" w:hAnsi="Palatino Linotype" w:cs="Palatino Linotype"/>
        </w:rPr>
      </w:pPr>
    </w:p>
    <w:p w:rsidR="00910D03" w:rsidRPr="003765FB" w:rsidRDefault="00107658">
      <w:pPr>
        <w:tabs>
          <w:tab w:val="left" w:pos="851"/>
        </w:tabs>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 xml:space="preserve">“Artículo 180. </w:t>
      </w:r>
      <w:r w:rsidRPr="003765FB">
        <w:rPr>
          <w:rFonts w:ascii="Palatino Linotype" w:eastAsia="Palatino Linotype" w:hAnsi="Palatino Linotype" w:cs="Palatino Linotype"/>
          <w:i/>
          <w:sz w:val="22"/>
          <w:szCs w:val="22"/>
        </w:rPr>
        <w:t>El Recurso de Revisión contendrá:</w:t>
      </w:r>
      <w:r w:rsidRPr="003765FB">
        <w:rPr>
          <w:rFonts w:ascii="Palatino Linotype" w:eastAsia="Palatino Linotype" w:hAnsi="Palatino Linotype" w:cs="Palatino Linotype"/>
          <w:b/>
          <w:i/>
          <w:sz w:val="22"/>
          <w:szCs w:val="22"/>
        </w:rPr>
        <w:t xml:space="preserve"> </w:t>
      </w:r>
    </w:p>
    <w:p w:rsidR="00910D03" w:rsidRPr="003765FB" w:rsidRDefault="00107658">
      <w:pPr>
        <w:tabs>
          <w:tab w:val="left" w:pos="851"/>
        </w:tabs>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w:t>
      </w:r>
    </w:p>
    <w:p w:rsidR="00910D03" w:rsidRPr="003765FB" w:rsidRDefault="00107658">
      <w:pPr>
        <w:tabs>
          <w:tab w:val="left" w:pos="851"/>
        </w:tabs>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II. El nombre del solicitante que recurre </w:t>
      </w:r>
      <w:r w:rsidRPr="003765FB">
        <w:rPr>
          <w:rFonts w:ascii="Palatino Linotype" w:eastAsia="Palatino Linotype" w:hAnsi="Palatino Linotype" w:cs="Palatino Linotype"/>
          <w:i/>
          <w:sz w:val="22"/>
          <w:szCs w:val="22"/>
        </w:rPr>
        <w:t>o de su representante y, en su caso, …</w:t>
      </w:r>
    </w:p>
    <w:p w:rsidR="00910D03" w:rsidRPr="003765FB" w:rsidRDefault="00107658">
      <w:pPr>
        <w:tabs>
          <w:tab w:val="left" w:pos="851"/>
        </w:tabs>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3765FB">
        <w:rPr>
          <w:rFonts w:ascii="Palatino Linotype" w:eastAsia="Palatino Linotype" w:hAnsi="Palatino Linotype" w:cs="Palatino Linotype"/>
          <w:i/>
          <w:sz w:val="22"/>
          <w:szCs w:val="22"/>
        </w:rPr>
        <w:t>, IV, VII y VIII.</w:t>
      </w:r>
      <w:r w:rsidRPr="003765FB">
        <w:rPr>
          <w:rFonts w:ascii="Palatino Linotype" w:eastAsia="Palatino Linotype" w:hAnsi="Palatino Linotype" w:cs="Palatino Linotype"/>
          <w:b/>
          <w:i/>
          <w:sz w:val="22"/>
          <w:szCs w:val="22"/>
        </w:rPr>
        <w:t>”</w:t>
      </w:r>
    </w:p>
    <w:p w:rsidR="00910D03" w:rsidRPr="003765FB" w:rsidRDefault="00107658">
      <w:pPr>
        <w:tabs>
          <w:tab w:val="left" w:pos="851"/>
        </w:tabs>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(Énfasis añadido)</w:t>
      </w:r>
    </w:p>
    <w:p w:rsidR="00910D03" w:rsidRPr="003765FB" w:rsidRDefault="00910D03">
      <w:pPr>
        <w:tabs>
          <w:tab w:val="left" w:pos="851"/>
        </w:tabs>
        <w:ind w:right="901"/>
        <w:jc w:val="both"/>
        <w:rPr>
          <w:rFonts w:ascii="Palatino Linotype" w:eastAsia="Palatino Linotype" w:hAnsi="Palatino Linotype" w:cs="Palatino Linotype"/>
          <w:i/>
          <w:sz w:val="22"/>
          <w:szCs w:val="22"/>
        </w:rPr>
      </w:pP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3765FB">
        <w:rPr>
          <w:rFonts w:ascii="Palatino Linotype" w:eastAsia="Palatino Linotype" w:hAnsi="Palatino Linotype" w:cs="Palatino Linotype"/>
          <w:b/>
        </w:rPr>
        <w:t xml:space="preserve">  RECURRENTE;</w:t>
      </w:r>
      <w:r w:rsidRPr="003765FB">
        <w:rPr>
          <w:rFonts w:ascii="Palatino Linotype" w:eastAsia="Palatino Linotype" w:hAnsi="Palatino Linotype" w:cs="Palatino Linotype"/>
        </w:rPr>
        <w:t xml:space="preserve"> por lo que, en el presente caso, al haber sido presentado el Recurso de Revisión vía </w:t>
      </w:r>
      <w:r w:rsidRPr="003765FB">
        <w:rPr>
          <w:rFonts w:ascii="Palatino Linotype" w:eastAsia="Palatino Linotype" w:hAnsi="Palatino Linotype" w:cs="Palatino Linotype"/>
          <w:b/>
        </w:rPr>
        <w:t>SAIMEX</w:t>
      </w:r>
      <w:r w:rsidRPr="003765FB">
        <w:rPr>
          <w:rFonts w:ascii="Palatino Linotype" w:eastAsia="Palatino Linotype" w:hAnsi="Palatino Linotype" w:cs="Palatino Linotype"/>
        </w:rPr>
        <w:t>, dicho requisito resulta innecesario.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3765FB">
        <w:rPr>
          <w:rFonts w:ascii="Palatino Linotype" w:eastAsia="Palatino Linotype" w:hAnsi="Palatino Linotype" w:cs="Palatino Linotype"/>
          <w:b/>
          <w:u w:val="single"/>
        </w:rPr>
        <w:t xml:space="preserve">el nombre no es un requisito </w:t>
      </w:r>
      <w:r w:rsidRPr="003765FB">
        <w:rPr>
          <w:rFonts w:ascii="Palatino Linotype" w:eastAsia="Palatino Linotype" w:hAnsi="Palatino Linotype" w:cs="Palatino Linotype"/>
          <w:b/>
          <w:i/>
          <w:u w:val="single"/>
        </w:rPr>
        <w:t>sine qua non</w:t>
      </w:r>
      <w:r w:rsidRPr="003765FB">
        <w:rPr>
          <w:rFonts w:ascii="Palatino Linotype" w:eastAsia="Palatino Linotype" w:hAnsi="Palatino Linotype" w:cs="Palatino Linotype"/>
        </w:rPr>
        <w:t xml:space="preserve"> para que los particulares ejerzan el derecho </w:t>
      </w:r>
      <w:r w:rsidRPr="003765FB">
        <w:rPr>
          <w:rFonts w:ascii="Palatino Linotype" w:eastAsia="Palatino Linotype" w:hAnsi="Palatino Linotype" w:cs="Palatino Linotype"/>
        </w:rPr>
        <w:lastRenderedPageBreak/>
        <w:t>de acceso a la información pública, pues por el contrario la Ley de la materia prevé en su artículo 155, párrafo segundo la posibilidad de que las solicitudes de información sean anónimas, al utilizar un nombre incompleto o, inclusive un seudónimo.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910D03" w:rsidRPr="003765FB" w:rsidRDefault="00910D03">
      <w:pPr>
        <w:tabs>
          <w:tab w:val="left" w:pos="851"/>
        </w:tabs>
        <w:spacing w:line="360" w:lineRule="auto"/>
        <w:ind w:left="851" w:right="901"/>
        <w:jc w:val="both"/>
        <w:rPr>
          <w:rFonts w:ascii="Palatino Linotype" w:eastAsia="Palatino Linotype" w:hAnsi="Palatino Linotype" w:cs="Palatino Linotype"/>
          <w:sz w:val="22"/>
          <w:szCs w:val="22"/>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Asimismo, se estima que el requisito relativo al nombre del </w:t>
      </w:r>
      <w:r w:rsidRPr="003765FB">
        <w:rPr>
          <w:rFonts w:ascii="Palatino Linotype" w:eastAsia="Palatino Linotype" w:hAnsi="Palatino Linotype" w:cs="Palatino Linotype"/>
          <w:b/>
        </w:rPr>
        <w:t>RECURRENTE</w:t>
      </w:r>
      <w:r w:rsidRPr="003765FB">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es la misma persona que realizó la solicitud de acceso a la información pública que ahora se impugna.</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Es así que, para el estudio de la materia sobre la que se resuelve el presente Recurso de Revisión, resulta intrascendente conocer el nombre completo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sz w:val="28"/>
          <w:szCs w:val="28"/>
        </w:rPr>
        <w:t>QUINTO</w:t>
      </w:r>
      <w:r w:rsidRPr="003765FB">
        <w:rPr>
          <w:rFonts w:ascii="Palatino Linotype" w:eastAsia="Palatino Linotype" w:hAnsi="Palatino Linotype" w:cs="Palatino Linotype"/>
          <w:b/>
        </w:rPr>
        <w:t xml:space="preserve">. Estudio y resolución del asunto. </w:t>
      </w:r>
    </w:p>
    <w:p w:rsidR="00910D03" w:rsidRPr="003765FB" w:rsidRDefault="00107658">
      <w:pPr>
        <w:tabs>
          <w:tab w:val="left" w:pos="709"/>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primera instancia es importante precisar que,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solicitó al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lo siguiente: </w:t>
      </w:r>
    </w:p>
    <w:p w:rsidR="00910D03" w:rsidRPr="003765FB" w:rsidRDefault="00107658">
      <w:pPr>
        <w:numPr>
          <w:ilvl w:val="0"/>
          <w:numId w:val="2"/>
        </w:numPr>
        <w:tabs>
          <w:tab w:val="left" w:pos="709"/>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Recibos de nómina de los trabajadores del Ayuntamiento, Directores, Subdirectores, Coordinadores, Auxiliares y Personal Operativo desde Enero de 2022 hasta la fecha de ingreso de la solicitud</w:t>
      </w:r>
    </w:p>
    <w:p w:rsidR="00910D03" w:rsidRPr="003765FB" w:rsidRDefault="00107658">
      <w:pPr>
        <w:numPr>
          <w:ilvl w:val="0"/>
          <w:numId w:val="2"/>
        </w:numPr>
        <w:tabs>
          <w:tab w:val="left" w:pos="709"/>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Lista de los servidores públicos que ingresaron a laborar al Ayuntamiento desde Enero de 2022 hasta la fecha, sueldo mensual bruto, y neto. </w:t>
      </w:r>
    </w:p>
    <w:p w:rsidR="00910D03" w:rsidRPr="003765FB" w:rsidRDefault="00107658">
      <w:pPr>
        <w:numPr>
          <w:ilvl w:val="0"/>
          <w:numId w:val="2"/>
        </w:numPr>
        <w:tabs>
          <w:tab w:val="left" w:pos="709"/>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De los ciudadanos Ricardo García Becerril y Emmanuel Uriel Flores Gutiérrez, puesto que desempeñan, forma de pago, tipo de plaza que ocupan y horario de labores.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 xml:space="preserve">Atento a lo anterior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dio respuesta, adjuntando el documento denominado “respuesta 138.pdf” de cuyo contenido se aprecia el oficio número XON/UT/0260/2022 firmado en fecha once de mayo de dos mil veintidós por el Titular de la Unidad de Transparencia quien refiere que  la información solicitada, excede la cantidad 2000 fojas, por lo cual se pone a disposición del particular  para consulta directa en sus instalaciones.</w:t>
      </w:r>
    </w:p>
    <w:p w:rsidR="00910D03" w:rsidRPr="003765FB" w:rsidRDefault="00910D03">
      <w:pPr>
        <w:tabs>
          <w:tab w:val="left" w:pos="709"/>
        </w:tabs>
        <w:spacing w:line="360" w:lineRule="auto"/>
        <w:jc w:val="both"/>
        <w:rPr>
          <w:rFonts w:ascii="Palatino Linotype" w:eastAsia="Palatino Linotype" w:hAnsi="Palatino Linotype" w:cs="Palatino Linotype"/>
        </w:rPr>
      </w:pPr>
    </w:p>
    <w:p w:rsidR="00910D03" w:rsidRPr="003765FB" w:rsidRDefault="00107658">
      <w:pPr>
        <w:tabs>
          <w:tab w:val="left" w:pos="709"/>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Inconforme con la respuesta, el particular presentó el medio de impugnación en estudio, en el que se queja del cambio de modalidad realizado por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indicando que no se justifica dicho cambio. Lo cual, en consecuencia, actualiza las hipótesis de procedibilidad prevista en la fracción VIII, del artículo 179 de la Ley de la materia, el cual a la letra dice:</w:t>
      </w:r>
    </w:p>
    <w:p w:rsidR="00910D03" w:rsidRPr="003765FB" w:rsidRDefault="00107658">
      <w:pPr>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Artículo 179.</w:t>
      </w:r>
      <w:r w:rsidRPr="003765F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910D03" w:rsidRPr="003765FB" w:rsidRDefault="00107658">
      <w:pPr>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w:t>
      </w:r>
      <w:r w:rsidRPr="003765FB">
        <w:rPr>
          <w:rFonts w:ascii="Palatino Linotype" w:eastAsia="Palatino Linotype" w:hAnsi="Palatino Linotype" w:cs="Palatino Linotype"/>
          <w:i/>
          <w:sz w:val="22"/>
          <w:szCs w:val="22"/>
        </w:rPr>
        <w:t>”</w:t>
      </w:r>
    </w:p>
    <w:p w:rsidR="00910D03" w:rsidRPr="003765FB" w:rsidRDefault="00107658">
      <w:pPr>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(Énfasis añadido)</w:t>
      </w:r>
    </w:p>
    <w:p w:rsidR="00910D03" w:rsidRPr="003765FB" w:rsidRDefault="00910D03">
      <w:pPr>
        <w:ind w:left="851" w:right="901"/>
        <w:jc w:val="both"/>
        <w:rPr>
          <w:rFonts w:ascii="Palatino Linotype" w:eastAsia="Palatino Linotype" w:hAnsi="Palatino Linotype" w:cs="Palatino Linotype"/>
          <w:i/>
          <w:sz w:val="22"/>
          <w:szCs w:val="22"/>
        </w:rPr>
      </w:pP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situación que se actualiza en el caso en concreto.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 xml:space="preserve">De tal manera es importante referir, que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3765FB">
        <w:rPr>
          <w:rFonts w:ascii="Palatino Linotype" w:eastAsia="Palatino Linotype" w:hAnsi="Palatino Linotype" w:cs="Palatino Linotype"/>
          <w:b/>
          <w:u w:val="single"/>
        </w:rPr>
        <w:t>Vía SAIMEX</w:t>
      </w:r>
      <w:r w:rsidRPr="003765FB">
        <w:rPr>
          <w:rFonts w:ascii="Palatino Linotype" w:eastAsia="Palatino Linotype" w:hAnsi="Palatino Linotype" w:cs="Palatino Linotype"/>
        </w:rPr>
        <w:t>, como se aprecia de la imagen que se inserta a continuación:</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noProof/>
        </w:rPr>
        <w:drawing>
          <wp:inline distT="114300" distB="114300" distL="114300" distR="114300">
            <wp:extent cx="5791835" cy="2159000"/>
            <wp:effectExtent l="0" t="0" r="0" b="0"/>
            <wp:docPr id="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91835" cy="2159000"/>
                    </a:xfrm>
                    <a:prstGeom prst="rect">
                      <a:avLst/>
                    </a:prstGeom>
                    <a:ln/>
                  </pic:spPr>
                </pic:pic>
              </a:graphicData>
            </a:graphic>
          </wp:inline>
        </w:drawing>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este caso en particular, el solicitante eligió </w:t>
      </w:r>
      <w:r w:rsidRPr="003765FB">
        <w:rPr>
          <w:rFonts w:ascii="Palatino Linotype" w:eastAsia="Palatino Linotype" w:hAnsi="Palatino Linotype" w:cs="Palatino Linotype"/>
          <w:b/>
        </w:rPr>
        <w:t>EL SAIMEX</w:t>
      </w:r>
      <w:r w:rsidRPr="003765FB">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en respuesta únicamente indicó que la información excede la cantidad de dos mil fojas por lo que se ponía a disposición del particular como se puede apreciar a de la captura de pantalla que se inserta a continuación: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noProof/>
        </w:rPr>
        <w:lastRenderedPageBreak/>
        <w:drawing>
          <wp:inline distT="114300" distB="114300" distL="114300" distR="114300">
            <wp:extent cx="5791835" cy="2260600"/>
            <wp:effectExtent l="0" t="0" r="0" b="0"/>
            <wp:docPr id="4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91835" cy="2260600"/>
                    </a:xfrm>
                    <a:prstGeom prst="rect">
                      <a:avLst/>
                    </a:prstGeom>
                    <a:ln/>
                  </pic:spPr>
                </pic:pic>
              </a:graphicData>
            </a:graphic>
          </wp:inline>
        </w:drawing>
      </w:r>
      <w:r w:rsidRPr="003765FB">
        <w:rPr>
          <w:rFonts w:ascii="Palatino Linotype" w:eastAsia="Palatino Linotype" w:hAnsi="Palatino Linotype" w:cs="Palatino Linotype"/>
        </w:rPr>
        <w:t xml:space="preserve">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De la imagen se advierte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manifestó un caso de imposibilidad técnica y administrativa, para determinar cambiar la modalidad de entrega,  sin embargo, de la información remitida en respuesta no se acreditó que la información solicitada excediera las capacidades tanto administrativas respecto de su unidad como técnicas, en lo relativo al sistema electrónico </w:t>
      </w:r>
      <w:r w:rsidRPr="003765FB">
        <w:rPr>
          <w:rFonts w:ascii="Palatino Linotype" w:eastAsia="Palatino Linotype" w:hAnsi="Palatino Linotype" w:cs="Palatino Linotype"/>
          <w:b/>
        </w:rPr>
        <w:t>(SAIMEX),</w:t>
      </w:r>
      <w:r w:rsidRPr="003765FB">
        <w:rPr>
          <w:rFonts w:ascii="Palatino Linotype" w:eastAsia="Palatino Linotype" w:hAnsi="Palatino Linotype" w:cs="Palatino Linotype"/>
        </w:rPr>
        <w:t xml:space="preserve"> al cual se debe cargar dicha información para ser entregada.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Posteriormente, una vez abierta la etapa de manifestaciones remitió el documento de nombre </w:t>
      </w:r>
      <w:r w:rsidRPr="003765FB">
        <w:rPr>
          <w:rFonts w:ascii="Palatino Linotype" w:eastAsia="Palatino Linotype" w:hAnsi="Palatino Linotype" w:cs="Palatino Linotype"/>
          <w:i/>
        </w:rPr>
        <w:t>Manifestaciones a solicitud 138.pdf</w:t>
      </w:r>
      <w:r w:rsidRPr="003765FB">
        <w:rPr>
          <w:rFonts w:ascii="Palatino Linotype" w:eastAsia="Palatino Linotype" w:hAnsi="Palatino Linotype" w:cs="Palatino Linotype"/>
        </w:rPr>
        <w:t xml:space="preserve">  de cuyo contenido se advierte el Informe Justificado firmado por el Titular de la Unidad de Transparencia, quien se pronuncia sobre las manifestaciones del particular indicando que las fracciones del portal de IPOMEX se encuentran en proceso de actualización.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Asimismo señala que la información solicitada corresponde a un aproximado de 484 trabajadores, en un periodo de 10 quincenas, lo que asciende a la cantidad de 4840 fojas que se deben localizar, testar y poner a disposición del Comité de Transparencia.</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tal sentido, se observa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pretende sustentar el cambio de modalidad en el artículo 158 de la Ley de Transparencia y Acceso a la Información pública del Estado de México y Municipios, el cual señala lo siguiente: </w:t>
      </w:r>
    </w:p>
    <w:p w:rsidR="00910D03" w:rsidRPr="003765FB" w:rsidRDefault="00910D03">
      <w:pPr>
        <w:tabs>
          <w:tab w:val="left" w:pos="709"/>
        </w:tabs>
        <w:spacing w:line="360" w:lineRule="auto"/>
        <w:jc w:val="both"/>
        <w:rPr>
          <w:rFonts w:ascii="Palatino Linotype" w:eastAsia="Palatino Linotype" w:hAnsi="Palatino Linotype" w:cs="Palatino Linotype"/>
        </w:rPr>
      </w:pPr>
    </w:p>
    <w:p w:rsidR="00910D03" w:rsidRPr="003765FB" w:rsidRDefault="00107658">
      <w:pPr>
        <w:widowControl w:val="0"/>
        <w:ind w:left="709" w:right="757"/>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Artículo 158.</w:t>
      </w:r>
    </w:p>
    <w:p w:rsidR="00910D03" w:rsidRPr="003765FB" w:rsidRDefault="00107658">
      <w:pPr>
        <w:widowControl w:val="0"/>
        <w:ind w:left="709" w:right="76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910D03" w:rsidRPr="003765FB" w:rsidRDefault="00107658">
      <w:pPr>
        <w:widowControl w:val="0"/>
        <w:ind w:left="709" w:right="76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910D03" w:rsidRPr="003765FB" w:rsidRDefault="00107658">
      <w:pPr>
        <w:widowControl w:val="0"/>
        <w:ind w:left="709" w:right="76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(Énfasis añadido)</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3765FB">
        <w:rPr>
          <w:rFonts w:ascii="Palatino Linotype" w:eastAsia="Palatino Linotype" w:hAnsi="Palatino Linotype" w:cs="Palatino Linotype"/>
          <w:b/>
        </w:rPr>
        <w:lastRenderedPageBreak/>
        <w:t>SUJETO OBLIGADO</w:t>
      </w:r>
      <w:r w:rsidRPr="003765FB">
        <w:rPr>
          <w:rFonts w:ascii="Palatino Linotype" w:eastAsia="Palatino Linotype" w:hAnsi="Palatino Linotype" w:cs="Palatino Linotype"/>
        </w:rPr>
        <w:t>, en términos del ordinal 158 citado con anterioridad.</w:t>
      </w:r>
    </w:p>
    <w:p w:rsidR="00910D03" w:rsidRPr="003765FB" w:rsidRDefault="00910D03">
      <w:pPr>
        <w:widowControl w:val="0"/>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Siendo importante referir que tanto de la respuesta proporcionada, así como del Informe Justificado remitidos por </w:t>
      </w:r>
      <w:r w:rsidRPr="003765FB">
        <w:rPr>
          <w:rFonts w:ascii="Palatino Linotype" w:eastAsia="Palatino Linotype" w:hAnsi="Palatino Linotype" w:cs="Palatino Linotype"/>
          <w:b/>
        </w:rPr>
        <w:t xml:space="preserve">EL SUJETO OBLIGADO, </w:t>
      </w:r>
      <w:r w:rsidRPr="003765FB">
        <w:rPr>
          <w:rFonts w:ascii="Palatino Linotype" w:eastAsia="Palatino Linotype" w:hAnsi="Palatino Linotype" w:cs="Palatino Linotype"/>
        </w:rPr>
        <w:t xml:space="preserve">no se puede determinar si dicha cantidad de hojas corresponde a toda la información solicitada o únicamente a los recibos de nómina. </w:t>
      </w:r>
    </w:p>
    <w:p w:rsidR="00910D03" w:rsidRPr="003765FB" w:rsidRDefault="00910D03">
      <w:pPr>
        <w:tabs>
          <w:tab w:val="left" w:pos="7938"/>
        </w:tabs>
        <w:spacing w:line="360" w:lineRule="auto"/>
        <w:jc w:val="both"/>
        <w:rPr>
          <w:rFonts w:ascii="Palatino Linotype" w:eastAsia="Palatino Linotype" w:hAnsi="Palatino Linotype" w:cs="Palatino Linotype"/>
        </w:rPr>
      </w:pPr>
    </w:p>
    <w:p w:rsidR="00910D03" w:rsidRPr="003765FB" w:rsidRDefault="00107658">
      <w:pPr>
        <w:tabs>
          <w:tab w:val="left" w:pos="7938"/>
        </w:tabs>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lo anterior, y efecto de mejor proveer, esta Ponencia hizo un requerimiento de información adicional en fecha veintitrés de agosto de dos mil veintidós. Posteriormente en fecha veintisiete de septiembre de dos mil veintidós, se recibieron por correo dos documentos, el primero de ellos de nombre </w:t>
      </w:r>
      <w:r w:rsidRPr="003765FB">
        <w:rPr>
          <w:rFonts w:ascii="Palatino Linotype" w:eastAsia="Palatino Linotype" w:hAnsi="Palatino Linotype" w:cs="Palatino Linotype"/>
          <w:i/>
        </w:rPr>
        <w:t xml:space="preserve">Oficio de Tesoreria.pdf </w:t>
      </w:r>
      <w:r w:rsidRPr="003765FB">
        <w:rPr>
          <w:rFonts w:ascii="Palatino Linotype" w:eastAsia="Palatino Linotype" w:hAnsi="Palatino Linotype" w:cs="Palatino Linotype"/>
        </w:rPr>
        <w:t xml:space="preserve">de cuyo contenido se advierte el Oficio número XON/TM/0493/2022  firmado por el Tesorero Municipal en fecha trece de septiembre de dos mil veintidós, en el que refiere que el Titular de la Unidad de Transparencia es la única persona adscrita a la Unidad. Se inserta captura de pantalla para mayor referencia: </w:t>
      </w: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noProof/>
        </w:rPr>
        <w:lastRenderedPageBreak/>
        <w:drawing>
          <wp:inline distT="114300" distB="114300" distL="114300" distR="114300">
            <wp:extent cx="5791835" cy="5397500"/>
            <wp:effectExtent l="0" t="0" r="0" b="0"/>
            <wp:docPr id="4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91835" cy="5397500"/>
                    </a:xfrm>
                    <a:prstGeom prst="rect">
                      <a:avLst/>
                    </a:prstGeom>
                    <a:ln/>
                  </pic:spPr>
                </pic:pic>
              </a:graphicData>
            </a:graphic>
          </wp:inline>
        </w:drawing>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El segundo de ellos denominado </w:t>
      </w:r>
      <w:r w:rsidRPr="003765FB">
        <w:rPr>
          <w:rFonts w:ascii="Palatino Linotype" w:eastAsia="Palatino Linotype" w:hAnsi="Palatino Linotype" w:cs="Palatino Linotype"/>
          <w:i/>
        </w:rPr>
        <w:t xml:space="preserve">Acta de Comité … Transparencia.pdf, </w:t>
      </w:r>
      <w:r w:rsidRPr="003765FB">
        <w:rPr>
          <w:rFonts w:ascii="Palatino Linotype" w:eastAsia="Palatino Linotype" w:hAnsi="Palatino Linotype" w:cs="Palatino Linotype"/>
        </w:rPr>
        <w:t xml:space="preserve">mismo que contiene al Acta de la Décima Sesión Extraordinaria  del Comité de Transparencia del </w:t>
      </w:r>
      <w:r w:rsidRPr="003765FB">
        <w:rPr>
          <w:rFonts w:ascii="Palatino Linotype" w:eastAsia="Palatino Linotype" w:hAnsi="Palatino Linotype" w:cs="Palatino Linotype"/>
          <w:b/>
        </w:rPr>
        <w:t xml:space="preserve">SUJETO OBLIGADO </w:t>
      </w:r>
      <w:r w:rsidRPr="003765FB">
        <w:rPr>
          <w:rFonts w:ascii="Palatino Linotype" w:eastAsia="Palatino Linotype" w:hAnsi="Palatino Linotype" w:cs="Palatino Linotype"/>
        </w:rPr>
        <w:t xml:space="preserve">de fecha veintiséis de septiembre de dos mil veintidós, mediante </w:t>
      </w:r>
      <w:r w:rsidRPr="003765FB">
        <w:rPr>
          <w:rFonts w:ascii="Palatino Linotype" w:eastAsia="Palatino Linotype" w:hAnsi="Palatino Linotype" w:cs="Palatino Linotype"/>
        </w:rPr>
        <w:lastRenderedPageBreak/>
        <w:t xml:space="preserve">la cual se aprobó el cambio de modalidad a consulta directa de la información solicitada. Tal y como se advierte de las imágenes que se insertan a continuación: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noProof/>
        </w:rPr>
        <w:drawing>
          <wp:inline distT="114300" distB="114300" distL="114300" distR="114300">
            <wp:extent cx="5638800" cy="6286500"/>
            <wp:effectExtent l="0" t="0" r="0" b="0"/>
            <wp:docPr id="4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38800" cy="6286500"/>
                    </a:xfrm>
                    <a:prstGeom prst="rect">
                      <a:avLst/>
                    </a:prstGeom>
                    <a:ln/>
                  </pic:spPr>
                </pic:pic>
              </a:graphicData>
            </a:graphic>
          </wp:inline>
        </w:drawing>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noProof/>
        </w:rPr>
        <w:lastRenderedPageBreak/>
        <w:drawing>
          <wp:inline distT="114300" distB="114300" distL="114300" distR="114300">
            <wp:extent cx="5753100" cy="1903018"/>
            <wp:effectExtent l="0" t="0" r="0" b="0"/>
            <wp:docPr id="4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25727"/>
                    <a:stretch>
                      <a:fillRect/>
                    </a:stretch>
                  </pic:blipFill>
                  <pic:spPr>
                    <a:xfrm>
                      <a:off x="0" y="0"/>
                      <a:ext cx="5753100" cy="1903018"/>
                    </a:xfrm>
                    <a:prstGeom prst="rect">
                      <a:avLst/>
                    </a:prstGeom>
                    <a:ln/>
                  </pic:spPr>
                </pic:pic>
              </a:graphicData>
            </a:graphic>
          </wp:inline>
        </w:drawing>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noProof/>
        </w:rPr>
        <w:drawing>
          <wp:inline distT="114300" distB="114300" distL="114300" distR="114300">
            <wp:extent cx="5791835" cy="4610100"/>
            <wp:effectExtent l="0" t="0" r="0" b="0"/>
            <wp:docPr id="4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91835" cy="4610100"/>
                    </a:xfrm>
                    <a:prstGeom prst="rect">
                      <a:avLst/>
                    </a:prstGeom>
                    <a:ln/>
                  </pic:spPr>
                </pic:pic>
              </a:graphicData>
            </a:graphic>
          </wp:inline>
        </w:drawing>
      </w:r>
    </w:p>
    <w:p w:rsidR="00910D03" w:rsidRPr="003765FB" w:rsidRDefault="00107658">
      <w:pPr>
        <w:spacing w:line="360" w:lineRule="auto"/>
        <w:jc w:val="both"/>
        <w:rPr>
          <w:rFonts w:ascii="Palatino Linotype" w:eastAsia="Palatino Linotype" w:hAnsi="Palatino Linotype" w:cs="Palatino Linotype"/>
          <w:i/>
        </w:rPr>
      </w:pPr>
      <w:r w:rsidRPr="003765FB">
        <w:rPr>
          <w:rFonts w:ascii="Palatino Linotype" w:eastAsia="Palatino Linotype" w:hAnsi="Palatino Linotype" w:cs="Palatino Linotype"/>
          <w:i/>
        </w:rPr>
        <w:t xml:space="preserve"> </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 xml:space="preserve">Del Acta antes referida, se observa que parte de la información solicitada asciende a la cantidad de 4840 fojas, aunado al hecho de que la Unidad de Transparencia actualmente  se encuentra dentro del proceso de Verificación oficiosa del Instituto de Transparencia, Acceso a la Información Pública y Protección a Datos Personales, por lo que no cuenta con la capacidad de dar respuesta a la solicitud mediante el sistema en el tiempo requerido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Asimismo del Oficio firmado por el Titular de la Tesorería Municipal, se advierte que la Unidad de Transparencia no cuenta con la capacidad administrativa para procesar la información solicitada, ya que a ella únicamente se encuentra adscrito el Titular de la Unidad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otra parte, este Instituto considera que la cantidad de información que da cuenta de lo solicitado, necesita un análisis, procesamiento y estudio ya que la cantidad de hojas referida es relativa solo a los recibos de nómina; sin embargo, la información solicitada abarca lista de personal, nombramientos, entre otros.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En ese contexto, cabe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 xml:space="preserve">Siendo esta una causa legalmente establecida por la </w:t>
      </w:r>
      <w:r w:rsidRPr="003765FB">
        <w:rPr>
          <w:rFonts w:ascii="Palatino Linotype" w:eastAsia="Palatino Linotype" w:hAnsi="Palatino Linotype" w:cs="Palatino Linotype"/>
          <w:b/>
        </w:rPr>
        <w:t xml:space="preserve">Ley de Transparencia y Acceso a la Información Pública del Estado de México y Municipios </w:t>
      </w:r>
      <w:r w:rsidRPr="003765FB">
        <w:rPr>
          <w:rFonts w:ascii="Palatino Linotype" w:eastAsia="Palatino Linotype" w:hAnsi="Palatino Linotype" w:cs="Palatino Linotype"/>
        </w:rPr>
        <w:t xml:space="preserve">en su artículo 164, que versa de la siguiente forma: </w:t>
      </w:r>
    </w:p>
    <w:p w:rsidR="00910D03" w:rsidRPr="003765FB" w:rsidRDefault="00910D03">
      <w:pPr>
        <w:ind w:left="708"/>
        <w:rPr>
          <w:rFonts w:ascii="Palatino Linotype" w:eastAsia="Palatino Linotype" w:hAnsi="Palatino Linotype" w:cs="Palatino Linotype"/>
          <w:sz w:val="18"/>
          <w:szCs w:val="18"/>
        </w:rPr>
      </w:pPr>
    </w:p>
    <w:p w:rsidR="00910D03" w:rsidRPr="003765FB" w:rsidRDefault="00107658">
      <w:pPr>
        <w:ind w:left="851" w:right="899"/>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“Artículo 164.</w:t>
      </w:r>
      <w:r w:rsidRPr="003765FB">
        <w:rPr>
          <w:rFonts w:ascii="Palatino Linotype" w:eastAsia="Palatino Linotype" w:hAnsi="Palatino Linotype" w:cs="Palatino Linotype"/>
          <w:i/>
          <w:sz w:val="22"/>
          <w:szCs w:val="22"/>
        </w:rPr>
        <w:t xml:space="preserve"> El acceso se dará en la modalidad de entrega y, en su caso, de envío elegidos por el solicitante. </w:t>
      </w:r>
      <w:r w:rsidRPr="003765FB">
        <w:rPr>
          <w:rFonts w:ascii="Palatino Linotype" w:eastAsia="Palatino Linotype" w:hAnsi="Palatino Linotype" w:cs="Palatino Linotype"/>
          <w:b/>
          <w:i/>
          <w:sz w:val="22"/>
          <w:szCs w:val="22"/>
        </w:rPr>
        <w:t>Cuando la información no pueda entregarse o enviarse en la modalidad solicitada,</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el sujeto obligado deberá ofrecer otra u otras modalidades de entrega.</w:t>
      </w:r>
    </w:p>
    <w:p w:rsidR="00910D03" w:rsidRPr="003765FB" w:rsidRDefault="00107658">
      <w:pPr>
        <w:ind w:left="851" w:right="85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cualquier caso, se deberá fundar y motivar la necesidad de ofrecer otras modalidades.” (Sic)</w:t>
      </w:r>
    </w:p>
    <w:p w:rsidR="00910D03" w:rsidRPr="003765FB" w:rsidRDefault="00910D03">
      <w:pPr>
        <w:shd w:val="clear" w:color="auto" w:fill="FFFFFF"/>
        <w:ind w:right="616"/>
        <w:jc w:val="both"/>
        <w:rPr>
          <w:rFonts w:ascii="Palatino Linotype" w:eastAsia="Palatino Linotype" w:hAnsi="Palatino Linotype" w:cs="Palatino Linotype"/>
          <w:sz w:val="22"/>
          <w:szCs w:val="22"/>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No obstante, se advierte que el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le otorgó a la solicitante un periodo del dieciséis a veinte de mayo de la anualidad para llevarse a cabo la consulta directa; lo que fue restrictivo en cuanto al tiempo de consulta de la información, además que dicho plazo ya transcurrió a la fecha de la resolución, razón por lo cual, en términos de lo señalado por el segundo párrafo del artículo 166 de la Ley de la Materia que señala: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ind w:left="851" w:right="85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Artículo 166.</w:t>
      </w:r>
      <w:r w:rsidRPr="003765FB">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rsidR="00910D03" w:rsidRPr="003765FB" w:rsidRDefault="00107658">
      <w:pPr>
        <w:ind w:left="851" w:right="85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La Unidad de Transparencia tendrá disponible la información solicitada, </w:t>
      </w:r>
      <w:r w:rsidRPr="003765FB">
        <w:rPr>
          <w:rFonts w:ascii="Palatino Linotype" w:eastAsia="Palatino Linotype" w:hAnsi="Palatino Linotype" w:cs="Palatino Linotype"/>
          <w:b/>
          <w:i/>
          <w:sz w:val="22"/>
          <w:szCs w:val="22"/>
          <w:u w:val="single"/>
        </w:rPr>
        <w:t>durante un plazo mínimo de sesenta días hábiles</w:t>
      </w:r>
      <w:r w:rsidRPr="003765FB">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3765FB">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w:t>
      </w:r>
      <w:r w:rsidRPr="003765FB">
        <w:rPr>
          <w:rFonts w:ascii="Palatino Linotype" w:eastAsia="Palatino Linotype" w:hAnsi="Palatino Linotype" w:cs="Palatino Linotype"/>
          <w:i/>
          <w:sz w:val="22"/>
          <w:szCs w:val="22"/>
        </w:rPr>
        <w:lastRenderedPageBreak/>
        <w:t xml:space="preserve">entenderá negada y el solicitante podrá interponer el recurso de revisión previsto en este ordenamiento. </w:t>
      </w:r>
    </w:p>
    <w:p w:rsidR="00910D03" w:rsidRPr="003765FB" w:rsidRDefault="00107658">
      <w:pPr>
        <w:ind w:left="851" w:right="85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Una vez entregada la información, el solicitante acusará recibo por escrito, dándose por terminado el trámite de acceso a la información” </w:t>
      </w:r>
    </w:p>
    <w:p w:rsidR="00910D03" w:rsidRPr="003765FB" w:rsidRDefault="00107658">
      <w:pPr>
        <w:ind w:left="851" w:right="85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(Énfasis añadido)</w:t>
      </w:r>
    </w:p>
    <w:p w:rsidR="00910D03" w:rsidRPr="003765FB" w:rsidRDefault="00910D03">
      <w:pPr>
        <w:tabs>
          <w:tab w:val="left" w:pos="7938"/>
        </w:tabs>
        <w:spacing w:line="360" w:lineRule="auto"/>
        <w:jc w:val="both"/>
        <w:rPr>
          <w:rFonts w:ascii="Palatino Linotype" w:eastAsia="Palatino Linotype" w:hAnsi="Palatino Linotype" w:cs="Palatino Linotype"/>
        </w:rPr>
      </w:pPr>
    </w:p>
    <w:p w:rsidR="00910D03" w:rsidRPr="003765FB" w:rsidRDefault="00107658">
      <w:pPr>
        <w:tabs>
          <w:tab w:val="left" w:pos="709"/>
        </w:tabs>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Una vez precisado lo anterior, con respecto a la naturaleza de la información es preciso remitirnos a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10D03" w:rsidRPr="003765FB" w:rsidRDefault="00107658">
      <w:pPr>
        <w:spacing w:before="240"/>
        <w:ind w:left="709" w:right="76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Artículo 4</w:t>
      </w:r>
      <w:r w:rsidRPr="003765F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10D03" w:rsidRPr="003765FB" w:rsidRDefault="00107658">
      <w:pPr>
        <w:ind w:left="709" w:right="760"/>
        <w:jc w:val="both"/>
        <w:rPr>
          <w:rFonts w:ascii="Palatino Linotype" w:eastAsia="Palatino Linotype" w:hAnsi="Palatino Linotype" w:cs="Palatino Linotype"/>
          <w:i/>
          <w:sz w:val="22"/>
          <w:szCs w:val="22"/>
        </w:rPr>
      </w:pPr>
      <w:bookmarkStart w:id="7" w:name="_heading=h.gjdgxs" w:colFirst="0" w:colLast="0"/>
      <w:bookmarkEnd w:id="7"/>
      <w:r w:rsidRPr="003765F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765F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10D03" w:rsidRPr="003765FB" w:rsidRDefault="00107658">
      <w:pPr>
        <w:ind w:left="709" w:right="76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765FB">
        <w:rPr>
          <w:rFonts w:ascii="Palatino Linotype" w:eastAsia="Palatino Linotype" w:hAnsi="Palatino Linotype" w:cs="Palatino Linotype"/>
          <w:i/>
          <w:sz w:val="22"/>
          <w:szCs w:val="22"/>
        </w:rPr>
        <w:t>.”(Sic)</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910D03" w:rsidRPr="003765FB" w:rsidRDefault="00107658">
      <w:pPr>
        <w:ind w:left="567" w:right="758"/>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“Artículo 12.-</w:t>
      </w:r>
      <w:r w:rsidRPr="003765F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10D03" w:rsidRPr="003765FB" w:rsidRDefault="00910D03">
      <w:pPr>
        <w:ind w:left="567" w:right="758"/>
        <w:jc w:val="both"/>
        <w:rPr>
          <w:rFonts w:ascii="Palatino Linotype" w:eastAsia="Palatino Linotype" w:hAnsi="Palatino Linotype" w:cs="Palatino Linotype"/>
          <w:i/>
          <w:sz w:val="22"/>
          <w:szCs w:val="22"/>
        </w:rPr>
      </w:pPr>
    </w:p>
    <w:p w:rsidR="00910D03" w:rsidRPr="003765FB" w:rsidRDefault="00107658">
      <w:pPr>
        <w:ind w:left="567" w:right="758"/>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910D03" w:rsidRPr="003765FB" w:rsidRDefault="00910D03">
      <w:pPr>
        <w:spacing w:line="360" w:lineRule="auto"/>
        <w:ind w:right="-93"/>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w:t>
      </w:r>
      <w:r w:rsidRPr="003765FB">
        <w:rPr>
          <w:rFonts w:ascii="Palatino Linotype" w:eastAsia="Palatino Linotype" w:hAnsi="Palatino Linotype" w:cs="Palatino Linotype"/>
        </w:rPr>
        <w:lastRenderedPageBreak/>
        <w:t>clasificatorio del comité de transparencia y la versión pública que emita el servidor público habilitado de cada Sujeto Obligado; como así se establece en la Ley de Transparencia y Acceso a la Información Pública del Estado de México y Municipios.</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10D03" w:rsidRPr="003765FB" w:rsidRDefault="00910D03">
      <w:pPr>
        <w:ind w:left="851" w:right="899"/>
        <w:jc w:val="both"/>
        <w:rPr>
          <w:rFonts w:ascii="Palatino Linotype" w:eastAsia="Palatino Linotype" w:hAnsi="Palatino Linotype" w:cs="Palatino Linotype"/>
          <w:i/>
          <w:sz w:val="22"/>
          <w:szCs w:val="22"/>
        </w:rPr>
      </w:pP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 xml:space="preserve">Artículo 3. </w:t>
      </w:r>
      <w:r w:rsidRPr="003765FB">
        <w:rPr>
          <w:rFonts w:ascii="Palatino Linotype" w:eastAsia="Palatino Linotype" w:hAnsi="Palatino Linotype" w:cs="Palatino Linotype"/>
          <w:i/>
          <w:sz w:val="22"/>
          <w:szCs w:val="22"/>
        </w:rPr>
        <w:t>Para los efectos de la presente Ley se entenderá por:</w:t>
      </w: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p>
    <w:p w:rsidR="00910D03" w:rsidRPr="003765FB" w:rsidRDefault="00107658">
      <w:pPr>
        <w:ind w:left="851"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XI. Documento:</w:t>
      </w:r>
      <w:r w:rsidRPr="003765FB">
        <w:rPr>
          <w:rFonts w:ascii="Palatino Linotype" w:eastAsia="Palatino Linotype" w:hAnsi="Palatino Linotype" w:cs="Palatino Linotype"/>
          <w:i/>
          <w:sz w:val="22"/>
          <w:szCs w:val="22"/>
        </w:rPr>
        <w:t xml:space="preserve"> Los expedientes, reportes, estudios, actas</w:t>
      </w:r>
      <w:r w:rsidRPr="003765FB">
        <w:rPr>
          <w:rFonts w:ascii="Palatino Linotype" w:eastAsia="Palatino Linotype" w:hAnsi="Palatino Linotype" w:cs="Palatino Linotype"/>
          <w:b/>
          <w:i/>
          <w:sz w:val="22"/>
          <w:szCs w:val="22"/>
        </w:rPr>
        <w:t>,</w:t>
      </w:r>
      <w:r w:rsidRPr="003765F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910D03" w:rsidRPr="003765FB" w:rsidRDefault="00910D03">
      <w:pPr>
        <w:ind w:left="851" w:right="899"/>
        <w:jc w:val="both"/>
        <w:rPr>
          <w:rFonts w:ascii="Palatino Linotype" w:eastAsia="Palatino Linotype" w:hAnsi="Palatino Linotype" w:cs="Palatino Linotype"/>
          <w:sz w:val="22"/>
          <w:szCs w:val="22"/>
        </w:rPr>
      </w:pP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De la interpretación sistemática y armónica de los preceptos anteriores, se puede señalar que los Sujetos Obligados, deben privilegiar el derecho de Acceso a la </w:t>
      </w:r>
      <w:r w:rsidRPr="003765FB">
        <w:rPr>
          <w:rFonts w:ascii="Palatino Linotype" w:eastAsia="Palatino Linotype" w:hAnsi="Palatino Linotype" w:cs="Palatino Linotype"/>
        </w:rPr>
        <w:lastRenderedPageBreak/>
        <w:t xml:space="preserve">Información pública y el principio de máxima publicidad, poniendo a disposición de los particulares toda aquella información que generan poseen o administran en ejercicio de sus funciones, y que además conste un soporte documental como los son oficios, circulares, actas, entre otros. </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Así pues cabe destacar que de acuerdo con la normatividad que rige al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el articulo 220 K, fracción IV, de la Ley del Trabajo de los Servidores Públicos del Estado y Municipios, establece que los servidores públicos tienen derecho a recibir una remuneración, misma que debe constar documento donde se observe la prestación recibida, para mayor referencia se adjuntan los preceptos legales: </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ARTÍCULO 220 K</w:t>
      </w:r>
      <w:r w:rsidRPr="003765F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p>
    <w:p w:rsidR="00910D03" w:rsidRPr="003765FB" w:rsidRDefault="00107658">
      <w:pPr>
        <w:ind w:left="850" w:right="901"/>
        <w:jc w:val="both"/>
        <w:rPr>
          <w:rFonts w:ascii="Palatino Linotype" w:eastAsia="Palatino Linotype" w:hAnsi="Palatino Linotype" w:cs="Palatino Linotype"/>
          <w:i/>
          <w:sz w:val="22"/>
          <w:szCs w:val="22"/>
        </w:rPr>
      </w:pPr>
      <w:bookmarkStart w:id="8" w:name="_heading=h.1t3h5sf" w:colFirst="0" w:colLast="0"/>
      <w:bookmarkEnd w:id="8"/>
      <w:r w:rsidRPr="003765FB">
        <w:rPr>
          <w:rFonts w:ascii="Palatino Linotype" w:eastAsia="Palatino Linotype" w:hAnsi="Palatino Linotype" w:cs="Palatino Linotype"/>
          <w:b/>
          <w:i/>
          <w:sz w:val="22"/>
          <w:szCs w:val="22"/>
        </w:rPr>
        <w:t>IV. Recibos o las constancias de deposito o del medio de información magnética o electrónica que sean utilizadas para el pago de</w:t>
      </w:r>
      <w:r w:rsidRPr="003765FB">
        <w:rPr>
          <w:rFonts w:ascii="Palatino Linotype" w:eastAsia="Palatino Linotype" w:hAnsi="Palatino Linotype" w:cs="Palatino Linotype"/>
          <w:i/>
          <w:sz w:val="22"/>
          <w:szCs w:val="22"/>
        </w:rPr>
        <w:t xml:space="preserve"> salarios, </w:t>
      </w:r>
      <w:r w:rsidRPr="003765FB">
        <w:rPr>
          <w:rFonts w:ascii="Palatino Linotype" w:eastAsia="Palatino Linotype" w:hAnsi="Palatino Linotype" w:cs="Palatino Linotype"/>
          <w:b/>
          <w:i/>
          <w:sz w:val="22"/>
          <w:szCs w:val="22"/>
        </w:rPr>
        <w:t>prima vacacional</w:t>
      </w: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 xml:space="preserve"> aguinaldo y demás prestaciones establecidas en la presente ley; y</w:t>
      </w:r>
      <w:r w:rsidRPr="003765FB">
        <w:rPr>
          <w:rFonts w:ascii="Palatino Linotype" w:eastAsia="Palatino Linotype" w:hAnsi="Palatino Linotype" w:cs="Palatino Linotype"/>
          <w:i/>
          <w:sz w:val="22"/>
          <w:szCs w:val="22"/>
        </w:rPr>
        <w:t xml:space="preserve"> </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rsidR="00910D03" w:rsidRPr="003765FB" w:rsidRDefault="00107658">
      <w:pPr>
        <w:rPr>
          <w:rFonts w:ascii="Palatino Linotype" w:eastAsia="Palatino Linotype" w:hAnsi="Palatino Linotype" w:cs="Palatino Linotype"/>
          <w:sz w:val="20"/>
          <w:szCs w:val="20"/>
        </w:rPr>
      </w:pPr>
      <w:r w:rsidRPr="003765FB">
        <w:rPr>
          <w:rFonts w:ascii="Palatino Linotype" w:eastAsia="Palatino Linotype" w:hAnsi="Palatino Linotype" w:cs="Palatino Linotype"/>
          <w:sz w:val="20"/>
          <w:szCs w:val="20"/>
        </w:rPr>
        <w:lastRenderedPageBreak/>
        <w:t xml:space="preserve">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Siendo que toda institución o dependencia pública del Estado de México debe conservar las constancias documentales del pago de las prestaciones realizadas a su personal, cuando sea por depósito o mediante información electrónica, debiendo conservar dicha documentación durante el último año y un año después de que se extinga la relación laboral a través de los sistemas de digitalización o de información magnética o electrónica. </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tal sentido,es necesario señalar la fracción II del artículo 4 de la Ley de Fiscalización Superior del Estado de México, la cual señala: </w:t>
      </w:r>
    </w:p>
    <w:p w:rsidR="00910D03" w:rsidRPr="003765FB" w:rsidRDefault="00910D03">
      <w:pPr>
        <w:jc w:val="both"/>
        <w:rPr>
          <w:rFonts w:ascii="Palatino Linotype" w:eastAsia="Palatino Linotype" w:hAnsi="Palatino Linotype" w:cs="Palatino Linotype"/>
        </w:rPr>
      </w:pPr>
    </w:p>
    <w:p w:rsidR="00910D03" w:rsidRPr="003765FB" w:rsidRDefault="00107658">
      <w:pPr>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“Artículo 4. </w:t>
      </w:r>
      <w:r w:rsidRPr="003765FB">
        <w:rPr>
          <w:rFonts w:ascii="Palatino Linotype" w:eastAsia="Palatino Linotype" w:hAnsi="Palatino Linotype" w:cs="Palatino Linotype"/>
          <w:i/>
          <w:sz w:val="22"/>
          <w:szCs w:val="22"/>
        </w:rPr>
        <w:t>Son sujetos de fiscalización:</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w:t>
      </w:r>
    </w:p>
    <w:p w:rsidR="00910D03" w:rsidRPr="003765FB" w:rsidRDefault="00107658">
      <w:pPr>
        <w:numPr>
          <w:ilvl w:val="0"/>
          <w:numId w:val="1"/>
        </w:numPr>
        <w:ind w:left="851" w:right="901" w:firstLine="0"/>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Los municipios del Estado de México;</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w:t>
      </w:r>
    </w:p>
    <w:p w:rsidR="00910D03" w:rsidRPr="003765FB" w:rsidRDefault="00910D03">
      <w:pPr>
        <w:rPr>
          <w:rFonts w:ascii="Palatino Linotype" w:eastAsia="Palatino Linotype" w:hAnsi="Palatino Linotype" w:cs="Palatino Linotype"/>
        </w:rPr>
      </w:pP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Así bien, al Órgano Superior de Fiscalización de esta entidad federativa, le asiste la facultad de emitir los </w:t>
      </w:r>
      <w:r w:rsidRPr="003765FB">
        <w:rPr>
          <w:rFonts w:ascii="Palatino Linotype" w:eastAsia="Palatino Linotype" w:hAnsi="Palatino Linotype" w:cs="Palatino Linotype"/>
          <w:b/>
        </w:rPr>
        <w:t>Lineamientos para la Integración del Informe Trimestral</w:t>
      </w:r>
      <w:r w:rsidRPr="003765FB">
        <w:rPr>
          <w:rFonts w:ascii="Palatino Linotype" w:eastAsia="Palatino Linotype" w:hAnsi="Palatino Linotype" w:cs="Palatino Linotype"/>
        </w:rPr>
        <w:t xml:space="preserve">, en términos la fracción XI del artículo 8 de la Ley de Fiscalización Superior del Estado de México, que señalan: </w:t>
      </w:r>
    </w:p>
    <w:p w:rsidR="00910D03" w:rsidRPr="003765FB" w:rsidRDefault="00910D03">
      <w:pPr>
        <w:ind w:left="567" w:right="618"/>
        <w:jc w:val="both"/>
        <w:rPr>
          <w:rFonts w:ascii="Palatino Linotype" w:eastAsia="Palatino Linotype" w:hAnsi="Palatino Linotype" w:cs="Palatino Linotype"/>
          <w:b/>
          <w:i/>
        </w:rPr>
      </w:pPr>
    </w:p>
    <w:p w:rsidR="00910D03" w:rsidRPr="003765FB" w:rsidRDefault="00107658">
      <w:pPr>
        <w:ind w:left="851"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“Artículo 8. </w:t>
      </w:r>
      <w:r w:rsidRPr="003765FB">
        <w:rPr>
          <w:rFonts w:ascii="Palatino Linotype" w:eastAsia="Palatino Linotype" w:hAnsi="Palatino Linotype" w:cs="Palatino Linotype"/>
          <w:i/>
          <w:sz w:val="22"/>
          <w:szCs w:val="22"/>
        </w:rPr>
        <w:t>El Órgano Superior tendrá las siguientes atribuciones:</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lastRenderedPageBreak/>
        <w:t>XI. Establecer los lineamientos, criterios, procedimientos, métodos y sistemas para las acciones de control y evaluación, necesarios para la fiscalización de las cuentas públicas y los informes trimestrales;</w:t>
      </w:r>
    </w:p>
    <w:p w:rsidR="00910D03" w:rsidRPr="003765FB" w:rsidRDefault="00107658">
      <w:pPr>
        <w:ind w:left="851" w:right="90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sz w:val="22"/>
          <w:szCs w:val="22"/>
        </w:rPr>
        <w:t>(…)”</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dentro de los cuales destaca información de comprobantes fiscales digitales por internet (</w:t>
      </w:r>
      <w:r w:rsidRPr="003765FB">
        <w:rPr>
          <w:rFonts w:ascii="Palatino Linotype" w:eastAsia="Palatino Linotype" w:hAnsi="Palatino Linotype" w:cs="Palatino Linotype"/>
          <w:b/>
        </w:rPr>
        <w:t>CFDI</w:t>
      </w:r>
      <w:r w:rsidRPr="003765FB">
        <w:rPr>
          <w:rFonts w:ascii="Palatino Linotype" w:eastAsia="Palatino Linotype" w:hAnsi="Palatino Linotype" w:cs="Palatino Linotype"/>
        </w:rPr>
        <w:t>).</w:t>
      </w:r>
    </w:p>
    <w:p w:rsidR="00910D03" w:rsidRPr="003765FB" w:rsidRDefault="00910D03">
      <w:pPr>
        <w:spacing w:line="360" w:lineRule="auto"/>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bookmarkStart w:id="9" w:name="_heading=h.4d34og8" w:colFirst="0" w:colLast="0"/>
      <w:bookmarkEnd w:id="9"/>
      <w:r w:rsidRPr="003765FB">
        <w:rPr>
          <w:rFonts w:ascii="Palatino Linotype" w:eastAsia="Palatino Linotype" w:hAnsi="Palatino Linotype" w:cs="Palatino Linotype"/>
        </w:rPr>
        <w:t>Atento a lo anterior, en las Políticas para la Integración del Informe Trimestral de los Sujetos de Fiscalización Municipales para el Ejercicio 2021</w:t>
      </w:r>
      <w:r w:rsidRPr="003765FB">
        <w:rPr>
          <w:rFonts w:ascii="Palatino Linotype" w:eastAsia="Palatino Linotype" w:hAnsi="Palatino Linotype" w:cs="Palatino Linotype"/>
          <w:vertAlign w:val="superscript"/>
        </w:rPr>
        <w:footnoteReference w:id="1"/>
      </w:r>
      <w:r w:rsidRPr="003765FB">
        <w:rPr>
          <w:rFonts w:ascii="Palatino Linotype" w:eastAsia="Palatino Linotype" w:hAnsi="Palatino Linotype" w:cs="Palatino Linotype"/>
        </w:rPr>
        <w:t xml:space="preserve">,  se destaca que, dentro de los informes trimestrales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tiene la obligación de rendir, se contempla precisamente la presentación de la Información referente a los </w:t>
      </w:r>
      <w:r w:rsidRPr="003765FB">
        <w:rPr>
          <w:rFonts w:ascii="Palatino Linotype" w:eastAsia="Palatino Linotype" w:hAnsi="Palatino Linotype" w:cs="Palatino Linotype"/>
          <w:b/>
          <w:i/>
        </w:rPr>
        <w:t>Comprobantes Fiscales Digitales por Internet (CFDI)</w:t>
      </w:r>
      <w:r w:rsidRPr="003765FB">
        <w:rPr>
          <w:rFonts w:ascii="Palatino Linotype" w:eastAsia="Palatino Linotype" w:hAnsi="Palatino Linotype" w:cs="Palatino Linotype"/>
        </w:rPr>
        <w:t xml:space="preserve">, dicho formato constituye un soporte documental de que la información solicitada por la recurrente, que obra en los archivos del Sujeto Obligado, tal y como se muestra en las siguientes imágenes: </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center"/>
        <w:rPr>
          <w:rFonts w:ascii="Palatino Linotype" w:eastAsia="Palatino Linotype" w:hAnsi="Palatino Linotype" w:cs="Palatino Linotype"/>
        </w:rPr>
      </w:pPr>
      <w:r w:rsidRPr="003765FB">
        <w:rPr>
          <w:rFonts w:ascii="Palatino Linotype" w:eastAsia="Palatino Linotype" w:hAnsi="Palatino Linotype" w:cs="Palatino Linotype"/>
          <w:noProof/>
        </w:rPr>
        <w:lastRenderedPageBreak/>
        <w:drawing>
          <wp:inline distT="0" distB="0" distL="0" distR="0">
            <wp:extent cx="5702026" cy="1661160"/>
            <wp:effectExtent l="0" t="0" r="0" b="0"/>
            <wp:docPr id="4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732" t="36674" r="817"/>
                    <a:stretch>
                      <a:fillRect/>
                    </a:stretch>
                  </pic:blipFill>
                  <pic:spPr>
                    <a:xfrm>
                      <a:off x="0" y="0"/>
                      <a:ext cx="5702026" cy="1661160"/>
                    </a:xfrm>
                    <a:prstGeom prst="rect">
                      <a:avLst/>
                    </a:prstGeom>
                    <a:ln/>
                  </pic:spPr>
                </pic:pic>
              </a:graphicData>
            </a:graphic>
          </wp:inline>
        </w:drawing>
      </w:r>
    </w:p>
    <w:p w:rsidR="00910D03" w:rsidRPr="003765FB" w:rsidRDefault="00910D03">
      <w:pPr>
        <w:spacing w:line="360" w:lineRule="auto"/>
        <w:jc w:val="both"/>
        <w:rPr>
          <w:rFonts w:ascii="Palatino Linotype" w:eastAsia="Palatino Linotype" w:hAnsi="Palatino Linotype" w:cs="Palatino Linotype"/>
        </w:rPr>
      </w:pPr>
      <w:bookmarkStart w:id="10" w:name="_heading=h.2s8eyo1" w:colFirst="0" w:colLast="0"/>
      <w:bookmarkEnd w:id="10"/>
    </w:p>
    <w:p w:rsidR="00910D03" w:rsidRPr="003765FB" w:rsidRDefault="00107658">
      <w:pPr>
        <w:spacing w:line="360" w:lineRule="auto"/>
        <w:jc w:val="both"/>
        <w:rPr>
          <w:rFonts w:ascii="Palatino Linotype" w:eastAsia="Palatino Linotype" w:hAnsi="Palatino Linotype" w:cs="Palatino Linotype"/>
        </w:rPr>
      </w:pPr>
      <w:bookmarkStart w:id="11" w:name="_heading=h.pcy4384j7rsv" w:colFirst="0" w:colLast="0"/>
      <w:bookmarkEnd w:id="11"/>
      <w:r w:rsidRPr="003765FB">
        <w:rPr>
          <w:rFonts w:ascii="Palatino Linotype" w:eastAsia="Palatino Linotype" w:hAnsi="Palatino Linotype" w:cs="Palatino Linotype"/>
        </w:rPr>
        <w:t xml:space="preserve">De la imagen insertada, se obtiene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tiene el deber de generar los Comprobantes Fiscales Digitales por Internet (CFDI) donde además consta el medio de pago solicitado. En esa virtud, y toda vez que el ente recurrido no solo genera posee y administra la información solicitada sino que también lo hace en un medio digital, es dable ordenar al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haga entrega en versión pública de los Comprobantes Fiscales Digitales por Internet (CFDI) por concepto de Nómina de los trabajadores del Ayuntamiento del periodo transcurrido del uno de  enero a la segunda quincena de abril de dos mil veintidós. </w:t>
      </w:r>
    </w:p>
    <w:p w:rsidR="00910D03" w:rsidRPr="003765FB" w:rsidRDefault="00910D03">
      <w:pPr>
        <w:spacing w:line="360" w:lineRule="auto"/>
        <w:jc w:val="both"/>
        <w:rPr>
          <w:rFonts w:ascii="Palatino Linotype" w:eastAsia="Palatino Linotype" w:hAnsi="Palatino Linotype" w:cs="Palatino Linotype"/>
        </w:rPr>
      </w:pPr>
      <w:bookmarkStart w:id="12" w:name="_heading=h.7ibatniej334" w:colFirst="0" w:colLast="0"/>
      <w:bookmarkEnd w:id="12"/>
    </w:p>
    <w:p w:rsidR="00910D03" w:rsidRPr="003765FB" w:rsidRDefault="00107658">
      <w:pPr>
        <w:spacing w:line="360" w:lineRule="auto"/>
        <w:jc w:val="both"/>
        <w:rPr>
          <w:rFonts w:ascii="Palatino Linotype" w:eastAsia="Palatino Linotype" w:hAnsi="Palatino Linotype" w:cs="Palatino Linotype"/>
        </w:rPr>
      </w:pPr>
      <w:bookmarkStart w:id="13" w:name="_heading=h.gxmx8xgpw2ms" w:colFirst="0" w:colLast="0"/>
      <w:bookmarkEnd w:id="13"/>
      <w:r w:rsidRPr="003765FB">
        <w:rPr>
          <w:rFonts w:ascii="Palatino Linotype" w:eastAsia="Palatino Linotype" w:hAnsi="Palatino Linotype" w:cs="Palatino Linotype"/>
        </w:rPr>
        <w:t>Asimismo dentro de la información que los Municipios tienen la obligación de generar para posteriormente entregar al Órgano Superior de Fiscalización, se encuentra el denominado “Conciliación de Nómina” el cual según los Lineamientos para la Presentación del Presupuesto de Egresos Municipal tiene como finalidad: Presentar el concentrado mensual de las cifras derivadas de todas las erogaciones realizadas por concepto de remuneraciones al trabajo, registradas en la nómina; contra las contenidas en los registros contables, por concepto de remuneraciones al trabajo personal.</w:t>
      </w:r>
    </w:p>
    <w:p w:rsidR="00910D03" w:rsidRPr="003765FB" w:rsidRDefault="00107658">
      <w:pPr>
        <w:spacing w:line="360" w:lineRule="auto"/>
        <w:jc w:val="both"/>
        <w:rPr>
          <w:rFonts w:ascii="Palatino Linotype" w:eastAsia="Palatino Linotype" w:hAnsi="Palatino Linotype" w:cs="Palatino Linotype"/>
        </w:rPr>
      </w:pPr>
      <w:bookmarkStart w:id="14" w:name="_heading=h.tahgvfq0pjo3" w:colFirst="0" w:colLast="0"/>
      <w:bookmarkEnd w:id="14"/>
      <w:r w:rsidRPr="003765FB">
        <w:rPr>
          <w:rFonts w:ascii="Palatino Linotype" w:eastAsia="Palatino Linotype" w:hAnsi="Palatino Linotype" w:cs="Palatino Linotype"/>
        </w:rPr>
        <w:lastRenderedPageBreak/>
        <w:t xml:space="preserve">Dicho documento deberá contener los rubros siguientes: </w:t>
      </w:r>
    </w:p>
    <w:p w:rsidR="00910D03" w:rsidRPr="003765FB" w:rsidRDefault="00107658">
      <w:pPr>
        <w:ind w:left="850" w:right="899"/>
        <w:jc w:val="both"/>
        <w:rPr>
          <w:rFonts w:ascii="Palatino Linotype" w:eastAsia="Palatino Linotype" w:hAnsi="Palatino Linotype" w:cs="Palatino Linotype"/>
          <w:i/>
          <w:sz w:val="22"/>
          <w:szCs w:val="22"/>
        </w:rPr>
      </w:pPr>
      <w:bookmarkStart w:id="15" w:name="_heading=h.x4arewezhcq" w:colFirst="0" w:colLast="0"/>
      <w:bookmarkEnd w:id="15"/>
      <w:r w:rsidRPr="003765FB">
        <w:rPr>
          <w:rFonts w:ascii="Palatino Linotype" w:eastAsia="Palatino Linotype" w:hAnsi="Palatino Linotype" w:cs="Palatino Linotype"/>
          <w:i/>
          <w:sz w:val="22"/>
          <w:szCs w:val="22"/>
        </w:rPr>
        <w:t xml:space="preserve">“1. Topónimo del Ente Público: Representación gráfica que refiere al Ente Público. </w:t>
      </w:r>
    </w:p>
    <w:p w:rsidR="00910D03" w:rsidRPr="003765FB" w:rsidRDefault="00107658">
      <w:pPr>
        <w:ind w:left="850" w:right="899"/>
        <w:jc w:val="both"/>
        <w:rPr>
          <w:rFonts w:ascii="Palatino Linotype" w:eastAsia="Palatino Linotype" w:hAnsi="Palatino Linotype" w:cs="Palatino Linotype"/>
          <w:i/>
          <w:sz w:val="22"/>
          <w:szCs w:val="22"/>
        </w:rPr>
      </w:pPr>
      <w:bookmarkStart w:id="16" w:name="_heading=h.oosy35u131nt" w:colFirst="0" w:colLast="0"/>
      <w:bookmarkEnd w:id="16"/>
      <w:r w:rsidRPr="003765FB">
        <w:rPr>
          <w:rFonts w:ascii="Palatino Linotype" w:eastAsia="Palatino Linotype" w:hAnsi="Palatino Linotype" w:cs="Palatino Linotype"/>
          <w:i/>
          <w:sz w:val="22"/>
          <w:szCs w:val="22"/>
        </w:rPr>
        <w:t xml:space="preserve">2. Tipo, nombre y número del Ente Público: Corresponde al tipo, nombre y número que le corresponde al Ente Público; ejemplo: Municipio Toluca 0101. </w:t>
      </w:r>
    </w:p>
    <w:p w:rsidR="00910D03" w:rsidRPr="003765FB" w:rsidRDefault="00107658">
      <w:pPr>
        <w:ind w:left="850" w:right="899"/>
        <w:jc w:val="both"/>
        <w:rPr>
          <w:rFonts w:ascii="Palatino Linotype" w:eastAsia="Palatino Linotype" w:hAnsi="Palatino Linotype" w:cs="Palatino Linotype"/>
          <w:i/>
          <w:sz w:val="22"/>
          <w:szCs w:val="22"/>
        </w:rPr>
      </w:pPr>
      <w:bookmarkStart w:id="17" w:name="_heading=h.tti91jbepzw1" w:colFirst="0" w:colLast="0"/>
      <w:bookmarkEnd w:id="17"/>
      <w:r w:rsidRPr="003765FB">
        <w:rPr>
          <w:rFonts w:ascii="Palatino Linotype" w:eastAsia="Palatino Linotype" w:hAnsi="Palatino Linotype" w:cs="Palatino Linotype"/>
          <w:i/>
          <w:sz w:val="22"/>
          <w:szCs w:val="22"/>
        </w:rPr>
        <w:t xml:space="preserve">3. Nombre del formato.: Anotar el nombre del documento. </w:t>
      </w:r>
    </w:p>
    <w:p w:rsidR="00910D03" w:rsidRPr="003765FB" w:rsidRDefault="00107658">
      <w:pPr>
        <w:ind w:left="850" w:right="899"/>
        <w:jc w:val="both"/>
        <w:rPr>
          <w:rFonts w:ascii="Palatino Linotype" w:eastAsia="Palatino Linotype" w:hAnsi="Palatino Linotype" w:cs="Palatino Linotype"/>
          <w:i/>
          <w:sz w:val="22"/>
          <w:szCs w:val="22"/>
        </w:rPr>
      </w:pPr>
      <w:bookmarkStart w:id="18" w:name="_heading=h.guju1hdph3al" w:colFirst="0" w:colLast="0"/>
      <w:bookmarkEnd w:id="18"/>
      <w:r w:rsidRPr="003765FB">
        <w:rPr>
          <w:rFonts w:ascii="Palatino Linotype" w:eastAsia="Palatino Linotype" w:hAnsi="Palatino Linotype" w:cs="Palatino Linotype"/>
          <w:i/>
          <w:sz w:val="22"/>
          <w:szCs w:val="22"/>
        </w:rPr>
        <w:t xml:space="preserve">4. Del_____al ____ de_______de _____: Anotar la fecha del periodo de la quincena al que corresponda, ejemplo: Del 1 al 15 de enero de 2022. </w:t>
      </w:r>
    </w:p>
    <w:p w:rsidR="00910D03" w:rsidRPr="003765FB" w:rsidRDefault="00107658">
      <w:pPr>
        <w:ind w:left="850" w:right="899"/>
        <w:jc w:val="both"/>
        <w:rPr>
          <w:rFonts w:ascii="Palatino Linotype" w:eastAsia="Palatino Linotype" w:hAnsi="Palatino Linotype" w:cs="Palatino Linotype"/>
          <w:i/>
          <w:sz w:val="22"/>
          <w:szCs w:val="22"/>
        </w:rPr>
      </w:pPr>
      <w:bookmarkStart w:id="19" w:name="_heading=h.qw4ykxui24bw" w:colFirst="0" w:colLast="0"/>
      <w:bookmarkEnd w:id="19"/>
      <w:r w:rsidRPr="003765FB">
        <w:rPr>
          <w:rFonts w:ascii="Palatino Linotype" w:eastAsia="Palatino Linotype" w:hAnsi="Palatino Linotype" w:cs="Palatino Linotype"/>
          <w:i/>
          <w:sz w:val="22"/>
          <w:szCs w:val="22"/>
        </w:rPr>
        <w:t xml:space="preserve">5. No. Progresivo: Anotar el número asignado consecutivamente del número de servidores públicos que laboran en el Ente Público. </w:t>
      </w:r>
    </w:p>
    <w:p w:rsidR="00910D03" w:rsidRPr="003765FB" w:rsidRDefault="00107658">
      <w:pPr>
        <w:ind w:left="850" w:right="899"/>
        <w:jc w:val="both"/>
        <w:rPr>
          <w:rFonts w:ascii="Palatino Linotype" w:eastAsia="Palatino Linotype" w:hAnsi="Palatino Linotype" w:cs="Palatino Linotype"/>
          <w:i/>
          <w:sz w:val="22"/>
          <w:szCs w:val="22"/>
        </w:rPr>
      </w:pPr>
      <w:bookmarkStart w:id="20" w:name="_heading=h.jfw9nep84x1d" w:colFirst="0" w:colLast="0"/>
      <w:bookmarkEnd w:id="20"/>
      <w:r w:rsidRPr="003765FB">
        <w:rPr>
          <w:rFonts w:ascii="Palatino Linotype" w:eastAsia="Palatino Linotype" w:hAnsi="Palatino Linotype" w:cs="Palatino Linotype"/>
          <w:i/>
          <w:sz w:val="22"/>
          <w:szCs w:val="22"/>
        </w:rPr>
        <w:t xml:space="preserve">6. No. de quincena: Anotar la quincena del periodo de pago que se realiza a los servidores públicos en el mes. </w:t>
      </w:r>
    </w:p>
    <w:p w:rsidR="00910D03" w:rsidRPr="003765FB" w:rsidRDefault="00107658">
      <w:pPr>
        <w:ind w:left="850" w:right="899"/>
        <w:jc w:val="both"/>
        <w:rPr>
          <w:rFonts w:ascii="Palatino Linotype" w:eastAsia="Palatino Linotype" w:hAnsi="Palatino Linotype" w:cs="Palatino Linotype"/>
          <w:i/>
          <w:sz w:val="22"/>
          <w:szCs w:val="22"/>
        </w:rPr>
      </w:pPr>
      <w:bookmarkStart w:id="21" w:name="_heading=h.t0ob6eqhj9y2" w:colFirst="0" w:colLast="0"/>
      <w:bookmarkEnd w:id="21"/>
      <w:r w:rsidRPr="003765FB">
        <w:rPr>
          <w:rFonts w:ascii="Palatino Linotype" w:eastAsia="Palatino Linotype" w:hAnsi="Palatino Linotype" w:cs="Palatino Linotype"/>
          <w:i/>
          <w:sz w:val="22"/>
          <w:szCs w:val="22"/>
        </w:rPr>
        <w:t xml:space="preserve">7. No. de empleado: Anotar el número identificador del servidor que asigna el Ente Público al inicio de su relación laboral. </w:t>
      </w:r>
    </w:p>
    <w:p w:rsidR="00910D03" w:rsidRPr="003765FB" w:rsidRDefault="00107658">
      <w:pPr>
        <w:ind w:left="850" w:right="899"/>
        <w:jc w:val="both"/>
        <w:rPr>
          <w:rFonts w:ascii="Palatino Linotype" w:eastAsia="Palatino Linotype" w:hAnsi="Palatino Linotype" w:cs="Palatino Linotype"/>
          <w:i/>
          <w:sz w:val="22"/>
          <w:szCs w:val="22"/>
        </w:rPr>
      </w:pPr>
      <w:bookmarkStart w:id="22" w:name="_heading=h.x01c7x4xoyy9" w:colFirst="0" w:colLast="0"/>
      <w:bookmarkEnd w:id="22"/>
      <w:r w:rsidRPr="003765FB">
        <w:rPr>
          <w:rFonts w:ascii="Palatino Linotype" w:eastAsia="Palatino Linotype" w:hAnsi="Palatino Linotype" w:cs="Palatino Linotype"/>
          <w:i/>
          <w:sz w:val="22"/>
          <w:szCs w:val="22"/>
        </w:rPr>
        <w:t xml:space="preserve">8. RFC: Registro Federal del Contribuyente del servidor que labora en el Ente Público. </w:t>
      </w:r>
    </w:p>
    <w:p w:rsidR="00910D03" w:rsidRPr="003765FB" w:rsidRDefault="00107658">
      <w:pPr>
        <w:ind w:left="850" w:right="899"/>
        <w:jc w:val="both"/>
        <w:rPr>
          <w:rFonts w:ascii="Palatino Linotype" w:eastAsia="Palatino Linotype" w:hAnsi="Palatino Linotype" w:cs="Palatino Linotype"/>
          <w:i/>
          <w:sz w:val="22"/>
          <w:szCs w:val="22"/>
        </w:rPr>
      </w:pPr>
      <w:bookmarkStart w:id="23" w:name="_heading=h.c7vu3hu8np7z" w:colFirst="0" w:colLast="0"/>
      <w:bookmarkEnd w:id="23"/>
      <w:r w:rsidRPr="003765FB">
        <w:rPr>
          <w:rFonts w:ascii="Palatino Linotype" w:eastAsia="Palatino Linotype" w:hAnsi="Palatino Linotype" w:cs="Palatino Linotype"/>
          <w:i/>
          <w:sz w:val="22"/>
          <w:szCs w:val="22"/>
        </w:rPr>
        <w:t xml:space="preserve">9. Nombre completo: Anotar el nombre del servidor público iniciando por apellido paterno, apellido materno y nombre(s), </w:t>
      </w:r>
    </w:p>
    <w:p w:rsidR="00910D03" w:rsidRPr="003765FB" w:rsidRDefault="00107658">
      <w:pPr>
        <w:ind w:left="850" w:right="899"/>
        <w:jc w:val="both"/>
        <w:rPr>
          <w:rFonts w:ascii="Palatino Linotype" w:eastAsia="Palatino Linotype" w:hAnsi="Palatino Linotype" w:cs="Palatino Linotype"/>
          <w:i/>
          <w:sz w:val="22"/>
          <w:szCs w:val="22"/>
        </w:rPr>
      </w:pPr>
      <w:bookmarkStart w:id="24" w:name="_heading=h.itr366mn6tbe" w:colFirst="0" w:colLast="0"/>
      <w:bookmarkEnd w:id="24"/>
      <w:r w:rsidRPr="003765FB">
        <w:rPr>
          <w:rFonts w:ascii="Palatino Linotype" w:eastAsia="Palatino Linotype" w:hAnsi="Palatino Linotype" w:cs="Palatino Linotype"/>
          <w:b/>
          <w:i/>
          <w:sz w:val="22"/>
          <w:szCs w:val="22"/>
        </w:rPr>
        <w:t>10. Fecha de alta: Anotar la fecha que se le asigna al servidor en el momento en que inicia la relación laboral con el Ente Público.</w:t>
      </w:r>
      <w:r w:rsidRPr="003765FB">
        <w:rPr>
          <w:rFonts w:ascii="Palatino Linotype" w:eastAsia="Palatino Linotype" w:hAnsi="Palatino Linotype" w:cs="Palatino Linotype"/>
          <w:i/>
          <w:sz w:val="22"/>
          <w:szCs w:val="22"/>
        </w:rPr>
        <w:t xml:space="preserve"> </w:t>
      </w:r>
    </w:p>
    <w:p w:rsidR="00910D03" w:rsidRPr="003765FB" w:rsidRDefault="00107658">
      <w:pPr>
        <w:ind w:left="850" w:right="899"/>
        <w:jc w:val="both"/>
        <w:rPr>
          <w:rFonts w:ascii="Palatino Linotype" w:eastAsia="Palatino Linotype" w:hAnsi="Palatino Linotype" w:cs="Palatino Linotype"/>
          <w:i/>
          <w:sz w:val="22"/>
          <w:szCs w:val="22"/>
        </w:rPr>
      </w:pPr>
      <w:bookmarkStart w:id="25" w:name="_heading=h.z3mpercme9gp" w:colFirst="0" w:colLast="0"/>
      <w:bookmarkEnd w:id="25"/>
      <w:r w:rsidRPr="003765FB">
        <w:rPr>
          <w:rFonts w:ascii="Palatino Linotype" w:eastAsia="Palatino Linotype" w:hAnsi="Palatino Linotype" w:cs="Palatino Linotype"/>
          <w:i/>
          <w:sz w:val="22"/>
          <w:szCs w:val="22"/>
        </w:rPr>
        <w:t xml:space="preserve">11. Fecha de baja: Anotar la fecha asignada cuando el servidor finaliza la relación laboral con el Ente Público. </w:t>
      </w:r>
    </w:p>
    <w:p w:rsidR="00910D03" w:rsidRPr="003765FB" w:rsidRDefault="00107658">
      <w:pPr>
        <w:ind w:left="850" w:right="899"/>
        <w:jc w:val="both"/>
        <w:rPr>
          <w:rFonts w:ascii="Palatino Linotype" w:eastAsia="Palatino Linotype" w:hAnsi="Palatino Linotype" w:cs="Palatino Linotype"/>
          <w:b/>
          <w:i/>
          <w:sz w:val="22"/>
          <w:szCs w:val="22"/>
        </w:rPr>
      </w:pPr>
      <w:bookmarkStart w:id="26" w:name="_heading=h.xo9u3rze9ypr" w:colFirst="0" w:colLast="0"/>
      <w:bookmarkEnd w:id="26"/>
      <w:r w:rsidRPr="003765FB">
        <w:rPr>
          <w:rFonts w:ascii="Palatino Linotype" w:eastAsia="Palatino Linotype" w:hAnsi="Palatino Linotype" w:cs="Palatino Linotype"/>
          <w:b/>
          <w:i/>
          <w:sz w:val="22"/>
          <w:szCs w:val="22"/>
        </w:rPr>
        <w:t xml:space="preserve">12. Puesto funcional: Anotar la actividad que desarrolla el servidor de acuerdo a la clasificación del Ente Público. </w:t>
      </w:r>
    </w:p>
    <w:p w:rsidR="00910D03" w:rsidRPr="003765FB" w:rsidRDefault="00107658">
      <w:pPr>
        <w:ind w:left="850" w:right="899"/>
        <w:jc w:val="both"/>
        <w:rPr>
          <w:rFonts w:ascii="Palatino Linotype" w:eastAsia="Palatino Linotype" w:hAnsi="Palatino Linotype" w:cs="Palatino Linotype"/>
          <w:i/>
          <w:sz w:val="22"/>
          <w:szCs w:val="22"/>
        </w:rPr>
      </w:pPr>
      <w:bookmarkStart w:id="27" w:name="_heading=h.l4ia9xysegri" w:colFirst="0" w:colLast="0"/>
      <w:bookmarkEnd w:id="27"/>
      <w:r w:rsidRPr="003765FB">
        <w:rPr>
          <w:rFonts w:ascii="Palatino Linotype" w:eastAsia="Palatino Linotype" w:hAnsi="Palatino Linotype" w:cs="Palatino Linotype"/>
          <w:i/>
          <w:sz w:val="22"/>
          <w:szCs w:val="22"/>
        </w:rPr>
        <w:t xml:space="preserve">13. Nivel y/o rango: Anotar la categoría de pagos de los servidores públicos en los que están situados (si no se cuenta con el nivel y/o rango únicamente se llenara la columna del puesto funcional). </w:t>
      </w:r>
    </w:p>
    <w:p w:rsidR="00910D03" w:rsidRPr="003765FB" w:rsidRDefault="00107658">
      <w:pPr>
        <w:ind w:left="850" w:right="899"/>
        <w:jc w:val="both"/>
        <w:rPr>
          <w:rFonts w:ascii="Palatino Linotype" w:eastAsia="Palatino Linotype" w:hAnsi="Palatino Linotype" w:cs="Palatino Linotype"/>
          <w:i/>
          <w:sz w:val="22"/>
          <w:szCs w:val="22"/>
        </w:rPr>
      </w:pPr>
      <w:bookmarkStart w:id="28" w:name="_heading=h.312842gkn3p" w:colFirst="0" w:colLast="0"/>
      <w:bookmarkEnd w:id="28"/>
      <w:r w:rsidRPr="003765FB">
        <w:rPr>
          <w:rFonts w:ascii="Palatino Linotype" w:eastAsia="Palatino Linotype" w:hAnsi="Palatino Linotype" w:cs="Palatino Linotype"/>
          <w:i/>
          <w:sz w:val="22"/>
          <w:szCs w:val="22"/>
        </w:rPr>
        <w:t xml:space="preserve">14. No. de horas laboradas: Anotar el número de horas de trabajo </w:t>
      </w:r>
    </w:p>
    <w:p w:rsidR="00910D03" w:rsidRPr="003765FB" w:rsidRDefault="00107658">
      <w:pPr>
        <w:ind w:left="850" w:right="899"/>
        <w:jc w:val="both"/>
        <w:rPr>
          <w:rFonts w:ascii="Palatino Linotype" w:eastAsia="Palatino Linotype" w:hAnsi="Palatino Linotype" w:cs="Palatino Linotype"/>
          <w:i/>
          <w:sz w:val="22"/>
          <w:szCs w:val="22"/>
        </w:rPr>
      </w:pPr>
      <w:bookmarkStart w:id="29" w:name="_heading=h.z0vbn2m8wrie" w:colFirst="0" w:colLast="0"/>
      <w:bookmarkEnd w:id="29"/>
      <w:r w:rsidRPr="003765FB">
        <w:rPr>
          <w:rFonts w:ascii="Palatino Linotype" w:eastAsia="Palatino Linotype" w:hAnsi="Palatino Linotype" w:cs="Palatino Linotype"/>
          <w:i/>
          <w:sz w:val="22"/>
          <w:szCs w:val="22"/>
        </w:rPr>
        <w:t xml:space="preserve">15. Adscripción: Anotar el área en donde desarrolla sus funciones el servidor público. </w:t>
      </w:r>
    </w:p>
    <w:p w:rsidR="00910D03" w:rsidRPr="003765FB" w:rsidRDefault="00107658">
      <w:pPr>
        <w:ind w:left="850" w:right="899"/>
        <w:jc w:val="both"/>
        <w:rPr>
          <w:rFonts w:ascii="Palatino Linotype" w:eastAsia="Palatino Linotype" w:hAnsi="Palatino Linotype" w:cs="Palatino Linotype"/>
          <w:i/>
          <w:sz w:val="22"/>
          <w:szCs w:val="22"/>
        </w:rPr>
      </w:pPr>
      <w:bookmarkStart w:id="30" w:name="_heading=h.pwf4losvqx5l" w:colFirst="0" w:colLast="0"/>
      <w:bookmarkEnd w:id="30"/>
      <w:r w:rsidRPr="003765FB">
        <w:rPr>
          <w:rFonts w:ascii="Palatino Linotype" w:eastAsia="Palatino Linotype" w:hAnsi="Palatino Linotype" w:cs="Palatino Linotype"/>
          <w:i/>
          <w:sz w:val="22"/>
          <w:szCs w:val="22"/>
        </w:rPr>
        <w:t xml:space="preserve">16. Categoría: Anotar la categoría de Confianza/Sindicalizado/Eventual de cada empleado. </w:t>
      </w:r>
    </w:p>
    <w:p w:rsidR="00910D03" w:rsidRPr="003765FB" w:rsidRDefault="00107658">
      <w:pPr>
        <w:ind w:left="850" w:right="899"/>
        <w:jc w:val="both"/>
        <w:rPr>
          <w:rFonts w:ascii="Palatino Linotype" w:eastAsia="Palatino Linotype" w:hAnsi="Palatino Linotype" w:cs="Palatino Linotype"/>
          <w:b/>
          <w:i/>
          <w:sz w:val="22"/>
          <w:szCs w:val="22"/>
        </w:rPr>
      </w:pPr>
      <w:bookmarkStart w:id="31" w:name="_heading=h.3yy4f13ofjwj" w:colFirst="0" w:colLast="0"/>
      <w:bookmarkEnd w:id="31"/>
      <w:r w:rsidRPr="003765FB">
        <w:rPr>
          <w:rFonts w:ascii="Palatino Linotype" w:eastAsia="Palatino Linotype" w:hAnsi="Palatino Linotype" w:cs="Palatino Linotype"/>
          <w:b/>
          <w:i/>
          <w:sz w:val="22"/>
          <w:szCs w:val="22"/>
        </w:rPr>
        <w:t xml:space="preserve">17. Percepciones ordinarias: Anotar todos los pagos por sueldos y salarios, conforme a los tabuladores autorizados. </w:t>
      </w:r>
    </w:p>
    <w:p w:rsidR="00910D03" w:rsidRPr="003765FB" w:rsidRDefault="00107658">
      <w:pPr>
        <w:ind w:left="850" w:right="899"/>
        <w:jc w:val="both"/>
        <w:rPr>
          <w:rFonts w:ascii="Palatino Linotype" w:eastAsia="Palatino Linotype" w:hAnsi="Palatino Linotype" w:cs="Palatino Linotype"/>
          <w:b/>
          <w:i/>
          <w:sz w:val="22"/>
          <w:szCs w:val="22"/>
        </w:rPr>
      </w:pPr>
      <w:bookmarkStart w:id="32" w:name="_heading=h.j5fgx6qc2gru" w:colFirst="0" w:colLast="0"/>
      <w:bookmarkEnd w:id="32"/>
      <w:r w:rsidRPr="003765FB">
        <w:rPr>
          <w:rFonts w:ascii="Palatino Linotype" w:eastAsia="Palatino Linotype" w:hAnsi="Palatino Linotype" w:cs="Palatino Linotype"/>
          <w:b/>
          <w:i/>
          <w:sz w:val="22"/>
          <w:szCs w:val="22"/>
        </w:rPr>
        <w:t xml:space="preserve">18. Percepciones extraordinarias: Anotar todos los pagos por concepto de estímulos, reconocimientos, recompensas, incentivos y pagos equivalentes a los mismos que se otorgan de manera excepcional al personal y que no constituye un ingreso fijo, regular ni permanente, ya que su otorgamiento se </w:t>
      </w:r>
      <w:r w:rsidRPr="003765FB">
        <w:rPr>
          <w:rFonts w:ascii="Palatino Linotype" w:eastAsia="Palatino Linotype" w:hAnsi="Palatino Linotype" w:cs="Palatino Linotype"/>
          <w:b/>
          <w:i/>
          <w:sz w:val="22"/>
          <w:szCs w:val="22"/>
        </w:rPr>
        <w:lastRenderedPageBreak/>
        <w:t xml:space="preserve">encuentra sujeto a requisitos y condiciones variables con la periodicidad establecida en las disposiciones aplicables. </w:t>
      </w:r>
    </w:p>
    <w:p w:rsidR="00910D03" w:rsidRPr="003765FB" w:rsidRDefault="00107658">
      <w:pPr>
        <w:ind w:left="850" w:right="899"/>
        <w:jc w:val="both"/>
        <w:rPr>
          <w:rFonts w:ascii="Palatino Linotype" w:eastAsia="Palatino Linotype" w:hAnsi="Palatino Linotype" w:cs="Palatino Linotype"/>
          <w:b/>
          <w:i/>
          <w:sz w:val="22"/>
          <w:szCs w:val="22"/>
        </w:rPr>
      </w:pPr>
      <w:bookmarkStart w:id="33" w:name="_heading=h.18q0v4od6yhu" w:colFirst="0" w:colLast="0"/>
      <w:bookmarkEnd w:id="33"/>
      <w:r w:rsidRPr="003765FB">
        <w:rPr>
          <w:rFonts w:ascii="Palatino Linotype" w:eastAsia="Palatino Linotype" w:hAnsi="Palatino Linotype" w:cs="Palatino Linotype"/>
          <w:b/>
          <w:i/>
          <w:sz w:val="22"/>
          <w:szCs w:val="22"/>
        </w:rPr>
        <w:t xml:space="preserve">19. Total de percepciones brutas: Anotar el total de la suma de todas las Percepciones ordinarias y las Percepciones extraordinarias. </w:t>
      </w:r>
    </w:p>
    <w:p w:rsidR="00910D03" w:rsidRPr="003765FB" w:rsidRDefault="00107658">
      <w:pPr>
        <w:ind w:left="850" w:right="899"/>
        <w:jc w:val="both"/>
        <w:rPr>
          <w:rFonts w:ascii="Palatino Linotype" w:eastAsia="Palatino Linotype" w:hAnsi="Palatino Linotype" w:cs="Palatino Linotype"/>
          <w:i/>
          <w:sz w:val="22"/>
          <w:szCs w:val="22"/>
        </w:rPr>
      </w:pPr>
      <w:bookmarkStart w:id="34" w:name="_heading=h.v5k5vg7g09m" w:colFirst="0" w:colLast="0"/>
      <w:bookmarkEnd w:id="34"/>
      <w:r w:rsidRPr="003765FB">
        <w:rPr>
          <w:rFonts w:ascii="Palatino Linotype" w:eastAsia="Palatino Linotype" w:hAnsi="Palatino Linotype" w:cs="Palatino Linotype"/>
          <w:i/>
          <w:sz w:val="22"/>
          <w:szCs w:val="22"/>
        </w:rPr>
        <w:t xml:space="preserve">20. Deducciones: Anotar los montos que se le descuentan al salario base de un trabajador regulado por las leyes laborales, constitucionales y de seguridad social. Además de los descuentos por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rsidR="00910D03" w:rsidRPr="003765FB" w:rsidRDefault="00107658">
      <w:pPr>
        <w:ind w:left="850" w:right="899"/>
        <w:jc w:val="both"/>
        <w:rPr>
          <w:rFonts w:ascii="Palatino Linotype" w:eastAsia="Palatino Linotype" w:hAnsi="Palatino Linotype" w:cs="Palatino Linotype"/>
          <w:i/>
          <w:sz w:val="22"/>
          <w:szCs w:val="22"/>
        </w:rPr>
      </w:pPr>
      <w:bookmarkStart w:id="35" w:name="_heading=h.4shkl5magxog" w:colFirst="0" w:colLast="0"/>
      <w:bookmarkEnd w:id="35"/>
      <w:r w:rsidRPr="003765FB">
        <w:rPr>
          <w:rFonts w:ascii="Palatino Linotype" w:eastAsia="Palatino Linotype" w:hAnsi="Palatino Linotype" w:cs="Palatino Linotype"/>
          <w:i/>
          <w:sz w:val="22"/>
          <w:szCs w:val="22"/>
        </w:rPr>
        <w:t xml:space="preserve">21. Total de deducciones: Anotar el total de la suma de todas las deducciones. </w:t>
      </w:r>
    </w:p>
    <w:p w:rsidR="00910D03" w:rsidRPr="003765FB" w:rsidRDefault="00107658">
      <w:pPr>
        <w:ind w:left="850" w:right="899"/>
        <w:jc w:val="both"/>
        <w:rPr>
          <w:rFonts w:ascii="Palatino Linotype" w:eastAsia="Palatino Linotype" w:hAnsi="Palatino Linotype" w:cs="Palatino Linotype"/>
          <w:b/>
          <w:i/>
          <w:sz w:val="22"/>
          <w:szCs w:val="22"/>
        </w:rPr>
      </w:pPr>
      <w:bookmarkStart w:id="36" w:name="_heading=h.4kj2ftate746" w:colFirst="0" w:colLast="0"/>
      <w:bookmarkEnd w:id="36"/>
      <w:r w:rsidRPr="003765FB">
        <w:rPr>
          <w:rFonts w:ascii="Palatino Linotype" w:eastAsia="Palatino Linotype" w:hAnsi="Palatino Linotype" w:cs="Palatino Linotype"/>
          <w:b/>
          <w:i/>
          <w:sz w:val="22"/>
          <w:szCs w:val="22"/>
        </w:rPr>
        <w:t xml:space="preserve">22. Total Neto: Anotar la diferencia del total de percepciones y el total de deducciones. </w:t>
      </w:r>
    </w:p>
    <w:p w:rsidR="00910D03" w:rsidRPr="003765FB" w:rsidRDefault="00107658">
      <w:pPr>
        <w:ind w:left="850" w:right="899"/>
        <w:jc w:val="both"/>
        <w:rPr>
          <w:rFonts w:ascii="Palatino Linotype" w:eastAsia="Palatino Linotype" w:hAnsi="Palatino Linotype" w:cs="Palatino Linotype"/>
          <w:i/>
          <w:sz w:val="22"/>
          <w:szCs w:val="22"/>
        </w:rPr>
      </w:pPr>
      <w:bookmarkStart w:id="37" w:name="_heading=h.o2cciqewijsr" w:colFirst="0" w:colLast="0"/>
      <w:bookmarkEnd w:id="37"/>
      <w:r w:rsidRPr="003765FB">
        <w:rPr>
          <w:rFonts w:ascii="Palatino Linotype" w:eastAsia="Palatino Linotype" w:hAnsi="Palatino Linotype" w:cs="Palatino Linotype"/>
          <w:i/>
          <w:sz w:val="22"/>
          <w:szCs w:val="22"/>
        </w:rPr>
        <w:t xml:space="preserve">23. Días pagados: Anotar los días que el servidor público trabajo en la quincena. </w:t>
      </w:r>
    </w:p>
    <w:p w:rsidR="00910D03" w:rsidRPr="003765FB" w:rsidRDefault="00107658">
      <w:pPr>
        <w:ind w:left="850" w:right="899"/>
        <w:jc w:val="both"/>
        <w:rPr>
          <w:rFonts w:ascii="Palatino Linotype" w:eastAsia="Palatino Linotype" w:hAnsi="Palatino Linotype" w:cs="Palatino Linotype"/>
          <w:i/>
          <w:sz w:val="22"/>
          <w:szCs w:val="22"/>
        </w:rPr>
      </w:pPr>
      <w:bookmarkStart w:id="38" w:name="_heading=h.i5brp5m9v07" w:colFirst="0" w:colLast="0"/>
      <w:bookmarkEnd w:id="38"/>
      <w:r w:rsidRPr="003765FB">
        <w:rPr>
          <w:rFonts w:ascii="Palatino Linotype" w:eastAsia="Palatino Linotype" w:hAnsi="Palatino Linotype" w:cs="Palatino Linotype"/>
          <w:i/>
          <w:sz w:val="22"/>
          <w:szCs w:val="22"/>
        </w:rPr>
        <w:t xml:space="preserve">24. Nombre de la fuente de financiamiento: Anotar el nombre del recurso que utilizo la entidad para el pago de la nómina. </w:t>
      </w:r>
    </w:p>
    <w:p w:rsidR="00910D03" w:rsidRPr="003765FB" w:rsidRDefault="00107658">
      <w:pPr>
        <w:ind w:left="850" w:right="899"/>
        <w:jc w:val="both"/>
        <w:rPr>
          <w:rFonts w:ascii="Palatino Linotype" w:eastAsia="Palatino Linotype" w:hAnsi="Palatino Linotype" w:cs="Palatino Linotype"/>
          <w:i/>
          <w:sz w:val="22"/>
          <w:szCs w:val="22"/>
        </w:rPr>
      </w:pPr>
      <w:bookmarkStart w:id="39" w:name="_heading=h.xqi0mflxk1js" w:colFirst="0" w:colLast="0"/>
      <w:bookmarkEnd w:id="39"/>
      <w:r w:rsidRPr="003765FB">
        <w:rPr>
          <w:rFonts w:ascii="Palatino Linotype" w:eastAsia="Palatino Linotype" w:hAnsi="Palatino Linotype" w:cs="Palatino Linotype"/>
          <w:i/>
          <w:sz w:val="22"/>
          <w:szCs w:val="22"/>
        </w:rPr>
        <w:t xml:space="preserve">25. Póliza: Anotar los datos de la(s) póliza(s) Tipo/No./Concepto e importe donde se registró contablemente el pago de la nómina. </w:t>
      </w:r>
    </w:p>
    <w:p w:rsidR="00910D03" w:rsidRPr="003765FB" w:rsidRDefault="00107658">
      <w:pPr>
        <w:ind w:left="850" w:right="899"/>
        <w:jc w:val="both"/>
        <w:rPr>
          <w:rFonts w:ascii="Palatino Linotype" w:eastAsia="Palatino Linotype" w:hAnsi="Palatino Linotype" w:cs="Palatino Linotype"/>
          <w:i/>
          <w:sz w:val="22"/>
          <w:szCs w:val="22"/>
        </w:rPr>
      </w:pPr>
      <w:bookmarkStart w:id="40" w:name="_heading=h.vm7kxyniht90" w:colFirst="0" w:colLast="0"/>
      <w:bookmarkEnd w:id="40"/>
      <w:r w:rsidRPr="003765FB">
        <w:rPr>
          <w:rFonts w:ascii="Palatino Linotype" w:eastAsia="Palatino Linotype" w:hAnsi="Palatino Linotype" w:cs="Palatino Linotype"/>
          <w:b/>
          <w:i/>
          <w:sz w:val="22"/>
          <w:szCs w:val="22"/>
        </w:rPr>
        <w:t>26. Medio de pago: Anotar el medio en que fue pagada la nómina;</w:t>
      </w:r>
      <w:r w:rsidRPr="003765FB">
        <w:rPr>
          <w:rFonts w:ascii="Palatino Linotype" w:eastAsia="Palatino Linotype" w:hAnsi="Palatino Linotype" w:cs="Palatino Linotype"/>
          <w:i/>
          <w:sz w:val="22"/>
          <w:szCs w:val="22"/>
        </w:rPr>
        <w:t xml:space="preserve"> detallando los siguientes datos: Nombre de la institución bancaria, número de cuenta bancaria; la forma en que se realizó el pago transferencia, cheque, o efectivo, además el número de referencia y/o cheque y el importe. </w:t>
      </w:r>
    </w:p>
    <w:p w:rsidR="00910D03" w:rsidRPr="003765FB" w:rsidRDefault="00107658">
      <w:pPr>
        <w:ind w:left="850" w:right="899"/>
        <w:jc w:val="both"/>
        <w:rPr>
          <w:rFonts w:ascii="Palatino Linotype" w:eastAsia="Palatino Linotype" w:hAnsi="Palatino Linotype" w:cs="Palatino Linotype"/>
          <w:i/>
          <w:sz w:val="22"/>
          <w:szCs w:val="22"/>
        </w:rPr>
      </w:pPr>
      <w:bookmarkStart w:id="41" w:name="_heading=h.79fcmf8jj5io" w:colFirst="0" w:colLast="0"/>
      <w:bookmarkEnd w:id="41"/>
      <w:r w:rsidRPr="003765FB">
        <w:rPr>
          <w:rFonts w:ascii="Palatino Linotype" w:eastAsia="Palatino Linotype" w:hAnsi="Palatino Linotype" w:cs="Palatino Linotype"/>
          <w:i/>
          <w:sz w:val="22"/>
          <w:szCs w:val="22"/>
        </w:rPr>
        <w:t>27. Total: Anotar la suma de cada columna de percepciones, deducciones, total neto e importe pagado.”</w:t>
      </w:r>
    </w:p>
    <w:p w:rsidR="00910D03" w:rsidRPr="003765FB" w:rsidRDefault="00107658">
      <w:pPr>
        <w:ind w:left="850" w:right="899"/>
        <w:jc w:val="both"/>
        <w:rPr>
          <w:rFonts w:ascii="Palatino Linotype" w:eastAsia="Palatino Linotype" w:hAnsi="Palatino Linotype" w:cs="Palatino Linotype"/>
          <w:i/>
          <w:sz w:val="22"/>
          <w:szCs w:val="22"/>
        </w:rPr>
      </w:pPr>
      <w:bookmarkStart w:id="42" w:name="_heading=h.rlz0a9f676mc" w:colFirst="0" w:colLast="0"/>
      <w:bookmarkEnd w:id="42"/>
      <w:r w:rsidRPr="003765FB">
        <w:rPr>
          <w:rFonts w:ascii="Palatino Linotype" w:eastAsia="Palatino Linotype" w:hAnsi="Palatino Linotype" w:cs="Palatino Linotype"/>
          <w:i/>
          <w:sz w:val="22"/>
          <w:szCs w:val="22"/>
        </w:rPr>
        <w:t>(Énfasis añadido)</w:t>
      </w:r>
    </w:p>
    <w:p w:rsidR="00910D03" w:rsidRPr="003765FB" w:rsidRDefault="00910D03">
      <w:pPr>
        <w:spacing w:line="360" w:lineRule="auto"/>
        <w:jc w:val="both"/>
        <w:rPr>
          <w:rFonts w:ascii="Palatino Linotype" w:eastAsia="Palatino Linotype" w:hAnsi="Palatino Linotype" w:cs="Palatino Linotype"/>
        </w:rPr>
      </w:pPr>
      <w:bookmarkStart w:id="43" w:name="_heading=h.mt8w7obwdk6d" w:colFirst="0" w:colLast="0"/>
      <w:bookmarkEnd w:id="43"/>
    </w:p>
    <w:p w:rsidR="00910D03" w:rsidRPr="003765FB" w:rsidRDefault="00107658">
      <w:pPr>
        <w:spacing w:line="360" w:lineRule="auto"/>
        <w:jc w:val="both"/>
        <w:rPr>
          <w:rFonts w:ascii="Palatino Linotype" w:eastAsia="Palatino Linotype" w:hAnsi="Palatino Linotype" w:cs="Palatino Linotype"/>
        </w:rPr>
      </w:pPr>
      <w:bookmarkStart w:id="44" w:name="_heading=h.q42y1zunsjfa" w:colFirst="0" w:colLast="0"/>
      <w:bookmarkEnd w:id="44"/>
      <w:r w:rsidRPr="003765FB">
        <w:rPr>
          <w:rFonts w:ascii="Palatino Linotype" w:eastAsia="Palatino Linotype" w:hAnsi="Palatino Linotype" w:cs="Palatino Linotype"/>
        </w:rPr>
        <w:t xml:space="preserve">De la transcripción anterior, se desprende que dentro de la información que consta en la Conciliación de la Nómina, se encuentra la fecha de alta, el medio de pago, el sueldo bruto y neto y el puesto funcional, con lo que se puede conocer la información solicitada por el particular, la lista de servidores públicos  que ingresaron del primero de enero al dos de mayo de dos mil veintidós, así como su sueldo bruto y neto, el medio de pago y el tipo de puesto o plaza. Por lo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deberá hacer </w:t>
      </w:r>
      <w:r w:rsidRPr="003765FB">
        <w:rPr>
          <w:rFonts w:ascii="Palatino Linotype" w:eastAsia="Palatino Linotype" w:hAnsi="Palatino Linotype" w:cs="Palatino Linotype"/>
        </w:rPr>
        <w:lastRenderedPageBreak/>
        <w:t xml:space="preserve">entrega del documento donde conste el Listado de los Servidores Públicos entrantes del primero de enero al dos de abril de dos mil veintidós, así como su sueldo mensual neto y bruto. </w:t>
      </w:r>
    </w:p>
    <w:p w:rsidR="00910D03" w:rsidRPr="003765FB" w:rsidRDefault="00910D03">
      <w:pPr>
        <w:spacing w:line="360" w:lineRule="auto"/>
        <w:jc w:val="both"/>
        <w:rPr>
          <w:rFonts w:ascii="Palatino Linotype" w:eastAsia="Palatino Linotype" w:hAnsi="Palatino Linotype" w:cs="Palatino Linotype"/>
        </w:rPr>
      </w:pPr>
      <w:bookmarkStart w:id="45" w:name="_heading=h.bhfbq5rg6bp9" w:colFirst="0" w:colLast="0"/>
      <w:bookmarkEnd w:id="45"/>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Por lo que hace al nombramiento la Ley del Trabajo de los Servidores Públicos del Estado de México</w:t>
      </w:r>
      <w:r w:rsidRPr="003765FB">
        <w:rPr>
          <w:rFonts w:ascii="Palatino Linotype" w:eastAsia="Palatino Linotype" w:hAnsi="Palatino Linotype" w:cs="Palatino Linotype"/>
          <w:i/>
        </w:rPr>
        <w:t xml:space="preserve">, </w:t>
      </w:r>
      <w:r w:rsidRPr="003765FB">
        <w:rPr>
          <w:rFonts w:ascii="Palatino Linotype" w:eastAsia="Palatino Linotype" w:hAnsi="Palatino Linotype" w:cs="Palatino Linotype"/>
        </w:rPr>
        <w:t>que tiene por objeto regular las relaciones de trabajo comprendidas entre los poderes públicos del Estado y los Municipios, y sus respectivos servidores públicos</w:t>
      </w:r>
      <w:r w:rsidRPr="003765FB">
        <w:rPr>
          <w:rFonts w:ascii="Palatino Linotype" w:eastAsia="Palatino Linotype" w:hAnsi="Palatino Linotype" w:cs="Palatino Linotype"/>
          <w:vertAlign w:val="superscript"/>
        </w:rPr>
        <w:footnoteReference w:id="2"/>
      </w:r>
      <w:r w:rsidRPr="003765FB">
        <w:rPr>
          <w:rFonts w:ascii="Palatino Linotype" w:eastAsia="Palatino Linotype" w:hAnsi="Palatino Linotype" w:cs="Palatino Linotype"/>
        </w:rPr>
        <w:t>, dispone que la mismas e se entienden establecidas mediante nombramiento, formato único de movimiento de personal, contrato o por cualquier otro acto que tenga como consecuencia la prestación personal subordinada del servicio y la percepción de un sueldo, como así lo determina en su artículo 5 que señala:</w:t>
      </w:r>
    </w:p>
    <w:p w:rsidR="00910D03" w:rsidRPr="003765FB" w:rsidRDefault="00107658">
      <w:pPr>
        <w:spacing w:after="120"/>
        <w:ind w:left="851" w:right="902"/>
        <w:jc w:val="both"/>
        <w:rPr>
          <w:rFonts w:ascii="Palatino Linotype" w:eastAsia="Palatino Linotype" w:hAnsi="Palatino Linotype" w:cs="Palatino Linotype"/>
          <w:i/>
          <w:sz w:val="22"/>
          <w:szCs w:val="22"/>
          <w:u w:val="single"/>
        </w:rPr>
      </w:pPr>
      <w:r w:rsidRPr="003765FB">
        <w:rPr>
          <w:rFonts w:ascii="Palatino Linotype" w:eastAsia="Palatino Linotype" w:hAnsi="Palatino Linotype" w:cs="Palatino Linotype"/>
          <w:i/>
          <w:sz w:val="22"/>
          <w:szCs w:val="22"/>
        </w:rPr>
        <w:t xml:space="preserve">“ARTÍCULO 5.- La relación de trabajo entre las instituciones públicas y sus servidores públicos se entiende establecida </w:t>
      </w:r>
      <w:r w:rsidRPr="003765FB">
        <w:rPr>
          <w:rFonts w:ascii="Palatino Linotype" w:eastAsia="Palatino Linotype" w:hAnsi="Palatino Linotype" w:cs="Palatino Linotype"/>
          <w:i/>
          <w:sz w:val="22"/>
          <w:szCs w:val="22"/>
          <w:u w:val="single"/>
        </w:rPr>
        <w:t xml:space="preserve">mediante nombramiento, formato único de movimiento de personal, contrato o por cualquier otro acto que tenga como consecuencia la prestación personal subordinada del servicio y la percepción de un sueldo. </w:t>
      </w:r>
    </w:p>
    <w:p w:rsidR="00910D03" w:rsidRPr="003765FB" w:rsidRDefault="00107658">
      <w:pPr>
        <w:spacing w:before="120" w:after="120"/>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Para los efectos de esta ley, las instituciones públicas estarán representadas por sus titulares.” (Sic)</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Razón por la cual toda vez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tiene facultades para conocer la información solicitada ya que la genera posee y administra conforme a sus facultades, también es procedente la entrega el documento en donde conste el </w:t>
      </w:r>
      <w:r w:rsidRPr="003765FB">
        <w:rPr>
          <w:rFonts w:ascii="Palatino Linotype" w:eastAsia="Palatino Linotype" w:hAnsi="Palatino Linotype" w:cs="Palatino Linotype"/>
        </w:rPr>
        <w:lastRenderedPageBreak/>
        <w:t xml:space="preserve">nombramiento de los  Servidores Públicos  referidos en la solicitud, vigentes al dos de mayo del año dos mil veintidós y de ser procedente en versión pública. </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Además de lo anterior, es importante señalar que la Ley de Trabajo de los Servidores Públicos del Estado y Municipios, establece que cada institución deberá contar con un Reglamento de Condiciones Generales de Trabajo en donde se deberá establecer como mínimo la duración de la jornada de trabajo y el horario y las funciones, como se observa del contenido de los artículo 54 y 56 de la ley en comento: </w:t>
      </w:r>
    </w:p>
    <w:p w:rsidR="00910D03" w:rsidRPr="003765FB" w:rsidRDefault="00107658">
      <w:pPr>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“ARTÍCULO 54. </w:t>
      </w:r>
      <w:r w:rsidRPr="003765FB">
        <w:rPr>
          <w:rFonts w:ascii="Palatino Linotype" w:eastAsia="Palatino Linotype" w:hAnsi="Palatino Linotype" w:cs="Palatino Linotype"/>
          <w:i/>
          <w:sz w:val="22"/>
          <w:szCs w:val="22"/>
        </w:rPr>
        <w:t xml:space="preserve">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 </w:t>
      </w:r>
    </w:p>
    <w:p w:rsidR="00910D03" w:rsidRPr="003765FB" w:rsidRDefault="00910D03">
      <w:pPr>
        <w:ind w:left="850" w:right="899"/>
        <w:jc w:val="both"/>
        <w:rPr>
          <w:rFonts w:ascii="Palatino Linotype" w:eastAsia="Palatino Linotype" w:hAnsi="Palatino Linotype" w:cs="Palatino Linotype"/>
          <w:i/>
          <w:sz w:val="22"/>
          <w:szCs w:val="22"/>
        </w:rPr>
      </w:pPr>
    </w:p>
    <w:p w:rsidR="00910D03" w:rsidRPr="003765FB" w:rsidRDefault="00107658">
      <w:pPr>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rsidR="00910D03" w:rsidRPr="003765FB" w:rsidRDefault="00910D03">
      <w:pPr>
        <w:ind w:left="850" w:right="899"/>
        <w:jc w:val="both"/>
        <w:rPr>
          <w:rFonts w:ascii="Palatino Linotype" w:eastAsia="Palatino Linotype" w:hAnsi="Palatino Linotype" w:cs="Palatino Linotype"/>
          <w:i/>
          <w:sz w:val="22"/>
          <w:szCs w:val="22"/>
        </w:rPr>
      </w:pPr>
    </w:p>
    <w:p w:rsidR="00910D03" w:rsidRPr="003765FB" w:rsidRDefault="00107658">
      <w:pPr>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p>
    <w:p w:rsidR="00910D03" w:rsidRPr="003765FB" w:rsidRDefault="00910D03">
      <w:pPr>
        <w:ind w:right="899"/>
        <w:jc w:val="both"/>
        <w:rPr>
          <w:rFonts w:ascii="Palatino Linotype" w:eastAsia="Palatino Linotype" w:hAnsi="Palatino Linotype" w:cs="Palatino Linotype"/>
          <w:i/>
          <w:sz w:val="22"/>
          <w:szCs w:val="22"/>
        </w:rPr>
      </w:pPr>
    </w:p>
    <w:p w:rsidR="00910D03" w:rsidRPr="003765FB" w:rsidRDefault="00910D03">
      <w:pPr>
        <w:spacing w:line="360" w:lineRule="auto"/>
        <w:ind w:right="899"/>
        <w:jc w:val="both"/>
        <w:rPr>
          <w:rFonts w:ascii="Palatino Linotype" w:eastAsia="Palatino Linotype" w:hAnsi="Palatino Linotype" w:cs="Palatino Linotype"/>
        </w:rPr>
      </w:pP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ARTÍCULO 56</w:t>
      </w:r>
      <w:r w:rsidRPr="003765FB">
        <w:rPr>
          <w:rFonts w:ascii="Palatino Linotype" w:eastAsia="Palatino Linotype" w:hAnsi="Palatino Linotype" w:cs="Palatino Linotype"/>
          <w:i/>
          <w:sz w:val="22"/>
          <w:szCs w:val="22"/>
        </w:rPr>
        <w:t xml:space="preserve">. Las condiciones generales de trabajo, establecerán como mínimo: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I. Duración de la jornada de trabajo;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II. Intensidad y calidad del trabajo;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III. Régimen de retribuciones;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IV. Regímenes de licencias, descansos y vacaciones;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V. Régimen de compatibilidad en horario y funciones;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VI. Disposiciones que deban adoptarse para prevenir los riesgos de trabajo;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VII. Disposiciones disciplinarias y la forma de aplicarlas;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VIII. Condiciones en que los servidores públicos deben someterse a exámenes médicos previos y periódicos;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IX. Labores insalubres y peligrosas que no deban desempeñar los menores de edad y la protección que se dará a las servidoras públicas embarazadas; y </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X. Las demás reglas que fueren convenientes para obtener mayor seguridad y eficacia en el trabajo.”</w:t>
      </w:r>
    </w:p>
    <w:p w:rsidR="00910D03" w:rsidRPr="003765FB" w:rsidRDefault="00107658">
      <w:pPr>
        <w:ind w:left="850" w:right="757"/>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(Énfasis añadido)</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Situación que además puede contar en un documento como el contrato laboral, formato único de movimiento de personal, entre otros, que como fue referido en líneas previas, </w:t>
      </w:r>
      <w:r w:rsidRPr="003765FB">
        <w:rPr>
          <w:rFonts w:ascii="Palatino Linotype" w:eastAsia="Palatino Linotype" w:hAnsi="Palatino Linotype" w:cs="Palatino Linotype"/>
          <w:b/>
        </w:rPr>
        <w:t xml:space="preserve">EL SUJETO OBLIGADO </w:t>
      </w:r>
      <w:r w:rsidRPr="003765FB">
        <w:rPr>
          <w:rFonts w:ascii="Palatino Linotype" w:eastAsia="Palatino Linotype" w:hAnsi="Palatino Linotype" w:cs="Palatino Linotype"/>
        </w:rPr>
        <w:t xml:space="preserve">debe generar, poseer y administrar, con motivo de sus funciones. </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tanto, también es procedente ordenar la entrega del documento de ser necesario en versión pública, donde conste el horario laboral de los servidores públicos señalados en la solicitud de información vigente al dos de mayo de dos mil veintidós. </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lo que, llegado a esta punto y derivado de los razonamientos antes expuestos, </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rPr>
        <w:t xml:space="preserve">el Pleno de este Instituto, estima que las razones o motivos de inconformidad hechos </w:t>
      </w:r>
      <w:r w:rsidRPr="003765FB">
        <w:rPr>
          <w:rFonts w:ascii="Palatino Linotype" w:eastAsia="Palatino Linotype" w:hAnsi="Palatino Linotype" w:cs="Palatino Linotype"/>
        </w:rPr>
        <w:lastRenderedPageBreak/>
        <w:t xml:space="preserve">valer por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resultan </w:t>
      </w:r>
      <w:r w:rsidRPr="003765FB">
        <w:rPr>
          <w:rFonts w:ascii="Palatino Linotype" w:eastAsia="Palatino Linotype" w:hAnsi="Palatino Linotype" w:cs="Palatino Linotype"/>
          <w:b/>
        </w:rPr>
        <w:t xml:space="preserve">infundadas </w:t>
      </w:r>
      <w:r w:rsidRPr="003765FB">
        <w:rPr>
          <w:rFonts w:ascii="Palatino Linotype" w:eastAsia="Palatino Linotype" w:hAnsi="Palatino Linotype" w:cs="Palatino Linotype"/>
        </w:rPr>
        <w:t xml:space="preserve">y se determina </w:t>
      </w:r>
      <w:r w:rsidRPr="003765FB">
        <w:rPr>
          <w:rFonts w:ascii="Palatino Linotype" w:eastAsia="Palatino Linotype" w:hAnsi="Palatino Linotype" w:cs="Palatino Linotype"/>
          <w:b/>
        </w:rPr>
        <w:t xml:space="preserve">MODIFICAR </w:t>
      </w:r>
      <w:r w:rsidRPr="003765FB">
        <w:rPr>
          <w:rFonts w:ascii="Palatino Linotype" w:eastAsia="Palatino Linotype" w:hAnsi="Palatino Linotype" w:cs="Palatino Linotype"/>
        </w:rPr>
        <w:t xml:space="preserve"> la respuesta del </w:t>
      </w:r>
      <w:r w:rsidRPr="003765FB">
        <w:rPr>
          <w:rFonts w:ascii="Palatino Linotype" w:eastAsia="Palatino Linotype" w:hAnsi="Palatino Linotype" w:cs="Palatino Linotype"/>
          <w:b/>
        </w:rPr>
        <w:t xml:space="preserve">SUJETO OBLIGADO </w:t>
      </w:r>
      <w:r w:rsidRPr="003765FB">
        <w:rPr>
          <w:rFonts w:ascii="Palatino Linotype" w:eastAsia="Palatino Linotype" w:hAnsi="Palatino Linotype" w:cs="Palatino Linotype"/>
        </w:rPr>
        <w:t xml:space="preserve">a la solicitud de información recaída en el Recurso de Revisión número </w:t>
      </w:r>
      <w:r w:rsidRPr="003765FB">
        <w:rPr>
          <w:rFonts w:ascii="Palatino Linotype" w:eastAsia="Palatino Linotype" w:hAnsi="Palatino Linotype" w:cs="Palatino Linotype"/>
          <w:b/>
        </w:rPr>
        <w:t xml:space="preserve">08807/INFOEM/IP/RR/2022 </w:t>
      </w:r>
      <w:r w:rsidRPr="003765FB">
        <w:rPr>
          <w:rFonts w:ascii="Palatino Linotype" w:eastAsia="Palatino Linotype" w:hAnsi="Palatino Linotype" w:cs="Palatino Linotype"/>
        </w:rPr>
        <w:t>y ordenar al</w:t>
      </w:r>
      <w:r w:rsidRPr="003765FB">
        <w:rPr>
          <w:rFonts w:ascii="Palatino Linotype" w:eastAsia="Palatino Linotype" w:hAnsi="Palatino Linotype" w:cs="Palatino Linotype"/>
          <w:b/>
        </w:rPr>
        <w:t xml:space="preserve"> SUJETO OBLIGADO</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rPr>
        <w:t>y ordenar al</w:t>
      </w:r>
      <w:r w:rsidRPr="003765FB">
        <w:rPr>
          <w:rFonts w:ascii="Palatino Linotype" w:eastAsia="Palatino Linotype" w:hAnsi="Palatino Linotype" w:cs="Palatino Linotype"/>
          <w:b/>
        </w:rPr>
        <w:t xml:space="preserve"> SUJETO OBLIGADO </w:t>
      </w:r>
      <w:r w:rsidRPr="003765FB">
        <w:rPr>
          <w:rFonts w:ascii="Palatino Linotype" w:eastAsia="Palatino Linotype" w:hAnsi="Palatino Linotype" w:cs="Palatino Linotype"/>
        </w:rPr>
        <w:t>permita la consulta directa del soporte documental, en caso de ser necesario en versión pública, donde consten: los Comprobantes Fiscales Digitales por Internet (CFDI) por concepto de Nómina de los trabajadores del Ayuntamiento del periodo transcurrido del uno de  enero a la segunda quincena de abril de dos mil veintidós, el listado de los Servidores Públicos entrantes del primero de enero al dos de abril de dos mil veintidós, así como su sueldo mensual neto y bruto y respecto de los servidores públicos referidos en la solicitud de información: nombramiento o documento análogo, horario de labores, plaza o puesto y forma de pago.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lo que respecta a la versión pública, sólo podrán ser testados los datos que actualicen las hipótesis normativas previstas en dicho precepto legal, y deberá procederse a su clasificación mediante las formalidades de Ley, es decir, que el Comité de Transparencia del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w:t>
      </w:r>
      <w:r w:rsidRPr="003765FB">
        <w:rPr>
          <w:rFonts w:ascii="Palatino Linotype" w:eastAsia="Palatino Linotype" w:hAnsi="Palatino Linotype" w:cs="Palatino Linotype"/>
        </w:rPr>
        <w:lastRenderedPageBreak/>
        <w:t>PÚBLICAS, publicados en el Diario Oficial de la Federación en fecha 15 de abril de 2016, mediante Acuerdo del Consejo Nacional del Sistema Nacional de Transparencia, Acceso a la Información Pública y Protección de Datos Personales.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ende,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10D03" w:rsidRPr="003765FB" w:rsidRDefault="00107658">
      <w:pPr>
        <w:ind w:left="851" w:right="902"/>
        <w:jc w:val="center"/>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Ley de Transparencia y Acceso a la Información Pública del Estado de México y Municipios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 xml:space="preserve">Artículo 49. </w:t>
      </w:r>
      <w:r w:rsidRPr="003765FB">
        <w:rPr>
          <w:rFonts w:ascii="Palatino Linotype" w:eastAsia="Palatino Linotype" w:hAnsi="Palatino Linotype" w:cs="Palatino Linotype"/>
          <w:i/>
          <w:sz w:val="22"/>
          <w:szCs w:val="22"/>
        </w:rPr>
        <w:t>Los Comités de Transparencia tendrán las siguientes atribuciones: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VIII.</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Aprobar</w:t>
      </w:r>
      <w:r w:rsidRPr="003765FB">
        <w:rPr>
          <w:rFonts w:ascii="Palatino Linotype" w:eastAsia="Palatino Linotype" w:hAnsi="Palatino Linotype" w:cs="Palatino Linotype"/>
          <w:i/>
          <w:sz w:val="22"/>
          <w:szCs w:val="22"/>
        </w:rPr>
        <w:t>, modificar o revocar la clasificación de la información;</w:t>
      </w:r>
    </w:p>
    <w:p w:rsidR="00910D03" w:rsidRPr="003765FB" w:rsidRDefault="00107658">
      <w:pPr>
        <w:ind w:left="851" w:right="902"/>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Artículo 132.</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La clasificación de la información se llevará a cabo en el momento en que:</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II.</w:t>
      </w:r>
      <w:r w:rsidRPr="003765FB">
        <w:rPr>
          <w:rFonts w:ascii="Palatino Linotype" w:eastAsia="Palatino Linotype" w:hAnsi="Palatino Linotype" w:cs="Palatino Linotype"/>
          <w:i/>
          <w:sz w:val="22"/>
          <w:szCs w:val="22"/>
        </w:rPr>
        <w:t xml:space="preserve"> Se determine mediante resolución de autoridad competente; o</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III</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Se generen versiones públicas para dar cumplimiento a las obligaciones de transparencia previstas en esta Ley</w:t>
      </w:r>
      <w:r w:rsidRPr="003765FB">
        <w:rPr>
          <w:rFonts w:ascii="Palatino Linotype" w:eastAsia="Palatino Linotype" w:hAnsi="Palatino Linotype" w:cs="Palatino Linotype"/>
          <w:i/>
          <w:sz w:val="22"/>
          <w:szCs w:val="22"/>
        </w:rPr>
        <w:t>.”</w:t>
      </w:r>
    </w:p>
    <w:p w:rsidR="00910D03" w:rsidRPr="003765FB" w:rsidRDefault="00107658">
      <w:pPr>
        <w:ind w:left="851" w:right="902"/>
        <w:jc w:val="center"/>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Lineamientos Generales en materia de Clasificación y Desclasificación de la Información</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Segundo.-</w:t>
      </w:r>
      <w:r w:rsidRPr="003765FB">
        <w:rPr>
          <w:rFonts w:ascii="Palatino Linotype" w:eastAsia="Palatino Linotype" w:hAnsi="Palatino Linotype" w:cs="Palatino Linotype"/>
          <w:i/>
          <w:sz w:val="22"/>
          <w:szCs w:val="22"/>
        </w:rPr>
        <w:t xml:space="preserve"> Para efectos de los presentes Lineamientos Generales, se entenderá por:</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XVIII.</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Versión pública:</w:t>
      </w:r>
      <w:r w:rsidRPr="003765F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3765FB">
        <w:rPr>
          <w:rFonts w:ascii="Palatino Linotype" w:eastAsia="Palatino Linotype" w:hAnsi="Palatino Linotype" w:cs="Palatino Linotype"/>
          <w:i/>
          <w:sz w:val="22"/>
          <w:szCs w:val="22"/>
        </w:rPr>
        <w:lastRenderedPageBreak/>
        <w:t xml:space="preserve">de éstas de manera genérica, </w:t>
      </w:r>
      <w:r w:rsidRPr="003765FB">
        <w:rPr>
          <w:rFonts w:ascii="Palatino Linotype" w:eastAsia="Palatino Linotype" w:hAnsi="Palatino Linotype" w:cs="Palatino Linotype"/>
          <w:b/>
          <w:i/>
          <w:sz w:val="22"/>
          <w:szCs w:val="22"/>
        </w:rPr>
        <w:t>fundando y motivando la</w:t>
      </w:r>
      <w:r w:rsidRPr="003765FB">
        <w:rPr>
          <w:rFonts w:ascii="Palatino Linotype" w:eastAsia="Palatino Linotype" w:hAnsi="Palatino Linotype" w:cs="Palatino Linotype"/>
          <w:i/>
          <w:sz w:val="22"/>
          <w:szCs w:val="22"/>
        </w:rPr>
        <w:t xml:space="preserve"> reserva o </w:t>
      </w:r>
      <w:r w:rsidRPr="003765FB">
        <w:rPr>
          <w:rFonts w:ascii="Palatino Linotype" w:eastAsia="Palatino Linotype" w:hAnsi="Palatino Linotype" w:cs="Palatino Linotype"/>
          <w:b/>
          <w:i/>
          <w:sz w:val="22"/>
          <w:szCs w:val="22"/>
        </w:rPr>
        <w:t>confidencialidad</w:t>
      </w:r>
      <w:r w:rsidRPr="003765FB">
        <w:rPr>
          <w:rFonts w:ascii="Palatino Linotype" w:eastAsia="Palatino Linotype" w:hAnsi="Palatino Linotype" w:cs="Palatino Linotype"/>
          <w:i/>
          <w:sz w:val="22"/>
          <w:szCs w:val="22"/>
        </w:rPr>
        <w:t>, a través de la resolución que para tal efecto emita el Comité de Transparencia.</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Cuarto.</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b/>
          <w:i/>
          <w:sz w:val="22"/>
          <w:szCs w:val="22"/>
        </w:rPr>
        <w:t>Para clasificar la información como</w:t>
      </w:r>
      <w:r w:rsidRPr="003765FB">
        <w:rPr>
          <w:rFonts w:ascii="Palatino Linotype" w:eastAsia="Palatino Linotype" w:hAnsi="Palatino Linotype" w:cs="Palatino Linotype"/>
          <w:i/>
          <w:sz w:val="22"/>
          <w:szCs w:val="22"/>
        </w:rPr>
        <w:t xml:space="preserve"> reservada o </w:t>
      </w:r>
      <w:r w:rsidRPr="003765F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765F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Quinto.</w:t>
      </w:r>
      <w:r w:rsidRPr="003765F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Sexto.</w:t>
      </w:r>
      <w:r w:rsidRPr="003765F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Séptimo.</w:t>
      </w:r>
      <w:r w:rsidRPr="003765FB">
        <w:rPr>
          <w:rFonts w:ascii="Palatino Linotype" w:eastAsia="Palatino Linotype" w:hAnsi="Palatino Linotype" w:cs="Palatino Linotype"/>
          <w:i/>
          <w:sz w:val="22"/>
          <w:szCs w:val="22"/>
        </w:rPr>
        <w:t xml:space="preserve"> La clasificación de la información se llevará a cabo en el momento en que:</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I.</w:t>
      </w:r>
      <w:r w:rsidRPr="003765FB">
        <w:rPr>
          <w:rFonts w:ascii="Palatino Linotype" w:eastAsia="Palatino Linotype" w:hAnsi="Palatino Linotype" w:cs="Palatino Linotype"/>
          <w:i/>
          <w:sz w:val="22"/>
          <w:szCs w:val="22"/>
        </w:rPr>
        <w:t xml:space="preserve"> Se reciba una solicitud de acceso a la información;</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II.</w:t>
      </w:r>
      <w:r w:rsidRPr="003765FB">
        <w:rPr>
          <w:rFonts w:ascii="Palatino Linotype" w:eastAsia="Palatino Linotype" w:hAnsi="Palatino Linotype" w:cs="Palatino Linotype"/>
          <w:i/>
          <w:sz w:val="22"/>
          <w:szCs w:val="22"/>
        </w:rPr>
        <w:t xml:space="preserve"> Se determine mediante resolución de autoridad competente, o</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III.</w:t>
      </w:r>
      <w:r w:rsidRPr="003765F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Octavo.</w:t>
      </w:r>
      <w:r w:rsidRPr="003765F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Noveno.</w:t>
      </w:r>
      <w:r w:rsidRPr="003765F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Décimo.</w:t>
      </w:r>
      <w:r w:rsidRPr="003765F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910D03" w:rsidRPr="003765FB" w:rsidRDefault="00107658">
      <w:pPr>
        <w:ind w:left="851" w:right="902"/>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Décimo primero.</w:t>
      </w:r>
      <w:r w:rsidRPr="003765F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10D03" w:rsidRPr="003765FB" w:rsidRDefault="00910D03">
      <w:pPr>
        <w:ind w:left="851" w:right="902"/>
        <w:jc w:val="both"/>
        <w:rPr>
          <w:rFonts w:ascii="Palatino Linotype" w:eastAsia="Palatino Linotype" w:hAnsi="Palatino Linotype" w:cs="Palatino Linotype"/>
          <w:i/>
          <w:sz w:val="22"/>
          <w:szCs w:val="22"/>
        </w:rPr>
      </w:pPr>
    </w:p>
    <w:p w:rsidR="00910D03" w:rsidRPr="003765FB" w:rsidRDefault="00107658">
      <w:pPr>
        <w:ind w:left="850" w:right="901"/>
        <w:jc w:val="center"/>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CAPÍTULO VIII</w:t>
      </w:r>
    </w:p>
    <w:p w:rsidR="00910D03" w:rsidRPr="003765FB" w:rsidRDefault="00107658">
      <w:pPr>
        <w:ind w:left="850" w:right="901"/>
        <w:jc w:val="center"/>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DE LA LEYENDA DE CLASIFICACIÓN</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Quincuagésimo. </w:t>
      </w:r>
      <w:r w:rsidRPr="003765F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765F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lastRenderedPageBreak/>
        <w:t>[…]</w:t>
      </w:r>
    </w:p>
    <w:p w:rsidR="00910D03" w:rsidRPr="003765FB" w:rsidRDefault="00107658">
      <w:pPr>
        <w:ind w:left="850" w:right="90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 xml:space="preserve">Quincuagésimo tercero. </w:t>
      </w:r>
      <w:r w:rsidRPr="003765FB">
        <w:rPr>
          <w:rFonts w:ascii="Palatino Linotype" w:eastAsia="Palatino Linotype" w:hAnsi="Palatino Linotype" w:cs="Palatino Linotype"/>
          <w:b/>
          <w:i/>
          <w:sz w:val="22"/>
          <w:szCs w:val="22"/>
          <w:u w:val="single"/>
        </w:rPr>
        <w:t>El formato para señalar la clasificación parcial de un documento</w:t>
      </w:r>
      <w:r w:rsidRPr="003765FB">
        <w:rPr>
          <w:rFonts w:ascii="Palatino Linotype" w:eastAsia="Palatino Linotype" w:hAnsi="Palatino Linotype" w:cs="Palatino Linotype"/>
          <w:i/>
          <w:sz w:val="22"/>
          <w:szCs w:val="22"/>
        </w:rPr>
        <w:t>, es el siguiente:</w:t>
      </w:r>
    </w:p>
    <w:p w:rsidR="00910D03" w:rsidRPr="003765FB" w:rsidRDefault="00910D03">
      <w:pPr>
        <w:ind w:left="850" w:right="901"/>
        <w:jc w:val="both"/>
        <w:rPr>
          <w:rFonts w:ascii="Palatino Linotype" w:eastAsia="Palatino Linotype" w:hAnsi="Palatino Linotype" w:cs="Palatino Linotype"/>
          <w:i/>
          <w:sz w:val="22"/>
          <w:szCs w:val="22"/>
        </w:rPr>
      </w:pPr>
    </w:p>
    <w:tbl>
      <w:tblPr>
        <w:tblStyle w:val="affffffffc"/>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910D03" w:rsidRPr="003765FB">
        <w:trPr>
          <w:jc w:val="center"/>
        </w:trPr>
        <w:tc>
          <w:tcPr>
            <w:tcW w:w="1129" w:type="dxa"/>
            <w:tcBorders>
              <w:top w:val="single" w:sz="4" w:space="0" w:color="000000"/>
              <w:left w:val="single" w:sz="4" w:space="0" w:color="000000"/>
              <w:bottom w:val="single" w:sz="4" w:space="0" w:color="000000"/>
              <w:right w:val="single" w:sz="4" w:space="0" w:color="000000"/>
            </w:tcBorders>
          </w:tcPr>
          <w:p w:rsidR="00910D03" w:rsidRPr="003765FB" w:rsidRDefault="00910D0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b/>
                <w:i/>
              </w:rPr>
            </w:pPr>
            <w:r w:rsidRPr="003765F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b/>
                <w:i/>
              </w:rPr>
            </w:pPr>
            <w:r w:rsidRPr="003765FB">
              <w:rPr>
                <w:rFonts w:ascii="Palatino Linotype" w:eastAsia="Palatino Linotype" w:hAnsi="Palatino Linotype" w:cs="Palatino Linotype"/>
                <w:b/>
                <w:i/>
              </w:rPr>
              <w:t>Dónde:</w:t>
            </w:r>
          </w:p>
        </w:tc>
      </w:tr>
      <w:tr w:rsidR="00910D03" w:rsidRPr="003765FB">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10D03" w:rsidRPr="003765FB" w:rsidRDefault="00107658">
            <w:pPr>
              <w:jc w:val="center"/>
              <w:rPr>
                <w:rFonts w:ascii="Palatino Linotype" w:eastAsia="Palatino Linotype" w:hAnsi="Palatino Linotype" w:cs="Palatino Linotype"/>
                <w:b/>
                <w:i/>
              </w:rPr>
            </w:pPr>
            <w:r w:rsidRPr="003765F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anotará la fecha en la que el Comité de Transparencia confirmó la clasificación del documento, en su caso.</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señalará el nombre del área del cual es titular quien clasifica.</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indicarán, en su caso, las partes o páginas del documento que se clasifican como reservadas. Si el documento fuera reservado en su totalidad, se anotará todas las páginas que lo conforman. Si el documento no contiene información reservada, se tachará este apartado.</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anotará el número de años o meses por los que se mantendrá el documento o las partes del mismo como reservado.</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señalará el nombre del ordenamiento, el o los artículos, fracción(es), párrafo(s) con base en los cuales se sustente la reserva.</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b/>
                <w:i/>
                <w:u w:val="single"/>
              </w:rPr>
            </w:pPr>
            <w:r w:rsidRPr="003765FB">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 xml:space="preserve">Se indicarán, en su caso, </w:t>
            </w:r>
            <w:r w:rsidRPr="003765FB">
              <w:rPr>
                <w:rFonts w:ascii="Palatino Linotype" w:eastAsia="Palatino Linotype" w:hAnsi="Palatino Linotype" w:cs="Palatino Linotype"/>
                <w:b/>
                <w:i/>
                <w:u w:val="single"/>
              </w:rPr>
              <w:t>las partes o páginas del documento que se clasifica como confidencial</w:t>
            </w:r>
            <w:r w:rsidRPr="003765FB">
              <w:rPr>
                <w:rFonts w:ascii="Palatino Linotype" w:eastAsia="Palatino Linotype" w:hAnsi="Palatino Linotype" w:cs="Palatino Linotype"/>
                <w:i/>
              </w:rPr>
              <w:t xml:space="preserve">. </w:t>
            </w:r>
            <w:r w:rsidRPr="003765FB">
              <w:rPr>
                <w:rFonts w:ascii="Palatino Linotype" w:eastAsia="Palatino Linotype" w:hAnsi="Palatino Linotype" w:cs="Palatino Linotype"/>
                <w:b/>
                <w:i/>
                <w:u w:val="single"/>
              </w:rPr>
              <w:t>Si el documento fuera confidencial en su totalidad, se anotarán todas las páginas que lo conforman</w:t>
            </w:r>
            <w:r w:rsidRPr="003765FB">
              <w:rPr>
                <w:rFonts w:ascii="Palatino Linotype" w:eastAsia="Palatino Linotype" w:hAnsi="Palatino Linotype" w:cs="Palatino Linotype"/>
                <w:i/>
              </w:rPr>
              <w:t xml:space="preserve">. Si el </w:t>
            </w:r>
            <w:r w:rsidRPr="003765FB">
              <w:rPr>
                <w:rFonts w:ascii="Palatino Linotype" w:eastAsia="Palatino Linotype" w:hAnsi="Palatino Linotype" w:cs="Palatino Linotype"/>
                <w:i/>
              </w:rPr>
              <w:lastRenderedPageBreak/>
              <w:t>documento no contiene información confidencial, se tachará este apartado.</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Rúbrica autógrafa de quien clasifica.</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both"/>
              <w:rPr>
                <w:rFonts w:ascii="Palatino Linotype" w:eastAsia="Palatino Linotype" w:hAnsi="Palatino Linotype" w:cs="Palatino Linotype"/>
                <w:i/>
              </w:rPr>
            </w:pPr>
            <w:r w:rsidRPr="003765FB">
              <w:rPr>
                <w:rFonts w:ascii="Palatino Linotype" w:eastAsia="Palatino Linotype" w:hAnsi="Palatino Linotype" w:cs="Palatino Linotype"/>
                <w:i/>
              </w:rPr>
              <w:t>Se anotará la fecha en que se desclasifica el documento.</w:t>
            </w:r>
          </w:p>
        </w:tc>
      </w:tr>
      <w:tr w:rsidR="00910D03" w:rsidRPr="003765F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910D03" w:rsidRPr="003765FB" w:rsidRDefault="00910D0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910D03" w:rsidRPr="003765FB" w:rsidRDefault="00107658">
            <w:pPr>
              <w:jc w:val="center"/>
              <w:rPr>
                <w:rFonts w:ascii="Palatino Linotype" w:eastAsia="Palatino Linotype" w:hAnsi="Palatino Linotype" w:cs="Palatino Linotype"/>
                <w:i/>
              </w:rPr>
            </w:pPr>
            <w:r w:rsidRPr="003765F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910D03" w:rsidRPr="003765FB" w:rsidRDefault="00107658">
            <w:pPr>
              <w:rPr>
                <w:rFonts w:ascii="Palatino Linotype" w:eastAsia="Palatino Linotype" w:hAnsi="Palatino Linotype" w:cs="Palatino Linotype"/>
                <w:i/>
              </w:rPr>
            </w:pPr>
            <w:r w:rsidRPr="003765FB">
              <w:rPr>
                <w:rFonts w:ascii="Palatino Linotype" w:eastAsia="Palatino Linotype" w:hAnsi="Palatino Linotype" w:cs="Palatino Linotype"/>
                <w:i/>
              </w:rPr>
              <w:t>Rúbrica autógrafa de quien desclasifica.</w:t>
            </w:r>
          </w:p>
        </w:tc>
      </w:tr>
    </w:tbl>
    <w:p w:rsidR="00910D03" w:rsidRPr="003765FB" w:rsidRDefault="00107658">
      <w:pPr>
        <w:ind w:left="709" w:right="709"/>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sz w:val="22"/>
          <w:szCs w:val="22"/>
        </w:rPr>
        <w:t>(Énfasis Añadido)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Es importante referir que, </w:t>
      </w:r>
      <w:r w:rsidRPr="003765FB">
        <w:rPr>
          <w:rFonts w:ascii="Palatino Linotype" w:eastAsia="Palatino Linotype" w:hAnsi="Palatino Linotype" w:cs="Palatino Linotype"/>
          <w:b/>
        </w:rPr>
        <w:t>EL SUJETO OBLIGADO</w:t>
      </w:r>
      <w:r w:rsidRPr="003765F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Para el caso que nos ocupa,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3765FB">
        <w:rPr>
          <w:rFonts w:ascii="Palatino Linotype" w:eastAsia="Palatino Linotype" w:hAnsi="Palatino Linotype" w:cs="Palatino Linotype"/>
          <w:b/>
        </w:rPr>
        <w:t>Registro Federal de Contribuyentes</w:t>
      </w:r>
      <w:r w:rsidRPr="003765FB">
        <w:rPr>
          <w:rFonts w:ascii="Palatino Linotype" w:eastAsia="Palatino Linotype" w:hAnsi="Palatino Linotype" w:cs="Palatino Linotype"/>
        </w:rPr>
        <w:t xml:space="preserve"> (RFC), la </w:t>
      </w:r>
      <w:r w:rsidRPr="003765FB">
        <w:rPr>
          <w:rFonts w:ascii="Palatino Linotype" w:eastAsia="Palatino Linotype" w:hAnsi="Palatino Linotype" w:cs="Palatino Linotype"/>
          <w:b/>
        </w:rPr>
        <w:t>Clave Única de Registro de Población</w:t>
      </w:r>
      <w:r w:rsidRPr="003765FB">
        <w:rPr>
          <w:rFonts w:ascii="Palatino Linotype" w:eastAsia="Palatino Linotype" w:hAnsi="Palatino Linotype" w:cs="Palatino Linotype"/>
        </w:rPr>
        <w:t xml:space="preserve"> (CURP) y la </w:t>
      </w:r>
      <w:r w:rsidRPr="003765FB">
        <w:rPr>
          <w:rFonts w:ascii="Palatino Linotype" w:eastAsia="Palatino Linotype" w:hAnsi="Palatino Linotype" w:cs="Palatino Linotype"/>
          <w:b/>
        </w:rPr>
        <w:t>Clave de cualquier tipo de seguridad social</w:t>
      </w:r>
      <w:r w:rsidRPr="003765FB">
        <w:rPr>
          <w:rFonts w:ascii="Palatino Linotype" w:eastAsia="Palatino Linotype" w:hAnsi="Palatino Linotype" w:cs="Palatino Linotype"/>
        </w:rPr>
        <w:t xml:space="preserve"> (ISSEMYM, u otros), así como, los </w:t>
      </w:r>
      <w:r w:rsidRPr="003765FB">
        <w:rPr>
          <w:rFonts w:ascii="Palatino Linotype" w:eastAsia="Palatino Linotype" w:hAnsi="Palatino Linotype" w:cs="Palatino Linotype"/>
          <w:b/>
        </w:rPr>
        <w:t>préstamos o descuentos</w:t>
      </w:r>
      <w:r w:rsidRPr="003765FB">
        <w:rPr>
          <w:rFonts w:ascii="Palatino Linotype" w:eastAsia="Palatino Linotype" w:hAnsi="Palatino Linotype" w:cs="Palatino Linotype"/>
        </w:rPr>
        <w:t xml:space="preserve"> que se le hagan a la persona y que no tengan relación con los impuestos o la cuota por seguridad social, así como los </w:t>
      </w:r>
      <w:r w:rsidRPr="003765FB">
        <w:rPr>
          <w:rFonts w:ascii="Palatino Linotype" w:eastAsia="Palatino Linotype" w:hAnsi="Palatino Linotype" w:cs="Palatino Linotype"/>
          <w:b/>
        </w:rPr>
        <w:t>Códigos Bidimensionales</w:t>
      </w:r>
      <w:r w:rsidRPr="003765FB">
        <w:rPr>
          <w:rFonts w:ascii="Palatino Linotype" w:eastAsia="Palatino Linotype" w:hAnsi="Palatino Linotype" w:cs="Palatino Linotype"/>
        </w:rPr>
        <w:t xml:space="preserve">, también denominados </w:t>
      </w:r>
      <w:r w:rsidRPr="003765FB">
        <w:rPr>
          <w:rFonts w:ascii="Palatino Linotype" w:eastAsia="Palatino Linotype" w:hAnsi="Palatino Linotype" w:cs="Palatino Linotype"/>
          <w:b/>
        </w:rPr>
        <w:t>Códigos QR</w:t>
      </w:r>
      <w:r w:rsidRPr="003765FB">
        <w:rPr>
          <w:rFonts w:ascii="Palatino Linotype" w:eastAsia="Palatino Linotype" w:hAnsi="Palatino Linotype" w:cs="Palatino Linotype"/>
        </w:rPr>
        <w:t>.</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910D03" w:rsidRPr="003765FB" w:rsidRDefault="00107658">
      <w:pPr>
        <w:spacing w:after="120"/>
        <w:ind w:left="851" w:right="902"/>
        <w:jc w:val="both"/>
        <w:rPr>
          <w:rFonts w:ascii="Arial" w:eastAsia="Arial" w:hAnsi="Arial" w:cs="Arial"/>
        </w:rPr>
      </w:pPr>
      <w:r w:rsidRPr="003765FB">
        <w:rPr>
          <w:rFonts w:ascii="Palatino Linotype" w:eastAsia="Palatino Linotype" w:hAnsi="Palatino Linotype" w:cs="Palatino Linotype"/>
          <w:b/>
          <w:i/>
          <w:sz w:val="20"/>
          <w:szCs w:val="20"/>
        </w:rPr>
        <w:lastRenderedPageBreak/>
        <w:t xml:space="preserve">“Registro Federal de Contribuyentes (RFC) de personas físicas. </w:t>
      </w:r>
      <w:r w:rsidRPr="003765FB">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Argumento que es compartido por el Instituto Nacional de Transparencia, Acceso a la Información y Protección de Datos (INAI)</w:t>
      </w:r>
      <w:r w:rsidRPr="003765FB">
        <w:rPr>
          <w:rFonts w:ascii="Palatino Linotype" w:eastAsia="Palatino Linotype" w:hAnsi="Palatino Linotype" w:cs="Palatino Linotype"/>
          <w:b/>
        </w:rPr>
        <w:t xml:space="preserve">, conforme al </w:t>
      </w:r>
      <w:r w:rsidRPr="003765FB">
        <w:rPr>
          <w:rFonts w:ascii="Palatino Linotype" w:eastAsia="Palatino Linotype" w:hAnsi="Palatino Linotype" w:cs="Palatino Linotype"/>
        </w:rPr>
        <w:t xml:space="preserve">criterio número 18/17, el cual refiere: </w:t>
      </w:r>
    </w:p>
    <w:p w:rsidR="00910D03" w:rsidRPr="003765FB" w:rsidRDefault="00107658">
      <w:pPr>
        <w:spacing w:after="120"/>
        <w:ind w:left="851" w:right="902"/>
        <w:jc w:val="both"/>
        <w:rPr>
          <w:rFonts w:ascii="Arial" w:eastAsia="Arial" w:hAnsi="Arial" w:cs="Arial"/>
          <w:b/>
        </w:rPr>
      </w:pPr>
      <w:r w:rsidRPr="003765FB">
        <w:rPr>
          <w:rFonts w:ascii="Palatino Linotype" w:eastAsia="Palatino Linotype" w:hAnsi="Palatino Linotype" w:cs="Palatino Linotype"/>
          <w:b/>
          <w:i/>
          <w:sz w:val="20"/>
          <w:szCs w:val="20"/>
        </w:rPr>
        <w:t xml:space="preserve">“Clave Única de Registro de Población (CURP). </w:t>
      </w:r>
      <w:r w:rsidRPr="003765FB">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910D03" w:rsidRPr="003765FB" w:rsidRDefault="00107658">
      <w:pPr>
        <w:spacing w:before="240" w:after="240"/>
        <w:ind w:left="567" w:right="900"/>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“El número de ficha de identificación única de los trabajadores es información de carácter confidencial.</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765FB">
        <w:rPr>
          <w:rFonts w:ascii="Palatino Linotype" w:eastAsia="Palatino Linotype" w:hAnsi="Palatino Linotype" w:cs="Palatino Linotype"/>
          <w:i/>
          <w:sz w:val="22"/>
          <w:szCs w:val="22"/>
        </w:rPr>
        <w:t xml:space="preserve">, </w:t>
      </w:r>
      <w:r w:rsidRPr="003765FB">
        <w:rPr>
          <w:rFonts w:ascii="Palatino Linotype" w:eastAsia="Palatino Linotype" w:hAnsi="Palatino Linotype" w:cs="Palatino Linotype"/>
          <w:i/>
          <w:sz w:val="22"/>
          <w:szCs w:val="22"/>
          <w:u w:val="single"/>
        </w:rPr>
        <w:t>dicha información es susceptible de clasificarse con el carácter de confidencial</w:t>
      </w:r>
      <w:r w:rsidRPr="003765FB">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Respecto de los </w:t>
      </w:r>
      <w:r w:rsidRPr="003765FB">
        <w:rPr>
          <w:rFonts w:ascii="Palatino Linotype" w:eastAsia="Palatino Linotype" w:hAnsi="Palatino Linotype" w:cs="Palatino Linotype"/>
          <w:b/>
        </w:rPr>
        <w:t>préstamos o descuentos</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rPr>
        <w:t>de carácter personal</w:t>
      </w:r>
      <w:r w:rsidRPr="003765FB">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910D03" w:rsidRPr="003765FB" w:rsidRDefault="00107658">
      <w:pPr>
        <w:spacing w:before="240" w:after="240" w:line="360" w:lineRule="auto"/>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sz w:val="22"/>
          <w:szCs w:val="22"/>
        </w:rPr>
        <w:lastRenderedPageBreak/>
        <w:t>Por cuanto hace a las deducciones, para entender los límites y alcances de esta restricción, es oportuno recurrir al artículo 84 de la Ley del Trabajo de los Servidores Públicos del Estado y Municipios:</w:t>
      </w:r>
    </w:p>
    <w:p w:rsidR="00910D03" w:rsidRPr="003765FB" w:rsidRDefault="00107658">
      <w:pPr>
        <w:ind w:left="851" w:right="85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 xml:space="preserve">“ARTÍCULO 84. </w:t>
      </w:r>
      <w:r w:rsidRPr="003765FB">
        <w:rPr>
          <w:rFonts w:ascii="Palatino Linotype" w:eastAsia="Palatino Linotype" w:hAnsi="Palatino Linotype" w:cs="Palatino Linotype"/>
          <w:i/>
          <w:sz w:val="22"/>
          <w:szCs w:val="22"/>
        </w:rPr>
        <w:t>Sólo podrán hacerse retenciones, descuentos o deducciones al sueldo de los servidores públicos por concepto de:</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I. Gravámenes fiscales relacionados con el sueldo;</w:t>
      </w:r>
    </w:p>
    <w:p w:rsidR="00910D03" w:rsidRPr="003765FB" w:rsidRDefault="00107658">
      <w:pPr>
        <w:ind w:left="851" w:right="85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III. Cuotas sindicales;</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VII. Faltas de puntualidad o de asistencia injustificadas;</w:t>
      </w:r>
    </w:p>
    <w:p w:rsidR="00910D03" w:rsidRPr="003765FB" w:rsidRDefault="00107658">
      <w:pPr>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b/>
          <w:i/>
          <w:sz w:val="22"/>
          <w:szCs w:val="22"/>
        </w:rPr>
        <w:t>VIII. Pensiones alimenticias ordenadas por la autoridad judicial;</w:t>
      </w:r>
      <w:r w:rsidRPr="003765FB">
        <w:rPr>
          <w:rFonts w:ascii="Palatino Linotype" w:eastAsia="Palatino Linotype" w:hAnsi="Palatino Linotype" w:cs="Palatino Linotype"/>
          <w:i/>
          <w:sz w:val="22"/>
          <w:szCs w:val="22"/>
        </w:rPr>
        <w:t xml:space="preserve"> o</w:t>
      </w:r>
    </w:p>
    <w:p w:rsidR="00910D03" w:rsidRPr="003765FB" w:rsidRDefault="00107658">
      <w:pPr>
        <w:ind w:left="851" w:right="851"/>
        <w:jc w:val="both"/>
        <w:rPr>
          <w:rFonts w:ascii="Palatino Linotype" w:eastAsia="Palatino Linotype" w:hAnsi="Palatino Linotype" w:cs="Palatino Linotype"/>
          <w:b/>
          <w:i/>
          <w:sz w:val="22"/>
          <w:szCs w:val="22"/>
        </w:rPr>
      </w:pPr>
      <w:r w:rsidRPr="003765FB">
        <w:rPr>
          <w:rFonts w:ascii="Palatino Linotype" w:eastAsia="Palatino Linotype" w:hAnsi="Palatino Linotype" w:cs="Palatino Linotype"/>
          <w:b/>
          <w:i/>
          <w:sz w:val="22"/>
          <w:szCs w:val="22"/>
        </w:rPr>
        <w:t>IX. Cualquier otro convenido con instituciones de servicios y aceptado por el servidor público.</w:t>
      </w:r>
    </w:p>
    <w:p w:rsidR="00910D03" w:rsidRPr="003765FB" w:rsidRDefault="00107658">
      <w:pPr>
        <w:spacing w:after="120"/>
        <w:ind w:left="851" w:right="851"/>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910D03" w:rsidRPr="003765FB" w:rsidRDefault="00107658">
      <w:pPr>
        <w:spacing w:before="240" w:after="24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w:t>
      </w:r>
      <w:r w:rsidRPr="003765FB">
        <w:rPr>
          <w:rFonts w:ascii="Palatino Linotype" w:eastAsia="Palatino Linotype" w:hAnsi="Palatino Linotype" w:cs="Palatino Linotype"/>
        </w:rPr>
        <w:lastRenderedPageBreak/>
        <w:t>privada. De este modo, descuentos por pensiones alimenticias o créditos adquiridos con instituciones privadas que no se relacionen con el gasto público, son información que debe clasificarse como confidencial.</w:t>
      </w: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Respecto de los </w:t>
      </w:r>
      <w:r w:rsidRPr="003765FB">
        <w:rPr>
          <w:rFonts w:ascii="Palatino Linotype" w:eastAsia="Palatino Linotype" w:hAnsi="Palatino Linotype" w:cs="Palatino Linotype"/>
          <w:b/>
        </w:rPr>
        <w:t>Códigos Bidimensionales</w:t>
      </w:r>
      <w:r w:rsidRPr="003765FB">
        <w:rPr>
          <w:rFonts w:ascii="Palatino Linotype" w:eastAsia="Palatino Linotype" w:hAnsi="Palatino Linotype" w:cs="Palatino Linotype"/>
        </w:rPr>
        <w:t xml:space="preserve">, también denominados </w:t>
      </w:r>
      <w:r w:rsidRPr="003765FB">
        <w:rPr>
          <w:rFonts w:ascii="Palatino Linotype" w:eastAsia="Palatino Linotype" w:hAnsi="Palatino Linotype" w:cs="Palatino Linotype"/>
          <w:b/>
        </w:rPr>
        <w:t>Códigos QR</w:t>
      </w:r>
      <w:r w:rsidRPr="003765FB">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3765FB">
        <w:rPr>
          <w:rFonts w:ascii="Palatino Linotype" w:eastAsia="Palatino Linotype" w:hAnsi="Palatino Linotype" w:cs="Palatino Linotype"/>
          <w:b/>
        </w:rPr>
        <w:t>Registro Federal de Contribuyentes</w:t>
      </w:r>
      <w:r w:rsidRPr="003765FB">
        <w:rPr>
          <w:rFonts w:ascii="Palatino Linotype" w:eastAsia="Palatino Linotype" w:hAnsi="Palatino Linotype" w:cs="Palatino Linotype"/>
        </w:rPr>
        <w:t xml:space="preserve"> (RFC) y la </w:t>
      </w:r>
      <w:r w:rsidRPr="003765FB">
        <w:rPr>
          <w:rFonts w:ascii="Palatino Linotype" w:eastAsia="Palatino Linotype" w:hAnsi="Palatino Linotype" w:cs="Palatino Linotype"/>
          <w:b/>
        </w:rPr>
        <w:t>Clave Única de Registro de Población</w:t>
      </w:r>
      <w:r w:rsidRPr="003765FB">
        <w:rPr>
          <w:rFonts w:ascii="Palatino Linotype" w:eastAsia="Palatino Linotype" w:hAnsi="Palatino Linotype" w:cs="Palatino Linotype"/>
        </w:rPr>
        <w:t xml:space="preserve"> (CURP).</w:t>
      </w:r>
    </w:p>
    <w:p w:rsidR="00910D03" w:rsidRPr="003765FB" w:rsidRDefault="00910D03">
      <w:pPr>
        <w:spacing w:line="360" w:lineRule="auto"/>
        <w:ind w:right="51"/>
        <w:jc w:val="both"/>
        <w:rPr>
          <w:rFonts w:ascii="Palatino Linotype" w:eastAsia="Palatino Linotype" w:hAnsi="Palatino Linotype" w:cs="Palatino Linotype"/>
        </w:rPr>
      </w:pPr>
    </w:p>
    <w:p w:rsidR="00910D03" w:rsidRPr="003765FB" w:rsidRDefault="00107658">
      <w:pPr>
        <w:spacing w:line="360" w:lineRule="auto"/>
        <w:ind w:right="50"/>
        <w:jc w:val="both"/>
        <w:rPr>
          <w:rFonts w:ascii="Palatino Linotype" w:eastAsia="Palatino Linotype" w:hAnsi="Palatino Linotype" w:cs="Palatino Linotype"/>
        </w:rPr>
      </w:pPr>
      <w:r w:rsidRPr="003765F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910D03" w:rsidRPr="003765FB" w:rsidRDefault="00910D03">
      <w:pPr>
        <w:spacing w:line="360" w:lineRule="auto"/>
        <w:ind w:right="50"/>
        <w:jc w:val="both"/>
        <w:rPr>
          <w:rFonts w:ascii="Palatino Linotype" w:eastAsia="Palatino Linotype" w:hAnsi="Palatino Linotype" w:cs="Palatino Linotype"/>
        </w:rPr>
      </w:pPr>
    </w:p>
    <w:p w:rsidR="00910D03" w:rsidRPr="003765FB" w:rsidRDefault="00107658">
      <w:pPr>
        <w:spacing w:line="360" w:lineRule="auto"/>
        <w:ind w:right="50"/>
        <w:jc w:val="both"/>
        <w:rPr>
          <w:rFonts w:ascii="Palatino Linotype" w:eastAsia="Palatino Linotype" w:hAnsi="Palatino Linotype" w:cs="Palatino Linotype"/>
        </w:rPr>
      </w:pPr>
      <w:r w:rsidRPr="003765FB">
        <w:rPr>
          <w:rFonts w:ascii="Palatino Linotype" w:eastAsia="Palatino Linotype" w:hAnsi="Palatino Linotype" w:cs="Palatino Linotype"/>
        </w:rPr>
        <w:lastRenderedPageBreak/>
        <w:t>Por otra parte, no escapa de la óptica de este Instituto que dentro de la información que se ordena se puede encontrar información relativa a los elementos operativos del cuerpo de seguridad pública del Ayuntamiento de Xonacatlán</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widowControl w:val="0"/>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En ese sentido, es criterio mayoritario del pleno de este Organismo que el nombre de estos servidores públicos encuadra en una excepción y por tanto debe ser objeto de un proceso de </w:t>
      </w:r>
      <w:r w:rsidRPr="003765FB">
        <w:rPr>
          <w:rFonts w:ascii="Palatino Linotype" w:eastAsia="Palatino Linotype" w:hAnsi="Palatino Linotype" w:cs="Palatino Linotype"/>
          <w:b/>
          <w:u w:val="single"/>
        </w:rPr>
        <w:t>reserva de la información</w:t>
      </w:r>
      <w:r w:rsidRPr="003765FB">
        <w:rPr>
          <w:rFonts w:ascii="Palatino Linotype" w:eastAsia="Palatino Linotype" w:hAnsi="Palatino Linotype" w:cs="Palatino Linotype"/>
        </w:rPr>
        <w:t>, para no hacer identificable al titular de tal dato personal.</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Ello, conforme al propio concepto de versión pública contenido en el artículo 3, fracción XXIV, de la multicitada Ley se define como:</w:t>
      </w:r>
    </w:p>
    <w:p w:rsidR="00910D03" w:rsidRPr="003765FB" w:rsidRDefault="00107658">
      <w:pPr>
        <w:spacing w:before="240" w:after="360"/>
        <w:ind w:left="851" w:right="900"/>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rPr>
        <w:t xml:space="preserve">XXIV. </w:t>
      </w:r>
      <w:r w:rsidRPr="003765FB">
        <w:rPr>
          <w:rFonts w:ascii="Palatino Linotype" w:eastAsia="Palatino Linotype" w:hAnsi="Palatino Linotype" w:cs="Palatino Linotype"/>
          <w:i/>
          <w:sz w:val="22"/>
          <w:szCs w:val="22"/>
        </w:rPr>
        <w:t>Información reservada: La clasificada con este carácter de manera temporal por las disposiciones de esta Ley, cuya divulgación puede causar daño en términos de lo establecido por esta Ley;”</w:t>
      </w:r>
    </w:p>
    <w:p w:rsidR="00910D03" w:rsidRPr="003765FB" w:rsidRDefault="00107658">
      <w:pPr>
        <w:spacing w:before="240" w:after="36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De manera que, si bien, por regla general se consideran como datos personales no confidenciales, el nombre del servidor público, cargo y/o categoría, lo cierto es que, en lo que respecta a la </w:t>
      </w:r>
      <w:r w:rsidRPr="003765FB">
        <w:rPr>
          <w:rFonts w:ascii="Palatino Linotype" w:eastAsia="Palatino Linotype" w:hAnsi="Palatino Linotype" w:cs="Palatino Linotype"/>
          <w:b/>
          <w:i/>
          <w:u w:val="single"/>
        </w:rPr>
        <w:t>los elementos de seguridad pública, la elaboración de versiones públicas pudiera variar, eliminando información adicional, siempre y cuando se demuestre que pueda poner en riesgo la vida e integridad física con motivo de las funciones de servidores públicos</w:t>
      </w:r>
      <w:r w:rsidRPr="003765FB">
        <w:rPr>
          <w:rFonts w:ascii="Palatino Linotype" w:eastAsia="Palatino Linotype" w:hAnsi="Palatino Linotype" w:cs="Palatino Linotype"/>
          <w:b/>
          <w:i/>
        </w:rPr>
        <w:t>.</w:t>
      </w:r>
    </w:p>
    <w:p w:rsidR="00910D03" w:rsidRPr="003765FB" w:rsidRDefault="00107658">
      <w:pPr>
        <w:spacing w:before="240" w:after="360"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Esto es así, ya que el artículo 81, fracción III, de la Ley de Seguridad del Estado de México, establece lo siguiente: </w:t>
      </w:r>
    </w:p>
    <w:p w:rsidR="00910D03" w:rsidRPr="003765FB" w:rsidRDefault="00107658">
      <w:pPr>
        <w:ind w:left="567" w:right="616"/>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lastRenderedPageBreak/>
        <w:t>“</w:t>
      </w:r>
      <w:r w:rsidRPr="003765FB">
        <w:rPr>
          <w:rFonts w:ascii="Palatino Linotype" w:eastAsia="Palatino Linotype" w:hAnsi="Palatino Linotype" w:cs="Palatino Linotype"/>
          <w:b/>
          <w:i/>
          <w:sz w:val="22"/>
          <w:szCs w:val="22"/>
        </w:rPr>
        <w:t>Artículo 81</w:t>
      </w:r>
      <w:r w:rsidRPr="003765FB">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3765FB">
        <w:rPr>
          <w:rFonts w:ascii="Palatino Linotype" w:eastAsia="Palatino Linotype" w:hAnsi="Palatino Linotype" w:cs="Palatino Linotype"/>
          <w:b/>
          <w:i/>
          <w:sz w:val="22"/>
          <w:szCs w:val="22"/>
          <w:u w:val="single"/>
        </w:rPr>
        <w:t>esta información se considerará reservada en los casos siguientes</w:t>
      </w:r>
      <w:r w:rsidRPr="003765FB">
        <w:rPr>
          <w:rFonts w:ascii="Palatino Linotype" w:eastAsia="Palatino Linotype" w:hAnsi="Palatino Linotype" w:cs="Palatino Linotype"/>
          <w:i/>
          <w:sz w:val="22"/>
          <w:szCs w:val="22"/>
        </w:rPr>
        <w:t>:</w:t>
      </w:r>
    </w:p>
    <w:p w:rsidR="00910D03" w:rsidRPr="003765FB" w:rsidRDefault="00107658">
      <w:pPr>
        <w:ind w:left="567" w:right="616"/>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p>
    <w:p w:rsidR="00910D03" w:rsidRPr="003765FB" w:rsidRDefault="00107658">
      <w:pPr>
        <w:ind w:left="567" w:right="616"/>
        <w:jc w:val="both"/>
        <w:rPr>
          <w:rFonts w:ascii="Palatino Linotype" w:eastAsia="Palatino Linotype" w:hAnsi="Palatino Linotype" w:cs="Palatino Linotype"/>
          <w:sz w:val="22"/>
          <w:szCs w:val="22"/>
        </w:rPr>
      </w:pPr>
      <w:r w:rsidRPr="003765FB">
        <w:rPr>
          <w:rFonts w:ascii="Palatino Linotype" w:eastAsia="Palatino Linotype" w:hAnsi="Palatino Linotype" w:cs="Palatino Linotype"/>
          <w:i/>
          <w:sz w:val="22"/>
          <w:szCs w:val="22"/>
        </w:rPr>
        <w:t xml:space="preserve">III. </w:t>
      </w:r>
      <w:r w:rsidRPr="003765FB">
        <w:rPr>
          <w:rFonts w:ascii="Palatino Linotype" w:eastAsia="Palatino Linotype" w:hAnsi="Palatino Linotype" w:cs="Palatino Linotype"/>
          <w:b/>
          <w:i/>
          <w:sz w:val="22"/>
          <w:szCs w:val="22"/>
          <w:u w:val="single"/>
        </w:rPr>
        <w:t>La relativa a servidores públicos miembros de las instituciones de seguridad pública, cuya revelación pueda poner en riesgo su vida e integridad física con motivo de sus funciones</w:t>
      </w:r>
      <w:r w:rsidRPr="003765FB">
        <w:rPr>
          <w:rFonts w:ascii="Palatino Linotype" w:eastAsia="Palatino Linotype" w:hAnsi="Palatino Linotype" w:cs="Palatino Linotype"/>
          <w:i/>
          <w:sz w:val="22"/>
          <w:szCs w:val="22"/>
        </w:rPr>
        <w:t>;”</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Así bien, en dichos casos en que se reserve el nombre de los servidores públicos adscritos al área de Seguridad Pública,  el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deberá justificar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lo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w:t>
      </w:r>
      <w:r w:rsidRPr="003765FB">
        <w:rPr>
          <w:rFonts w:ascii="Palatino Linotype" w:eastAsia="Palatino Linotype" w:hAnsi="Palatino Linotype" w:cs="Palatino Linotype"/>
        </w:rPr>
        <w:lastRenderedPageBreak/>
        <w:t>Tercero y Trigésimo Tercero, de los Lineamientos generales en materia de clasificación y desclasificación de la información.</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Resulta alusivo por analogía el criterio 06-09 emitido por el entonces IFAI, ahora INAI que a la letra dice:</w:t>
      </w:r>
    </w:p>
    <w:p w:rsidR="00910D03" w:rsidRPr="003765FB" w:rsidRDefault="00107658">
      <w:pPr>
        <w:spacing w:before="240" w:after="240"/>
        <w:ind w:left="567" w:right="616"/>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w:t>
      </w:r>
      <w:r w:rsidRPr="003765FB">
        <w:rPr>
          <w:rFonts w:ascii="Palatino Linotype" w:eastAsia="Palatino Linotype" w:hAnsi="Palatino Linotype" w:cs="Palatino Linotype"/>
          <w:b/>
          <w:i/>
          <w:sz w:val="22"/>
          <w:szCs w:val="22"/>
          <w:u w:val="single"/>
        </w:rPr>
        <w:t>Nombres de servidores públicos dedicados a actividades en materia de seguridad, por excepción pueden considerarse información reservada.</w:t>
      </w:r>
      <w:r w:rsidRPr="003765FB">
        <w:rPr>
          <w:rFonts w:ascii="Palatino Linotype" w:eastAsia="Palatino Linotype" w:hAnsi="Palatino Linotype" w:cs="Palatino Linotype"/>
          <w:b/>
          <w:i/>
          <w:sz w:val="22"/>
          <w:szCs w:val="22"/>
        </w:rPr>
        <w:t xml:space="preserve"> </w:t>
      </w:r>
      <w:r w:rsidRPr="003765FB">
        <w:rPr>
          <w:rFonts w:ascii="Palatino Linotype" w:eastAsia="Palatino Linotype" w:hAnsi="Palatino Linotype" w:cs="Palatino Linotype"/>
          <w:i/>
          <w:sz w:val="22"/>
          <w:szCs w:val="22"/>
        </w:rPr>
        <w:t>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910D03" w:rsidRPr="003765FB" w:rsidRDefault="00910D03">
      <w:pPr>
        <w:spacing w:before="240" w:after="240" w:line="360" w:lineRule="auto"/>
        <w:ind w:right="49"/>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Por otra parte </w:t>
      </w:r>
      <w:r w:rsidRPr="003765FB">
        <w:rPr>
          <w:rFonts w:ascii="Palatino Linotype" w:eastAsia="Palatino Linotype" w:hAnsi="Palatino Linotype" w:cs="Palatino Linotype"/>
          <w:b/>
        </w:rPr>
        <w:t xml:space="preserve">EL SUJETO OBLIGADO </w:t>
      </w:r>
      <w:r w:rsidRPr="003765FB">
        <w:rPr>
          <w:rFonts w:ascii="Palatino Linotype" w:eastAsia="Palatino Linotype" w:hAnsi="Palatino Linotype" w:cs="Palatino Linotype"/>
        </w:rPr>
        <w:t xml:space="preserve"> podrá proporcionar otras modalidades  para de la entrega de la información, a través del Sistema de Acceso a la Información Mexiquense (SAIMEX); preferentemente electrónicas como Disco Compacto, o un </w:t>
      </w:r>
      <w:r w:rsidRPr="003765FB">
        <w:rPr>
          <w:rFonts w:ascii="Palatino Linotype" w:eastAsia="Palatino Linotype" w:hAnsi="Palatino Linotype" w:cs="Palatino Linotype"/>
        </w:rPr>
        <w:lastRenderedPageBreak/>
        <w:t>dispositivo de almacenamiento o incluso copias simples o certificadas si se acredita la imposibilidad de entregarlas en medio electrónico, todo esto, previo pago de los derechos correspondientes o de manera gratuita para el caso de que los particulares proporcionen los dispositivos electrónicos cuando la información se entregue en CD, DVD o USB.</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Incluso en aras del Principio antes mencionado,</w:t>
      </w:r>
      <w:r w:rsidRPr="003765FB">
        <w:rPr>
          <w:rFonts w:ascii="Palatino Linotype" w:eastAsia="Palatino Linotype" w:hAnsi="Palatino Linotype" w:cs="Palatino Linotype"/>
          <w:b/>
        </w:rPr>
        <w:t xml:space="preserve"> EL SUJETO OBLIGADO</w:t>
      </w:r>
      <w:r w:rsidRPr="003765FB">
        <w:rPr>
          <w:rFonts w:ascii="Palatino Linotype" w:eastAsia="Palatino Linotype" w:hAnsi="Palatino Linotype" w:cs="Palatino Linotype"/>
        </w:rPr>
        <w:t xml:space="preserve"> podría allegarse de la entrega de la información calendarizada, esto es, que previo conocimiento que se le haga saber al Particular, podría acordar fechas con este último, a fin que una parte de la información sea entregada hasta que se complete la totalidad de los documentos en que obra la misma.</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Así entonces, de ser el caso que sea necesario el pago de derechos, el Sujeto Obligado deberá atenerse a lo que el artículo 174 de la Ley de Transparencia y Acceso a la Información Pública del Estado de México y Municipios establece, es decir que, en el caso de existir costos para obtener la información, este no deberá sobrepasar el costo de los materiales utilizados, de envió y pago por certificación de documentos.</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w:t>
      </w:r>
      <w:r w:rsidRPr="003765FB">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rsidR="00910D03" w:rsidRPr="003765FB" w:rsidRDefault="00910D03">
      <w:pPr>
        <w:spacing w:line="360" w:lineRule="auto"/>
        <w:jc w:val="both"/>
        <w:rPr>
          <w:rFonts w:ascii="Palatino Linotype" w:eastAsia="Palatino Linotype" w:hAnsi="Palatino Linotype" w:cs="Palatino Linotype"/>
        </w:rPr>
      </w:pPr>
    </w:p>
    <w:p w:rsidR="00910D03" w:rsidRPr="003765FB" w:rsidRDefault="00107658">
      <w:pPr>
        <w:spacing w:line="360" w:lineRule="auto"/>
        <w:jc w:val="center"/>
        <w:rPr>
          <w:rFonts w:ascii="Palatino Linotype" w:eastAsia="Palatino Linotype" w:hAnsi="Palatino Linotype" w:cs="Palatino Linotype"/>
          <w:b/>
          <w:sz w:val="26"/>
          <w:szCs w:val="26"/>
        </w:rPr>
      </w:pPr>
      <w:r w:rsidRPr="003765FB">
        <w:rPr>
          <w:rFonts w:ascii="Palatino Linotype" w:eastAsia="Palatino Linotype" w:hAnsi="Palatino Linotype" w:cs="Palatino Linotype"/>
          <w:b/>
          <w:sz w:val="26"/>
          <w:szCs w:val="26"/>
        </w:rPr>
        <w:t>RESUELVE</w:t>
      </w:r>
    </w:p>
    <w:p w:rsidR="00910D03" w:rsidRPr="003765FB" w:rsidRDefault="00910D03">
      <w:pPr>
        <w:spacing w:line="360" w:lineRule="auto"/>
        <w:ind w:right="49"/>
        <w:jc w:val="both"/>
        <w:rPr>
          <w:rFonts w:ascii="Palatino Linotype" w:eastAsia="Palatino Linotype" w:hAnsi="Palatino Linotype" w:cs="Palatino Linotype"/>
          <w:b/>
        </w:rPr>
      </w:pPr>
    </w:p>
    <w:p w:rsidR="00910D03" w:rsidRPr="003765FB" w:rsidRDefault="00107658">
      <w:pPr>
        <w:spacing w:line="360" w:lineRule="auto"/>
        <w:ind w:right="49"/>
        <w:jc w:val="both"/>
        <w:rPr>
          <w:rFonts w:ascii="Palatino Linotype" w:eastAsia="Palatino Linotype" w:hAnsi="Palatino Linotype" w:cs="Palatino Linotype"/>
        </w:rPr>
      </w:pPr>
      <w:r w:rsidRPr="003765FB">
        <w:rPr>
          <w:rFonts w:ascii="Palatino Linotype" w:eastAsia="Palatino Linotype" w:hAnsi="Palatino Linotype" w:cs="Palatino Linotype"/>
          <w:b/>
        </w:rPr>
        <w:t>PRIMERO.</w:t>
      </w:r>
      <w:r w:rsidRPr="003765FB">
        <w:rPr>
          <w:rFonts w:ascii="Palatino Linotype" w:eastAsia="Palatino Linotype" w:hAnsi="Palatino Linotype" w:cs="Palatino Linotype"/>
        </w:rPr>
        <w:t xml:space="preserve"> Resultan </w:t>
      </w:r>
      <w:r w:rsidRPr="003765FB">
        <w:rPr>
          <w:rFonts w:ascii="Palatino Linotype" w:eastAsia="Palatino Linotype" w:hAnsi="Palatino Linotype" w:cs="Palatino Linotype"/>
          <w:b/>
        </w:rPr>
        <w:t xml:space="preserve">infundadas </w:t>
      </w:r>
      <w:r w:rsidRPr="003765FB">
        <w:rPr>
          <w:rFonts w:ascii="Palatino Linotype" w:eastAsia="Palatino Linotype" w:hAnsi="Palatino Linotype" w:cs="Palatino Linotype"/>
        </w:rPr>
        <w:t xml:space="preserve">las manifestaciones hechas valer por </w:t>
      </w:r>
      <w:r w:rsidRPr="003765FB">
        <w:rPr>
          <w:rFonts w:ascii="Palatino Linotype" w:eastAsia="Palatino Linotype" w:hAnsi="Palatino Linotype" w:cs="Palatino Linotype"/>
          <w:b/>
        </w:rPr>
        <w:t>EL RECURRENTE</w:t>
      </w:r>
      <w:r w:rsidRPr="003765FB">
        <w:rPr>
          <w:rFonts w:ascii="Palatino Linotype" w:eastAsia="Palatino Linotype" w:hAnsi="Palatino Linotype" w:cs="Palatino Linotype"/>
        </w:rPr>
        <w:t xml:space="preserve"> en el recurso de revisión </w:t>
      </w:r>
      <w:r w:rsidRPr="003765FB">
        <w:rPr>
          <w:rFonts w:ascii="Palatino Linotype" w:eastAsia="Palatino Linotype" w:hAnsi="Palatino Linotype" w:cs="Palatino Linotype"/>
          <w:b/>
        </w:rPr>
        <w:t>08807/INFOEM/IP/RR/2022</w:t>
      </w:r>
      <w:r w:rsidRPr="003765FB">
        <w:rPr>
          <w:rFonts w:ascii="Palatino Linotype" w:eastAsia="Palatino Linotype" w:hAnsi="Palatino Linotype" w:cs="Palatino Linotype"/>
        </w:rPr>
        <w:t xml:space="preserve">, en términos del considerando </w:t>
      </w:r>
      <w:r w:rsidRPr="003765FB">
        <w:rPr>
          <w:rFonts w:ascii="Palatino Linotype" w:eastAsia="Palatino Linotype" w:hAnsi="Palatino Linotype" w:cs="Palatino Linotype"/>
          <w:b/>
        </w:rPr>
        <w:t>QUINTO</w:t>
      </w:r>
      <w:r w:rsidRPr="003765FB">
        <w:rPr>
          <w:rFonts w:ascii="Palatino Linotype" w:eastAsia="Palatino Linotype" w:hAnsi="Palatino Linotype" w:cs="Palatino Linotype"/>
        </w:rPr>
        <w:t>.</w:t>
      </w:r>
    </w:p>
    <w:p w:rsidR="00910D03" w:rsidRPr="003765FB" w:rsidRDefault="00910D03">
      <w:pPr>
        <w:spacing w:line="360" w:lineRule="auto"/>
        <w:ind w:right="49"/>
        <w:jc w:val="both"/>
        <w:rPr>
          <w:rFonts w:ascii="Palatino Linotype" w:eastAsia="Palatino Linotype" w:hAnsi="Palatino Linotype" w:cs="Palatino Linotype"/>
        </w:rPr>
      </w:pPr>
    </w:p>
    <w:p w:rsidR="00910D03" w:rsidRPr="003765FB" w:rsidRDefault="00107658">
      <w:pPr>
        <w:spacing w:line="360" w:lineRule="auto"/>
        <w:jc w:val="both"/>
        <w:rPr>
          <w:rFonts w:ascii="Palatino Linotype" w:eastAsia="Palatino Linotype" w:hAnsi="Palatino Linotype" w:cs="Palatino Linotype"/>
        </w:rPr>
      </w:pPr>
      <w:bookmarkStart w:id="46" w:name="_heading=h.30j0zll" w:colFirst="0" w:colLast="0"/>
      <w:bookmarkEnd w:id="46"/>
      <w:r w:rsidRPr="003765FB">
        <w:rPr>
          <w:rFonts w:ascii="Palatino Linotype" w:eastAsia="Palatino Linotype" w:hAnsi="Palatino Linotype" w:cs="Palatino Linotype"/>
          <w:b/>
        </w:rPr>
        <w:t xml:space="preserve">SEGUNDO. </w:t>
      </w:r>
      <w:r w:rsidRPr="003765FB">
        <w:rPr>
          <w:rFonts w:ascii="Palatino Linotype" w:eastAsia="Palatino Linotype" w:hAnsi="Palatino Linotype" w:cs="Palatino Linotype"/>
        </w:rPr>
        <w:t xml:space="preserve">Se </w:t>
      </w:r>
      <w:r w:rsidRPr="003765FB">
        <w:rPr>
          <w:rFonts w:ascii="Palatino Linotype" w:eastAsia="Palatino Linotype" w:hAnsi="Palatino Linotype" w:cs="Palatino Linotype"/>
          <w:b/>
        </w:rPr>
        <w:t xml:space="preserve">MODIFICA </w:t>
      </w:r>
      <w:r w:rsidRPr="003765FB">
        <w:rPr>
          <w:rFonts w:ascii="Palatino Linotype" w:eastAsia="Palatino Linotype" w:hAnsi="Palatino Linotype" w:cs="Palatino Linotype"/>
        </w:rPr>
        <w:t xml:space="preserve">la respuesta emitida por </w:t>
      </w:r>
      <w:r w:rsidRPr="003765FB">
        <w:rPr>
          <w:rFonts w:ascii="Palatino Linotype" w:eastAsia="Palatino Linotype" w:hAnsi="Palatino Linotype" w:cs="Palatino Linotype"/>
          <w:b/>
        </w:rPr>
        <w:t>EL</w:t>
      </w:r>
      <w:r w:rsidRPr="003765FB">
        <w:rPr>
          <w:rFonts w:ascii="Palatino Linotype" w:eastAsia="Palatino Linotype" w:hAnsi="Palatino Linotype" w:cs="Palatino Linotype"/>
        </w:rPr>
        <w:t xml:space="preserve"> </w:t>
      </w:r>
      <w:r w:rsidRPr="003765FB">
        <w:rPr>
          <w:rFonts w:ascii="Palatino Linotype" w:eastAsia="Palatino Linotype" w:hAnsi="Palatino Linotype" w:cs="Palatino Linotype"/>
          <w:b/>
        </w:rPr>
        <w:t>SUJETO OBLIGADO</w:t>
      </w:r>
      <w:r w:rsidRPr="003765FB">
        <w:rPr>
          <w:rFonts w:ascii="Palatino Linotype" w:eastAsia="Palatino Linotype" w:hAnsi="Palatino Linotype" w:cs="Palatino Linotype"/>
        </w:rPr>
        <w:t xml:space="preserve"> y se ordena que en términos del Considerando </w:t>
      </w:r>
      <w:r w:rsidRPr="003765FB">
        <w:rPr>
          <w:rFonts w:ascii="Palatino Linotype" w:eastAsia="Palatino Linotype" w:hAnsi="Palatino Linotype" w:cs="Palatino Linotype"/>
          <w:b/>
        </w:rPr>
        <w:t xml:space="preserve">QUINTO </w:t>
      </w:r>
      <w:r w:rsidRPr="003765FB">
        <w:rPr>
          <w:rFonts w:ascii="Palatino Linotype" w:eastAsia="Palatino Linotype" w:hAnsi="Palatino Linotype" w:cs="Palatino Linotype"/>
        </w:rPr>
        <w:t>haga entrega al</w:t>
      </w:r>
      <w:r w:rsidRPr="003765FB">
        <w:rPr>
          <w:rFonts w:ascii="Palatino Linotype" w:eastAsia="Palatino Linotype" w:hAnsi="Palatino Linotype" w:cs="Palatino Linotype"/>
          <w:b/>
        </w:rPr>
        <w:t xml:space="preserve"> RECURRENTE </w:t>
      </w:r>
      <w:r w:rsidRPr="003765FB">
        <w:rPr>
          <w:rFonts w:ascii="Palatino Linotype" w:eastAsia="Palatino Linotype" w:hAnsi="Palatino Linotype" w:cs="Palatino Linotype"/>
        </w:rPr>
        <w:t>a través de Consulta Directa, de ser el caso en versión pública, de lo siguiente:</w:t>
      </w:r>
    </w:p>
    <w:p w:rsidR="00910D03" w:rsidRPr="003765FB" w:rsidRDefault="00910D03">
      <w:pPr>
        <w:tabs>
          <w:tab w:val="left" w:pos="709"/>
        </w:tabs>
        <w:ind w:left="144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Los Comprobantes Fiscales Digitales por Internet (CFDI) por concepto de Nómina de los trabajadores del Ayuntamiento del periodo transcurrido del uno de enero al treinta de abril de dos mil veintidós. </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El soporte documental donde conste el listado de los Servidores Públicos entrantes del primero de enero al dos de mayo  de dos mil veintidós, así como su sueldo mensual neto y bruto.</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bookmarkStart w:id="47" w:name="_heading=h.tyjcwt" w:colFirst="0" w:colLast="0"/>
      <w:bookmarkEnd w:id="47"/>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Respecto de los servidores públicos referidos en la solicitud de información: nombramiento  o documento análogo, horario de labores, plaza o puesto y forma de pago, vigentes al dos de mayo de dos mil veintidós. </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Debiendo notificar al </w:t>
      </w:r>
      <w:r w:rsidRPr="003765FB">
        <w:rPr>
          <w:rFonts w:ascii="Palatino Linotype" w:eastAsia="Palatino Linotype" w:hAnsi="Palatino Linotype" w:cs="Palatino Linotype"/>
          <w:b/>
          <w:i/>
          <w:sz w:val="22"/>
          <w:szCs w:val="22"/>
        </w:rPr>
        <w:t>RECURRENTE</w:t>
      </w:r>
      <w:r w:rsidRPr="003765FB">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lastRenderedPageBreak/>
        <w:t>Podrá otorgar otra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En caso de que el Recurrente proporcione el dispositivo electrónico y acuda por la información a la Unidad de Transparencia, la entrega de la información, será sin costo.</w:t>
      </w:r>
    </w:p>
    <w:p w:rsidR="00910D03" w:rsidRPr="003765FB" w:rsidRDefault="00910D03">
      <w:pPr>
        <w:tabs>
          <w:tab w:val="left" w:pos="709"/>
        </w:tabs>
        <w:ind w:left="850" w:right="899"/>
        <w:jc w:val="both"/>
        <w:rPr>
          <w:rFonts w:ascii="Palatino Linotype" w:eastAsia="Palatino Linotype" w:hAnsi="Palatino Linotype" w:cs="Palatino Linotype"/>
          <w:i/>
          <w:sz w:val="22"/>
          <w:szCs w:val="22"/>
        </w:rPr>
      </w:pPr>
    </w:p>
    <w:p w:rsidR="00910D03" w:rsidRPr="003765FB" w:rsidRDefault="00107658">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Para dar cumplimiento a la Consulta Directa el Sujeto Obligado deberá informar previamente al recurrente el mecanismo o procedimiento que se debe seguir a fin de que éste acceda a la información solicitada, así como los días hábiles, horas, domicilio y el tiempo en que estará disponible la información para la consulta, y los protocolos o acciones sanitarias tomadas por el Ayuntamiento de Toluca para evitar el contagio del virus SARS-CoV-2 (COVID-19), conforme a lo dispuesto por el artículo 166 de la Ley de Transparencia y Acceso a la Información Pública del Estado de México y Municipios.</w:t>
      </w:r>
    </w:p>
    <w:p w:rsidR="00910D03" w:rsidRPr="003765FB" w:rsidRDefault="00910D03">
      <w:pPr>
        <w:tabs>
          <w:tab w:val="left" w:pos="709"/>
        </w:tabs>
        <w:ind w:right="899"/>
        <w:jc w:val="both"/>
        <w:rPr>
          <w:rFonts w:ascii="Palatino Linotype" w:eastAsia="Palatino Linotype" w:hAnsi="Palatino Linotype" w:cs="Palatino Linotype"/>
          <w:i/>
          <w:sz w:val="22"/>
          <w:szCs w:val="22"/>
        </w:rPr>
      </w:pPr>
    </w:p>
    <w:p w:rsidR="00910D03" w:rsidRPr="003765FB" w:rsidRDefault="00910D03">
      <w:pPr>
        <w:tabs>
          <w:tab w:val="left" w:pos="709"/>
        </w:tabs>
        <w:ind w:right="899"/>
        <w:jc w:val="both"/>
        <w:rPr>
          <w:rFonts w:ascii="Palatino Linotype" w:eastAsia="Palatino Linotype" w:hAnsi="Palatino Linotype" w:cs="Palatino Linotype"/>
          <w:b/>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TERCERO. Notifíquese</w:t>
      </w:r>
      <w:r w:rsidRPr="003765FB">
        <w:rPr>
          <w:rFonts w:ascii="Palatino Linotype" w:eastAsia="Palatino Linotype" w:hAnsi="Palatino Linotype" w:cs="Palatino Linotype"/>
          <w:b/>
          <w:i/>
        </w:rPr>
        <w:t xml:space="preserve"> </w:t>
      </w:r>
      <w:r w:rsidRPr="003765FB">
        <w:rPr>
          <w:rFonts w:ascii="Palatino Linotype" w:eastAsia="Palatino Linotype" w:hAnsi="Palatino Linotype" w:cs="Palatino Linotype"/>
        </w:rPr>
        <w:t>al Titular de la Unidad de Transparencia del</w:t>
      </w:r>
      <w:r w:rsidRPr="003765FB">
        <w:rPr>
          <w:rFonts w:ascii="Palatino Linotype" w:eastAsia="Palatino Linotype" w:hAnsi="Palatino Linotype" w:cs="Palatino Linotype"/>
          <w:b/>
        </w:rPr>
        <w:t xml:space="preserve"> </w:t>
      </w:r>
      <w:r w:rsidRPr="003765FB">
        <w:rPr>
          <w:rFonts w:ascii="Palatino Linotype" w:eastAsia="Palatino Linotype" w:hAnsi="Palatino Linotype" w:cs="Palatino Linotype"/>
        </w:rPr>
        <w:t>Sujeto Obligado por medio del Sistema de Acceso a la Información Mexiquense (</w:t>
      </w:r>
      <w:r w:rsidRPr="003765FB">
        <w:rPr>
          <w:rFonts w:ascii="Palatino Linotype" w:eastAsia="Palatino Linotype" w:hAnsi="Palatino Linotype" w:cs="Palatino Linotype"/>
          <w:b/>
        </w:rPr>
        <w:t>SAIMEX),</w:t>
      </w:r>
      <w:r w:rsidRPr="003765FB">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rsidR="00910D03" w:rsidRPr="003765FB" w:rsidRDefault="00910D03">
      <w:pPr>
        <w:spacing w:line="360" w:lineRule="auto"/>
        <w:jc w:val="both"/>
        <w:rPr>
          <w:rFonts w:ascii="Palatino Linotype" w:eastAsia="Palatino Linotype" w:hAnsi="Palatino Linotype" w:cs="Palatino Linotype"/>
          <w:b/>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b/>
        </w:rPr>
        <w:t xml:space="preserve">CUARTO. </w:t>
      </w:r>
      <w:r w:rsidRPr="003765F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765FB">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rsidR="00910D03" w:rsidRPr="003765FB" w:rsidRDefault="00910D03">
      <w:pPr>
        <w:spacing w:line="360" w:lineRule="auto"/>
        <w:jc w:val="both"/>
        <w:rPr>
          <w:rFonts w:ascii="Palatino Linotype" w:eastAsia="Palatino Linotype" w:hAnsi="Palatino Linotype" w:cs="Palatino Linotype"/>
          <w:b/>
        </w:rPr>
      </w:pPr>
    </w:p>
    <w:p w:rsidR="00910D03" w:rsidRPr="003765FB" w:rsidRDefault="00107658">
      <w:pPr>
        <w:spacing w:line="360" w:lineRule="auto"/>
        <w:jc w:val="both"/>
        <w:rPr>
          <w:rFonts w:ascii="Palatino Linotype" w:eastAsia="Palatino Linotype" w:hAnsi="Palatino Linotype" w:cs="Palatino Linotype"/>
          <w:b/>
        </w:rPr>
      </w:pPr>
      <w:r w:rsidRPr="003765FB">
        <w:rPr>
          <w:rFonts w:ascii="Palatino Linotype" w:eastAsia="Palatino Linotype" w:hAnsi="Palatino Linotype" w:cs="Palatino Linotype"/>
          <w:b/>
        </w:rPr>
        <w:t xml:space="preserve">QUINTO. Notifíquese </w:t>
      </w:r>
      <w:r w:rsidRPr="003765FB">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rsidR="00910D03" w:rsidRPr="003765FB" w:rsidRDefault="00910D03">
      <w:pPr>
        <w:spacing w:line="360" w:lineRule="auto"/>
        <w:jc w:val="both"/>
        <w:rPr>
          <w:rFonts w:ascii="Palatino Linotype" w:eastAsia="Palatino Linotype" w:hAnsi="Palatino Linotype" w:cs="Palatino Linotype"/>
          <w:b/>
        </w:rPr>
      </w:pPr>
    </w:p>
    <w:p w:rsidR="00910D03" w:rsidRPr="003765FB" w:rsidRDefault="00107658">
      <w:pPr>
        <w:spacing w:line="360" w:lineRule="auto"/>
        <w:jc w:val="both"/>
        <w:rPr>
          <w:rFonts w:ascii="Palatino Linotype" w:eastAsia="Palatino Linotype" w:hAnsi="Palatino Linotype" w:cs="Palatino Linotype"/>
        </w:rPr>
      </w:pPr>
      <w:r w:rsidRPr="003765F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76521A">
        <w:rPr>
          <w:rFonts w:ascii="Palatino Linotype" w:eastAsia="Palatino Linotype" w:hAnsi="Palatino Linotype" w:cs="Palatino Linotype"/>
        </w:rPr>
        <w:t xml:space="preserve"> </w:t>
      </w:r>
      <w:r w:rsidR="0076521A">
        <w:rPr>
          <w:rFonts w:ascii="Palatino Linotype" w:hAnsi="Palatino Linotype"/>
        </w:rPr>
        <w:t>EMITIENDO VOTO PARTICULAR</w:t>
      </w:r>
      <w:r w:rsidRPr="003765FB">
        <w:rPr>
          <w:rFonts w:ascii="Palatino Linotype" w:eastAsia="Palatino Linotype" w:hAnsi="Palatino Linotype" w:cs="Palatino Linotype"/>
        </w:rPr>
        <w:t>; MARÍA DEL ROSARIO MEJÍA AYALA; SHARON CRISTINA MORALES MARTÍNEZ</w:t>
      </w:r>
      <w:r w:rsidR="0076521A">
        <w:rPr>
          <w:rFonts w:ascii="Palatino Linotype" w:eastAsia="Palatino Linotype" w:hAnsi="Palatino Linotype" w:cs="Palatino Linotype"/>
        </w:rPr>
        <w:t xml:space="preserve"> </w:t>
      </w:r>
      <w:r w:rsidR="0076521A">
        <w:rPr>
          <w:rFonts w:ascii="Palatino Linotype" w:hAnsi="Palatino Linotype"/>
        </w:rPr>
        <w:t>EMITIENDO VOTO DISIDENTE</w:t>
      </w:r>
      <w:r w:rsidRPr="003765FB">
        <w:rPr>
          <w:rFonts w:ascii="Palatino Linotype" w:eastAsia="Palatino Linotype" w:hAnsi="Palatino Linotype" w:cs="Palatino Linotype"/>
        </w:rPr>
        <w:t>; LUIS GUSTAVO PARRA NORIEGA</w:t>
      </w:r>
      <w:r w:rsidR="0076521A">
        <w:rPr>
          <w:rFonts w:ascii="Palatino Linotype" w:eastAsia="Palatino Linotype" w:hAnsi="Palatino Linotype" w:cs="Palatino Linotype"/>
        </w:rPr>
        <w:t xml:space="preserve"> </w:t>
      </w:r>
      <w:r w:rsidR="0076521A">
        <w:rPr>
          <w:rFonts w:ascii="Palatino Linotype" w:hAnsi="Palatino Linotype"/>
        </w:rPr>
        <w:t>EMITIENDO VOTO PARTICULAR</w:t>
      </w:r>
      <w:r w:rsidRPr="003765FB">
        <w:rPr>
          <w:rFonts w:ascii="Palatino Linotype" w:eastAsia="Palatino Linotype" w:hAnsi="Palatino Linotype" w:cs="Palatino Linotype"/>
        </w:rPr>
        <w:t xml:space="preserve"> Y GUADALUPE RAMÍREZ PEÑA; EN LA TRIGÉSIMA SÉPTIMA SESIÓN ORDINARIA CELEBRADA EL DOCE DE OCTUBRE DE DOS MIL VEINTIDÓS, ANTE EL SECRETARIO TÉCNICO DEL PLENO, ALEXIS TAPIA RAMÍREZ.</w:t>
      </w:r>
    </w:p>
    <w:p w:rsidR="00910D03" w:rsidRDefault="00107658">
      <w:pPr>
        <w:spacing w:line="360" w:lineRule="auto"/>
        <w:jc w:val="both"/>
        <w:rPr>
          <w:rFonts w:ascii="Palatino Linotype" w:eastAsia="Palatino Linotype" w:hAnsi="Palatino Linotype" w:cs="Palatino Linotype"/>
          <w:sz w:val="14"/>
          <w:szCs w:val="14"/>
        </w:rPr>
      </w:pPr>
      <w:r w:rsidRPr="003765FB">
        <w:rPr>
          <w:rFonts w:ascii="Palatino Linotype" w:eastAsia="Palatino Linotype" w:hAnsi="Palatino Linotype" w:cs="Palatino Linotype"/>
          <w:sz w:val="14"/>
          <w:szCs w:val="14"/>
        </w:rPr>
        <w:t>SCMM/BLA/DEMF/PMRE</w:t>
      </w:r>
    </w:p>
    <w:p w:rsidR="00910D03" w:rsidRDefault="00107658">
      <w:pPr>
        <w:rPr>
          <w:rFonts w:ascii="Palatino Linotype" w:eastAsia="Palatino Linotype" w:hAnsi="Palatino Linotype" w:cs="Palatino Linotype"/>
        </w:rPr>
      </w:pPr>
      <w:r>
        <w:br w:type="page"/>
      </w: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p w:rsidR="00910D03" w:rsidRDefault="00910D03">
      <w:pPr>
        <w:spacing w:line="360" w:lineRule="auto"/>
        <w:jc w:val="both"/>
        <w:rPr>
          <w:rFonts w:ascii="Palatino Linotype" w:eastAsia="Palatino Linotype" w:hAnsi="Palatino Linotype" w:cs="Palatino Linotype"/>
        </w:rPr>
      </w:pPr>
    </w:p>
    <w:sectPr w:rsidR="00910D03">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48D" w:rsidRDefault="0072148D">
      <w:r>
        <w:separator/>
      </w:r>
    </w:p>
  </w:endnote>
  <w:endnote w:type="continuationSeparator" w:id="0">
    <w:p w:rsidR="0072148D" w:rsidRDefault="0072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03" w:rsidRDefault="0010765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50805">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50805">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03" w:rsidRDefault="0010765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5080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50805">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48D" w:rsidRDefault="0072148D">
      <w:r>
        <w:separator/>
      </w:r>
    </w:p>
  </w:footnote>
  <w:footnote w:type="continuationSeparator" w:id="0">
    <w:p w:rsidR="0072148D" w:rsidRDefault="0072148D">
      <w:r>
        <w:continuationSeparator/>
      </w:r>
    </w:p>
  </w:footnote>
  <w:footnote w:id="1">
    <w:p w:rsidR="00910D03" w:rsidRDefault="00107658">
      <w:pPr>
        <w:rPr>
          <w:rFonts w:ascii="Cambria" w:eastAsia="Cambria" w:hAnsi="Cambria" w:cs="Cambria"/>
          <w:sz w:val="20"/>
          <w:szCs w:val="20"/>
        </w:rPr>
      </w:pPr>
      <w:r>
        <w:rPr>
          <w:vertAlign w:val="superscript"/>
        </w:rPr>
        <w:footnoteRef/>
      </w:r>
      <w:r>
        <w:rPr>
          <w:rFonts w:ascii="Palatino Linotype" w:eastAsia="Palatino Linotype" w:hAnsi="Palatino Linotype" w:cs="Palatino Linotype"/>
          <w:i/>
          <w:sz w:val="18"/>
          <w:szCs w:val="18"/>
        </w:rPr>
        <w:t xml:space="preserve"> </w:t>
      </w:r>
      <w:hyperlink r:id="rId1">
        <w:r>
          <w:rPr>
            <w:rFonts w:ascii="Palatino Linotype" w:eastAsia="Palatino Linotype" w:hAnsi="Palatino Linotype" w:cs="Palatino Linotype"/>
            <w:i/>
            <w:color w:val="035899"/>
            <w:sz w:val="18"/>
            <w:szCs w:val="18"/>
          </w:rPr>
          <w:t>https://www.osfem.gob.mx/04_Iconografia/Ent_Fisc/Doc_Apoy/doc/2021/01_PresentacionPoliticasPresupuesto.pdf</w:t>
        </w:r>
      </w:hyperlink>
      <w:r>
        <w:rPr>
          <w:rFonts w:ascii="Palatino Linotype" w:eastAsia="Palatino Linotype" w:hAnsi="Palatino Linotype" w:cs="Palatino Linotype"/>
          <w:i/>
          <w:sz w:val="18"/>
          <w:szCs w:val="18"/>
        </w:rPr>
        <w:t xml:space="preserve"> </w:t>
      </w:r>
    </w:p>
  </w:footnote>
  <w:footnote w:id="2">
    <w:p w:rsidR="00910D03" w:rsidRDefault="0010765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03" w:rsidRDefault="0072148D">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03" w:rsidRDefault="0072148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fffffd"/>
      <w:tblW w:w="9534" w:type="dxa"/>
      <w:tblInd w:w="-142" w:type="dxa"/>
      <w:tblLayout w:type="fixed"/>
      <w:tblLook w:val="0400" w:firstRow="0" w:lastRow="0" w:firstColumn="0" w:lastColumn="0" w:noHBand="0" w:noVBand="1"/>
    </w:tblPr>
    <w:tblGrid>
      <w:gridCol w:w="3261"/>
      <w:gridCol w:w="2551"/>
      <w:gridCol w:w="3722"/>
    </w:tblGrid>
    <w:tr w:rsidR="00910D03">
      <w:tc>
        <w:tcPr>
          <w:tcW w:w="3261" w:type="dxa"/>
          <w:vMerge w:val="restart"/>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08807/INFOEM/IP/RR/2022</w:t>
          </w:r>
        </w:p>
      </w:tc>
    </w:tr>
    <w:tr w:rsidR="00910D03">
      <w:tc>
        <w:tcPr>
          <w:tcW w:w="3261" w:type="dxa"/>
          <w:vMerge/>
        </w:tcPr>
        <w:p w:rsidR="00910D03" w:rsidRDefault="00910D0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Ayuntamiento de Xonacatlán</w:t>
          </w:r>
        </w:p>
      </w:tc>
    </w:tr>
    <w:tr w:rsidR="00910D03">
      <w:trPr>
        <w:trHeight w:val="790"/>
      </w:trPr>
      <w:tc>
        <w:tcPr>
          <w:tcW w:w="3261" w:type="dxa"/>
          <w:vMerge/>
        </w:tcPr>
        <w:p w:rsidR="00910D03" w:rsidRDefault="00910D0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910D03" w:rsidRDefault="00910D0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03" w:rsidRDefault="0072148D">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e"/>
      <w:tblW w:w="9900" w:type="dxa"/>
      <w:tblInd w:w="-833" w:type="dxa"/>
      <w:tblLayout w:type="fixed"/>
      <w:tblLook w:val="0400" w:firstRow="0" w:lastRow="0" w:firstColumn="0" w:lastColumn="0" w:noHBand="0" w:noVBand="1"/>
    </w:tblPr>
    <w:tblGrid>
      <w:gridCol w:w="3805"/>
      <w:gridCol w:w="3000"/>
      <w:gridCol w:w="3095"/>
    </w:tblGrid>
    <w:tr w:rsidR="00910D03">
      <w:tc>
        <w:tcPr>
          <w:tcW w:w="3805" w:type="dxa"/>
          <w:vMerge w:val="restart"/>
          <w:shd w:val="clear" w:color="auto" w:fill="auto"/>
        </w:tcPr>
        <w:p w:rsidR="00910D03" w:rsidRDefault="0010765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08807/INFOEM/IP/RR/2022</w:t>
          </w:r>
        </w:p>
      </w:tc>
    </w:tr>
    <w:tr w:rsidR="00910D03">
      <w:tc>
        <w:tcPr>
          <w:tcW w:w="3805" w:type="dxa"/>
          <w:vMerge/>
          <w:shd w:val="clear" w:color="auto" w:fill="auto"/>
        </w:tcPr>
        <w:p w:rsidR="00910D03" w:rsidRDefault="00910D0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910D03" w:rsidRDefault="00910D03">
          <w:pPr>
            <w:jc w:val="both"/>
            <w:rPr>
              <w:rFonts w:ascii="Palatino Linotype" w:eastAsia="Palatino Linotype" w:hAnsi="Palatino Linotype" w:cs="Palatino Linotype"/>
              <w:b/>
            </w:rPr>
          </w:pPr>
        </w:p>
      </w:tc>
    </w:tr>
    <w:tr w:rsidR="00910D03">
      <w:trPr>
        <w:trHeight w:val="228"/>
      </w:trPr>
      <w:tc>
        <w:tcPr>
          <w:tcW w:w="3805" w:type="dxa"/>
          <w:vMerge/>
          <w:shd w:val="clear" w:color="auto" w:fill="auto"/>
        </w:tcPr>
        <w:p w:rsidR="00910D03" w:rsidRDefault="00910D0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Ayuntamiento de Xonacatlán</w:t>
          </w:r>
        </w:p>
      </w:tc>
    </w:tr>
    <w:tr w:rsidR="00910D03">
      <w:tc>
        <w:tcPr>
          <w:tcW w:w="3805" w:type="dxa"/>
          <w:vMerge/>
          <w:shd w:val="clear" w:color="auto" w:fill="auto"/>
        </w:tcPr>
        <w:p w:rsidR="00910D03" w:rsidRDefault="00910D0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910D03" w:rsidRDefault="0010765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910D03" w:rsidRDefault="0010765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910D03" w:rsidRDefault="00910D03">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610C8"/>
    <w:multiLevelType w:val="multilevel"/>
    <w:tmpl w:val="089A37C6"/>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15FD3B57"/>
    <w:multiLevelType w:val="multilevel"/>
    <w:tmpl w:val="4B3CC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03"/>
    <w:rsid w:val="00107658"/>
    <w:rsid w:val="00143514"/>
    <w:rsid w:val="003765FB"/>
    <w:rsid w:val="00710A64"/>
    <w:rsid w:val="0072148D"/>
    <w:rsid w:val="0076521A"/>
    <w:rsid w:val="00910D03"/>
    <w:rsid w:val="00A50805"/>
    <w:rsid w:val="00A95B04"/>
    <w:rsid w:val="00BD7619"/>
    <w:rsid w:val="00C66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5D2212A-E303-4C75-B7F5-EFF8FA66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2"/>
    <w:tblPr>
      <w:tblStyleRowBandSize w:val="1"/>
      <w:tblStyleColBandSize w:val="1"/>
      <w:tblCellMar>
        <w:top w:w="100" w:type="dxa"/>
        <w:left w:w="100" w:type="dxa"/>
        <w:bottom w:w="100" w:type="dxa"/>
        <w:right w:w="100" w:type="dxa"/>
      </w:tblCellMar>
    </w:tblPr>
  </w:style>
  <w:style w:type="table" w:customStyle="1" w:styleId="a0">
    <w:basedOn w:val="TableNormalfff2"/>
    <w:tblPr>
      <w:tblStyleRowBandSize w:val="1"/>
      <w:tblStyleColBandSize w:val="1"/>
      <w:tblCellMar>
        <w:left w:w="115" w:type="dxa"/>
        <w:right w:w="115" w:type="dxa"/>
      </w:tblCellMar>
    </w:tblPr>
  </w:style>
  <w:style w:type="table" w:customStyle="1" w:styleId="a1">
    <w:basedOn w:val="TableNormalfff2"/>
    <w:tblPr>
      <w:tblStyleRowBandSize w:val="1"/>
      <w:tblStyleColBandSize w:val="1"/>
      <w:tblCellMar>
        <w:left w:w="115" w:type="dxa"/>
        <w:right w:w="115" w:type="dxa"/>
      </w:tblCellMar>
    </w:tblPr>
  </w:style>
  <w:style w:type="table" w:customStyle="1" w:styleId="a2">
    <w:basedOn w:val="TableNormalfff2"/>
    <w:tblPr>
      <w:tblStyleRowBandSize w:val="1"/>
      <w:tblStyleColBandSize w:val="1"/>
      <w:tblCellMar>
        <w:left w:w="115" w:type="dxa"/>
        <w:right w:w="115" w:type="dxa"/>
      </w:tblCellMar>
    </w:tblPr>
  </w:style>
  <w:style w:type="table" w:customStyle="1" w:styleId="a3">
    <w:basedOn w:val="TableNormalfff2"/>
    <w:tblPr>
      <w:tblStyleRowBandSize w:val="1"/>
      <w:tblStyleColBandSize w:val="1"/>
      <w:tblCellMar>
        <w:left w:w="115" w:type="dxa"/>
        <w:right w:w="115" w:type="dxa"/>
      </w:tblCellMar>
    </w:tblPr>
  </w:style>
  <w:style w:type="table" w:customStyle="1" w:styleId="a4">
    <w:basedOn w:val="TableNormalfff2"/>
    <w:tblPr>
      <w:tblStyleRowBandSize w:val="1"/>
      <w:tblStyleColBandSize w:val="1"/>
      <w:tblCellMar>
        <w:left w:w="115" w:type="dxa"/>
        <w:right w:w="115" w:type="dxa"/>
      </w:tblCellMar>
    </w:tblPr>
  </w:style>
  <w:style w:type="table" w:customStyle="1" w:styleId="a5">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2"/>
    <w:tblPr>
      <w:tblStyleRowBandSize w:val="1"/>
      <w:tblStyleColBandSize w:val="1"/>
      <w:tblCellMar>
        <w:left w:w="115" w:type="dxa"/>
        <w:right w:w="115" w:type="dxa"/>
      </w:tblCellMar>
    </w:tblPr>
  </w:style>
  <w:style w:type="table" w:customStyle="1" w:styleId="a7">
    <w:basedOn w:val="TableNormalfff2"/>
    <w:tblPr>
      <w:tblStyleRowBandSize w:val="1"/>
      <w:tblStyleColBandSize w:val="1"/>
      <w:tblCellMar>
        <w:left w:w="115" w:type="dxa"/>
        <w:right w:w="115" w:type="dxa"/>
      </w:tblCellMar>
    </w:tblPr>
  </w:style>
  <w:style w:type="table" w:customStyle="1" w:styleId="a8">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1"/>
    <w:tblPr>
      <w:tblStyleRowBandSize w:val="1"/>
      <w:tblStyleColBandSize w:val="1"/>
      <w:tblCellMar>
        <w:left w:w="115" w:type="dxa"/>
        <w:right w:w="115" w:type="dxa"/>
      </w:tblCellMar>
    </w:tblPr>
  </w:style>
  <w:style w:type="table" w:customStyle="1" w:styleId="afff3">
    <w:basedOn w:val="TableNormalff1"/>
    <w:tblPr>
      <w:tblStyleRowBandSize w:val="1"/>
      <w:tblStyleColBandSize w:val="1"/>
      <w:tblCellMar>
        <w:top w:w="100" w:type="dxa"/>
        <w:left w:w="100" w:type="dxa"/>
        <w:bottom w:w="100" w:type="dxa"/>
        <w:right w:w="100" w:type="dxa"/>
      </w:tblCellMar>
    </w:tblPr>
  </w:style>
  <w:style w:type="table" w:customStyle="1" w:styleId="a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1"/>
    <w:tblPr>
      <w:tblStyleRowBandSize w:val="1"/>
      <w:tblStyleColBandSize w:val="1"/>
      <w:tblCellMar>
        <w:top w:w="100" w:type="dxa"/>
        <w:left w:w="100" w:type="dxa"/>
        <w:bottom w:w="100" w:type="dxa"/>
        <w:right w:w="100" w:type="dxa"/>
      </w:tblCellMar>
    </w:tblPr>
  </w:style>
  <w:style w:type="table" w:customStyle="1" w:styleId="a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1"/>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1"/>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1/01_PresentacionPoliticasPresupuest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eTSwPAvm8Eep56fE9PlNIZycJw==">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56</Pages>
  <Words>12610</Words>
  <Characters>69358</Characters>
  <Application>Microsoft Office Word</Application>
  <DocSecurity>0</DocSecurity>
  <Lines>577</Lines>
  <Paragraphs>163</Paragraphs>
  <ScaleCrop>false</ScaleCrop>
  <Company/>
  <LinksUpToDate>false</LinksUpToDate>
  <CharactersWithSpaces>81805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7</cp:revision>
  <dcterms:created xsi:type="dcterms:W3CDTF">2022-10-06T18:59:00Z</dcterms:created>
  <dcterms:modified xsi:type="dcterms:W3CDTF">2022-10-13T20:57:00Z</dcterms:modified>
</cp:coreProperties>
</file>