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D7A852" w14:textId="5F6B2D81" w:rsidR="00872BC7" w:rsidRPr="009762CA" w:rsidRDefault="007F7B11" w:rsidP="00872BC7">
      <w:pPr>
        <w:spacing w:line="360" w:lineRule="auto"/>
        <w:jc w:val="both"/>
        <w:rPr>
          <w:rFonts w:ascii="Palatino Linotype" w:hAnsi="Palatino Linotype"/>
        </w:rPr>
      </w:pPr>
      <w:r w:rsidRPr="009762CA">
        <w:rPr>
          <w:rFonts w:ascii="Palatino Linotype" w:eastAsiaTheme="minorEastAsia" w:hAnsi="Palatino Linotype" w:cstheme="minorBidi"/>
          <w:lang w:val="es-ES_tradnl"/>
        </w:rPr>
        <w:t>Resolución del Pleno del Instituto de Transparencia, Acceso a la Información Pública y Protección de Datos Personales del Estado de México y Municipios, con domicilio e</w:t>
      </w:r>
      <w:r w:rsidR="00D43086" w:rsidRPr="009762CA">
        <w:rPr>
          <w:rFonts w:ascii="Palatino Linotype" w:eastAsiaTheme="minorEastAsia" w:hAnsi="Palatino Linotype" w:cstheme="minorBidi"/>
          <w:lang w:val="es-ES_tradnl"/>
        </w:rPr>
        <w:t>n Metepec, E</w:t>
      </w:r>
      <w:r w:rsidR="00BE1EEA" w:rsidRPr="009762CA">
        <w:rPr>
          <w:rFonts w:ascii="Palatino Linotype" w:eastAsiaTheme="minorEastAsia" w:hAnsi="Palatino Linotype" w:cstheme="minorBidi"/>
          <w:lang w:val="es-ES_tradnl"/>
        </w:rPr>
        <w:t xml:space="preserve">stado de México; de </w:t>
      </w:r>
      <w:r w:rsidR="00872BC7" w:rsidRPr="009762CA">
        <w:rPr>
          <w:rFonts w:ascii="Palatino Linotype" w:hAnsi="Palatino Linotype"/>
        </w:rPr>
        <w:t xml:space="preserve">dieciséis </w:t>
      </w:r>
      <w:r w:rsidR="00D54288" w:rsidRPr="009762CA">
        <w:rPr>
          <w:rFonts w:ascii="Palatino Linotype" w:hAnsi="Palatino Linotype"/>
        </w:rPr>
        <w:t xml:space="preserve">(16) </w:t>
      </w:r>
      <w:r w:rsidR="00872BC7" w:rsidRPr="009762CA">
        <w:rPr>
          <w:rFonts w:ascii="Palatino Linotype" w:hAnsi="Palatino Linotype"/>
        </w:rPr>
        <w:t>de noviembre de dos mil veintidós.</w:t>
      </w:r>
    </w:p>
    <w:p w14:paraId="646C1826" w14:textId="78829297" w:rsidR="007B5808" w:rsidRPr="009762CA" w:rsidRDefault="00D43086" w:rsidP="00CA6269">
      <w:pPr>
        <w:tabs>
          <w:tab w:val="left" w:pos="3465"/>
        </w:tabs>
        <w:spacing w:before="240" w:after="360" w:line="360" w:lineRule="auto"/>
        <w:jc w:val="both"/>
        <w:rPr>
          <w:rFonts w:ascii="Palatino Linotype" w:eastAsia="MS Mincho" w:hAnsi="Palatino Linotype"/>
          <w:lang w:val="es-ES_tradnl"/>
        </w:rPr>
      </w:pPr>
      <w:r w:rsidRPr="009762CA">
        <w:rPr>
          <w:rFonts w:ascii="Palatino Linotype" w:eastAsiaTheme="minorEastAsia" w:hAnsi="Palatino Linotype" w:cstheme="minorBidi"/>
          <w:b/>
          <w:color w:val="000000" w:themeColor="text1"/>
          <w:lang w:val="es-ES_tradnl"/>
        </w:rPr>
        <w:t>VISTO</w:t>
      </w:r>
      <w:r w:rsidRPr="009762CA">
        <w:rPr>
          <w:rFonts w:ascii="Palatino Linotype" w:eastAsiaTheme="minorEastAsia" w:hAnsi="Palatino Linotype" w:cstheme="minorBidi"/>
          <w:color w:val="000000" w:themeColor="text1"/>
          <w:lang w:val="es-ES_tradnl"/>
        </w:rPr>
        <w:t xml:space="preserve"> el expediente electrónico formado con motivo del recurso de revisión</w:t>
      </w:r>
      <w:r w:rsidR="0007224B" w:rsidRPr="009762CA">
        <w:rPr>
          <w:rFonts w:ascii="Palatino Linotype" w:eastAsiaTheme="minorEastAsia" w:hAnsi="Palatino Linotype" w:cstheme="minorBidi"/>
          <w:b/>
          <w:bCs/>
          <w:color w:val="000000" w:themeColor="text1"/>
        </w:rPr>
        <w:t> </w:t>
      </w:r>
      <w:r w:rsidR="00BE1EEA" w:rsidRPr="009762CA">
        <w:rPr>
          <w:rFonts w:ascii="Palatino Linotype" w:eastAsiaTheme="minorEastAsia" w:hAnsi="Palatino Linotype" w:cstheme="minorBidi"/>
          <w:b/>
          <w:bCs/>
          <w:color w:val="000000" w:themeColor="text1"/>
        </w:rPr>
        <w:t>15733/INFOEM/IP/RR/2022</w:t>
      </w:r>
      <w:r w:rsidR="0007224B" w:rsidRPr="009762CA">
        <w:rPr>
          <w:rFonts w:ascii="Palatino Linotype" w:eastAsiaTheme="minorEastAsia" w:hAnsi="Palatino Linotype" w:cstheme="minorBidi"/>
          <w:b/>
          <w:bCs/>
          <w:color w:val="000000" w:themeColor="text1"/>
          <w:lang w:val="es-ES_tradnl"/>
        </w:rPr>
        <w:t xml:space="preserve">, </w:t>
      </w:r>
      <w:r w:rsidR="0007224B" w:rsidRPr="009762CA">
        <w:rPr>
          <w:rFonts w:ascii="Palatino Linotype" w:eastAsia="MS Mincho" w:hAnsi="Palatino Linotype"/>
          <w:lang w:val="es-ES_tradnl"/>
        </w:rPr>
        <w:t xml:space="preserve">promovido por </w:t>
      </w:r>
      <w:r w:rsidR="009762CA" w:rsidRPr="009762CA">
        <w:rPr>
          <w:rFonts w:ascii="Palatino Linotype" w:eastAsia="MS Mincho" w:hAnsi="Palatino Linotype"/>
          <w:b/>
          <w:lang w:val="es-ES_tradnl"/>
        </w:rPr>
        <w:t>XXXXX XXXX XXXXX</w:t>
      </w:r>
      <w:r w:rsidR="00BE1EEA" w:rsidRPr="009762CA">
        <w:rPr>
          <w:rFonts w:ascii="Palatino Linotype" w:eastAsia="MS Mincho" w:hAnsi="Palatino Linotype"/>
          <w:b/>
          <w:lang w:val="es-ES_tradnl"/>
        </w:rPr>
        <w:t xml:space="preserve"> </w:t>
      </w:r>
      <w:r w:rsidR="0007224B" w:rsidRPr="009762CA">
        <w:rPr>
          <w:rFonts w:ascii="Palatino Linotype" w:eastAsia="MS Mincho" w:hAnsi="Palatino Linotype"/>
          <w:lang w:val="es-ES_tradnl"/>
        </w:rPr>
        <w:t xml:space="preserve">en su calidad de </w:t>
      </w:r>
      <w:r w:rsidR="0007224B" w:rsidRPr="009762CA">
        <w:rPr>
          <w:rFonts w:ascii="Palatino Linotype" w:eastAsia="MS Mincho" w:hAnsi="Palatino Linotype"/>
          <w:b/>
          <w:lang w:val="es-ES_tradnl"/>
        </w:rPr>
        <w:t>RECURRENTE</w:t>
      </w:r>
      <w:r w:rsidR="0007224B" w:rsidRPr="009762CA">
        <w:rPr>
          <w:rFonts w:ascii="Palatino Linotype" w:eastAsia="MS Mincho" w:hAnsi="Palatino Linotype"/>
          <w:lang w:val="es-ES_tradnl"/>
        </w:rPr>
        <w:t xml:space="preserve">, en contra de la respuesta del </w:t>
      </w:r>
      <w:r w:rsidR="00BE1EEA" w:rsidRPr="009762CA">
        <w:rPr>
          <w:rFonts w:ascii="Palatino Linotype" w:eastAsia="MS Mincho" w:hAnsi="Palatino Linotype"/>
          <w:b/>
          <w:lang w:val="es-ES_tradnl"/>
        </w:rPr>
        <w:t xml:space="preserve">Ayuntamiento de Ecatepec de Morelos </w:t>
      </w:r>
      <w:r w:rsidR="0007224B" w:rsidRPr="009762CA">
        <w:rPr>
          <w:rFonts w:ascii="Palatino Linotype" w:eastAsia="MS Mincho" w:hAnsi="Palatino Linotype"/>
          <w:lang w:val="es-ES_tradnl"/>
        </w:rPr>
        <w:t>en lo sucesivo el</w:t>
      </w:r>
      <w:r w:rsidR="0007224B" w:rsidRPr="009762CA">
        <w:rPr>
          <w:rFonts w:ascii="Palatino Linotype" w:eastAsia="MS Mincho" w:hAnsi="Palatino Linotype"/>
          <w:b/>
          <w:lang w:val="es-ES_tradnl"/>
        </w:rPr>
        <w:t xml:space="preserve"> SUJETO OBLIGADO, </w:t>
      </w:r>
      <w:r w:rsidR="0007224B" w:rsidRPr="009762CA">
        <w:rPr>
          <w:rFonts w:ascii="Palatino Linotype" w:eastAsia="MS Mincho" w:hAnsi="Palatino Linotype"/>
          <w:lang w:val="es-ES_tradnl"/>
        </w:rPr>
        <w:t>se procede a dictar la presente resolución, con base en los siguientes:</w:t>
      </w:r>
    </w:p>
    <w:p w14:paraId="62E6CFD9" w14:textId="6A7D8E82" w:rsidR="000C53E4" w:rsidRPr="009762CA" w:rsidRDefault="007F7B11" w:rsidP="00CA6269">
      <w:pPr>
        <w:keepNext/>
        <w:keepLines/>
        <w:spacing w:before="240" w:line="360" w:lineRule="auto"/>
        <w:jc w:val="center"/>
        <w:outlineLvl w:val="0"/>
        <w:rPr>
          <w:rFonts w:ascii="Palatino Linotype" w:eastAsiaTheme="majorEastAsia" w:hAnsi="Palatino Linotype" w:cstheme="majorBidi"/>
          <w:b/>
          <w:lang w:val="es-MX" w:eastAsia="en-US"/>
        </w:rPr>
      </w:pPr>
      <w:bookmarkStart w:id="0" w:name="_Toc461555884"/>
      <w:bookmarkStart w:id="1" w:name="_Toc466371847"/>
      <w:bookmarkStart w:id="2" w:name="_Toc99999250"/>
      <w:r w:rsidRPr="009762CA">
        <w:rPr>
          <w:rFonts w:ascii="Palatino Linotype" w:eastAsiaTheme="majorEastAsia" w:hAnsi="Palatino Linotype" w:cstheme="majorBidi"/>
          <w:b/>
          <w:lang w:val="es-MX" w:eastAsia="en-US"/>
        </w:rPr>
        <w:t>ANTECEDENTES</w:t>
      </w:r>
      <w:bookmarkEnd w:id="0"/>
      <w:bookmarkEnd w:id="1"/>
      <w:bookmarkEnd w:id="2"/>
    </w:p>
    <w:p w14:paraId="6DD0F7E0" w14:textId="77777777" w:rsidR="00D13A6B" w:rsidRPr="009762CA" w:rsidRDefault="00D13A6B" w:rsidP="00CA6269">
      <w:pPr>
        <w:keepNext/>
        <w:keepLines/>
        <w:spacing w:before="240" w:line="360" w:lineRule="auto"/>
        <w:jc w:val="center"/>
        <w:outlineLvl w:val="0"/>
        <w:rPr>
          <w:rFonts w:ascii="Palatino Linotype" w:eastAsiaTheme="majorEastAsia" w:hAnsi="Palatino Linotype" w:cstheme="majorBidi"/>
          <w:b/>
          <w:lang w:val="es-MX" w:eastAsia="en-US"/>
        </w:rPr>
      </w:pPr>
    </w:p>
    <w:p w14:paraId="016DEFA4" w14:textId="6B8A18D0" w:rsidR="007F7B11" w:rsidRPr="009762CA" w:rsidRDefault="007F7B11" w:rsidP="00BE1EEA">
      <w:pPr>
        <w:numPr>
          <w:ilvl w:val="0"/>
          <w:numId w:val="17"/>
        </w:numPr>
        <w:tabs>
          <w:tab w:val="left" w:pos="0"/>
        </w:tabs>
        <w:spacing w:before="240" w:after="240" w:line="360" w:lineRule="auto"/>
        <w:ind w:left="0" w:firstLine="0"/>
        <w:contextualSpacing/>
        <w:jc w:val="both"/>
        <w:rPr>
          <w:rFonts w:ascii="Palatino Linotype" w:eastAsia="Calibri" w:hAnsi="Palatino Linotype" w:cs="Arial"/>
        </w:rPr>
      </w:pPr>
      <w:r w:rsidRPr="009762CA">
        <w:rPr>
          <w:rFonts w:ascii="Palatino Linotype" w:eastAsia="Calibri" w:hAnsi="Palatino Linotype" w:cs="Arial"/>
        </w:rPr>
        <w:t xml:space="preserve">El </w:t>
      </w:r>
      <w:r w:rsidR="00BE1EEA" w:rsidRPr="009762CA">
        <w:rPr>
          <w:rFonts w:ascii="Palatino Linotype" w:eastAsia="Calibri" w:hAnsi="Palatino Linotype" w:cs="Arial"/>
        </w:rPr>
        <w:t>siete (07</w:t>
      </w:r>
      <w:r w:rsidR="000C53E4" w:rsidRPr="009762CA">
        <w:rPr>
          <w:rFonts w:ascii="Palatino Linotype" w:eastAsia="Calibri" w:hAnsi="Palatino Linotype" w:cs="Arial"/>
        </w:rPr>
        <w:t>) de</w:t>
      </w:r>
      <w:r w:rsidR="00BE1EEA" w:rsidRPr="009762CA">
        <w:rPr>
          <w:rFonts w:ascii="Palatino Linotype" w:eastAsia="Calibri" w:hAnsi="Palatino Linotype" w:cs="Arial"/>
        </w:rPr>
        <w:t xml:space="preserve"> octubre </w:t>
      </w:r>
      <w:r w:rsidR="007B5808" w:rsidRPr="009762CA">
        <w:rPr>
          <w:rFonts w:ascii="Palatino Linotype" w:eastAsia="Calibri" w:hAnsi="Palatino Linotype" w:cs="Arial"/>
        </w:rPr>
        <w:t>de dos mil veintidós</w:t>
      </w:r>
      <w:r w:rsidRPr="009762CA">
        <w:rPr>
          <w:rFonts w:ascii="Palatino Linotype" w:eastAsiaTheme="minorEastAsia" w:hAnsi="Palatino Linotype" w:cstheme="minorBidi"/>
          <w:b/>
          <w:lang w:val="es-ES_tradnl"/>
        </w:rPr>
        <w:t xml:space="preserve">, </w:t>
      </w:r>
      <w:r w:rsidRPr="009762CA">
        <w:rPr>
          <w:rFonts w:ascii="Palatino Linotype" w:eastAsia="Calibri" w:hAnsi="Palatino Linotype" w:cs="Arial"/>
        </w:rPr>
        <w:t xml:space="preserve">se presentó ante el </w:t>
      </w:r>
      <w:r w:rsidRPr="009762CA">
        <w:rPr>
          <w:rFonts w:ascii="Palatino Linotype" w:eastAsia="Calibri" w:hAnsi="Palatino Linotype" w:cs="Arial"/>
          <w:b/>
        </w:rPr>
        <w:t>SUJETO OBLIGADO</w:t>
      </w:r>
      <w:r w:rsidRPr="009762CA">
        <w:rPr>
          <w:rFonts w:ascii="Palatino Linotype" w:eastAsia="Calibri" w:hAnsi="Palatino Linotype" w:cs="Arial"/>
          <w:lang w:val="es-ES_tradnl"/>
        </w:rPr>
        <w:t xml:space="preserve"> vía </w:t>
      </w:r>
      <w:r w:rsidRPr="009762CA">
        <w:rPr>
          <w:rFonts w:ascii="Palatino Linotype" w:eastAsia="Calibri" w:hAnsi="Palatino Linotype" w:cs="Arial"/>
        </w:rPr>
        <w:t xml:space="preserve">Sistema de Acceso a la Información Mexiquense </w:t>
      </w:r>
      <w:r w:rsidRPr="009762CA">
        <w:rPr>
          <w:rFonts w:ascii="Palatino Linotype" w:eastAsia="Calibri" w:hAnsi="Palatino Linotype" w:cs="Arial"/>
          <w:b/>
        </w:rPr>
        <w:t>SAIMEX</w:t>
      </w:r>
      <w:r w:rsidRPr="009762CA">
        <w:rPr>
          <w:rFonts w:ascii="Palatino Linotype" w:eastAsia="Calibri" w:hAnsi="Palatino Linotype" w:cs="Arial"/>
        </w:rPr>
        <w:t xml:space="preserve">, la solicitud de información pública registrada con el número </w:t>
      </w:r>
      <w:r w:rsidR="00BE1EEA" w:rsidRPr="009762CA">
        <w:rPr>
          <w:rFonts w:ascii="Palatino Linotype" w:eastAsia="Calibri" w:hAnsi="Palatino Linotype" w:cs="Arial"/>
          <w:b/>
        </w:rPr>
        <w:t>00842/ECATEPEC/IP/2022</w:t>
      </w:r>
      <w:r w:rsidR="00BE1EEA" w:rsidRPr="009762CA">
        <w:rPr>
          <w:rFonts w:ascii="Palatino Linotype" w:eastAsia="Calibri" w:hAnsi="Palatino Linotype" w:cs="Arial"/>
        </w:rPr>
        <w:t xml:space="preserve"> </w:t>
      </w:r>
      <w:r w:rsidRPr="009762CA">
        <w:rPr>
          <w:rFonts w:ascii="Palatino Linotype" w:eastAsia="Calibri" w:hAnsi="Palatino Linotype" w:cs="Arial"/>
        </w:rPr>
        <w:t>mediante la cual solicitó:</w:t>
      </w:r>
    </w:p>
    <w:p w14:paraId="718F0BAA" w14:textId="77777777" w:rsidR="007F7B11" w:rsidRPr="009762CA" w:rsidRDefault="007F7B11" w:rsidP="00CA6269">
      <w:pPr>
        <w:spacing w:line="360" w:lineRule="auto"/>
        <w:ind w:left="360"/>
        <w:contextualSpacing/>
        <w:jc w:val="both"/>
        <w:rPr>
          <w:rFonts w:ascii="Palatino Linotype" w:eastAsiaTheme="minorEastAsia" w:hAnsi="Palatino Linotype" w:cstheme="minorBidi"/>
          <w:i/>
          <w:color w:val="000000"/>
          <w:lang w:val="es-ES_tradnl"/>
        </w:rPr>
      </w:pPr>
    </w:p>
    <w:p w14:paraId="270EF866" w14:textId="50405698" w:rsidR="007F7B11" w:rsidRPr="009762CA" w:rsidRDefault="007F7B11" w:rsidP="00D43086">
      <w:pPr>
        <w:spacing w:line="360" w:lineRule="auto"/>
        <w:ind w:left="567" w:right="567"/>
        <w:contextualSpacing/>
        <w:jc w:val="both"/>
        <w:rPr>
          <w:rFonts w:ascii="Palatino Linotype" w:eastAsiaTheme="minorEastAsia" w:hAnsi="Palatino Linotype" w:cstheme="minorBidi"/>
          <w:color w:val="000000"/>
          <w:lang w:val="es-ES_tradnl"/>
        </w:rPr>
      </w:pPr>
      <w:r w:rsidRPr="009762CA">
        <w:rPr>
          <w:rFonts w:ascii="Palatino Linotype" w:eastAsiaTheme="minorEastAsia" w:hAnsi="Palatino Linotype" w:cstheme="minorBidi"/>
          <w:i/>
          <w:color w:val="000000"/>
          <w:lang w:val="es-ES_tradnl"/>
        </w:rPr>
        <w:t>“</w:t>
      </w:r>
      <w:r w:rsidR="00BE1EEA" w:rsidRPr="009762CA">
        <w:rPr>
          <w:rFonts w:ascii="Palatino Linotype" w:eastAsiaTheme="minorEastAsia" w:hAnsi="Palatino Linotype" w:cstheme="minorBidi"/>
          <w:i/>
          <w:color w:val="000000"/>
          <w:lang w:val="es-ES_tradnl"/>
        </w:rPr>
        <w:t xml:space="preserve">Solicito la copia de reglamento de tianguis y mercados vigente de </w:t>
      </w:r>
      <w:proofErr w:type="spellStart"/>
      <w:r w:rsidR="00BE1EEA" w:rsidRPr="009762CA">
        <w:rPr>
          <w:rFonts w:ascii="Palatino Linotype" w:eastAsiaTheme="minorEastAsia" w:hAnsi="Palatino Linotype" w:cstheme="minorBidi"/>
          <w:i/>
          <w:color w:val="000000"/>
          <w:lang w:val="es-ES_tradnl"/>
        </w:rPr>
        <w:t>ecatepec</w:t>
      </w:r>
      <w:proofErr w:type="spellEnd"/>
      <w:r w:rsidR="00BE1EEA" w:rsidRPr="009762CA">
        <w:rPr>
          <w:rFonts w:ascii="Palatino Linotype" w:eastAsiaTheme="minorEastAsia" w:hAnsi="Palatino Linotype" w:cstheme="minorBidi"/>
          <w:i/>
          <w:color w:val="000000"/>
          <w:lang w:val="es-ES_tradnl"/>
        </w:rPr>
        <w:t xml:space="preserve"> a mi correo electrónico</w:t>
      </w:r>
      <w:r w:rsidR="000C53E4" w:rsidRPr="009762CA">
        <w:rPr>
          <w:rFonts w:ascii="Palatino Linotype" w:eastAsiaTheme="minorEastAsia" w:hAnsi="Palatino Linotype" w:cstheme="minorBidi"/>
          <w:i/>
          <w:color w:val="000000"/>
          <w:lang w:val="es-ES_tradnl"/>
        </w:rPr>
        <w:t>.</w:t>
      </w:r>
      <w:r w:rsidRPr="009762CA">
        <w:rPr>
          <w:rFonts w:ascii="Palatino Linotype" w:eastAsiaTheme="minorEastAsia" w:hAnsi="Palatino Linotype" w:cstheme="minorBidi"/>
          <w:i/>
          <w:color w:val="000000"/>
          <w:lang w:val="es-ES_tradnl"/>
        </w:rPr>
        <w:t>”</w:t>
      </w:r>
      <w:r w:rsidRPr="009762CA">
        <w:rPr>
          <w:rFonts w:ascii="Palatino Linotype" w:eastAsiaTheme="minorEastAsia" w:hAnsi="Palatino Linotype" w:cstheme="minorBidi"/>
          <w:color w:val="000000"/>
          <w:lang w:val="es-ES_tradnl"/>
        </w:rPr>
        <w:t xml:space="preserve"> (Sic)</w:t>
      </w:r>
    </w:p>
    <w:p w14:paraId="12B29490" w14:textId="77777777" w:rsidR="00D43086" w:rsidRPr="009762CA" w:rsidRDefault="00D43086" w:rsidP="00D43086">
      <w:pPr>
        <w:spacing w:line="360" w:lineRule="auto"/>
        <w:ind w:left="567" w:right="567"/>
        <w:contextualSpacing/>
        <w:jc w:val="both"/>
        <w:rPr>
          <w:rFonts w:ascii="Palatino Linotype" w:eastAsiaTheme="minorEastAsia" w:hAnsi="Palatino Linotype" w:cstheme="minorBidi"/>
          <w:color w:val="000000"/>
          <w:lang w:val="es-ES_tradnl"/>
        </w:rPr>
      </w:pPr>
    </w:p>
    <w:p w14:paraId="7A8253AD" w14:textId="400D92F6" w:rsidR="00E176F9" w:rsidRPr="009762CA" w:rsidRDefault="007F7B11" w:rsidP="00CA6269">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9762CA">
        <w:rPr>
          <w:rFonts w:ascii="Palatino Linotype" w:eastAsia="Calibri" w:hAnsi="Palatino Linotype" w:cs="Arial"/>
          <w:lang w:val="es-AR"/>
        </w:rPr>
        <w:t xml:space="preserve">De las constancias </w:t>
      </w:r>
      <w:r w:rsidRPr="009762CA">
        <w:rPr>
          <w:rFonts w:ascii="Palatino Linotype" w:hAnsi="Palatino Linotype" w:cs="Arial"/>
        </w:rPr>
        <w:t xml:space="preserve">que obran en el expediente, se aprecia que el entonces </w:t>
      </w:r>
      <w:r w:rsidRPr="009762CA">
        <w:rPr>
          <w:rFonts w:ascii="Palatino Linotype" w:hAnsi="Palatino Linotype" w:cs="Arial"/>
          <w:b/>
        </w:rPr>
        <w:t>SOLICITANTE</w:t>
      </w:r>
      <w:r w:rsidRPr="009762CA">
        <w:rPr>
          <w:rFonts w:ascii="Palatino Linotype" w:hAnsi="Palatino Linotype" w:cs="Arial"/>
        </w:rPr>
        <w:t xml:space="preserve"> señaló como modalidad de entrega de la información:</w:t>
      </w:r>
      <w:r w:rsidRPr="009762CA">
        <w:rPr>
          <w:rFonts w:ascii="Palatino Linotype" w:hAnsi="Palatino Linotype" w:cs="Arial"/>
          <w:b/>
        </w:rPr>
        <w:t xml:space="preserve"> </w:t>
      </w:r>
      <w:r w:rsidRPr="009762CA">
        <w:rPr>
          <w:rFonts w:ascii="Palatino Linotype" w:eastAsiaTheme="minorEastAsia" w:hAnsi="Palatino Linotype" w:cstheme="minorBidi"/>
          <w:b/>
          <w:lang w:val="es-ES_tradnl"/>
        </w:rPr>
        <w:t xml:space="preserve">A través del </w:t>
      </w:r>
      <w:r w:rsidR="0060001F" w:rsidRPr="009762CA">
        <w:rPr>
          <w:rFonts w:ascii="Palatino Linotype" w:eastAsiaTheme="minorEastAsia" w:hAnsi="Palatino Linotype" w:cstheme="minorBidi"/>
          <w:b/>
          <w:lang w:val="es-ES_tradnl"/>
        </w:rPr>
        <w:t>SAIMEX</w:t>
      </w:r>
      <w:r w:rsidRPr="009762CA">
        <w:rPr>
          <w:rFonts w:ascii="Palatino Linotype" w:eastAsiaTheme="minorEastAsia" w:hAnsi="Palatino Linotype" w:cstheme="minorBidi"/>
          <w:b/>
          <w:lang w:val="es-ES_tradnl"/>
        </w:rPr>
        <w:t>.</w:t>
      </w:r>
    </w:p>
    <w:p w14:paraId="63CBCB65" w14:textId="77777777" w:rsidR="00E176F9" w:rsidRPr="009762CA" w:rsidRDefault="00E176F9" w:rsidP="00CA6269">
      <w:pPr>
        <w:tabs>
          <w:tab w:val="left" w:pos="284"/>
        </w:tabs>
        <w:spacing w:before="240" w:after="240" w:line="360" w:lineRule="auto"/>
        <w:contextualSpacing/>
        <w:jc w:val="both"/>
        <w:rPr>
          <w:rFonts w:ascii="Palatino Linotype" w:eastAsia="MS Mincho" w:hAnsi="Palatino Linotype"/>
          <w:lang w:val="es-ES_tradnl"/>
        </w:rPr>
      </w:pPr>
    </w:p>
    <w:p w14:paraId="25B833D0" w14:textId="36FED5CC" w:rsidR="00E176F9" w:rsidRPr="009762CA" w:rsidRDefault="00E176F9" w:rsidP="00CA6269">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9762CA">
        <w:rPr>
          <w:rFonts w:ascii="Palatino Linotype" w:eastAsiaTheme="minorEastAsia" w:hAnsi="Palatino Linotype" w:cstheme="minorBidi"/>
          <w:color w:val="000000" w:themeColor="text1"/>
          <w:lang w:val="es-ES_tradnl"/>
        </w:rPr>
        <w:lastRenderedPageBreak/>
        <w:t xml:space="preserve">El </w:t>
      </w:r>
      <w:r w:rsidR="00BE1EEA" w:rsidRPr="009762CA">
        <w:rPr>
          <w:rFonts w:ascii="Palatino Linotype" w:eastAsiaTheme="minorEastAsia" w:hAnsi="Palatino Linotype" w:cstheme="minorBidi"/>
          <w:color w:val="000000" w:themeColor="text1"/>
          <w:lang w:val="es-ES_tradnl"/>
        </w:rPr>
        <w:t>catorce (14</w:t>
      </w:r>
      <w:r w:rsidRPr="009762CA">
        <w:rPr>
          <w:rFonts w:ascii="Palatino Linotype" w:eastAsiaTheme="minorEastAsia" w:hAnsi="Palatino Linotype" w:cstheme="minorBidi"/>
          <w:color w:val="000000" w:themeColor="text1"/>
          <w:lang w:val="es-ES_tradnl"/>
        </w:rPr>
        <w:t>) de</w:t>
      </w:r>
      <w:r w:rsidR="00BE1EEA" w:rsidRPr="009762CA">
        <w:rPr>
          <w:rFonts w:ascii="Palatino Linotype" w:eastAsiaTheme="minorEastAsia" w:hAnsi="Palatino Linotype" w:cstheme="minorBidi"/>
          <w:color w:val="000000" w:themeColor="text1"/>
          <w:lang w:val="es-ES_tradnl"/>
        </w:rPr>
        <w:t xml:space="preserve"> octubre </w:t>
      </w:r>
      <w:r w:rsidR="00D43086" w:rsidRPr="009762CA">
        <w:rPr>
          <w:rFonts w:ascii="Palatino Linotype" w:eastAsiaTheme="minorEastAsia" w:hAnsi="Palatino Linotype" w:cstheme="minorBidi"/>
          <w:color w:val="000000" w:themeColor="text1"/>
          <w:lang w:val="es-ES_tradnl"/>
        </w:rPr>
        <w:t>de dos mil veintidós</w:t>
      </w:r>
      <w:r w:rsidRPr="009762CA">
        <w:rPr>
          <w:rFonts w:ascii="Palatino Linotype" w:eastAsiaTheme="minorEastAsia" w:hAnsi="Palatino Linotype" w:cstheme="minorBidi"/>
          <w:color w:val="000000" w:themeColor="text1"/>
          <w:lang w:val="es-ES_tradnl"/>
        </w:rPr>
        <w:t xml:space="preserve">, el </w:t>
      </w:r>
      <w:r w:rsidRPr="009762CA">
        <w:rPr>
          <w:rFonts w:ascii="Palatino Linotype" w:eastAsiaTheme="minorEastAsia" w:hAnsi="Palatino Linotype" w:cstheme="minorBidi"/>
          <w:b/>
          <w:color w:val="000000" w:themeColor="text1"/>
          <w:lang w:val="es-ES_tradnl"/>
        </w:rPr>
        <w:t>SUJETO OBLIGADO</w:t>
      </w:r>
      <w:r w:rsidRPr="009762CA">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6A87C72" w14:textId="77777777" w:rsidR="00E176F9" w:rsidRPr="009762CA" w:rsidRDefault="00E176F9" w:rsidP="00CA6269">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4E7E9FEA" w14:textId="77777777" w:rsidR="00BE1EEA" w:rsidRPr="009762CA" w:rsidRDefault="00E176F9" w:rsidP="00BE1EEA">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762CA">
        <w:rPr>
          <w:rFonts w:ascii="Palatino Linotype" w:eastAsiaTheme="minorEastAsia" w:hAnsi="Palatino Linotype" w:cstheme="minorBidi"/>
          <w:i/>
          <w:noProof/>
          <w:color w:val="000000" w:themeColor="text1"/>
          <w:lang w:val="es-MX" w:eastAsia="es-MX"/>
        </w:rPr>
        <w:t>“</w:t>
      </w:r>
      <w:r w:rsidR="00BE1EEA" w:rsidRPr="009762CA">
        <w:rPr>
          <w:rFonts w:ascii="Palatino Linotype" w:eastAsiaTheme="minorEastAsia" w:hAnsi="Palatino Linotype" w:cstheme="minorBidi"/>
          <w:i/>
          <w:noProof/>
          <w:color w:val="000000" w:themeColor="text1"/>
          <w:lang w:val="es-MX" w:eastAsia="es-MX"/>
        </w:rPr>
        <w:t>Ecatepec de Morelos, México a 14 de Octubre de 2022</w:t>
      </w:r>
    </w:p>
    <w:p w14:paraId="6AC9AD8B" w14:textId="77777777" w:rsidR="00BE1EEA" w:rsidRPr="009762CA" w:rsidRDefault="00BE1EEA" w:rsidP="00BE1EEA">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762CA">
        <w:rPr>
          <w:rFonts w:ascii="Palatino Linotype" w:eastAsiaTheme="minorEastAsia" w:hAnsi="Palatino Linotype" w:cstheme="minorBidi"/>
          <w:i/>
          <w:noProof/>
          <w:color w:val="000000" w:themeColor="text1"/>
          <w:lang w:val="es-MX" w:eastAsia="es-MX"/>
        </w:rPr>
        <w:t>Nombre del solicitante: C. Solicitante</w:t>
      </w:r>
    </w:p>
    <w:p w14:paraId="5613B005" w14:textId="10F64410" w:rsidR="00BE1EEA" w:rsidRPr="009762CA" w:rsidRDefault="00BE1EEA" w:rsidP="00BE1EEA">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762CA">
        <w:rPr>
          <w:rFonts w:ascii="Palatino Linotype" w:eastAsiaTheme="minorEastAsia" w:hAnsi="Palatino Linotype" w:cstheme="minorBidi"/>
          <w:i/>
          <w:noProof/>
          <w:color w:val="000000" w:themeColor="text1"/>
          <w:lang w:val="es-MX" w:eastAsia="es-MX"/>
        </w:rPr>
        <w:t>Folio de la solicitud: 00842/ECATEPEC/IP/2022</w:t>
      </w:r>
    </w:p>
    <w:p w14:paraId="529DC917" w14:textId="77777777" w:rsidR="00BE1EEA" w:rsidRPr="009762CA" w:rsidRDefault="00BE1EEA" w:rsidP="00BE1EEA">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4C5499D7" w14:textId="77777777" w:rsidR="00BE1EEA" w:rsidRPr="009762CA" w:rsidRDefault="00BE1EEA" w:rsidP="00BE1EEA">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9762CA">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49EA7C4" w14:textId="06F3D7E6" w:rsidR="00BE1EEA" w:rsidRPr="009762CA" w:rsidRDefault="00BE1EEA" w:rsidP="00BE1EEA">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9762CA">
        <w:rPr>
          <w:rFonts w:ascii="Palatino Linotype" w:eastAsiaTheme="minorEastAsia" w:hAnsi="Palatino Linotype" w:cstheme="minorBidi"/>
          <w:i/>
          <w:noProof/>
          <w:color w:val="000000" w:themeColor="text1"/>
          <w:lang w:val="es-MX" w:eastAsia="es-MX"/>
        </w:rPr>
        <w:t>El H. Ayuntamiento Constitucional de Ecatepec de Morelos hace de su conocimiento la respuesta emitida por, COORDINACIÓN DE MERCADOS, TIANGUIS Y VÍA PÚBLICA, la cual se anexa al presente en formato PDF.</w:t>
      </w:r>
    </w:p>
    <w:p w14:paraId="53AE4BF3" w14:textId="77777777" w:rsidR="00BE1EEA" w:rsidRPr="009762CA" w:rsidRDefault="00BE1EEA" w:rsidP="00BE1EEA">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3597022A" w14:textId="77777777" w:rsidR="00BE1EEA" w:rsidRPr="009762CA" w:rsidRDefault="00BE1EEA" w:rsidP="00BE1EEA">
      <w:pPr>
        <w:spacing w:line="360" w:lineRule="auto"/>
        <w:ind w:left="567" w:right="567"/>
        <w:rPr>
          <w:rFonts w:ascii="Palatino Linotype" w:eastAsiaTheme="minorEastAsia" w:hAnsi="Palatino Linotype" w:cstheme="minorBidi"/>
          <w:i/>
          <w:noProof/>
          <w:color w:val="000000" w:themeColor="text1"/>
          <w:lang w:val="es-MX" w:eastAsia="es-MX"/>
        </w:rPr>
      </w:pPr>
      <w:r w:rsidRPr="009762CA">
        <w:rPr>
          <w:rFonts w:ascii="Palatino Linotype" w:eastAsiaTheme="minorEastAsia" w:hAnsi="Palatino Linotype" w:cstheme="minorBidi"/>
          <w:i/>
          <w:noProof/>
          <w:color w:val="000000" w:themeColor="text1"/>
          <w:lang w:val="es-MX" w:eastAsia="es-MX"/>
        </w:rPr>
        <w:t>ATENTAMENTE</w:t>
      </w:r>
    </w:p>
    <w:p w14:paraId="1093F52C" w14:textId="7B4B400B" w:rsidR="00E176F9" w:rsidRPr="009762CA" w:rsidRDefault="00BE1EEA" w:rsidP="00BE1EEA">
      <w:pPr>
        <w:spacing w:line="360" w:lineRule="auto"/>
        <w:ind w:left="567" w:right="567"/>
        <w:rPr>
          <w:rFonts w:ascii="Palatino Linotype" w:eastAsiaTheme="minorEastAsia" w:hAnsi="Palatino Linotype" w:cstheme="minorBidi"/>
          <w:i/>
          <w:noProof/>
          <w:color w:val="000000" w:themeColor="text1"/>
          <w:lang w:val="es-MX" w:eastAsia="es-MX"/>
        </w:rPr>
      </w:pPr>
      <w:r w:rsidRPr="009762CA">
        <w:rPr>
          <w:rFonts w:ascii="Palatino Linotype" w:eastAsiaTheme="minorEastAsia" w:hAnsi="Palatino Linotype" w:cstheme="minorBidi"/>
          <w:i/>
          <w:noProof/>
          <w:color w:val="000000" w:themeColor="text1"/>
          <w:lang w:val="es-MX" w:eastAsia="es-MX"/>
        </w:rPr>
        <w:t>Lic. Brianda Eunice Iberri Estrada</w:t>
      </w:r>
      <w:r w:rsidR="00E176F9" w:rsidRPr="009762CA">
        <w:rPr>
          <w:rFonts w:ascii="Palatino Linotype" w:eastAsiaTheme="minorEastAsia" w:hAnsi="Palatino Linotype" w:cstheme="minorBidi"/>
          <w:i/>
          <w:noProof/>
          <w:color w:val="000000" w:themeColor="text1"/>
          <w:lang w:val="es-MX" w:eastAsia="es-MX"/>
        </w:rPr>
        <w:t>.” (Sic)</w:t>
      </w:r>
    </w:p>
    <w:p w14:paraId="17316424" w14:textId="77777777" w:rsidR="00E176F9" w:rsidRPr="009762CA" w:rsidRDefault="00E176F9" w:rsidP="00CA6269">
      <w:pPr>
        <w:spacing w:line="360" w:lineRule="auto"/>
        <w:ind w:left="567" w:right="567"/>
        <w:rPr>
          <w:rFonts w:ascii="Palatino Linotype" w:eastAsiaTheme="minorEastAsia" w:hAnsi="Palatino Linotype" w:cstheme="minorBidi"/>
          <w:i/>
          <w:noProof/>
          <w:color w:val="000000" w:themeColor="text1"/>
          <w:lang w:val="es-MX" w:eastAsia="es-MX"/>
        </w:rPr>
      </w:pPr>
    </w:p>
    <w:p w14:paraId="5CDB73AC" w14:textId="6759040F" w:rsidR="00E176F9" w:rsidRPr="009762CA" w:rsidRDefault="00E176F9" w:rsidP="00CA6269">
      <w:pPr>
        <w:pStyle w:val="Prrafodelista"/>
        <w:numPr>
          <w:ilvl w:val="0"/>
          <w:numId w:val="17"/>
        </w:numPr>
        <w:tabs>
          <w:tab w:val="left" w:pos="0"/>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762CA">
        <w:rPr>
          <w:rFonts w:ascii="Palatino Linotype" w:eastAsiaTheme="minorEastAsia" w:hAnsi="Palatino Linotype" w:cstheme="minorBidi"/>
          <w:color w:val="000000" w:themeColor="text1"/>
          <w:lang w:val="es-ES_tradnl"/>
        </w:rPr>
        <w:t xml:space="preserve">Asimismo, el </w:t>
      </w:r>
      <w:r w:rsidRPr="009762CA">
        <w:rPr>
          <w:rFonts w:ascii="Palatino Linotype" w:eastAsiaTheme="minorEastAsia" w:hAnsi="Palatino Linotype" w:cstheme="minorBidi"/>
          <w:b/>
          <w:bCs/>
          <w:color w:val="000000" w:themeColor="text1"/>
          <w:lang w:val="es-ES_tradnl"/>
        </w:rPr>
        <w:t>SUJETO OBLIGADO</w:t>
      </w:r>
      <w:r w:rsidRPr="009762CA">
        <w:rPr>
          <w:rFonts w:ascii="Palatino Linotype" w:eastAsiaTheme="minorEastAsia" w:hAnsi="Palatino Linotype" w:cstheme="minorBidi"/>
          <w:color w:val="000000" w:themeColor="text1"/>
          <w:lang w:val="es-ES_tradnl"/>
        </w:rPr>
        <w:t xml:space="preserve"> adjuntó a su respuesta el archivo electrónico que se describen a continuación:</w:t>
      </w:r>
    </w:p>
    <w:p w14:paraId="69F168F8" w14:textId="77777777" w:rsidR="00E176F9" w:rsidRPr="009762CA" w:rsidRDefault="00E176F9" w:rsidP="00CA6269">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7190A6B8" w14:textId="2F3A544D" w:rsidR="00BE1EEA" w:rsidRPr="009762CA" w:rsidRDefault="00BE1EEA" w:rsidP="00BE1EEA">
      <w:pPr>
        <w:numPr>
          <w:ilvl w:val="0"/>
          <w:numId w:val="27"/>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9762CA">
        <w:rPr>
          <w:b/>
        </w:rPr>
        <w:t>842.pdf</w:t>
      </w:r>
      <w:hyperlink r:id="rId8" w:tgtFrame="_blank" w:history="1"/>
      <w:r w:rsidR="00E176F9" w:rsidRPr="009762CA">
        <w:rPr>
          <w:rFonts w:ascii="Palatino Linotype" w:eastAsiaTheme="minorEastAsia" w:hAnsi="Palatino Linotype" w:cstheme="minorBidi"/>
          <w:b/>
          <w:color w:val="000000" w:themeColor="text1"/>
          <w:lang w:val="es-ES_tradnl"/>
        </w:rPr>
        <w:t>:</w:t>
      </w:r>
      <w:r w:rsidR="00E176F9" w:rsidRPr="009762CA">
        <w:rPr>
          <w:rFonts w:ascii="Palatino Linotype" w:eastAsiaTheme="minorEastAsia" w:hAnsi="Palatino Linotype" w:cstheme="minorBidi"/>
          <w:color w:val="000000" w:themeColor="text1"/>
          <w:lang w:val="es-ES_tradnl"/>
        </w:rPr>
        <w:t xml:space="preserve"> Documento </w:t>
      </w:r>
      <w:r w:rsidR="007B5808" w:rsidRPr="009762CA">
        <w:rPr>
          <w:rFonts w:ascii="Palatino Linotype" w:eastAsiaTheme="minorEastAsia" w:hAnsi="Palatino Linotype" w:cstheme="minorBidi"/>
          <w:color w:val="000000" w:themeColor="text1"/>
          <w:lang w:val="es-ES_tradnl"/>
        </w:rPr>
        <w:t xml:space="preserve">electrónico que en </w:t>
      </w:r>
      <w:r w:rsidRPr="009762CA">
        <w:rPr>
          <w:rFonts w:ascii="Palatino Linotype" w:eastAsiaTheme="minorEastAsia" w:hAnsi="Palatino Linotype" w:cstheme="minorBidi"/>
          <w:color w:val="000000" w:themeColor="text1"/>
          <w:lang w:val="es-ES_tradnl"/>
        </w:rPr>
        <w:t>quince (15</w:t>
      </w:r>
      <w:r w:rsidR="00E176F9" w:rsidRPr="009762CA">
        <w:rPr>
          <w:rFonts w:ascii="Palatino Linotype" w:eastAsiaTheme="minorEastAsia" w:hAnsi="Palatino Linotype" w:cstheme="minorBidi"/>
          <w:color w:val="000000" w:themeColor="text1"/>
          <w:lang w:val="es-ES_tradnl"/>
        </w:rPr>
        <w:t>) hoja</w:t>
      </w:r>
      <w:r w:rsidRPr="009762CA">
        <w:rPr>
          <w:rFonts w:ascii="Palatino Linotype" w:eastAsiaTheme="minorEastAsia" w:hAnsi="Palatino Linotype" w:cstheme="minorBidi"/>
          <w:color w:val="000000" w:themeColor="text1"/>
          <w:lang w:val="es-ES_tradnl"/>
        </w:rPr>
        <w:t>s</w:t>
      </w:r>
      <w:r w:rsidR="00582959" w:rsidRPr="009762CA">
        <w:rPr>
          <w:rFonts w:ascii="Palatino Linotype" w:eastAsiaTheme="minorEastAsia" w:hAnsi="Palatino Linotype" w:cstheme="minorBidi"/>
          <w:color w:val="000000" w:themeColor="text1"/>
          <w:lang w:val="es-ES_tradnl"/>
        </w:rPr>
        <w:t xml:space="preserve"> contiene</w:t>
      </w:r>
      <w:r w:rsidRPr="009762CA">
        <w:rPr>
          <w:rFonts w:ascii="Palatino Linotype" w:eastAsiaTheme="minorEastAsia" w:hAnsi="Palatino Linotype" w:cstheme="minorBidi"/>
          <w:color w:val="000000" w:themeColor="text1"/>
          <w:lang w:val="es-ES_tradnl"/>
        </w:rPr>
        <w:t>:</w:t>
      </w:r>
      <w:r w:rsidR="00582959" w:rsidRPr="009762CA">
        <w:rPr>
          <w:rFonts w:ascii="Palatino Linotype" w:eastAsiaTheme="minorEastAsia" w:hAnsi="Palatino Linotype" w:cstheme="minorBidi"/>
          <w:color w:val="000000" w:themeColor="text1"/>
          <w:lang w:val="es-ES_tradnl"/>
        </w:rPr>
        <w:t xml:space="preserve"> </w:t>
      </w:r>
    </w:p>
    <w:p w14:paraId="6BC0D7A0" w14:textId="77777777" w:rsidR="00BE1EEA" w:rsidRPr="009762CA" w:rsidRDefault="00BE1EEA" w:rsidP="00BE1EEA">
      <w:pPr>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24D0653F" w14:textId="3D964659" w:rsidR="00BE1EEA" w:rsidRPr="009762CA" w:rsidRDefault="00BE1EEA" w:rsidP="00BE1EEA">
      <w:pPr>
        <w:pStyle w:val="Prrafodelista"/>
        <w:numPr>
          <w:ilvl w:val="0"/>
          <w:numId w:val="39"/>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9762CA">
        <w:rPr>
          <w:rFonts w:ascii="Palatino Linotype" w:hAnsi="Palatino Linotype"/>
        </w:rPr>
        <w:lastRenderedPageBreak/>
        <w:t>Oficio de fecha catorce de octubre de dos mil veintidós dirigido al solicitante y suscrito por el Titular de la Unidad de Transparencia mediante el cual se refiere que se pone a disposición la respuesta emitida por la Coordinación de Mercados, Tianguis y Vía Pública.</w:t>
      </w:r>
    </w:p>
    <w:p w14:paraId="49159867" w14:textId="77777777" w:rsidR="00BE1EEA" w:rsidRPr="009762CA" w:rsidRDefault="00BE1EEA" w:rsidP="00BE1EEA">
      <w:pPr>
        <w:pStyle w:val="Prrafodelista"/>
        <w:tabs>
          <w:tab w:val="left" w:pos="284"/>
          <w:tab w:val="left" w:pos="426"/>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p>
    <w:p w14:paraId="38AB36A4" w14:textId="77777777" w:rsidR="00BE1EEA" w:rsidRPr="009762CA" w:rsidRDefault="00BE1EEA" w:rsidP="00BE1EEA">
      <w:pPr>
        <w:pStyle w:val="Prrafodelista"/>
        <w:numPr>
          <w:ilvl w:val="0"/>
          <w:numId w:val="39"/>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9762CA">
        <w:rPr>
          <w:rFonts w:ascii="Palatino Linotype" w:hAnsi="Palatino Linotype"/>
        </w:rPr>
        <w:t xml:space="preserve">Oficio CMTVP/ECA/1022/2022 dirigido al Titular de la Unidad de Transparencia y suscrito por el Titular de la Coordinación de Mercados, Tianguis y Vía Pública mediante el cual se refiere que se remite el reglamento solicitado. </w:t>
      </w:r>
    </w:p>
    <w:p w14:paraId="3247B13B" w14:textId="77777777" w:rsidR="00BE1EEA" w:rsidRPr="009762CA" w:rsidRDefault="00BE1EEA" w:rsidP="00BE1EEA">
      <w:pPr>
        <w:pStyle w:val="Prrafodelista"/>
        <w:rPr>
          <w:rFonts w:ascii="Palatino Linotype" w:hAnsi="Palatino Linotype"/>
        </w:rPr>
      </w:pPr>
    </w:p>
    <w:p w14:paraId="63378A25" w14:textId="5570D6D1" w:rsidR="00BE1EEA" w:rsidRPr="009762CA" w:rsidRDefault="00BE1EEA" w:rsidP="00BE1EEA">
      <w:pPr>
        <w:pStyle w:val="Prrafodelista"/>
        <w:numPr>
          <w:ilvl w:val="0"/>
          <w:numId w:val="39"/>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9762CA">
        <w:rPr>
          <w:rFonts w:ascii="Palatino Linotype" w:hAnsi="Palatino Linotype"/>
        </w:rPr>
        <w:t xml:space="preserve">Representación gráfica con los rubros “Núm.”, “GIRO” y “DESCROPCIÓN”.   </w:t>
      </w:r>
    </w:p>
    <w:p w14:paraId="150B245F" w14:textId="77AF42F8" w:rsidR="007B5808" w:rsidRPr="009762CA" w:rsidRDefault="00BE1EEA" w:rsidP="00264BCD">
      <w:pPr>
        <w:pStyle w:val="Prrafodelista"/>
        <w:tabs>
          <w:tab w:val="left" w:pos="284"/>
          <w:tab w:val="left" w:pos="426"/>
          <w:tab w:val="left" w:pos="993"/>
          <w:tab w:val="left" w:pos="1134"/>
        </w:tabs>
        <w:spacing w:line="360" w:lineRule="auto"/>
        <w:ind w:left="927" w:right="616"/>
        <w:contextualSpacing/>
        <w:jc w:val="both"/>
        <w:rPr>
          <w:rFonts w:ascii="Palatino Linotype" w:eastAsiaTheme="minorEastAsia" w:hAnsi="Palatino Linotype" w:cstheme="minorBidi"/>
          <w:color w:val="000000" w:themeColor="text1"/>
          <w:lang w:val="es-ES_tradnl"/>
        </w:rPr>
      </w:pPr>
      <w:r w:rsidRPr="009762CA">
        <w:t xml:space="preserve">  </w:t>
      </w:r>
    </w:p>
    <w:p w14:paraId="5FCB9BAC" w14:textId="007993E9" w:rsidR="0060001F" w:rsidRPr="009762CA" w:rsidRDefault="007F7B11" w:rsidP="00CA6269">
      <w:pPr>
        <w:numPr>
          <w:ilvl w:val="0"/>
          <w:numId w:val="17"/>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9762CA">
        <w:rPr>
          <w:rFonts w:ascii="Palatino Linotype" w:hAnsi="Palatino Linotype" w:cs="Arial"/>
          <w:lang w:val="es-ES_tradnl"/>
        </w:rPr>
        <w:t>Derivado de la respuesta</w:t>
      </w:r>
      <w:r w:rsidR="005B4859" w:rsidRPr="009762CA">
        <w:rPr>
          <w:rFonts w:ascii="Palatino Linotype" w:hAnsi="Palatino Linotype" w:cs="Arial"/>
          <w:lang w:val="es-ES_tradnl"/>
        </w:rPr>
        <w:t xml:space="preserve"> otorgada</w:t>
      </w:r>
      <w:r w:rsidRPr="009762CA">
        <w:rPr>
          <w:rFonts w:ascii="Palatino Linotype" w:hAnsi="Palatino Linotype" w:cs="Arial"/>
          <w:lang w:val="es-ES_tradnl"/>
        </w:rPr>
        <w:t>, el</w:t>
      </w:r>
      <w:r w:rsidRPr="009762CA">
        <w:rPr>
          <w:rFonts w:ascii="Palatino Linotype" w:hAnsi="Palatino Linotype" w:cs="Arial"/>
        </w:rPr>
        <w:t xml:space="preserve"> </w:t>
      </w:r>
      <w:r w:rsidR="00264BCD" w:rsidRPr="009762CA">
        <w:rPr>
          <w:rFonts w:ascii="Palatino Linotype" w:hAnsi="Palatino Linotype" w:cs="Arial"/>
        </w:rPr>
        <w:t>veinte (20</w:t>
      </w:r>
      <w:r w:rsidRPr="009762CA">
        <w:rPr>
          <w:rFonts w:ascii="Palatino Linotype" w:hAnsi="Palatino Linotype" w:cs="Arial"/>
        </w:rPr>
        <w:t>) de</w:t>
      </w:r>
      <w:r w:rsidR="00264BCD" w:rsidRPr="009762CA">
        <w:rPr>
          <w:rFonts w:ascii="Palatino Linotype" w:hAnsi="Palatino Linotype" w:cs="Arial"/>
        </w:rPr>
        <w:t xml:space="preserve"> octubre </w:t>
      </w:r>
      <w:r w:rsidR="005B4859" w:rsidRPr="009762CA">
        <w:rPr>
          <w:rFonts w:ascii="Palatino Linotype" w:hAnsi="Palatino Linotype" w:cs="Arial"/>
        </w:rPr>
        <w:t>d</w:t>
      </w:r>
      <w:r w:rsidR="0060001F" w:rsidRPr="009762CA">
        <w:rPr>
          <w:rFonts w:ascii="Palatino Linotype" w:hAnsi="Palatino Linotype" w:cs="Arial"/>
        </w:rPr>
        <w:t xml:space="preserve">e dos </w:t>
      </w:r>
      <w:r w:rsidR="005B4859" w:rsidRPr="009762CA">
        <w:rPr>
          <w:rFonts w:ascii="Palatino Linotype" w:hAnsi="Palatino Linotype" w:cs="Arial"/>
        </w:rPr>
        <w:t>mil veintidós</w:t>
      </w:r>
      <w:r w:rsidRPr="009762CA">
        <w:rPr>
          <w:rFonts w:ascii="Palatino Linotype" w:hAnsi="Palatino Linotype" w:cs="Arial"/>
        </w:rPr>
        <w:t>, el particular interpuso el recurso de revisión con número indicado al rubro y señalando como:</w:t>
      </w:r>
    </w:p>
    <w:p w14:paraId="2D1E09E7" w14:textId="77777777" w:rsidR="0060001F" w:rsidRPr="009762CA" w:rsidRDefault="0060001F" w:rsidP="00CA6269">
      <w:pPr>
        <w:pStyle w:val="Prrafodelista"/>
        <w:spacing w:line="360" w:lineRule="auto"/>
        <w:rPr>
          <w:rFonts w:ascii="Palatino Linotype" w:hAnsi="Palatino Linotype" w:cs="Arial"/>
          <w:b/>
        </w:rPr>
      </w:pPr>
    </w:p>
    <w:p w14:paraId="46AD8467" w14:textId="469E9C8D" w:rsidR="007F7B11" w:rsidRPr="009762CA" w:rsidRDefault="007F7B11" w:rsidP="00264BCD">
      <w:pPr>
        <w:pStyle w:val="Prrafodelista"/>
        <w:numPr>
          <w:ilvl w:val="0"/>
          <w:numId w:val="24"/>
        </w:numPr>
        <w:tabs>
          <w:tab w:val="left" w:pos="284"/>
        </w:tabs>
        <w:spacing w:line="360" w:lineRule="auto"/>
        <w:ind w:right="738"/>
        <w:contextualSpacing/>
        <w:jc w:val="both"/>
        <w:rPr>
          <w:rFonts w:ascii="Palatino Linotype" w:eastAsiaTheme="minorEastAsia" w:hAnsi="Palatino Linotype" w:cstheme="minorBidi"/>
          <w:i/>
          <w:lang w:val="es-ES_tradnl"/>
        </w:rPr>
      </w:pPr>
      <w:r w:rsidRPr="009762CA">
        <w:rPr>
          <w:rFonts w:ascii="Palatino Linotype" w:hAnsi="Palatino Linotype" w:cs="Arial"/>
          <w:b/>
        </w:rPr>
        <w:t>Acto impugnado:</w:t>
      </w:r>
      <w:r w:rsidRPr="009762CA">
        <w:rPr>
          <w:rFonts w:ascii="Palatino Linotype" w:hAnsi="Palatino Linotype" w:cs="Arial"/>
        </w:rPr>
        <w:t xml:space="preserve"> </w:t>
      </w:r>
      <w:r w:rsidRPr="009762CA">
        <w:rPr>
          <w:rFonts w:ascii="Palatino Linotype" w:hAnsi="Palatino Linotype" w:cs="Arial"/>
          <w:i/>
        </w:rPr>
        <w:t>“</w:t>
      </w:r>
      <w:r w:rsidR="00264BCD" w:rsidRPr="009762CA">
        <w:rPr>
          <w:rFonts w:ascii="Palatino Linotype" w:hAnsi="Palatino Linotype" w:cs="Arial"/>
          <w:i/>
        </w:rPr>
        <w:t>los documentos enviados no es lo que se le solicito al municipio</w:t>
      </w:r>
      <w:r w:rsidRPr="009762CA">
        <w:rPr>
          <w:rFonts w:ascii="Palatino Linotype" w:hAnsi="Palatino Linotype" w:cs="Arial"/>
          <w:i/>
        </w:rPr>
        <w:t>” (Sic).</w:t>
      </w:r>
    </w:p>
    <w:p w14:paraId="09BD370B" w14:textId="77777777" w:rsidR="007F7B11" w:rsidRPr="009762CA" w:rsidRDefault="007F7B11" w:rsidP="00CA6269">
      <w:pPr>
        <w:tabs>
          <w:tab w:val="left" w:pos="426"/>
          <w:tab w:val="left" w:pos="993"/>
        </w:tabs>
        <w:spacing w:line="360" w:lineRule="auto"/>
        <w:ind w:left="567" w:right="738"/>
        <w:contextualSpacing/>
        <w:jc w:val="both"/>
        <w:rPr>
          <w:rFonts w:ascii="Palatino Linotype" w:hAnsi="Palatino Linotype" w:cs="Arial"/>
        </w:rPr>
      </w:pPr>
    </w:p>
    <w:p w14:paraId="3AF54962" w14:textId="35A9DB1F" w:rsidR="007F7B11" w:rsidRPr="009762CA" w:rsidRDefault="007F7B11" w:rsidP="00264BCD">
      <w:pPr>
        <w:pStyle w:val="Prrafodelista"/>
        <w:numPr>
          <w:ilvl w:val="0"/>
          <w:numId w:val="24"/>
        </w:numPr>
        <w:tabs>
          <w:tab w:val="left" w:pos="426"/>
          <w:tab w:val="left" w:pos="993"/>
        </w:tabs>
        <w:spacing w:line="360" w:lineRule="auto"/>
        <w:ind w:right="738"/>
        <w:contextualSpacing/>
        <w:jc w:val="both"/>
        <w:rPr>
          <w:rFonts w:ascii="Palatino Linotype" w:hAnsi="Palatino Linotype" w:cs="Arial"/>
        </w:rPr>
      </w:pPr>
      <w:r w:rsidRPr="009762CA">
        <w:rPr>
          <w:rFonts w:ascii="Palatino Linotype" w:hAnsi="Palatino Linotype" w:cs="Arial"/>
          <w:b/>
        </w:rPr>
        <w:t>Razones o motivos de inconformidad:</w:t>
      </w:r>
      <w:r w:rsidRPr="009762CA">
        <w:rPr>
          <w:rFonts w:ascii="Palatino Linotype" w:hAnsi="Palatino Linotype" w:cs="Arial"/>
        </w:rPr>
        <w:t xml:space="preserve"> </w:t>
      </w:r>
      <w:r w:rsidRPr="009762CA">
        <w:rPr>
          <w:rFonts w:ascii="Palatino Linotype" w:hAnsi="Palatino Linotype" w:cs="Arial"/>
          <w:i/>
        </w:rPr>
        <w:t>“</w:t>
      </w:r>
      <w:r w:rsidR="00264BCD" w:rsidRPr="009762CA">
        <w:rPr>
          <w:rFonts w:ascii="Palatino Linotype" w:hAnsi="Palatino Linotype" w:cs="Arial"/>
          <w:i/>
        </w:rPr>
        <w:t xml:space="preserve">la documentación no es de ninguna manera lo solicitado, ya que se </w:t>
      </w:r>
      <w:proofErr w:type="spellStart"/>
      <w:r w:rsidR="00264BCD" w:rsidRPr="009762CA">
        <w:rPr>
          <w:rFonts w:ascii="Palatino Linotype" w:hAnsi="Palatino Linotype" w:cs="Arial"/>
          <w:i/>
        </w:rPr>
        <w:t>solicito</w:t>
      </w:r>
      <w:proofErr w:type="spellEnd"/>
      <w:r w:rsidR="00264BCD" w:rsidRPr="009762CA">
        <w:rPr>
          <w:rFonts w:ascii="Palatino Linotype" w:hAnsi="Palatino Linotype" w:cs="Arial"/>
          <w:i/>
        </w:rPr>
        <w:t xml:space="preserve"> el REGLAMENTO DE MERCADOS, TIANGUIS, PUESTOS FIJOS, SEMIFIJOS Y AMBULANTES y se me envió EL REGLAMENTO DE REGULACIÓN DE </w:t>
      </w:r>
      <w:r w:rsidR="00264BCD" w:rsidRPr="009762CA">
        <w:rPr>
          <w:rFonts w:ascii="Palatino Linotype" w:hAnsi="Palatino Linotype" w:cs="Arial"/>
          <w:i/>
        </w:rPr>
        <w:lastRenderedPageBreak/>
        <w:t>LA ACTIVIDAD COMERCIAL Y DE PRESTACIÓN DE SERVICIOS EN LOS MERCADOS, TIANGUISY VIA PUBLICA</w:t>
      </w:r>
      <w:r w:rsidR="00B537D4" w:rsidRPr="009762CA">
        <w:rPr>
          <w:rFonts w:ascii="Palatino Linotype" w:hAnsi="Palatino Linotype" w:cs="Arial"/>
          <w:i/>
        </w:rPr>
        <w:t>.</w:t>
      </w:r>
      <w:r w:rsidRPr="009762CA">
        <w:rPr>
          <w:rFonts w:ascii="Palatino Linotype" w:hAnsi="Palatino Linotype" w:cs="Arial"/>
          <w:i/>
        </w:rPr>
        <w:t>” (Sic).</w:t>
      </w:r>
    </w:p>
    <w:p w14:paraId="6F0D0AC4" w14:textId="77777777" w:rsidR="007F7B11" w:rsidRPr="009762CA" w:rsidRDefault="007F7B11" w:rsidP="00CA6269">
      <w:pPr>
        <w:spacing w:line="360" w:lineRule="auto"/>
        <w:ind w:left="360" w:right="34"/>
        <w:jc w:val="both"/>
        <w:rPr>
          <w:rFonts w:ascii="Palatino Linotype" w:eastAsiaTheme="majorEastAsia" w:hAnsi="Palatino Linotype" w:cstheme="majorBidi"/>
          <w:b/>
          <w:lang w:eastAsia="en-US"/>
        </w:rPr>
      </w:pPr>
    </w:p>
    <w:p w14:paraId="6262FD0F" w14:textId="77777777" w:rsidR="007F7B11" w:rsidRPr="009762CA" w:rsidRDefault="007F7B11" w:rsidP="00CA6269">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9762CA">
        <w:rPr>
          <w:rFonts w:ascii="Palatino Linotype" w:eastAsia="Calibri" w:hAnsi="Palatino Linotype" w:cs="Arial"/>
        </w:rPr>
        <w:t xml:space="preserve">Se registró el recurso de revisión bajo el número de expediente al rubro indicado, asimismo, con fundamento en lo dispuesto por el artículo 185 fracción I de la </w:t>
      </w:r>
      <w:r w:rsidRPr="009762CA">
        <w:rPr>
          <w:rFonts w:ascii="Palatino Linotype" w:eastAsia="Calibri" w:hAnsi="Palatino Linotype" w:cs="Arial"/>
          <w:b/>
        </w:rPr>
        <w:t>Ley de Transparencia y Acceso a la Información Pública del Estado de México y Municipios</w:t>
      </w:r>
      <w:r w:rsidRPr="009762CA">
        <w:rPr>
          <w:rFonts w:ascii="Palatino Linotype" w:eastAsia="Calibri" w:hAnsi="Palatino Linotype" w:cs="Arial"/>
        </w:rPr>
        <w:t xml:space="preserve">, se turnó a la </w:t>
      </w:r>
      <w:r w:rsidRPr="009762CA">
        <w:rPr>
          <w:rFonts w:ascii="Palatino Linotype" w:eastAsia="Calibri" w:hAnsi="Palatino Linotype" w:cs="Arial"/>
          <w:b/>
        </w:rPr>
        <w:t>Comisionada María del Rosario Mejía Ayala</w:t>
      </w:r>
      <w:r w:rsidRPr="009762CA">
        <w:rPr>
          <w:rFonts w:ascii="Palatino Linotype" w:eastAsia="Calibri" w:hAnsi="Palatino Linotype" w:cs="Arial"/>
        </w:rPr>
        <w:t>, con el objeto de su análisis.</w:t>
      </w:r>
    </w:p>
    <w:p w14:paraId="0A930C08" w14:textId="77777777" w:rsidR="007F7B11" w:rsidRPr="009762CA" w:rsidRDefault="007F7B11" w:rsidP="00CA6269">
      <w:pPr>
        <w:tabs>
          <w:tab w:val="left" w:pos="284"/>
        </w:tabs>
        <w:spacing w:before="240" w:after="240" w:line="360" w:lineRule="auto"/>
        <w:contextualSpacing/>
        <w:jc w:val="both"/>
        <w:rPr>
          <w:rFonts w:ascii="Palatino Linotype" w:eastAsia="Calibri" w:hAnsi="Palatino Linotype" w:cs="Arial"/>
          <w:color w:val="000000" w:themeColor="text1"/>
        </w:rPr>
      </w:pPr>
    </w:p>
    <w:p w14:paraId="464151BE" w14:textId="63007612" w:rsidR="007F7B11" w:rsidRPr="009762CA" w:rsidRDefault="007F7B11" w:rsidP="00CA6269">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9762CA">
        <w:rPr>
          <w:rFonts w:ascii="Palatino Linotype" w:eastAsia="Calibri" w:hAnsi="Palatino Linotype" w:cs="Arial"/>
        </w:rPr>
        <w:t>La Comisionada Ponente, con fundamento en lo dispuesto por el artículo 185 fracción II de la ley de la materia, a tr</w:t>
      </w:r>
      <w:r w:rsidR="00B537D4" w:rsidRPr="009762CA">
        <w:rPr>
          <w:rFonts w:ascii="Palatino Linotype" w:eastAsia="Calibri" w:hAnsi="Palatino Linotype" w:cs="Arial"/>
        </w:rPr>
        <w:t>avés del acuerdo de adm</w:t>
      </w:r>
      <w:r w:rsidR="00264BCD" w:rsidRPr="009762CA">
        <w:rPr>
          <w:rFonts w:ascii="Palatino Linotype" w:eastAsia="Calibri" w:hAnsi="Palatino Linotype" w:cs="Arial"/>
        </w:rPr>
        <w:t>isión de veintiséis</w:t>
      </w:r>
      <w:r w:rsidR="0060001F" w:rsidRPr="009762CA">
        <w:rPr>
          <w:rFonts w:ascii="Palatino Linotype" w:eastAsia="Calibri" w:hAnsi="Palatino Linotype" w:cs="Arial"/>
        </w:rPr>
        <w:t xml:space="preserve"> </w:t>
      </w:r>
      <w:r w:rsidR="00264BCD" w:rsidRPr="009762CA">
        <w:rPr>
          <w:rFonts w:ascii="Palatino Linotype" w:eastAsia="Calibri" w:hAnsi="Palatino Linotype" w:cs="Arial"/>
        </w:rPr>
        <w:t xml:space="preserve"> (26</w:t>
      </w:r>
      <w:r w:rsidR="00AD0232" w:rsidRPr="009762CA">
        <w:rPr>
          <w:rFonts w:ascii="Palatino Linotype" w:eastAsia="Calibri" w:hAnsi="Palatino Linotype" w:cs="Arial"/>
        </w:rPr>
        <w:t>) de</w:t>
      </w:r>
      <w:r w:rsidR="00264BCD" w:rsidRPr="009762CA">
        <w:rPr>
          <w:rFonts w:ascii="Palatino Linotype" w:eastAsia="Calibri" w:hAnsi="Palatino Linotype" w:cs="Arial"/>
        </w:rPr>
        <w:t xml:space="preserve"> octubre</w:t>
      </w:r>
      <w:r w:rsidR="005B4859" w:rsidRPr="009762CA">
        <w:rPr>
          <w:rFonts w:ascii="Palatino Linotype" w:eastAsia="Calibri" w:hAnsi="Palatino Linotype" w:cs="Arial"/>
        </w:rPr>
        <w:t xml:space="preserve"> </w:t>
      </w:r>
      <w:r w:rsidRPr="009762CA">
        <w:rPr>
          <w:rFonts w:ascii="Palatino Linotype" w:eastAsia="Calibri" w:hAnsi="Palatino Linotype" w:cs="Arial"/>
        </w:rPr>
        <w:t xml:space="preserve">de dos mil </w:t>
      </w:r>
      <w:r w:rsidR="005B4859" w:rsidRPr="009762CA">
        <w:rPr>
          <w:rFonts w:ascii="Palatino Linotype" w:eastAsia="Calibri" w:hAnsi="Palatino Linotype" w:cs="Arial"/>
        </w:rPr>
        <w:t>veintidós,</w:t>
      </w:r>
      <w:r w:rsidRPr="009762CA">
        <w:rPr>
          <w:rFonts w:ascii="Palatino Linotype" w:eastAsia="Calibri" w:hAnsi="Palatino Linotype" w:cs="Arial"/>
        </w:rPr>
        <w:t xml:space="preserve"> puso a disposición de las partes el expediente electrónico </w:t>
      </w:r>
      <w:r w:rsidRPr="009762CA">
        <w:rPr>
          <w:rFonts w:ascii="Palatino Linotype" w:eastAsia="Calibri" w:hAnsi="Palatino Linotype" w:cs="Arial"/>
          <w:lang w:val="es-ES_tradnl"/>
        </w:rPr>
        <w:t xml:space="preserve">vía </w:t>
      </w:r>
      <w:r w:rsidRPr="009762CA">
        <w:rPr>
          <w:rFonts w:ascii="Palatino Linotype" w:eastAsia="Calibri" w:hAnsi="Palatino Linotype" w:cs="Arial"/>
        </w:rPr>
        <w:t xml:space="preserve">Sistema de Acceso a la Información Mexiquense </w:t>
      </w:r>
      <w:r w:rsidRPr="009762CA">
        <w:rPr>
          <w:rFonts w:ascii="Palatino Linotype" w:eastAsia="Calibri" w:hAnsi="Palatino Linotype" w:cs="Arial"/>
          <w:b/>
        </w:rPr>
        <w:t xml:space="preserve">SAIMEX </w:t>
      </w:r>
      <w:r w:rsidRPr="009762CA">
        <w:rPr>
          <w:rFonts w:ascii="Palatino Linotype" w:eastAsia="Calibri" w:hAnsi="Palatino Linotype" w:cs="Arial"/>
        </w:rPr>
        <w:t xml:space="preserve">a efecto de que en un plazo máximo de siete días manifestaran lo que a su derecho conviniera, ofrecieran pruebas y alegatos según correspondiera a los casos concretos, de esta forma para que el </w:t>
      </w:r>
      <w:r w:rsidRPr="009762CA">
        <w:rPr>
          <w:rFonts w:ascii="Palatino Linotype" w:eastAsia="Calibri" w:hAnsi="Palatino Linotype" w:cs="Arial"/>
          <w:b/>
        </w:rPr>
        <w:t>SUJETO OBLIGADO</w:t>
      </w:r>
      <w:r w:rsidRPr="009762CA">
        <w:rPr>
          <w:rFonts w:ascii="Palatino Linotype" w:eastAsia="Calibri" w:hAnsi="Palatino Linotype" w:cs="Arial"/>
        </w:rPr>
        <w:t xml:space="preserve"> presentara el Informe Justificado procedente.</w:t>
      </w:r>
    </w:p>
    <w:p w14:paraId="52E9C0C3" w14:textId="77777777" w:rsidR="007F7B11" w:rsidRPr="009762CA" w:rsidRDefault="007F7B11" w:rsidP="00CA6269">
      <w:pPr>
        <w:tabs>
          <w:tab w:val="left" w:pos="284"/>
        </w:tabs>
        <w:spacing w:before="240" w:after="240" w:line="360" w:lineRule="auto"/>
        <w:contextualSpacing/>
        <w:jc w:val="both"/>
        <w:rPr>
          <w:rFonts w:ascii="Palatino Linotype" w:eastAsia="Calibri" w:hAnsi="Palatino Linotype" w:cs="Arial"/>
          <w:color w:val="000000" w:themeColor="text1"/>
        </w:rPr>
      </w:pPr>
    </w:p>
    <w:p w14:paraId="0513AC11" w14:textId="73BF2D7B" w:rsidR="00C71C52" w:rsidRPr="009762CA" w:rsidRDefault="007F7B11" w:rsidP="00C71C52">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9762CA">
        <w:rPr>
          <w:rFonts w:ascii="Palatino Linotype" w:eastAsia="Calibri" w:hAnsi="Palatino Linotype" w:cs="Arial"/>
          <w:color w:val="000000" w:themeColor="text1"/>
        </w:rPr>
        <w:t xml:space="preserve">De </w:t>
      </w:r>
      <w:r w:rsidRPr="009762CA">
        <w:rPr>
          <w:rFonts w:ascii="Palatino Linotype" w:eastAsiaTheme="minorEastAsia" w:hAnsi="Palatino Linotype" w:cstheme="minorBidi"/>
          <w:color w:val="000000"/>
        </w:rPr>
        <w:t xml:space="preserve">las </w:t>
      </w:r>
      <w:r w:rsidRPr="009762CA">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9762CA">
        <w:rPr>
          <w:rFonts w:ascii="Palatino Linotype" w:eastAsiaTheme="minorEastAsia" w:hAnsi="Palatino Linotype" w:cstheme="minorBidi"/>
          <w:b/>
          <w:color w:val="000000"/>
          <w:lang w:val="es-ES_tradnl"/>
        </w:rPr>
        <w:t xml:space="preserve">SUJETO OBLIGADO </w:t>
      </w:r>
      <w:r w:rsidRPr="009762CA">
        <w:rPr>
          <w:rFonts w:ascii="Palatino Linotype" w:eastAsiaTheme="minorEastAsia" w:hAnsi="Palatino Linotype" w:cstheme="minorBidi"/>
          <w:color w:val="000000"/>
          <w:lang w:val="es-ES_tradnl"/>
        </w:rPr>
        <w:t>rindió informe justificado</w:t>
      </w:r>
      <w:r w:rsidR="005B4859" w:rsidRPr="009762CA">
        <w:rPr>
          <w:rFonts w:ascii="Palatino Linotype" w:eastAsiaTheme="minorEastAsia" w:hAnsi="Palatino Linotype" w:cstheme="minorBidi"/>
          <w:color w:val="000000"/>
          <w:lang w:val="es-ES_tradnl"/>
        </w:rPr>
        <w:t xml:space="preserve"> </w:t>
      </w:r>
      <w:r w:rsidR="00264BCD" w:rsidRPr="009762CA">
        <w:rPr>
          <w:rFonts w:ascii="Palatino Linotype" w:eastAsiaTheme="minorEastAsia" w:hAnsi="Palatino Linotype" w:cstheme="minorBidi"/>
          <w:color w:val="000000"/>
          <w:lang w:val="es-ES_tradnl"/>
        </w:rPr>
        <w:t>en fecha veintiocho (28</w:t>
      </w:r>
      <w:r w:rsidR="00324F98" w:rsidRPr="009762CA">
        <w:rPr>
          <w:rFonts w:ascii="Palatino Linotype" w:eastAsiaTheme="minorEastAsia" w:hAnsi="Palatino Linotype" w:cstheme="minorBidi"/>
          <w:color w:val="000000"/>
          <w:lang w:val="es-ES_tradnl"/>
        </w:rPr>
        <w:t>) de</w:t>
      </w:r>
      <w:r w:rsidR="00264BCD" w:rsidRPr="009762CA">
        <w:rPr>
          <w:rFonts w:ascii="Palatino Linotype" w:eastAsiaTheme="minorEastAsia" w:hAnsi="Palatino Linotype" w:cstheme="minorBidi"/>
          <w:color w:val="000000"/>
          <w:lang w:val="es-ES_tradnl"/>
        </w:rPr>
        <w:t xml:space="preserve"> octubre </w:t>
      </w:r>
      <w:r w:rsidR="00AD0232" w:rsidRPr="009762CA">
        <w:rPr>
          <w:rFonts w:ascii="Palatino Linotype" w:eastAsiaTheme="minorEastAsia" w:hAnsi="Palatino Linotype" w:cstheme="minorBidi"/>
          <w:color w:val="000000"/>
          <w:lang w:val="es-ES_tradnl"/>
        </w:rPr>
        <w:t>de dos mil</w:t>
      </w:r>
      <w:r w:rsidR="005B4859" w:rsidRPr="009762CA">
        <w:rPr>
          <w:rFonts w:ascii="Palatino Linotype" w:eastAsiaTheme="minorEastAsia" w:hAnsi="Palatino Linotype" w:cstheme="minorBidi"/>
          <w:color w:val="000000"/>
          <w:lang w:val="es-ES_tradnl"/>
        </w:rPr>
        <w:t xml:space="preserve"> veintidós</w:t>
      </w:r>
      <w:r w:rsidRPr="009762CA">
        <w:rPr>
          <w:rFonts w:ascii="Palatino Linotype" w:eastAsiaTheme="minorEastAsia" w:hAnsi="Palatino Linotype" w:cstheme="minorBidi"/>
          <w:color w:val="000000"/>
          <w:lang w:val="es-ES_tradnl"/>
        </w:rPr>
        <w:t>;</w:t>
      </w:r>
      <w:r w:rsidR="005B4859" w:rsidRPr="009762CA">
        <w:rPr>
          <w:rFonts w:ascii="Palatino Linotype" w:eastAsiaTheme="minorEastAsia" w:hAnsi="Palatino Linotype" w:cstheme="minorBidi"/>
          <w:color w:val="000000"/>
          <w:lang w:val="es-ES_tradnl"/>
        </w:rPr>
        <w:t xml:space="preserve"> mismo</w:t>
      </w:r>
      <w:r w:rsidR="00C71C52" w:rsidRPr="009762CA">
        <w:rPr>
          <w:rFonts w:ascii="Palatino Linotype" w:eastAsiaTheme="minorEastAsia" w:hAnsi="Palatino Linotype" w:cstheme="minorBidi"/>
          <w:color w:val="000000"/>
          <w:lang w:val="es-ES_tradnl"/>
        </w:rPr>
        <w:t xml:space="preserve"> que </w:t>
      </w:r>
      <w:r w:rsidR="001C1B7A" w:rsidRPr="009762CA">
        <w:rPr>
          <w:rFonts w:ascii="Palatino Linotype" w:eastAsiaTheme="minorEastAsia" w:hAnsi="Palatino Linotype" w:cstheme="minorBidi"/>
          <w:color w:val="000000"/>
          <w:lang w:val="es-ES_tradnl"/>
        </w:rPr>
        <w:t>se</w:t>
      </w:r>
      <w:r w:rsidR="005B4859" w:rsidRPr="009762CA">
        <w:rPr>
          <w:rFonts w:ascii="Palatino Linotype" w:eastAsiaTheme="minorEastAsia" w:hAnsi="Palatino Linotype" w:cstheme="minorBidi"/>
          <w:color w:val="000000"/>
          <w:lang w:val="es-ES_tradnl"/>
        </w:rPr>
        <w:t xml:space="preserve"> hizo de conocimiento del particular mediante acuerdo de </w:t>
      </w:r>
      <w:r w:rsidR="00264BCD" w:rsidRPr="009762CA">
        <w:rPr>
          <w:rFonts w:ascii="Palatino Linotype" w:eastAsiaTheme="minorEastAsia" w:hAnsi="Palatino Linotype" w:cstheme="minorBidi"/>
          <w:color w:val="000000"/>
          <w:lang w:val="es-ES_tradnl"/>
        </w:rPr>
        <w:t>fecha tres (03</w:t>
      </w:r>
      <w:r w:rsidR="005B4859" w:rsidRPr="009762CA">
        <w:rPr>
          <w:rFonts w:ascii="Palatino Linotype" w:eastAsiaTheme="minorEastAsia" w:hAnsi="Palatino Linotype" w:cstheme="minorBidi"/>
          <w:color w:val="000000"/>
          <w:lang w:val="es-ES_tradnl"/>
        </w:rPr>
        <w:t>) de</w:t>
      </w:r>
      <w:r w:rsidR="00264BCD" w:rsidRPr="009762CA">
        <w:rPr>
          <w:rFonts w:ascii="Palatino Linotype" w:eastAsiaTheme="minorEastAsia" w:hAnsi="Palatino Linotype" w:cstheme="minorBidi"/>
          <w:color w:val="000000"/>
          <w:lang w:val="es-ES_tradnl"/>
        </w:rPr>
        <w:t xml:space="preserve"> noviembre de </w:t>
      </w:r>
      <w:r w:rsidR="005B4859" w:rsidRPr="009762CA">
        <w:rPr>
          <w:rFonts w:ascii="Palatino Linotype" w:eastAsiaTheme="minorEastAsia" w:hAnsi="Palatino Linotype" w:cstheme="minorBidi"/>
          <w:color w:val="000000"/>
          <w:lang w:val="es-ES_tradnl"/>
        </w:rPr>
        <w:t>dos</w:t>
      </w:r>
      <w:r w:rsidR="000C31FF" w:rsidRPr="009762CA">
        <w:rPr>
          <w:rFonts w:ascii="Palatino Linotype" w:eastAsiaTheme="minorEastAsia" w:hAnsi="Palatino Linotype" w:cstheme="minorBidi"/>
          <w:color w:val="000000"/>
          <w:lang w:val="es-ES_tradnl"/>
        </w:rPr>
        <w:t xml:space="preserve"> mil veintidós</w:t>
      </w:r>
      <w:r w:rsidR="00C71C52" w:rsidRPr="009762CA">
        <w:rPr>
          <w:rFonts w:ascii="Palatino Linotype" w:eastAsiaTheme="minorEastAsia" w:hAnsi="Palatino Linotype" w:cstheme="minorBidi"/>
          <w:color w:val="000000"/>
          <w:lang w:val="es-ES_tradnl"/>
        </w:rPr>
        <w:t xml:space="preserve">, y a efecto de que no exista opacidad, se describen a continuación: </w:t>
      </w:r>
    </w:p>
    <w:p w14:paraId="337817A1" w14:textId="670253AE" w:rsidR="004F4E3A" w:rsidRPr="009762CA" w:rsidRDefault="004F4E3A" w:rsidP="00CA6269">
      <w:pPr>
        <w:tabs>
          <w:tab w:val="left" w:pos="284"/>
        </w:tabs>
        <w:spacing w:before="240" w:after="240" w:line="360" w:lineRule="auto"/>
        <w:contextualSpacing/>
        <w:rPr>
          <w:rFonts w:ascii="Palatino Linotype" w:eastAsia="Calibri" w:hAnsi="Palatino Linotype" w:cs="Arial"/>
          <w:color w:val="000000" w:themeColor="text1"/>
        </w:rPr>
      </w:pPr>
    </w:p>
    <w:p w14:paraId="7782A580" w14:textId="12A125B3" w:rsidR="00264BCD" w:rsidRPr="009762CA" w:rsidRDefault="00A54434" w:rsidP="00264BCD">
      <w:pPr>
        <w:pStyle w:val="Prrafodelista"/>
        <w:numPr>
          <w:ilvl w:val="0"/>
          <w:numId w:val="27"/>
        </w:numPr>
        <w:tabs>
          <w:tab w:val="left" w:pos="284"/>
        </w:tabs>
        <w:spacing w:before="240" w:after="240" w:line="360" w:lineRule="auto"/>
        <w:ind w:right="738"/>
        <w:contextualSpacing/>
        <w:jc w:val="both"/>
        <w:rPr>
          <w:rFonts w:ascii="Palatino Linotype" w:eastAsia="Calibri" w:hAnsi="Palatino Linotype" w:cs="Arial"/>
          <w:color w:val="000000" w:themeColor="text1"/>
        </w:rPr>
      </w:pPr>
      <w:hyperlink r:id="rId9" w:history="1">
        <w:r w:rsidR="00264BCD" w:rsidRPr="009762CA">
          <w:rPr>
            <w:rStyle w:val="Hipervnculo"/>
            <w:rFonts w:ascii="Palatino Linotype" w:eastAsia="Calibri" w:hAnsi="Palatino Linotype" w:cs="Arial"/>
            <w:b/>
            <w:bCs/>
            <w:color w:val="auto"/>
            <w:u w:val="none"/>
          </w:rPr>
          <w:t>Reglamento de regulación de la actividad comercial y de prestación de servicios en los mercados, tia.pdf</w:t>
        </w:r>
      </w:hyperlink>
      <w:r w:rsidR="00D13A6B" w:rsidRPr="009762CA">
        <w:rPr>
          <w:rFonts w:ascii="Palatino Linotype" w:eastAsia="Calibri" w:hAnsi="Palatino Linotype" w:cs="Arial"/>
          <w:b/>
        </w:rPr>
        <w:t>:</w:t>
      </w:r>
      <w:r w:rsidR="00D13A6B" w:rsidRPr="009762CA">
        <w:rPr>
          <w:rFonts w:ascii="Palatino Linotype" w:eastAsia="Calibri" w:hAnsi="Palatino Linotype" w:cs="Arial"/>
        </w:rPr>
        <w:t xml:space="preserve"> </w:t>
      </w:r>
      <w:r w:rsidR="00D13A6B" w:rsidRPr="009762CA">
        <w:rPr>
          <w:rFonts w:ascii="Palatino Linotype" w:eastAsia="Calibri" w:hAnsi="Palatino Linotype" w:cs="Arial"/>
          <w:color w:val="000000" w:themeColor="text1"/>
        </w:rPr>
        <w:t xml:space="preserve">Documento </w:t>
      </w:r>
      <w:r w:rsidR="009057A0" w:rsidRPr="009762CA">
        <w:rPr>
          <w:rFonts w:ascii="Palatino Linotype" w:eastAsia="Calibri" w:hAnsi="Palatino Linotype" w:cs="Arial"/>
          <w:color w:val="000000" w:themeColor="text1"/>
        </w:rPr>
        <w:t xml:space="preserve">electrónico que </w:t>
      </w:r>
      <w:r w:rsidR="00324F98" w:rsidRPr="009762CA">
        <w:rPr>
          <w:rFonts w:ascii="Palatino Linotype" w:eastAsia="Calibri" w:hAnsi="Palatino Linotype" w:cs="Arial"/>
          <w:color w:val="000000" w:themeColor="text1"/>
        </w:rPr>
        <w:t>en</w:t>
      </w:r>
      <w:r w:rsidR="00264BCD" w:rsidRPr="009762CA">
        <w:rPr>
          <w:rFonts w:ascii="Palatino Linotype" w:eastAsia="Calibri" w:hAnsi="Palatino Linotype" w:cs="Arial"/>
          <w:color w:val="000000" w:themeColor="text1"/>
        </w:rPr>
        <w:t xml:space="preserve"> veintidós (22) hojas contiene el “Reglamento de Regulación de la Actividad Comercial de Prestación de Servicios en los Mercados, Tianguis y Vía Pública del Municipio de Ecatepec de Morelos, Estado de México. </w:t>
      </w:r>
    </w:p>
    <w:p w14:paraId="4B2FEF69" w14:textId="77777777" w:rsidR="00264BCD" w:rsidRPr="009762CA" w:rsidRDefault="00264BCD" w:rsidP="00264BCD">
      <w:pPr>
        <w:pStyle w:val="Prrafodelista"/>
        <w:tabs>
          <w:tab w:val="left" w:pos="284"/>
        </w:tabs>
        <w:spacing w:before="240" w:after="240" w:line="360" w:lineRule="auto"/>
        <w:ind w:left="720" w:right="738"/>
        <w:contextualSpacing/>
        <w:jc w:val="both"/>
        <w:rPr>
          <w:rFonts w:ascii="Palatino Linotype" w:eastAsia="Calibri" w:hAnsi="Palatino Linotype" w:cs="Arial"/>
          <w:color w:val="000000" w:themeColor="text1"/>
        </w:rPr>
      </w:pPr>
    </w:p>
    <w:p w14:paraId="53DE86E9" w14:textId="29FC3848" w:rsidR="00181DE8" w:rsidRPr="009762CA" w:rsidRDefault="00264BCD" w:rsidP="00264BCD">
      <w:pPr>
        <w:pStyle w:val="Prrafodelista"/>
        <w:numPr>
          <w:ilvl w:val="0"/>
          <w:numId w:val="27"/>
        </w:numPr>
        <w:tabs>
          <w:tab w:val="left" w:pos="284"/>
        </w:tabs>
        <w:spacing w:before="240" w:after="240" w:line="360" w:lineRule="auto"/>
        <w:ind w:right="738"/>
        <w:contextualSpacing/>
        <w:jc w:val="both"/>
        <w:rPr>
          <w:rFonts w:ascii="Palatino Linotype" w:eastAsia="Calibri" w:hAnsi="Palatino Linotype" w:cs="Arial"/>
          <w:color w:val="000000" w:themeColor="text1"/>
        </w:rPr>
      </w:pPr>
      <w:r w:rsidRPr="009762CA">
        <w:rPr>
          <w:rFonts w:ascii="Palatino Linotype" w:eastAsia="Calibri" w:hAnsi="Palatino Linotype" w:cs="Arial"/>
          <w:b/>
        </w:rPr>
        <w:t>R-R-15733-5Reglamento de regulación de la actividad comercial y de prestación de servicios en los mercados, tia.pdf</w:t>
      </w:r>
      <w:r w:rsidR="003B268D" w:rsidRPr="009762CA">
        <w:rPr>
          <w:rFonts w:ascii="Palatino Linotype" w:eastAsia="Calibri" w:hAnsi="Palatino Linotype" w:cs="Arial"/>
          <w:b/>
        </w:rPr>
        <w:t>:</w:t>
      </w:r>
      <w:r w:rsidR="003B268D" w:rsidRPr="009762CA">
        <w:rPr>
          <w:rFonts w:ascii="Palatino Linotype" w:eastAsia="Calibri" w:hAnsi="Palatino Linotype" w:cs="Arial"/>
        </w:rPr>
        <w:t xml:space="preserve"> </w:t>
      </w:r>
      <w:r w:rsidRPr="009762CA">
        <w:rPr>
          <w:rFonts w:ascii="Palatino Linotype" w:eastAsia="Calibri" w:hAnsi="Palatino Linotype" w:cs="Arial"/>
        </w:rPr>
        <w:t>Documento electrónico que en veintidós (22) hojas contiene el “Reglamento de Regulación de la Actividad Comercial de Prestación de Servicios en los Mercados, Tianguis y Vía Pública del Municipio de Ecatepec de Morelos, Estado de México.</w:t>
      </w:r>
    </w:p>
    <w:p w14:paraId="63878AC4" w14:textId="664A2B07" w:rsidR="00E76B48" w:rsidRPr="009762CA" w:rsidRDefault="00E76B48" w:rsidP="009A66E3">
      <w:pPr>
        <w:tabs>
          <w:tab w:val="left" w:pos="284"/>
        </w:tabs>
        <w:spacing w:before="240" w:after="240" w:line="360" w:lineRule="auto"/>
        <w:ind w:right="738"/>
        <w:contextualSpacing/>
        <w:jc w:val="both"/>
        <w:rPr>
          <w:rFonts w:ascii="Palatino Linotype" w:eastAsia="Calibri" w:hAnsi="Palatino Linotype" w:cs="Arial"/>
          <w:color w:val="000000" w:themeColor="text1"/>
        </w:rPr>
      </w:pPr>
      <w:bookmarkStart w:id="3" w:name="_Toc461555889"/>
      <w:bookmarkStart w:id="4" w:name="_Toc466371858"/>
    </w:p>
    <w:p w14:paraId="4DED528E" w14:textId="5A056A3B" w:rsidR="00CE0F45" w:rsidRPr="009762CA" w:rsidRDefault="00CE0F45" w:rsidP="00CE0F45">
      <w:pPr>
        <w:numPr>
          <w:ilvl w:val="0"/>
          <w:numId w:val="17"/>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9762CA">
        <w:rPr>
          <w:rFonts w:ascii="Palatino Linotype" w:eastAsia="Calibri" w:hAnsi="Palatino Linotype" w:cs="Arial"/>
          <w:lang w:val="es-ES_tradnl"/>
        </w:rPr>
        <w:t>La</w:t>
      </w:r>
      <w:r w:rsidRPr="009762CA">
        <w:rPr>
          <w:rFonts w:ascii="Palatino Linotype" w:eastAsiaTheme="minorEastAsia" w:hAnsi="Palatino Linotype" w:cstheme="minorBidi"/>
          <w:lang w:val="es-ES_tradnl"/>
        </w:rPr>
        <w:t xml:space="preserve"> Comisionada Ponente decretó el cierre del periodo de instrucción</w:t>
      </w:r>
      <w:r w:rsidRPr="009762CA">
        <w:rPr>
          <w:rFonts w:ascii="Palatino Linotype" w:eastAsiaTheme="minorEastAsia" w:hAnsi="Palatino Linotype" w:cs="Arial"/>
          <w:lang w:val="es-ES_tradnl"/>
        </w:rPr>
        <w:t xml:space="preserve"> </w:t>
      </w:r>
      <w:r w:rsidR="00264BCD" w:rsidRPr="009762CA">
        <w:rPr>
          <w:rFonts w:ascii="Palatino Linotype" w:eastAsiaTheme="minorEastAsia" w:hAnsi="Palatino Linotype" w:cstheme="minorBidi"/>
          <w:lang w:val="es-ES_tradnl"/>
        </w:rPr>
        <w:t>mediante acuerdo de nueve (09</w:t>
      </w:r>
      <w:r w:rsidRPr="009762CA">
        <w:rPr>
          <w:rFonts w:ascii="Palatino Linotype" w:eastAsiaTheme="minorEastAsia" w:hAnsi="Palatino Linotype" w:cstheme="minorBidi"/>
          <w:lang w:val="es-ES_tradnl"/>
        </w:rPr>
        <w:t>) de</w:t>
      </w:r>
      <w:r w:rsidR="00264BCD" w:rsidRPr="009762CA">
        <w:rPr>
          <w:rFonts w:ascii="Palatino Linotype" w:eastAsiaTheme="minorEastAsia" w:hAnsi="Palatino Linotype" w:cstheme="minorBidi"/>
          <w:lang w:val="es-ES_tradnl"/>
        </w:rPr>
        <w:t xml:space="preserve"> noviembre</w:t>
      </w:r>
      <w:r w:rsidR="009A66E3" w:rsidRPr="009762CA">
        <w:rPr>
          <w:rFonts w:ascii="Palatino Linotype" w:eastAsiaTheme="minorEastAsia" w:hAnsi="Palatino Linotype" w:cstheme="minorBidi"/>
          <w:lang w:val="es-ES_tradnl"/>
        </w:rPr>
        <w:t xml:space="preserve"> </w:t>
      </w:r>
      <w:r w:rsidRPr="009762CA">
        <w:rPr>
          <w:rFonts w:ascii="Palatino Linotype" w:eastAsiaTheme="minorEastAsia" w:hAnsi="Palatino Linotype" w:cstheme="minorBidi"/>
          <w:lang w:val="es-ES_tradnl"/>
        </w:rPr>
        <w:t xml:space="preserve">de dos mil veintidós. </w:t>
      </w:r>
    </w:p>
    <w:p w14:paraId="3084EEE5" w14:textId="77777777" w:rsidR="007F7B11" w:rsidRPr="009762CA" w:rsidRDefault="007F7B11" w:rsidP="00CA6269">
      <w:pPr>
        <w:spacing w:before="240" w:line="360" w:lineRule="auto"/>
        <w:jc w:val="both"/>
        <w:rPr>
          <w:rFonts w:ascii="Palatino Linotype" w:eastAsiaTheme="minorEastAsia" w:hAnsi="Palatino Linotype" w:cstheme="minorBidi"/>
          <w:lang w:val="es-ES_tradnl"/>
        </w:rPr>
      </w:pPr>
    </w:p>
    <w:p w14:paraId="76CD9171" w14:textId="77777777" w:rsidR="007F7B11" w:rsidRPr="009762CA" w:rsidRDefault="007F7B11" w:rsidP="00CA6269">
      <w:pPr>
        <w:keepNext/>
        <w:keepLines/>
        <w:spacing w:before="40" w:line="360" w:lineRule="auto"/>
        <w:jc w:val="center"/>
        <w:outlineLvl w:val="1"/>
        <w:rPr>
          <w:rFonts w:ascii="Palatino Linotype" w:eastAsiaTheme="majorEastAsia" w:hAnsi="Palatino Linotype" w:cstheme="majorBidi"/>
          <w:b/>
          <w:color w:val="000000" w:themeColor="text1"/>
          <w:lang w:val="es-MX" w:eastAsia="en-US"/>
        </w:rPr>
      </w:pPr>
      <w:bookmarkStart w:id="5" w:name="_Toc99999251"/>
      <w:r w:rsidRPr="009762CA">
        <w:rPr>
          <w:rFonts w:ascii="Palatino Linotype" w:eastAsiaTheme="majorEastAsia" w:hAnsi="Palatino Linotype" w:cstheme="majorBidi"/>
          <w:b/>
          <w:color w:val="000000" w:themeColor="text1"/>
          <w:lang w:val="es-MX" w:eastAsia="en-US"/>
        </w:rPr>
        <w:t>CONSIDERANDO</w:t>
      </w:r>
      <w:bookmarkEnd w:id="3"/>
      <w:bookmarkEnd w:id="4"/>
      <w:bookmarkEnd w:id="5"/>
    </w:p>
    <w:p w14:paraId="47519C7A" w14:textId="77777777" w:rsidR="007F7B11" w:rsidRPr="009762CA" w:rsidRDefault="007F7B11" w:rsidP="00CA6269">
      <w:pPr>
        <w:spacing w:line="360" w:lineRule="auto"/>
        <w:rPr>
          <w:rFonts w:ascii="Palatino Linotype" w:eastAsiaTheme="minorEastAsia" w:hAnsi="Palatino Linotype" w:cstheme="minorBidi"/>
          <w:lang w:val="es-MX" w:eastAsia="en-US"/>
        </w:rPr>
      </w:pPr>
    </w:p>
    <w:p w14:paraId="20ECDB0D" w14:textId="66F01E66" w:rsidR="007F7B11" w:rsidRPr="009762CA" w:rsidRDefault="007F7B11" w:rsidP="00CA6269">
      <w:pPr>
        <w:keepNext/>
        <w:keepLines/>
        <w:spacing w:before="40" w:line="360" w:lineRule="auto"/>
        <w:outlineLvl w:val="1"/>
        <w:rPr>
          <w:rFonts w:ascii="Palatino Linotype" w:eastAsiaTheme="majorEastAsia" w:hAnsi="Palatino Linotype" w:cstheme="majorBidi"/>
          <w:b/>
          <w:lang w:val="es-MX" w:eastAsia="en-US"/>
        </w:rPr>
      </w:pPr>
      <w:bookmarkStart w:id="6" w:name="_Toc461555890"/>
      <w:bookmarkStart w:id="7" w:name="_Toc466371859"/>
      <w:bookmarkStart w:id="8" w:name="_Toc99999252"/>
      <w:r w:rsidRPr="009762CA">
        <w:rPr>
          <w:rFonts w:ascii="Palatino Linotype" w:eastAsiaTheme="majorEastAsia" w:hAnsi="Palatino Linotype" w:cstheme="majorBidi"/>
          <w:b/>
          <w:lang w:val="es-MX" w:eastAsia="en-US"/>
        </w:rPr>
        <w:t>PRIMERO. De la competencia</w:t>
      </w:r>
      <w:bookmarkEnd w:id="6"/>
      <w:bookmarkEnd w:id="7"/>
      <w:r w:rsidR="00543928" w:rsidRPr="009762CA">
        <w:rPr>
          <w:rFonts w:ascii="Palatino Linotype" w:eastAsiaTheme="majorEastAsia" w:hAnsi="Palatino Linotype" w:cstheme="majorBidi"/>
          <w:b/>
          <w:lang w:val="es-MX" w:eastAsia="en-US"/>
        </w:rPr>
        <w:t>.</w:t>
      </w:r>
      <w:bookmarkEnd w:id="8"/>
    </w:p>
    <w:p w14:paraId="399C3653" w14:textId="77777777" w:rsidR="007F7B11" w:rsidRPr="009762CA" w:rsidRDefault="007F7B11" w:rsidP="00CA6269">
      <w:pPr>
        <w:spacing w:line="360" w:lineRule="auto"/>
        <w:rPr>
          <w:rFonts w:ascii="Palatino Linotype" w:eastAsiaTheme="minorEastAsia" w:hAnsi="Palatino Linotype" w:cstheme="minorBidi"/>
          <w:lang w:val="es-MX" w:eastAsia="en-US"/>
        </w:rPr>
      </w:pPr>
    </w:p>
    <w:p w14:paraId="5385D441" w14:textId="7FCC67E4" w:rsidR="00EB08EE" w:rsidRPr="009762CA" w:rsidRDefault="00EB08EE" w:rsidP="00BC32C9">
      <w:pPr>
        <w:pStyle w:val="Prrafodelista"/>
        <w:numPr>
          <w:ilvl w:val="0"/>
          <w:numId w:val="17"/>
        </w:numPr>
        <w:tabs>
          <w:tab w:val="left" w:pos="0"/>
        </w:tabs>
        <w:spacing w:after="160" w:line="360" w:lineRule="auto"/>
        <w:ind w:left="0" w:firstLine="0"/>
        <w:contextualSpacing/>
        <w:jc w:val="both"/>
        <w:rPr>
          <w:rFonts w:ascii="Palatino Linotype" w:eastAsia="MS Mincho" w:hAnsi="Palatino Linotype"/>
          <w:lang w:val="es-ES_tradnl"/>
        </w:rPr>
      </w:pPr>
      <w:r w:rsidRPr="009762CA">
        <w:rPr>
          <w:rFonts w:ascii="Palatino Linotype" w:eastAsia="Calibri" w:hAnsi="Palatino Linotype"/>
        </w:rPr>
        <w:t xml:space="preserve">Este Instituto de Transparencia, Acceso a la Información Pública y Protección de Datos Personales del Estado de México y Municipios, es competente para conocer </w:t>
      </w:r>
      <w:r w:rsidRPr="009762CA">
        <w:rPr>
          <w:rFonts w:ascii="Palatino Linotype" w:eastAsia="Calibri" w:hAnsi="Palatino Linotype"/>
        </w:rPr>
        <w:lastRenderedPageBreak/>
        <w:t xml:space="preserve">y resolver del presente recurso de conformidad con el artículo: 6, apartado A, fracción IV de la </w:t>
      </w:r>
      <w:r w:rsidRPr="009762CA">
        <w:rPr>
          <w:rFonts w:ascii="Palatino Linotype" w:eastAsia="Calibri" w:hAnsi="Palatino Linotype"/>
          <w:b/>
        </w:rPr>
        <w:t>Constitución Política de los Estados Unidos Mexicanos</w:t>
      </w:r>
      <w:r w:rsidRPr="009762CA">
        <w:rPr>
          <w:rFonts w:ascii="Palatino Linotype" w:eastAsia="Calibri" w:hAnsi="Palatino Linotype"/>
        </w:rPr>
        <w:t xml:space="preserve">; </w:t>
      </w:r>
      <w:r w:rsidRPr="009762CA">
        <w:rPr>
          <w:rFonts w:ascii="Palatino Linotype" w:eastAsia="Calibri" w:hAnsi="Palatino Linotype" w:cs="Arial"/>
          <w:bCs/>
          <w:color w:val="222222"/>
          <w:shd w:val="clear" w:color="auto" w:fill="FFFFFF"/>
          <w:lang w:eastAsia="en-US"/>
        </w:rPr>
        <w:t>5, párrafo</w:t>
      </w:r>
      <w:r w:rsidRPr="009762CA">
        <w:rPr>
          <w:rFonts w:ascii="Palatino Linotype" w:eastAsia="Calibri" w:hAnsi="Palatino Linotype"/>
          <w:lang w:val="es-MX" w:eastAsia="en-US"/>
        </w:rPr>
        <w:t xml:space="preserve"> trigésimo, trigésimo primero y trigésimo segundo, fracciones I, II, III, IV y V</w:t>
      </w:r>
      <w:r w:rsidRPr="009762CA">
        <w:rPr>
          <w:rFonts w:ascii="Palatino Linotype" w:eastAsia="MS Mincho" w:hAnsi="Palatino Linotype"/>
          <w:lang w:val="es-ES_tradnl"/>
        </w:rPr>
        <w:t xml:space="preserve"> </w:t>
      </w:r>
      <w:r w:rsidRPr="009762CA">
        <w:rPr>
          <w:rFonts w:ascii="Palatino Linotype" w:eastAsia="Calibri" w:hAnsi="Palatino Linotype"/>
        </w:rPr>
        <w:t xml:space="preserve">de la </w:t>
      </w:r>
      <w:r w:rsidRPr="009762CA">
        <w:rPr>
          <w:rFonts w:ascii="Palatino Linotype" w:eastAsia="Calibri" w:hAnsi="Palatino Linotype"/>
          <w:b/>
        </w:rPr>
        <w:t>Constitución Política del Estado Libre y Soberano de México</w:t>
      </w:r>
      <w:r w:rsidRPr="009762CA">
        <w:rPr>
          <w:rFonts w:ascii="Palatino Linotype" w:eastAsia="Calibri" w:hAnsi="Palatino Linotype"/>
        </w:rPr>
        <w:t xml:space="preserve">; artículos 1, 2 fracción II, 13, 29, 36 fracciones I y II, 176, 178, 179, 181 párrafo tercero y 185 </w:t>
      </w:r>
      <w:r w:rsidRPr="009762CA">
        <w:rPr>
          <w:rFonts w:ascii="Palatino Linotype" w:eastAsia="Calibri" w:hAnsi="Palatino Linotype" w:cs="Arial"/>
        </w:rPr>
        <w:t xml:space="preserve">de la </w:t>
      </w:r>
      <w:r w:rsidRPr="009762CA">
        <w:rPr>
          <w:rFonts w:ascii="Palatino Linotype" w:eastAsia="Calibri" w:hAnsi="Palatino Linotype" w:cs="Arial"/>
          <w:b/>
        </w:rPr>
        <w:t>Ley de Transparencia y Acceso a la Información Pública del Estado de México y Municipios</w:t>
      </w:r>
      <w:r w:rsidRPr="009762CA">
        <w:rPr>
          <w:rFonts w:ascii="Palatino Linotype" w:eastAsia="Calibri" w:hAnsi="Palatino Linotype" w:cs="Arial"/>
        </w:rPr>
        <w:t xml:space="preserve">; </w:t>
      </w:r>
      <w:r w:rsidRPr="009762CA">
        <w:rPr>
          <w:rFonts w:ascii="Palatino Linotype" w:eastAsia="Calibri" w:hAnsi="Palatino Linotype" w:cs="Arial"/>
          <w:b/>
        </w:rPr>
        <w:t>7, 9 fracciones I y XXIV, y 11</w:t>
      </w:r>
      <w:r w:rsidRPr="009762CA">
        <w:rPr>
          <w:rFonts w:ascii="Palatino Linotype" w:eastAsia="Calibri" w:hAnsi="Palatino Linotype" w:cs="Arial"/>
        </w:rPr>
        <w:t xml:space="preserve"> del </w:t>
      </w:r>
      <w:r w:rsidRPr="009762CA">
        <w:rPr>
          <w:rFonts w:ascii="Palatino Linotype" w:eastAsia="Calibri" w:hAnsi="Palatino Linotype" w:cs="Arial"/>
          <w:b/>
        </w:rPr>
        <w:t>Reglamento Interior del Instituto de Transparencia, Acceso a la Información Pública y Protección de Datos Personales del Estado de México y Municipios.</w:t>
      </w:r>
    </w:p>
    <w:p w14:paraId="0AEE2D48" w14:textId="77777777" w:rsidR="007F7B11" w:rsidRPr="009762CA" w:rsidRDefault="007F7B11" w:rsidP="00CA6269">
      <w:pPr>
        <w:tabs>
          <w:tab w:val="left" w:pos="284"/>
          <w:tab w:val="left" w:pos="426"/>
        </w:tabs>
        <w:spacing w:line="360" w:lineRule="auto"/>
        <w:contextualSpacing/>
        <w:jc w:val="both"/>
        <w:rPr>
          <w:rFonts w:ascii="Palatino Linotype" w:eastAsia="Calibri" w:hAnsi="Palatino Linotype"/>
          <w:b/>
          <w:lang w:val="es-ES_tradnl"/>
        </w:rPr>
      </w:pPr>
    </w:p>
    <w:p w14:paraId="6105D78F" w14:textId="66720F82" w:rsidR="00EB08EE" w:rsidRPr="009762CA" w:rsidRDefault="007F7B11" w:rsidP="00CA6269">
      <w:pPr>
        <w:keepNext/>
        <w:keepLines/>
        <w:tabs>
          <w:tab w:val="left" w:pos="284"/>
          <w:tab w:val="left" w:pos="426"/>
        </w:tabs>
        <w:spacing w:before="40" w:line="360" w:lineRule="auto"/>
        <w:outlineLvl w:val="1"/>
        <w:rPr>
          <w:rFonts w:ascii="Palatino Linotype" w:eastAsiaTheme="majorEastAsia" w:hAnsi="Palatino Linotype" w:cstheme="majorBidi"/>
          <w:b/>
          <w:lang w:val="es-MX" w:eastAsia="en-US"/>
        </w:rPr>
      </w:pPr>
      <w:bookmarkStart w:id="9" w:name="_Toc461555891"/>
      <w:bookmarkStart w:id="10" w:name="_Toc466371860"/>
      <w:bookmarkStart w:id="11" w:name="_Toc99999253"/>
      <w:r w:rsidRPr="009762CA">
        <w:rPr>
          <w:rFonts w:ascii="Palatino Linotype" w:eastAsiaTheme="majorEastAsia" w:hAnsi="Palatino Linotype" w:cstheme="majorBidi"/>
          <w:b/>
          <w:lang w:val="es-MX" w:eastAsia="en-US"/>
        </w:rPr>
        <w:t>SEGUNDO. De la oportunidad y procedencia.</w:t>
      </w:r>
      <w:bookmarkEnd w:id="9"/>
      <w:bookmarkEnd w:id="10"/>
      <w:bookmarkEnd w:id="11"/>
    </w:p>
    <w:p w14:paraId="20E58107" w14:textId="77777777" w:rsidR="00D43086" w:rsidRPr="009762CA" w:rsidRDefault="00D43086" w:rsidP="00D43086">
      <w:pPr>
        <w:keepNext/>
        <w:keepLines/>
        <w:tabs>
          <w:tab w:val="left" w:pos="0"/>
        </w:tabs>
        <w:spacing w:line="360" w:lineRule="auto"/>
        <w:contextualSpacing/>
        <w:outlineLvl w:val="0"/>
        <w:rPr>
          <w:rFonts w:ascii="Palatino Linotype" w:eastAsia="MS Gothic" w:hAnsi="Palatino Linotype"/>
          <w:b/>
          <w:lang w:val="es-MX" w:eastAsia="en-US"/>
        </w:rPr>
      </w:pPr>
    </w:p>
    <w:p w14:paraId="1F93BE37" w14:textId="1A774A04" w:rsidR="00D43086" w:rsidRPr="009762CA" w:rsidRDefault="00D43086" w:rsidP="00D43086">
      <w:pPr>
        <w:pStyle w:val="Prrafodelista"/>
        <w:numPr>
          <w:ilvl w:val="0"/>
          <w:numId w:val="12"/>
        </w:numPr>
        <w:spacing w:after="160" w:line="360" w:lineRule="auto"/>
        <w:ind w:left="0" w:right="49" w:firstLine="0"/>
        <w:contextualSpacing/>
        <w:jc w:val="both"/>
        <w:rPr>
          <w:rFonts w:ascii="Palatino Linotype" w:hAnsi="Palatino Linotype"/>
          <w:lang w:val="es-ES_tradnl"/>
        </w:rPr>
      </w:pPr>
      <w:r w:rsidRPr="009762CA">
        <w:rPr>
          <w:rFonts w:ascii="Palatino Linotype" w:eastAsia="Calibri" w:hAnsi="Palatino Linotype" w:cs="Arial"/>
          <w:lang w:val="es-ES_tradnl"/>
        </w:rPr>
        <w:t xml:space="preserve">El medio de impugnación fue presentado a través del </w:t>
      </w:r>
      <w:r w:rsidRPr="009762CA">
        <w:rPr>
          <w:rFonts w:ascii="Palatino Linotype" w:eastAsia="Calibri" w:hAnsi="Palatino Linotype" w:cs="Arial"/>
          <w:b/>
          <w:lang w:val="es-ES_tradnl"/>
        </w:rPr>
        <w:t>SAIMEX,</w:t>
      </w:r>
      <w:r w:rsidRPr="009762CA">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9762CA">
        <w:rPr>
          <w:rFonts w:ascii="Palatino Linotype" w:eastAsia="Calibri" w:hAnsi="Palatino Linotype" w:cs="Arial"/>
          <w:b/>
          <w:lang w:val="es-ES_tradnl"/>
        </w:rPr>
        <w:t>SUJETO OBLIGADO</w:t>
      </w:r>
      <w:r w:rsidR="00543928" w:rsidRPr="009762CA">
        <w:rPr>
          <w:rFonts w:ascii="Palatino Linotype" w:eastAsia="Calibri" w:hAnsi="Palatino Linotype" w:cs="Arial"/>
          <w:lang w:val="es-ES_tradnl"/>
        </w:rPr>
        <w:t xml:space="preserve"> e</w:t>
      </w:r>
      <w:r w:rsidR="00264BCD" w:rsidRPr="009762CA">
        <w:rPr>
          <w:rFonts w:ascii="Palatino Linotype" w:eastAsia="Calibri" w:hAnsi="Palatino Linotype" w:cs="Arial"/>
          <w:lang w:val="es-ES_tradnl"/>
        </w:rPr>
        <w:t>ntregó respuesta el día catorce (14</w:t>
      </w:r>
      <w:r w:rsidRPr="009762CA">
        <w:rPr>
          <w:rFonts w:ascii="Palatino Linotype" w:eastAsia="Calibri" w:hAnsi="Palatino Linotype" w:cs="Arial"/>
          <w:lang w:val="es-ES_tradnl"/>
        </w:rPr>
        <w:t>) de</w:t>
      </w:r>
      <w:r w:rsidR="00683BAF" w:rsidRPr="009762CA">
        <w:rPr>
          <w:rFonts w:ascii="Palatino Linotype" w:eastAsia="Calibri" w:hAnsi="Palatino Linotype" w:cs="Arial"/>
          <w:lang w:val="es-ES_tradnl"/>
        </w:rPr>
        <w:t xml:space="preserve"> febrero de dos mil </w:t>
      </w:r>
      <w:r w:rsidR="00E76B48" w:rsidRPr="009762CA">
        <w:rPr>
          <w:rFonts w:ascii="Palatino Linotype" w:eastAsia="Calibri" w:hAnsi="Palatino Linotype" w:cs="Arial"/>
          <w:lang w:val="es-ES_tradnl"/>
        </w:rPr>
        <w:t>veintidós</w:t>
      </w:r>
      <w:r w:rsidRPr="009762CA">
        <w:rPr>
          <w:rFonts w:ascii="Palatino Linotype" w:eastAsia="Calibri" w:hAnsi="Palatino Linotype" w:cs="Arial"/>
          <w:lang w:val="es-MX" w:eastAsia="en-US"/>
        </w:rPr>
        <w:t>, el plazo para interponer el recurso</w:t>
      </w:r>
      <w:r w:rsidR="00543928" w:rsidRPr="009762CA">
        <w:rPr>
          <w:rFonts w:ascii="Palatino Linotype" w:eastAsia="Calibri" w:hAnsi="Palatino Linotype" w:cs="Arial"/>
          <w:lang w:val="es-MX" w:eastAsia="en-US"/>
        </w:rPr>
        <w:t xml:space="preserve"> de revisión trascurrió del diecisiete (17</w:t>
      </w:r>
      <w:r w:rsidR="00683BAF" w:rsidRPr="009762CA">
        <w:rPr>
          <w:rFonts w:ascii="Palatino Linotype" w:eastAsia="Calibri" w:hAnsi="Palatino Linotype" w:cs="Arial"/>
          <w:lang w:val="es-MX" w:eastAsia="en-US"/>
        </w:rPr>
        <w:t xml:space="preserve">) </w:t>
      </w:r>
      <w:r w:rsidR="002A5785" w:rsidRPr="009762CA">
        <w:rPr>
          <w:rFonts w:ascii="Palatino Linotype" w:eastAsia="Calibri" w:hAnsi="Palatino Linotype" w:cs="Arial"/>
          <w:lang w:val="es-MX" w:eastAsia="en-US"/>
        </w:rPr>
        <w:t>de octubre al siete (07</w:t>
      </w:r>
      <w:r w:rsidRPr="009762CA">
        <w:rPr>
          <w:rFonts w:ascii="Palatino Linotype" w:eastAsia="Calibri" w:hAnsi="Palatino Linotype" w:cs="Arial"/>
          <w:lang w:val="es-MX" w:eastAsia="en-US"/>
        </w:rPr>
        <w:t>) de</w:t>
      </w:r>
      <w:r w:rsidR="002A5785" w:rsidRPr="009762CA">
        <w:rPr>
          <w:rFonts w:ascii="Palatino Linotype" w:eastAsia="Calibri" w:hAnsi="Palatino Linotype" w:cs="Arial"/>
          <w:lang w:val="es-MX" w:eastAsia="en-US"/>
        </w:rPr>
        <w:t xml:space="preserve"> noviembre </w:t>
      </w:r>
      <w:r w:rsidR="00E76B48" w:rsidRPr="009762CA">
        <w:rPr>
          <w:rFonts w:ascii="Palatino Linotype" w:eastAsia="Calibri" w:hAnsi="Palatino Linotype" w:cs="Arial"/>
          <w:lang w:val="es-MX" w:eastAsia="en-US"/>
        </w:rPr>
        <w:t xml:space="preserve"> de dos mil veintidós</w:t>
      </w:r>
      <w:r w:rsidRPr="009762CA">
        <w:rPr>
          <w:rFonts w:ascii="Palatino Linotype" w:eastAsia="Calibri" w:hAnsi="Palatino Linotype" w:cs="Arial"/>
          <w:lang w:val="es-MX" w:eastAsia="en-US"/>
        </w:rPr>
        <w:t>, por lo que si el particular interpuso</w:t>
      </w:r>
      <w:r w:rsidR="00135E57" w:rsidRPr="009762CA">
        <w:rPr>
          <w:rFonts w:ascii="Palatino Linotype" w:eastAsia="Calibri" w:hAnsi="Palatino Linotype" w:cs="Arial"/>
          <w:lang w:val="es-MX" w:eastAsia="en-US"/>
        </w:rPr>
        <w:t xml:space="preserve"> </w:t>
      </w:r>
      <w:r w:rsidR="002A5785" w:rsidRPr="009762CA">
        <w:rPr>
          <w:rFonts w:ascii="Palatino Linotype" w:eastAsia="Calibri" w:hAnsi="Palatino Linotype" w:cs="Arial"/>
          <w:lang w:val="es-MX" w:eastAsia="en-US"/>
        </w:rPr>
        <w:t>recurso de revisión el veinte (20</w:t>
      </w:r>
      <w:r w:rsidRPr="009762CA">
        <w:rPr>
          <w:rFonts w:ascii="Palatino Linotype" w:eastAsia="Calibri" w:hAnsi="Palatino Linotype" w:cs="Arial"/>
          <w:lang w:val="es-MX" w:eastAsia="en-US"/>
        </w:rPr>
        <w:t>) de</w:t>
      </w:r>
      <w:r w:rsidR="002A5785" w:rsidRPr="009762CA">
        <w:rPr>
          <w:rFonts w:ascii="Palatino Linotype" w:eastAsia="Calibri" w:hAnsi="Palatino Linotype" w:cs="Arial"/>
          <w:lang w:val="es-MX" w:eastAsia="en-US"/>
        </w:rPr>
        <w:t xml:space="preserve"> octubre </w:t>
      </w:r>
      <w:r w:rsidR="00135E57" w:rsidRPr="009762CA">
        <w:rPr>
          <w:rFonts w:ascii="Palatino Linotype" w:eastAsia="Calibri" w:hAnsi="Palatino Linotype" w:cs="Arial"/>
          <w:lang w:val="es-MX" w:eastAsia="en-US"/>
        </w:rPr>
        <w:t>de dos mil veintidós,</w:t>
      </w:r>
      <w:r w:rsidR="00E76B48" w:rsidRPr="009762CA">
        <w:rPr>
          <w:rFonts w:ascii="Palatino Linotype" w:eastAsia="Calibri" w:hAnsi="Palatino Linotype" w:cs="Arial"/>
          <w:lang w:val="es-MX" w:eastAsia="en-US"/>
        </w:rPr>
        <w:t xml:space="preserve"> </w:t>
      </w:r>
      <w:r w:rsidRPr="009762CA">
        <w:rPr>
          <w:rFonts w:ascii="Palatino Linotype" w:hAnsi="Palatino Linotype"/>
          <w:lang w:val="es-ES_tradnl"/>
        </w:rPr>
        <w:t xml:space="preserve">se encuentra dentro del periodo establecido por la Ley. </w:t>
      </w:r>
    </w:p>
    <w:p w14:paraId="3280687A" w14:textId="68214420" w:rsidR="00D43086" w:rsidRPr="009762CA" w:rsidRDefault="00D43086" w:rsidP="00D43086">
      <w:pPr>
        <w:pStyle w:val="Ttulo1"/>
        <w:spacing w:line="360" w:lineRule="auto"/>
        <w:jc w:val="both"/>
        <w:rPr>
          <w:rFonts w:ascii="Palatino Linotype" w:hAnsi="Palatino Linotype" w:cs="Arial"/>
          <w:b/>
          <w:sz w:val="24"/>
          <w:szCs w:val="24"/>
        </w:rPr>
      </w:pPr>
      <w:bookmarkStart w:id="12" w:name="_Toc89170794"/>
      <w:bookmarkStart w:id="13" w:name="_Toc89335547"/>
      <w:bookmarkStart w:id="14" w:name="_Toc89964362"/>
      <w:bookmarkStart w:id="15" w:name="_Toc98350361"/>
      <w:bookmarkStart w:id="16" w:name="_Toc99999254"/>
      <w:r w:rsidRPr="009762CA">
        <w:rPr>
          <w:rFonts w:ascii="Palatino Linotype" w:hAnsi="Palatino Linotype"/>
          <w:b/>
          <w:color w:val="auto"/>
          <w:sz w:val="24"/>
          <w:szCs w:val="24"/>
        </w:rPr>
        <w:t>II</w:t>
      </w:r>
      <w:bookmarkStart w:id="17" w:name="_Toc82023088"/>
      <w:bookmarkStart w:id="18" w:name="_Toc82784385"/>
      <w:bookmarkStart w:id="19" w:name="_Toc84940707"/>
      <w:bookmarkStart w:id="20" w:name="_Toc89964363"/>
      <w:bookmarkStart w:id="21" w:name="_Toc98350362"/>
      <w:bookmarkEnd w:id="12"/>
      <w:bookmarkEnd w:id="13"/>
      <w:bookmarkEnd w:id="14"/>
      <w:bookmarkEnd w:id="15"/>
      <w:r w:rsidRPr="009762CA">
        <w:rPr>
          <w:rFonts w:ascii="Palatino Linotype" w:hAnsi="Palatino Linotype"/>
          <w:b/>
          <w:color w:val="auto"/>
          <w:sz w:val="24"/>
          <w:szCs w:val="24"/>
        </w:rPr>
        <w:t xml:space="preserve">. </w:t>
      </w:r>
      <w:bookmarkStart w:id="22" w:name="_Toc67587987"/>
      <w:bookmarkStart w:id="23" w:name="_Toc68804763"/>
      <w:bookmarkEnd w:id="17"/>
      <w:bookmarkEnd w:id="18"/>
      <w:bookmarkEnd w:id="19"/>
      <w:r w:rsidRPr="009762CA">
        <w:rPr>
          <w:rFonts w:ascii="Palatino Linotype" w:hAnsi="Palatino Linotype"/>
          <w:b/>
          <w:color w:val="000000" w:themeColor="text1"/>
          <w:sz w:val="24"/>
          <w:szCs w:val="24"/>
          <w:lang w:val="es-MX" w:eastAsia="en-US"/>
        </w:rPr>
        <w:t xml:space="preserve">De la determinación sobre la </w:t>
      </w:r>
      <w:proofErr w:type="spellStart"/>
      <w:r w:rsidRPr="009762CA">
        <w:rPr>
          <w:rFonts w:ascii="Palatino Linotype" w:hAnsi="Palatino Linotype"/>
          <w:b/>
          <w:color w:val="000000" w:themeColor="text1"/>
          <w:sz w:val="24"/>
          <w:szCs w:val="24"/>
          <w:lang w:val="es-MX" w:eastAsia="en-US"/>
        </w:rPr>
        <w:t>procedibilidad</w:t>
      </w:r>
      <w:proofErr w:type="spellEnd"/>
      <w:r w:rsidRPr="009762CA">
        <w:rPr>
          <w:rFonts w:ascii="Palatino Linotype" w:hAnsi="Palatino Linotype"/>
          <w:b/>
          <w:color w:val="000000" w:themeColor="text1"/>
          <w:sz w:val="24"/>
          <w:szCs w:val="24"/>
          <w:lang w:val="es-MX" w:eastAsia="en-US"/>
        </w:rPr>
        <w:t xml:space="preserve"> del recurso.</w:t>
      </w:r>
      <w:bookmarkEnd w:id="16"/>
      <w:bookmarkEnd w:id="20"/>
      <w:bookmarkEnd w:id="21"/>
      <w:bookmarkEnd w:id="22"/>
      <w:bookmarkEnd w:id="23"/>
      <w:r w:rsidRPr="009762CA">
        <w:rPr>
          <w:rFonts w:ascii="Palatino Linotype" w:hAnsi="Palatino Linotype"/>
          <w:b/>
          <w:color w:val="000000" w:themeColor="text1"/>
          <w:sz w:val="24"/>
          <w:szCs w:val="24"/>
          <w:lang w:val="es-MX" w:eastAsia="en-US"/>
        </w:rPr>
        <w:t xml:space="preserve"> </w:t>
      </w:r>
    </w:p>
    <w:p w14:paraId="0334F16E" w14:textId="77777777" w:rsidR="00D43086" w:rsidRPr="009762CA" w:rsidRDefault="00D43086" w:rsidP="00D43086">
      <w:pPr>
        <w:spacing w:line="360" w:lineRule="auto"/>
        <w:rPr>
          <w:rFonts w:ascii="Palatino Linotype" w:hAnsi="Palatino Linotype"/>
          <w:lang w:val="es-MX" w:eastAsia="en-US"/>
        </w:rPr>
      </w:pPr>
    </w:p>
    <w:p w14:paraId="63B996C5" w14:textId="0098D58A" w:rsidR="007F7B11" w:rsidRPr="009762CA" w:rsidRDefault="00D43086" w:rsidP="00D43086">
      <w:pPr>
        <w:pStyle w:val="Prrafodelista"/>
        <w:numPr>
          <w:ilvl w:val="0"/>
          <w:numId w:val="12"/>
        </w:numPr>
        <w:spacing w:after="160" w:line="360" w:lineRule="auto"/>
        <w:ind w:left="0" w:right="49" w:firstLine="0"/>
        <w:contextualSpacing/>
        <w:jc w:val="both"/>
        <w:rPr>
          <w:rFonts w:ascii="Palatino Linotype" w:hAnsi="Palatino Linotype"/>
          <w:lang w:val="es-ES_tradnl"/>
        </w:rPr>
      </w:pPr>
      <w:r w:rsidRPr="009762CA">
        <w:rPr>
          <w:rFonts w:ascii="Palatino Linotype" w:eastAsia="Calibri" w:hAnsi="Palatino Linotype" w:cs="Arial"/>
          <w:lang w:val="es-ES_tradnl"/>
        </w:rPr>
        <w:lastRenderedPageBreak/>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1550094" w14:textId="77777777" w:rsidR="007E3C71" w:rsidRPr="009762CA" w:rsidRDefault="007E3C71" w:rsidP="007E3C71">
      <w:pPr>
        <w:pStyle w:val="Prrafodelista"/>
        <w:spacing w:after="160" w:line="360" w:lineRule="auto"/>
        <w:ind w:left="0" w:right="49"/>
        <w:contextualSpacing/>
        <w:jc w:val="both"/>
        <w:rPr>
          <w:rFonts w:ascii="Palatino Linotype" w:hAnsi="Palatino Linotype"/>
          <w:lang w:val="es-ES_tradnl"/>
        </w:rPr>
      </w:pPr>
    </w:p>
    <w:p w14:paraId="0B2DFE50" w14:textId="20552733" w:rsidR="00CD2AC2" w:rsidRPr="009762CA" w:rsidRDefault="007F7B11" w:rsidP="00567210">
      <w:pPr>
        <w:keepNext/>
        <w:keepLines/>
        <w:tabs>
          <w:tab w:val="left" w:pos="284"/>
          <w:tab w:val="left" w:pos="426"/>
        </w:tabs>
        <w:spacing w:before="240" w:line="360" w:lineRule="auto"/>
        <w:outlineLvl w:val="0"/>
        <w:rPr>
          <w:rFonts w:ascii="Palatino Linotype" w:eastAsiaTheme="majorEastAsia" w:hAnsi="Palatino Linotype" w:cstheme="majorBidi"/>
          <w:b/>
          <w:lang w:val="es-MX" w:eastAsia="en-US"/>
        </w:rPr>
      </w:pPr>
      <w:bookmarkStart w:id="24" w:name="_Toc500360400"/>
      <w:bookmarkStart w:id="25" w:name="_Toc459174366"/>
      <w:bookmarkStart w:id="26" w:name="_Toc459659884"/>
      <w:bookmarkStart w:id="27" w:name="_Toc461687280"/>
      <w:bookmarkStart w:id="28" w:name="_Toc462771051"/>
      <w:bookmarkStart w:id="29" w:name="_Toc464139201"/>
      <w:bookmarkStart w:id="30" w:name="_Toc495427545"/>
      <w:bookmarkStart w:id="31" w:name="_Toc499296549"/>
      <w:bookmarkStart w:id="32" w:name="_Toc99999255"/>
      <w:r w:rsidRPr="009762CA">
        <w:rPr>
          <w:rFonts w:ascii="Palatino Linotype" w:eastAsiaTheme="majorEastAsia" w:hAnsi="Palatino Linotype" w:cstheme="majorBidi"/>
          <w:b/>
          <w:color w:val="000000" w:themeColor="text1"/>
          <w:lang w:val="es-MX" w:eastAsia="en-US"/>
        </w:rPr>
        <w:t xml:space="preserve">TERCERO. </w:t>
      </w:r>
      <w:r w:rsidRPr="009762CA">
        <w:rPr>
          <w:rFonts w:ascii="Palatino Linotype" w:eastAsiaTheme="majorEastAsia" w:hAnsi="Palatino Linotype" w:cstheme="majorBidi"/>
          <w:b/>
          <w:lang w:val="es-MX" w:eastAsia="en-US"/>
        </w:rPr>
        <w:t>De las causales del sobreseimiento.</w:t>
      </w:r>
      <w:bookmarkEnd w:id="24"/>
      <w:bookmarkEnd w:id="25"/>
      <w:bookmarkEnd w:id="26"/>
      <w:bookmarkEnd w:id="27"/>
      <w:bookmarkEnd w:id="28"/>
      <w:bookmarkEnd w:id="29"/>
      <w:bookmarkEnd w:id="30"/>
      <w:bookmarkEnd w:id="31"/>
      <w:bookmarkEnd w:id="32"/>
    </w:p>
    <w:p w14:paraId="7DCD8ADE" w14:textId="77777777" w:rsidR="00CD2AC2" w:rsidRPr="009762CA" w:rsidRDefault="00CD2AC2" w:rsidP="00567210">
      <w:pPr>
        <w:keepNext/>
        <w:keepLines/>
        <w:tabs>
          <w:tab w:val="left" w:pos="284"/>
          <w:tab w:val="left" w:pos="426"/>
        </w:tabs>
        <w:spacing w:before="240" w:line="360" w:lineRule="auto"/>
        <w:outlineLvl w:val="0"/>
        <w:rPr>
          <w:rFonts w:ascii="Palatino Linotype" w:eastAsiaTheme="majorEastAsia" w:hAnsi="Palatino Linotype" w:cstheme="majorBidi"/>
          <w:b/>
          <w:lang w:val="es-MX" w:eastAsia="en-US"/>
        </w:rPr>
      </w:pPr>
    </w:p>
    <w:p w14:paraId="076043C4" w14:textId="77777777" w:rsidR="00E433A7" w:rsidRPr="009762CA" w:rsidRDefault="00567210" w:rsidP="00E433A7">
      <w:pPr>
        <w:pStyle w:val="Prrafodelista"/>
        <w:numPr>
          <w:ilvl w:val="0"/>
          <w:numId w:val="12"/>
        </w:numPr>
        <w:spacing w:line="360" w:lineRule="auto"/>
        <w:ind w:left="0" w:right="49" w:firstLine="0"/>
        <w:contextualSpacing/>
        <w:jc w:val="both"/>
        <w:rPr>
          <w:rFonts w:ascii="Palatino Linotype" w:eastAsia="MS Mincho" w:hAnsi="Palatino Linotype" w:cs="Arial"/>
          <w:lang w:val="es-ES_tradnl"/>
        </w:rPr>
      </w:pPr>
      <w:bookmarkStart w:id="33" w:name="_Toc497905366"/>
      <w:bookmarkStart w:id="34" w:name="_Toc495427547"/>
      <w:bookmarkStart w:id="35" w:name="_Toc466377653"/>
      <w:bookmarkStart w:id="36" w:name="_Toc466371865"/>
      <w:r w:rsidRPr="009762CA">
        <w:rPr>
          <w:rFonts w:ascii="Palatino Linotype" w:eastAsia="MS Mincho" w:hAnsi="Palatino Linotype" w:cs="Arial"/>
          <w:lang w:val="es-ES_tradnl"/>
        </w:rPr>
        <w:t xml:space="preserve">El recurso revisión tiene como finalidad reparar cualquier posible afectación al derecho de acceso a la información pública en términos del Título Octavo de la Ley de </w:t>
      </w:r>
      <w:r w:rsidRPr="009762CA">
        <w:rPr>
          <w:rFonts w:ascii="Palatino Linotype" w:eastAsia="Calibri" w:hAnsi="Palatino Linotype" w:cs="Arial"/>
          <w:lang w:val="es-ES_tradnl"/>
        </w:rPr>
        <w:t>Transparencia, Acceso a la Información Pública del Estado de México y Municipios</w:t>
      </w:r>
      <w:r w:rsidRPr="009762CA">
        <w:rPr>
          <w:rFonts w:ascii="Palatino Linotype" w:eastAsia="MS Mincho" w:hAnsi="Palatino Linotype" w:cs="Arial"/>
          <w:lang w:val="es-ES_tradnl"/>
        </w:rPr>
        <w:t xml:space="preserve">, y determinar la confirmación; revocación o modificación; </w:t>
      </w:r>
      <w:proofErr w:type="spellStart"/>
      <w:r w:rsidRPr="009762CA">
        <w:rPr>
          <w:rFonts w:ascii="Palatino Linotype" w:eastAsia="MS Mincho" w:hAnsi="Palatino Linotype" w:cs="Arial"/>
          <w:lang w:val="es-ES_tradnl"/>
        </w:rPr>
        <w:t>desechamiento</w:t>
      </w:r>
      <w:proofErr w:type="spellEnd"/>
      <w:r w:rsidRPr="009762CA">
        <w:rPr>
          <w:rFonts w:ascii="Palatino Linotype" w:eastAsia="MS Mincho" w:hAnsi="Palatino Linotype" w:cs="Arial"/>
          <w:lang w:val="es-ES_tradnl"/>
        </w:rPr>
        <w:t xml:space="preserve"> o </w:t>
      </w:r>
      <w:r w:rsidRPr="009762CA">
        <w:rPr>
          <w:rFonts w:ascii="Palatino Linotype" w:eastAsia="MS Mincho" w:hAnsi="Palatino Linotype" w:cs="Arial"/>
          <w:b/>
          <w:u w:val="single"/>
          <w:lang w:val="es-ES_tradnl"/>
        </w:rPr>
        <w:t>sobreseimiento</w:t>
      </w:r>
      <w:r w:rsidRPr="009762CA">
        <w:rPr>
          <w:rFonts w:ascii="Palatino Linotype" w:eastAsia="MS Mincho" w:hAnsi="Palatino Linotype" w:cs="Arial"/>
          <w:lang w:val="es-ES_tradnl"/>
        </w:rPr>
        <w:t xml:space="preserve">; y en su caso ordenar la entrega de la información con respecto a la respuesta emitida por el </w:t>
      </w:r>
      <w:r w:rsidRPr="009762CA">
        <w:rPr>
          <w:rFonts w:ascii="Palatino Linotype" w:eastAsia="MS Mincho" w:hAnsi="Palatino Linotype" w:cs="Arial"/>
          <w:b/>
          <w:lang w:val="es-ES_tradnl"/>
        </w:rPr>
        <w:t>SUJETO</w:t>
      </w:r>
      <w:r w:rsidRPr="009762CA">
        <w:rPr>
          <w:rFonts w:ascii="Palatino Linotype" w:eastAsia="MS Mincho" w:hAnsi="Palatino Linotype" w:cs="Arial"/>
          <w:lang w:val="es-ES_tradnl"/>
        </w:rPr>
        <w:t xml:space="preserve"> </w:t>
      </w:r>
      <w:r w:rsidRPr="009762CA">
        <w:rPr>
          <w:rFonts w:ascii="Palatino Linotype" w:eastAsia="MS Mincho" w:hAnsi="Palatino Linotype" w:cs="Arial"/>
          <w:b/>
          <w:lang w:val="es-ES_tradnl"/>
        </w:rPr>
        <w:t>OBLIGADO</w:t>
      </w:r>
      <w:r w:rsidRPr="009762CA">
        <w:rPr>
          <w:rFonts w:ascii="Palatino Linotype" w:eastAsia="MS Mincho" w:hAnsi="Palatino Linotype" w:cs="Arial"/>
          <w:lang w:val="es-ES_tradnl"/>
        </w:rPr>
        <w:t>.</w:t>
      </w:r>
    </w:p>
    <w:p w14:paraId="0FD3D926" w14:textId="77777777" w:rsidR="00E433A7" w:rsidRPr="009762CA" w:rsidRDefault="00E433A7" w:rsidP="00E433A7">
      <w:pPr>
        <w:pStyle w:val="Prrafodelista"/>
        <w:spacing w:line="360" w:lineRule="auto"/>
        <w:ind w:left="0" w:right="49"/>
        <w:contextualSpacing/>
        <w:jc w:val="both"/>
        <w:rPr>
          <w:rFonts w:ascii="Palatino Linotype" w:eastAsia="MS Mincho" w:hAnsi="Palatino Linotype" w:cs="Arial"/>
          <w:lang w:val="es-ES_tradnl"/>
        </w:rPr>
      </w:pPr>
    </w:p>
    <w:p w14:paraId="061EC879" w14:textId="77777777" w:rsidR="00E433A7" w:rsidRPr="009762CA" w:rsidRDefault="00E433A7" w:rsidP="00E433A7">
      <w:pPr>
        <w:pStyle w:val="Prrafodelista"/>
        <w:numPr>
          <w:ilvl w:val="0"/>
          <w:numId w:val="12"/>
        </w:numPr>
        <w:spacing w:line="360" w:lineRule="auto"/>
        <w:ind w:left="0" w:right="49" w:firstLine="0"/>
        <w:contextualSpacing/>
        <w:jc w:val="both"/>
        <w:rPr>
          <w:rFonts w:ascii="Palatino Linotype" w:eastAsia="MS Mincho" w:hAnsi="Palatino Linotype" w:cs="Arial"/>
          <w:lang w:val="es-ES_tradnl"/>
        </w:rPr>
      </w:pPr>
      <w:r w:rsidRPr="009762CA">
        <w:rPr>
          <w:rFonts w:ascii="Palatino Linotype" w:eastAsia="Cambria" w:hAnsi="Palatino Linotype" w:cs="Arial"/>
          <w:lang w:val="es-MX" w:eastAsia="en-US"/>
        </w:rPr>
        <w:t xml:space="preserve">En ese sentido,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9762CA">
        <w:rPr>
          <w:rFonts w:ascii="Palatino Linotype" w:eastAsia="Calibri" w:hAnsi="Palatino Linotype" w:cs="Arial"/>
          <w:b/>
          <w:lang w:eastAsia="en-US"/>
        </w:rPr>
        <w:t>Ley de Transparencia y Acceso a la Información Pública del Estado de México y Municipios</w:t>
      </w:r>
      <w:r w:rsidRPr="009762CA">
        <w:rPr>
          <w:rFonts w:ascii="Palatino Linotype" w:hAnsi="Palatino Linotype" w:cs="Arial"/>
          <w:lang w:eastAsia="es-MX"/>
        </w:rPr>
        <w:t>.</w:t>
      </w:r>
    </w:p>
    <w:p w14:paraId="4626FB00" w14:textId="77777777" w:rsidR="00E433A7" w:rsidRPr="009762CA" w:rsidRDefault="00E433A7" w:rsidP="00E433A7">
      <w:pPr>
        <w:pStyle w:val="Prrafodelista"/>
        <w:rPr>
          <w:rFonts w:ascii="Palatino Linotype" w:eastAsia="MS Mincho" w:hAnsi="Palatino Linotype" w:cs="Arial"/>
          <w:lang w:val="es-MX"/>
        </w:rPr>
      </w:pPr>
    </w:p>
    <w:p w14:paraId="3C6DA458" w14:textId="3DF4CBF7" w:rsidR="00E433A7" w:rsidRPr="009762CA" w:rsidRDefault="00E433A7" w:rsidP="00D46776">
      <w:pPr>
        <w:pStyle w:val="Prrafodelista"/>
        <w:numPr>
          <w:ilvl w:val="0"/>
          <w:numId w:val="12"/>
        </w:numPr>
        <w:spacing w:line="360" w:lineRule="auto"/>
        <w:ind w:left="0" w:right="49" w:firstLine="0"/>
        <w:contextualSpacing/>
        <w:jc w:val="both"/>
        <w:rPr>
          <w:rFonts w:ascii="Palatino Linotype" w:eastAsia="MS Mincho" w:hAnsi="Palatino Linotype" w:cs="Arial"/>
          <w:lang w:val="es-ES_tradnl"/>
        </w:rPr>
      </w:pPr>
      <w:r w:rsidRPr="009762CA">
        <w:rPr>
          <w:rFonts w:ascii="Palatino Linotype" w:eastAsia="MS Mincho" w:hAnsi="Palatino Linotype" w:cs="Arial"/>
          <w:lang w:val="es-MX"/>
        </w:rPr>
        <w:lastRenderedPageBreak/>
        <w:t xml:space="preserve">Así, de la lectura a la solicitud de información se observa que el particular requirió al </w:t>
      </w:r>
      <w:r w:rsidR="00D46776" w:rsidRPr="009762CA">
        <w:rPr>
          <w:rFonts w:ascii="Palatino Linotype" w:eastAsia="MS Mincho" w:hAnsi="Palatino Linotype" w:cs="Arial"/>
          <w:b/>
          <w:bCs/>
        </w:rPr>
        <w:t>Ayuntamiento de Ecatepec de Morelos</w:t>
      </w:r>
      <w:r w:rsidR="00D46776" w:rsidRPr="009762CA">
        <w:rPr>
          <w:rFonts w:ascii="Palatino Linotype" w:eastAsia="MS Mincho" w:hAnsi="Palatino Linotype" w:cs="Arial"/>
          <w:lang w:val="es-ES_tradnl"/>
        </w:rPr>
        <w:t xml:space="preserve"> </w:t>
      </w:r>
      <w:r w:rsidRPr="009762CA">
        <w:rPr>
          <w:rFonts w:ascii="Palatino Linotype" w:eastAsia="MS Mincho" w:hAnsi="Palatino Linotype" w:cs="Arial"/>
          <w:lang w:val="es-MX"/>
        </w:rPr>
        <w:t xml:space="preserve">acceder a información relacionada con </w:t>
      </w:r>
      <w:r w:rsidR="00D46776" w:rsidRPr="009762CA">
        <w:rPr>
          <w:rFonts w:ascii="Palatino Linotype" w:eastAsia="MS Mincho" w:hAnsi="Palatino Linotype" w:cs="Arial"/>
          <w:lang w:val="es-MX"/>
        </w:rPr>
        <w:t xml:space="preserve"> el reglamento de tianguis vigente</w:t>
      </w:r>
      <w:r w:rsidRPr="009762CA">
        <w:rPr>
          <w:rFonts w:ascii="Palatino Linotype" w:eastAsia="MS Mincho" w:hAnsi="Palatino Linotype" w:cs="Arial"/>
          <w:lang w:val="es-MX"/>
        </w:rPr>
        <w:t xml:space="preserve">, por lo que previo al estudio del asunto, </w:t>
      </w:r>
      <w:r w:rsidRPr="009762CA">
        <w:rPr>
          <w:rFonts w:ascii="Palatino Linotype" w:eastAsia="Calibri" w:hAnsi="Palatino Linotype"/>
        </w:rPr>
        <w:t xml:space="preserve">este Pleno considera necesario </w:t>
      </w:r>
      <w:r w:rsidRPr="009762CA">
        <w:rPr>
          <w:rFonts w:ascii="Palatino Linotype" w:eastAsia="Calibri" w:hAnsi="Palatino Linotype" w:cs="Arial"/>
        </w:rPr>
        <w:t xml:space="preserve">mencionar que, por cuestiones de claridad y transparencia en la decisión, </w:t>
      </w:r>
      <w:r w:rsidRPr="009762CA">
        <w:rPr>
          <w:rFonts w:ascii="Palatino Linotype" w:eastAsia="Calibri" w:hAnsi="Palatino Linotype"/>
          <w:color w:val="000000"/>
        </w:rPr>
        <w:t>se estima pertinente elaborar un cuadro de análisis, mismo que se inserta a continuación:</w:t>
      </w:r>
    </w:p>
    <w:p w14:paraId="24A7ED2A" w14:textId="77777777" w:rsidR="00E433A7" w:rsidRPr="009762CA" w:rsidRDefault="00E433A7" w:rsidP="00E433A7">
      <w:pPr>
        <w:pStyle w:val="Prrafodelista"/>
        <w:spacing w:line="360" w:lineRule="auto"/>
        <w:ind w:left="0" w:right="49"/>
        <w:contextualSpacing/>
        <w:jc w:val="both"/>
        <w:rPr>
          <w:rFonts w:ascii="Palatino Linotype" w:eastAsia="MS Mincho" w:hAnsi="Palatino Linotype" w:cs="Arial"/>
          <w:lang w:val="es-ES_tradnl"/>
        </w:rPr>
      </w:pPr>
    </w:p>
    <w:tbl>
      <w:tblPr>
        <w:tblStyle w:val="Tablaconcuadrcula21111"/>
        <w:tblpPr w:leftFromText="141" w:rightFromText="141" w:vertAnchor="text" w:tblpY="1"/>
        <w:tblOverlap w:val="never"/>
        <w:tblW w:w="9356" w:type="dxa"/>
        <w:tblLayout w:type="fixed"/>
        <w:tblLook w:val="04A0" w:firstRow="1" w:lastRow="0" w:firstColumn="1" w:lastColumn="0" w:noHBand="0" w:noVBand="1"/>
      </w:tblPr>
      <w:tblGrid>
        <w:gridCol w:w="709"/>
        <w:gridCol w:w="1843"/>
        <w:gridCol w:w="2552"/>
        <w:gridCol w:w="2693"/>
        <w:gridCol w:w="1559"/>
      </w:tblGrid>
      <w:tr w:rsidR="00E433A7" w:rsidRPr="009762CA" w14:paraId="3517DEDF" w14:textId="77777777" w:rsidTr="00F2609B">
        <w:trPr>
          <w:trHeight w:val="581"/>
        </w:trPr>
        <w:tc>
          <w:tcPr>
            <w:tcW w:w="9356" w:type="dxa"/>
            <w:gridSpan w:val="5"/>
          </w:tcPr>
          <w:p w14:paraId="55469245" w14:textId="77777777" w:rsidR="00E433A7" w:rsidRPr="009762CA" w:rsidRDefault="00E433A7" w:rsidP="00E433A7">
            <w:pPr>
              <w:spacing w:line="360" w:lineRule="auto"/>
              <w:jc w:val="center"/>
              <w:rPr>
                <w:rFonts w:ascii="Palatino Linotype" w:eastAsia="Calibri" w:hAnsi="Palatino Linotype"/>
                <w:b/>
                <w:bCs/>
                <w:sz w:val="24"/>
                <w:szCs w:val="24"/>
                <w:lang w:val="es-MX"/>
              </w:rPr>
            </w:pPr>
          </w:p>
          <w:p w14:paraId="0F6633CA" w14:textId="77777777" w:rsidR="00E433A7" w:rsidRPr="009762CA" w:rsidRDefault="00E433A7" w:rsidP="00E433A7">
            <w:pPr>
              <w:spacing w:line="360" w:lineRule="auto"/>
              <w:jc w:val="center"/>
              <w:rPr>
                <w:rFonts w:ascii="Palatino Linotype" w:hAnsi="Palatino Linotype"/>
                <w:sz w:val="24"/>
                <w:szCs w:val="24"/>
              </w:rPr>
            </w:pPr>
            <w:r w:rsidRPr="009762CA">
              <w:rPr>
                <w:rFonts w:ascii="Palatino Linotype" w:eastAsia="Calibri" w:hAnsi="Palatino Linotype"/>
                <w:b/>
                <w:bCs/>
                <w:sz w:val="24"/>
                <w:szCs w:val="24"/>
                <w:lang w:val="es-MX"/>
              </w:rPr>
              <w:t xml:space="preserve">Solicitud: </w:t>
            </w:r>
            <w:r w:rsidRPr="009762CA">
              <w:rPr>
                <w:rFonts w:ascii="Palatino Linotype" w:hAnsi="Palatino Linotype"/>
                <w:b/>
                <w:bCs/>
                <w:color w:val="FF0000"/>
                <w:sz w:val="24"/>
                <w:szCs w:val="24"/>
                <w:lang w:eastAsia="es-ES"/>
              </w:rPr>
              <w:t xml:space="preserve">  </w:t>
            </w:r>
            <w:r w:rsidRPr="009762CA">
              <w:rPr>
                <w:rFonts w:ascii="Palatino Linotype" w:hAnsi="Palatino Linotype"/>
                <w:sz w:val="24"/>
                <w:szCs w:val="24"/>
              </w:rPr>
              <w:t xml:space="preserve"> </w:t>
            </w:r>
          </w:p>
          <w:p w14:paraId="5EDD943D" w14:textId="67999D67" w:rsidR="00E433A7" w:rsidRPr="009762CA" w:rsidRDefault="00BA327C" w:rsidP="00E433A7">
            <w:pPr>
              <w:spacing w:line="360" w:lineRule="auto"/>
              <w:jc w:val="center"/>
              <w:rPr>
                <w:rFonts w:ascii="Palatino Linotype" w:eastAsia="Calibri" w:hAnsi="Palatino Linotype"/>
                <w:b/>
                <w:bCs/>
                <w:sz w:val="24"/>
                <w:szCs w:val="24"/>
              </w:rPr>
            </w:pPr>
            <w:r w:rsidRPr="009762CA">
              <w:rPr>
                <w:rFonts w:ascii="Palatino Linotype" w:eastAsia="Calibri" w:hAnsi="Palatino Linotype"/>
                <w:b/>
                <w:bCs/>
                <w:sz w:val="24"/>
                <w:szCs w:val="24"/>
              </w:rPr>
              <w:t>00842/ECATEPEC/IP/2022</w:t>
            </w:r>
          </w:p>
          <w:p w14:paraId="758CC96A" w14:textId="77777777" w:rsidR="00E433A7" w:rsidRPr="009762CA" w:rsidRDefault="00E433A7" w:rsidP="00E433A7">
            <w:pPr>
              <w:spacing w:line="360" w:lineRule="auto"/>
              <w:rPr>
                <w:rFonts w:ascii="Palatino Linotype" w:eastAsia="Calibri" w:hAnsi="Palatino Linotype"/>
                <w:b/>
                <w:bCs/>
                <w:sz w:val="24"/>
                <w:szCs w:val="24"/>
                <w:lang w:val="es-MX"/>
              </w:rPr>
            </w:pPr>
          </w:p>
        </w:tc>
      </w:tr>
      <w:tr w:rsidR="00E433A7" w:rsidRPr="009762CA" w14:paraId="2F5D899F" w14:textId="77777777" w:rsidTr="00F2609B">
        <w:trPr>
          <w:trHeight w:val="582"/>
        </w:trPr>
        <w:tc>
          <w:tcPr>
            <w:tcW w:w="709" w:type="dxa"/>
            <w:shd w:val="clear" w:color="auto" w:fill="DBDBDB"/>
          </w:tcPr>
          <w:p w14:paraId="6FCDD21F" w14:textId="77777777" w:rsidR="00E433A7" w:rsidRPr="009762CA" w:rsidRDefault="00E433A7" w:rsidP="00E433A7">
            <w:pPr>
              <w:spacing w:line="360" w:lineRule="auto"/>
              <w:rPr>
                <w:rFonts w:ascii="Palatino Linotype" w:eastAsia="Calibri" w:hAnsi="Palatino Linotype"/>
                <w:sz w:val="24"/>
                <w:szCs w:val="24"/>
                <w:lang w:val="es-MX"/>
              </w:rPr>
            </w:pPr>
          </w:p>
          <w:p w14:paraId="4602E98B" w14:textId="77777777" w:rsidR="00E433A7" w:rsidRPr="009762CA" w:rsidRDefault="00E433A7" w:rsidP="00E433A7">
            <w:pPr>
              <w:spacing w:line="360" w:lineRule="auto"/>
              <w:jc w:val="center"/>
              <w:rPr>
                <w:rFonts w:ascii="Palatino Linotype" w:eastAsia="Calibri" w:hAnsi="Palatino Linotype"/>
                <w:sz w:val="24"/>
                <w:szCs w:val="24"/>
                <w:lang w:val="es-MX"/>
              </w:rPr>
            </w:pPr>
            <w:r w:rsidRPr="009762CA">
              <w:rPr>
                <w:rFonts w:ascii="Palatino Linotype" w:eastAsia="Calibri" w:hAnsi="Palatino Linotype"/>
                <w:sz w:val="24"/>
                <w:szCs w:val="24"/>
                <w:lang w:val="es-MX"/>
              </w:rPr>
              <w:t>No.</w:t>
            </w:r>
          </w:p>
        </w:tc>
        <w:tc>
          <w:tcPr>
            <w:tcW w:w="1843" w:type="dxa"/>
            <w:shd w:val="clear" w:color="auto" w:fill="DBDBDB"/>
          </w:tcPr>
          <w:p w14:paraId="78C6641E" w14:textId="77777777" w:rsidR="00E433A7" w:rsidRPr="009762CA" w:rsidRDefault="00E433A7" w:rsidP="00E433A7">
            <w:pPr>
              <w:spacing w:line="360" w:lineRule="auto"/>
              <w:jc w:val="center"/>
              <w:rPr>
                <w:rFonts w:ascii="Palatino Linotype" w:eastAsia="Calibri" w:hAnsi="Palatino Linotype"/>
                <w:sz w:val="24"/>
                <w:szCs w:val="24"/>
                <w:lang w:val="es-MX"/>
              </w:rPr>
            </w:pPr>
          </w:p>
          <w:p w14:paraId="6DFBBEF1" w14:textId="77777777" w:rsidR="00E433A7" w:rsidRPr="009762CA" w:rsidRDefault="00E433A7" w:rsidP="00E433A7">
            <w:pPr>
              <w:spacing w:line="360" w:lineRule="auto"/>
              <w:jc w:val="center"/>
              <w:rPr>
                <w:rFonts w:ascii="Palatino Linotype" w:eastAsia="Calibri" w:hAnsi="Palatino Linotype"/>
                <w:sz w:val="24"/>
                <w:szCs w:val="24"/>
                <w:lang w:val="es-MX"/>
              </w:rPr>
            </w:pPr>
            <w:r w:rsidRPr="009762CA">
              <w:rPr>
                <w:rFonts w:ascii="Palatino Linotype" w:eastAsia="Calibri" w:hAnsi="Palatino Linotype"/>
                <w:sz w:val="24"/>
                <w:szCs w:val="24"/>
                <w:lang w:val="es-MX"/>
              </w:rPr>
              <w:t>Información Requerida:</w:t>
            </w:r>
          </w:p>
        </w:tc>
        <w:tc>
          <w:tcPr>
            <w:tcW w:w="2552" w:type="dxa"/>
            <w:shd w:val="clear" w:color="auto" w:fill="DBDBDB"/>
          </w:tcPr>
          <w:p w14:paraId="6DD9210E" w14:textId="77777777" w:rsidR="00E433A7" w:rsidRPr="009762CA" w:rsidRDefault="00E433A7" w:rsidP="00E433A7">
            <w:pPr>
              <w:spacing w:line="360" w:lineRule="auto"/>
              <w:jc w:val="center"/>
              <w:rPr>
                <w:rFonts w:ascii="Palatino Linotype" w:eastAsia="Calibri" w:hAnsi="Palatino Linotype"/>
                <w:sz w:val="24"/>
                <w:szCs w:val="24"/>
                <w:lang w:val="es-MX"/>
              </w:rPr>
            </w:pPr>
          </w:p>
          <w:p w14:paraId="3DD5F984" w14:textId="77777777" w:rsidR="00E433A7" w:rsidRPr="009762CA" w:rsidRDefault="00E433A7" w:rsidP="00E433A7">
            <w:pPr>
              <w:spacing w:line="360" w:lineRule="auto"/>
              <w:jc w:val="center"/>
              <w:rPr>
                <w:rFonts w:ascii="Palatino Linotype" w:eastAsia="Calibri" w:hAnsi="Palatino Linotype"/>
                <w:sz w:val="24"/>
                <w:szCs w:val="24"/>
                <w:lang w:val="es-MX"/>
              </w:rPr>
            </w:pPr>
            <w:r w:rsidRPr="009762CA">
              <w:rPr>
                <w:rFonts w:ascii="Palatino Linotype" w:eastAsia="Calibri" w:hAnsi="Palatino Linotype"/>
                <w:sz w:val="24"/>
                <w:szCs w:val="24"/>
                <w:lang w:val="es-MX"/>
              </w:rPr>
              <w:t>Información entregada en respuesta:</w:t>
            </w:r>
          </w:p>
        </w:tc>
        <w:tc>
          <w:tcPr>
            <w:tcW w:w="2693" w:type="dxa"/>
            <w:shd w:val="clear" w:color="auto" w:fill="DBDBDB"/>
          </w:tcPr>
          <w:p w14:paraId="54D2184A" w14:textId="77777777" w:rsidR="00E433A7" w:rsidRPr="009762CA" w:rsidRDefault="00E433A7" w:rsidP="00E433A7">
            <w:pPr>
              <w:spacing w:line="360" w:lineRule="auto"/>
              <w:jc w:val="center"/>
              <w:rPr>
                <w:rFonts w:ascii="Palatino Linotype" w:eastAsia="Calibri" w:hAnsi="Palatino Linotype"/>
                <w:sz w:val="24"/>
                <w:szCs w:val="24"/>
                <w:lang w:val="es-MX"/>
              </w:rPr>
            </w:pPr>
            <w:r w:rsidRPr="009762CA">
              <w:rPr>
                <w:rFonts w:ascii="Palatino Linotype" w:eastAsia="Calibri" w:hAnsi="Palatino Linotype"/>
                <w:sz w:val="24"/>
                <w:szCs w:val="24"/>
                <w:lang w:val="es-MX"/>
              </w:rPr>
              <w:t>Información entregada en calidad de Informe Justificado:</w:t>
            </w:r>
          </w:p>
        </w:tc>
        <w:tc>
          <w:tcPr>
            <w:tcW w:w="1559" w:type="dxa"/>
            <w:shd w:val="clear" w:color="auto" w:fill="DBDBDB"/>
          </w:tcPr>
          <w:p w14:paraId="1AFAB8D6" w14:textId="77777777" w:rsidR="00E433A7" w:rsidRPr="009762CA" w:rsidRDefault="00E433A7" w:rsidP="00E433A7">
            <w:pPr>
              <w:spacing w:line="360" w:lineRule="auto"/>
              <w:jc w:val="center"/>
              <w:rPr>
                <w:rFonts w:ascii="Palatino Linotype" w:eastAsia="Calibri" w:hAnsi="Palatino Linotype"/>
                <w:sz w:val="24"/>
                <w:szCs w:val="24"/>
                <w:lang w:val="es-MX"/>
              </w:rPr>
            </w:pPr>
          </w:p>
          <w:p w14:paraId="1F919713" w14:textId="77777777" w:rsidR="00E433A7" w:rsidRPr="009762CA" w:rsidRDefault="00E433A7" w:rsidP="00E433A7">
            <w:pPr>
              <w:spacing w:line="360" w:lineRule="auto"/>
              <w:jc w:val="center"/>
              <w:rPr>
                <w:rFonts w:ascii="Palatino Linotype" w:eastAsia="Calibri" w:hAnsi="Palatino Linotype"/>
                <w:sz w:val="24"/>
                <w:szCs w:val="24"/>
                <w:lang w:val="es-MX"/>
              </w:rPr>
            </w:pPr>
            <w:r w:rsidRPr="009762CA">
              <w:rPr>
                <w:rFonts w:ascii="Palatino Linotype" w:eastAsia="Calibri" w:hAnsi="Palatino Linotype"/>
                <w:sz w:val="24"/>
                <w:szCs w:val="24"/>
                <w:lang w:val="es-MX"/>
              </w:rPr>
              <w:t>¿Satisface la solicitud?</w:t>
            </w:r>
          </w:p>
        </w:tc>
      </w:tr>
      <w:tr w:rsidR="00E433A7" w:rsidRPr="009762CA" w14:paraId="62078267" w14:textId="77777777" w:rsidTr="00F2609B">
        <w:trPr>
          <w:trHeight w:val="582"/>
        </w:trPr>
        <w:tc>
          <w:tcPr>
            <w:tcW w:w="709" w:type="dxa"/>
            <w:shd w:val="clear" w:color="auto" w:fill="FFFFFF" w:themeFill="background1"/>
          </w:tcPr>
          <w:p w14:paraId="32756ACF" w14:textId="77777777" w:rsidR="00E433A7" w:rsidRPr="009762CA" w:rsidRDefault="00E433A7" w:rsidP="00E433A7">
            <w:pPr>
              <w:spacing w:line="360" w:lineRule="auto"/>
              <w:rPr>
                <w:rFonts w:ascii="Palatino Linotype" w:eastAsia="Calibri" w:hAnsi="Palatino Linotype"/>
                <w:sz w:val="24"/>
                <w:szCs w:val="24"/>
                <w:lang w:val="es-MX"/>
              </w:rPr>
            </w:pPr>
            <w:r w:rsidRPr="009762CA">
              <w:rPr>
                <w:rFonts w:ascii="Palatino Linotype" w:eastAsia="Calibri" w:hAnsi="Palatino Linotype"/>
                <w:sz w:val="24"/>
                <w:szCs w:val="24"/>
                <w:lang w:val="es-MX"/>
              </w:rPr>
              <w:t>1</w:t>
            </w:r>
          </w:p>
        </w:tc>
        <w:tc>
          <w:tcPr>
            <w:tcW w:w="1843" w:type="dxa"/>
            <w:shd w:val="clear" w:color="auto" w:fill="FFFFFF" w:themeFill="background1"/>
          </w:tcPr>
          <w:p w14:paraId="5FF23528" w14:textId="66F7EA48" w:rsidR="00E433A7" w:rsidRPr="009762CA" w:rsidRDefault="00E433A7" w:rsidP="00D46776">
            <w:pPr>
              <w:spacing w:line="360" w:lineRule="auto"/>
              <w:jc w:val="both"/>
              <w:rPr>
                <w:rFonts w:ascii="Palatino Linotype" w:hAnsi="Palatino Linotype"/>
                <w:sz w:val="24"/>
                <w:szCs w:val="24"/>
              </w:rPr>
            </w:pPr>
            <w:r w:rsidRPr="009762CA">
              <w:rPr>
                <w:rFonts w:ascii="Palatino Linotype" w:eastAsia="MS Mincho" w:hAnsi="Palatino Linotype"/>
                <w:i/>
                <w:color w:val="000000"/>
                <w:sz w:val="24"/>
                <w:szCs w:val="24"/>
                <w:lang w:val="es-ES_tradnl" w:eastAsia="es-ES"/>
              </w:rPr>
              <w:t xml:space="preserve"> </w:t>
            </w:r>
            <w:r w:rsidRPr="009762CA">
              <w:rPr>
                <w:rFonts w:ascii="Palatino Linotype" w:hAnsi="Palatino Linotype"/>
                <w:sz w:val="24"/>
                <w:szCs w:val="24"/>
              </w:rPr>
              <w:t xml:space="preserve"> </w:t>
            </w:r>
            <w:r w:rsidRPr="009762CA">
              <w:rPr>
                <w:rFonts w:ascii="Palatino Linotype" w:hAnsi="Palatino Linotype"/>
                <w:color w:val="000000"/>
                <w:sz w:val="24"/>
                <w:szCs w:val="24"/>
                <w:lang w:eastAsia="es-ES"/>
              </w:rPr>
              <w:t xml:space="preserve"> </w:t>
            </w:r>
            <w:proofErr w:type="gramStart"/>
            <w:r w:rsidRPr="009762CA">
              <w:rPr>
                <w:rFonts w:ascii="Palatino Linotype" w:hAnsi="Palatino Linotype"/>
                <w:color w:val="000000"/>
                <w:sz w:val="24"/>
                <w:szCs w:val="24"/>
                <w:lang w:eastAsia="es-ES"/>
              </w:rPr>
              <w:t>“</w:t>
            </w:r>
            <w:r w:rsidR="00D46776" w:rsidRPr="009762CA">
              <w:t xml:space="preserve"> </w:t>
            </w:r>
            <w:r w:rsidR="00D46776" w:rsidRPr="009762CA">
              <w:rPr>
                <w:rFonts w:ascii="Palatino Linotype" w:hAnsi="Palatino Linotype"/>
                <w:color w:val="000000"/>
                <w:sz w:val="24"/>
                <w:szCs w:val="24"/>
                <w:lang w:eastAsia="es-ES"/>
              </w:rPr>
              <w:t>Solicito</w:t>
            </w:r>
            <w:proofErr w:type="gramEnd"/>
            <w:r w:rsidR="00D46776" w:rsidRPr="009762CA">
              <w:rPr>
                <w:rFonts w:ascii="Palatino Linotype" w:hAnsi="Palatino Linotype"/>
                <w:color w:val="000000"/>
                <w:sz w:val="24"/>
                <w:szCs w:val="24"/>
                <w:lang w:eastAsia="es-ES"/>
              </w:rPr>
              <w:t xml:space="preserve"> la copia de reglamento de tianguis y mercados vigente de </w:t>
            </w:r>
            <w:proofErr w:type="spellStart"/>
            <w:r w:rsidR="00D46776" w:rsidRPr="009762CA">
              <w:rPr>
                <w:rFonts w:ascii="Palatino Linotype" w:hAnsi="Palatino Linotype"/>
                <w:color w:val="000000"/>
                <w:sz w:val="24"/>
                <w:szCs w:val="24"/>
                <w:lang w:eastAsia="es-ES"/>
              </w:rPr>
              <w:t>ecatepec</w:t>
            </w:r>
            <w:proofErr w:type="spellEnd"/>
            <w:r w:rsidR="00D46776" w:rsidRPr="009762CA">
              <w:rPr>
                <w:rFonts w:ascii="Palatino Linotype" w:hAnsi="Palatino Linotype"/>
                <w:color w:val="000000"/>
                <w:sz w:val="24"/>
                <w:szCs w:val="24"/>
                <w:lang w:eastAsia="es-ES"/>
              </w:rPr>
              <w:t xml:space="preserve"> a mi correo </w:t>
            </w:r>
            <w:r w:rsidR="00D46776" w:rsidRPr="009762CA">
              <w:rPr>
                <w:rFonts w:ascii="Palatino Linotype" w:hAnsi="Palatino Linotype"/>
                <w:color w:val="000000"/>
                <w:sz w:val="24"/>
                <w:szCs w:val="24"/>
                <w:lang w:eastAsia="es-ES"/>
              </w:rPr>
              <w:lastRenderedPageBreak/>
              <w:t>electrónico.</w:t>
            </w:r>
            <w:r w:rsidRPr="009762CA">
              <w:rPr>
                <w:rFonts w:ascii="Palatino Linotype" w:hAnsi="Palatino Linotype"/>
                <w:sz w:val="24"/>
                <w:szCs w:val="24"/>
              </w:rPr>
              <w:t>” (Sic)</w:t>
            </w:r>
          </w:p>
        </w:tc>
        <w:tc>
          <w:tcPr>
            <w:tcW w:w="2552" w:type="dxa"/>
            <w:shd w:val="clear" w:color="auto" w:fill="FFFFFF" w:themeFill="background1"/>
          </w:tcPr>
          <w:p w14:paraId="1AB515EE" w14:textId="77777777" w:rsidR="00D46776" w:rsidRPr="009762CA" w:rsidRDefault="00D46776" w:rsidP="00D46776">
            <w:pPr>
              <w:tabs>
                <w:tab w:val="left" w:pos="284"/>
                <w:tab w:val="left" w:pos="426"/>
                <w:tab w:val="left" w:pos="993"/>
                <w:tab w:val="left" w:pos="1134"/>
              </w:tabs>
              <w:spacing w:line="360" w:lineRule="auto"/>
              <w:ind w:right="39"/>
              <w:contextualSpacing/>
              <w:jc w:val="both"/>
              <w:rPr>
                <w:rFonts w:ascii="Palatino Linotype" w:hAnsi="Palatino Linotype"/>
                <w:i/>
                <w:lang w:val="es-ES_tradnl"/>
              </w:rPr>
            </w:pPr>
            <w:r w:rsidRPr="009762CA">
              <w:rPr>
                <w:rFonts w:ascii="Palatino Linotype" w:hAnsi="Palatino Linotype"/>
                <w:b/>
                <w:i/>
              </w:rPr>
              <w:lastRenderedPageBreak/>
              <w:t>842.pdf</w:t>
            </w:r>
            <w:hyperlink r:id="rId10" w:tgtFrame="_blank" w:history="1"/>
            <w:r w:rsidRPr="009762CA">
              <w:rPr>
                <w:rFonts w:ascii="Palatino Linotype" w:hAnsi="Palatino Linotype"/>
                <w:b/>
                <w:i/>
                <w:lang w:val="es-ES_tradnl"/>
              </w:rPr>
              <w:t>:</w:t>
            </w:r>
            <w:r w:rsidRPr="009762CA">
              <w:rPr>
                <w:rFonts w:ascii="Palatino Linotype" w:hAnsi="Palatino Linotype"/>
                <w:i/>
                <w:lang w:val="es-ES_tradnl"/>
              </w:rPr>
              <w:t xml:space="preserve"> Documento electrónico que en quince (15) hojas contiene: </w:t>
            </w:r>
          </w:p>
          <w:p w14:paraId="30171E09" w14:textId="77777777" w:rsidR="00D46776" w:rsidRPr="009762CA" w:rsidRDefault="00D46776" w:rsidP="00D46776">
            <w:pPr>
              <w:tabs>
                <w:tab w:val="left" w:pos="284"/>
                <w:tab w:val="left" w:pos="426"/>
                <w:tab w:val="left" w:pos="993"/>
                <w:tab w:val="left" w:pos="1134"/>
              </w:tabs>
              <w:spacing w:line="360" w:lineRule="auto"/>
              <w:ind w:right="39"/>
              <w:contextualSpacing/>
              <w:jc w:val="both"/>
              <w:rPr>
                <w:rFonts w:ascii="Palatino Linotype" w:hAnsi="Palatino Linotype"/>
                <w:i/>
                <w:lang w:val="es-ES_tradnl"/>
              </w:rPr>
            </w:pPr>
          </w:p>
          <w:p w14:paraId="01E7F931" w14:textId="77777777" w:rsidR="00D46776" w:rsidRPr="009762CA" w:rsidRDefault="00D46776" w:rsidP="00D46776">
            <w:pPr>
              <w:tabs>
                <w:tab w:val="left" w:pos="284"/>
                <w:tab w:val="left" w:pos="426"/>
                <w:tab w:val="left" w:pos="993"/>
                <w:tab w:val="left" w:pos="1134"/>
              </w:tabs>
              <w:spacing w:line="360" w:lineRule="auto"/>
              <w:ind w:right="39"/>
              <w:contextualSpacing/>
              <w:jc w:val="both"/>
              <w:rPr>
                <w:rFonts w:ascii="Palatino Linotype" w:hAnsi="Palatino Linotype"/>
                <w:i/>
                <w:lang w:val="es-ES_tradnl"/>
              </w:rPr>
            </w:pPr>
            <w:r w:rsidRPr="009762CA">
              <w:rPr>
                <w:rFonts w:ascii="Palatino Linotype" w:hAnsi="Palatino Linotype"/>
                <w:i/>
              </w:rPr>
              <w:t xml:space="preserve">Oficio de fecha catorce de octubre de dos mil veintidós dirigido al solicitante y suscrito por el Titular de la Unidad de </w:t>
            </w:r>
            <w:r w:rsidRPr="009762CA">
              <w:rPr>
                <w:rFonts w:ascii="Palatino Linotype" w:hAnsi="Palatino Linotype"/>
                <w:i/>
              </w:rPr>
              <w:lastRenderedPageBreak/>
              <w:t>Transparencia mediante el cual se refiere que se pone a disposición la respuesta emitida por la Coordinación de Mercados, Tianguis y Vía Pública.</w:t>
            </w:r>
          </w:p>
          <w:p w14:paraId="3B4F8FF0" w14:textId="77777777" w:rsidR="00D46776" w:rsidRPr="009762CA" w:rsidRDefault="00D46776" w:rsidP="00D46776">
            <w:pPr>
              <w:tabs>
                <w:tab w:val="left" w:pos="284"/>
                <w:tab w:val="left" w:pos="426"/>
                <w:tab w:val="left" w:pos="993"/>
                <w:tab w:val="left" w:pos="1134"/>
              </w:tabs>
              <w:spacing w:line="360" w:lineRule="auto"/>
              <w:ind w:right="39"/>
              <w:contextualSpacing/>
              <w:jc w:val="both"/>
              <w:rPr>
                <w:rFonts w:ascii="Palatino Linotype" w:hAnsi="Palatino Linotype"/>
                <w:i/>
                <w:lang w:val="es-ES_tradnl"/>
              </w:rPr>
            </w:pPr>
          </w:p>
          <w:p w14:paraId="7651BA6F" w14:textId="77777777" w:rsidR="00D46776" w:rsidRPr="009762CA" w:rsidRDefault="00D46776" w:rsidP="00D46776">
            <w:pPr>
              <w:tabs>
                <w:tab w:val="left" w:pos="284"/>
                <w:tab w:val="left" w:pos="426"/>
                <w:tab w:val="left" w:pos="993"/>
                <w:tab w:val="left" w:pos="1134"/>
              </w:tabs>
              <w:spacing w:line="360" w:lineRule="auto"/>
              <w:ind w:right="39"/>
              <w:contextualSpacing/>
              <w:jc w:val="both"/>
              <w:rPr>
                <w:rFonts w:ascii="Palatino Linotype" w:hAnsi="Palatino Linotype"/>
                <w:i/>
                <w:lang w:val="es-ES_tradnl"/>
              </w:rPr>
            </w:pPr>
            <w:r w:rsidRPr="009762CA">
              <w:rPr>
                <w:rFonts w:ascii="Palatino Linotype" w:hAnsi="Palatino Linotype"/>
                <w:i/>
              </w:rPr>
              <w:t xml:space="preserve">Oficio CMTVP/ECA/1022/2022 dirigido al Titular de la Unidad de Transparencia y suscrito por el Titular de la Coordinación de Mercados, Tianguis y Vía Pública mediante el cual se refiere que se remite el reglamento solicitado. </w:t>
            </w:r>
          </w:p>
          <w:p w14:paraId="386A39C6" w14:textId="77777777" w:rsidR="00BE1EEA" w:rsidRPr="009762CA" w:rsidRDefault="00BE1EEA" w:rsidP="00D46776">
            <w:pPr>
              <w:tabs>
                <w:tab w:val="left" w:pos="284"/>
                <w:tab w:val="left" w:pos="426"/>
                <w:tab w:val="left" w:pos="993"/>
                <w:tab w:val="left" w:pos="1134"/>
              </w:tabs>
              <w:spacing w:line="360" w:lineRule="auto"/>
              <w:ind w:right="39"/>
              <w:contextualSpacing/>
              <w:jc w:val="both"/>
              <w:rPr>
                <w:rFonts w:ascii="Palatino Linotype" w:hAnsi="Palatino Linotype"/>
                <w:i/>
              </w:rPr>
            </w:pPr>
          </w:p>
          <w:p w14:paraId="5E3727BC" w14:textId="77777777" w:rsidR="00D46776" w:rsidRPr="009762CA" w:rsidRDefault="00D46776" w:rsidP="00D46776">
            <w:pPr>
              <w:tabs>
                <w:tab w:val="left" w:pos="284"/>
                <w:tab w:val="left" w:pos="426"/>
                <w:tab w:val="left" w:pos="993"/>
                <w:tab w:val="left" w:pos="1134"/>
              </w:tabs>
              <w:spacing w:line="360" w:lineRule="auto"/>
              <w:ind w:right="39"/>
              <w:contextualSpacing/>
              <w:jc w:val="both"/>
              <w:rPr>
                <w:rFonts w:ascii="Palatino Linotype" w:hAnsi="Palatino Linotype"/>
                <w:i/>
                <w:lang w:val="es-ES_tradnl"/>
              </w:rPr>
            </w:pPr>
            <w:r w:rsidRPr="009762CA">
              <w:rPr>
                <w:rFonts w:ascii="Palatino Linotype" w:hAnsi="Palatino Linotype"/>
                <w:i/>
              </w:rPr>
              <w:t xml:space="preserve">Representación gráfica con los rubros “Núm.”, “GIRO” y “DESCROPCIÓN”.   </w:t>
            </w:r>
          </w:p>
          <w:p w14:paraId="3DAB15B9" w14:textId="54FB3747" w:rsidR="00E433A7" w:rsidRPr="009762CA" w:rsidRDefault="00E433A7" w:rsidP="00E433A7">
            <w:pPr>
              <w:tabs>
                <w:tab w:val="left" w:pos="284"/>
                <w:tab w:val="left" w:pos="426"/>
                <w:tab w:val="left" w:pos="993"/>
                <w:tab w:val="left" w:pos="1134"/>
              </w:tabs>
              <w:spacing w:line="360" w:lineRule="auto"/>
              <w:ind w:right="39"/>
              <w:contextualSpacing/>
              <w:jc w:val="both"/>
              <w:rPr>
                <w:rFonts w:ascii="Palatino Linotype" w:hAnsi="Palatino Linotype"/>
                <w:i/>
                <w:sz w:val="24"/>
                <w:szCs w:val="24"/>
                <w:lang w:val="es-ES_tradnl"/>
              </w:rPr>
            </w:pPr>
          </w:p>
          <w:p w14:paraId="47FC495F" w14:textId="70245A5A" w:rsidR="00E433A7" w:rsidRPr="009762CA" w:rsidRDefault="00E433A7" w:rsidP="00E433A7">
            <w:pPr>
              <w:tabs>
                <w:tab w:val="left" w:pos="284"/>
              </w:tabs>
              <w:spacing w:before="240" w:after="240" w:line="276" w:lineRule="auto"/>
              <w:ind w:left="29" w:right="39"/>
              <w:contextualSpacing/>
              <w:jc w:val="both"/>
              <w:rPr>
                <w:rFonts w:ascii="Palatino Linotype" w:eastAsia="Calibri" w:hAnsi="Palatino Linotype"/>
                <w:sz w:val="24"/>
                <w:szCs w:val="24"/>
                <w:lang w:val="es-MX"/>
              </w:rPr>
            </w:pPr>
          </w:p>
        </w:tc>
        <w:tc>
          <w:tcPr>
            <w:tcW w:w="2693" w:type="dxa"/>
            <w:shd w:val="clear" w:color="auto" w:fill="FFFFFF" w:themeFill="background1"/>
          </w:tcPr>
          <w:p w14:paraId="521F3872" w14:textId="4DFA171E" w:rsidR="00D46776" w:rsidRPr="009762CA" w:rsidRDefault="00A54434" w:rsidP="00D46776">
            <w:pPr>
              <w:tabs>
                <w:tab w:val="left" w:pos="284"/>
              </w:tabs>
              <w:spacing w:before="240" w:after="240" w:line="360" w:lineRule="auto"/>
              <w:ind w:right="738"/>
              <w:contextualSpacing/>
              <w:jc w:val="both"/>
              <w:rPr>
                <w:rFonts w:ascii="Palatino Linotype" w:eastAsia="Calibri" w:hAnsi="Palatino Linotype" w:cs="Arial"/>
                <w:color w:val="000000" w:themeColor="text1"/>
              </w:rPr>
            </w:pPr>
            <w:hyperlink r:id="rId11" w:history="1">
              <w:r w:rsidR="00D46776" w:rsidRPr="009762CA">
                <w:rPr>
                  <w:rStyle w:val="Hipervnculo"/>
                  <w:rFonts w:ascii="Palatino Linotype" w:eastAsia="Calibri" w:hAnsi="Palatino Linotype" w:cs="Arial"/>
                  <w:b/>
                  <w:bCs/>
                  <w:color w:val="auto"/>
                  <w:u w:val="none"/>
                </w:rPr>
                <w:t>Reglamento de regulación de la actividad comercial y de prestación de servicios en los mercados, tia.pdf</w:t>
              </w:r>
            </w:hyperlink>
            <w:r w:rsidR="00D46776" w:rsidRPr="009762CA">
              <w:rPr>
                <w:rFonts w:ascii="Palatino Linotype" w:eastAsia="Calibri" w:hAnsi="Palatino Linotype" w:cs="Arial"/>
                <w:b/>
              </w:rPr>
              <w:t>:</w:t>
            </w:r>
            <w:r w:rsidR="00D46776" w:rsidRPr="009762CA">
              <w:rPr>
                <w:rFonts w:ascii="Palatino Linotype" w:eastAsia="Calibri" w:hAnsi="Palatino Linotype" w:cs="Arial"/>
              </w:rPr>
              <w:t xml:space="preserve"> </w:t>
            </w:r>
            <w:r w:rsidR="00D46776" w:rsidRPr="009762CA">
              <w:rPr>
                <w:rFonts w:ascii="Palatino Linotype" w:eastAsia="Calibri" w:hAnsi="Palatino Linotype" w:cs="Arial"/>
                <w:color w:val="000000" w:themeColor="text1"/>
              </w:rPr>
              <w:t xml:space="preserve">Documento </w:t>
            </w:r>
            <w:r w:rsidR="00D46776" w:rsidRPr="009762CA">
              <w:rPr>
                <w:rFonts w:ascii="Palatino Linotype" w:eastAsia="Calibri" w:hAnsi="Palatino Linotype" w:cs="Arial"/>
                <w:color w:val="000000" w:themeColor="text1"/>
              </w:rPr>
              <w:lastRenderedPageBreak/>
              <w:t xml:space="preserve">electrónico que en veintidós (22) hojas contiene el “Reglamento de Regulación de la Actividad Comercial de Prestación de Servicios en los Mercados, Tianguis y Vía Pública del Municipio de Ecatepec de Morelos, Estado de México. </w:t>
            </w:r>
          </w:p>
          <w:p w14:paraId="12C53E0A" w14:textId="77777777" w:rsidR="00D46776" w:rsidRPr="009762CA" w:rsidRDefault="00D46776" w:rsidP="00D46776">
            <w:pPr>
              <w:pStyle w:val="Prrafodelista"/>
              <w:tabs>
                <w:tab w:val="left" w:pos="284"/>
              </w:tabs>
              <w:spacing w:before="240" w:after="240" w:line="360" w:lineRule="auto"/>
              <w:ind w:left="720" w:right="738"/>
              <w:contextualSpacing/>
              <w:jc w:val="both"/>
              <w:rPr>
                <w:rFonts w:ascii="Palatino Linotype" w:eastAsia="Calibri" w:hAnsi="Palatino Linotype" w:cs="Arial"/>
                <w:color w:val="000000" w:themeColor="text1"/>
              </w:rPr>
            </w:pPr>
          </w:p>
          <w:p w14:paraId="349799C7" w14:textId="61BF9DA1" w:rsidR="00E433A7" w:rsidRPr="009762CA" w:rsidRDefault="00D46776" w:rsidP="00BA327C">
            <w:pPr>
              <w:tabs>
                <w:tab w:val="left" w:pos="284"/>
              </w:tabs>
              <w:spacing w:before="240" w:after="240" w:line="360" w:lineRule="auto"/>
              <w:ind w:right="738"/>
              <w:contextualSpacing/>
              <w:jc w:val="both"/>
              <w:rPr>
                <w:rFonts w:ascii="Palatino Linotype" w:eastAsia="Calibri" w:hAnsi="Palatino Linotype" w:cs="Arial"/>
                <w:color w:val="000000" w:themeColor="text1"/>
              </w:rPr>
            </w:pPr>
            <w:r w:rsidRPr="009762CA">
              <w:rPr>
                <w:rFonts w:ascii="Palatino Linotype" w:eastAsia="Calibri" w:hAnsi="Palatino Linotype" w:cs="Arial"/>
                <w:b/>
              </w:rPr>
              <w:t xml:space="preserve">R-R-15733-5Reglamento de regulación de la actividad comercial y de prestación de servicios en los mercados, </w:t>
            </w:r>
            <w:r w:rsidRPr="009762CA">
              <w:rPr>
                <w:rFonts w:ascii="Palatino Linotype" w:eastAsia="Calibri" w:hAnsi="Palatino Linotype" w:cs="Arial"/>
                <w:b/>
              </w:rPr>
              <w:lastRenderedPageBreak/>
              <w:t>tia.pdf:</w:t>
            </w:r>
            <w:r w:rsidRPr="009762CA">
              <w:rPr>
                <w:rFonts w:ascii="Palatino Linotype" w:eastAsia="Calibri" w:hAnsi="Palatino Linotype" w:cs="Arial"/>
              </w:rPr>
              <w:t xml:space="preserve"> Documento electrónico que en veintidós (22) hojas contiene el “Reglamento de Regulación de la Actividad Comercial de Prestación de Servicios en los Mercados, Tianguis y Vía Pública del Municipio de Ecatepec de Morelos, Estado de México.</w:t>
            </w:r>
          </w:p>
          <w:p w14:paraId="2CEE48D6" w14:textId="77777777" w:rsidR="00E433A7" w:rsidRPr="009762CA" w:rsidRDefault="00E433A7" w:rsidP="00E433A7">
            <w:pPr>
              <w:spacing w:line="360" w:lineRule="auto"/>
              <w:ind w:left="28" w:hanging="28"/>
              <w:jc w:val="both"/>
              <w:rPr>
                <w:rFonts w:ascii="Palatino Linotype" w:eastAsia="Calibri" w:hAnsi="Palatino Linotype"/>
                <w:sz w:val="24"/>
                <w:szCs w:val="24"/>
                <w:lang w:val="es-MX"/>
              </w:rPr>
            </w:pPr>
          </w:p>
        </w:tc>
        <w:tc>
          <w:tcPr>
            <w:tcW w:w="1559" w:type="dxa"/>
            <w:shd w:val="clear" w:color="auto" w:fill="FFFFFF" w:themeFill="background1"/>
          </w:tcPr>
          <w:p w14:paraId="4C6D0019" w14:textId="77777777" w:rsidR="00E433A7" w:rsidRPr="009762CA" w:rsidRDefault="00E433A7" w:rsidP="00E433A7">
            <w:pPr>
              <w:spacing w:line="360" w:lineRule="auto"/>
              <w:jc w:val="center"/>
              <w:rPr>
                <w:rFonts w:ascii="Palatino Linotype" w:eastAsia="Calibri" w:hAnsi="Palatino Linotype"/>
                <w:sz w:val="24"/>
                <w:szCs w:val="24"/>
                <w:lang w:val="es-MX"/>
              </w:rPr>
            </w:pPr>
          </w:p>
          <w:p w14:paraId="0CA9AE6E" w14:textId="77777777" w:rsidR="00E433A7" w:rsidRPr="009762CA" w:rsidRDefault="00E433A7" w:rsidP="00E433A7">
            <w:pPr>
              <w:spacing w:line="360" w:lineRule="auto"/>
              <w:jc w:val="center"/>
              <w:rPr>
                <w:rFonts w:ascii="Palatino Linotype" w:eastAsia="Calibri" w:hAnsi="Palatino Linotype"/>
                <w:sz w:val="24"/>
                <w:szCs w:val="24"/>
                <w:lang w:val="es-MX"/>
              </w:rPr>
            </w:pPr>
          </w:p>
          <w:p w14:paraId="6495624A" w14:textId="77777777" w:rsidR="00E433A7" w:rsidRPr="009762CA" w:rsidRDefault="00E433A7" w:rsidP="00E433A7">
            <w:pPr>
              <w:spacing w:line="360" w:lineRule="auto"/>
              <w:jc w:val="center"/>
              <w:rPr>
                <w:rFonts w:ascii="Palatino Linotype" w:eastAsia="Calibri" w:hAnsi="Palatino Linotype"/>
                <w:sz w:val="24"/>
                <w:szCs w:val="24"/>
                <w:lang w:val="es-MX"/>
              </w:rPr>
            </w:pPr>
          </w:p>
          <w:p w14:paraId="51E890CA" w14:textId="77777777" w:rsidR="00E433A7" w:rsidRPr="009762CA" w:rsidRDefault="00E433A7" w:rsidP="00E433A7">
            <w:pPr>
              <w:spacing w:line="360" w:lineRule="auto"/>
              <w:jc w:val="center"/>
              <w:rPr>
                <w:rFonts w:ascii="Palatino Linotype" w:eastAsia="Calibri" w:hAnsi="Palatino Linotype"/>
                <w:sz w:val="24"/>
                <w:szCs w:val="24"/>
                <w:lang w:val="es-MX"/>
              </w:rPr>
            </w:pPr>
            <w:r w:rsidRPr="009762CA">
              <w:rPr>
                <w:rFonts w:ascii="Palatino Linotype" w:eastAsia="Calibri" w:hAnsi="Palatino Linotype"/>
                <w:sz w:val="24"/>
                <w:szCs w:val="24"/>
                <w:lang w:val="es-MX"/>
              </w:rPr>
              <w:t xml:space="preserve">SÍ </w:t>
            </w:r>
          </w:p>
        </w:tc>
      </w:tr>
    </w:tbl>
    <w:p w14:paraId="44512519" w14:textId="36C6B0D1" w:rsidR="00AC2F82" w:rsidRPr="009762CA" w:rsidRDefault="00AC2F82" w:rsidP="00EC357E">
      <w:pPr>
        <w:spacing w:line="360" w:lineRule="auto"/>
        <w:ind w:right="49"/>
        <w:contextualSpacing/>
        <w:jc w:val="both"/>
        <w:rPr>
          <w:rFonts w:ascii="Palatino Linotype" w:eastAsia="MS Mincho" w:hAnsi="Palatino Linotype" w:cs="Arial"/>
          <w:lang w:val="es-ES_tradnl"/>
        </w:rPr>
      </w:pPr>
    </w:p>
    <w:p w14:paraId="780905F2" w14:textId="77777777" w:rsidR="00AC2F82" w:rsidRPr="009762CA" w:rsidRDefault="00AC2F82" w:rsidP="00AC2F82">
      <w:pPr>
        <w:spacing w:line="360" w:lineRule="auto"/>
        <w:ind w:right="49"/>
        <w:contextualSpacing/>
        <w:jc w:val="both"/>
        <w:rPr>
          <w:rFonts w:ascii="Palatino Linotype" w:eastAsia="MS Mincho" w:hAnsi="Palatino Linotype" w:cs="Arial"/>
          <w:lang w:val="es-ES_tradnl"/>
        </w:rPr>
      </w:pPr>
    </w:p>
    <w:p w14:paraId="6CAFD635" w14:textId="691964B9" w:rsidR="00BA327C" w:rsidRPr="009762CA" w:rsidRDefault="00567210" w:rsidP="00BA327C">
      <w:pPr>
        <w:numPr>
          <w:ilvl w:val="0"/>
          <w:numId w:val="12"/>
        </w:numPr>
        <w:spacing w:line="360" w:lineRule="auto"/>
        <w:ind w:left="0" w:right="49" w:firstLine="0"/>
        <w:contextualSpacing/>
        <w:jc w:val="both"/>
        <w:rPr>
          <w:rFonts w:ascii="Palatino Linotype" w:eastAsia="MS Mincho" w:hAnsi="Palatino Linotype" w:cs="Arial"/>
          <w:lang w:val="es-ES_tradnl"/>
        </w:rPr>
      </w:pPr>
      <w:r w:rsidRPr="009762CA">
        <w:rPr>
          <w:rFonts w:ascii="Palatino Linotype" w:eastAsia="Calibri" w:hAnsi="Palatino Linotype" w:cs="Arial"/>
          <w:color w:val="000000" w:themeColor="text1"/>
          <w:lang w:val="es-MX" w:eastAsia="en-US"/>
        </w:rPr>
        <w:t>Ahora</w:t>
      </w:r>
      <w:r w:rsidR="00D46776" w:rsidRPr="009762CA">
        <w:rPr>
          <w:rFonts w:ascii="Palatino Linotype" w:eastAsia="Calibri" w:hAnsi="Palatino Linotype" w:cs="Arial"/>
          <w:color w:val="000000" w:themeColor="text1"/>
          <w:lang w:val="es-MX" w:eastAsia="en-US"/>
        </w:rPr>
        <w:t xml:space="preserve"> bien, en el caso concreto y de</w:t>
      </w:r>
      <w:r w:rsidR="003E50D5" w:rsidRPr="009762CA">
        <w:rPr>
          <w:rFonts w:ascii="Palatino Linotype" w:eastAsia="Calibri" w:hAnsi="Palatino Linotype" w:cs="Arial"/>
          <w:color w:val="000000" w:themeColor="text1"/>
          <w:lang w:val="es-MX" w:eastAsia="en-US"/>
        </w:rPr>
        <w:t>r</w:t>
      </w:r>
      <w:r w:rsidRPr="009762CA">
        <w:rPr>
          <w:rFonts w:ascii="Palatino Linotype" w:eastAsia="Calibri" w:hAnsi="Palatino Linotype" w:cs="Arial"/>
          <w:color w:val="000000" w:themeColor="text1"/>
          <w:lang w:val="es-MX" w:eastAsia="en-US"/>
        </w:rPr>
        <w:t xml:space="preserve">ivado del razonamiento lógico-jurídico de las constancias que obran en el expediente electrónico al rubro indicado, es de señalar que el </w:t>
      </w:r>
      <w:r w:rsidRPr="009762CA">
        <w:rPr>
          <w:rFonts w:ascii="Palatino Linotype" w:eastAsia="MS Mincho" w:hAnsi="Palatino Linotype" w:cs="Arial"/>
          <w:color w:val="000000" w:themeColor="text1"/>
          <w:lang w:val="es-ES_tradnl"/>
        </w:rPr>
        <w:t>ah</w:t>
      </w:r>
      <w:r w:rsidR="007E3C71" w:rsidRPr="009762CA">
        <w:rPr>
          <w:rFonts w:ascii="Palatino Linotype" w:eastAsia="MS Mincho" w:hAnsi="Palatino Linotype" w:cs="Arial"/>
          <w:color w:val="000000" w:themeColor="text1"/>
          <w:lang w:val="es-ES_tradnl"/>
        </w:rPr>
        <w:t xml:space="preserve">ora recurrente, </w:t>
      </w:r>
      <w:r w:rsidR="00EC357E" w:rsidRPr="009762CA">
        <w:rPr>
          <w:rFonts w:ascii="Palatino Linotype" w:eastAsia="MS Mincho" w:hAnsi="Palatino Linotype" w:cs="Arial"/>
          <w:color w:val="000000" w:themeColor="text1"/>
          <w:lang w:val="es-ES_tradnl"/>
        </w:rPr>
        <w:t xml:space="preserve">solicitó </w:t>
      </w:r>
      <w:r w:rsidR="003E50D5" w:rsidRPr="009762CA">
        <w:rPr>
          <w:rFonts w:ascii="Palatino Linotype" w:eastAsia="MS Mincho" w:hAnsi="Palatino Linotype" w:cs="Arial"/>
          <w:color w:val="000000" w:themeColor="text1"/>
          <w:lang w:val="es-ES_tradnl"/>
        </w:rPr>
        <w:t>acceso al reglamento de tianguis vigente de Ecatepec</w:t>
      </w:r>
      <w:r w:rsidR="006340A0" w:rsidRPr="009762CA">
        <w:rPr>
          <w:rFonts w:ascii="Palatino Linotype" w:eastAsia="MS Mincho" w:hAnsi="Palatino Linotype"/>
          <w:lang w:val="es-ES_tradnl"/>
        </w:rPr>
        <w:t xml:space="preserve">, </w:t>
      </w:r>
      <w:r w:rsidR="00EC357E" w:rsidRPr="009762CA">
        <w:rPr>
          <w:rFonts w:ascii="Palatino Linotype" w:eastAsia="MS Mincho" w:hAnsi="Palatino Linotype"/>
          <w:lang w:val="es-ES_tradnl"/>
        </w:rPr>
        <w:t xml:space="preserve">es posible advertir </w:t>
      </w:r>
      <w:r w:rsidR="006340A0" w:rsidRPr="009762CA">
        <w:rPr>
          <w:rFonts w:ascii="Palatino Linotype" w:eastAsia="MS Mincho" w:hAnsi="Palatino Linotype"/>
          <w:lang w:val="es-ES_tradnl"/>
        </w:rPr>
        <w:t>que,</w:t>
      </w:r>
      <w:r w:rsidR="005F555C" w:rsidRPr="009762CA">
        <w:rPr>
          <w:rFonts w:ascii="Palatino Linotype" w:eastAsia="MS Mincho" w:hAnsi="Palatino Linotype"/>
          <w:lang w:val="es-ES_tradnl"/>
        </w:rPr>
        <w:t xml:space="preserve"> si bien</w:t>
      </w:r>
      <w:r w:rsidR="00EC357E" w:rsidRPr="009762CA">
        <w:rPr>
          <w:rFonts w:ascii="Palatino Linotype" w:eastAsia="MS Mincho" w:hAnsi="Palatino Linotype"/>
          <w:lang w:val="es-ES_tradnl"/>
        </w:rPr>
        <w:t xml:space="preserve"> el </w:t>
      </w:r>
      <w:r w:rsidR="00EC357E" w:rsidRPr="009762CA">
        <w:rPr>
          <w:rFonts w:ascii="Palatino Linotype" w:eastAsia="MS Mincho" w:hAnsi="Palatino Linotype"/>
          <w:b/>
          <w:lang w:val="es-ES_tradnl"/>
        </w:rPr>
        <w:t>SUJETO</w:t>
      </w:r>
      <w:r w:rsidR="005F555C" w:rsidRPr="009762CA">
        <w:rPr>
          <w:rFonts w:ascii="Palatino Linotype" w:eastAsia="MS Mincho" w:hAnsi="Palatino Linotype"/>
          <w:b/>
          <w:lang w:val="es-ES_tradnl"/>
        </w:rPr>
        <w:t xml:space="preserve"> </w:t>
      </w:r>
      <w:r w:rsidR="00EC357E" w:rsidRPr="009762CA">
        <w:rPr>
          <w:rFonts w:ascii="Palatino Linotype" w:eastAsia="MS Mincho" w:hAnsi="Palatino Linotype"/>
          <w:b/>
          <w:lang w:val="es-ES_tradnl"/>
        </w:rPr>
        <w:t xml:space="preserve">OBLIGADO </w:t>
      </w:r>
      <w:r w:rsidR="00EC357E" w:rsidRPr="009762CA">
        <w:rPr>
          <w:rFonts w:ascii="Palatino Linotype" w:eastAsia="MS Mincho" w:hAnsi="Palatino Linotype"/>
          <w:lang w:val="es-ES_tradnl"/>
        </w:rPr>
        <w:t xml:space="preserve">mediante </w:t>
      </w:r>
      <w:r w:rsidR="00EC357E" w:rsidRPr="009762CA">
        <w:rPr>
          <w:rFonts w:ascii="Palatino Linotype" w:eastAsia="MS Mincho" w:hAnsi="Palatino Linotype"/>
          <w:lang w:val="es-ES_tradnl"/>
        </w:rPr>
        <w:lastRenderedPageBreak/>
        <w:t>respuesta señaló</w:t>
      </w:r>
      <w:r w:rsidR="003E50D5" w:rsidRPr="009762CA">
        <w:rPr>
          <w:rFonts w:ascii="Palatino Linotype" w:eastAsia="MS Mincho" w:hAnsi="Palatino Linotype"/>
          <w:lang w:val="es-ES_tradnl"/>
        </w:rPr>
        <w:t xml:space="preserve"> que se remitía el reglamento correspondiente</w:t>
      </w:r>
      <w:r w:rsidR="00EC357E" w:rsidRPr="009762CA">
        <w:rPr>
          <w:rFonts w:ascii="Palatino Linotype" w:eastAsia="MS Mincho" w:hAnsi="Palatino Linotype"/>
          <w:lang w:val="es-ES_tradnl"/>
        </w:rPr>
        <w:t>,</w:t>
      </w:r>
      <w:r w:rsidR="003E50D5" w:rsidRPr="009762CA">
        <w:rPr>
          <w:rFonts w:ascii="Palatino Linotype" w:eastAsia="MS Mincho" w:hAnsi="Palatino Linotype"/>
          <w:lang w:val="es-ES_tradnl"/>
        </w:rPr>
        <w:t xml:space="preserve"> no obstante, el particular </w:t>
      </w:r>
      <w:r w:rsidR="00EC357E" w:rsidRPr="009762CA">
        <w:rPr>
          <w:rFonts w:ascii="Palatino Linotype" w:eastAsia="MS Mincho" w:hAnsi="Palatino Linotype"/>
          <w:lang w:val="es-ES_tradnl"/>
        </w:rPr>
        <w:t>se inconforma por la entrega de información</w:t>
      </w:r>
      <w:r w:rsidR="006340A0" w:rsidRPr="009762CA">
        <w:rPr>
          <w:rFonts w:ascii="Palatino Linotype" w:eastAsia="MS Mincho" w:hAnsi="Palatino Linotype"/>
          <w:lang w:val="es-ES_tradnl"/>
        </w:rPr>
        <w:t xml:space="preserve"> que no corresponde con lo solicitado. </w:t>
      </w:r>
    </w:p>
    <w:p w14:paraId="74892D7F" w14:textId="77777777" w:rsidR="005F555C" w:rsidRPr="009762CA" w:rsidRDefault="005F555C" w:rsidP="005F555C">
      <w:pPr>
        <w:pStyle w:val="Prrafodelista"/>
        <w:rPr>
          <w:rFonts w:ascii="Palatino Linotype" w:eastAsia="MS Mincho" w:hAnsi="Palatino Linotype"/>
          <w:lang w:val="es-ES_tradnl"/>
        </w:rPr>
      </w:pPr>
    </w:p>
    <w:p w14:paraId="6D96FB14" w14:textId="3CBA8974" w:rsidR="00566DF5" w:rsidRPr="009762CA" w:rsidRDefault="006340A0" w:rsidP="005F555C">
      <w:pPr>
        <w:numPr>
          <w:ilvl w:val="0"/>
          <w:numId w:val="12"/>
        </w:numPr>
        <w:spacing w:line="360" w:lineRule="auto"/>
        <w:ind w:left="0" w:right="49" w:firstLine="0"/>
        <w:contextualSpacing/>
        <w:jc w:val="both"/>
        <w:rPr>
          <w:rFonts w:ascii="Palatino Linotype" w:eastAsia="MS Mincho" w:hAnsi="Palatino Linotype"/>
          <w:i/>
          <w:lang w:val="es-ES_tradnl"/>
        </w:rPr>
      </w:pPr>
      <w:r w:rsidRPr="009762CA">
        <w:rPr>
          <w:rFonts w:ascii="Palatino Linotype" w:eastAsia="MS Mincho" w:hAnsi="Palatino Linotype"/>
          <w:lang w:val="es-ES_tradnl"/>
        </w:rPr>
        <w:t xml:space="preserve"> Lo anterior </w:t>
      </w:r>
      <w:r w:rsidR="005F555C" w:rsidRPr="009762CA">
        <w:rPr>
          <w:rFonts w:ascii="Palatino Linotype" w:eastAsia="MS Mincho" w:hAnsi="Palatino Linotype"/>
          <w:lang w:val="es-ES_tradnl"/>
        </w:rPr>
        <w:t xml:space="preserve">porque si bien en un primer momento el </w:t>
      </w:r>
      <w:r w:rsidR="00566DF5" w:rsidRPr="009762CA">
        <w:rPr>
          <w:rFonts w:ascii="Palatino Linotype" w:eastAsia="MS Mincho" w:hAnsi="Palatino Linotype"/>
          <w:lang w:val="es-ES_tradnl"/>
        </w:rPr>
        <w:t xml:space="preserve">ente recurrido refirió la entrega del reglamento solicitado, lo cierto es que no obra dicha documental en calidad de respuesta, así resulta importante destacar que en fecha veintiocho (28) de octubre de dos mil veintidós  , se remitió el </w:t>
      </w:r>
      <w:r w:rsidR="00566DF5" w:rsidRPr="009762CA">
        <w:rPr>
          <w:rFonts w:ascii="Palatino Linotype" w:eastAsia="MS Mincho" w:hAnsi="Palatino Linotype"/>
          <w:i/>
          <w:lang w:val="es-ES_tradnl"/>
        </w:rPr>
        <w:t>“Reglamento de Regulación de la Actividad Comercial de Presentación de Servicios en los Mercados, Tianguis  y Vía Pública del Municipio de Ecatepec de Morelos, Estado de México</w:t>
      </w:r>
      <w:r w:rsidR="00566DF5" w:rsidRPr="009762CA">
        <w:rPr>
          <w:rFonts w:ascii="Palatino Linotype" w:eastAsia="MS Mincho" w:hAnsi="Palatino Linotype"/>
          <w:lang w:val="es-ES_tradnl"/>
        </w:rPr>
        <w:t>” , como a continuación se observa:</w:t>
      </w:r>
    </w:p>
    <w:p w14:paraId="5B37EABA" w14:textId="545E2C3B" w:rsidR="00566DF5" w:rsidRPr="009762CA" w:rsidRDefault="00566DF5" w:rsidP="00566DF5">
      <w:pPr>
        <w:spacing w:line="360" w:lineRule="auto"/>
        <w:ind w:right="49"/>
        <w:contextualSpacing/>
        <w:jc w:val="both"/>
        <w:rPr>
          <w:rFonts w:ascii="Palatino Linotype" w:eastAsia="MS Mincho" w:hAnsi="Palatino Linotype"/>
          <w:i/>
          <w:lang w:val="es-ES_tradnl"/>
        </w:rPr>
      </w:pPr>
    </w:p>
    <w:p w14:paraId="7C1DDB8A" w14:textId="741B7D90" w:rsidR="00567210" w:rsidRPr="009762CA" w:rsidRDefault="00566DF5" w:rsidP="00BA327C">
      <w:pPr>
        <w:jc w:val="center"/>
        <w:rPr>
          <w:rFonts w:ascii="Palatino Linotype" w:eastAsia="MS Mincho" w:hAnsi="Palatino Linotype"/>
          <w:lang w:val="es-ES_tradnl"/>
        </w:rPr>
      </w:pPr>
      <w:r w:rsidRPr="009762CA">
        <w:rPr>
          <w:noProof/>
          <w:lang w:val="es-MX" w:eastAsia="es-MX"/>
        </w:rPr>
        <mc:AlternateContent>
          <mc:Choice Requires="wps">
            <w:drawing>
              <wp:anchor distT="0" distB="0" distL="114300" distR="114300" simplePos="0" relativeHeight="251659264" behindDoc="0" locked="0" layoutInCell="1" allowOverlap="1" wp14:anchorId="12F8E027" wp14:editId="6E6C40E3">
                <wp:simplePos x="0" y="0"/>
                <wp:positionH relativeFrom="column">
                  <wp:posOffset>688279</wp:posOffset>
                </wp:positionH>
                <wp:positionV relativeFrom="paragraph">
                  <wp:posOffset>465251</wp:posOffset>
                </wp:positionV>
                <wp:extent cx="3993815" cy="629728"/>
                <wp:effectExtent l="57150" t="19050" r="83185" b="94615"/>
                <wp:wrapNone/>
                <wp:docPr id="4" name="Rectángulo 4"/>
                <wp:cNvGraphicFramePr/>
                <a:graphic xmlns:a="http://schemas.openxmlformats.org/drawingml/2006/main">
                  <a:graphicData uri="http://schemas.microsoft.com/office/word/2010/wordprocessingShape">
                    <wps:wsp>
                      <wps:cNvSpPr/>
                      <wps:spPr>
                        <a:xfrm>
                          <a:off x="0" y="0"/>
                          <a:ext cx="3993815" cy="629728"/>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0FEF7BC1" id="Rectángulo 4" o:spid="_x0000_s1026" style="position:absolute;margin-left:54.2pt;margin-top:36.65pt;width:314.45pt;height:49.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" filled="f" strokecolor="red">
                <v:shadow on="t" color="black" opacity="22937f" origin=",.5" offset="0,.63889mm"/>
              </v:rect>
            </w:pict>
          </mc:Fallback>
        </mc:AlternateContent>
      </w:r>
      <w:r w:rsidRPr="009762CA">
        <w:rPr>
          <w:noProof/>
          <w:lang w:val="es-MX" w:eastAsia="es-MX"/>
        </w:rPr>
        <w:drawing>
          <wp:inline distT="0" distB="0" distL="0" distR="0" wp14:anchorId="5861BDF8" wp14:editId="17C30BAD">
            <wp:extent cx="4770407" cy="236755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818" t="16403" r="4545" b="48623"/>
                    <a:stretch/>
                  </pic:blipFill>
                  <pic:spPr bwMode="auto">
                    <a:xfrm>
                      <a:off x="0" y="0"/>
                      <a:ext cx="4781299" cy="2372957"/>
                    </a:xfrm>
                    <a:prstGeom prst="rect">
                      <a:avLst/>
                    </a:prstGeom>
                    <a:ln>
                      <a:noFill/>
                    </a:ln>
                    <a:extLst>
                      <a:ext uri="{53640926-AAD7-44D8-BBD7-CCE9431645EC}">
                        <a14:shadowObscured xmlns:a14="http://schemas.microsoft.com/office/drawing/2010/main"/>
                      </a:ext>
                    </a:extLst>
                  </pic:spPr>
                </pic:pic>
              </a:graphicData>
            </a:graphic>
          </wp:inline>
        </w:drawing>
      </w:r>
    </w:p>
    <w:p w14:paraId="5DAD02AF" w14:textId="28C514A7" w:rsidR="00BA327C" w:rsidRPr="009762CA" w:rsidRDefault="00BA327C" w:rsidP="00566DF5">
      <w:pPr>
        <w:rPr>
          <w:rFonts w:ascii="Palatino Linotype" w:eastAsia="MS Mincho" w:hAnsi="Palatino Linotype"/>
          <w:lang w:val="es-ES_tradnl"/>
        </w:rPr>
      </w:pPr>
    </w:p>
    <w:p w14:paraId="2BB60A49" w14:textId="6ACABBA3" w:rsidR="00BA327C" w:rsidRPr="009762CA" w:rsidRDefault="00BA327C" w:rsidP="00566DF5">
      <w:pPr>
        <w:rPr>
          <w:rFonts w:ascii="Palatino Linotype" w:eastAsia="MS Mincho" w:hAnsi="Palatino Linotype"/>
          <w:lang w:val="es-ES_tradnl"/>
        </w:rPr>
      </w:pPr>
    </w:p>
    <w:p w14:paraId="7E8D52F9" w14:textId="77777777" w:rsidR="00BA327C" w:rsidRPr="009762CA" w:rsidRDefault="00BA327C" w:rsidP="00566DF5">
      <w:pPr>
        <w:rPr>
          <w:rFonts w:ascii="Palatino Linotype" w:eastAsia="MS Mincho" w:hAnsi="Palatino Linotype"/>
          <w:lang w:val="es-ES_tradnl"/>
        </w:rPr>
      </w:pPr>
    </w:p>
    <w:p w14:paraId="53089E4C" w14:textId="2F264DC9" w:rsidR="00566DF5" w:rsidRPr="009762CA" w:rsidRDefault="00567210" w:rsidP="00567210">
      <w:pPr>
        <w:numPr>
          <w:ilvl w:val="0"/>
          <w:numId w:val="12"/>
        </w:numPr>
        <w:spacing w:line="360" w:lineRule="auto"/>
        <w:ind w:left="0" w:right="49" w:firstLine="0"/>
        <w:contextualSpacing/>
        <w:jc w:val="both"/>
        <w:rPr>
          <w:rFonts w:ascii="Palatino Linotype" w:eastAsia="MS Mincho" w:hAnsi="Palatino Linotype" w:cs="Arial"/>
          <w:lang w:val="es-ES_tradnl"/>
        </w:rPr>
      </w:pPr>
      <w:r w:rsidRPr="009762CA">
        <w:rPr>
          <w:rFonts w:ascii="Palatino Linotype" w:eastAsia="MS Mincho" w:hAnsi="Palatino Linotype"/>
          <w:lang w:val="es-ES_tradnl"/>
        </w:rPr>
        <w:t xml:space="preserve">Al respecto, el Pleno de este Instituto advierte que la información remitida mediante </w:t>
      </w:r>
      <w:r w:rsidR="007548A3" w:rsidRPr="009762CA">
        <w:rPr>
          <w:rFonts w:ascii="Palatino Linotype" w:eastAsia="MS Mincho" w:hAnsi="Palatino Linotype"/>
          <w:lang w:val="es-ES_tradnl"/>
        </w:rPr>
        <w:t xml:space="preserve">alcance al </w:t>
      </w:r>
      <w:r w:rsidRPr="009762CA">
        <w:rPr>
          <w:rFonts w:ascii="Palatino Linotype" w:eastAsia="MS Mincho" w:hAnsi="Palatino Linotype"/>
          <w:lang w:val="es-ES_tradnl"/>
        </w:rPr>
        <w:t xml:space="preserve">informe justificado, subsanó la respuesta otorgada en un primer momento, ello, debido a </w:t>
      </w:r>
      <w:r w:rsidR="00BA327C" w:rsidRPr="009762CA">
        <w:rPr>
          <w:rFonts w:ascii="Palatino Linotype" w:eastAsia="MS Mincho" w:hAnsi="Palatino Linotype"/>
          <w:lang w:val="es-ES_tradnl"/>
        </w:rPr>
        <w:t>que,</w:t>
      </w:r>
      <w:r w:rsidRPr="009762CA">
        <w:rPr>
          <w:rFonts w:ascii="Palatino Linotype" w:eastAsia="MS Mincho" w:hAnsi="Palatino Linotype"/>
          <w:lang w:val="es-ES_tradnl"/>
        </w:rPr>
        <w:t xml:space="preserve"> si bien la respuesta inicial del </w:t>
      </w:r>
      <w:r w:rsidRPr="009762CA">
        <w:rPr>
          <w:rFonts w:ascii="Palatino Linotype" w:eastAsia="MS Mincho" w:hAnsi="Palatino Linotype"/>
          <w:b/>
          <w:lang w:val="es-ES_tradnl"/>
        </w:rPr>
        <w:t>SUJETO OBLIGADO</w:t>
      </w:r>
      <w:r w:rsidRPr="009762CA">
        <w:rPr>
          <w:rFonts w:ascii="Palatino Linotype" w:eastAsia="MS Mincho" w:hAnsi="Palatino Linotype"/>
          <w:lang w:val="es-ES_tradnl"/>
        </w:rPr>
        <w:t xml:space="preserve"> </w:t>
      </w:r>
      <w:r w:rsidRPr="009762CA">
        <w:rPr>
          <w:rFonts w:ascii="Palatino Linotype" w:eastAsia="MS Mincho" w:hAnsi="Palatino Linotype"/>
          <w:lang w:val="es-ES_tradnl"/>
        </w:rPr>
        <w:lastRenderedPageBreak/>
        <w:t>resultó desfavorable en razón de que no se</w:t>
      </w:r>
      <w:r w:rsidR="00566DF5" w:rsidRPr="009762CA">
        <w:rPr>
          <w:rFonts w:ascii="Palatino Linotype" w:eastAsia="MS Mincho" w:hAnsi="Palatino Linotype"/>
          <w:lang w:val="es-ES_tradnl"/>
        </w:rPr>
        <w:t xml:space="preserve"> adjuntó la información solicitada</w:t>
      </w:r>
      <w:r w:rsidRPr="009762CA">
        <w:rPr>
          <w:rFonts w:ascii="Palatino Linotype" w:eastAsia="MS Mincho" w:hAnsi="Palatino Linotype"/>
          <w:lang w:val="es-ES_tradnl"/>
        </w:rPr>
        <w:t xml:space="preserve">, a posteriori el documento que </w:t>
      </w:r>
      <w:r w:rsidR="00566DF5" w:rsidRPr="009762CA">
        <w:rPr>
          <w:rFonts w:ascii="Palatino Linotype" w:eastAsia="MS Mincho" w:hAnsi="Palatino Linotype"/>
          <w:lang w:val="es-ES_tradnl"/>
        </w:rPr>
        <w:t xml:space="preserve">se </w:t>
      </w:r>
      <w:r w:rsidRPr="009762CA">
        <w:rPr>
          <w:rFonts w:ascii="Palatino Linotype" w:eastAsia="MS Mincho" w:hAnsi="Palatino Linotype"/>
          <w:lang w:val="es-ES_tradnl"/>
        </w:rPr>
        <w:t>remite contiene la informació</w:t>
      </w:r>
      <w:r w:rsidR="00566DF5" w:rsidRPr="009762CA">
        <w:rPr>
          <w:rFonts w:ascii="Palatino Linotype" w:eastAsia="MS Mincho" w:hAnsi="Palatino Linotype"/>
          <w:lang w:val="es-ES_tradnl"/>
        </w:rPr>
        <w:t>n solicitada por el recurrente.</w:t>
      </w:r>
    </w:p>
    <w:p w14:paraId="54C69E7B" w14:textId="77777777" w:rsidR="00566DF5" w:rsidRPr="009762CA" w:rsidRDefault="00566DF5" w:rsidP="00566DF5">
      <w:pPr>
        <w:spacing w:line="360" w:lineRule="auto"/>
        <w:ind w:right="49"/>
        <w:contextualSpacing/>
        <w:jc w:val="both"/>
        <w:rPr>
          <w:rFonts w:ascii="Palatino Linotype" w:eastAsia="MS Mincho" w:hAnsi="Palatino Linotype" w:cs="Arial"/>
          <w:lang w:val="es-ES_tradnl"/>
        </w:rPr>
      </w:pPr>
    </w:p>
    <w:p w14:paraId="60D778F2" w14:textId="515EDCA9" w:rsidR="002F32B3" w:rsidRPr="009762CA" w:rsidRDefault="00566DF5" w:rsidP="002F32B3">
      <w:pPr>
        <w:numPr>
          <w:ilvl w:val="0"/>
          <w:numId w:val="12"/>
        </w:numPr>
        <w:spacing w:line="360" w:lineRule="auto"/>
        <w:ind w:left="0" w:right="49" w:firstLine="0"/>
        <w:contextualSpacing/>
        <w:jc w:val="both"/>
        <w:rPr>
          <w:rFonts w:ascii="Palatino Linotype" w:eastAsia="MS Mincho" w:hAnsi="Palatino Linotype" w:cs="Arial"/>
          <w:lang w:val="es-ES_tradnl"/>
        </w:rPr>
      </w:pPr>
      <w:r w:rsidRPr="009762CA">
        <w:rPr>
          <w:rFonts w:ascii="Palatino Linotype" w:eastAsia="MS Mincho" w:hAnsi="Palatino Linotype"/>
          <w:lang w:val="es-ES_tradnl"/>
        </w:rPr>
        <w:t xml:space="preserve">Asimismo, es necesario advertir que la información otorgada </w:t>
      </w:r>
      <w:r w:rsidR="002F32B3" w:rsidRPr="009762CA">
        <w:rPr>
          <w:rFonts w:ascii="Palatino Linotype" w:eastAsia="MS Mincho" w:hAnsi="Palatino Linotype"/>
          <w:lang w:val="es-ES_tradnl"/>
        </w:rPr>
        <w:t>fue emitida a través</w:t>
      </w:r>
      <w:r w:rsidR="007548A3" w:rsidRPr="009762CA">
        <w:rPr>
          <w:rFonts w:ascii="Palatino Linotype" w:eastAsia="MS Mincho" w:hAnsi="Palatino Linotype"/>
          <w:lang w:val="es-ES_tradnl"/>
        </w:rPr>
        <w:t xml:space="preserve"> de la </w:t>
      </w:r>
      <w:r w:rsidR="002F32B3" w:rsidRPr="009762CA">
        <w:rPr>
          <w:rFonts w:ascii="Palatino Linotype" w:eastAsia="MS Mincho" w:hAnsi="Palatino Linotype" w:cs="Arial"/>
        </w:rPr>
        <w:t>Coordinación de Mercados, Tianguis y Vía Pública</w:t>
      </w:r>
      <w:r w:rsidR="007548A3" w:rsidRPr="009762CA">
        <w:rPr>
          <w:rFonts w:ascii="Palatino Linotype" w:eastAsia="MS Mincho" w:hAnsi="Palatino Linotype"/>
          <w:lang w:val="es-ES_tradnl"/>
        </w:rPr>
        <w:t>, misma que de conformidad con el</w:t>
      </w:r>
      <w:r w:rsidR="002F32B3" w:rsidRPr="009762CA">
        <w:rPr>
          <w:rFonts w:ascii="Palatino Linotype" w:eastAsia="MS Mincho" w:hAnsi="Palatino Linotype"/>
          <w:lang w:val="es-ES_tradnl"/>
        </w:rPr>
        <w:t xml:space="preserve"> Bando Municipal de Ecatepec de Morelos 2022</w:t>
      </w:r>
      <w:r w:rsidR="00CB1E70" w:rsidRPr="009762CA">
        <w:rPr>
          <w:rFonts w:ascii="Palatino Linotype" w:eastAsia="MS Mincho" w:hAnsi="Palatino Linotype" w:cs="Arial"/>
        </w:rPr>
        <w:t xml:space="preserve">, </w:t>
      </w:r>
      <w:r w:rsidR="002F32B3" w:rsidRPr="009762CA">
        <w:rPr>
          <w:rFonts w:ascii="Palatino Linotype" w:eastAsia="MS Mincho" w:hAnsi="Palatino Linotype" w:cs="Arial"/>
        </w:rPr>
        <w:t>tiene atribuciones para vigilar la administración y funcionamiento de la actividad comercial y de prestación de servicios en los Mercados Públicos Municipales, Tianguis y Comercio en Vía Pública, Áreas Públicas, así como aquellos que se instalen en áreas de uso común e inmuebles que se encuentren en régimen de propiedad en condominio, como a continuación se observa:</w:t>
      </w:r>
    </w:p>
    <w:p w14:paraId="189D83A3" w14:textId="77777777" w:rsidR="002F32B3" w:rsidRPr="009762CA" w:rsidRDefault="002F32B3" w:rsidP="002F32B3">
      <w:pPr>
        <w:pStyle w:val="Prrafodelista"/>
        <w:rPr>
          <w:rFonts w:ascii="Palatino Linotype" w:eastAsia="MS Mincho" w:hAnsi="Palatino Linotype" w:cs="Arial"/>
          <w:lang w:val="es-ES_tradnl"/>
        </w:rPr>
      </w:pPr>
    </w:p>
    <w:p w14:paraId="655A3776" w14:textId="4B1EAF78" w:rsidR="002F32B3" w:rsidRPr="009762CA" w:rsidRDefault="00BA327C" w:rsidP="00BA327C">
      <w:pPr>
        <w:tabs>
          <w:tab w:val="left" w:pos="720"/>
        </w:tabs>
        <w:spacing w:line="360" w:lineRule="auto"/>
        <w:ind w:left="720" w:right="918"/>
        <w:contextualSpacing/>
        <w:jc w:val="both"/>
        <w:rPr>
          <w:rFonts w:ascii="Palatino Linotype" w:eastAsia="MS Mincho" w:hAnsi="Palatino Linotype" w:cs="Arial"/>
          <w:i/>
        </w:rPr>
      </w:pPr>
      <w:r w:rsidRPr="009762CA">
        <w:rPr>
          <w:rFonts w:ascii="Palatino Linotype" w:eastAsia="MS Mincho" w:hAnsi="Palatino Linotype" w:cs="Arial"/>
          <w:b/>
          <w:i/>
        </w:rPr>
        <w:t>“</w:t>
      </w:r>
      <w:r w:rsidR="002F32B3" w:rsidRPr="009762CA">
        <w:rPr>
          <w:rFonts w:ascii="Palatino Linotype" w:eastAsia="MS Mincho" w:hAnsi="Palatino Linotype" w:cs="Arial"/>
          <w:b/>
          <w:i/>
        </w:rPr>
        <w:t>Artículo 89. La Coordinación de Mercados, Tianguis y Vía Pública regulará y vigilará la administración y funcionamiento de la actividad comercial y de prestación de servicios en los Mercados Públicos Municipales, Tianguis y Comercio en Vía Pública, Áreas Públicas, así como aquellos que se instalen en áreas de uso común e inmuebles que se encuentren en régimen de propiedad en condominio.</w:t>
      </w:r>
      <w:r w:rsidR="002F32B3" w:rsidRPr="009762CA">
        <w:rPr>
          <w:rFonts w:ascii="Palatino Linotype" w:eastAsia="MS Mincho" w:hAnsi="Palatino Linotype" w:cs="Arial"/>
          <w:i/>
        </w:rPr>
        <w:t xml:space="preserve"> </w:t>
      </w:r>
    </w:p>
    <w:p w14:paraId="3730D890" w14:textId="77777777" w:rsidR="002F32B3" w:rsidRPr="009762CA" w:rsidRDefault="002F32B3" w:rsidP="00BA327C">
      <w:pPr>
        <w:tabs>
          <w:tab w:val="left" w:pos="720"/>
        </w:tabs>
        <w:spacing w:line="360" w:lineRule="auto"/>
        <w:ind w:left="720" w:right="918"/>
        <w:contextualSpacing/>
        <w:jc w:val="both"/>
        <w:rPr>
          <w:rFonts w:ascii="Palatino Linotype" w:eastAsia="MS Mincho" w:hAnsi="Palatino Linotype" w:cs="Arial"/>
          <w:i/>
        </w:rPr>
      </w:pPr>
    </w:p>
    <w:p w14:paraId="3279EF52" w14:textId="77777777" w:rsidR="002F32B3" w:rsidRPr="009762CA" w:rsidRDefault="002F32B3" w:rsidP="00BA327C">
      <w:pPr>
        <w:tabs>
          <w:tab w:val="left" w:pos="720"/>
        </w:tabs>
        <w:spacing w:line="360" w:lineRule="auto"/>
        <w:ind w:left="720" w:right="918"/>
        <w:contextualSpacing/>
        <w:jc w:val="both"/>
        <w:rPr>
          <w:rFonts w:ascii="Palatino Linotype" w:eastAsia="MS Mincho" w:hAnsi="Palatino Linotype" w:cs="Arial"/>
          <w:i/>
        </w:rPr>
      </w:pPr>
      <w:r w:rsidRPr="009762CA">
        <w:rPr>
          <w:rFonts w:ascii="Palatino Linotype" w:eastAsia="MS Mincho" w:hAnsi="Palatino Linotype" w:cs="Arial"/>
          <w:i/>
        </w:rPr>
        <w:t xml:space="preserve">La Coordinación de Mercados, Tianguis y Vía Pública tiene la facultad para la expedición, refrendo y actualización de las Cédulas de Empadronamiento para ejercer Actividades Comerciales en Mercados Públicos Municipales </w:t>
      </w:r>
      <w:r w:rsidRPr="009762CA">
        <w:rPr>
          <w:rFonts w:ascii="Palatino Linotype" w:eastAsia="MS Mincho" w:hAnsi="Palatino Linotype" w:cs="Arial"/>
          <w:i/>
        </w:rPr>
        <w:lastRenderedPageBreak/>
        <w:t>que se otorguen a los particulares, previo cumplimiento de los requisitos establecidos en los ordenamientos legales aplicables a la materia.</w:t>
      </w:r>
    </w:p>
    <w:p w14:paraId="66CBC042" w14:textId="77777777" w:rsidR="002F32B3" w:rsidRPr="009762CA" w:rsidRDefault="002F32B3" w:rsidP="00BA327C">
      <w:pPr>
        <w:tabs>
          <w:tab w:val="left" w:pos="720"/>
        </w:tabs>
        <w:spacing w:line="360" w:lineRule="auto"/>
        <w:ind w:left="720" w:right="918"/>
        <w:contextualSpacing/>
        <w:jc w:val="both"/>
        <w:rPr>
          <w:rFonts w:ascii="Palatino Linotype" w:eastAsia="MS Mincho" w:hAnsi="Palatino Linotype" w:cs="Arial"/>
          <w:i/>
        </w:rPr>
      </w:pPr>
    </w:p>
    <w:p w14:paraId="3CE35AC7" w14:textId="77777777" w:rsidR="002F32B3" w:rsidRPr="009762CA" w:rsidRDefault="002F32B3" w:rsidP="00BA327C">
      <w:pPr>
        <w:tabs>
          <w:tab w:val="left" w:pos="720"/>
        </w:tabs>
        <w:spacing w:line="360" w:lineRule="auto"/>
        <w:ind w:left="720" w:right="918"/>
        <w:contextualSpacing/>
        <w:jc w:val="both"/>
        <w:rPr>
          <w:rFonts w:ascii="Palatino Linotype" w:eastAsia="MS Mincho" w:hAnsi="Palatino Linotype" w:cs="Arial"/>
          <w:i/>
        </w:rPr>
      </w:pPr>
      <w:r w:rsidRPr="009762CA">
        <w:rPr>
          <w:rFonts w:ascii="Palatino Linotype" w:eastAsia="MS Mincho" w:hAnsi="Palatino Linotype" w:cs="Arial"/>
          <w:i/>
        </w:rPr>
        <w:t xml:space="preserve"> Asimismo, podrá suspender las actividades comerciales a las y los empadronados que no cumplan con las obligaciones establecidas en el reglamento de la materia y en su caso podrá revocar la concesión y la Cédula de Empadronamiento para ejercer Actividades Comerciales en Mercados Públicos Municipales, previo procedimiento administrativo correspondiente, quedando </w:t>
      </w:r>
      <w:proofErr w:type="spellStart"/>
      <w:r w:rsidRPr="009762CA">
        <w:rPr>
          <w:rFonts w:ascii="Palatino Linotype" w:eastAsia="MS Mincho" w:hAnsi="Palatino Linotype" w:cs="Arial"/>
          <w:i/>
        </w:rPr>
        <w:t>esta</w:t>
      </w:r>
      <w:proofErr w:type="spellEnd"/>
      <w:r w:rsidRPr="009762CA">
        <w:rPr>
          <w:rFonts w:ascii="Palatino Linotype" w:eastAsia="MS Mincho" w:hAnsi="Palatino Linotype" w:cs="Arial"/>
          <w:i/>
        </w:rPr>
        <w:t xml:space="preserve"> a disposición de la Coordinación para su posterior asignación. Lo anterior, sin perjuicio de las atribuciones fiscales de las normas legales vigentes y aplicables para que las ejerza y cumpla la Tesorería Municipal. </w:t>
      </w:r>
    </w:p>
    <w:p w14:paraId="531831FE" w14:textId="77777777" w:rsidR="002F32B3" w:rsidRPr="009762CA" w:rsidRDefault="002F32B3" w:rsidP="00BA327C">
      <w:pPr>
        <w:tabs>
          <w:tab w:val="left" w:pos="720"/>
        </w:tabs>
        <w:spacing w:line="360" w:lineRule="auto"/>
        <w:ind w:left="720" w:right="918"/>
        <w:contextualSpacing/>
        <w:jc w:val="both"/>
        <w:rPr>
          <w:rFonts w:ascii="Palatino Linotype" w:eastAsia="MS Mincho" w:hAnsi="Palatino Linotype" w:cs="Arial"/>
          <w:i/>
        </w:rPr>
      </w:pPr>
    </w:p>
    <w:p w14:paraId="0673CDBF" w14:textId="77777777" w:rsidR="002F32B3" w:rsidRPr="009762CA" w:rsidRDefault="002F32B3" w:rsidP="00BA327C">
      <w:pPr>
        <w:tabs>
          <w:tab w:val="left" w:pos="720"/>
        </w:tabs>
        <w:spacing w:line="360" w:lineRule="auto"/>
        <w:ind w:left="720" w:right="918"/>
        <w:contextualSpacing/>
        <w:jc w:val="both"/>
        <w:rPr>
          <w:rFonts w:ascii="Palatino Linotype" w:eastAsia="MS Mincho" w:hAnsi="Palatino Linotype" w:cs="Arial"/>
          <w:i/>
        </w:rPr>
      </w:pPr>
      <w:r w:rsidRPr="009762CA">
        <w:rPr>
          <w:rFonts w:ascii="Palatino Linotype" w:eastAsia="MS Mincho" w:hAnsi="Palatino Linotype" w:cs="Arial"/>
          <w:i/>
        </w:rPr>
        <w:t xml:space="preserve">Garantizará y autorizará a las y los empadronados para que, en un orden preferencial de designación, determinen a las personas con derecho, sobre la explotación del local, previo cumplimiento de los trámites y requisitos correspondientes. </w:t>
      </w:r>
    </w:p>
    <w:p w14:paraId="06B80926" w14:textId="77777777" w:rsidR="002F32B3" w:rsidRPr="009762CA" w:rsidRDefault="002F32B3" w:rsidP="00BA327C">
      <w:pPr>
        <w:tabs>
          <w:tab w:val="left" w:pos="720"/>
        </w:tabs>
        <w:spacing w:line="360" w:lineRule="auto"/>
        <w:ind w:left="720" w:right="918"/>
        <w:contextualSpacing/>
        <w:jc w:val="both"/>
        <w:rPr>
          <w:rFonts w:ascii="Palatino Linotype" w:eastAsia="MS Mincho" w:hAnsi="Palatino Linotype" w:cs="Arial"/>
          <w:i/>
        </w:rPr>
      </w:pPr>
    </w:p>
    <w:p w14:paraId="14F981B8" w14:textId="77777777" w:rsidR="002F32B3" w:rsidRPr="009762CA" w:rsidRDefault="002F32B3" w:rsidP="00BA327C">
      <w:pPr>
        <w:tabs>
          <w:tab w:val="left" w:pos="720"/>
        </w:tabs>
        <w:spacing w:line="360" w:lineRule="auto"/>
        <w:ind w:left="720" w:right="918"/>
        <w:contextualSpacing/>
        <w:jc w:val="both"/>
        <w:rPr>
          <w:rFonts w:ascii="Palatino Linotype" w:eastAsia="MS Mincho" w:hAnsi="Palatino Linotype" w:cs="Arial"/>
          <w:i/>
        </w:rPr>
      </w:pPr>
      <w:r w:rsidRPr="009762CA">
        <w:rPr>
          <w:rFonts w:ascii="Palatino Linotype" w:eastAsia="MS Mincho" w:hAnsi="Palatino Linotype" w:cs="Arial"/>
          <w:i/>
        </w:rPr>
        <w:t xml:space="preserve">Para los puestos fijos y semifijos en la vía pública, áreas públicas y en la modalidad de tianguis será obligatorio el permiso expedido, previo cumplimiento de los requisitos establecidos en el ordenamiento jurídico aplicable. Para regular el crecimiento de los puestos fijos y semifijos, se creará un padrón de los mismos con la finalidad de llevar a cabo acciones tendientes a optimizar y regular el comercio en beneficio de la imagen </w:t>
      </w:r>
      <w:r w:rsidRPr="009762CA">
        <w:rPr>
          <w:rFonts w:ascii="Palatino Linotype" w:eastAsia="MS Mincho" w:hAnsi="Palatino Linotype" w:cs="Arial"/>
          <w:i/>
        </w:rPr>
        <w:lastRenderedPageBreak/>
        <w:t>urbana y un bien común. Cabe señalar que los permisos tendrán efecto únicamente en el ejercicio fiscal en que sean expedidos, teniendo que ser actualizados dentro de los tres primeros meses de cada ejercicio fiscal, a excepción de los expedidos para áreas públicas, los que tendrán una vigencia temporal de 30 días; estos podrán ser cancelados por el incumplimiento de las obligaciones establecidas en el reglamento respectivo, por denuncia ciudadana o por causa de utilidad pública.</w:t>
      </w:r>
    </w:p>
    <w:p w14:paraId="6222215C" w14:textId="77777777" w:rsidR="002F32B3" w:rsidRPr="009762CA" w:rsidRDefault="002F32B3" w:rsidP="00BA327C">
      <w:pPr>
        <w:tabs>
          <w:tab w:val="left" w:pos="720"/>
        </w:tabs>
        <w:spacing w:line="360" w:lineRule="auto"/>
        <w:ind w:left="720" w:right="918"/>
        <w:contextualSpacing/>
        <w:jc w:val="both"/>
        <w:rPr>
          <w:rFonts w:ascii="Palatino Linotype" w:eastAsia="MS Mincho" w:hAnsi="Palatino Linotype" w:cs="Arial"/>
          <w:i/>
        </w:rPr>
      </w:pPr>
    </w:p>
    <w:p w14:paraId="50AC22E0" w14:textId="77777777" w:rsidR="002F32B3" w:rsidRPr="009762CA" w:rsidRDefault="002F32B3" w:rsidP="00BA327C">
      <w:pPr>
        <w:tabs>
          <w:tab w:val="left" w:pos="720"/>
        </w:tabs>
        <w:spacing w:line="360" w:lineRule="auto"/>
        <w:ind w:left="720" w:right="918"/>
        <w:contextualSpacing/>
        <w:jc w:val="both"/>
        <w:rPr>
          <w:rFonts w:ascii="Palatino Linotype" w:eastAsia="MS Mincho" w:hAnsi="Palatino Linotype" w:cs="Arial"/>
          <w:i/>
        </w:rPr>
      </w:pPr>
      <w:r w:rsidRPr="009762CA">
        <w:rPr>
          <w:rFonts w:ascii="Palatino Linotype" w:eastAsia="MS Mincho" w:hAnsi="Palatino Linotype" w:cs="Arial"/>
          <w:i/>
        </w:rPr>
        <w:t xml:space="preserve"> </w:t>
      </w:r>
      <w:r w:rsidRPr="009762CA">
        <w:rPr>
          <w:rFonts w:ascii="Palatino Linotype" w:eastAsia="MS Mincho" w:hAnsi="Palatino Linotype" w:cs="Arial"/>
          <w:b/>
          <w:i/>
        </w:rPr>
        <w:t>Con la finalidad de apoyar y regular al comercio informal que se instala en vías y áreas públicas, se otorgarán permisos temporales por treinta días, señalando el espacio específico a ocupar para poder instalarse. Estos estarán sujetos a la reglamentación aplicable; en caso de no renovar su permiso, deberá retirarse voluntariamente, o de lo contrario, se procederá a su retiro de acuerdo al marco legal vigente</w:t>
      </w:r>
      <w:r w:rsidRPr="009762CA">
        <w:rPr>
          <w:rFonts w:ascii="Palatino Linotype" w:eastAsia="MS Mincho" w:hAnsi="Palatino Linotype" w:cs="Arial"/>
          <w:i/>
        </w:rPr>
        <w:t>.</w:t>
      </w:r>
    </w:p>
    <w:p w14:paraId="082143BC" w14:textId="77777777" w:rsidR="002F32B3" w:rsidRPr="009762CA" w:rsidRDefault="002F32B3" w:rsidP="00BA327C">
      <w:pPr>
        <w:tabs>
          <w:tab w:val="left" w:pos="720"/>
        </w:tabs>
        <w:spacing w:line="360" w:lineRule="auto"/>
        <w:ind w:left="720" w:right="918"/>
        <w:contextualSpacing/>
        <w:jc w:val="both"/>
        <w:rPr>
          <w:rFonts w:ascii="Palatino Linotype" w:eastAsia="MS Mincho" w:hAnsi="Palatino Linotype" w:cs="Arial"/>
          <w:i/>
        </w:rPr>
      </w:pPr>
    </w:p>
    <w:p w14:paraId="07E7D5D4" w14:textId="77777777" w:rsidR="002F32B3" w:rsidRPr="009762CA" w:rsidRDefault="002F32B3" w:rsidP="00BA327C">
      <w:pPr>
        <w:tabs>
          <w:tab w:val="left" w:pos="720"/>
        </w:tabs>
        <w:spacing w:line="360" w:lineRule="auto"/>
        <w:ind w:left="720" w:right="918"/>
        <w:contextualSpacing/>
        <w:jc w:val="both"/>
        <w:rPr>
          <w:rFonts w:ascii="Palatino Linotype" w:eastAsia="MS Mincho" w:hAnsi="Palatino Linotype" w:cs="Arial"/>
          <w:i/>
        </w:rPr>
      </w:pPr>
      <w:r w:rsidRPr="009762CA">
        <w:rPr>
          <w:rFonts w:ascii="Palatino Linotype" w:eastAsia="MS Mincho" w:hAnsi="Palatino Linotype" w:cs="Arial"/>
          <w:i/>
        </w:rPr>
        <w:t xml:space="preserve"> Así también esta Coordinación podrá celebrar acuerdos mediante minutas de trabajo entre comerciantes y sociedad con la finalidad de mantener el orden. Lo anterior, sin perjuicio de la atribución fiscal que las normas legales vigentes y aplicables establecen para que las ejerza y cumpla en coordinación con la Tesorería Municipal, con quien coadyuvará a efecto de que los comerciantes se registren ante el padrón de contribuyentes municipal. </w:t>
      </w:r>
    </w:p>
    <w:p w14:paraId="35AFD178" w14:textId="77777777" w:rsidR="002F32B3" w:rsidRPr="009762CA" w:rsidRDefault="002F32B3" w:rsidP="00BA327C">
      <w:pPr>
        <w:tabs>
          <w:tab w:val="left" w:pos="720"/>
        </w:tabs>
        <w:spacing w:line="360" w:lineRule="auto"/>
        <w:ind w:left="720" w:right="918"/>
        <w:contextualSpacing/>
        <w:jc w:val="both"/>
        <w:rPr>
          <w:rFonts w:ascii="Palatino Linotype" w:eastAsia="MS Mincho" w:hAnsi="Palatino Linotype" w:cs="Arial"/>
          <w:i/>
        </w:rPr>
      </w:pPr>
    </w:p>
    <w:p w14:paraId="62DA85DE" w14:textId="77777777" w:rsidR="00BA327C" w:rsidRPr="009762CA" w:rsidRDefault="002F32B3" w:rsidP="00BA327C">
      <w:pPr>
        <w:tabs>
          <w:tab w:val="left" w:pos="720"/>
        </w:tabs>
        <w:spacing w:line="360" w:lineRule="auto"/>
        <w:ind w:left="720" w:right="918"/>
        <w:contextualSpacing/>
        <w:jc w:val="both"/>
        <w:rPr>
          <w:rFonts w:ascii="Palatino Linotype" w:eastAsia="MS Mincho" w:hAnsi="Palatino Linotype" w:cs="Arial"/>
          <w:i/>
        </w:rPr>
      </w:pPr>
      <w:r w:rsidRPr="009762CA">
        <w:rPr>
          <w:rFonts w:ascii="Palatino Linotype" w:eastAsia="MS Mincho" w:hAnsi="Palatino Linotype" w:cs="Arial"/>
          <w:i/>
        </w:rPr>
        <w:lastRenderedPageBreak/>
        <w:t>La Coordinación de Mercados, Tianguis y Vía Pública podrá realizar operativos en tianguis, puestos fijos y semifijos, en vía pública y áreas públicas de manera conjunta con la Secretaria del Ayuntamiento, Dirección de Seguridad Pública y Tránsito, Dirección de Movilidad y Transporte, Contraloría Interna Municipal, Dirección Jurídica y Consultiva, Defensoría Municipal de los Derechos Humanos, Dirección de Protección Civil y Bomberos, Dirección de Medio Ambiente y Ecología, el Sistema Municipal para el Desarrollo Integral de la Familia y demás áreas involucradas, teniendo como finalidad evitar la venta de bebidas alcohólicas, equipos de telefonía usados en función y sus refacciones, así como autopartes y refacciones automotrices usadas, medicamentos y otro tipo de insumos para la salud, realización de tatuajes, perforaciones y/o micro pigmentación, pirotecnia y cualquier arma señalada en el Artículo 179 del Código Penal del Estado de México, así como ejemplares faunísticos vivos en peligro de extinción o en taxidermia.</w:t>
      </w:r>
    </w:p>
    <w:p w14:paraId="76876AEF" w14:textId="77777777" w:rsidR="00BA327C" w:rsidRPr="009762CA" w:rsidRDefault="00BA327C" w:rsidP="00BA327C">
      <w:pPr>
        <w:tabs>
          <w:tab w:val="left" w:pos="720"/>
        </w:tabs>
        <w:spacing w:line="360" w:lineRule="auto"/>
        <w:ind w:left="720" w:right="918"/>
        <w:contextualSpacing/>
        <w:jc w:val="both"/>
        <w:rPr>
          <w:rFonts w:ascii="Palatino Linotype" w:eastAsia="MS Mincho" w:hAnsi="Palatino Linotype" w:cs="Arial"/>
          <w:i/>
        </w:rPr>
      </w:pPr>
    </w:p>
    <w:p w14:paraId="3ED5156D" w14:textId="57C1960E" w:rsidR="002F32B3" w:rsidRPr="009762CA" w:rsidRDefault="002F32B3" w:rsidP="00BA327C">
      <w:pPr>
        <w:tabs>
          <w:tab w:val="left" w:pos="720"/>
        </w:tabs>
        <w:spacing w:line="360" w:lineRule="auto"/>
        <w:ind w:left="720" w:right="918"/>
        <w:contextualSpacing/>
        <w:jc w:val="both"/>
        <w:rPr>
          <w:rFonts w:ascii="Palatino Linotype" w:eastAsia="MS Mincho" w:hAnsi="Palatino Linotype" w:cs="Arial"/>
          <w:i/>
        </w:rPr>
      </w:pPr>
      <w:r w:rsidRPr="009762CA">
        <w:rPr>
          <w:rFonts w:ascii="Palatino Linotype" w:eastAsia="MS Mincho" w:hAnsi="Palatino Linotype" w:cs="Arial"/>
          <w:i/>
        </w:rPr>
        <w:t xml:space="preserve"> La Coordinación de Mercados, Tianguis y Vía Pública podrá substanciar procedimientos administrativos y, en su caso, aplicar las sanciones correspondientes cuando se incumplan las disposiciones contenidas en este ordenamiento, el Reglamento Interno de la Administración Pública Municipal de Ecatepec de Morelos, el Reglamento de Regulación de la Actividad Comercial y de Prestación de Servicios en los Mercados, Tianguis y Vía Pública del Municipio de Ecatepec de Morelos y demás disposiciones aplicables.</w:t>
      </w:r>
      <w:r w:rsidR="00BA327C" w:rsidRPr="009762CA">
        <w:rPr>
          <w:rFonts w:ascii="Palatino Linotype" w:eastAsia="MS Mincho" w:hAnsi="Palatino Linotype" w:cs="Arial"/>
          <w:i/>
        </w:rPr>
        <w:t>” (Sic)</w:t>
      </w:r>
    </w:p>
    <w:p w14:paraId="171E6E12" w14:textId="77777777" w:rsidR="00CB1E70" w:rsidRPr="009762CA" w:rsidRDefault="00CB1E70" w:rsidP="00CB1E70">
      <w:pPr>
        <w:spacing w:line="360" w:lineRule="auto"/>
        <w:ind w:right="49"/>
        <w:contextualSpacing/>
        <w:jc w:val="both"/>
        <w:rPr>
          <w:rFonts w:ascii="Palatino Linotype" w:eastAsia="MS Mincho" w:hAnsi="Palatino Linotype" w:cs="Arial"/>
          <w:lang w:val="es-ES_tradnl"/>
        </w:rPr>
      </w:pPr>
    </w:p>
    <w:p w14:paraId="4C6836DB" w14:textId="6AE32568" w:rsidR="00567210" w:rsidRPr="009762CA" w:rsidRDefault="00BA327C" w:rsidP="00567210">
      <w:pPr>
        <w:numPr>
          <w:ilvl w:val="0"/>
          <w:numId w:val="12"/>
        </w:numPr>
        <w:spacing w:line="360" w:lineRule="auto"/>
        <w:ind w:left="0" w:right="49" w:firstLine="0"/>
        <w:contextualSpacing/>
        <w:jc w:val="both"/>
        <w:rPr>
          <w:rFonts w:ascii="Palatino Linotype" w:eastAsia="MS Mincho" w:hAnsi="Palatino Linotype" w:cs="Arial"/>
          <w:lang w:val="es-ES_tradnl"/>
        </w:rPr>
      </w:pPr>
      <w:r w:rsidRPr="009762CA">
        <w:rPr>
          <w:rFonts w:ascii="Palatino Linotype" w:eastAsia="Calibri" w:hAnsi="Palatino Linotype"/>
          <w:lang w:val="es-MX"/>
        </w:rPr>
        <w:t xml:space="preserve">Apuntado </w:t>
      </w:r>
      <w:r w:rsidR="00567210" w:rsidRPr="009762CA">
        <w:rPr>
          <w:rFonts w:ascii="Palatino Linotype" w:eastAsia="Calibri" w:hAnsi="Palatino Linotype"/>
          <w:lang w:val="es-MX"/>
        </w:rPr>
        <w:t xml:space="preserve">lo anterior, es necesario referir que </w:t>
      </w:r>
      <w:r w:rsidR="00567210" w:rsidRPr="009762CA">
        <w:rPr>
          <w:rFonts w:ascii="Palatino Linotype" w:eastAsia="MS Mincho" w:hAnsi="Palatino Linotype"/>
          <w:lang w:val="es-ES_tradnl" w:eastAsia="es-ES_tradnl"/>
        </w:rPr>
        <w:t xml:space="preserve">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00567210" w:rsidRPr="009762CA">
        <w:rPr>
          <w:rFonts w:ascii="Palatino Linotype" w:eastAsia="MS Mincho" w:hAnsi="Palatino Linotype"/>
          <w:b/>
          <w:lang w:val="es-ES_tradnl" w:eastAsia="es-ES_tradnl"/>
        </w:rPr>
        <w:t>(SAIMEX).</w:t>
      </w:r>
    </w:p>
    <w:p w14:paraId="550D493F" w14:textId="77777777" w:rsidR="00567210" w:rsidRPr="009762CA" w:rsidRDefault="00567210" w:rsidP="00567210">
      <w:pPr>
        <w:spacing w:line="360" w:lineRule="auto"/>
        <w:ind w:right="49"/>
        <w:contextualSpacing/>
        <w:jc w:val="both"/>
        <w:rPr>
          <w:rFonts w:ascii="Palatino Linotype" w:eastAsia="MS Mincho" w:hAnsi="Palatino Linotype" w:cs="Arial"/>
          <w:lang w:val="es-ES_tradnl"/>
        </w:rPr>
      </w:pPr>
    </w:p>
    <w:p w14:paraId="79BFDFFB" w14:textId="77777777" w:rsidR="00567210" w:rsidRPr="009762CA" w:rsidRDefault="00567210" w:rsidP="00567210">
      <w:pPr>
        <w:numPr>
          <w:ilvl w:val="0"/>
          <w:numId w:val="12"/>
        </w:numPr>
        <w:spacing w:line="360" w:lineRule="auto"/>
        <w:ind w:left="0" w:right="49" w:firstLine="0"/>
        <w:contextualSpacing/>
        <w:jc w:val="both"/>
        <w:rPr>
          <w:rFonts w:ascii="Palatino Linotype" w:eastAsia="MS Mincho" w:hAnsi="Palatino Linotype" w:cs="Arial"/>
          <w:lang w:val="es-ES_tradnl"/>
        </w:rPr>
      </w:pPr>
      <w:r w:rsidRPr="009762CA">
        <w:rPr>
          <w:rFonts w:ascii="Palatino Linotype" w:eastAsia="MS Mincho" w:hAnsi="Palatino Linotype"/>
          <w:lang w:val="es-ES_tradnl" w:eastAsia="es-ES_tradnl"/>
        </w:rPr>
        <w:t>Sirviendo de apoyo a lo anterior por analogía, el criterio 31-10 emitido por el ahora Instituto Nacional de Transparencia, Acceso a la Información y Protección de Datos Personales, que a la letra dice:</w:t>
      </w:r>
    </w:p>
    <w:p w14:paraId="5100A82D" w14:textId="77777777" w:rsidR="00567210" w:rsidRPr="009762CA" w:rsidRDefault="00567210" w:rsidP="00567210">
      <w:pPr>
        <w:spacing w:line="360" w:lineRule="auto"/>
        <w:ind w:right="49"/>
        <w:contextualSpacing/>
        <w:jc w:val="both"/>
        <w:rPr>
          <w:rFonts w:ascii="Palatino Linotype" w:eastAsia="MS Mincho" w:hAnsi="Palatino Linotype" w:cs="Arial"/>
          <w:lang w:val="es-ES_tradnl"/>
        </w:rPr>
      </w:pPr>
    </w:p>
    <w:p w14:paraId="2140BA44" w14:textId="77777777" w:rsidR="00567210" w:rsidRPr="009762CA" w:rsidRDefault="00567210" w:rsidP="00567210">
      <w:pPr>
        <w:widowControl w:val="0"/>
        <w:autoSpaceDE w:val="0"/>
        <w:autoSpaceDN w:val="0"/>
        <w:adjustRightInd w:val="0"/>
        <w:spacing w:before="240" w:after="240" w:line="360" w:lineRule="auto"/>
        <w:ind w:left="567" w:right="567"/>
        <w:jc w:val="both"/>
        <w:rPr>
          <w:rFonts w:ascii="Palatino Linotype" w:eastAsia="MS Mincho" w:hAnsi="Palatino Linotype"/>
          <w:i/>
          <w:lang w:val="es-ES_tradnl" w:eastAsia="es-ES_tradnl"/>
        </w:rPr>
      </w:pPr>
      <w:r w:rsidRPr="009762CA">
        <w:rPr>
          <w:rFonts w:ascii="Palatino Linotype" w:eastAsia="MS Mincho" w:hAnsi="Palatino Linotype"/>
          <w:b/>
          <w:i/>
          <w:lang w:val="es-ES_tradnl" w:eastAsia="es-ES_tradnl"/>
        </w:rPr>
        <w:t xml:space="preserve">“El Instituto Federal de Acceso a la Información y Protección de Datos no cuenta con facultades para pronunciarse respecto de la veracidad de los documentos proporcionados por los sujetos obligados. </w:t>
      </w:r>
      <w:r w:rsidRPr="009762CA">
        <w:rPr>
          <w:rFonts w:ascii="Palatino Linotype" w:eastAsia="MS Mincho" w:hAnsi="Palatino Linotype"/>
          <w:i/>
          <w:lang w:val="es-ES_tradnl" w:eastAsia="es-ES_tradnl"/>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w:t>
      </w:r>
      <w:r w:rsidRPr="009762CA">
        <w:rPr>
          <w:rFonts w:ascii="Palatino Linotype" w:eastAsia="MS Mincho" w:hAnsi="Palatino Linotype"/>
          <w:i/>
          <w:lang w:val="es-ES_tradnl" w:eastAsia="es-ES_tradnl"/>
        </w:rPr>
        <w:lastRenderedPageBreak/>
        <w:t>artículos 49 y 50 de la Ley Federal de Transparencia y Acceso a la Información Pública Gubernamental no se prevé una causal que permita al Instituto Federal de Acceso a la Información y Protección de Datos conocer, vía recurso revisión, al respecto.”</w:t>
      </w:r>
    </w:p>
    <w:p w14:paraId="4B36761B" w14:textId="77777777" w:rsidR="00567210" w:rsidRPr="009762CA" w:rsidRDefault="00567210" w:rsidP="00567210">
      <w:pPr>
        <w:widowControl w:val="0"/>
        <w:numPr>
          <w:ilvl w:val="0"/>
          <w:numId w:val="12"/>
        </w:numPr>
        <w:autoSpaceDE w:val="0"/>
        <w:autoSpaceDN w:val="0"/>
        <w:adjustRightInd w:val="0"/>
        <w:spacing w:before="240" w:after="240" w:line="360" w:lineRule="auto"/>
        <w:ind w:left="0" w:firstLine="0"/>
        <w:contextualSpacing/>
        <w:jc w:val="both"/>
        <w:rPr>
          <w:rFonts w:ascii="Palatino Linotype" w:eastAsia="MS Mincho" w:hAnsi="Palatino Linotype"/>
          <w:lang w:val="es-ES_tradnl" w:eastAsia="es-ES_tradnl"/>
        </w:rPr>
      </w:pPr>
      <w:r w:rsidRPr="009762CA">
        <w:rPr>
          <w:rFonts w:ascii="Palatino Linotype" w:eastAsia="MS Mincho" w:hAnsi="Palatino Linotype"/>
          <w:lang w:val="es-ES_tradnl" w:eastAsia="es-ES_tradnl"/>
        </w:rPr>
        <w:t xml:space="preserve">Numerales que compelen al </w:t>
      </w:r>
      <w:r w:rsidRPr="009762CA">
        <w:rPr>
          <w:rFonts w:ascii="Palatino Linotype" w:eastAsia="MS Mincho" w:hAnsi="Palatino Linotype"/>
          <w:b/>
          <w:lang w:val="es-ES_tradnl" w:eastAsia="es-ES_tradnl"/>
        </w:rPr>
        <w:t>SUJETO OBLIGADO</w:t>
      </w:r>
      <w:r w:rsidRPr="009762CA">
        <w:rPr>
          <w:rFonts w:ascii="Palatino Linotype" w:eastAsia="MS Mincho" w:hAnsi="Palatino Linotype"/>
          <w:lang w:val="es-ES_tradnl" w:eastAsia="es-ES_tradnl"/>
        </w:rPr>
        <w:t xml:space="preserve"> a apegarse en todo momento a los criterios ya expuestos, impidiendo a este Órgano Colegiado cuestionar la veracidad de la información.</w:t>
      </w:r>
    </w:p>
    <w:p w14:paraId="035DB484" w14:textId="77777777" w:rsidR="00567210" w:rsidRPr="009762CA" w:rsidRDefault="00567210" w:rsidP="00567210">
      <w:pPr>
        <w:widowControl w:val="0"/>
        <w:autoSpaceDE w:val="0"/>
        <w:autoSpaceDN w:val="0"/>
        <w:adjustRightInd w:val="0"/>
        <w:spacing w:before="240" w:after="240" w:line="360" w:lineRule="auto"/>
        <w:contextualSpacing/>
        <w:jc w:val="both"/>
        <w:rPr>
          <w:rFonts w:ascii="Palatino Linotype" w:eastAsia="MS Mincho" w:hAnsi="Palatino Linotype"/>
          <w:lang w:val="es-ES_tradnl" w:eastAsia="es-ES_tradnl"/>
        </w:rPr>
      </w:pPr>
    </w:p>
    <w:p w14:paraId="3CE2E31A" w14:textId="77777777" w:rsidR="00567210" w:rsidRPr="009762CA" w:rsidRDefault="00567210" w:rsidP="00567210">
      <w:pPr>
        <w:numPr>
          <w:ilvl w:val="0"/>
          <w:numId w:val="12"/>
        </w:numPr>
        <w:spacing w:line="360" w:lineRule="auto"/>
        <w:ind w:left="0" w:firstLine="0"/>
        <w:contextualSpacing/>
        <w:jc w:val="both"/>
        <w:rPr>
          <w:rFonts w:ascii="Palatino Linotype" w:eastAsia="Calibri" w:hAnsi="Palatino Linotype"/>
        </w:rPr>
      </w:pPr>
      <w:r w:rsidRPr="009762CA">
        <w:rPr>
          <w:rFonts w:ascii="Palatino Linotype" w:eastAsia="Calibri" w:hAnsi="Palatino Linotype"/>
          <w:lang w:val="es-MX"/>
        </w:rPr>
        <w:t xml:space="preserve">Así, </w:t>
      </w:r>
      <w:r w:rsidRPr="009762CA">
        <w:rPr>
          <w:rFonts w:ascii="Palatino Linotype" w:eastAsia="Calibri" w:hAnsi="Palatino Linotype"/>
          <w:lang w:val="es-ES_tradnl"/>
        </w:rPr>
        <w:t xml:space="preserve">por cuanto hace a las causas de sobreseimiento contenidas en la fracción III del artículo 192 de la </w:t>
      </w:r>
      <w:r w:rsidRPr="009762CA">
        <w:rPr>
          <w:rFonts w:ascii="Palatino Linotype" w:eastAsia="Calibri" w:hAnsi="Palatino Linotype"/>
          <w:b/>
          <w:lang w:val="es-ES_tradnl"/>
        </w:rPr>
        <w:t>Ley de Transparencia y Acceso a la Información Pública del Estado de México y Municipios</w:t>
      </w:r>
      <w:r w:rsidRPr="009762CA">
        <w:rPr>
          <w:rFonts w:ascii="Palatino Linotype" w:eastAsia="Calibri" w:hAnsi="Palatino Linotype"/>
          <w:lang w:val="es-ES_tradnl"/>
        </w:rPr>
        <w:t xml:space="preserve">, es oportuno señalar que estos requisitos privilegian la existencia de elementos de fondo, tales como el desistimiento o fallecimiento del </w:t>
      </w:r>
      <w:r w:rsidRPr="009762CA">
        <w:rPr>
          <w:rFonts w:ascii="Palatino Linotype" w:eastAsia="Calibri" w:hAnsi="Palatino Linotype"/>
          <w:b/>
          <w:lang w:val="es-ES_tradnl"/>
        </w:rPr>
        <w:t>RECURRENTE</w:t>
      </w:r>
      <w:r w:rsidRPr="009762CA">
        <w:rPr>
          <w:rFonts w:ascii="Palatino Linotype" w:eastAsia="Calibri" w:hAnsi="Palatino Linotype"/>
          <w:lang w:val="es-ES_tradnl"/>
        </w:rPr>
        <w:t xml:space="preserve"> o que el </w:t>
      </w:r>
      <w:r w:rsidRPr="009762CA">
        <w:rPr>
          <w:rFonts w:ascii="Palatino Linotype" w:eastAsia="Calibri" w:hAnsi="Palatino Linotype"/>
          <w:b/>
          <w:lang w:val="es-ES_tradnl"/>
        </w:rPr>
        <w:t>SUJETO OBLIGADO</w:t>
      </w:r>
      <w:r w:rsidRPr="009762CA">
        <w:rPr>
          <w:rFonts w:ascii="Palatino Linotype" w:eastAsia="Calibri" w:hAnsi="Palatino Linotype"/>
          <w:lang w:val="es-ES_tradnl"/>
        </w:rPr>
        <w:t xml:space="preserve"> </w:t>
      </w:r>
      <w:r w:rsidRPr="009762CA">
        <w:rPr>
          <w:rFonts w:ascii="Palatino Linotype" w:eastAsia="Calibri" w:hAnsi="Palatino Linotype"/>
          <w:b/>
          <w:u w:val="single"/>
          <w:lang w:val="es-ES_tradnl"/>
        </w:rPr>
        <w:t>modifique o revoque el acto</w:t>
      </w:r>
      <w:r w:rsidRPr="009762CA">
        <w:rPr>
          <w:rFonts w:ascii="Palatino Linotype" w:eastAsia="Calibri" w:hAnsi="Palatino Linotype"/>
          <w:lang w:val="es-ES_tradnl"/>
        </w:rPr>
        <w:t>; de ahí que la actualización de alguno de éstos trae como consecuencia que el medio de impugnación se concluya sin que se analice el objeto de estudio planteado, es decir se sobresea.</w:t>
      </w:r>
    </w:p>
    <w:p w14:paraId="672F2A4B" w14:textId="77777777" w:rsidR="00567210" w:rsidRPr="009762CA" w:rsidRDefault="00567210" w:rsidP="00567210">
      <w:pPr>
        <w:spacing w:line="360" w:lineRule="auto"/>
        <w:jc w:val="both"/>
        <w:rPr>
          <w:rFonts w:ascii="Palatino Linotype" w:eastAsia="Calibri" w:hAnsi="Palatino Linotype"/>
        </w:rPr>
      </w:pPr>
    </w:p>
    <w:p w14:paraId="177674E3" w14:textId="77777777" w:rsidR="00567210" w:rsidRPr="009762CA" w:rsidRDefault="00567210" w:rsidP="00567210">
      <w:pPr>
        <w:numPr>
          <w:ilvl w:val="0"/>
          <w:numId w:val="12"/>
        </w:numPr>
        <w:spacing w:line="360" w:lineRule="auto"/>
        <w:ind w:left="0" w:firstLine="0"/>
        <w:contextualSpacing/>
        <w:jc w:val="both"/>
        <w:rPr>
          <w:rFonts w:ascii="Palatino Linotype" w:eastAsia="Calibri" w:hAnsi="Palatino Linotype"/>
        </w:rPr>
      </w:pPr>
      <w:r w:rsidRPr="009762CA">
        <w:rPr>
          <w:rFonts w:ascii="Palatino Linotype" w:eastAsia="Calibri" w:hAnsi="Palatino Linotype"/>
          <w:lang w:val="es-ES_tradnl"/>
        </w:rPr>
        <w:t xml:space="preserve">Para los efectos de esta resolución, es oportuno precisar los alcances jurídicos de la fracción III de la disposición legal transcrita. Así, procede el sobreseimiento del recurso de revisión cuando el </w:t>
      </w:r>
      <w:r w:rsidRPr="009762CA">
        <w:rPr>
          <w:rFonts w:ascii="Palatino Linotype" w:eastAsia="Calibri" w:hAnsi="Palatino Linotype"/>
          <w:b/>
          <w:lang w:val="es-ES_tradnl"/>
        </w:rPr>
        <w:t>SUJETO OBLIGADO</w:t>
      </w:r>
      <w:r w:rsidRPr="009762CA">
        <w:rPr>
          <w:rFonts w:ascii="Palatino Linotype" w:eastAsia="Calibri" w:hAnsi="Palatino Linotype"/>
          <w:lang w:val="es-ES_tradnl"/>
        </w:rPr>
        <w:t>:</w:t>
      </w:r>
    </w:p>
    <w:p w14:paraId="366EE2AF" w14:textId="77777777" w:rsidR="00567210" w:rsidRPr="009762CA" w:rsidRDefault="00567210" w:rsidP="00567210">
      <w:pPr>
        <w:spacing w:line="360" w:lineRule="auto"/>
        <w:jc w:val="both"/>
        <w:rPr>
          <w:rFonts w:ascii="Palatino Linotype" w:eastAsia="Calibri" w:hAnsi="Palatino Linotype"/>
        </w:rPr>
      </w:pPr>
    </w:p>
    <w:p w14:paraId="56FB3295" w14:textId="77777777" w:rsidR="00567210" w:rsidRPr="009762CA" w:rsidRDefault="00567210" w:rsidP="00567210">
      <w:pPr>
        <w:numPr>
          <w:ilvl w:val="0"/>
          <w:numId w:val="32"/>
        </w:numPr>
        <w:spacing w:line="360" w:lineRule="auto"/>
        <w:ind w:left="567" w:right="616"/>
        <w:contextualSpacing/>
        <w:jc w:val="both"/>
        <w:rPr>
          <w:rFonts w:ascii="Palatino Linotype" w:eastAsia="MS Mincho" w:hAnsi="Palatino Linotype" w:cs="Arial"/>
          <w:lang w:val="es-ES_tradnl"/>
        </w:rPr>
      </w:pPr>
      <w:r w:rsidRPr="009762CA">
        <w:rPr>
          <w:rFonts w:ascii="Palatino Linotype" w:eastAsia="MS Mincho" w:hAnsi="Palatino Linotype" w:cs="Arial"/>
          <w:b/>
          <w:lang w:val="es-ES_tradnl"/>
        </w:rPr>
        <w:t>Modifique el acto impugnado:</w:t>
      </w:r>
      <w:r w:rsidRPr="009762CA">
        <w:rPr>
          <w:rFonts w:ascii="Palatino Linotype" w:eastAsia="MS Mincho" w:hAnsi="Palatino Linotype" w:cs="Arial"/>
          <w:lang w:val="es-ES_tradnl"/>
        </w:rPr>
        <w:t xml:space="preserve"> Se actualiza cuando el </w:t>
      </w:r>
      <w:r w:rsidRPr="009762CA">
        <w:rPr>
          <w:rFonts w:ascii="Palatino Linotype" w:eastAsia="MS Mincho" w:hAnsi="Palatino Linotype" w:cs="Arial"/>
          <w:b/>
          <w:lang w:val="es-ES_tradnl"/>
        </w:rPr>
        <w:t>SUJETO OBLIGADO</w:t>
      </w:r>
      <w:r w:rsidRPr="009762CA">
        <w:rPr>
          <w:rFonts w:ascii="Palatino Linotype" w:eastAsia="MS Mincho" w:hAnsi="Palatino Linotype" w:cs="Arial"/>
          <w:lang w:val="es-ES_tradnl"/>
        </w:rPr>
        <w:t xml:space="preserve"> después de haber otorgado una respuesta y hasta antes de </w:t>
      </w:r>
      <w:r w:rsidRPr="009762CA">
        <w:rPr>
          <w:rFonts w:ascii="Palatino Linotype" w:eastAsia="MS Mincho" w:hAnsi="Palatino Linotype" w:cs="Arial"/>
          <w:lang w:val="es-ES_tradnl"/>
        </w:rPr>
        <w:lastRenderedPageBreak/>
        <w:t>dictada la resolución del recurso de revisión, emite una diversa en la que subsane las deficiencias que hubiera tenido.</w:t>
      </w:r>
    </w:p>
    <w:p w14:paraId="7DD06441" w14:textId="77777777" w:rsidR="00567210" w:rsidRPr="009762CA" w:rsidRDefault="00567210" w:rsidP="00567210">
      <w:pPr>
        <w:spacing w:line="360" w:lineRule="auto"/>
        <w:ind w:left="1068" w:right="567"/>
        <w:contextualSpacing/>
        <w:jc w:val="both"/>
        <w:rPr>
          <w:rFonts w:ascii="Palatino Linotype" w:eastAsia="MS Mincho" w:hAnsi="Palatino Linotype" w:cs="Arial"/>
          <w:lang w:val="es-ES_tradnl"/>
        </w:rPr>
      </w:pPr>
    </w:p>
    <w:p w14:paraId="3EA3018E" w14:textId="77777777" w:rsidR="00567210" w:rsidRPr="009762CA" w:rsidRDefault="00567210" w:rsidP="00567210">
      <w:pPr>
        <w:numPr>
          <w:ilvl w:val="0"/>
          <w:numId w:val="32"/>
        </w:numPr>
        <w:spacing w:line="360" w:lineRule="auto"/>
        <w:ind w:left="567" w:right="616"/>
        <w:contextualSpacing/>
        <w:jc w:val="both"/>
        <w:rPr>
          <w:rFonts w:ascii="Palatino Linotype" w:eastAsia="MS Mincho" w:hAnsi="Palatino Linotype" w:cs="Arial"/>
          <w:lang w:val="es-ES_tradnl"/>
        </w:rPr>
      </w:pPr>
      <w:r w:rsidRPr="009762CA">
        <w:rPr>
          <w:rFonts w:ascii="Palatino Linotype" w:eastAsia="MS Mincho" w:hAnsi="Palatino Linotype" w:cs="Arial"/>
          <w:b/>
          <w:lang w:val="es-ES_tradnl"/>
        </w:rPr>
        <w:t>Revoque el acto impugnado:</w:t>
      </w:r>
      <w:r w:rsidRPr="009762CA">
        <w:rPr>
          <w:rFonts w:ascii="Palatino Linotype" w:eastAsia="MS Mincho" w:hAnsi="Palatino Linotype" w:cs="Arial"/>
          <w:lang w:val="es-ES_tradnl"/>
        </w:rPr>
        <w:t xml:space="preserve"> En este supuesto, el </w:t>
      </w:r>
      <w:r w:rsidRPr="009762CA">
        <w:rPr>
          <w:rFonts w:ascii="Palatino Linotype" w:eastAsia="MS Mincho" w:hAnsi="Palatino Linotype" w:cs="Arial"/>
          <w:b/>
          <w:lang w:val="es-ES_tradnl"/>
        </w:rPr>
        <w:t>SUJETO OBLIGADO</w:t>
      </w:r>
      <w:r w:rsidRPr="009762CA">
        <w:rPr>
          <w:rFonts w:ascii="Palatino Linotype" w:eastAsia="MS Mincho" w:hAnsi="Palatino Linotype" w:cs="Arial"/>
          <w:lang w:val="es-ES_tradnl"/>
        </w:rPr>
        <w:t xml:space="preserve"> deja sin efectos la primera respuesta y en su lugar emite otra que satisfaga lo solicitado por el particular en un primer momento.</w:t>
      </w:r>
    </w:p>
    <w:p w14:paraId="0E7F8CD1" w14:textId="77777777" w:rsidR="00567210" w:rsidRPr="009762CA" w:rsidRDefault="00567210" w:rsidP="00567210">
      <w:pPr>
        <w:spacing w:line="360" w:lineRule="auto"/>
        <w:ind w:right="616"/>
        <w:contextualSpacing/>
        <w:jc w:val="both"/>
        <w:rPr>
          <w:rFonts w:ascii="Palatino Linotype" w:eastAsia="MS Mincho" w:hAnsi="Palatino Linotype" w:cs="Arial"/>
          <w:lang w:val="es-ES_tradnl"/>
        </w:rPr>
      </w:pPr>
    </w:p>
    <w:p w14:paraId="4E49D470" w14:textId="77777777" w:rsidR="00567210" w:rsidRPr="009762CA"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9762CA">
        <w:rPr>
          <w:rFonts w:ascii="Palatino Linotype" w:eastAsia="Calibri" w:hAnsi="Palatino Linotype"/>
          <w:lang w:val="es-ES_tradnl"/>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0167B478" w14:textId="77777777" w:rsidR="00567210" w:rsidRPr="009762CA" w:rsidRDefault="00567210" w:rsidP="00567210">
      <w:pPr>
        <w:spacing w:line="360" w:lineRule="auto"/>
        <w:jc w:val="both"/>
        <w:rPr>
          <w:rFonts w:ascii="Palatino Linotype" w:eastAsia="Calibri" w:hAnsi="Palatino Linotype"/>
          <w:lang w:val="es-ES_tradnl"/>
        </w:rPr>
      </w:pPr>
    </w:p>
    <w:p w14:paraId="028302AA" w14:textId="77777777" w:rsidR="00567210" w:rsidRPr="009762CA"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9762CA">
        <w:rPr>
          <w:rFonts w:ascii="Palatino Linotype" w:eastAsia="Calibri" w:hAnsi="Palatino Linotype"/>
          <w:lang w:val="es-ES_tradnl"/>
        </w:rPr>
        <w:t xml:space="preserve">En el presente asunto, este Pleno advierte que el </w:t>
      </w:r>
      <w:r w:rsidRPr="009762CA">
        <w:rPr>
          <w:rFonts w:ascii="Palatino Linotype" w:eastAsia="Calibri" w:hAnsi="Palatino Linotype"/>
          <w:b/>
          <w:lang w:val="es-ES_tradnl"/>
        </w:rPr>
        <w:t>SUJETO OBLIGADO</w:t>
      </w:r>
      <w:r w:rsidRPr="009762CA">
        <w:rPr>
          <w:rFonts w:ascii="Palatino Linotype" w:eastAsia="Calibri" w:hAnsi="Palatino Linotype"/>
          <w:lang w:val="es-ES_tradnl"/>
        </w:rPr>
        <w:t xml:space="preserve"> con la información enviada a través del informe de justificación, </w:t>
      </w:r>
      <w:r w:rsidRPr="009762CA">
        <w:rPr>
          <w:rFonts w:ascii="Palatino Linotype" w:eastAsia="Calibri" w:hAnsi="Palatino Linotype"/>
          <w:b/>
          <w:lang w:val="es-ES_tradnl"/>
        </w:rPr>
        <w:t>modifica</w:t>
      </w:r>
      <w:r w:rsidRPr="009762CA">
        <w:rPr>
          <w:rFonts w:ascii="Palatino Linotype" w:eastAsia="Calibri" w:hAnsi="Palatino Linotype"/>
          <w:lang w:val="es-ES_tradnl"/>
        </w:rPr>
        <w:t xml:space="preserve"> el acto que le dio origen al recurso de revisión, lo que trae como consecuencia que el mismo quede sin materia, actualizándose de este modo, la hipótesis jurídica contenida en la fracción III del citado artículo.</w:t>
      </w:r>
    </w:p>
    <w:p w14:paraId="7709E788" w14:textId="77777777" w:rsidR="00567210" w:rsidRPr="009762CA" w:rsidRDefault="00567210" w:rsidP="00567210">
      <w:pPr>
        <w:ind w:left="720"/>
        <w:contextualSpacing/>
        <w:rPr>
          <w:rFonts w:ascii="Palatino Linotype" w:eastAsia="Calibri" w:hAnsi="Palatino Linotype"/>
          <w:lang w:val="es-ES_tradnl"/>
        </w:rPr>
      </w:pPr>
    </w:p>
    <w:p w14:paraId="52044573" w14:textId="77777777" w:rsidR="00567210" w:rsidRPr="009762CA"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9762CA">
        <w:rPr>
          <w:rFonts w:ascii="Palatino Linotype" w:eastAsia="Calibri" w:hAnsi="Palatino Linotype"/>
          <w:lang w:val="es-ES_tradn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w:t>
      </w:r>
      <w:r w:rsidRPr="009762CA">
        <w:rPr>
          <w:rFonts w:ascii="Palatino Linotype" w:eastAsia="Calibri" w:hAnsi="Palatino Linotype"/>
          <w:lang w:val="es-ES_tradnl"/>
        </w:rPr>
        <w:lastRenderedPageBreak/>
        <w:t xml:space="preserve">los </w:t>
      </w:r>
      <w:r w:rsidRPr="009762CA">
        <w:rPr>
          <w:rFonts w:ascii="Palatino Linotype" w:eastAsia="Calibri" w:hAnsi="Palatino Linotype"/>
          <w:b/>
          <w:lang w:val="es-ES_tradnl"/>
        </w:rPr>
        <w:t>SUJETOS OBLIGADOS</w:t>
      </w:r>
      <w:r w:rsidRPr="009762CA">
        <w:rPr>
          <w:rFonts w:ascii="Palatino Linotype" w:eastAsia="Calibri" w:hAnsi="Palatino Linotype"/>
          <w:lang w:val="es-ES_tradnl"/>
        </w:rPr>
        <w:t xml:space="preserve"> o la negativa de entrega de la misma, derivada de la solicitud de información pública.</w:t>
      </w:r>
    </w:p>
    <w:p w14:paraId="08E933CF" w14:textId="77777777" w:rsidR="00567210" w:rsidRPr="009762CA" w:rsidRDefault="00567210" w:rsidP="00567210">
      <w:pPr>
        <w:rPr>
          <w:rFonts w:ascii="Palatino Linotype" w:eastAsia="Calibri" w:hAnsi="Palatino Linotype"/>
          <w:lang w:val="es-ES_tradnl"/>
        </w:rPr>
      </w:pPr>
    </w:p>
    <w:p w14:paraId="7575364E" w14:textId="77777777" w:rsidR="00567210" w:rsidRPr="009762CA"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9762CA">
        <w:rPr>
          <w:rFonts w:ascii="Palatino Linotype" w:eastAsia="Calibri" w:hAnsi="Palatino Linotype"/>
          <w:lang w:val="es-ES_tradnl"/>
        </w:rPr>
        <w:t xml:space="preserve">De este modo, cuando el </w:t>
      </w:r>
      <w:r w:rsidRPr="009762CA">
        <w:rPr>
          <w:rFonts w:ascii="Palatino Linotype" w:eastAsia="Calibri" w:hAnsi="Palatino Linotype"/>
          <w:b/>
          <w:lang w:val="es-ES_tradnl"/>
        </w:rPr>
        <w:t xml:space="preserve">SUJETO OBLIGADO, </w:t>
      </w:r>
      <w:r w:rsidRPr="009762CA">
        <w:rPr>
          <w:rFonts w:ascii="Palatino Linotype" w:eastAsia="Calibri" w:hAnsi="Palatino Linotype"/>
          <w:lang w:val="es-ES_tradn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9762CA">
        <w:rPr>
          <w:rFonts w:ascii="Palatino Linotype" w:eastAsia="Calibri" w:hAnsi="Palatino Linotype"/>
          <w:i/>
          <w:lang w:val="es-ES_tradnl"/>
        </w:rPr>
        <w:t>litis</w:t>
      </w:r>
      <w:proofErr w:type="spellEnd"/>
      <w:r w:rsidRPr="009762CA">
        <w:rPr>
          <w:rFonts w:ascii="Palatino Linotype" w:eastAsia="Calibri" w:hAnsi="Palatino Linotype"/>
          <w:lang w:val="es-ES_tradnl"/>
        </w:rPr>
        <w:t xml:space="preserve"> planteada, debido a que la afectación en su esfera de derechos fue restituida por la propia autoridad que emitió el acto motivo de impugnación.</w:t>
      </w:r>
    </w:p>
    <w:p w14:paraId="2CB151B0" w14:textId="77777777" w:rsidR="00567210" w:rsidRPr="009762CA" w:rsidRDefault="00567210" w:rsidP="00567210">
      <w:pPr>
        <w:rPr>
          <w:rFonts w:ascii="Palatino Linotype" w:eastAsia="Calibri" w:hAnsi="Palatino Linotype"/>
          <w:lang w:val="es-ES_tradnl"/>
        </w:rPr>
      </w:pPr>
    </w:p>
    <w:p w14:paraId="29979073" w14:textId="77777777" w:rsidR="00567210" w:rsidRPr="009762CA"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9762CA">
        <w:rPr>
          <w:rFonts w:ascii="Palatino Linotype" w:eastAsia="Calibri" w:hAnsi="Palatino Linotype"/>
          <w:lang w:val="es-ES_tradnl"/>
        </w:rPr>
        <w:t>Sirve de sustento a lo anterior la siguiente jurisprudencia por contradicción, cuyo rubro, texto y datos de identificación son los siguientes:</w:t>
      </w:r>
    </w:p>
    <w:p w14:paraId="368D5881" w14:textId="77777777" w:rsidR="00567210" w:rsidRPr="009762CA" w:rsidRDefault="00567210" w:rsidP="00567210">
      <w:pPr>
        <w:spacing w:line="360" w:lineRule="auto"/>
        <w:ind w:left="567" w:right="616"/>
        <w:contextualSpacing/>
        <w:jc w:val="both"/>
        <w:rPr>
          <w:rFonts w:ascii="Palatino Linotype" w:eastAsia="Calibri" w:hAnsi="Palatino Linotype"/>
          <w:lang w:val="es-ES_tradnl"/>
        </w:rPr>
      </w:pPr>
    </w:p>
    <w:p w14:paraId="678926B3" w14:textId="77777777" w:rsidR="00567210" w:rsidRPr="009762CA" w:rsidRDefault="00567210" w:rsidP="00567210">
      <w:pPr>
        <w:spacing w:line="360" w:lineRule="auto"/>
        <w:ind w:left="567" w:right="616"/>
        <w:contextualSpacing/>
        <w:jc w:val="both"/>
        <w:rPr>
          <w:rFonts w:ascii="Palatino Linotype" w:eastAsia="Calibri" w:hAnsi="Palatino Linotype"/>
          <w:i/>
          <w:lang w:val="es-ES_tradnl"/>
        </w:rPr>
      </w:pPr>
      <w:r w:rsidRPr="009762CA">
        <w:rPr>
          <w:rFonts w:ascii="Palatino Linotype" w:eastAsia="Calibri" w:hAnsi="Palatino Linotype"/>
          <w:b/>
          <w:i/>
          <w:lang w:val="es-ES_tradnl"/>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9762CA">
        <w:rPr>
          <w:rFonts w:ascii="Palatino Linotype" w:eastAsia="Calibri" w:hAnsi="Palatino Linotype"/>
          <w:i/>
          <w:lang w:val="es-ES_tradnl"/>
        </w:rPr>
        <w:t xml:space="preserve"> De la interpretación de los artículos 73, fracción XVI y 80 de la Ley de Amparo, se concluye que la causa de improcedencia del juicio de garantías consistente en la cesación de efectos del acto reclamado, se </w:t>
      </w:r>
      <w:r w:rsidRPr="009762CA">
        <w:rPr>
          <w:rFonts w:ascii="Palatino Linotype" w:eastAsia="Calibri" w:hAnsi="Palatino Linotype"/>
          <w:i/>
          <w:lang w:val="es-ES_tradnl"/>
        </w:rPr>
        <w:lastRenderedPageBreak/>
        <w:t>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139E9911" w14:textId="77777777" w:rsidR="00567210" w:rsidRPr="009762CA" w:rsidRDefault="00567210" w:rsidP="00567210">
      <w:pPr>
        <w:spacing w:line="360" w:lineRule="auto"/>
        <w:ind w:left="708"/>
        <w:contextualSpacing/>
        <w:jc w:val="both"/>
        <w:rPr>
          <w:rFonts w:ascii="Palatino Linotype" w:eastAsia="Calibri" w:hAnsi="Palatino Linotype"/>
          <w:i/>
          <w:lang w:val="es-ES_tradnl"/>
        </w:rPr>
      </w:pPr>
    </w:p>
    <w:p w14:paraId="4662D434" w14:textId="77777777" w:rsidR="00567210" w:rsidRPr="009762CA"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9762CA">
        <w:rPr>
          <w:rFonts w:ascii="Palatino Linotype" w:eastAsia="Calibri" w:hAnsi="Palatino Linotype"/>
          <w:lang w:val="es-ES_tradnl"/>
        </w:rPr>
        <w:t>La anterior jurisprudencia resulta aplicable al presente asunto, en dos aspectos:</w:t>
      </w:r>
    </w:p>
    <w:p w14:paraId="58739D1D" w14:textId="77777777" w:rsidR="00567210" w:rsidRPr="009762CA" w:rsidRDefault="00567210" w:rsidP="00567210">
      <w:pPr>
        <w:spacing w:line="360" w:lineRule="auto"/>
        <w:ind w:left="426"/>
        <w:contextualSpacing/>
        <w:jc w:val="both"/>
        <w:rPr>
          <w:rFonts w:ascii="Palatino Linotype" w:eastAsia="Calibri" w:hAnsi="Palatino Linotype"/>
          <w:lang w:val="es-ES_tradnl"/>
        </w:rPr>
      </w:pPr>
    </w:p>
    <w:p w14:paraId="665F53A6" w14:textId="77777777" w:rsidR="00567210" w:rsidRPr="009762CA" w:rsidRDefault="00567210" w:rsidP="00567210">
      <w:pPr>
        <w:numPr>
          <w:ilvl w:val="0"/>
          <w:numId w:val="34"/>
        </w:numPr>
        <w:spacing w:line="360" w:lineRule="auto"/>
        <w:ind w:left="567" w:right="616"/>
        <w:contextualSpacing/>
        <w:jc w:val="both"/>
        <w:rPr>
          <w:rFonts w:ascii="Palatino Linotype" w:eastAsia="Calibri" w:hAnsi="Palatino Linotype"/>
          <w:lang w:val="es-ES_tradnl"/>
        </w:rPr>
      </w:pPr>
      <w:r w:rsidRPr="009762CA">
        <w:rPr>
          <w:rFonts w:ascii="Palatino Linotype" w:eastAsia="Calibri" w:hAnsi="Palatino Linotype"/>
          <w:b/>
          <w:lang w:val="es-ES_tradnl"/>
        </w:rPr>
        <w:t>La cesación de los efectos perniciosos del acto de autoridad:</w:t>
      </w:r>
      <w:r w:rsidRPr="009762CA">
        <w:rPr>
          <w:rFonts w:ascii="Palatino Linotype" w:eastAsia="Calibri" w:hAnsi="Palatino Linotype"/>
          <w:lang w:val="es-ES_tradnl"/>
        </w:rPr>
        <w:t xml:space="preserve"> Al respecto, la Ley de Transparencia contempla la figura jurídica del sobreseimiento cuando el </w:t>
      </w:r>
      <w:r w:rsidRPr="009762CA">
        <w:rPr>
          <w:rFonts w:ascii="Palatino Linotype" w:eastAsia="Calibri" w:hAnsi="Palatino Linotype"/>
          <w:b/>
          <w:lang w:val="es-ES_tradnl"/>
        </w:rPr>
        <w:t>SUJETO OBLIGADO</w:t>
      </w:r>
      <w:r w:rsidRPr="009762CA">
        <w:rPr>
          <w:rFonts w:ascii="Palatino Linotype" w:eastAsia="Calibri" w:hAnsi="Palatino Linotype"/>
          <w:lang w:val="es-ES_tradnl"/>
        </w:rPr>
        <w:t xml:space="preserve"> de </w:t>
      </w:r>
      <w:r w:rsidRPr="009762CA">
        <w:rPr>
          <w:rFonts w:ascii="Palatino Linotype" w:eastAsia="Calibri" w:hAnsi="Palatino Linotype"/>
          <w:i/>
          <w:lang w:val="es-ES_tradnl"/>
        </w:rPr>
        <w:t>motu proprio</w:t>
      </w:r>
      <w:r w:rsidRPr="009762CA">
        <w:rPr>
          <w:rFonts w:ascii="Palatino Linotype" w:eastAsia="Calibri" w:hAnsi="Palatino Linotype"/>
          <w:lang w:val="es-ES_tradnl"/>
        </w:rPr>
        <w:t xml:space="preserve"> modifica o revoca de tal manera el acto motivo de la impugnación que lo deja sin materia; es decir, cesan los efectos de éste y el derecho de acceso a la información pública se encuentra satisfecho.</w:t>
      </w:r>
    </w:p>
    <w:p w14:paraId="7218F9A4" w14:textId="77777777" w:rsidR="00567210" w:rsidRPr="009762CA" w:rsidRDefault="00567210" w:rsidP="00567210">
      <w:pPr>
        <w:ind w:left="567" w:right="616"/>
        <w:contextualSpacing/>
        <w:rPr>
          <w:rFonts w:ascii="Palatino Linotype" w:eastAsia="Calibri" w:hAnsi="Palatino Linotype"/>
          <w:lang w:val="es-ES_tradnl"/>
        </w:rPr>
      </w:pPr>
    </w:p>
    <w:p w14:paraId="432E0FD3" w14:textId="77777777" w:rsidR="00567210" w:rsidRPr="009762CA" w:rsidRDefault="00567210" w:rsidP="00567210">
      <w:pPr>
        <w:numPr>
          <w:ilvl w:val="0"/>
          <w:numId w:val="34"/>
        </w:numPr>
        <w:spacing w:line="360" w:lineRule="auto"/>
        <w:ind w:left="567" w:right="616"/>
        <w:contextualSpacing/>
        <w:jc w:val="both"/>
        <w:rPr>
          <w:rFonts w:ascii="Palatino Linotype" w:eastAsia="Calibri" w:hAnsi="Palatino Linotype"/>
          <w:lang w:val="es-ES_tradnl"/>
        </w:rPr>
      </w:pPr>
      <w:r w:rsidRPr="009762CA">
        <w:rPr>
          <w:rFonts w:ascii="Palatino Linotype" w:eastAsia="Calibri" w:hAnsi="Palatino Linotype"/>
          <w:b/>
          <w:lang w:val="es-ES_tradnl"/>
        </w:rPr>
        <w:lastRenderedPageBreak/>
        <w:t>El momento procesal para modificar el acto impugnado:</w:t>
      </w:r>
      <w:r w:rsidRPr="009762CA">
        <w:rPr>
          <w:rFonts w:ascii="Palatino Linotype" w:eastAsia="Calibri" w:hAnsi="Palatino Linotype"/>
          <w:lang w:val="es-ES_tradnl"/>
        </w:rPr>
        <w:t xml:space="preserve"> Para que se actualice el sobreseimiento de un recurso de revisión, el </w:t>
      </w:r>
      <w:r w:rsidRPr="009762CA">
        <w:rPr>
          <w:rFonts w:ascii="Palatino Linotype" w:eastAsia="Calibri" w:hAnsi="Palatino Linotype"/>
          <w:b/>
          <w:lang w:val="es-ES_tradnl"/>
        </w:rPr>
        <w:t>SUJETO OBLIGADO</w:t>
      </w:r>
      <w:r w:rsidRPr="009762CA">
        <w:rPr>
          <w:rFonts w:ascii="Palatino Linotype" w:eastAsia="Calibri" w:hAnsi="Palatino Linotype"/>
          <w:lang w:val="es-ES_tradnl"/>
        </w:rPr>
        <w:t xml:space="preserve"> puede entregar o completar la información al momento de rendir su informe de justificación o </w:t>
      </w:r>
      <w:r w:rsidRPr="009762CA">
        <w:rPr>
          <w:rFonts w:ascii="Palatino Linotype" w:eastAsia="Calibri" w:hAnsi="Palatino Linotype"/>
          <w:b/>
          <w:u w:val="single"/>
          <w:lang w:val="es-ES_tradnl"/>
        </w:rPr>
        <w:t>posteriormente</w:t>
      </w:r>
      <w:r w:rsidRPr="009762CA">
        <w:rPr>
          <w:rFonts w:ascii="Palatino Linotype" w:eastAsia="Calibri" w:hAnsi="Palatino Linotype"/>
          <w:lang w:val="es-ES_tradnl"/>
        </w:rPr>
        <w:t xml:space="preserve"> a éste, siempre y cuando el Pleno del Instituto no haya dictado resolución definitiva.</w:t>
      </w:r>
    </w:p>
    <w:p w14:paraId="5921E63F" w14:textId="77777777" w:rsidR="00567210" w:rsidRPr="009762CA" w:rsidRDefault="00567210" w:rsidP="00567210">
      <w:pPr>
        <w:spacing w:line="360" w:lineRule="auto"/>
        <w:jc w:val="both"/>
        <w:rPr>
          <w:rFonts w:ascii="Palatino Linotype" w:eastAsia="Calibri" w:hAnsi="Palatino Linotype"/>
          <w:lang w:val="es-ES_tradnl"/>
        </w:rPr>
      </w:pPr>
    </w:p>
    <w:p w14:paraId="048ADB81" w14:textId="77777777" w:rsidR="00567210" w:rsidRPr="009762CA"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9762CA">
        <w:rPr>
          <w:rFonts w:ascii="Palatino Linotype" w:eastAsia="Calibri" w:hAnsi="Palatino Linotype"/>
          <w:lang w:val="es-ES_tradnl"/>
        </w:rPr>
        <w:t xml:space="preserve">Además, de acuerdo con el procesalista Niceto Alcalá-Zamora y Castillo en su obra </w:t>
      </w:r>
      <w:r w:rsidRPr="009762CA">
        <w:rPr>
          <w:rFonts w:ascii="Palatino Linotype" w:eastAsia="Calibri" w:hAnsi="Palatino Linotype"/>
          <w:i/>
          <w:lang w:val="es-ES_tradnl"/>
        </w:rPr>
        <w:t>“Cuestiones de Terminología Procesal”</w:t>
      </w:r>
      <w:r w:rsidRPr="009762CA">
        <w:rPr>
          <w:rFonts w:ascii="Palatino Linotype" w:eastAsia="Calibri" w:hAnsi="Palatino Linotype"/>
          <w:lang w:val="es-ES_tradnl"/>
        </w:rPr>
        <w:t xml:space="preserve">, el sobreseimiento es </w:t>
      </w:r>
      <w:r w:rsidRPr="009762CA">
        <w:rPr>
          <w:rFonts w:ascii="Palatino Linotype" w:eastAsia="Calibri" w:hAnsi="Palatino Linotype"/>
          <w:i/>
          <w:lang w:val="es-ES_tradnl"/>
        </w:rPr>
        <w:t>“... una resolución en forma de auto, que produce la suspensión indefinida del procedimiento penal, o que pone fin al proceso, impidiendo en ambos casos, mientras subsista, la apertura del plenario o que en él se pronuncie sentencia...”.</w:t>
      </w:r>
    </w:p>
    <w:p w14:paraId="5E138475" w14:textId="77777777" w:rsidR="00567210" w:rsidRPr="009762CA" w:rsidRDefault="00567210" w:rsidP="00567210">
      <w:pPr>
        <w:spacing w:line="360" w:lineRule="auto"/>
        <w:jc w:val="both"/>
        <w:rPr>
          <w:rFonts w:ascii="Palatino Linotype" w:eastAsia="Calibri" w:hAnsi="Palatino Linotype"/>
          <w:lang w:val="es-ES_tradnl"/>
        </w:rPr>
      </w:pPr>
    </w:p>
    <w:p w14:paraId="2DCD56DE" w14:textId="77777777" w:rsidR="00567210" w:rsidRPr="009762CA"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9762CA">
        <w:rPr>
          <w:rFonts w:ascii="Palatino Linotype" w:eastAsia="Calibri" w:hAnsi="Palatino Linotype"/>
          <w:lang w:val="es-ES_tradnl"/>
        </w:rPr>
        <w:t xml:space="preserve">Eduardo Pallares, en su artículo </w:t>
      </w:r>
      <w:r w:rsidRPr="009762CA">
        <w:rPr>
          <w:rFonts w:ascii="Palatino Linotype" w:eastAsia="Calibri" w:hAnsi="Palatino Linotype"/>
          <w:i/>
          <w:lang w:val="es-ES_tradnl"/>
        </w:rPr>
        <w:t>“La caducidad y el sobreseimiento en el amparo”</w:t>
      </w:r>
      <w:r w:rsidRPr="009762CA">
        <w:rPr>
          <w:rFonts w:ascii="Palatino Linotype" w:eastAsia="Calibri" w:hAnsi="Palatino Linotype"/>
          <w:lang w:val="es-ES_tradnl"/>
        </w:rPr>
        <w:t xml:space="preserve">, cita la definición de Aguilera Paz, aduciendo que se </w:t>
      </w:r>
      <w:r w:rsidRPr="009762CA">
        <w:rPr>
          <w:rFonts w:ascii="Palatino Linotype" w:eastAsia="Calibri" w:hAnsi="Palatino Linotype"/>
          <w:i/>
          <w:lang w:val="es-ES_tradnl"/>
        </w:rPr>
        <w:t>“...entiende por sobreseimiento en el tecnicismo forense, el hecho de cesar en el procedimiento o curso de la causa, por no existir méritos bastantes para entrar en un juicio o para entablar la contienda judicial que debe ser objeto del mismo...”</w:t>
      </w:r>
      <w:r w:rsidRPr="009762CA">
        <w:rPr>
          <w:rFonts w:ascii="Palatino Linotype" w:eastAsia="Calibri" w:hAnsi="Palatino Linotype"/>
          <w:lang w:val="es-ES_tradnl"/>
        </w:rPr>
        <w:t>. Asimismo señala que existe el sobreseimiento provisional y el definitivo</w:t>
      </w:r>
      <w:r w:rsidRPr="009762CA">
        <w:rPr>
          <w:rFonts w:ascii="Palatino Linotype" w:eastAsia="Calibri" w:hAnsi="Palatino Linotype"/>
          <w:i/>
          <w:lang w:val="es-ES_tradnl"/>
        </w:rPr>
        <w:t>: “...el definitivo es una verdadera sentencia que pone fin al juicio, y que una vez dictada, produce cosa juzgada, mientras que el provisorio tiene por efectos suspender la prosecución de la causa...”</w:t>
      </w:r>
    </w:p>
    <w:p w14:paraId="398A5EBC" w14:textId="77777777" w:rsidR="00567210" w:rsidRPr="009762CA" w:rsidRDefault="00567210" w:rsidP="00567210">
      <w:pPr>
        <w:spacing w:line="360" w:lineRule="auto"/>
        <w:jc w:val="both"/>
        <w:rPr>
          <w:rFonts w:ascii="Palatino Linotype" w:eastAsia="Calibri" w:hAnsi="Palatino Linotype"/>
          <w:lang w:val="es-ES_tradnl"/>
        </w:rPr>
      </w:pPr>
    </w:p>
    <w:p w14:paraId="0C613535" w14:textId="77777777" w:rsidR="00567210" w:rsidRPr="009762CA"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9762CA">
        <w:rPr>
          <w:rFonts w:ascii="Palatino Linotype" w:eastAsia="Calibri" w:hAnsi="Palatino Linotype"/>
          <w:lang w:val="es-ES_tradnl"/>
        </w:rPr>
        <w:t xml:space="preserve">Así, para la doctrina el sobreseimiento provoca que un procedimiento se suspenda o se resuelva en definitiva </w:t>
      </w:r>
      <w:r w:rsidRPr="009762CA">
        <w:rPr>
          <w:rFonts w:ascii="Palatino Linotype" w:eastAsia="Calibri" w:hAnsi="Palatino Linotype"/>
          <w:b/>
          <w:u w:val="single"/>
          <w:lang w:val="es-ES_tradnl"/>
        </w:rPr>
        <w:t xml:space="preserve">sin que se entre al estudio de los agravios o motivos de inconformidad. </w:t>
      </w:r>
      <w:r w:rsidRPr="009762CA">
        <w:rPr>
          <w:rFonts w:ascii="Palatino Linotype" w:eastAsia="Calibri" w:hAnsi="Palatino Linotype"/>
          <w:lang w:val="es-ES_tradnl"/>
        </w:rPr>
        <w:t xml:space="preserve">Este mismo criterio es compartido por el más alto </w:t>
      </w:r>
      <w:r w:rsidRPr="009762CA">
        <w:rPr>
          <w:rFonts w:ascii="Palatino Linotype" w:eastAsia="Calibri" w:hAnsi="Palatino Linotype"/>
          <w:lang w:val="es-ES_tradnl"/>
        </w:rPr>
        <w:lastRenderedPageBreak/>
        <w:t>tribunal del país en múltiples jurisprudencias, por lo que a continuación se agrega una de ellas que sirve como orientador en esta resolución:</w:t>
      </w:r>
    </w:p>
    <w:p w14:paraId="0842DCBE" w14:textId="77777777" w:rsidR="00567210" w:rsidRPr="009762CA" w:rsidRDefault="00567210" w:rsidP="00567210">
      <w:pPr>
        <w:spacing w:line="360" w:lineRule="auto"/>
        <w:ind w:left="426"/>
        <w:contextualSpacing/>
        <w:jc w:val="both"/>
        <w:rPr>
          <w:rFonts w:ascii="Palatino Linotype" w:eastAsia="Calibri" w:hAnsi="Palatino Linotype"/>
          <w:lang w:val="es-ES_tradnl"/>
        </w:rPr>
      </w:pPr>
    </w:p>
    <w:p w14:paraId="081B1821" w14:textId="459F6825" w:rsidR="00567210" w:rsidRPr="009762CA" w:rsidRDefault="00567210" w:rsidP="00567210">
      <w:pPr>
        <w:spacing w:line="360" w:lineRule="auto"/>
        <w:ind w:left="567" w:right="616"/>
        <w:contextualSpacing/>
        <w:jc w:val="both"/>
        <w:rPr>
          <w:rFonts w:ascii="Palatino Linotype" w:eastAsia="Calibri" w:hAnsi="Palatino Linotype"/>
          <w:i/>
          <w:lang w:val="es-AR"/>
        </w:rPr>
      </w:pPr>
      <w:r w:rsidRPr="009762CA">
        <w:rPr>
          <w:rFonts w:ascii="Palatino Linotype" w:eastAsia="Calibri" w:hAnsi="Palatino Linotype"/>
          <w:b/>
          <w:i/>
          <w:lang w:val="es-AR"/>
        </w:rPr>
        <w:t>SOBRESEIMIENTO EN EL JUICIO DE AMPARO DIRECTO. IMPIDE EL ESTUDIO DE LAS VIOLACIONES PROCESALES PLANTEADAS EN LOS CONCEPTOS DE VIOLACIÓN. El sobreseimiento</w:t>
      </w:r>
      <w:r w:rsidRPr="009762CA">
        <w:rPr>
          <w:rFonts w:ascii="Palatino Linotype" w:eastAsia="Calibri" w:hAnsi="Palatino Linotype"/>
          <w:i/>
          <w:lang w:val="es-AR"/>
        </w:rPr>
        <w:t xml:space="preserve"> en el juicio de amparo directo </w:t>
      </w:r>
      <w:r w:rsidRPr="009762CA">
        <w:rPr>
          <w:rFonts w:ascii="Palatino Linotype" w:eastAsia="Calibri" w:hAnsi="Palatino Linotype"/>
          <w:b/>
          <w:i/>
          <w:lang w:val="es-AR"/>
        </w:rPr>
        <w:t>provoca la terminación de la controversia planteada</w:t>
      </w:r>
      <w:r w:rsidRPr="009762CA">
        <w:rPr>
          <w:rFonts w:ascii="Palatino Linotype" w:eastAsia="Calibri" w:hAnsi="Palatino Linotype"/>
          <w:i/>
          <w:lang w:val="es-AR"/>
        </w:rPr>
        <w:t xml:space="preserve"> por el quejoso en la demanda de amparo</w:t>
      </w:r>
      <w:r w:rsidRPr="009762CA">
        <w:rPr>
          <w:rFonts w:ascii="Palatino Linotype" w:eastAsia="Calibri" w:hAnsi="Palatino Linotype"/>
          <w:b/>
          <w:i/>
          <w:lang w:val="es-AR"/>
        </w:rPr>
        <w:t>, sin hacer un pronunciamiento de fondo sobre la legalidad o ilegalidad de la sentencia reclamada</w:t>
      </w:r>
      <w:r w:rsidRPr="009762CA">
        <w:rPr>
          <w:rFonts w:ascii="Palatino Linotype" w:eastAsia="Calibri" w:hAnsi="Palatino Linotype"/>
          <w:i/>
          <w:lang w:val="es-AR"/>
        </w:rPr>
        <w:t xml:space="preserve">. </w:t>
      </w:r>
      <w:r w:rsidRPr="009762CA">
        <w:rPr>
          <w:rFonts w:ascii="Palatino Linotype" w:eastAsia="Calibri" w:hAnsi="Palatino Linotype"/>
          <w:b/>
          <w:i/>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9762CA">
        <w:rPr>
          <w:rFonts w:ascii="Palatino Linotype" w:eastAsia="Calibri" w:hAnsi="Palatino Linotype"/>
          <w:i/>
          <w:lang w:val="es-AR"/>
        </w:rPr>
        <w:t>.</w:t>
      </w:r>
    </w:p>
    <w:p w14:paraId="0F6B2052" w14:textId="20C7BE42" w:rsidR="00BA327C" w:rsidRPr="009762CA" w:rsidRDefault="00BA327C" w:rsidP="00567210">
      <w:pPr>
        <w:spacing w:line="360" w:lineRule="auto"/>
        <w:ind w:left="567" w:right="616"/>
        <w:contextualSpacing/>
        <w:jc w:val="both"/>
        <w:rPr>
          <w:rFonts w:ascii="Palatino Linotype" w:eastAsia="Calibri" w:hAnsi="Palatino Linotype"/>
          <w:i/>
          <w:lang w:val="es-AR"/>
        </w:rPr>
      </w:pPr>
    </w:p>
    <w:p w14:paraId="29DABA9A" w14:textId="77777777" w:rsidR="00BA327C" w:rsidRPr="009762CA" w:rsidRDefault="00BA327C" w:rsidP="00567210">
      <w:pPr>
        <w:spacing w:line="360" w:lineRule="auto"/>
        <w:ind w:left="567" w:right="616"/>
        <w:contextualSpacing/>
        <w:jc w:val="both"/>
        <w:rPr>
          <w:rFonts w:ascii="Palatino Linotype" w:eastAsia="Calibri" w:hAnsi="Palatino Linotype"/>
          <w:i/>
          <w:lang w:val="es-AR"/>
        </w:rPr>
      </w:pPr>
    </w:p>
    <w:p w14:paraId="127958D2" w14:textId="77777777" w:rsidR="00567210" w:rsidRPr="009762CA" w:rsidRDefault="00567210" w:rsidP="00567210">
      <w:pPr>
        <w:spacing w:line="360" w:lineRule="auto"/>
        <w:ind w:left="567" w:right="616"/>
        <w:contextualSpacing/>
        <w:jc w:val="both"/>
        <w:rPr>
          <w:rFonts w:ascii="Palatino Linotype" w:eastAsia="Calibri" w:hAnsi="Palatino Linotype"/>
          <w:i/>
          <w:lang w:val="es-AR"/>
        </w:rPr>
      </w:pPr>
      <w:r w:rsidRPr="009762CA">
        <w:rPr>
          <w:rFonts w:ascii="Palatino Linotype" w:eastAsia="Calibri" w:hAnsi="Palatino Linotype"/>
          <w:i/>
          <w:lang w:val="es-AR"/>
        </w:rPr>
        <w:t>SÉPTIMO TRIBUNAL COLEGIADO EN MATERIA CIVIL DEL PRIMER CIRCUITO.</w:t>
      </w:r>
    </w:p>
    <w:p w14:paraId="545137EB" w14:textId="77777777" w:rsidR="00567210" w:rsidRPr="009762CA" w:rsidRDefault="00567210" w:rsidP="00567210">
      <w:pPr>
        <w:spacing w:line="360" w:lineRule="auto"/>
        <w:ind w:left="567" w:right="616"/>
        <w:contextualSpacing/>
        <w:jc w:val="both"/>
        <w:rPr>
          <w:rFonts w:ascii="Palatino Linotype" w:eastAsia="Calibri" w:hAnsi="Palatino Linotype"/>
          <w:b/>
          <w:i/>
          <w:lang w:val="es-AR"/>
        </w:rPr>
      </w:pPr>
      <w:r w:rsidRPr="009762CA">
        <w:rPr>
          <w:rFonts w:ascii="Palatino Linotype" w:eastAsia="Calibri" w:hAnsi="Palatino Linotype"/>
          <w:i/>
          <w:lang w:val="es-AR"/>
        </w:rPr>
        <w:t xml:space="preserve">Amparo directo 699/2008. Mariana Leticia González </w:t>
      </w:r>
      <w:proofErr w:type="spellStart"/>
      <w:r w:rsidRPr="009762CA">
        <w:rPr>
          <w:rFonts w:ascii="Palatino Linotype" w:eastAsia="Calibri" w:hAnsi="Palatino Linotype"/>
          <w:i/>
          <w:lang w:val="es-AR"/>
        </w:rPr>
        <w:t>Steele</w:t>
      </w:r>
      <w:proofErr w:type="spellEnd"/>
      <w:r w:rsidRPr="009762CA">
        <w:rPr>
          <w:rFonts w:ascii="Palatino Linotype" w:eastAsia="Calibri" w:hAnsi="Palatino Linotype"/>
          <w:i/>
          <w:lang w:val="es-AR"/>
        </w:rPr>
        <w:t>. 13 de noviembre de 2008. Unanimidad de votos. Ponente: Sara Judith Montalvo Trejo. Secretario: Arnulfo Mateos García.</w:t>
      </w:r>
    </w:p>
    <w:p w14:paraId="4ADB2516" w14:textId="77777777" w:rsidR="00567210" w:rsidRPr="009762CA" w:rsidRDefault="00567210" w:rsidP="00567210">
      <w:pPr>
        <w:spacing w:line="360" w:lineRule="auto"/>
        <w:ind w:left="567" w:right="616"/>
        <w:contextualSpacing/>
        <w:jc w:val="both"/>
        <w:rPr>
          <w:rFonts w:ascii="Palatino Linotype" w:eastAsia="Calibri" w:hAnsi="Palatino Linotype"/>
          <w:i/>
          <w:lang w:val="es-AR"/>
        </w:rPr>
      </w:pPr>
    </w:p>
    <w:p w14:paraId="542A9A5A" w14:textId="77777777" w:rsidR="00567210" w:rsidRPr="009762CA" w:rsidRDefault="00567210" w:rsidP="00567210">
      <w:pPr>
        <w:spacing w:line="360" w:lineRule="auto"/>
        <w:ind w:left="567" w:right="616"/>
        <w:contextualSpacing/>
        <w:jc w:val="both"/>
        <w:rPr>
          <w:rFonts w:ascii="Palatino Linotype" w:eastAsia="Calibri" w:hAnsi="Palatino Linotype"/>
          <w:lang w:val="es-AR"/>
        </w:rPr>
      </w:pPr>
      <w:r w:rsidRPr="009762CA">
        <w:rPr>
          <w:rFonts w:ascii="Palatino Linotype" w:eastAsia="Calibri" w:hAnsi="Palatino Linotype"/>
          <w:lang w:val="es-AR"/>
        </w:rPr>
        <w:t>(Énfasis añadido)</w:t>
      </w:r>
    </w:p>
    <w:p w14:paraId="017054FA" w14:textId="77777777" w:rsidR="00567210" w:rsidRPr="009762CA" w:rsidRDefault="00567210" w:rsidP="00567210">
      <w:pPr>
        <w:spacing w:line="360" w:lineRule="auto"/>
        <w:ind w:left="426"/>
        <w:contextualSpacing/>
        <w:jc w:val="both"/>
        <w:rPr>
          <w:rFonts w:ascii="Palatino Linotype" w:eastAsia="Calibri" w:hAnsi="Palatino Linotype"/>
          <w:lang w:val="es-ES_tradnl"/>
        </w:rPr>
      </w:pPr>
    </w:p>
    <w:p w14:paraId="4D78ABF9" w14:textId="77777777" w:rsidR="00567210" w:rsidRPr="009762CA"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9762CA">
        <w:rPr>
          <w:rFonts w:ascii="Palatino Linotype" w:eastAsia="Calibri" w:hAnsi="Palatino Linotype"/>
          <w:lang w:val="es-ES_tradnl"/>
        </w:rPr>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14:paraId="296A4F4B" w14:textId="77777777" w:rsidR="00567210" w:rsidRPr="009762CA" w:rsidRDefault="00567210" w:rsidP="00567210">
      <w:pPr>
        <w:spacing w:line="360" w:lineRule="auto"/>
        <w:jc w:val="both"/>
        <w:rPr>
          <w:rFonts w:ascii="Palatino Linotype" w:eastAsia="Calibri" w:hAnsi="Palatino Linotype"/>
          <w:lang w:val="es-ES_tradnl"/>
        </w:rPr>
      </w:pPr>
    </w:p>
    <w:p w14:paraId="6E70BB66" w14:textId="77777777" w:rsidR="00567210" w:rsidRPr="009762CA"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9762CA">
        <w:rPr>
          <w:rFonts w:ascii="Palatino Linotype" w:eastAsia="Calibri" w:hAnsi="Palatino Linotype"/>
          <w:lang w:val="es-ES_tradnl"/>
        </w:rPr>
        <w:t xml:space="preserve">Por lo que para que se actualice el sobreseimiento de un recurso de revisión, el </w:t>
      </w:r>
      <w:r w:rsidRPr="009762CA">
        <w:rPr>
          <w:rFonts w:ascii="Palatino Linotype" w:eastAsia="Calibri" w:hAnsi="Palatino Linotype"/>
          <w:b/>
          <w:lang w:val="es-ES_tradnl"/>
        </w:rPr>
        <w:t>SUJETO OBLIGADO</w:t>
      </w:r>
      <w:r w:rsidRPr="009762CA">
        <w:rPr>
          <w:rFonts w:ascii="Palatino Linotype" w:eastAsia="Calibri" w:hAnsi="Palatino Linotype"/>
          <w:lang w:val="es-ES_tradnl"/>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1C1BDA8D" w14:textId="3CAF96F9" w:rsidR="00BA327C" w:rsidRPr="009762CA" w:rsidRDefault="00BA327C" w:rsidP="00567210">
      <w:pPr>
        <w:spacing w:line="360" w:lineRule="auto"/>
        <w:jc w:val="both"/>
        <w:rPr>
          <w:rFonts w:ascii="Palatino Linotype" w:eastAsia="Calibri" w:hAnsi="Palatino Linotype"/>
          <w:lang w:val="es-ES_tradnl"/>
        </w:rPr>
      </w:pPr>
    </w:p>
    <w:p w14:paraId="181663BB" w14:textId="77777777" w:rsidR="00567210" w:rsidRPr="009762CA" w:rsidRDefault="00567210" w:rsidP="00567210">
      <w:pPr>
        <w:numPr>
          <w:ilvl w:val="0"/>
          <w:numId w:val="33"/>
        </w:numPr>
        <w:spacing w:line="360" w:lineRule="auto"/>
        <w:ind w:left="0" w:firstLine="0"/>
        <w:contextualSpacing/>
        <w:jc w:val="both"/>
        <w:rPr>
          <w:rFonts w:ascii="Palatino Linotype" w:eastAsia="Calibri" w:hAnsi="Palatino Linotype"/>
          <w:lang w:val="es-ES_tradnl"/>
        </w:rPr>
      </w:pPr>
      <w:r w:rsidRPr="009762CA">
        <w:rPr>
          <w:rFonts w:ascii="Palatino Linotype" w:eastAsia="Calibri" w:hAnsi="Palatino Linotype"/>
          <w:lang w:val="es-CO"/>
        </w:rPr>
        <w:t xml:space="preserve">Bajo ese tenor y en términos del artículo 186 fracción I este Pleno determina el </w:t>
      </w:r>
      <w:r w:rsidRPr="009762CA">
        <w:rPr>
          <w:rFonts w:ascii="Palatino Linotype" w:eastAsia="Calibri" w:hAnsi="Palatino Linotype"/>
          <w:b/>
          <w:lang w:val="es-CO"/>
        </w:rPr>
        <w:t xml:space="preserve">SOBRESEIMIENTO </w:t>
      </w:r>
      <w:r w:rsidRPr="009762CA">
        <w:rPr>
          <w:rFonts w:ascii="Palatino Linotype" w:eastAsia="Calibri" w:hAnsi="Palatino Linotype"/>
          <w:lang w:val="es-CO"/>
        </w:rPr>
        <w:t>del presente recurso de revisión, toda vez que la afectación al derecho de acceso a la información pública establecido constitucionalmente a favor del particular, ha sido resarcida.</w:t>
      </w:r>
    </w:p>
    <w:p w14:paraId="7132B5CE" w14:textId="7F5F6606" w:rsidR="00BA327C" w:rsidRPr="009762CA" w:rsidRDefault="00BA327C" w:rsidP="00567210">
      <w:pPr>
        <w:spacing w:line="360" w:lineRule="auto"/>
        <w:jc w:val="both"/>
        <w:rPr>
          <w:rFonts w:ascii="Palatino Linotype" w:eastAsia="Calibri" w:hAnsi="Palatino Linotype"/>
          <w:lang w:val="es-ES_tradnl"/>
        </w:rPr>
      </w:pPr>
    </w:p>
    <w:p w14:paraId="67B70401" w14:textId="4AA4B1C3" w:rsidR="00567210" w:rsidRPr="009762CA" w:rsidRDefault="00567210" w:rsidP="00BA327C">
      <w:pPr>
        <w:numPr>
          <w:ilvl w:val="0"/>
          <w:numId w:val="33"/>
        </w:numPr>
        <w:spacing w:line="360" w:lineRule="auto"/>
        <w:ind w:left="0" w:firstLine="0"/>
        <w:contextualSpacing/>
        <w:jc w:val="both"/>
        <w:rPr>
          <w:rFonts w:ascii="Palatino Linotype" w:eastAsia="Calibri" w:hAnsi="Palatino Linotype"/>
          <w:lang w:val="es-ES_tradnl"/>
        </w:rPr>
      </w:pPr>
      <w:r w:rsidRPr="009762CA">
        <w:rPr>
          <w:rFonts w:ascii="Palatino Linotype" w:eastAsia="Calibri" w:hAnsi="Palatino Linotype"/>
          <w:lang w:val="es-ES_tradnl"/>
        </w:rPr>
        <w:t xml:space="preserve">Por lo anteriormente expuesto y fundado, este </w:t>
      </w:r>
      <w:r w:rsidRPr="009762CA">
        <w:rPr>
          <w:rFonts w:ascii="Palatino Linotype" w:eastAsia="Calibri" w:hAnsi="Palatino Linotype"/>
          <w:b/>
          <w:bCs/>
          <w:lang w:val="es-ES_tradnl"/>
        </w:rPr>
        <w:t>ÓRGANO GARANTE</w:t>
      </w:r>
      <w:r w:rsidRPr="009762CA">
        <w:rPr>
          <w:rFonts w:ascii="Palatino Linotype" w:eastAsia="Calibri" w:hAnsi="Palatino Linotype"/>
          <w:lang w:val="es-ES_tradnl"/>
        </w:rPr>
        <w:t xml:space="preserve"> emite los </w:t>
      </w:r>
      <w:r w:rsidR="00BA327C" w:rsidRPr="009762CA">
        <w:rPr>
          <w:rFonts w:ascii="Palatino Linotype" w:eastAsia="Calibri" w:hAnsi="Palatino Linotype"/>
          <w:lang w:val="es-ES_tradnl"/>
        </w:rPr>
        <w:t>siguientes</w:t>
      </w:r>
      <w:r w:rsidRPr="009762CA">
        <w:rPr>
          <w:rFonts w:ascii="Palatino Linotype" w:eastAsia="Calibri" w:hAnsi="Palatino Linotype"/>
          <w:lang w:val="es-ES_tradnl"/>
        </w:rPr>
        <w:t>:</w:t>
      </w:r>
    </w:p>
    <w:p w14:paraId="3B262B99" w14:textId="0ED0F9D7" w:rsidR="00E43C17" w:rsidRPr="009762CA" w:rsidRDefault="00567210" w:rsidP="00567210">
      <w:pPr>
        <w:keepNext/>
        <w:keepLines/>
        <w:suppressAutoHyphens/>
        <w:spacing w:before="240" w:line="360" w:lineRule="auto"/>
        <w:outlineLvl w:val="0"/>
        <w:rPr>
          <w:rFonts w:ascii="Palatino Linotype" w:hAnsi="Palatino Linotype"/>
          <w:b/>
          <w:color w:val="000000"/>
        </w:rPr>
      </w:pPr>
      <w:bookmarkStart w:id="37" w:name="_Toc99999256"/>
      <w:r w:rsidRPr="009762CA">
        <w:rPr>
          <w:rFonts w:ascii="Palatino Linotype" w:hAnsi="Palatino Linotype"/>
          <w:b/>
          <w:color w:val="000000"/>
        </w:rPr>
        <w:t>CUARTO. De la decisión.</w:t>
      </w:r>
      <w:bookmarkEnd w:id="37"/>
      <w:r w:rsidRPr="009762CA">
        <w:rPr>
          <w:rFonts w:ascii="Palatino Linotype" w:hAnsi="Palatino Linotype"/>
          <w:b/>
          <w:color w:val="000000"/>
        </w:rPr>
        <w:t xml:space="preserve"> </w:t>
      </w:r>
    </w:p>
    <w:p w14:paraId="020D569F" w14:textId="77777777" w:rsidR="00BA327C" w:rsidRPr="009762CA" w:rsidRDefault="00BA327C" w:rsidP="00567210">
      <w:pPr>
        <w:keepNext/>
        <w:keepLines/>
        <w:suppressAutoHyphens/>
        <w:spacing w:before="240" w:line="360" w:lineRule="auto"/>
        <w:outlineLvl w:val="0"/>
        <w:rPr>
          <w:rFonts w:ascii="Palatino Linotype" w:hAnsi="Palatino Linotype"/>
          <w:b/>
          <w:color w:val="000000"/>
        </w:rPr>
      </w:pPr>
    </w:p>
    <w:p w14:paraId="67FA8376" w14:textId="0AD57CEC" w:rsidR="00567210" w:rsidRPr="009762CA" w:rsidRDefault="00567210" w:rsidP="00567210">
      <w:pPr>
        <w:numPr>
          <w:ilvl w:val="0"/>
          <w:numId w:val="35"/>
        </w:numPr>
        <w:suppressAutoHyphens/>
        <w:spacing w:before="240" w:after="240" w:line="360" w:lineRule="auto"/>
        <w:ind w:left="0" w:right="49" w:firstLine="0"/>
        <w:contextualSpacing/>
        <w:jc w:val="both"/>
        <w:rPr>
          <w:rFonts w:ascii="Palatino Linotype" w:hAnsi="Palatino Linotype" w:cs="Arial"/>
          <w:lang w:val="es-MX" w:eastAsia="es-ES_tradnl"/>
        </w:rPr>
      </w:pPr>
      <w:r w:rsidRPr="009762CA">
        <w:rPr>
          <w:rFonts w:ascii="Palatino Linotype" w:hAnsi="Palatino Linotype" w:cs="Tahoma"/>
          <w:lang w:val="es-MX"/>
        </w:rPr>
        <w:t xml:space="preserve">Con base en todo lo expuesto, con fundamento en el artículo 186, fracción I, en relación con la fracción III del artículo 192 de la Ley de Transparencia y Acceso a </w:t>
      </w:r>
      <w:r w:rsidRPr="009762CA">
        <w:rPr>
          <w:rFonts w:ascii="Palatino Linotype" w:hAnsi="Palatino Linotype" w:cs="Tahoma"/>
          <w:lang w:val="es-MX"/>
        </w:rPr>
        <w:lastRenderedPageBreak/>
        <w:t xml:space="preserve">la Información Pública del Estado de México y Municipios, este Instituto considera procedente </w:t>
      </w:r>
      <w:r w:rsidRPr="009762CA">
        <w:rPr>
          <w:rFonts w:ascii="Palatino Linotype" w:hAnsi="Palatino Linotype" w:cs="Tahoma"/>
          <w:b/>
          <w:lang w:val="es-MX"/>
        </w:rPr>
        <w:t xml:space="preserve">SOBRESEER </w:t>
      </w:r>
      <w:r w:rsidRPr="009762CA">
        <w:rPr>
          <w:rFonts w:ascii="Palatino Linotype" w:hAnsi="Palatino Linotype" w:cs="Tahoma"/>
          <w:lang w:val="es-MX"/>
        </w:rPr>
        <w:t>el presente recurso de revisión.</w:t>
      </w:r>
      <w:r w:rsidRPr="009762CA">
        <w:rPr>
          <w:rFonts w:ascii="Palatino Linotype" w:hAnsi="Palatino Linotype" w:cs="Tahoma"/>
          <w:b/>
          <w:lang w:val="es-MX"/>
        </w:rPr>
        <w:t xml:space="preserve"> </w:t>
      </w:r>
    </w:p>
    <w:p w14:paraId="12050408" w14:textId="77777777" w:rsidR="00B46BA6" w:rsidRPr="009762CA" w:rsidRDefault="00B46BA6" w:rsidP="00B46BA6">
      <w:pPr>
        <w:suppressAutoHyphens/>
        <w:spacing w:before="240" w:after="240" w:line="360" w:lineRule="auto"/>
        <w:ind w:right="49"/>
        <w:contextualSpacing/>
        <w:jc w:val="both"/>
        <w:rPr>
          <w:rFonts w:ascii="Palatino Linotype" w:hAnsi="Palatino Linotype" w:cs="Arial"/>
          <w:lang w:val="es-MX" w:eastAsia="es-ES_tradnl"/>
        </w:rPr>
      </w:pPr>
    </w:p>
    <w:p w14:paraId="10923F2E" w14:textId="1BCB7B61" w:rsidR="002A1F6E" w:rsidRPr="009762CA" w:rsidRDefault="00567210" w:rsidP="00567210">
      <w:pPr>
        <w:numPr>
          <w:ilvl w:val="0"/>
          <w:numId w:val="35"/>
        </w:numPr>
        <w:tabs>
          <w:tab w:val="left" w:pos="426"/>
        </w:tabs>
        <w:suppressAutoHyphens/>
        <w:spacing w:after="120" w:line="360" w:lineRule="auto"/>
        <w:ind w:left="0" w:right="49" w:firstLine="0"/>
        <w:jc w:val="both"/>
        <w:rPr>
          <w:rFonts w:ascii="Palatino Linotype" w:hAnsi="Palatino Linotype" w:cs="Arial"/>
          <w:color w:val="000000"/>
          <w:lang w:val="es-ES_tradnl"/>
        </w:rPr>
      </w:pPr>
      <w:r w:rsidRPr="009762CA">
        <w:rPr>
          <w:rFonts w:ascii="Palatino Linotype" w:hAnsi="Palatino Linotype" w:cs="Arial"/>
          <w:color w:val="000000"/>
          <w:lang w:val="es-ES_tradnl"/>
        </w:rPr>
        <w:t xml:space="preserve">Por lo anteriormente expuesto y fundado, este </w:t>
      </w:r>
      <w:r w:rsidRPr="009762CA">
        <w:rPr>
          <w:rFonts w:ascii="Palatino Linotype" w:hAnsi="Palatino Linotype" w:cs="Arial"/>
          <w:b/>
          <w:color w:val="000000"/>
          <w:lang w:val="es-ES_tradnl"/>
        </w:rPr>
        <w:t>ÓRGANO GARANTE</w:t>
      </w:r>
      <w:r w:rsidRPr="009762CA">
        <w:rPr>
          <w:rFonts w:ascii="Palatino Linotype" w:hAnsi="Palatino Linotype" w:cs="Arial"/>
          <w:color w:val="000000"/>
          <w:lang w:val="es-ES_tradnl"/>
        </w:rPr>
        <w:t xml:space="preserve"> emite los siguientes: </w:t>
      </w:r>
    </w:p>
    <w:p w14:paraId="6848EBF0" w14:textId="77777777" w:rsidR="00567210" w:rsidRPr="009762CA" w:rsidRDefault="00567210" w:rsidP="002A1F6E">
      <w:pPr>
        <w:rPr>
          <w:rFonts w:ascii="Palatino Linotype" w:hAnsi="Palatino Linotype" w:cs="Arial"/>
          <w:lang w:val="es-ES_tradnl"/>
        </w:rPr>
      </w:pPr>
    </w:p>
    <w:p w14:paraId="558E7E1C" w14:textId="77777777" w:rsidR="00567210" w:rsidRPr="009762CA" w:rsidRDefault="00567210" w:rsidP="00567210">
      <w:pPr>
        <w:keepNext/>
        <w:keepLines/>
        <w:spacing w:before="240" w:line="360" w:lineRule="auto"/>
        <w:jc w:val="center"/>
        <w:outlineLvl w:val="0"/>
        <w:rPr>
          <w:rFonts w:ascii="Palatino Linotype" w:eastAsia="MS Gothic" w:hAnsi="Palatino Linotype"/>
          <w:b/>
          <w:color w:val="000000" w:themeColor="text1"/>
          <w:lang w:val="es-MX" w:eastAsia="en-US"/>
        </w:rPr>
      </w:pPr>
      <w:bookmarkStart w:id="38" w:name="_Toc99999257"/>
      <w:r w:rsidRPr="009762CA">
        <w:rPr>
          <w:rFonts w:ascii="Palatino Linotype" w:eastAsia="MS Gothic" w:hAnsi="Palatino Linotype"/>
          <w:b/>
          <w:color w:val="000000" w:themeColor="text1"/>
          <w:lang w:val="es-MX" w:eastAsia="en-US"/>
        </w:rPr>
        <w:t>R E S O L U T I V O S</w:t>
      </w:r>
      <w:bookmarkEnd w:id="33"/>
      <w:bookmarkEnd w:id="34"/>
      <w:bookmarkEnd w:id="35"/>
      <w:bookmarkEnd w:id="36"/>
      <w:bookmarkEnd w:id="38"/>
    </w:p>
    <w:p w14:paraId="5688CD11" w14:textId="77777777" w:rsidR="00567210" w:rsidRPr="009762CA" w:rsidRDefault="00567210" w:rsidP="00567210">
      <w:pPr>
        <w:rPr>
          <w:rFonts w:ascii="Palatino Linotype" w:eastAsia="MS Mincho" w:hAnsi="Palatino Linotype"/>
          <w:lang w:val="es-MX" w:eastAsia="en-US"/>
        </w:rPr>
      </w:pPr>
    </w:p>
    <w:p w14:paraId="592FD74C" w14:textId="012FBC42" w:rsidR="00567210" w:rsidRPr="009762CA" w:rsidRDefault="00567210" w:rsidP="00567210">
      <w:pPr>
        <w:spacing w:line="360" w:lineRule="auto"/>
        <w:jc w:val="both"/>
        <w:rPr>
          <w:rFonts w:ascii="Palatino Linotype" w:eastAsia="MS Gothic" w:hAnsi="Palatino Linotype"/>
          <w:b/>
          <w:bCs/>
          <w:lang w:eastAsia="en-US"/>
        </w:rPr>
      </w:pPr>
      <w:bookmarkStart w:id="39" w:name="_Toc528153793"/>
      <w:bookmarkStart w:id="40" w:name="_Toc514231051"/>
      <w:bookmarkStart w:id="41" w:name="_Toc512329343"/>
      <w:bookmarkStart w:id="42" w:name="_Toc503290282"/>
      <w:bookmarkStart w:id="43" w:name="_Toc500264545"/>
      <w:bookmarkStart w:id="44" w:name="_Toc500245736"/>
      <w:bookmarkStart w:id="45" w:name="_Toc499757019"/>
      <w:bookmarkStart w:id="46" w:name="_Toc499756976"/>
      <w:bookmarkStart w:id="47" w:name="_Toc496100164"/>
      <w:bookmarkStart w:id="48" w:name="_Toc496099787"/>
      <w:bookmarkStart w:id="49" w:name="_Toc462228127"/>
      <w:bookmarkStart w:id="50" w:name="_Toc462228047"/>
      <w:bookmarkStart w:id="51" w:name="_Toc461648680"/>
      <w:bookmarkStart w:id="52" w:name="_Toc461648588"/>
      <w:r w:rsidRPr="009762CA">
        <w:rPr>
          <w:rFonts w:ascii="Palatino Linotype" w:eastAsia="MS Gothic" w:hAnsi="Palatino Linotype"/>
          <w:b/>
          <w:lang w:val="es-MX" w:eastAsia="en-US"/>
        </w:rPr>
        <w:t xml:space="preserve">PRIMERO. </w:t>
      </w:r>
      <w:r w:rsidRPr="009762CA">
        <w:rPr>
          <w:rFonts w:ascii="Palatino Linotype" w:eastAsia="MS Gothic" w:hAnsi="Palatino Linotype"/>
          <w:lang w:val="es-MX" w:eastAsia="en-US"/>
        </w:rPr>
        <w:t>Se</w:t>
      </w:r>
      <w:r w:rsidRPr="009762CA">
        <w:rPr>
          <w:rFonts w:ascii="Palatino Linotype" w:eastAsia="MS Gothic" w:hAnsi="Palatino Linotype"/>
          <w:b/>
          <w:lang w:val="es-MX" w:eastAsia="en-US"/>
        </w:rPr>
        <w:t xml:space="preserve"> SOBRESEE </w:t>
      </w:r>
      <w:r w:rsidRPr="009762CA">
        <w:rPr>
          <w:rFonts w:ascii="Palatino Linotype" w:eastAsia="MS Gothic" w:hAnsi="Palatino Linotype"/>
          <w:lang w:val="es-MX" w:eastAsia="en-US"/>
        </w:rPr>
        <w:t>el recurso de revisión número</w:t>
      </w:r>
      <w:r w:rsidR="00B46BA6" w:rsidRPr="009762CA">
        <w:rPr>
          <w:rFonts w:ascii="Palatino Linotype" w:eastAsia="MS Gothic" w:hAnsi="Palatino Linotype"/>
          <w:lang w:val="es-MX" w:eastAsia="en-US"/>
        </w:rPr>
        <w:t xml:space="preserve"> </w:t>
      </w:r>
      <w:r w:rsidR="00BA327C" w:rsidRPr="009762CA">
        <w:rPr>
          <w:rFonts w:ascii="Palatino Linotype" w:eastAsia="MS Gothic" w:hAnsi="Palatino Linotype"/>
          <w:b/>
          <w:bCs/>
          <w:lang w:eastAsia="en-US"/>
        </w:rPr>
        <w:t xml:space="preserve">15733/INFOEM/IP/RR/2022 </w:t>
      </w:r>
      <w:r w:rsidR="00BA327C" w:rsidRPr="009762CA">
        <w:rPr>
          <w:rFonts w:ascii="Palatino Linotype" w:eastAsia="MS Gothic" w:hAnsi="Palatino Linotype"/>
          <w:bCs/>
          <w:lang w:eastAsia="en-US"/>
        </w:rPr>
        <w:t xml:space="preserve">de conformidad con al artículo </w:t>
      </w:r>
      <w:r w:rsidR="0002797F" w:rsidRPr="009762CA">
        <w:rPr>
          <w:rFonts w:ascii="Palatino Linotype" w:eastAsia="MS Gothic" w:hAnsi="Palatino Linotype"/>
          <w:bCs/>
          <w:lang w:eastAsia="en-US"/>
        </w:rPr>
        <w:t>192 fracción III</w:t>
      </w:r>
      <w:r w:rsidR="00BA327C" w:rsidRPr="009762CA">
        <w:rPr>
          <w:rFonts w:ascii="Palatino Linotype" w:eastAsia="MS Gothic" w:hAnsi="Palatino Linotype"/>
          <w:bCs/>
          <w:lang w:eastAsia="en-US"/>
        </w:rPr>
        <w:t xml:space="preserve"> de la Ley de Transparencia y Ac</w:t>
      </w:r>
      <w:r w:rsidR="0002797F" w:rsidRPr="009762CA">
        <w:rPr>
          <w:rFonts w:ascii="Palatino Linotype" w:eastAsia="MS Gothic" w:hAnsi="Palatino Linotype"/>
          <w:bCs/>
          <w:lang w:eastAsia="en-US"/>
        </w:rPr>
        <w:t xml:space="preserve">ceso a la </w:t>
      </w:r>
      <w:r w:rsidR="00BA327C" w:rsidRPr="009762CA">
        <w:rPr>
          <w:rFonts w:ascii="Palatino Linotype" w:eastAsia="MS Gothic" w:hAnsi="Palatino Linotype"/>
          <w:bCs/>
          <w:lang w:eastAsia="en-US"/>
        </w:rPr>
        <w:t>Información Pública del Estado de México y Municipios</w:t>
      </w:r>
      <w:r w:rsidR="00BA327C" w:rsidRPr="009762CA">
        <w:rPr>
          <w:rFonts w:ascii="Palatino Linotype" w:eastAsia="MS Gothic" w:hAnsi="Palatino Linotype"/>
          <w:lang w:val="es-MX" w:eastAsia="en-US"/>
        </w:rPr>
        <w:t xml:space="preserve"> </w:t>
      </w:r>
      <w:r w:rsidRPr="009762CA">
        <w:rPr>
          <w:rFonts w:ascii="Palatino Linotype" w:eastAsia="MS Gothic" w:hAnsi="Palatino Linotype"/>
          <w:lang w:val="es-MX" w:eastAsia="en-US"/>
        </w:rPr>
        <w:t xml:space="preserve">en razón de que, al </w:t>
      </w:r>
      <w:r w:rsidRPr="009762CA">
        <w:rPr>
          <w:rFonts w:ascii="Palatino Linotype" w:eastAsia="MS Gothic" w:hAnsi="Palatino Linotype"/>
          <w:b/>
          <w:lang w:val="es-MX" w:eastAsia="en-US"/>
        </w:rPr>
        <w:t>MODIFICAR</w:t>
      </w:r>
      <w:r w:rsidRPr="009762CA">
        <w:rPr>
          <w:rFonts w:ascii="Palatino Linotype" w:eastAsia="MS Gothic" w:hAnsi="Palatino Linotype"/>
          <w:lang w:val="es-MX" w:eastAsia="en-US"/>
        </w:rPr>
        <w:t xml:space="preserve"> la respuesta inicial, el recurso de revisión quedó sin materia en términos del Considerando </w:t>
      </w:r>
      <w:r w:rsidRPr="009762CA">
        <w:rPr>
          <w:rFonts w:ascii="Palatino Linotype" w:eastAsia="MS Gothic" w:hAnsi="Palatino Linotype"/>
          <w:b/>
          <w:lang w:val="es-MX" w:eastAsia="en-US"/>
        </w:rPr>
        <w:t>TERCERO</w:t>
      </w:r>
      <w:r w:rsidRPr="009762CA">
        <w:rPr>
          <w:rFonts w:ascii="Palatino Linotype" w:eastAsia="MS Gothic" w:hAnsi="Palatino Linotype"/>
          <w:lang w:val="es-MX" w:eastAsia="en-US"/>
        </w:rPr>
        <w:t xml:space="preserve"> de la presente resolución.    </w:t>
      </w:r>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1B635B73" w14:textId="77777777" w:rsidR="00567210" w:rsidRPr="009762CA" w:rsidRDefault="00567210" w:rsidP="00567210">
      <w:pPr>
        <w:spacing w:line="360" w:lineRule="auto"/>
        <w:jc w:val="both"/>
        <w:rPr>
          <w:rFonts w:ascii="Palatino Linotype" w:eastAsia="MS Mincho" w:hAnsi="Palatino Linotype"/>
          <w:lang w:val="es-ES_tradnl"/>
        </w:rPr>
      </w:pPr>
    </w:p>
    <w:p w14:paraId="4DB80047" w14:textId="77777777" w:rsidR="00567210" w:rsidRPr="009762CA" w:rsidRDefault="00567210" w:rsidP="00567210">
      <w:pPr>
        <w:spacing w:line="360" w:lineRule="auto"/>
        <w:jc w:val="both"/>
        <w:rPr>
          <w:rFonts w:ascii="Palatino Linotype" w:eastAsia="Calibri" w:hAnsi="Palatino Linotype" w:cs="Arial"/>
          <w:b/>
          <w:bCs/>
        </w:rPr>
      </w:pPr>
      <w:r w:rsidRPr="009762CA">
        <w:rPr>
          <w:rFonts w:ascii="Palatino Linotype" w:eastAsia="Calibri" w:hAnsi="Palatino Linotype" w:cs="Arial"/>
          <w:b/>
          <w:bCs/>
        </w:rPr>
        <w:t xml:space="preserve">SEGUNDO. Notifíquese </w:t>
      </w:r>
      <w:r w:rsidRPr="009762CA">
        <w:rPr>
          <w:rFonts w:ascii="Palatino Linotype" w:eastAsia="Calibri" w:hAnsi="Palatino Linotype" w:cs="Arial"/>
          <w:bCs/>
        </w:rPr>
        <w:t xml:space="preserve">a través del Sistema de Acceso a la Información Mexiquense </w:t>
      </w:r>
      <w:r w:rsidRPr="009762CA">
        <w:rPr>
          <w:rFonts w:ascii="Palatino Linotype" w:eastAsia="Calibri" w:hAnsi="Palatino Linotype" w:cs="Arial"/>
          <w:b/>
          <w:bCs/>
        </w:rPr>
        <w:t xml:space="preserve">(SAIMEX) </w:t>
      </w:r>
      <w:r w:rsidRPr="009762CA">
        <w:rPr>
          <w:rFonts w:ascii="Palatino Linotype" w:eastAsia="Calibri" w:hAnsi="Palatino Linotype" w:cs="Arial"/>
          <w:bCs/>
        </w:rPr>
        <w:t>la presente resolución a la Titular de la Unidad de Transparencia del</w:t>
      </w:r>
      <w:r w:rsidRPr="009762CA">
        <w:rPr>
          <w:rFonts w:ascii="Palatino Linotype" w:eastAsia="Calibri" w:hAnsi="Palatino Linotype" w:cs="Arial"/>
          <w:b/>
          <w:bCs/>
        </w:rPr>
        <w:t xml:space="preserve"> SUJETO OBLIGADO. </w:t>
      </w:r>
    </w:p>
    <w:p w14:paraId="26EF71CC" w14:textId="77777777" w:rsidR="00567210" w:rsidRPr="009762CA" w:rsidRDefault="00567210" w:rsidP="00567210">
      <w:pPr>
        <w:spacing w:line="360" w:lineRule="auto"/>
        <w:jc w:val="both"/>
        <w:rPr>
          <w:rFonts w:ascii="Palatino Linotype" w:eastAsia="Calibri" w:hAnsi="Palatino Linotype" w:cs="Arial"/>
          <w:b/>
          <w:bCs/>
        </w:rPr>
      </w:pPr>
    </w:p>
    <w:p w14:paraId="4AED55F5" w14:textId="77777777" w:rsidR="00567210" w:rsidRPr="009762CA" w:rsidRDefault="00567210" w:rsidP="00567210">
      <w:pPr>
        <w:spacing w:line="360" w:lineRule="auto"/>
        <w:jc w:val="both"/>
        <w:rPr>
          <w:rFonts w:ascii="Palatino Linotype" w:hAnsi="Palatino Linotype"/>
          <w:color w:val="222222"/>
          <w:lang w:eastAsia="es-MX"/>
        </w:rPr>
      </w:pPr>
      <w:r w:rsidRPr="009762CA">
        <w:rPr>
          <w:rFonts w:ascii="Palatino Linotype" w:hAnsi="Palatino Linotype" w:cs="Arial"/>
          <w:b/>
          <w:lang w:val="es-ES_tradnl"/>
        </w:rPr>
        <w:t xml:space="preserve">TERCERO. </w:t>
      </w:r>
      <w:r w:rsidRPr="009762CA">
        <w:rPr>
          <w:rFonts w:ascii="Palatino Linotype" w:hAnsi="Palatino Linotype"/>
          <w:b/>
          <w:bCs/>
          <w:color w:val="222222"/>
        </w:rPr>
        <w:t xml:space="preserve">Notifíquese </w:t>
      </w:r>
      <w:r w:rsidRPr="009762CA">
        <w:rPr>
          <w:rFonts w:ascii="Palatino Linotype" w:hAnsi="Palatino Linotype"/>
          <w:bCs/>
          <w:color w:val="222222"/>
        </w:rPr>
        <w:t xml:space="preserve">al </w:t>
      </w:r>
      <w:r w:rsidRPr="009762CA">
        <w:rPr>
          <w:rFonts w:ascii="Palatino Linotype" w:eastAsia="MS Mincho" w:hAnsi="Palatino Linotype"/>
          <w:b/>
          <w:lang w:val="es-ES_tradnl"/>
        </w:rPr>
        <w:t xml:space="preserve">RECURRENTE </w:t>
      </w:r>
      <w:r w:rsidRPr="009762CA">
        <w:rPr>
          <w:rFonts w:ascii="Palatino Linotype" w:eastAsia="Calibri" w:hAnsi="Palatino Linotype" w:cs="Arial"/>
          <w:bCs/>
        </w:rPr>
        <w:t xml:space="preserve">a través del Sistema de Acceso a la Información Mexiquense </w:t>
      </w:r>
      <w:r w:rsidRPr="009762CA">
        <w:rPr>
          <w:rFonts w:ascii="Palatino Linotype" w:eastAsia="Calibri" w:hAnsi="Palatino Linotype" w:cs="Arial"/>
          <w:b/>
          <w:bCs/>
        </w:rPr>
        <w:t xml:space="preserve">(SAIMEX) </w:t>
      </w:r>
      <w:r w:rsidRPr="009762CA">
        <w:rPr>
          <w:rFonts w:ascii="Palatino Linotype" w:hAnsi="Palatino Linotype"/>
          <w:color w:val="222222"/>
          <w:lang w:eastAsia="es-MX"/>
        </w:rPr>
        <w:t>la presente resolución.</w:t>
      </w:r>
    </w:p>
    <w:p w14:paraId="0E077059" w14:textId="77777777" w:rsidR="00567210" w:rsidRPr="009762CA" w:rsidRDefault="00567210" w:rsidP="00567210">
      <w:pPr>
        <w:spacing w:line="360" w:lineRule="auto"/>
        <w:jc w:val="both"/>
        <w:rPr>
          <w:rFonts w:ascii="Palatino Linotype" w:hAnsi="Palatino Linotype"/>
          <w:color w:val="222222"/>
          <w:lang w:eastAsia="es-MX"/>
        </w:rPr>
      </w:pPr>
    </w:p>
    <w:p w14:paraId="4E6DBFBA" w14:textId="77777777" w:rsidR="00567210" w:rsidRPr="009762CA" w:rsidRDefault="00567210" w:rsidP="00567210">
      <w:pPr>
        <w:spacing w:line="360" w:lineRule="auto"/>
        <w:jc w:val="both"/>
        <w:rPr>
          <w:rFonts w:ascii="Palatino Linotype" w:eastAsia="MS Mincho" w:hAnsi="Palatino Linotype"/>
        </w:rPr>
      </w:pPr>
      <w:r w:rsidRPr="009762CA">
        <w:rPr>
          <w:rFonts w:ascii="Palatino Linotype" w:eastAsia="MS Mincho" w:hAnsi="Palatino Linotype"/>
          <w:b/>
          <w:lang w:val="es-MX"/>
        </w:rPr>
        <w:t>CUARTO.</w:t>
      </w:r>
      <w:r w:rsidRPr="009762CA">
        <w:rPr>
          <w:rFonts w:ascii="Palatino Linotype" w:eastAsia="MS Mincho" w:hAnsi="Palatino Linotype"/>
          <w:lang w:val="es-MX"/>
        </w:rPr>
        <w:t xml:space="preserve"> </w:t>
      </w:r>
      <w:r w:rsidRPr="009762CA">
        <w:rPr>
          <w:rFonts w:ascii="Palatino Linotype" w:eastAsia="MS Mincho" w:hAnsi="Palatino Linotype"/>
        </w:rPr>
        <w:t xml:space="preserve">Se hace del conocimiento del </w:t>
      </w:r>
      <w:r w:rsidRPr="009762CA">
        <w:rPr>
          <w:rFonts w:ascii="Palatino Linotype" w:eastAsia="MS Mincho" w:hAnsi="Palatino Linotype"/>
          <w:b/>
          <w:lang w:val="es-ES_tradnl"/>
        </w:rPr>
        <w:t xml:space="preserve">RECURRENTE </w:t>
      </w:r>
      <w:r w:rsidRPr="009762CA">
        <w:rPr>
          <w:rFonts w:ascii="Palatino Linotype" w:eastAsia="MS Mincho" w:hAnsi="Palatino Linotype"/>
        </w:rPr>
        <w:t xml:space="preserve">que, de conformidad con lo establecido en el artículo 196 de la Ley de Transparencia y Acceso a la Información </w:t>
      </w:r>
      <w:r w:rsidRPr="009762CA">
        <w:rPr>
          <w:rFonts w:ascii="Palatino Linotype" w:eastAsia="MS Mincho" w:hAnsi="Palatino Linotype"/>
        </w:rPr>
        <w:lastRenderedPageBreak/>
        <w:t xml:space="preserve">Pública del Estado de México y Municipios, en caso de que considere que la resolución le cause algún perjuicio podrá impugnarla </w:t>
      </w:r>
      <w:r w:rsidRPr="009762CA">
        <w:rPr>
          <w:rFonts w:ascii="Palatino Linotype" w:eastAsia="MS Mincho" w:hAnsi="Palatino Linotype"/>
          <w:bCs/>
        </w:rPr>
        <w:t xml:space="preserve">vía juicio de amparo </w:t>
      </w:r>
      <w:r w:rsidRPr="009762CA">
        <w:rPr>
          <w:rFonts w:ascii="Palatino Linotype" w:eastAsia="MS Mincho" w:hAnsi="Palatino Linotype"/>
        </w:rPr>
        <w:t>en los términos de las leyes aplicables.</w:t>
      </w:r>
    </w:p>
    <w:p w14:paraId="636121A7" w14:textId="77777777" w:rsidR="00567210" w:rsidRPr="009762CA" w:rsidRDefault="00567210" w:rsidP="00567210">
      <w:pPr>
        <w:spacing w:line="360" w:lineRule="auto"/>
        <w:jc w:val="both"/>
        <w:rPr>
          <w:rFonts w:ascii="Palatino Linotype" w:eastAsia="MS Mincho" w:hAnsi="Palatino Linotype"/>
        </w:rPr>
      </w:pPr>
    </w:p>
    <w:p w14:paraId="43D63DFC" w14:textId="77777777" w:rsidR="00D54288" w:rsidRDefault="00D54288" w:rsidP="00D54288">
      <w:pPr>
        <w:spacing w:before="240" w:after="240" w:line="360" w:lineRule="auto"/>
        <w:jc w:val="both"/>
        <w:rPr>
          <w:rFonts w:ascii="Palatino Linotype" w:hAnsi="Palatino Linotype"/>
        </w:rPr>
      </w:pPr>
      <w:r w:rsidRPr="009762C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DIECISÉIS (16) DE NOVIEMBRE DE DOS MIL VEINTIDÓS, ANTE EL SECRETARIO TÉCNICO DEL PLENO ALEXIS TAPIA RAMÍREZ.</w:t>
      </w:r>
      <w:bookmarkStart w:id="53" w:name="_GoBack"/>
      <w:bookmarkEnd w:id="53"/>
      <w:r w:rsidRPr="00624AAD">
        <w:rPr>
          <w:rFonts w:ascii="Palatino Linotype" w:hAnsi="Palatino Linotype"/>
        </w:rPr>
        <w:t xml:space="preserve"> </w:t>
      </w:r>
    </w:p>
    <w:p w14:paraId="4453F8E6" w14:textId="44747C6D" w:rsidR="00090DE6" w:rsidRPr="00E43C17" w:rsidRDefault="00090DE6" w:rsidP="00D54288">
      <w:pPr>
        <w:spacing w:line="360" w:lineRule="auto"/>
        <w:jc w:val="both"/>
        <w:rPr>
          <w:rFonts w:ascii="Palatino Linotype" w:hAnsi="Palatino Linotype"/>
        </w:rPr>
      </w:pPr>
    </w:p>
    <w:sectPr w:rsidR="00090DE6" w:rsidRPr="00E43C17" w:rsidSect="009F07F4">
      <w:headerReference w:type="default" r:id="rId13"/>
      <w:footerReference w:type="default" r:id="rId14"/>
      <w:headerReference w:type="first" r:id="rId15"/>
      <w:footerReference w:type="first" r:id="rId1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640F7A" w14:textId="77777777" w:rsidR="00A54434" w:rsidRDefault="00A54434" w:rsidP="00C80F8C">
      <w:r>
        <w:separator/>
      </w:r>
    </w:p>
  </w:endnote>
  <w:endnote w:type="continuationSeparator" w:id="0">
    <w:p w14:paraId="0E21A8C1" w14:textId="77777777" w:rsidR="00A54434" w:rsidRDefault="00A5443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4BDBF982" w:rsidR="003B268D" w:rsidRPr="00817AAB" w:rsidRDefault="003B268D"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9762CA">
      <w:rPr>
        <w:rFonts w:ascii="Palatino Linotype" w:hAnsi="Palatino Linotype" w:cs="Arial"/>
        <w:b/>
        <w:bCs/>
        <w:noProof/>
      </w:rPr>
      <w:t>23</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9762CA">
      <w:rPr>
        <w:rFonts w:ascii="Palatino Linotype" w:hAnsi="Palatino Linotype" w:cs="Arial"/>
        <w:b/>
        <w:bCs/>
        <w:noProof/>
      </w:rPr>
      <w:t>25</w:t>
    </w:r>
    <w:r w:rsidRPr="00817AAB">
      <w:rPr>
        <w:rFonts w:ascii="Palatino Linotype" w:hAnsi="Palatino Linotype" w:cs="Arial"/>
        <w:b/>
        <w:bCs/>
      </w:rPr>
      <w:fldChar w:fldCharType="end"/>
    </w:r>
  </w:p>
  <w:p w14:paraId="1192A578" w14:textId="77777777" w:rsidR="003B268D" w:rsidRDefault="003B268D" w:rsidP="00935A0D">
    <w:pPr>
      <w:pStyle w:val="Piedepgina"/>
      <w:rPr>
        <w:rFonts w:ascii="Times New Roman" w:hAnsi="Times New Roman" w:cs="Times New Roman"/>
      </w:rPr>
    </w:pPr>
  </w:p>
  <w:p w14:paraId="14A770F8" w14:textId="77777777" w:rsidR="003B268D" w:rsidRDefault="003B268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15436221" w:rsidR="003B268D" w:rsidRDefault="003B268D"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762C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762CA">
      <w:rPr>
        <w:rFonts w:ascii="Arial" w:hAnsi="Arial" w:cs="Arial"/>
        <w:b/>
        <w:bCs/>
        <w:noProof/>
        <w:sz w:val="20"/>
        <w:szCs w:val="20"/>
      </w:rPr>
      <w:t>25</w:t>
    </w:r>
    <w:r>
      <w:rPr>
        <w:rFonts w:ascii="Arial" w:hAnsi="Arial" w:cs="Arial"/>
        <w:b/>
        <w:bCs/>
        <w:sz w:val="20"/>
        <w:szCs w:val="20"/>
      </w:rPr>
      <w:fldChar w:fldCharType="end"/>
    </w:r>
  </w:p>
  <w:p w14:paraId="5D98ABD5" w14:textId="77777777" w:rsidR="003B268D" w:rsidRDefault="003B26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25CD68" w14:textId="77777777" w:rsidR="00A54434" w:rsidRDefault="00A54434" w:rsidP="00C80F8C">
      <w:r>
        <w:separator/>
      </w:r>
    </w:p>
  </w:footnote>
  <w:footnote w:type="continuationSeparator" w:id="0">
    <w:p w14:paraId="0BEB6293" w14:textId="77777777" w:rsidR="00A54434" w:rsidRDefault="00A5443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3B268D" w14:paraId="6B4E3B81" w14:textId="77777777" w:rsidTr="00B4299A">
      <w:tc>
        <w:tcPr>
          <w:tcW w:w="2701" w:type="dxa"/>
          <w:vAlign w:val="center"/>
          <w:hideMark/>
        </w:tcPr>
        <w:p w14:paraId="0ABBC6C0" w14:textId="1226DAAF" w:rsidR="003B268D" w:rsidRPr="00B4299A" w:rsidRDefault="003B268D"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41522F8D" w:rsidR="003B268D" w:rsidRPr="00B4299A" w:rsidRDefault="005D3CFC" w:rsidP="0007224B">
          <w:pPr>
            <w:rPr>
              <w:rFonts w:ascii="Palatino Linotype" w:hAnsi="Palatino Linotype"/>
              <w:b/>
              <w:szCs w:val="22"/>
              <w:lang w:val="es-ES_tradnl"/>
            </w:rPr>
          </w:pPr>
          <w:r w:rsidRPr="005D3CFC">
            <w:rPr>
              <w:rFonts w:ascii="Palatino Linotype" w:hAnsi="Palatino Linotype"/>
              <w:b/>
              <w:szCs w:val="22"/>
              <w:lang w:val="es-ES_tradnl"/>
            </w:rPr>
            <w:t>15733/INFOEM/IP/RR/2022</w:t>
          </w:r>
        </w:p>
      </w:tc>
    </w:tr>
    <w:tr w:rsidR="003B268D" w14:paraId="31CB780F" w14:textId="77777777" w:rsidTr="00B4299A">
      <w:trPr>
        <w:trHeight w:val="228"/>
      </w:trPr>
      <w:tc>
        <w:tcPr>
          <w:tcW w:w="2701" w:type="dxa"/>
          <w:vAlign w:val="center"/>
          <w:hideMark/>
        </w:tcPr>
        <w:p w14:paraId="4F49CB4A" w14:textId="6966D32E" w:rsidR="003B268D" w:rsidRPr="00B4299A" w:rsidRDefault="003B268D"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08535632" w:rsidR="003B268D" w:rsidRPr="00B4299A" w:rsidRDefault="005D3CFC" w:rsidP="005D3CFC">
          <w:pPr>
            <w:jc w:val="both"/>
            <w:rPr>
              <w:rFonts w:ascii="Palatino Linotype" w:hAnsi="Palatino Linotype"/>
              <w:b/>
              <w:szCs w:val="22"/>
              <w:lang w:val="es-ES_tradnl"/>
            </w:rPr>
          </w:pPr>
          <w:r w:rsidRPr="005D3CFC">
            <w:rPr>
              <w:rFonts w:ascii="Palatino Linotype" w:hAnsi="Palatino Linotype"/>
              <w:b/>
              <w:bCs/>
              <w:szCs w:val="22"/>
            </w:rPr>
            <w:t>Ayuntamiento de Ecatepec de Morelos</w:t>
          </w:r>
        </w:p>
      </w:tc>
    </w:tr>
    <w:tr w:rsidR="003B268D" w14:paraId="69050F56" w14:textId="77777777" w:rsidTr="00B4299A">
      <w:tc>
        <w:tcPr>
          <w:tcW w:w="2701" w:type="dxa"/>
          <w:vAlign w:val="center"/>
          <w:hideMark/>
        </w:tcPr>
        <w:p w14:paraId="65C9B735" w14:textId="75C78F81" w:rsidR="003B268D" w:rsidRPr="00B4299A" w:rsidRDefault="003B268D"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3B268D" w:rsidRPr="00B4299A" w:rsidRDefault="003B268D"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3B268D" w:rsidRDefault="003B268D"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3B268D" w:rsidRDefault="003B268D"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8D8562" w:rsidR="003B268D" w:rsidRDefault="003B268D" w:rsidP="00C47D1B">
    <w:pPr>
      <w:pStyle w:val="Encabezado"/>
      <w:jc w:val="both"/>
    </w:pPr>
    <w:r>
      <w:t xml:space="preserve">                                  </w:t>
    </w:r>
  </w:p>
  <w:tbl>
    <w:tblPr>
      <w:tblW w:w="6669" w:type="dxa"/>
      <w:tblInd w:w="3256" w:type="dxa"/>
      <w:tblLayout w:type="fixed"/>
      <w:tblLook w:val="04A0" w:firstRow="1" w:lastRow="0" w:firstColumn="1" w:lastColumn="0" w:noHBand="0" w:noVBand="1"/>
    </w:tblPr>
    <w:tblGrid>
      <w:gridCol w:w="2693"/>
      <w:gridCol w:w="3976"/>
    </w:tblGrid>
    <w:tr w:rsidR="003B268D" w14:paraId="477E149B" w14:textId="77777777" w:rsidTr="00CB57FD">
      <w:trPr>
        <w:trHeight w:val="277"/>
      </w:trPr>
      <w:tc>
        <w:tcPr>
          <w:tcW w:w="2693" w:type="dxa"/>
          <w:vAlign w:val="center"/>
          <w:hideMark/>
        </w:tcPr>
        <w:p w14:paraId="5C0586E4" w14:textId="77777777" w:rsidR="003B268D" w:rsidRPr="009B3353" w:rsidRDefault="003B268D"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64F199A7" w:rsidR="003B268D" w:rsidRPr="009B3353" w:rsidRDefault="005D3CFC" w:rsidP="00761460">
          <w:pPr>
            <w:rPr>
              <w:rFonts w:ascii="Palatino Linotype" w:hAnsi="Palatino Linotype"/>
              <w:b/>
              <w:szCs w:val="22"/>
              <w:lang w:val="es-ES_tradnl"/>
            </w:rPr>
          </w:pPr>
          <w:r w:rsidRPr="005D3CFC">
            <w:rPr>
              <w:rFonts w:ascii="Palatino Linotype" w:hAnsi="Palatino Linotype"/>
              <w:b/>
              <w:bCs/>
              <w:szCs w:val="22"/>
            </w:rPr>
            <w:t>15733/INFOEM/IP/RR/2022</w:t>
          </w:r>
        </w:p>
      </w:tc>
    </w:tr>
    <w:tr w:rsidR="003B268D" w14:paraId="5B5BE21C" w14:textId="77777777" w:rsidTr="00CB57FD">
      <w:tc>
        <w:tcPr>
          <w:tcW w:w="2693" w:type="dxa"/>
          <w:vAlign w:val="center"/>
          <w:hideMark/>
        </w:tcPr>
        <w:p w14:paraId="4AE96902" w14:textId="4E063913" w:rsidR="003B268D" w:rsidRPr="009B3353" w:rsidRDefault="003B268D"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756ECB8D" w:rsidR="003B268D" w:rsidRPr="009B3353" w:rsidRDefault="009762CA" w:rsidP="002B7BCC">
          <w:pPr>
            <w:rPr>
              <w:rFonts w:ascii="Palatino Linotype" w:hAnsi="Palatino Linotype"/>
              <w:b/>
              <w:szCs w:val="22"/>
              <w:lang w:val="es-ES_tradnl"/>
            </w:rPr>
          </w:pPr>
          <w:r>
            <w:rPr>
              <w:rFonts w:ascii="Palatino Linotype" w:hAnsi="Palatino Linotype"/>
              <w:b/>
              <w:bCs/>
              <w:szCs w:val="22"/>
            </w:rPr>
            <w:t xml:space="preserve">XXXX </w:t>
          </w:r>
          <w:proofErr w:type="spellStart"/>
          <w:r>
            <w:rPr>
              <w:rFonts w:ascii="Palatino Linotype" w:hAnsi="Palatino Linotype"/>
              <w:b/>
              <w:bCs/>
              <w:szCs w:val="22"/>
            </w:rPr>
            <w:t>XXXX</w:t>
          </w:r>
          <w:proofErr w:type="spellEnd"/>
          <w:r>
            <w:rPr>
              <w:rFonts w:ascii="Palatino Linotype" w:hAnsi="Palatino Linotype"/>
              <w:b/>
              <w:bCs/>
              <w:szCs w:val="22"/>
            </w:rPr>
            <w:t xml:space="preserve"> XXXXX</w:t>
          </w:r>
        </w:p>
      </w:tc>
    </w:tr>
    <w:tr w:rsidR="003B268D" w14:paraId="22601A11" w14:textId="77777777" w:rsidTr="00CB57FD">
      <w:trPr>
        <w:trHeight w:val="228"/>
      </w:trPr>
      <w:tc>
        <w:tcPr>
          <w:tcW w:w="2693" w:type="dxa"/>
          <w:vAlign w:val="center"/>
          <w:hideMark/>
        </w:tcPr>
        <w:p w14:paraId="6EFE221D" w14:textId="49C5F800" w:rsidR="003B268D" w:rsidRPr="009B3353" w:rsidRDefault="003B268D"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4B8126C0" w:rsidR="005D3CFC" w:rsidRPr="009B3353" w:rsidRDefault="005D3CFC" w:rsidP="005D3CFC">
          <w:pPr>
            <w:jc w:val="both"/>
            <w:rPr>
              <w:rFonts w:ascii="Palatino Linotype" w:eastAsia="Calibri" w:hAnsi="Palatino Linotype"/>
              <w:b/>
              <w:szCs w:val="22"/>
              <w:lang w:val="es-MX" w:eastAsia="en-US"/>
            </w:rPr>
          </w:pPr>
          <w:r>
            <w:rPr>
              <w:noProof/>
              <w:lang w:val="es-MX" w:eastAsia="es-MX"/>
            </w:rPr>
            <w:drawing>
              <wp:anchor distT="0" distB="0" distL="114300" distR="114300" simplePos="0" relativeHeight="251659264" behindDoc="1" locked="0" layoutInCell="1" allowOverlap="1" wp14:anchorId="0F18532F" wp14:editId="6BAEE673">
                <wp:simplePos x="0" y="0"/>
                <wp:positionH relativeFrom="page">
                  <wp:posOffset>-5353050</wp:posOffset>
                </wp:positionH>
                <wp:positionV relativeFrom="paragraph">
                  <wp:posOffset>-845820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rsidR="003B268D" w:rsidRPr="0007224B">
            <w:rPr>
              <w:rFonts w:ascii="Palatino Linotype" w:eastAsia="Calibri" w:hAnsi="Palatino Linotype"/>
              <w:b/>
              <w:szCs w:val="22"/>
              <w:lang w:val="es-MX" w:eastAsia="en-US"/>
            </w:rPr>
            <w:t xml:space="preserve"> </w:t>
          </w:r>
          <w:r w:rsidRPr="005D3CFC">
            <w:rPr>
              <w:rFonts w:ascii="Palatino Linotype" w:eastAsia="Calibri" w:hAnsi="Palatino Linotype"/>
              <w:b/>
              <w:szCs w:val="22"/>
              <w:lang w:val="es-MX" w:eastAsia="en-US"/>
            </w:rPr>
            <w:t>Ayuntamiento de Ecatepec de Morelos</w:t>
          </w:r>
        </w:p>
      </w:tc>
    </w:tr>
    <w:tr w:rsidR="003B268D" w14:paraId="2D6C630E" w14:textId="77777777" w:rsidTr="00CB57FD">
      <w:tc>
        <w:tcPr>
          <w:tcW w:w="2693" w:type="dxa"/>
          <w:vAlign w:val="center"/>
          <w:hideMark/>
        </w:tcPr>
        <w:p w14:paraId="5BD4C6DB" w14:textId="7CF21504" w:rsidR="003B268D" w:rsidRPr="009B3353" w:rsidRDefault="003B268D"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3B268D" w:rsidRPr="009B3353" w:rsidRDefault="003B268D"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3B268D" w:rsidRDefault="003B268D"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51C42"/>
    <w:multiLevelType w:val="hybridMultilevel"/>
    <w:tmpl w:val="A6E421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5CC199D"/>
    <w:multiLevelType w:val="hybridMultilevel"/>
    <w:tmpl w:val="7B1EB1E2"/>
    <w:lvl w:ilvl="0" w:tplc="1EA636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37354"/>
    <w:multiLevelType w:val="hybridMultilevel"/>
    <w:tmpl w:val="6B9A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1223F"/>
    <w:multiLevelType w:val="hybridMultilevel"/>
    <w:tmpl w:val="69207F6C"/>
    <w:lvl w:ilvl="0" w:tplc="0D2CC0C6">
      <w:start w:val="6"/>
      <w:numFmt w:val="decimal"/>
      <w:lvlText w:val="%1."/>
      <w:lvlJc w:val="left"/>
      <w:pPr>
        <w:ind w:left="720" w:hanging="360"/>
      </w:pPr>
      <w:rPr>
        <w:rFonts w:hint="default"/>
        <w:b/>
        <w:i w:val="0"/>
        <w:color w:val="000000" w:themeColor="text1"/>
        <w:sz w:val="24"/>
      </w:rPr>
    </w:lvl>
    <w:lvl w:ilvl="1" w:tplc="CE0085C6">
      <w:start w:val="1"/>
      <w:numFmt w:val="lowerLetter"/>
      <w:lvlText w:val="%2)"/>
      <w:lvlJc w:val="left"/>
      <w:pPr>
        <w:ind w:left="1440" w:hanging="360"/>
      </w:pPr>
      <w:rPr>
        <w:rFonts w:hint="default"/>
        <w:b/>
      </w:rPr>
    </w:lvl>
    <w:lvl w:ilvl="2" w:tplc="DE447C6C">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EC5B1C"/>
    <w:multiLevelType w:val="hybridMultilevel"/>
    <w:tmpl w:val="391650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1434458C"/>
    <w:multiLevelType w:val="hybridMultilevel"/>
    <w:tmpl w:val="EB2EDE4A"/>
    <w:lvl w:ilvl="0" w:tplc="7124D4A2">
      <w:start w:val="1"/>
      <w:numFmt w:val="lowerLetter"/>
      <w:lvlText w:val="%1)"/>
      <w:lvlJc w:val="left"/>
      <w:pPr>
        <w:ind w:left="900" w:hanging="360"/>
      </w:pPr>
      <w:rPr>
        <w:rFonts w:ascii="Palatino Linotype" w:hAnsi="Palatino Linotype" w:hint="default"/>
        <w:i/>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AD23B6"/>
    <w:multiLevelType w:val="hybridMultilevel"/>
    <w:tmpl w:val="EEE46874"/>
    <w:lvl w:ilvl="0" w:tplc="B7082AA4">
      <w:start w:val="1"/>
      <w:numFmt w:val="lowerLetter"/>
      <w:lvlText w:val="%1)"/>
      <w:lvlJc w:val="left"/>
      <w:pPr>
        <w:ind w:left="900" w:hanging="360"/>
      </w:pPr>
      <w:rPr>
        <w:rFonts w:ascii="Palatino Linotype" w:hAnsi="Palatino Linotype" w:hint="default"/>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1DC722D3"/>
    <w:multiLevelType w:val="hybridMultilevel"/>
    <w:tmpl w:val="0024A8B6"/>
    <w:lvl w:ilvl="0" w:tplc="E35AB3CA">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841CC6"/>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364FF8"/>
    <w:multiLevelType w:val="hybridMultilevel"/>
    <w:tmpl w:val="649296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5" w15:restartNumberingAfterBreak="0">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AD8321B"/>
    <w:multiLevelType w:val="hybridMultilevel"/>
    <w:tmpl w:val="5846EA66"/>
    <w:lvl w:ilvl="0" w:tplc="E16EFDF6">
      <w:start w:val="29"/>
      <w:numFmt w:val="decimal"/>
      <w:lvlText w:val="%1."/>
      <w:lvlJc w:val="left"/>
      <w:pPr>
        <w:ind w:left="502" w:hanging="360"/>
      </w:pPr>
      <w:rPr>
        <w:b/>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8" w15:restartNumberingAfterBreak="0">
    <w:nsid w:val="45977F9D"/>
    <w:multiLevelType w:val="hybridMultilevel"/>
    <w:tmpl w:val="658E950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202F9A"/>
    <w:multiLevelType w:val="hybridMultilevel"/>
    <w:tmpl w:val="D0920F2C"/>
    <w:lvl w:ilvl="0" w:tplc="43FEC28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15:restartNumberingAfterBreak="0">
    <w:nsid w:val="564F4CEC"/>
    <w:multiLevelType w:val="hybridMultilevel"/>
    <w:tmpl w:val="C47EAE46"/>
    <w:lvl w:ilvl="0" w:tplc="0C44CDE6">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5A3A237C"/>
    <w:multiLevelType w:val="hybridMultilevel"/>
    <w:tmpl w:val="6A2C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F226D6"/>
    <w:multiLevelType w:val="hybridMultilevel"/>
    <w:tmpl w:val="C6DC69B2"/>
    <w:lvl w:ilvl="0" w:tplc="36641F6C">
      <w:numFmt w:val="bullet"/>
      <w:lvlText w:val="-"/>
      <w:lvlJc w:val="left"/>
      <w:pPr>
        <w:ind w:left="927" w:hanging="360"/>
      </w:pPr>
      <w:rPr>
        <w:rFonts w:ascii="Times New Roman" w:eastAsia="Times New Roman" w:hAnsi="Times New Roman" w:cs="Times New Roman" w:hint="default"/>
        <w:b/>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15:restartNumberingAfterBreak="0">
    <w:nsid w:val="6A2C5D45"/>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C4C6525"/>
    <w:multiLevelType w:val="hybridMultilevel"/>
    <w:tmpl w:val="B66022E2"/>
    <w:lvl w:ilvl="0" w:tplc="FEFA58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7D1AA0"/>
    <w:multiLevelType w:val="hybridMultilevel"/>
    <w:tmpl w:val="18EC76D2"/>
    <w:lvl w:ilvl="0" w:tplc="B0AC5F36">
      <w:start w:val="4"/>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282394F"/>
    <w:multiLevelType w:val="hybridMultilevel"/>
    <w:tmpl w:val="B90A6DCA"/>
    <w:lvl w:ilvl="0" w:tplc="7A022C44">
      <w:start w:val="1"/>
      <w:numFmt w:val="upperRoman"/>
      <w:lvlText w:val="%1."/>
      <w:lvlJc w:val="left"/>
      <w:pPr>
        <w:ind w:left="1320" w:hanging="7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1" w15:restartNumberingAfterBreak="0">
    <w:nsid w:val="743204EE"/>
    <w:multiLevelType w:val="hybridMultilevel"/>
    <w:tmpl w:val="6128C95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EB1305"/>
    <w:multiLevelType w:val="hybridMultilevel"/>
    <w:tmpl w:val="CC986D86"/>
    <w:lvl w:ilvl="0" w:tplc="C3844D6E">
      <w:numFmt w:val="bullet"/>
      <w:lvlText w:val="-"/>
      <w:lvlJc w:val="left"/>
      <w:pPr>
        <w:ind w:left="927" w:hanging="360"/>
      </w:pPr>
      <w:rPr>
        <w:rFonts w:ascii="Times New Roman" w:eastAsia="Times New Roman" w:hAnsi="Times New Roman" w:cs="Times New Roman" w:hint="default"/>
        <w:b/>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4" w15:restartNumberingAfterBreak="0">
    <w:nsid w:val="785475B5"/>
    <w:multiLevelType w:val="hybridMultilevel"/>
    <w:tmpl w:val="5EB251A0"/>
    <w:lvl w:ilvl="0" w:tplc="B452440C">
      <w:start w:val="17"/>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732DE1"/>
    <w:multiLevelType w:val="hybridMultilevel"/>
    <w:tmpl w:val="809A16A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start w:val="1"/>
      <w:numFmt w:val="bullet"/>
      <w:lvlText w:val="o"/>
      <w:lvlJc w:val="left"/>
      <w:pPr>
        <w:ind w:left="3102" w:hanging="360"/>
      </w:pPr>
      <w:rPr>
        <w:rFonts w:ascii="Courier New" w:hAnsi="Courier New" w:cs="Courier New" w:hint="default"/>
      </w:rPr>
    </w:lvl>
    <w:lvl w:ilvl="2" w:tplc="080A0005">
      <w:start w:val="1"/>
      <w:numFmt w:val="bullet"/>
      <w:lvlText w:val=""/>
      <w:lvlJc w:val="left"/>
      <w:pPr>
        <w:ind w:left="3822" w:hanging="360"/>
      </w:pPr>
      <w:rPr>
        <w:rFonts w:ascii="Wingdings" w:hAnsi="Wingdings" w:hint="default"/>
      </w:rPr>
    </w:lvl>
    <w:lvl w:ilvl="3" w:tplc="080A0001">
      <w:start w:val="1"/>
      <w:numFmt w:val="bullet"/>
      <w:lvlText w:val=""/>
      <w:lvlJc w:val="left"/>
      <w:pPr>
        <w:ind w:left="4542" w:hanging="360"/>
      </w:pPr>
      <w:rPr>
        <w:rFonts w:ascii="Symbol" w:hAnsi="Symbol" w:hint="default"/>
      </w:rPr>
    </w:lvl>
    <w:lvl w:ilvl="4" w:tplc="080A0003">
      <w:start w:val="1"/>
      <w:numFmt w:val="bullet"/>
      <w:lvlText w:val="o"/>
      <w:lvlJc w:val="left"/>
      <w:pPr>
        <w:ind w:left="5262" w:hanging="360"/>
      </w:pPr>
      <w:rPr>
        <w:rFonts w:ascii="Courier New" w:hAnsi="Courier New" w:cs="Courier New" w:hint="default"/>
      </w:rPr>
    </w:lvl>
    <w:lvl w:ilvl="5" w:tplc="080A0005">
      <w:start w:val="1"/>
      <w:numFmt w:val="bullet"/>
      <w:lvlText w:val=""/>
      <w:lvlJc w:val="left"/>
      <w:pPr>
        <w:ind w:left="5982" w:hanging="360"/>
      </w:pPr>
      <w:rPr>
        <w:rFonts w:ascii="Wingdings" w:hAnsi="Wingdings" w:hint="default"/>
      </w:rPr>
    </w:lvl>
    <w:lvl w:ilvl="6" w:tplc="080A0001">
      <w:start w:val="1"/>
      <w:numFmt w:val="bullet"/>
      <w:lvlText w:val=""/>
      <w:lvlJc w:val="left"/>
      <w:pPr>
        <w:ind w:left="6702" w:hanging="360"/>
      </w:pPr>
      <w:rPr>
        <w:rFonts w:ascii="Symbol" w:hAnsi="Symbol" w:hint="default"/>
      </w:rPr>
    </w:lvl>
    <w:lvl w:ilvl="7" w:tplc="080A0003">
      <w:start w:val="1"/>
      <w:numFmt w:val="bullet"/>
      <w:lvlText w:val="o"/>
      <w:lvlJc w:val="left"/>
      <w:pPr>
        <w:ind w:left="7422" w:hanging="360"/>
      </w:pPr>
      <w:rPr>
        <w:rFonts w:ascii="Courier New" w:hAnsi="Courier New" w:cs="Courier New" w:hint="default"/>
      </w:rPr>
    </w:lvl>
    <w:lvl w:ilvl="8" w:tplc="080A0005">
      <w:start w:val="1"/>
      <w:numFmt w:val="bullet"/>
      <w:lvlText w:val=""/>
      <w:lvlJc w:val="left"/>
      <w:pPr>
        <w:ind w:left="8142" w:hanging="360"/>
      </w:pPr>
      <w:rPr>
        <w:rFonts w:ascii="Wingdings" w:hAnsi="Wingdings" w:hint="default"/>
      </w:rPr>
    </w:lvl>
  </w:abstractNum>
  <w:num w:numId="1">
    <w:abstractNumId w:val="9"/>
  </w:num>
  <w:num w:numId="2">
    <w:abstractNumId w:val="7"/>
  </w:num>
  <w:num w:numId="3">
    <w:abstractNumId w:val="32"/>
  </w:num>
  <w:num w:numId="4">
    <w:abstractNumId w:val="31"/>
  </w:num>
  <w:num w:numId="5">
    <w:abstractNumId w:val="29"/>
  </w:num>
  <w:num w:numId="6">
    <w:abstractNumId w:val="6"/>
  </w:num>
  <w:num w:numId="7">
    <w:abstractNumId w:val="10"/>
  </w:num>
  <w:num w:numId="8">
    <w:abstractNumId w:val="22"/>
  </w:num>
  <w:num w:numId="9">
    <w:abstractNumId w:val="20"/>
  </w:num>
  <w:num w:numId="10">
    <w:abstractNumId w:val="4"/>
  </w:num>
  <w:num w:numId="11">
    <w:abstractNumId w:val="2"/>
  </w:num>
  <w:num w:numId="12">
    <w:abstractNumId w:val="13"/>
  </w:num>
  <w:num w:numId="13">
    <w:abstractNumId w:val="18"/>
  </w:num>
  <w:num w:numId="14">
    <w:abstractNumId w:val="0"/>
  </w:num>
  <w:num w:numId="15">
    <w:abstractNumId w:val="8"/>
  </w:num>
  <w:num w:numId="16">
    <w:abstractNumId w:val="5"/>
  </w:num>
  <w:num w:numId="17">
    <w:abstractNumId w:val="15"/>
  </w:num>
  <w:num w:numId="18">
    <w:abstractNumId w:val="3"/>
  </w:num>
  <w:num w:numId="19">
    <w:abstractNumId w:val="35"/>
  </w:num>
  <w:num w:numId="20">
    <w:abstractNumId w:val="26"/>
  </w:num>
  <w:num w:numId="21">
    <w:abstractNumId w:val="30"/>
  </w:num>
  <w:num w:numId="22">
    <w:abstractNumId w:val="16"/>
  </w:num>
  <w:num w:numId="23">
    <w:abstractNumId w:val="21"/>
  </w:num>
  <w:num w:numId="24">
    <w:abstractNumId w:val="19"/>
  </w:num>
  <w:num w:numId="25">
    <w:abstractNumId w:val="23"/>
  </w:num>
  <w:num w:numId="26">
    <w:abstractNumId w:val="27"/>
  </w:num>
  <w:num w:numId="27">
    <w:abstractNumId w:val="12"/>
  </w:num>
  <w:num w:numId="28">
    <w:abstractNumId w:val="28"/>
  </w:num>
  <w:num w:numId="29">
    <w:abstractNumId w:val="34"/>
  </w:num>
  <w:num w:numId="30">
    <w:abstractNumId w:val="1"/>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num>
  <w:num w:numId="33">
    <w:abstractNumId w:val="17"/>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16"/>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24"/>
  </w:num>
  <w:num w:numId="38">
    <w:abstractNumId w:val="33"/>
  </w:num>
  <w:num w:numId="39">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activeWritingStyle w:appName="MSWord" w:lang="es-CO"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20A1"/>
    <w:rsid w:val="000239D7"/>
    <w:rsid w:val="00023C79"/>
    <w:rsid w:val="00024227"/>
    <w:rsid w:val="0002433F"/>
    <w:rsid w:val="0002434A"/>
    <w:rsid w:val="000243F1"/>
    <w:rsid w:val="00024AE6"/>
    <w:rsid w:val="00024BA6"/>
    <w:rsid w:val="000252E9"/>
    <w:rsid w:val="00025532"/>
    <w:rsid w:val="000260E9"/>
    <w:rsid w:val="00026705"/>
    <w:rsid w:val="00026D94"/>
    <w:rsid w:val="00026F9C"/>
    <w:rsid w:val="0002747D"/>
    <w:rsid w:val="0002797F"/>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648"/>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67E0"/>
    <w:rsid w:val="00070A81"/>
    <w:rsid w:val="00071462"/>
    <w:rsid w:val="00071A99"/>
    <w:rsid w:val="0007224B"/>
    <w:rsid w:val="00072BEF"/>
    <w:rsid w:val="00072D06"/>
    <w:rsid w:val="00074010"/>
    <w:rsid w:val="000752EF"/>
    <w:rsid w:val="00075D7A"/>
    <w:rsid w:val="00076CAF"/>
    <w:rsid w:val="0007730D"/>
    <w:rsid w:val="00077347"/>
    <w:rsid w:val="00077788"/>
    <w:rsid w:val="00077C21"/>
    <w:rsid w:val="00080FA4"/>
    <w:rsid w:val="0008195D"/>
    <w:rsid w:val="000824DB"/>
    <w:rsid w:val="00082C95"/>
    <w:rsid w:val="00083058"/>
    <w:rsid w:val="00084105"/>
    <w:rsid w:val="00084433"/>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15C"/>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BF3"/>
    <w:rsid w:val="000B1236"/>
    <w:rsid w:val="000B1437"/>
    <w:rsid w:val="000B2B61"/>
    <w:rsid w:val="000B2CE3"/>
    <w:rsid w:val="000B2FE2"/>
    <w:rsid w:val="000B3FFD"/>
    <w:rsid w:val="000B4571"/>
    <w:rsid w:val="000B4E3D"/>
    <w:rsid w:val="000B5351"/>
    <w:rsid w:val="000B57CE"/>
    <w:rsid w:val="000B5A30"/>
    <w:rsid w:val="000B6982"/>
    <w:rsid w:val="000B69A8"/>
    <w:rsid w:val="000B7101"/>
    <w:rsid w:val="000B7332"/>
    <w:rsid w:val="000B7B5A"/>
    <w:rsid w:val="000C1184"/>
    <w:rsid w:val="000C11BE"/>
    <w:rsid w:val="000C16AF"/>
    <w:rsid w:val="000C1B34"/>
    <w:rsid w:val="000C31FF"/>
    <w:rsid w:val="000C3D4F"/>
    <w:rsid w:val="000C4453"/>
    <w:rsid w:val="000C485E"/>
    <w:rsid w:val="000C53E4"/>
    <w:rsid w:val="000C54A3"/>
    <w:rsid w:val="000C5528"/>
    <w:rsid w:val="000C59F1"/>
    <w:rsid w:val="000C6204"/>
    <w:rsid w:val="000C72EB"/>
    <w:rsid w:val="000C7714"/>
    <w:rsid w:val="000C7765"/>
    <w:rsid w:val="000C77C6"/>
    <w:rsid w:val="000C7C04"/>
    <w:rsid w:val="000D0395"/>
    <w:rsid w:val="000D07EC"/>
    <w:rsid w:val="000D0950"/>
    <w:rsid w:val="000D29F9"/>
    <w:rsid w:val="000D4710"/>
    <w:rsid w:val="000D4D96"/>
    <w:rsid w:val="000D5D2D"/>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5B72"/>
    <w:rsid w:val="000F71B5"/>
    <w:rsid w:val="000F7FE2"/>
    <w:rsid w:val="001002A8"/>
    <w:rsid w:val="0010152C"/>
    <w:rsid w:val="00101832"/>
    <w:rsid w:val="00103287"/>
    <w:rsid w:val="00103E4C"/>
    <w:rsid w:val="00104E08"/>
    <w:rsid w:val="00106146"/>
    <w:rsid w:val="00106B32"/>
    <w:rsid w:val="00106EDD"/>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4D1"/>
    <w:rsid w:val="00115AAD"/>
    <w:rsid w:val="00116064"/>
    <w:rsid w:val="0012062D"/>
    <w:rsid w:val="00120D7C"/>
    <w:rsid w:val="00120FF3"/>
    <w:rsid w:val="001210A4"/>
    <w:rsid w:val="001219E7"/>
    <w:rsid w:val="001227CA"/>
    <w:rsid w:val="00124762"/>
    <w:rsid w:val="00124985"/>
    <w:rsid w:val="00124C77"/>
    <w:rsid w:val="00124D16"/>
    <w:rsid w:val="00126994"/>
    <w:rsid w:val="00126F04"/>
    <w:rsid w:val="00127CCA"/>
    <w:rsid w:val="00130642"/>
    <w:rsid w:val="001306E4"/>
    <w:rsid w:val="00130AA5"/>
    <w:rsid w:val="00130BA7"/>
    <w:rsid w:val="00135800"/>
    <w:rsid w:val="00135D98"/>
    <w:rsid w:val="00135E57"/>
    <w:rsid w:val="00136083"/>
    <w:rsid w:val="001362C2"/>
    <w:rsid w:val="0013781E"/>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4DA6"/>
    <w:rsid w:val="0015502B"/>
    <w:rsid w:val="0015575F"/>
    <w:rsid w:val="00160E43"/>
    <w:rsid w:val="00161160"/>
    <w:rsid w:val="00161B66"/>
    <w:rsid w:val="00161FC4"/>
    <w:rsid w:val="00162CA1"/>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060"/>
    <w:rsid w:val="0017530C"/>
    <w:rsid w:val="0017555E"/>
    <w:rsid w:val="00175974"/>
    <w:rsid w:val="00175A2B"/>
    <w:rsid w:val="00177A27"/>
    <w:rsid w:val="00177B7E"/>
    <w:rsid w:val="00181594"/>
    <w:rsid w:val="00181791"/>
    <w:rsid w:val="00181DE8"/>
    <w:rsid w:val="00182E55"/>
    <w:rsid w:val="00183275"/>
    <w:rsid w:val="00184443"/>
    <w:rsid w:val="00184BC3"/>
    <w:rsid w:val="00184FBA"/>
    <w:rsid w:val="001852E0"/>
    <w:rsid w:val="0018689B"/>
    <w:rsid w:val="00186B63"/>
    <w:rsid w:val="00186C88"/>
    <w:rsid w:val="001871B2"/>
    <w:rsid w:val="00190A74"/>
    <w:rsid w:val="00190BB9"/>
    <w:rsid w:val="001911CC"/>
    <w:rsid w:val="00191ACE"/>
    <w:rsid w:val="00191DDF"/>
    <w:rsid w:val="00193909"/>
    <w:rsid w:val="00196141"/>
    <w:rsid w:val="00196EF5"/>
    <w:rsid w:val="00197DA4"/>
    <w:rsid w:val="001A0542"/>
    <w:rsid w:val="001A0598"/>
    <w:rsid w:val="001A05BA"/>
    <w:rsid w:val="001A0F86"/>
    <w:rsid w:val="001A1810"/>
    <w:rsid w:val="001A2131"/>
    <w:rsid w:val="001A25D5"/>
    <w:rsid w:val="001A29C5"/>
    <w:rsid w:val="001A2A37"/>
    <w:rsid w:val="001A2FF3"/>
    <w:rsid w:val="001A373A"/>
    <w:rsid w:val="001A466C"/>
    <w:rsid w:val="001A4E38"/>
    <w:rsid w:val="001A4F68"/>
    <w:rsid w:val="001A78F5"/>
    <w:rsid w:val="001A7913"/>
    <w:rsid w:val="001A7DE2"/>
    <w:rsid w:val="001B0C32"/>
    <w:rsid w:val="001B2379"/>
    <w:rsid w:val="001B3256"/>
    <w:rsid w:val="001B3C02"/>
    <w:rsid w:val="001B5099"/>
    <w:rsid w:val="001B6BDC"/>
    <w:rsid w:val="001B6E23"/>
    <w:rsid w:val="001B6EF0"/>
    <w:rsid w:val="001B7B33"/>
    <w:rsid w:val="001C085B"/>
    <w:rsid w:val="001C0C3F"/>
    <w:rsid w:val="001C1B7A"/>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7F6"/>
    <w:rsid w:val="001F2CA8"/>
    <w:rsid w:val="001F41FB"/>
    <w:rsid w:val="001F465A"/>
    <w:rsid w:val="001F4E10"/>
    <w:rsid w:val="001F501F"/>
    <w:rsid w:val="001F6D50"/>
    <w:rsid w:val="0020054B"/>
    <w:rsid w:val="002018C2"/>
    <w:rsid w:val="00201E21"/>
    <w:rsid w:val="00201FA9"/>
    <w:rsid w:val="00203E4E"/>
    <w:rsid w:val="00204C2A"/>
    <w:rsid w:val="00205361"/>
    <w:rsid w:val="00205ADF"/>
    <w:rsid w:val="002066DF"/>
    <w:rsid w:val="00206C34"/>
    <w:rsid w:val="002070E6"/>
    <w:rsid w:val="00212FE4"/>
    <w:rsid w:val="00213228"/>
    <w:rsid w:val="0021442C"/>
    <w:rsid w:val="00214F0A"/>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5FB4"/>
    <w:rsid w:val="00236540"/>
    <w:rsid w:val="00236E44"/>
    <w:rsid w:val="00241217"/>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4BCD"/>
    <w:rsid w:val="00265366"/>
    <w:rsid w:val="002657BB"/>
    <w:rsid w:val="00266490"/>
    <w:rsid w:val="0026683E"/>
    <w:rsid w:val="00266A60"/>
    <w:rsid w:val="002677C1"/>
    <w:rsid w:val="00267A6D"/>
    <w:rsid w:val="00270883"/>
    <w:rsid w:val="00271446"/>
    <w:rsid w:val="00271B57"/>
    <w:rsid w:val="00271FC2"/>
    <w:rsid w:val="00273204"/>
    <w:rsid w:val="00275423"/>
    <w:rsid w:val="00275AD6"/>
    <w:rsid w:val="00276D8F"/>
    <w:rsid w:val="00276F2E"/>
    <w:rsid w:val="0027702B"/>
    <w:rsid w:val="00277F70"/>
    <w:rsid w:val="002817BA"/>
    <w:rsid w:val="00281EF2"/>
    <w:rsid w:val="00282135"/>
    <w:rsid w:val="00283308"/>
    <w:rsid w:val="00284224"/>
    <w:rsid w:val="00285306"/>
    <w:rsid w:val="002856DC"/>
    <w:rsid w:val="0028632C"/>
    <w:rsid w:val="002864D4"/>
    <w:rsid w:val="0028674A"/>
    <w:rsid w:val="00286C23"/>
    <w:rsid w:val="00286DC8"/>
    <w:rsid w:val="00290C42"/>
    <w:rsid w:val="00291435"/>
    <w:rsid w:val="00291A1A"/>
    <w:rsid w:val="00292786"/>
    <w:rsid w:val="00293048"/>
    <w:rsid w:val="002937C6"/>
    <w:rsid w:val="00293DE5"/>
    <w:rsid w:val="00293E07"/>
    <w:rsid w:val="00295078"/>
    <w:rsid w:val="00295960"/>
    <w:rsid w:val="00295C72"/>
    <w:rsid w:val="00295D44"/>
    <w:rsid w:val="00295DE7"/>
    <w:rsid w:val="0029670A"/>
    <w:rsid w:val="0029745A"/>
    <w:rsid w:val="00297AB0"/>
    <w:rsid w:val="00297ABF"/>
    <w:rsid w:val="00297C62"/>
    <w:rsid w:val="002A0448"/>
    <w:rsid w:val="002A1F6E"/>
    <w:rsid w:val="002A28FE"/>
    <w:rsid w:val="002A3A7A"/>
    <w:rsid w:val="002A43B0"/>
    <w:rsid w:val="002A5785"/>
    <w:rsid w:val="002A5EA5"/>
    <w:rsid w:val="002A6A41"/>
    <w:rsid w:val="002A6CC7"/>
    <w:rsid w:val="002B0A1D"/>
    <w:rsid w:val="002B0EF8"/>
    <w:rsid w:val="002B1708"/>
    <w:rsid w:val="002B1960"/>
    <w:rsid w:val="002B2467"/>
    <w:rsid w:val="002B27E7"/>
    <w:rsid w:val="002B2B24"/>
    <w:rsid w:val="002B393B"/>
    <w:rsid w:val="002B3E09"/>
    <w:rsid w:val="002B45EF"/>
    <w:rsid w:val="002B45F2"/>
    <w:rsid w:val="002B4646"/>
    <w:rsid w:val="002B4950"/>
    <w:rsid w:val="002B62AF"/>
    <w:rsid w:val="002B7622"/>
    <w:rsid w:val="002B7A0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C4D"/>
    <w:rsid w:val="002F2653"/>
    <w:rsid w:val="002F2FB4"/>
    <w:rsid w:val="002F32B3"/>
    <w:rsid w:val="002F3910"/>
    <w:rsid w:val="002F3A84"/>
    <w:rsid w:val="002F411A"/>
    <w:rsid w:val="002F54A4"/>
    <w:rsid w:val="002F5A90"/>
    <w:rsid w:val="002F6977"/>
    <w:rsid w:val="002F700E"/>
    <w:rsid w:val="002F750C"/>
    <w:rsid w:val="002F772C"/>
    <w:rsid w:val="002F78E8"/>
    <w:rsid w:val="003002F7"/>
    <w:rsid w:val="00301F63"/>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023"/>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287"/>
    <w:rsid w:val="00323623"/>
    <w:rsid w:val="00323995"/>
    <w:rsid w:val="00323CFF"/>
    <w:rsid w:val="00324F98"/>
    <w:rsid w:val="00325874"/>
    <w:rsid w:val="00326AE6"/>
    <w:rsid w:val="00326DF2"/>
    <w:rsid w:val="00327357"/>
    <w:rsid w:val="00327F54"/>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4B10"/>
    <w:rsid w:val="003555AA"/>
    <w:rsid w:val="003557C1"/>
    <w:rsid w:val="00355B75"/>
    <w:rsid w:val="00356202"/>
    <w:rsid w:val="0035716F"/>
    <w:rsid w:val="003579BC"/>
    <w:rsid w:val="0036086E"/>
    <w:rsid w:val="00360A55"/>
    <w:rsid w:val="00361B13"/>
    <w:rsid w:val="003629AE"/>
    <w:rsid w:val="00363278"/>
    <w:rsid w:val="003633DD"/>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27CC"/>
    <w:rsid w:val="00384CD8"/>
    <w:rsid w:val="00387128"/>
    <w:rsid w:val="00392E2B"/>
    <w:rsid w:val="003930ED"/>
    <w:rsid w:val="003A0689"/>
    <w:rsid w:val="003A0C73"/>
    <w:rsid w:val="003A11DD"/>
    <w:rsid w:val="003A1270"/>
    <w:rsid w:val="003A19EE"/>
    <w:rsid w:val="003A2B96"/>
    <w:rsid w:val="003A3683"/>
    <w:rsid w:val="003A5891"/>
    <w:rsid w:val="003A5A6E"/>
    <w:rsid w:val="003A5E0F"/>
    <w:rsid w:val="003A6186"/>
    <w:rsid w:val="003A6534"/>
    <w:rsid w:val="003A78A7"/>
    <w:rsid w:val="003A7A6D"/>
    <w:rsid w:val="003A7E31"/>
    <w:rsid w:val="003A7F01"/>
    <w:rsid w:val="003B268D"/>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548E"/>
    <w:rsid w:val="003D61B0"/>
    <w:rsid w:val="003E0A67"/>
    <w:rsid w:val="003E0BFB"/>
    <w:rsid w:val="003E132A"/>
    <w:rsid w:val="003E1576"/>
    <w:rsid w:val="003E50D5"/>
    <w:rsid w:val="003E5DB7"/>
    <w:rsid w:val="003E5F18"/>
    <w:rsid w:val="003E6A2E"/>
    <w:rsid w:val="003E6D0E"/>
    <w:rsid w:val="003F09F0"/>
    <w:rsid w:val="003F0CD4"/>
    <w:rsid w:val="003F13CB"/>
    <w:rsid w:val="003F26E8"/>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A99"/>
    <w:rsid w:val="0040710A"/>
    <w:rsid w:val="00410650"/>
    <w:rsid w:val="004106C1"/>
    <w:rsid w:val="004126F7"/>
    <w:rsid w:val="00413FC2"/>
    <w:rsid w:val="004140B9"/>
    <w:rsid w:val="00414AE6"/>
    <w:rsid w:val="00414EE8"/>
    <w:rsid w:val="0041578D"/>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27A7E"/>
    <w:rsid w:val="004305D2"/>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306"/>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6FD"/>
    <w:rsid w:val="00455768"/>
    <w:rsid w:val="00456E2C"/>
    <w:rsid w:val="00457077"/>
    <w:rsid w:val="00457FC7"/>
    <w:rsid w:val="00461796"/>
    <w:rsid w:val="00461A0A"/>
    <w:rsid w:val="00461B3D"/>
    <w:rsid w:val="00462197"/>
    <w:rsid w:val="00462417"/>
    <w:rsid w:val="004645F5"/>
    <w:rsid w:val="00464624"/>
    <w:rsid w:val="00464EB1"/>
    <w:rsid w:val="00465E62"/>
    <w:rsid w:val="00466564"/>
    <w:rsid w:val="00467700"/>
    <w:rsid w:val="004677F9"/>
    <w:rsid w:val="00467874"/>
    <w:rsid w:val="004716B0"/>
    <w:rsid w:val="004716C4"/>
    <w:rsid w:val="004723A9"/>
    <w:rsid w:val="00472460"/>
    <w:rsid w:val="00473370"/>
    <w:rsid w:val="004754E1"/>
    <w:rsid w:val="004763B5"/>
    <w:rsid w:val="00476A24"/>
    <w:rsid w:val="00476F5F"/>
    <w:rsid w:val="0047775E"/>
    <w:rsid w:val="00480147"/>
    <w:rsid w:val="00481ABD"/>
    <w:rsid w:val="00482683"/>
    <w:rsid w:val="00482731"/>
    <w:rsid w:val="0048286C"/>
    <w:rsid w:val="00483A0F"/>
    <w:rsid w:val="00484625"/>
    <w:rsid w:val="00484B7E"/>
    <w:rsid w:val="0048589D"/>
    <w:rsid w:val="00485992"/>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1C4A"/>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6DF1"/>
    <w:rsid w:val="004C6E58"/>
    <w:rsid w:val="004C7629"/>
    <w:rsid w:val="004C7701"/>
    <w:rsid w:val="004C7EF2"/>
    <w:rsid w:val="004D088F"/>
    <w:rsid w:val="004D0A26"/>
    <w:rsid w:val="004D0EE4"/>
    <w:rsid w:val="004D30E1"/>
    <w:rsid w:val="004D35FC"/>
    <w:rsid w:val="004D3A15"/>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4E3A"/>
    <w:rsid w:val="004F5243"/>
    <w:rsid w:val="004F64AD"/>
    <w:rsid w:val="004F759E"/>
    <w:rsid w:val="004F7AC2"/>
    <w:rsid w:val="00501721"/>
    <w:rsid w:val="00503053"/>
    <w:rsid w:val="00503E5E"/>
    <w:rsid w:val="0050583D"/>
    <w:rsid w:val="00505B26"/>
    <w:rsid w:val="0050606E"/>
    <w:rsid w:val="00506258"/>
    <w:rsid w:val="00506EF5"/>
    <w:rsid w:val="00507449"/>
    <w:rsid w:val="005079B9"/>
    <w:rsid w:val="00510866"/>
    <w:rsid w:val="00511092"/>
    <w:rsid w:val="00511602"/>
    <w:rsid w:val="005119CD"/>
    <w:rsid w:val="00513EAE"/>
    <w:rsid w:val="005164B6"/>
    <w:rsid w:val="00516E6A"/>
    <w:rsid w:val="00517053"/>
    <w:rsid w:val="005171DE"/>
    <w:rsid w:val="005206C8"/>
    <w:rsid w:val="005218EA"/>
    <w:rsid w:val="00521EE1"/>
    <w:rsid w:val="00522FA4"/>
    <w:rsid w:val="00523390"/>
    <w:rsid w:val="00523435"/>
    <w:rsid w:val="0052414D"/>
    <w:rsid w:val="00525A5B"/>
    <w:rsid w:val="0052638D"/>
    <w:rsid w:val="0053002A"/>
    <w:rsid w:val="0053153A"/>
    <w:rsid w:val="00531811"/>
    <w:rsid w:val="00531ABD"/>
    <w:rsid w:val="00535560"/>
    <w:rsid w:val="005356D8"/>
    <w:rsid w:val="00537427"/>
    <w:rsid w:val="00541397"/>
    <w:rsid w:val="005413A9"/>
    <w:rsid w:val="00541C7E"/>
    <w:rsid w:val="00542386"/>
    <w:rsid w:val="00542D8A"/>
    <w:rsid w:val="00543427"/>
    <w:rsid w:val="00543928"/>
    <w:rsid w:val="00543BF9"/>
    <w:rsid w:val="00544117"/>
    <w:rsid w:val="00544E0A"/>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598"/>
    <w:rsid w:val="00564711"/>
    <w:rsid w:val="00565483"/>
    <w:rsid w:val="0056588E"/>
    <w:rsid w:val="00566DF5"/>
    <w:rsid w:val="00567210"/>
    <w:rsid w:val="0057098B"/>
    <w:rsid w:val="00571391"/>
    <w:rsid w:val="005726F4"/>
    <w:rsid w:val="00572DA9"/>
    <w:rsid w:val="00573949"/>
    <w:rsid w:val="00573ECF"/>
    <w:rsid w:val="00574A4F"/>
    <w:rsid w:val="00576A50"/>
    <w:rsid w:val="005771B8"/>
    <w:rsid w:val="00577287"/>
    <w:rsid w:val="00577553"/>
    <w:rsid w:val="005777E0"/>
    <w:rsid w:val="00581562"/>
    <w:rsid w:val="0058269D"/>
    <w:rsid w:val="00582959"/>
    <w:rsid w:val="00583795"/>
    <w:rsid w:val="0058439D"/>
    <w:rsid w:val="00585149"/>
    <w:rsid w:val="00585C24"/>
    <w:rsid w:val="00585F8F"/>
    <w:rsid w:val="005866B8"/>
    <w:rsid w:val="0058743A"/>
    <w:rsid w:val="005875A9"/>
    <w:rsid w:val="00590D33"/>
    <w:rsid w:val="005921E5"/>
    <w:rsid w:val="00592755"/>
    <w:rsid w:val="00593401"/>
    <w:rsid w:val="00593DB7"/>
    <w:rsid w:val="00594366"/>
    <w:rsid w:val="00594BC5"/>
    <w:rsid w:val="005954A5"/>
    <w:rsid w:val="005954E9"/>
    <w:rsid w:val="005A0040"/>
    <w:rsid w:val="005A0AF9"/>
    <w:rsid w:val="005A119B"/>
    <w:rsid w:val="005A1564"/>
    <w:rsid w:val="005A2252"/>
    <w:rsid w:val="005A232E"/>
    <w:rsid w:val="005A2689"/>
    <w:rsid w:val="005A3328"/>
    <w:rsid w:val="005A52D3"/>
    <w:rsid w:val="005A6845"/>
    <w:rsid w:val="005A7138"/>
    <w:rsid w:val="005A7C3F"/>
    <w:rsid w:val="005B00B6"/>
    <w:rsid w:val="005B087C"/>
    <w:rsid w:val="005B112F"/>
    <w:rsid w:val="005B1FED"/>
    <w:rsid w:val="005B2F33"/>
    <w:rsid w:val="005B334D"/>
    <w:rsid w:val="005B3671"/>
    <w:rsid w:val="005B3B62"/>
    <w:rsid w:val="005B3D93"/>
    <w:rsid w:val="005B4859"/>
    <w:rsid w:val="005B52FE"/>
    <w:rsid w:val="005B6938"/>
    <w:rsid w:val="005B6F32"/>
    <w:rsid w:val="005B7350"/>
    <w:rsid w:val="005C0E6F"/>
    <w:rsid w:val="005C222C"/>
    <w:rsid w:val="005C27BF"/>
    <w:rsid w:val="005C299A"/>
    <w:rsid w:val="005C3943"/>
    <w:rsid w:val="005C3D2C"/>
    <w:rsid w:val="005C404B"/>
    <w:rsid w:val="005C4DFA"/>
    <w:rsid w:val="005C50CB"/>
    <w:rsid w:val="005C5799"/>
    <w:rsid w:val="005C5929"/>
    <w:rsid w:val="005C6B17"/>
    <w:rsid w:val="005D19E4"/>
    <w:rsid w:val="005D1DF5"/>
    <w:rsid w:val="005D3CFC"/>
    <w:rsid w:val="005D45A0"/>
    <w:rsid w:val="005D6415"/>
    <w:rsid w:val="005D6831"/>
    <w:rsid w:val="005D7248"/>
    <w:rsid w:val="005D77BD"/>
    <w:rsid w:val="005D7B7C"/>
    <w:rsid w:val="005E0300"/>
    <w:rsid w:val="005E0424"/>
    <w:rsid w:val="005E1009"/>
    <w:rsid w:val="005E10E6"/>
    <w:rsid w:val="005E15A3"/>
    <w:rsid w:val="005E3346"/>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5C"/>
    <w:rsid w:val="005F557E"/>
    <w:rsid w:val="005F5725"/>
    <w:rsid w:val="005F666A"/>
    <w:rsid w:val="005F684F"/>
    <w:rsid w:val="005F7AD4"/>
    <w:rsid w:val="0060001F"/>
    <w:rsid w:val="0060026F"/>
    <w:rsid w:val="006002A0"/>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073"/>
    <w:rsid w:val="00622C25"/>
    <w:rsid w:val="00623DDC"/>
    <w:rsid w:val="00623EA3"/>
    <w:rsid w:val="00624BDB"/>
    <w:rsid w:val="00625AFD"/>
    <w:rsid w:val="00625E1B"/>
    <w:rsid w:val="006274A1"/>
    <w:rsid w:val="00627B5D"/>
    <w:rsid w:val="00627B60"/>
    <w:rsid w:val="006302FD"/>
    <w:rsid w:val="00631490"/>
    <w:rsid w:val="00631C13"/>
    <w:rsid w:val="00631E44"/>
    <w:rsid w:val="00632401"/>
    <w:rsid w:val="006325BF"/>
    <w:rsid w:val="00633134"/>
    <w:rsid w:val="0063373B"/>
    <w:rsid w:val="00633AB7"/>
    <w:rsid w:val="006340A0"/>
    <w:rsid w:val="00634485"/>
    <w:rsid w:val="006345A0"/>
    <w:rsid w:val="00634EDF"/>
    <w:rsid w:val="006354DC"/>
    <w:rsid w:val="00635EAF"/>
    <w:rsid w:val="00636313"/>
    <w:rsid w:val="00637407"/>
    <w:rsid w:val="00637C16"/>
    <w:rsid w:val="00637FDB"/>
    <w:rsid w:val="00640D71"/>
    <w:rsid w:val="00640FB3"/>
    <w:rsid w:val="00641BB7"/>
    <w:rsid w:val="00642DC5"/>
    <w:rsid w:val="00643D6C"/>
    <w:rsid w:val="006443ED"/>
    <w:rsid w:val="006445D2"/>
    <w:rsid w:val="00645887"/>
    <w:rsid w:val="0064661F"/>
    <w:rsid w:val="00647094"/>
    <w:rsid w:val="006505D9"/>
    <w:rsid w:val="00650880"/>
    <w:rsid w:val="00653030"/>
    <w:rsid w:val="0065578F"/>
    <w:rsid w:val="00655B83"/>
    <w:rsid w:val="00655F33"/>
    <w:rsid w:val="00656241"/>
    <w:rsid w:val="00656AB0"/>
    <w:rsid w:val="00656C59"/>
    <w:rsid w:val="006578C2"/>
    <w:rsid w:val="00661AC2"/>
    <w:rsid w:val="00661B36"/>
    <w:rsid w:val="00663207"/>
    <w:rsid w:val="00663F26"/>
    <w:rsid w:val="00666655"/>
    <w:rsid w:val="00666C54"/>
    <w:rsid w:val="00667C8B"/>
    <w:rsid w:val="00667D3E"/>
    <w:rsid w:val="00670657"/>
    <w:rsid w:val="006742F8"/>
    <w:rsid w:val="006747B5"/>
    <w:rsid w:val="00675974"/>
    <w:rsid w:val="00676566"/>
    <w:rsid w:val="006803E8"/>
    <w:rsid w:val="006804B2"/>
    <w:rsid w:val="00681481"/>
    <w:rsid w:val="00682656"/>
    <w:rsid w:val="00683617"/>
    <w:rsid w:val="00683BAF"/>
    <w:rsid w:val="00683EAC"/>
    <w:rsid w:val="00684313"/>
    <w:rsid w:val="006846B0"/>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28EE"/>
    <w:rsid w:val="006A3AA6"/>
    <w:rsid w:val="006A3BCF"/>
    <w:rsid w:val="006A42D4"/>
    <w:rsid w:val="006A48CE"/>
    <w:rsid w:val="006A4E98"/>
    <w:rsid w:val="006A737B"/>
    <w:rsid w:val="006A77F3"/>
    <w:rsid w:val="006A7829"/>
    <w:rsid w:val="006A7D53"/>
    <w:rsid w:val="006B0405"/>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C23"/>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DD6"/>
    <w:rsid w:val="00711E97"/>
    <w:rsid w:val="00712516"/>
    <w:rsid w:val="00712805"/>
    <w:rsid w:val="00713A6B"/>
    <w:rsid w:val="0071427E"/>
    <w:rsid w:val="0071646D"/>
    <w:rsid w:val="00716CE1"/>
    <w:rsid w:val="0072562F"/>
    <w:rsid w:val="00725913"/>
    <w:rsid w:val="0072655F"/>
    <w:rsid w:val="00726DD1"/>
    <w:rsid w:val="00726FA5"/>
    <w:rsid w:val="00727F24"/>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3D5"/>
    <w:rsid w:val="00750F05"/>
    <w:rsid w:val="00751311"/>
    <w:rsid w:val="00751330"/>
    <w:rsid w:val="00751627"/>
    <w:rsid w:val="00751E19"/>
    <w:rsid w:val="0075239A"/>
    <w:rsid w:val="00754866"/>
    <w:rsid w:val="007548A3"/>
    <w:rsid w:val="00755299"/>
    <w:rsid w:val="00755944"/>
    <w:rsid w:val="00757444"/>
    <w:rsid w:val="00757D2A"/>
    <w:rsid w:val="00757F23"/>
    <w:rsid w:val="00761460"/>
    <w:rsid w:val="007624E7"/>
    <w:rsid w:val="00762E51"/>
    <w:rsid w:val="00764B6A"/>
    <w:rsid w:val="00766B6B"/>
    <w:rsid w:val="00766D4A"/>
    <w:rsid w:val="00766D7A"/>
    <w:rsid w:val="00767857"/>
    <w:rsid w:val="00767912"/>
    <w:rsid w:val="00770E29"/>
    <w:rsid w:val="0077107A"/>
    <w:rsid w:val="007710A6"/>
    <w:rsid w:val="007714A8"/>
    <w:rsid w:val="00771B98"/>
    <w:rsid w:val="00771BF2"/>
    <w:rsid w:val="00771F5E"/>
    <w:rsid w:val="0077203A"/>
    <w:rsid w:val="0077266E"/>
    <w:rsid w:val="00773601"/>
    <w:rsid w:val="007738D8"/>
    <w:rsid w:val="007738EC"/>
    <w:rsid w:val="00773EA1"/>
    <w:rsid w:val="007753ED"/>
    <w:rsid w:val="00775CB2"/>
    <w:rsid w:val="0077600B"/>
    <w:rsid w:val="0077689F"/>
    <w:rsid w:val="0078030F"/>
    <w:rsid w:val="00780906"/>
    <w:rsid w:val="00780D17"/>
    <w:rsid w:val="00782370"/>
    <w:rsid w:val="00782DD9"/>
    <w:rsid w:val="007830E3"/>
    <w:rsid w:val="00787DB5"/>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0AA4"/>
    <w:rsid w:val="007B15EA"/>
    <w:rsid w:val="007B33CC"/>
    <w:rsid w:val="007B5808"/>
    <w:rsid w:val="007B5B76"/>
    <w:rsid w:val="007B6CA0"/>
    <w:rsid w:val="007B70B3"/>
    <w:rsid w:val="007B7166"/>
    <w:rsid w:val="007B755C"/>
    <w:rsid w:val="007B78B1"/>
    <w:rsid w:val="007C025F"/>
    <w:rsid w:val="007C09AA"/>
    <w:rsid w:val="007C0AFD"/>
    <w:rsid w:val="007C20AF"/>
    <w:rsid w:val="007C37F3"/>
    <w:rsid w:val="007C3D29"/>
    <w:rsid w:val="007C3E67"/>
    <w:rsid w:val="007C46DC"/>
    <w:rsid w:val="007C4965"/>
    <w:rsid w:val="007C52B5"/>
    <w:rsid w:val="007C567D"/>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AF8"/>
    <w:rsid w:val="007D7BC8"/>
    <w:rsid w:val="007E07A7"/>
    <w:rsid w:val="007E16B7"/>
    <w:rsid w:val="007E24F8"/>
    <w:rsid w:val="007E2BC3"/>
    <w:rsid w:val="007E2D8C"/>
    <w:rsid w:val="007E3963"/>
    <w:rsid w:val="007E3C71"/>
    <w:rsid w:val="007E5CB2"/>
    <w:rsid w:val="007E64E0"/>
    <w:rsid w:val="007E6A21"/>
    <w:rsid w:val="007F0999"/>
    <w:rsid w:val="007F18A3"/>
    <w:rsid w:val="007F18DF"/>
    <w:rsid w:val="007F36DE"/>
    <w:rsid w:val="007F4425"/>
    <w:rsid w:val="007F4FC6"/>
    <w:rsid w:val="007F528B"/>
    <w:rsid w:val="007F53E3"/>
    <w:rsid w:val="007F5901"/>
    <w:rsid w:val="007F5936"/>
    <w:rsid w:val="007F5E7A"/>
    <w:rsid w:val="007F60E9"/>
    <w:rsid w:val="007F61DA"/>
    <w:rsid w:val="007F62D5"/>
    <w:rsid w:val="007F6B8E"/>
    <w:rsid w:val="007F6BF7"/>
    <w:rsid w:val="007F7203"/>
    <w:rsid w:val="007F7B11"/>
    <w:rsid w:val="007F7CB2"/>
    <w:rsid w:val="00800061"/>
    <w:rsid w:val="00800475"/>
    <w:rsid w:val="00800DDC"/>
    <w:rsid w:val="0080152B"/>
    <w:rsid w:val="00801983"/>
    <w:rsid w:val="00801D34"/>
    <w:rsid w:val="008026F6"/>
    <w:rsid w:val="00803D2B"/>
    <w:rsid w:val="00804137"/>
    <w:rsid w:val="00805A48"/>
    <w:rsid w:val="008063E2"/>
    <w:rsid w:val="00806A83"/>
    <w:rsid w:val="00807739"/>
    <w:rsid w:val="0080791A"/>
    <w:rsid w:val="008100C2"/>
    <w:rsid w:val="00810A48"/>
    <w:rsid w:val="00811637"/>
    <w:rsid w:val="00814930"/>
    <w:rsid w:val="008150C8"/>
    <w:rsid w:val="00815752"/>
    <w:rsid w:val="00816985"/>
    <w:rsid w:val="00816C3B"/>
    <w:rsid w:val="00817AAB"/>
    <w:rsid w:val="008207CA"/>
    <w:rsid w:val="008223A5"/>
    <w:rsid w:val="008228A2"/>
    <w:rsid w:val="008235DE"/>
    <w:rsid w:val="008246C9"/>
    <w:rsid w:val="008254D3"/>
    <w:rsid w:val="00825A2C"/>
    <w:rsid w:val="00825CA4"/>
    <w:rsid w:val="00826018"/>
    <w:rsid w:val="008266BC"/>
    <w:rsid w:val="008308C3"/>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4F92"/>
    <w:rsid w:val="00845A90"/>
    <w:rsid w:val="00846339"/>
    <w:rsid w:val="00846E76"/>
    <w:rsid w:val="00850422"/>
    <w:rsid w:val="00850491"/>
    <w:rsid w:val="00851F8C"/>
    <w:rsid w:val="00852759"/>
    <w:rsid w:val="008531B2"/>
    <w:rsid w:val="00854949"/>
    <w:rsid w:val="0085526B"/>
    <w:rsid w:val="00856585"/>
    <w:rsid w:val="00856E3C"/>
    <w:rsid w:val="00856F7A"/>
    <w:rsid w:val="00857279"/>
    <w:rsid w:val="0085736B"/>
    <w:rsid w:val="00857958"/>
    <w:rsid w:val="0085795F"/>
    <w:rsid w:val="00857B52"/>
    <w:rsid w:val="00861B32"/>
    <w:rsid w:val="00861DD8"/>
    <w:rsid w:val="008665F8"/>
    <w:rsid w:val="00867111"/>
    <w:rsid w:val="00867C9A"/>
    <w:rsid w:val="00867F1E"/>
    <w:rsid w:val="008701A1"/>
    <w:rsid w:val="008712EF"/>
    <w:rsid w:val="0087173E"/>
    <w:rsid w:val="008718F3"/>
    <w:rsid w:val="0087246B"/>
    <w:rsid w:val="00872487"/>
    <w:rsid w:val="00872BC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0965"/>
    <w:rsid w:val="0089164B"/>
    <w:rsid w:val="00891989"/>
    <w:rsid w:val="00891BF9"/>
    <w:rsid w:val="0089236D"/>
    <w:rsid w:val="00892AFC"/>
    <w:rsid w:val="00892B4E"/>
    <w:rsid w:val="00892BC4"/>
    <w:rsid w:val="008936CC"/>
    <w:rsid w:val="00893CC5"/>
    <w:rsid w:val="00893DB2"/>
    <w:rsid w:val="0089436A"/>
    <w:rsid w:val="00894491"/>
    <w:rsid w:val="0089482C"/>
    <w:rsid w:val="00895379"/>
    <w:rsid w:val="008956BD"/>
    <w:rsid w:val="00895C62"/>
    <w:rsid w:val="008964F4"/>
    <w:rsid w:val="008A0C05"/>
    <w:rsid w:val="008A0CFD"/>
    <w:rsid w:val="008A1F9B"/>
    <w:rsid w:val="008A2018"/>
    <w:rsid w:val="008A37D4"/>
    <w:rsid w:val="008A42B0"/>
    <w:rsid w:val="008A4982"/>
    <w:rsid w:val="008A567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3E6"/>
    <w:rsid w:val="008C04B3"/>
    <w:rsid w:val="008C0694"/>
    <w:rsid w:val="008C06D5"/>
    <w:rsid w:val="008C1208"/>
    <w:rsid w:val="008C3158"/>
    <w:rsid w:val="008C3963"/>
    <w:rsid w:val="008C4415"/>
    <w:rsid w:val="008C4CFE"/>
    <w:rsid w:val="008C5D8E"/>
    <w:rsid w:val="008D033C"/>
    <w:rsid w:val="008D0725"/>
    <w:rsid w:val="008D0B33"/>
    <w:rsid w:val="008D0B48"/>
    <w:rsid w:val="008D0D25"/>
    <w:rsid w:val="008D1526"/>
    <w:rsid w:val="008D2273"/>
    <w:rsid w:val="008D36D2"/>
    <w:rsid w:val="008D38EE"/>
    <w:rsid w:val="008D4B2A"/>
    <w:rsid w:val="008D701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7A0"/>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1A0"/>
    <w:rsid w:val="00942B6C"/>
    <w:rsid w:val="00943B74"/>
    <w:rsid w:val="0094486F"/>
    <w:rsid w:val="00944CA2"/>
    <w:rsid w:val="009458C7"/>
    <w:rsid w:val="0094714C"/>
    <w:rsid w:val="009472B3"/>
    <w:rsid w:val="00947905"/>
    <w:rsid w:val="00947F35"/>
    <w:rsid w:val="009500DD"/>
    <w:rsid w:val="00951598"/>
    <w:rsid w:val="00952919"/>
    <w:rsid w:val="00954A59"/>
    <w:rsid w:val="00955327"/>
    <w:rsid w:val="00955ADE"/>
    <w:rsid w:val="009573BD"/>
    <w:rsid w:val="0095790B"/>
    <w:rsid w:val="0096079C"/>
    <w:rsid w:val="0096089C"/>
    <w:rsid w:val="0096146C"/>
    <w:rsid w:val="00962E4E"/>
    <w:rsid w:val="00963342"/>
    <w:rsid w:val="00964C60"/>
    <w:rsid w:val="00964E79"/>
    <w:rsid w:val="00964F37"/>
    <w:rsid w:val="00965322"/>
    <w:rsid w:val="0096576D"/>
    <w:rsid w:val="00966926"/>
    <w:rsid w:val="00966C2B"/>
    <w:rsid w:val="00966FEC"/>
    <w:rsid w:val="00967C2E"/>
    <w:rsid w:val="00971134"/>
    <w:rsid w:val="009711D4"/>
    <w:rsid w:val="00971262"/>
    <w:rsid w:val="00971434"/>
    <w:rsid w:val="00972ECB"/>
    <w:rsid w:val="009737A5"/>
    <w:rsid w:val="00974437"/>
    <w:rsid w:val="00974C3A"/>
    <w:rsid w:val="00974FA3"/>
    <w:rsid w:val="009752BA"/>
    <w:rsid w:val="00975A2A"/>
    <w:rsid w:val="00975D23"/>
    <w:rsid w:val="00975EB9"/>
    <w:rsid w:val="009762CA"/>
    <w:rsid w:val="009763B8"/>
    <w:rsid w:val="00976A12"/>
    <w:rsid w:val="00977454"/>
    <w:rsid w:val="009816F9"/>
    <w:rsid w:val="00981F51"/>
    <w:rsid w:val="009822DE"/>
    <w:rsid w:val="0098269C"/>
    <w:rsid w:val="009837CB"/>
    <w:rsid w:val="00985240"/>
    <w:rsid w:val="009858EF"/>
    <w:rsid w:val="00985D90"/>
    <w:rsid w:val="00986B3C"/>
    <w:rsid w:val="009872E2"/>
    <w:rsid w:val="0099065F"/>
    <w:rsid w:val="0099075B"/>
    <w:rsid w:val="0099083D"/>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2CB8"/>
    <w:rsid w:val="009A34EE"/>
    <w:rsid w:val="009A3ADA"/>
    <w:rsid w:val="009A491B"/>
    <w:rsid w:val="009A4BD3"/>
    <w:rsid w:val="009A52D1"/>
    <w:rsid w:val="009A66E3"/>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6C33"/>
    <w:rsid w:val="009B6C5A"/>
    <w:rsid w:val="009B6EF8"/>
    <w:rsid w:val="009B7B7A"/>
    <w:rsid w:val="009C0368"/>
    <w:rsid w:val="009C3731"/>
    <w:rsid w:val="009C4F62"/>
    <w:rsid w:val="009C4FE0"/>
    <w:rsid w:val="009C5252"/>
    <w:rsid w:val="009C6175"/>
    <w:rsid w:val="009C61F1"/>
    <w:rsid w:val="009C64B7"/>
    <w:rsid w:val="009C6A35"/>
    <w:rsid w:val="009D00D1"/>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1C"/>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076B8"/>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605"/>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7B0"/>
    <w:rsid w:val="00A53CB1"/>
    <w:rsid w:val="00A5404F"/>
    <w:rsid w:val="00A54434"/>
    <w:rsid w:val="00A55D42"/>
    <w:rsid w:val="00A55E21"/>
    <w:rsid w:val="00A56EC5"/>
    <w:rsid w:val="00A57AFC"/>
    <w:rsid w:val="00A6004F"/>
    <w:rsid w:val="00A6220A"/>
    <w:rsid w:val="00A64A07"/>
    <w:rsid w:val="00A650DC"/>
    <w:rsid w:val="00A654F7"/>
    <w:rsid w:val="00A67754"/>
    <w:rsid w:val="00A67ED9"/>
    <w:rsid w:val="00A717E4"/>
    <w:rsid w:val="00A744CF"/>
    <w:rsid w:val="00A74B28"/>
    <w:rsid w:val="00A757D4"/>
    <w:rsid w:val="00A7641B"/>
    <w:rsid w:val="00A767EF"/>
    <w:rsid w:val="00A76FB1"/>
    <w:rsid w:val="00A77111"/>
    <w:rsid w:val="00A81037"/>
    <w:rsid w:val="00A81140"/>
    <w:rsid w:val="00A82448"/>
    <w:rsid w:val="00A84D45"/>
    <w:rsid w:val="00A8620C"/>
    <w:rsid w:val="00A8711C"/>
    <w:rsid w:val="00A900E2"/>
    <w:rsid w:val="00A90703"/>
    <w:rsid w:val="00A917E6"/>
    <w:rsid w:val="00A92027"/>
    <w:rsid w:val="00A923D1"/>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3F5E"/>
    <w:rsid w:val="00AB4396"/>
    <w:rsid w:val="00AB6036"/>
    <w:rsid w:val="00AB61CC"/>
    <w:rsid w:val="00AB66F0"/>
    <w:rsid w:val="00AB7491"/>
    <w:rsid w:val="00AC161D"/>
    <w:rsid w:val="00AC17F2"/>
    <w:rsid w:val="00AC20D8"/>
    <w:rsid w:val="00AC2374"/>
    <w:rsid w:val="00AC2D4B"/>
    <w:rsid w:val="00AC2F82"/>
    <w:rsid w:val="00AC3EA4"/>
    <w:rsid w:val="00AC3EC5"/>
    <w:rsid w:val="00AC3F44"/>
    <w:rsid w:val="00AC46E5"/>
    <w:rsid w:val="00AC5B93"/>
    <w:rsid w:val="00AC6E31"/>
    <w:rsid w:val="00AC74AC"/>
    <w:rsid w:val="00AC7ABC"/>
    <w:rsid w:val="00AD0232"/>
    <w:rsid w:val="00AD1880"/>
    <w:rsid w:val="00AD1C3D"/>
    <w:rsid w:val="00AD1D3D"/>
    <w:rsid w:val="00AD2277"/>
    <w:rsid w:val="00AD5C04"/>
    <w:rsid w:val="00AE013D"/>
    <w:rsid w:val="00AE125E"/>
    <w:rsid w:val="00AE328D"/>
    <w:rsid w:val="00AE34E5"/>
    <w:rsid w:val="00AE4286"/>
    <w:rsid w:val="00AE45EA"/>
    <w:rsid w:val="00AE56E2"/>
    <w:rsid w:val="00AE5719"/>
    <w:rsid w:val="00AE59FD"/>
    <w:rsid w:val="00AE5B7C"/>
    <w:rsid w:val="00AE6B73"/>
    <w:rsid w:val="00AE6EC3"/>
    <w:rsid w:val="00AE73E2"/>
    <w:rsid w:val="00AF02C2"/>
    <w:rsid w:val="00AF0927"/>
    <w:rsid w:val="00AF16F8"/>
    <w:rsid w:val="00AF197C"/>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510"/>
    <w:rsid w:val="00B10802"/>
    <w:rsid w:val="00B11C77"/>
    <w:rsid w:val="00B11E6A"/>
    <w:rsid w:val="00B125CC"/>
    <w:rsid w:val="00B13EF8"/>
    <w:rsid w:val="00B13F95"/>
    <w:rsid w:val="00B14E65"/>
    <w:rsid w:val="00B1522A"/>
    <w:rsid w:val="00B153AD"/>
    <w:rsid w:val="00B15C4F"/>
    <w:rsid w:val="00B169F5"/>
    <w:rsid w:val="00B16FF2"/>
    <w:rsid w:val="00B172A1"/>
    <w:rsid w:val="00B17A5B"/>
    <w:rsid w:val="00B209F5"/>
    <w:rsid w:val="00B21982"/>
    <w:rsid w:val="00B2362A"/>
    <w:rsid w:val="00B25866"/>
    <w:rsid w:val="00B25A6F"/>
    <w:rsid w:val="00B25BC6"/>
    <w:rsid w:val="00B2670A"/>
    <w:rsid w:val="00B270F3"/>
    <w:rsid w:val="00B316E2"/>
    <w:rsid w:val="00B322FC"/>
    <w:rsid w:val="00B33C2F"/>
    <w:rsid w:val="00B34D6D"/>
    <w:rsid w:val="00B35432"/>
    <w:rsid w:val="00B373AD"/>
    <w:rsid w:val="00B41343"/>
    <w:rsid w:val="00B4134E"/>
    <w:rsid w:val="00B4137E"/>
    <w:rsid w:val="00B41BE7"/>
    <w:rsid w:val="00B41C79"/>
    <w:rsid w:val="00B42775"/>
    <w:rsid w:val="00B4299A"/>
    <w:rsid w:val="00B42B2D"/>
    <w:rsid w:val="00B441CE"/>
    <w:rsid w:val="00B44DA3"/>
    <w:rsid w:val="00B46BA6"/>
    <w:rsid w:val="00B47862"/>
    <w:rsid w:val="00B5061D"/>
    <w:rsid w:val="00B5114C"/>
    <w:rsid w:val="00B518F7"/>
    <w:rsid w:val="00B51A2C"/>
    <w:rsid w:val="00B52026"/>
    <w:rsid w:val="00B5328A"/>
    <w:rsid w:val="00B537D4"/>
    <w:rsid w:val="00B5510F"/>
    <w:rsid w:val="00B57587"/>
    <w:rsid w:val="00B61DD1"/>
    <w:rsid w:val="00B623CE"/>
    <w:rsid w:val="00B626C6"/>
    <w:rsid w:val="00B62CE7"/>
    <w:rsid w:val="00B63124"/>
    <w:rsid w:val="00B63188"/>
    <w:rsid w:val="00B64BF6"/>
    <w:rsid w:val="00B662AD"/>
    <w:rsid w:val="00B67E89"/>
    <w:rsid w:val="00B70AD5"/>
    <w:rsid w:val="00B71DAA"/>
    <w:rsid w:val="00B722A7"/>
    <w:rsid w:val="00B728D6"/>
    <w:rsid w:val="00B72ACE"/>
    <w:rsid w:val="00B7332C"/>
    <w:rsid w:val="00B73BC0"/>
    <w:rsid w:val="00B76233"/>
    <w:rsid w:val="00B76358"/>
    <w:rsid w:val="00B778AA"/>
    <w:rsid w:val="00B81C55"/>
    <w:rsid w:val="00B82000"/>
    <w:rsid w:val="00B82E36"/>
    <w:rsid w:val="00B84265"/>
    <w:rsid w:val="00B842F0"/>
    <w:rsid w:val="00B8497B"/>
    <w:rsid w:val="00B85D36"/>
    <w:rsid w:val="00B86A4A"/>
    <w:rsid w:val="00B86DC2"/>
    <w:rsid w:val="00B86E05"/>
    <w:rsid w:val="00B90397"/>
    <w:rsid w:val="00B90CBE"/>
    <w:rsid w:val="00B91560"/>
    <w:rsid w:val="00B91A02"/>
    <w:rsid w:val="00B91C28"/>
    <w:rsid w:val="00B91F2F"/>
    <w:rsid w:val="00B92B46"/>
    <w:rsid w:val="00B92E1C"/>
    <w:rsid w:val="00B93760"/>
    <w:rsid w:val="00B95A00"/>
    <w:rsid w:val="00B96729"/>
    <w:rsid w:val="00BA00A9"/>
    <w:rsid w:val="00BA0426"/>
    <w:rsid w:val="00BA1854"/>
    <w:rsid w:val="00BA1B7A"/>
    <w:rsid w:val="00BA2EE9"/>
    <w:rsid w:val="00BA327C"/>
    <w:rsid w:val="00BA363C"/>
    <w:rsid w:val="00BA3674"/>
    <w:rsid w:val="00BA36A5"/>
    <w:rsid w:val="00BA3CDE"/>
    <w:rsid w:val="00BA4B2C"/>
    <w:rsid w:val="00BA56BB"/>
    <w:rsid w:val="00BA6968"/>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2C9"/>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98E"/>
    <w:rsid w:val="00BD4B1F"/>
    <w:rsid w:val="00BD5EA7"/>
    <w:rsid w:val="00BD6857"/>
    <w:rsid w:val="00BD6BED"/>
    <w:rsid w:val="00BD7483"/>
    <w:rsid w:val="00BE097D"/>
    <w:rsid w:val="00BE0E74"/>
    <w:rsid w:val="00BE1DBF"/>
    <w:rsid w:val="00BE1EEA"/>
    <w:rsid w:val="00BE226E"/>
    <w:rsid w:val="00BE3B2F"/>
    <w:rsid w:val="00BE66D6"/>
    <w:rsid w:val="00BE67A1"/>
    <w:rsid w:val="00BE6825"/>
    <w:rsid w:val="00BE732D"/>
    <w:rsid w:val="00BF0540"/>
    <w:rsid w:val="00BF0748"/>
    <w:rsid w:val="00BF212E"/>
    <w:rsid w:val="00BF330A"/>
    <w:rsid w:val="00BF42CF"/>
    <w:rsid w:val="00BF469C"/>
    <w:rsid w:val="00BF685A"/>
    <w:rsid w:val="00BF6B39"/>
    <w:rsid w:val="00C0076A"/>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97D"/>
    <w:rsid w:val="00C16ECF"/>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84F"/>
    <w:rsid w:val="00C42ACD"/>
    <w:rsid w:val="00C4317A"/>
    <w:rsid w:val="00C45222"/>
    <w:rsid w:val="00C4591F"/>
    <w:rsid w:val="00C4622D"/>
    <w:rsid w:val="00C46263"/>
    <w:rsid w:val="00C4650F"/>
    <w:rsid w:val="00C46981"/>
    <w:rsid w:val="00C470AF"/>
    <w:rsid w:val="00C472F7"/>
    <w:rsid w:val="00C4787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58B"/>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C52"/>
    <w:rsid w:val="00C71FD4"/>
    <w:rsid w:val="00C731DC"/>
    <w:rsid w:val="00C7372B"/>
    <w:rsid w:val="00C73907"/>
    <w:rsid w:val="00C73F83"/>
    <w:rsid w:val="00C748A4"/>
    <w:rsid w:val="00C74C5A"/>
    <w:rsid w:val="00C76800"/>
    <w:rsid w:val="00C77CD0"/>
    <w:rsid w:val="00C77FCC"/>
    <w:rsid w:val="00C80153"/>
    <w:rsid w:val="00C8083C"/>
    <w:rsid w:val="00C80F64"/>
    <w:rsid w:val="00C80F8C"/>
    <w:rsid w:val="00C8162E"/>
    <w:rsid w:val="00C81D68"/>
    <w:rsid w:val="00C828BE"/>
    <w:rsid w:val="00C82BDA"/>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4EEE"/>
    <w:rsid w:val="00C95E47"/>
    <w:rsid w:val="00C963A0"/>
    <w:rsid w:val="00C9699D"/>
    <w:rsid w:val="00C96F40"/>
    <w:rsid w:val="00C9775A"/>
    <w:rsid w:val="00C97E22"/>
    <w:rsid w:val="00CA07FF"/>
    <w:rsid w:val="00CA0F7D"/>
    <w:rsid w:val="00CA30DF"/>
    <w:rsid w:val="00CA456C"/>
    <w:rsid w:val="00CA460D"/>
    <w:rsid w:val="00CA6269"/>
    <w:rsid w:val="00CA666E"/>
    <w:rsid w:val="00CA66DF"/>
    <w:rsid w:val="00CA7476"/>
    <w:rsid w:val="00CA7C1E"/>
    <w:rsid w:val="00CA7FE3"/>
    <w:rsid w:val="00CB0565"/>
    <w:rsid w:val="00CB1E70"/>
    <w:rsid w:val="00CB258D"/>
    <w:rsid w:val="00CB2A57"/>
    <w:rsid w:val="00CB57FD"/>
    <w:rsid w:val="00CB63FB"/>
    <w:rsid w:val="00CB6D69"/>
    <w:rsid w:val="00CB703A"/>
    <w:rsid w:val="00CB7E67"/>
    <w:rsid w:val="00CC0C5D"/>
    <w:rsid w:val="00CC0EE1"/>
    <w:rsid w:val="00CC1F04"/>
    <w:rsid w:val="00CC22DD"/>
    <w:rsid w:val="00CC2BF2"/>
    <w:rsid w:val="00CC30A8"/>
    <w:rsid w:val="00CC3C9F"/>
    <w:rsid w:val="00CC4A8B"/>
    <w:rsid w:val="00CC5E23"/>
    <w:rsid w:val="00CC77E3"/>
    <w:rsid w:val="00CD0985"/>
    <w:rsid w:val="00CD2AC2"/>
    <w:rsid w:val="00CD2AE3"/>
    <w:rsid w:val="00CD491F"/>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0F45"/>
    <w:rsid w:val="00CE1592"/>
    <w:rsid w:val="00CE234D"/>
    <w:rsid w:val="00CE40D0"/>
    <w:rsid w:val="00CE4301"/>
    <w:rsid w:val="00CE468E"/>
    <w:rsid w:val="00CE46FC"/>
    <w:rsid w:val="00CE481E"/>
    <w:rsid w:val="00CE4AA8"/>
    <w:rsid w:val="00CE657B"/>
    <w:rsid w:val="00CF3292"/>
    <w:rsid w:val="00CF3A3D"/>
    <w:rsid w:val="00CF3D6B"/>
    <w:rsid w:val="00CF58CF"/>
    <w:rsid w:val="00CF67F8"/>
    <w:rsid w:val="00CF6971"/>
    <w:rsid w:val="00CF6B0F"/>
    <w:rsid w:val="00CF78DB"/>
    <w:rsid w:val="00CF7D1F"/>
    <w:rsid w:val="00D01EDC"/>
    <w:rsid w:val="00D0248E"/>
    <w:rsid w:val="00D027E3"/>
    <w:rsid w:val="00D035FA"/>
    <w:rsid w:val="00D03E56"/>
    <w:rsid w:val="00D049A0"/>
    <w:rsid w:val="00D07F0D"/>
    <w:rsid w:val="00D11533"/>
    <w:rsid w:val="00D11F5B"/>
    <w:rsid w:val="00D12E08"/>
    <w:rsid w:val="00D13A6B"/>
    <w:rsid w:val="00D14D6E"/>
    <w:rsid w:val="00D15398"/>
    <w:rsid w:val="00D1585E"/>
    <w:rsid w:val="00D15EDB"/>
    <w:rsid w:val="00D16EAC"/>
    <w:rsid w:val="00D17DCA"/>
    <w:rsid w:val="00D21482"/>
    <w:rsid w:val="00D217A4"/>
    <w:rsid w:val="00D236C3"/>
    <w:rsid w:val="00D24316"/>
    <w:rsid w:val="00D24764"/>
    <w:rsid w:val="00D24A5F"/>
    <w:rsid w:val="00D25ADE"/>
    <w:rsid w:val="00D269B7"/>
    <w:rsid w:val="00D2728D"/>
    <w:rsid w:val="00D278A7"/>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3086"/>
    <w:rsid w:val="00D443AF"/>
    <w:rsid w:val="00D46776"/>
    <w:rsid w:val="00D47351"/>
    <w:rsid w:val="00D473CC"/>
    <w:rsid w:val="00D47643"/>
    <w:rsid w:val="00D47A9E"/>
    <w:rsid w:val="00D50580"/>
    <w:rsid w:val="00D50CDF"/>
    <w:rsid w:val="00D518E8"/>
    <w:rsid w:val="00D5257F"/>
    <w:rsid w:val="00D5288E"/>
    <w:rsid w:val="00D53645"/>
    <w:rsid w:val="00D54288"/>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781"/>
    <w:rsid w:val="00DA5868"/>
    <w:rsid w:val="00DA63C9"/>
    <w:rsid w:val="00DA6B83"/>
    <w:rsid w:val="00DA6E68"/>
    <w:rsid w:val="00DB19E6"/>
    <w:rsid w:val="00DB25BC"/>
    <w:rsid w:val="00DB2606"/>
    <w:rsid w:val="00DB26C3"/>
    <w:rsid w:val="00DB436D"/>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7022"/>
    <w:rsid w:val="00DC752F"/>
    <w:rsid w:val="00DC7C00"/>
    <w:rsid w:val="00DD0174"/>
    <w:rsid w:val="00DD04AD"/>
    <w:rsid w:val="00DD0B9B"/>
    <w:rsid w:val="00DD0DA2"/>
    <w:rsid w:val="00DD0FEA"/>
    <w:rsid w:val="00DD1B85"/>
    <w:rsid w:val="00DD238A"/>
    <w:rsid w:val="00DD2460"/>
    <w:rsid w:val="00DD24BD"/>
    <w:rsid w:val="00DD295D"/>
    <w:rsid w:val="00DD324F"/>
    <w:rsid w:val="00DD36E9"/>
    <w:rsid w:val="00DD43B7"/>
    <w:rsid w:val="00DD4779"/>
    <w:rsid w:val="00DD4EA2"/>
    <w:rsid w:val="00DD502A"/>
    <w:rsid w:val="00DD5F20"/>
    <w:rsid w:val="00DD625F"/>
    <w:rsid w:val="00DD65CC"/>
    <w:rsid w:val="00DD6C50"/>
    <w:rsid w:val="00DD747F"/>
    <w:rsid w:val="00DE015D"/>
    <w:rsid w:val="00DE03DC"/>
    <w:rsid w:val="00DE0BC1"/>
    <w:rsid w:val="00DE1D18"/>
    <w:rsid w:val="00DE31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450A"/>
    <w:rsid w:val="00DF578F"/>
    <w:rsid w:val="00E00BFD"/>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176F9"/>
    <w:rsid w:val="00E2007F"/>
    <w:rsid w:val="00E20329"/>
    <w:rsid w:val="00E207FE"/>
    <w:rsid w:val="00E209C5"/>
    <w:rsid w:val="00E20B6F"/>
    <w:rsid w:val="00E21052"/>
    <w:rsid w:val="00E21313"/>
    <w:rsid w:val="00E2306B"/>
    <w:rsid w:val="00E24F10"/>
    <w:rsid w:val="00E2538E"/>
    <w:rsid w:val="00E30119"/>
    <w:rsid w:val="00E3149E"/>
    <w:rsid w:val="00E3163B"/>
    <w:rsid w:val="00E31DB5"/>
    <w:rsid w:val="00E31FC0"/>
    <w:rsid w:val="00E324A7"/>
    <w:rsid w:val="00E32EF4"/>
    <w:rsid w:val="00E33369"/>
    <w:rsid w:val="00E3370D"/>
    <w:rsid w:val="00E34890"/>
    <w:rsid w:val="00E35635"/>
    <w:rsid w:val="00E36E31"/>
    <w:rsid w:val="00E36F5E"/>
    <w:rsid w:val="00E372AC"/>
    <w:rsid w:val="00E4041D"/>
    <w:rsid w:val="00E41A85"/>
    <w:rsid w:val="00E423B1"/>
    <w:rsid w:val="00E42620"/>
    <w:rsid w:val="00E42F9F"/>
    <w:rsid w:val="00E430A9"/>
    <w:rsid w:val="00E433A7"/>
    <w:rsid w:val="00E43B4A"/>
    <w:rsid w:val="00E43C17"/>
    <w:rsid w:val="00E45F6B"/>
    <w:rsid w:val="00E468BA"/>
    <w:rsid w:val="00E46FEC"/>
    <w:rsid w:val="00E47425"/>
    <w:rsid w:val="00E50233"/>
    <w:rsid w:val="00E523BC"/>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091"/>
    <w:rsid w:val="00E70E38"/>
    <w:rsid w:val="00E70F66"/>
    <w:rsid w:val="00E71476"/>
    <w:rsid w:val="00E72D30"/>
    <w:rsid w:val="00E733A6"/>
    <w:rsid w:val="00E7373D"/>
    <w:rsid w:val="00E747D5"/>
    <w:rsid w:val="00E74EB3"/>
    <w:rsid w:val="00E75D14"/>
    <w:rsid w:val="00E76B48"/>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87F59"/>
    <w:rsid w:val="00E905A0"/>
    <w:rsid w:val="00E906D5"/>
    <w:rsid w:val="00E92E98"/>
    <w:rsid w:val="00E94367"/>
    <w:rsid w:val="00E94560"/>
    <w:rsid w:val="00E94E45"/>
    <w:rsid w:val="00E954B7"/>
    <w:rsid w:val="00E95D22"/>
    <w:rsid w:val="00E96435"/>
    <w:rsid w:val="00EA0165"/>
    <w:rsid w:val="00EA392E"/>
    <w:rsid w:val="00EA4173"/>
    <w:rsid w:val="00EA4CD3"/>
    <w:rsid w:val="00EA56D6"/>
    <w:rsid w:val="00EA5B36"/>
    <w:rsid w:val="00EA5FD5"/>
    <w:rsid w:val="00EA6925"/>
    <w:rsid w:val="00EA6D71"/>
    <w:rsid w:val="00EA713A"/>
    <w:rsid w:val="00EB08EE"/>
    <w:rsid w:val="00EB1551"/>
    <w:rsid w:val="00EB1938"/>
    <w:rsid w:val="00EB1965"/>
    <w:rsid w:val="00EB1A69"/>
    <w:rsid w:val="00EB1BC0"/>
    <w:rsid w:val="00EB23EF"/>
    <w:rsid w:val="00EB29D3"/>
    <w:rsid w:val="00EB32A5"/>
    <w:rsid w:val="00EB3E96"/>
    <w:rsid w:val="00EB4AF6"/>
    <w:rsid w:val="00EB4B80"/>
    <w:rsid w:val="00EB57EC"/>
    <w:rsid w:val="00EB5BD5"/>
    <w:rsid w:val="00EB648C"/>
    <w:rsid w:val="00EC0103"/>
    <w:rsid w:val="00EC088B"/>
    <w:rsid w:val="00EC26EF"/>
    <w:rsid w:val="00EC357E"/>
    <w:rsid w:val="00EC35B4"/>
    <w:rsid w:val="00EC3643"/>
    <w:rsid w:val="00EC5949"/>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B0B"/>
    <w:rsid w:val="00EE4D23"/>
    <w:rsid w:val="00EE5B01"/>
    <w:rsid w:val="00EE6B49"/>
    <w:rsid w:val="00EF00D9"/>
    <w:rsid w:val="00EF079E"/>
    <w:rsid w:val="00EF07E6"/>
    <w:rsid w:val="00EF0E89"/>
    <w:rsid w:val="00EF35FA"/>
    <w:rsid w:val="00EF3FA7"/>
    <w:rsid w:val="00EF4435"/>
    <w:rsid w:val="00EF507D"/>
    <w:rsid w:val="00EF5E29"/>
    <w:rsid w:val="00EF6D71"/>
    <w:rsid w:val="00EF71A8"/>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1950"/>
    <w:rsid w:val="00F11AAF"/>
    <w:rsid w:val="00F12151"/>
    <w:rsid w:val="00F12A0E"/>
    <w:rsid w:val="00F134AC"/>
    <w:rsid w:val="00F13EA4"/>
    <w:rsid w:val="00F157B0"/>
    <w:rsid w:val="00F16720"/>
    <w:rsid w:val="00F16E2F"/>
    <w:rsid w:val="00F172EE"/>
    <w:rsid w:val="00F179D8"/>
    <w:rsid w:val="00F17D6C"/>
    <w:rsid w:val="00F20045"/>
    <w:rsid w:val="00F20655"/>
    <w:rsid w:val="00F2098F"/>
    <w:rsid w:val="00F216D7"/>
    <w:rsid w:val="00F21EBC"/>
    <w:rsid w:val="00F22397"/>
    <w:rsid w:val="00F23DD7"/>
    <w:rsid w:val="00F240EA"/>
    <w:rsid w:val="00F2483D"/>
    <w:rsid w:val="00F2496F"/>
    <w:rsid w:val="00F252AC"/>
    <w:rsid w:val="00F25D1F"/>
    <w:rsid w:val="00F25EC1"/>
    <w:rsid w:val="00F26185"/>
    <w:rsid w:val="00F26DC3"/>
    <w:rsid w:val="00F300EF"/>
    <w:rsid w:val="00F301C6"/>
    <w:rsid w:val="00F30549"/>
    <w:rsid w:val="00F30F7B"/>
    <w:rsid w:val="00F31C27"/>
    <w:rsid w:val="00F322EA"/>
    <w:rsid w:val="00F32BCB"/>
    <w:rsid w:val="00F32EA8"/>
    <w:rsid w:val="00F3329C"/>
    <w:rsid w:val="00F34C64"/>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67A8"/>
    <w:rsid w:val="00F572C0"/>
    <w:rsid w:val="00F574F8"/>
    <w:rsid w:val="00F576E4"/>
    <w:rsid w:val="00F600F2"/>
    <w:rsid w:val="00F6065B"/>
    <w:rsid w:val="00F62E09"/>
    <w:rsid w:val="00F635F7"/>
    <w:rsid w:val="00F63C1F"/>
    <w:rsid w:val="00F6662F"/>
    <w:rsid w:val="00F675BD"/>
    <w:rsid w:val="00F70118"/>
    <w:rsid w:val="00F702B4"/>
    <w:rsid w:val="00F706F1"/>
    <w:rsid w:val="00F70E4A"/>
    <w:rsid w:val="00F71DE0"/>
    <w:rsid w:val="00F71F04"/>
    <w:rsid w:val="00F743AF"/>
    <w:rsid w:val="00F75810"/>
    <w:rsid w:val="00F76A55"/>
    <w:rsid w:val="00F80496"/>
    <w:rsid w:val="00F80729"/>
    <w:rsid w:val="00F80996"/>
    <w:rsid w:val="00F81DCD"/>
    <w:rsid w:val="00F82380"/>
    <w:rsid w:val="00F84BAA"/>
    <w:rsid w:val="00F84D35"/>
    <w:rsid w:val="00F85DBC"/>
    <w:rsid w:val="00F8725D"/>
    <w:rsid w:val="00F87384"/>
    <w:rsid w:val="00F907B2"/>
    <w:rsid w:val="00F90BD9"/>
    <w:rsid w:val="00F90DE0"/>
    <w:rsid w:val="00F92058"/>
    <w:rsid w:val="00F923A7"/>
    <w:rsid w:val="00F944D7"/>
    <w:rsid w:val="00F97F78"/>
    <w:rsid w:val="00FA17C7"/>
    <w:rsid w:val="00FA2526"/>
    <w:rsid w:val="00FA400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0D3F"/>
    <w:rsid w:val="00FC12AD"/>
    <w:rsid w:val="00FC17E0"/>
    <w:rsid w:val="00FC21B4"/>
    <w:rsid w:val="00FC2A80"/>
    <w:rsid w:val="00FC3122"/>
    <w:rsid w:val="00FC3695"/>
    <w:rsid w:val="00FC3A1C"/>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1BD"/>
    <w:rsid w:val="00FE5219"/>
    <w:rsid w:val="00FE5747"/>
    <w:rsid w:val="00FE612F"/>
    <w:rsid w:val="00FE65CC"/>
    <w:rsid w:val="00FE6822"/>
    <w:rsid w:val="00FE6C02"/>
    <w:rsid w:val="00FE71F9"/>
    <w:rsid w:val="00FE7FBB"/>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CC1F04"/>
    <w:pPr>
      <w:tabs>
        <w:tab w:val="left" w:pos="880"/>
        <w:tab w:val="right" w:leader="dot" w:pos="8828"/>
      </w:tabs>
      <w:spacing w:after="100"/>
      <w:ind w:left="180" w:hanging="180"/>
    </w:pPr>
  </w:style>
  <w:style w:type="paragraph" w:customStyle="1" w:styleId="rtejustify">
    <w:name w:val="rtejustify"/>
    <w:basedOn w:val="Normal"/>
    <w:rsid w:val="00AE328D"/>
    <w:pPr>
      <w:spacing w:before="100" w:beforeAutospacing="1" w:after="100" w:afterAutospacing="1"/>
    </w:pPr>
    <w:rPr>
      <w:lang w:val="en-US" w:eastAsia="en-US"/>
    </w:rPr>
  </w:style>
  <w:style w:type="paragraph" w:styleId="TtulodeTDC">
    <w:name w:val="TOC Heading"/>
    <w:basedOn w:val="Ttulo1"/>
    <w:next w:val="Normal"/>
    <w:uiPriority w:val="39"/>
    <w:semiHidden/>
    <w:unhideWhenUsed/>
    <w:qFormat/>
    <w:rsid w:val="007F7B11"/>
    <w:pPr>
      <w:outlineLvl w:val="9"/>
    </w:pPr>
  </w:style>
  <w:style w:type="table" w:customStyle="1" w:styleId="Tablaconcuadrcula21111">
    <w:name w:val="Tabla con cuadrícula21111"/>
    <w:basedOn w:val="Tablanormal"/>
    <w:next w:val="Tablaconcuadrcula"/>
    <w:uiPriority w:val="39"/>
    <w:rsid w:val="00E433A7"/>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0041">
      <w:bodyDiv w:val="1"/>
      <w:marLeft w:val="0"/>
      <w:marRight w:val="0"/>
      <w:marTop w:val="0"/>
      <w:marBottom w:val="0"/>
      <w:divBdr>
        <w:top w:val="none" w:sz="0" w:space="0" w:color="auto"/>
        <w:left w:val="none" w:sz="0" w:space="0" w:color="auto"/>
        <w:bottom w:val="none" w:sz="0" w:space="0" w:color="auto"/>
        <w:right w:val="none" w:sz="0" w:space="0" w:color="auto"/>
      </w:divBdr>
    </w:div>
    <w:div w:id="27223872">
      <w:bodyDiv w:val="1"/>
      <w:marLeft w:val="0"/>
      <w:marRight w:val="0"/>
      <w:marTop w:val="0"/>
      <w:marBottom w:val="0"/>
      <w:divBdr>
        <w:top w:val="none" w:sz="0" w:space="0" w:color="auto"/>
        <w:left w:val="none" w:sz="0" w:space="0" w:color="auto"/>
        <w:bottom w:val="none" w:sz="0" w:space="0" w:color="auto"/>
        <w:right w:val="none" w:sz="0" w:space="0" w:color="auto"/>
      </w:divBdr>
    </w:div>
    <w:div w:id="56322925">
      <w:bodyDiv w:val="1"/>
      <w:marLeft w:val="0"/>
      <w:marRight w:val="0"/>
      <w:marTop w:val="0"/>
      <w:marBottom w:val="0"/>
      <w:divBdr>
        <w:top w:val="none" w:sz="0" w:space="0" w:color="auto"/>
        <w:left w:val="none" w:sz="0" w:space="0" w:color="auto"/>
        <w:bottom w:val="none" w:sz="0" w:space="0" w:color="auto"/>
        <w:right w:val="none" w:sz="0" w:space="0" w:color="auto"/>
      </w:divBdr>
    </w:div>
    <w:div w:id="95905401">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40261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7184253">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3157816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00529398">
      <w:bodyDiv w:val="1"/>
      <w:marLeft w:val="0"/>
      <w:marRight w:val="0"/>
      <w:marTop w:val="0"/>
      <w:marBottom w:val="0"/>
      <w:divBdr>
        <w:top w:val="none" w:sz="0" w:space="0" w:color="auto"/>
        <w:left w:val="none" w:sz="0" w:space="0" w:color="auto"/>
        <w:bottom w:val="none" w:sz="0" w:space="0" w:color="auto"/>
        <w:right w:val="none" w:sz="0" w:space="0" w:color="auto"/>
      </w:divBdr>
    </w:div>
    <w:div w:id="612400742">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86058686">
      <w:bodyDiv w:val="1"/>
      <w:marLeft w:val="0"/>
      <w:marRight w:val="0"/>
      <w:marTop w:val="0"/>
      <w:marBottom w:val="0"/>
      <w:divBdr>
        <w:top w:val="none" w:sz="0" w:space="0" w:color="auto"/>
        <w:left w:val="none" w:sz="0" w:space="0" w:color="auto"/>
        <w:bottom w:val="none" w:sz="0" w:space="0" w:color="auto"/>
        <w:right w:val="none" w:sz="0" w:space="0" w:color="auto"/>
      </w:divBdr>
    </w:div>
    <w:div w:id="696277987">
      <w:bodyDiv w:val="1"/>
      <w:marLeft w:val="0"/>
      <w:marRight w:val="0"/>
      <w:marTop w:val="0"/>
      <w:marBottom w:val="0"/>
      <w:divBdr>
        <w:top w:val="none" w:sz="0" w:space="0" w:color="auto"/>
        <w:left w:val="none" w:sz="0" w:space="0" w:color="auto"/>
        <w:bottom w:val="none" w:sz="0" w:space="0" w:color="auto"/>
        <w:right w:val="none" w:sz="0" w:space="0" w:color="auto"/>
      </w:divBdr>
    </w:div>
    <w:div w:id="700056173">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041542">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5862872">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00641845">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1336174">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4684531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68269397">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88264120">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00604473">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221663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3025851">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5084795">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0885561">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884425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3478281">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93286.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618859.pag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saimex.org.mx/saimex/solicitud/downloadAttach/1193286.page" TargetMode="External"/><Relationship Id="rId4" Type="http://schemas.openxmlformats.org/officeDocument/2006/relationships/settings" Target="settings.xml"/><Relationship Id="rId9" Type="http://schemas.openxmlformats.org/officeDocument/2006/relationships/hyperlink" Target="https://saimex.org.mx/saimex/solicitud/downloadAttach/1618859.p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C6915-391F-4908-9BF3-D50EDC03F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4690</Words>
  <Characters>25797</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DELL</cp:lastModifiedBy>
  <cp:revision>5</cp:revision>
  <cp:lastPrinted>2021-10-06T19:46:00Z</cp:lastPrinted>
  <dcterms:created xsi:type="dcterms:W3CDTF">2022-11-03T03:17:00Z</dcterms:created>
  <dcterms:modified xsi:type="dcterms:W3CDTF">2022-11-28T04:21:00Z</dcterms:modified>
</cp:coreProperties>
</file>