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FA3E3" w14:textId="77777777" w:rsidR="0033428A" w:rsidRPr="005F3B01" w:rsidRDefault="00E068AF">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5F3B0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91308" w:rsidRPr="005F3B01">
        <w:rPr>
          <w:rFonts w:ascii="Palatino Linotype" w:eastAsia="Palatino Linotype" w:hAnsi="Palatino Linotype" w:cs="Palatino Linotype"/>
        </w:rPr>
        <w:t>nueve</w:t>
      </w:r>
      <w:r w:rsidR="005C399E" w:rsidRPr="005F3B01">
        <w:rPr>
          <w:rFonts w:ascii="Palatino Linotype" w:eastAsia="Palatino Linotype" w:hAnsi="Palatino Linotype" w:cs="Palatino Linotype"/>
        </w:rPr>
        <w:t xml:space="preserve"> de noviembre</w:t>
      </w:r>
      <w:r w:rsidRPr="005F3B01">
        <w:rPr>
          <w:rFonts w:ascii="Palatino Linotype" w:eastAsia="Palatino Linotype" w:hAnsi="Palatino Linotype" w:cs="Palatino Linotype"/>
        </w:rPr>
        <w:t xml:space="preserve"> de dos mil veintidós. </w:t>
      </w:r>
    </w:p>
    <w:p w14:paraId="175F135C" w14:textId="08C81C5B"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VISTO</w:t>
      </w:r>
      <w:r w:rsidRPr="005F3B01">
        <w:rPr>
          <w:rFonts w:ascii="Palatino Linotype" w:eastAsia="Palatino Linotype" w:hAnsi="Palatino Linotype" w:cs="Palatino Linotype"/>
        </w:rPr>
        <w:t xml:space="preserve"> el expediente formado con motivo del recurso de revisión </w:t>
      </w:r>
      <w:r w:rsidRPr="005F3B01">
        <w:rPr>
          <w:rFonts w:ascii="Palatino Linotype" w:eastAsia="Palatino Linotype" w:hAnsi="Palatino Linotype" w:cs="Palatino Linotype"/>
          <w:b/>
        </w:rPr>
        <w:t>12249/INFOEM/IP/RR/2022</w:t>
      </w:r>
      <w:r w:rsidRPr="005F3B01">
        <w:rPr>
          <w:rFonts w:ascii="Palatino Linotype" w:eastAsia="Palatino Linotype" w:hAnsi="Palatino Linotype" w:cs="Palatino Linotype"/>
        </w:rPr>
        <w:t>, interpuesto por</w:t>
      </w:r>
      <w:r w:rsidRPr="005F3B01">
        <w:rPr>
          <w:rFonts w:ascii="Palatino Linotype" w:eastAsia="Palatino Linotype" w:hAnsi="Palatino Linotype" w:cs="Palatino Linotype"/>
          <w:b/>
        </w:rPr>
        <w:t xml:space="preserve"> </w:t>
      </w:r>
      <w:r w:rsidR="00BE0B9A">
        <w:rPr>
          <w:rFonts w:ascii="Palatino Linotype" w:eastAsia="Palatino Linotype" w:hAnsi="Palatino Linotype" w:cs="Palatino Linotype"/>
          <w:b/>
        </w:rPr>
        <w:t>XXXXX XXX XXXXX XXXX</w:t>
      </w:r>
      <w:r w:rsidRPr="005F3B01">
        <w:rPr>
          <w:rFonts w:ascii="Palatino Linotype" w:eastAsia="Palatino Linotype" w:hAnsi="Palatino Linotype" w:cs="Palatino Linotype"/>
          <w:b/>
        </w:rPr>
        <w:t xml:space="preserve">, </w:t>
      </w:r>
      <w:r w:rsidRPr="005F3B01">
        <w:rPr>
          <w:rFonts w:ascii="Palatino Linotype" w:eastAsia="Palatino Linotype" w:hAnsi="Palatino Linotype" w:cs="Palatino Linotype"/>
        </w:rPr>
        <w:t>en lo sucesivo</w:t>
      </w:r>
      <w:r w:rsidRPr="005F3B01">
        <w:rPr>
          <w:rFonts w:ascii="Palatino Linotype" w:eastAsia="Palatino Linotype" w:hAnsi="Palatino Linotype" w:cs="Palatino Linotype"/>
          <w:b/>
        </w:rPr>
        <w:t xml:space="preserve"> </w:t>
      </w:r>
      <w:r w:rsidRPr="005F3B01">
        <w:rPr>
          <w:rFonts w:ascii="Palatino Linotype" w:eastAsia="Palatino Linotype" w:hAnsi="Palatino Linotype" w:cs="Palatino Linotype"/>
        </w:rPr>
        <w:t xml:space="preserve">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en contra de la respuesta a su solicitud por parte del </w:t>
      </w:r>
      <w:r w:rsidRPr="005F3B01">
        <w:rPr>
          <w:rFonts w:ascii="Palatino Linotype" w:eastAsia="Palatino Linotype" w:hAnsi="Palatino Linotype" w:cs="Palatino Linotype"/>
          <w:b/>
        </w:rPr>
        <w:t xml:space="preserve">Ayuntamiento de Metepec, </w:t>
      </w:r>
      <w:r w:rsidRPr="005F3B01">
        <w:rPr>
          <w:rFonts w:ascii="Palatino Linotype" w:eastAsia="Palatino Linotype" w:hAnsi="Palatino Linotype" w:cs="Palatino Linotype"/>
        </w:rPr>
        <w:t xml:space="preserve">en lo sucesivo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 xml:space="preserve">se procede a dictar la presente resolución con base en los siguientes: </w:t>
      </w:r>
    </w:p>
    <w:p w14:paraId="3576665F" w14:textId="77777777" w:rsidR="0033428A" w:rsidRPr="005F3B01" w:rsidRDefault="00E068AF">
      <w:pPr>
        <w:spacing w:before="240" w:after="240" w:line="360" w:lineRule="auto"/>
        <w:jc w:val="center"/>
        <w:rPr>
          <w:rFonts w:ascii="Palatino Linotype" w:eastAsia="Palatino Linotype" w:hAnsi="Palatino Linotype" w:cs="Palatino Linotype"/>
          <w:b/>
        </w:rPr>
      </w:pPr>
      <w:r w:rsidRPr="005F3B01">
        <w:rPr>
          <w:rFonts w:ascii="Palatino Linotype" w:eastAsia="Palatino Linotype" w:hAnsi="Palatino Linotype" w:cs="Palatino Linotype"/>
          <w:b/>
        </w:rPr>
        <w:t>I. A N T E C E D E N T E S</w:t>
      </w:r>
    </w:p>
    <w:p w14:paraId="1A421BF6"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1. Solicitud de acceso a la información.</w:t>
      </w:r>
      <w:r w:rsidRPr="005F3B01">
        <w:rPr>
          <w:rFonts w:ascii="Palatino Linotype" w:eastAsia="Palatino Linotype" w:hAnsi="Palatino Linotype" w:cs="Palatino Linotype"/>
        </w:rPr>
        <w:t xml:space="preserve"> Con fecha </w:t>
      </w:r>
      <w:r w:rsidRPr="005F3B01">
        <w:rPr>
          <w:rFonts w:ascii="Palatino Linotype" w:eastAsia="Palatino Linotype" w:hAnsi="Palatino Linotype" w:cs="Palatino Linotype"/>
          <w:b/>
        </w:rPr>
        <w:t>veintidós de junio de dos mil veintidós,</w:t>
      </w:r>
      <w:r w:rsidRPr="005F3B01">
        <w:rPr>
          <w:rFonts w:ascii="Palatino Linotype" w:eastAsia="Palatino Linotype" w:hAnsi="Palatino Linotype" w:cs="Palatino Linotype"/>
        </w:rPr>
        <w:t xml:space="preserve"> la parte </w:t>
      </w:r>
      <w:r w:rsidRPr="005F3B01">
        <w:rPr>
          <w:rFonts w:ascii="Palatino Linotype" w:eastAsia="Palatino Linotype" w:hAnsi="Palatino Linotype" w:cs="Palatino Linotype"/>
          <w:b/>
        </w:rPr>
        <w:t xml:space="preserve">Recurrente </w:t>
      </w:r>
      <w:r w:rsidRPr="005F3B01">
        <w:rPr>
          <w:rFonts w:ascii="Palatino Linotype" w:eastAsia="Palatino Linotype" w:hAnsi="Palatino Linotype" w:cs="Palatino Linotype"/>
        </w:rPr>
        <w:t xml:space="preserve">presentó, través del Sistema de Acceso a la Información Mexiquense, en lo subsecuente el </w:t>
      </w:r>
      <w:r w:rsidRPr="005F3B01">
        <w:rPr>
          <w:rFonts w:ascii="Palatino Linotype" w:eastAsia="Palatino Linotype" w:hAnsi="Palatino Linotype" w:cs="Palatino Linotype"/>
          <w:b/>
        </w:rPr>
        <w:t>SAIMEX,</w:t>
      </w:r>
      <w:r w:rsidRPr="005F3B01">
        <w:rPr>
          <w:rFonts w:ascii="Palatino Linotype" w:eastAsia="Palatino Linotype" w:hAnsi="Palatino Linotype" w:cs="Palatino Linotype"/>
        </w:rPr>
        <w:t xml:space="preserve"> ante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la solicitud de acceso a la información pública, a la que se le asignó el número</w:t>
      </w:r>
      <w:r w:rsidRPr="005F3B01">
        <w:rPr>
          <w:rFonts w:ascii="Palatino Linotype" w:eastAsia="Palatino Linotype" w:hAnsi="Palatino Linotype" w:cs="Palatino Linotype"/>
          <w:b/>
        </w:rPr>
        <w:t xml:space="preserve"> 03626/METEPEC/IP/2022, </w:t>
      </w:r>
      <w:r w:rsidRPr="005F3B01">
        <w:rPr>
          <w:rFonts w:ascii="Palatino Linotype" w:eastAsia="Palatino Linotype" w:hAnsi="Palatino Linotype" w:cs="Palatino Linotype"/>
        </w:rPr>
        <w:t xml:space="preserve">mediante la cual requirió la información siguiente: </w:t>
      </w:r>
    </w:p>
    <w:p w14:paraId="753770D9" w14:textId="77777777" w:rsidR="0033428A" w:rsidRPr="005F3B01" w:rsidRDefault="00E068AF">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5F3B01">
        <w:rPr>
          <w:rFonts w:ascii="Palatino Linotype" w:eastAsia="Palatino Linotype" w:hAnsi="Palatino Linotype" w:cs="Palatino Linotype"/>
          <w:i/>
          <w:sz w:val="22"/>
          <w:szCs w:val="22"/>
        </w:rPr>
        <w:t xml:space="preserve">“Solicito en formato de versión pública, se indiquen los salarios quincenales del </w:t>
      </w:r>
      <w:proofErr w:type="gramStart"/>
      <w:r w:rsidRPr="005F3B01">
        <w:rPr>
          <w:rFonts w:ascii="Palatino Linotype" w:eastAsia="Palatino Linotype" w:hAnsi="Palatino Linotype" w:cs="Palatino Linotype"/>
          <w:i/>
          <w:sz w:val="22"/>
          <w:szCs w:val="22"/>
        </w:rPr>
        <w:t>Presidente</w:t>
      </w:r>
      <w:proofErr w:type="gramEnd"/>
      <w:r w:rsidRPr="005F3B01">
        <w:rPr>
          <w:rFonts w:ascii="Palatino Linotype" w:eastAsia="Palatino Linotype" w:hAnsi="Palatino Linotype" w:cs="Palatino Linotype"/>
          <w:i/>
          <w:sz w:val="22"/>
          <w:szCs w:val="22"/>
        </w:rPr>
        <w:t xml:space="preserve"> Municipal, Regidoras, Regidores, titular de la Sindicatura Municipal y titular de la Secretaría del Ayuntamiento de Metepec, de la actual administración municipal 2022-2024.” (sic)</w:t>
      </w:r>
    </w:p>
    <w:p w14:paraId="6AF135C8" w14:textId="77777777" w:rsidR="0033428A" w:rsidRPr="005F3B01" w:rsidRDefault="00E068AF">
      <w:pPr>
        <w:spacing w:before="240" w:after="240" w:line="360" w:lineRule="auto"/>
        <w:ind w:right="900"/>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no adjuntó archivos.</w:t>
      </w:r>
    </w:p>
    <w:p w14:paraId="42A92AB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Modalidad de Entrega:</w:t>
      </w:r>
      <w:r w:rsidRPr="005F3B01">
        <w:rPr>
          <w:rFonts w:ascii="Palatino Linotype" w:eastAsia="Palatino Linotype" w:hAnsi="Palatino Linotype" w:cs="Palatino Linotype"/>
        </w:rPr>
        <w:t xml:space="preserve"> A través de </w:t>
      </w:r>
      <w:r w:rsidRPr="005F3B01">
        <w:rPr>
          <w:rFonts w:ascii="Palatino Linotype" w:eastAsia="Palatino Linotype" w:hAnsi="Palatino Linotype" w:cs="Palatino Linotype"/>
          <w:b/>
        </w:rPr>
        <w:t>SAIMEX</w:t>
      </w:r>
      <w:r w:rsidRPr="005F3B01">
        <w:rPr>
          <w:rFonts w:ascii="Palatino Linotype" w:eastAsia="Palatino Linotype" w:hAnsi="Palatino Linotype" w:cs="Palatino Linotype"/>
        </w:rPr>
        <w:t>.</w:t>
      </w:r>
    </w:p>
    <w:p w14:paraId="6ED8D8CA"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lastRenderedPageBreak/>
        <w:t xml:space="preserve">2. Respuesta. </w:t>
      </w:r>
      <w:r w:rsidRPr="005F3B01">
        <w:rPr>
          <w:rFonts w:ascii="Palatino Linotype" w:eastAsia="Palatino Linotype" w:hAnsi="Palatino Linotype" w:cs="Palatino Linotype"/>
        </w:rPr>
        <w:t>Con fecha</w:t>
      </w:r>
      <w:r w:rsidRPr="005F3B01">
        <w:rPr>
          <w:rFonts w:ascii="Palatino Linotype" w:eastAsia="Palatino Linotype" w:hAnsi="Palatino Linotype" w:cs="Palatino Linotype"/>
          <w:b/>
        </w:rPr>
        <w:t xml:space="preserve"> veintiocho de junio de dos mil veintidós</w:t>
      </w:r>
      <w:r w:rsidRPr="005F3B01">
        <w:rPr>
          <w:rFonts w:ascii="Palatino Linotype" w:eastAsia="Palatino Linotype" w:hAnsi="Palatino Linotype" w:cs="Palatino Linotype"/>
        </w:rPr>
        <w:t xml:space="preserve">,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001B891" w14:textId="77777777" w:rsidR="0033428A" w:rsidRPr="005F3B01" w:rsidRDefault="00E068AF">
      <w:pPr>
        <w:spacing w:before="240" w:after="24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w:t>
      </w:r>
      <w:proofErr w:type="gramStart"/>
      <w:r w:rsidRPr="005F3B01">
        <w:rPr>
          <w:rFonts w:ascii="Palatino Linotype" w:eastAsia="Palatino Linotype" w:hAnsi="Palatino Linotype" w:cs="Palatino Linotype"/>
          <w:i/>
          <w:sz w:val="22"/>
          <w:szCs w:val="22"/>
        </w:rPr>
        <w:t>... ”</w:t>
      </w:r>
      <w:proofErr w:type="gramEnd"/>
      <w:r w:rsidRPr="005F3B01">
        <w:rPr>
          <w:rFonts w:ascii="Palatino Linotype" w:eastAsia="Palatino Linotype" w:hAnsi="Palatino Linotype" w:cs="Palatino Linotype"/>
          <w:i/>
          <w:sz w:val="22"/>
          <w:szCs w:val="22"/>
        </w:rPr>
        <w:t xml:space="preserve"> (sic)</w:t>
      </w:r>
    </w:p>
    <w:p w14:paraId="2D125DD5"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adjuntó el archivo “</w:t>
      </w:r>
      <w:r w:rsidRPr="005F3B01">
        <w:rPr>
          <w:rFonts w:ascii="Palatino Linotype" w:eastAsia="Palatino Linotype" w:hAnsi="Palatino Linotype" w:cs="Palatino Linotype"/>
          <w:i/>
        </w:rPr>
        <w:t>3626.PDF</w:t>
      </w:r>
      <w:r w:rsidRPr="005F3B01">
        <w:rPr>
          <w:rFonts w:ascii="Palatino Linotype" w:eastAsia="Palatino Linotype" w:hAnsi="Palatino Linotype" w:cs="Palatino Linotype"/>
        </w:rPr>
        <w:t xml:space="preserve">”, que contiene el oficio número UT/MET/2186/2022 fecha veintisiete de junio de dos mil veintidós, mediante el cual el Titular de la Unidad de Transparencia hace del conocimiento de la persona solicitante que la información requerida es una obligación común del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 xml:space="preserve">conferida en el artículo 92 de la Ley de Transparencia y Acceso a la Información Pública del Estado de México, dirigiéndole a la página web de la Información Pública de Oficio de los Sujetos Obligados del Estado de México, y municipios, localizada en la siguiente liga: </w:t>
      </w:r>
    </w:p>
    <w:p w14:paraId="34A66EF9" w14:textId="77777777" w:rsidR="0033428A" w:rsidRPr="005F3B01" w:rsidRDefault="00BE0B9A">
      <w:pPr>
        <w:spacing w:before="240" w:after="240" w:line="360" w:lineRule="auto"/>
        <w:ind w:right="49"/>
        <w:jc w:val="center"/>
        <w:rPr>
          <w:rFonts w:ascii="Palatino Linotype" w:eastAsia="Palatino Linotype" w:hAnsi="Palatino Linotype" w:cs="Palatino Linotype"/>
          <w:i/>
          <w:sz w:val="22"/>
          <w:szCs w:val="22"/>
        </w:rPr>
      </w:pPr>
      <w:hyperlink r:id="rId8">
        <w:r w:rsidR="00E068AF" w:rsidRPr="005F3B01">
          <w:rPr>
            <w:rFonts w:ascii="Palatino Linotype" w:eastAsia="Palatino Linotype" w:hAnsi="Palatino Linotype" w:cs="Palatino Linotype"/>
            <w:i/>
            <w:sz w:val="22"/>
            <w:szCs w:val="22"/>
            <w:u w:val="single"/>
          </w:rPr>
          <w:t>https://www.ipomex.org.mx/ipo3/lgt/indice/METEPEC.web?token=03AGdBq27VCOBM62EBFXHCghyd4pGbMReovn3cQsnRUxMqrog-XhVX4JARJ54t7HRW_n-78M7FryK-QnMjp4ll0l2g6VaJx7zwhZ84T4ElCFyinzlYuCOs1ktG21ajTDjWDv2pTZJWUhfxM01o5zg0-d_b3GSSc1VyoAGUdN-GGsDGNHU6OqTaN0MRqCu3_7CS2q6vN5bWLSfCluUGUxtzdhltnMi-ZVi-MoukqCfJaCYEBxDAf0_Ug7eGThPMSue82BAwnXCsOlXRPj6iiQN8itovpGbc9gVnAyZdlCqU</w:t>
        </w:r>
        <w:r w:rsidR="00E068AF" w:rsidRPr="005F3B01">
          <w:rPr>
            <w:rFonts w:ascii="Palatino Linotype" w:eastAsia="Palatino Linotype" w:hAnsi="Palatino Linotype" w:cs="Palatino Linotype"/>
            <w:i/>
            <w:sz w:val="22"/>
            <w:szCs w:val="22"/>
            <w:u w:val="single"/>
          </w:rPr>
          <w:lastRenderedPageBreak/>
          <w:t>fPcWGHaTlxLpWmwgLcH_3sEOPPMGtJnE2Sgf1SvD5lMUCTv30QwU1Y4ELxVXjzcj3FL4BbKKXmuat2G2SxlOcf_QDGb921kppGbKLI6WWP2NWUAzBgs9RjPdrzRRtvY1Bh6XYK1QHyD126SuRuKKmQ458ykhunoh-DGYJ_duy17C-6AY7SEleG5zPiz0rrqjbkmhzvgbVNu3H8wjAz8cXqVenkN84--afVqCEoai8lAjF-GV_Wxk2Gnkow#</w:t>
        </w:r>
      </w:hyperlink>
    </w:p>
    <w:p w14:paraId="6FFC21F1"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Asimismo, el Titular de la Unidad de Transparencia sugirió a la persona solicitante ingresar al directorio de municipios y buscar el Ayuntamiento de Metepec, a efecto de poder realizar la consulta de la información solicitada.</w:t>
      </w:r>
    </w:p>
    <w:p w14:paraId="36AF1270"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4. Interposición del recurso de revisión. </w:t>
      </w:r>
      <w:r w:rsidRPr="005F3B01">
        <w:rPr>
          <w:rFonts w:ascii="Palatino Linotype" w:eastAsia="Palatino Linotype" w:hAnsi="Palatino Linotype" w:cs="Palatino Linotype"/>
        </w:rPr>
        <w:t xml:space="preserve">Inconforme con los términos de la respuesta emitida por parte del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el </w:t>
      </w:r>
      <w:r w:rsidRPr="005F3B01">
        <w:rPr>
          <w:rFonts w:ascii="Palatino Linotype" w:eastAsia="Palatino Linotype" w:hAnsi="Palatino Linotype" w:cs="Palatino Linotype"/>
          <w:b/>
        </w:rPr>
        <w:t>veintinueve de junio de dos mil veintidós,</w:t>
      </w:r>
      <w:r w:rsidRPr="005F3B01">
        <w:rPr>
          <w:rFonts w:ascii="Palatino Linotype" w:eastAsia="Palatino Linotype" w:hAnsi="Palatino Linotype" w:cs="Palatino Linotype"/>
        </w:rPr>
        <w:t xml:space="preserve"> 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interpuso el recurso de revisión a través de </w:t>
      </w:r>
      <w:r w:rsidRPr="005F3B01">
        <w:rPr>
          <w:rFonts w:ascii="Palatino Linotype" w:eastAsia="Palatino Linotype" w:hAnsi="Palatino Linotype" w:cs="Palatino Linotype"/>
          <w:b/>
        </w:rPr>
        <w:t xml:space="preserve">SAIMEX, </w:t>
      </w:r>
      <w:r w:rsidRPr="005F3B01">
        <w:rPr>
          <w:rFonts w:ascii="Palatino Linotype" w:eastAsia="Palatino Linotype" w:hAnsi="Palatino Linotype" w:cs="Palatino Linotype"/>
        </w:rPr>
        <w:t>en donde se manifestó de la siguiente manera:</w:t>
      </w:r>
    </w:p>
    <w:p w14:paraId="75631E23" w14:textId="77777777" w:rsidR="0033428A" w:rsidRPr="005F3B01" w:rsidRDefault="00E068AF">
      <w:pPr>
        <w:tabs>
          <w:tab w:val="left" w:pos="2745"/>
        </w:tabs>
        <w:spacing w:before="240" w:after="240" w:line="360" w:lineRule="auto"/>
        <w:jc w:val="both"/>
        <w:rPr>
          <w:rFonts w:ascii="Palatino Linotype" w:eastAsia="Palatino Linotype" w:hAnsi="Palatino Linotype" w:cs="Palatino Linotype"/>
          <w:b/>
        </w:rPr>
      </w:pPr>
      <w:r w:rsidRPr="005F3B01">
        <w:rPr>
          <w:rFonts w:ascii="Palatino Linotype" w:eastAsia="Palatino Linotype" w:hAnsi="Palatino Linotype" w:cs="Palatino Linotype"/>
          <w:b/>
        </w:rPr>
        <w:t xml:space="preserve">Acto impugnado: </w:t>
      </w:r>
    </w:p>
    <w:p w14:paraId="7688218B" w14:textId="77777777" w:rsidR="0033428A" w:rsidRPr="005F3B01" w:rsidRDefault="00E068AF">
      <w:pPr>
        <w:tabs>
          <w:tab w:val="left" w:pos="2745"/>
        </w:tabs>
        <w:spacing w:before="240" w:after="24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“Entrega de información que no corresponde con lo solicitado.” (sic)</w:t>
      </w:r>
    </w:p>
    <w:p w14:paraId="5F7BC303" w14:textId="77777777" w:rsidR="0033428A" w:rsidRPr="005F3B01" w:rsidRDefault="00E068AF">
      <w:pPr>
        <w:spacing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Y Razones o motivos de inconformidad</w:t>
      </w:r>
      <w:r w:rsidRPr="005F3B01">
        <w:rPr>
          <w:rFonts w:ascii="Palatino Linotype" w:eastAsia="Palatino Linotype" w:hAnsi="Palatino Linotype" w:cs="Palatino Linotype"/>
        </w:rPr>
        <w:t>:</w:t>
      </w:r>
    </w:p>
    <w:p w14:paraId="29F52B20" w14:textId="77777777" w:rsidR="0033428A" w:rsidRPr="005F3B01" w:rsidRDefault="00E068AF">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F3B01">
        <w:rPr>
          <w:rFonts w:ascii="Palatino Linotype" w:eastAsia="Palatino Linotype" w:hAnsi="Palatino Linotype" w:cs="Palatino Linotype"/>
          <w:i/>
          <w:sz w:val="22"/>
          <w:szCs w:val="22"/>
        </w:rPr>
        <w:t xml:space="preserve"> “Estado de México, 29 de junio de 2022 El motivo de la presente inconformidad, tras la petición con folio 03626/METEPEC/IP/2022, entregada mediante el Sistema de Acceso a la Información Mexiquense (SAIMEX), del Instituto de Transparencia, Acceso a la Información Pública y Protección de Datos Personales del Estado de México y Municipios (</w:t>
      </w:r>
      <w:proofErr w:type="spellStart"/>
      <w:r w:rsidRPr="005F3B01">
        <w:rPr>
          <w:rFonts w:ascii="Palatino Linotype" w:eastAsia="Palatino Linotype" w:hAnsi="Palatino Linotype" w:cs="Palatino Linotype"/>
          <w:i/>
          <w:sz w:val="22"/>
          <w:szCs w:val="22"/>
        </w:rPr>
        <w:t>Infoem</w:t>
      </w:r>
      <w:proofErr w:type="spellEnd"/>
      <w:r w:rsidRPr="005F3B01">
        <w:rPr>
          <w:rFonts w:ascii="Palatino Linotype" w:eastAsia="Palatino Linotype" w:hAnsi="Palatino Linotype" w:cs="Palatino Linotype"/>
          <w:i/>
          <w:sz w:val="22"/>
          <w:szCs w:val="22"/>
        </w:rPr>
        <w:t xml:space="preserve">) y que a la letra dice: Solicito en formato de versión pública, se indiquen los salarios quincenales del Presidente Municipal, Regidoras, Regidores, titular de la Sindicatura Municipal y titular de la Secretaría del Ayuntamiento de Metepec, de la actual administración municipal 2022-2024. Es motivada por la falta de respuesta concreta, </w:t>
      </w:r>
      <w:proofErr w:type="spellStart"/>
      <w:r w:rsidRPr="005F3B01">
        <w:rPr>
          <w:rFonts w:ascii="Palatino Linotype" w:eastAsia="Palatino Linotype" w:hAnsi="Palatino Linotype" w:cs="Palatino Linotype"/>
          <w:i/>
          <w:sz w:val="22"/>
          <w:szCs w:val="22"/>
        </w:rPr>
        <w:t>incompompleta</w:t>
      </w:r>
      <w:proofErr w:type="spellEnd"/>
      <w:r w:rsidRPr="005F3B01">
        <w:rPr>
          <w:rFonts w:ascii="Palatino Linotype" w:eastAsia="Palatino Linotype" w:hAnsi="Palatino Linotype" w:cs="Palatino Linotype"/>
          <w:i/>
          <w:sz w:val="22"/>
          <w:szCs w:val="22"/>
        </w:rPr>
        <w:t xml:space="preserve"> o que no corresponde ya que: 1. La solicitud en mención expresa que el requerimiento es “en formato de versión pública”. 2. Se pide en la misma que se indiquen los datos del </w:t>
      </w:r>
      <w:proofErr w:type="gramStart"/>
      <w:r w:rsidRPr="005F3B01">
        <w:rPr>
          <w:rFonts w:ascii="Palatino Linotype" w:eastAsia="Palatino Linotype" w:hAnsi="Palatino Linotype" w:cs="Palatino Linotype"/>
          <w:i/>
          <w:sz w:val="22"/>
          <w:szCs w:val="22"/>
        </w:rPr>
        <w:t>Presidente</w:t>
      </w:r>
      <w:proofErr w:type="gramEnd"/>
      <w:r w:rsidRPr="005F3B01">
        <w:rPr>
          <w:rFonts w:ascii="Palatino Linotype" w:eastAsia="Palatino Linotype" w:hAnsi="Palatino Linotype" w:cs="Palatino Linotype"/>
          <w:i/>
          <w:sz w:val="22"/>
          <w:szCs w:val="22"/>
        </w:rPr>
        <w:t xml:space="preserve"> Municipal, Regidoras, Regidores, titular de la Sindicatura Municipal y titular de la Secretaría del Ayuntamiento de </w:t>
      </w:r>
      <w:r w:rsidRPr="005F3B01">
        <w:rPr>
          <w:rFonts w:ascii="Palatino Linotype" w:eastAsia="Palatino Linotype" w:hAnsi="Palatino Linotype" w:cs="Palatino Linotype"/>
          <w:i/>
          <w:sz w:val="22"/>
          <w:szCs w:val="22"/>
        </w:rPr>
        <w:lastRenderedPageBreak/>
        <w:t xml:space="preserve">Metepec, referentes a “los salarios quincenales”, los cuales tampoco se entregan. 3. La respuesta, además de no satisfacer al peticionario, también carece de algún link que pueda ser copiado, indicación de sitio de internet, imagen anexa de salarios o archivo anexo. 4. Se entrega un documento de suma dificultad el cual, es de referir, se envió al peticionario con numeral UT/MET/2186/2022 y del cual se expresa la falta de utilidad por las siguientes características: • Se comparte un link con 621 caracteres con espacio. • El anterior no puede ser copiado. • El mismo, deber ser ingresado en la barra de dirección, digito por digito, asegurarse que es correcto y esperar la carga de información. Es de importancia </w:t>
      </w:r>
      <w:proofErr w:type="gramStart"/>
      <w:r w:rsidRPr="005F3B01">
        <w:rPr>
          <w:rFonts w:ascii="Palatino Linotype" w:eastAsia="Palatino Linotype" w:hAnsi="Palatino Linotype" w:cs="Palatino Linotype"/>
          <w:i/>
          <w:sz w:val="22"/>
          <w:szCs w:val="22"/>
        </w:rPr>
        <w:t>que</w:t>
      </w:r>
      <w:proofErr w:type="gramEnd"/>
      <w:r w:rsidRPr="005F3B01">
        <w:rPr>
          <w:rFonts w:ascii="Palatino Linotype" w:eastAsia="Palatino Linotype" w:hAnsi="Palatino Linotype" w:cs="Palatino Linotype"/>
          <w:i/>
          <w:sz w:val="22"/>
          <w:szCs w:val="22"/>
        </w:rPr>
        <w:t xml:space="preserve"> al señalar estas irregularidades, se contraviene la Ley de transparencia y acceso a la información pública del Estado de México y sus municipios, particularmente la obligación del Sujeto Obligado que dicta en su artículo 92 de que la información a disposición del público debe ser “forma sencilla, precisa y entendible”, lo cual lamentablemente no es el caso, por lo anteriormente expuesto. Además de estas características referidas, he de señalar: 5. La liga, que anteriormente no pudo ser copiada e ingresada (salvo por la copia de dígito por dígito), posteriormente dirige al sitio de la Información Pública de Oficio Mexiquense del Ayuntamiento de Metepec. 5.1. Nuevamente, se insiste </w:t>
      </w:r>
      <w:proofErr w:type="gramStart"/>
      <w:r w:rsidRPr="005F3B01">
        <w:rPr>
          <w:rFonts w:ascii="Palatino Linotype" w:eastAsia="Palatino Linotype" w:hAnsi="Palatino Linotype" w:cs="Palatino Linotype"/>
          <w:i/>
          <w:sz w:val="22"/>
          <w:szCs w:val="22"/>
        </w:rPr>
        <w:t>que</w:t>
      </w:r>
      <w:proofErr w:type="gramEnd"/>
      <w:r w:rsidRPr="005F3B01">
        <w:rPr>
          <w:rFonts w:ascii="Palatino Linotype" w:eastAsia="Palatino Linotype" w:hAnsi="Palatino Linotype" w:cs="Palatino Linotype"/>
          <w:i/>
          <w:sz w:val="22"/>
          <w:szCs w:val="22"/>
        </w:rPr>
        <w:t xml:space="preserve"> pese a esta herramienta ofrecida al peticionario, se carece de respuesta. Es imprescindible indicar que existe una afectación al derecho de acceso a la información pública en términos de la Ley de transparencia y acceso a la información pública del Estado de México y sus municipios, pues como se refiere en el artículo 179 de la referida ley: a) La entrega de información es incompleta. b) La entrega de información no corresponda con lo solicitado. c) Existe la falta de respuesta a una solicitud de acceso a la información.   Incluso al revisar los tabuladores de sueldos, que conforme al artículo 92, fracción VII de la referida debe contener: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Lo cual tampoco se ofrece, toda vez que incumple con listado o base de datos de “todos los servidores públicos de base o de confianza” y no señala por nombre siquiera, a los servidores públicos de mayor interés para la población. Por lo expuesto, pido amablemente sé de garantía de acceso a la información, conforme a lo antes referido.” (sic)</w:t>
      </w:r>
    </w:p>
    <w:p w14:paraId="3D8426B8" w14:textId="77777777" w:rsidR="0033428A" w:rsidRPr="005F3B01" w:rsidRDefault="00E068AF">
      <w:pPr>
        <w:spacing w:before="240" w:after="240" w:line="360" w:lineRule="auto"/>
        <w:ind w:right="51"/>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Anexos: </w:t>
      </w:r>
      <w:r w:rsidRPr="005F3B01">
        <w:rPr>
          <w:rFonts w:ascii="Palatino Linotype" w:eastAsia="Palatino Linotype" w:hAnsi="Palatino Linotype" w:cs="Palatino Linotype"/>
        </w:rPr>
        <w:t xml:space="preserve">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adjuntó el archivo “</w:t>
      </w:r>
      <w:r w:rsidRPr="005F3B01">
        <w:rPr>
          <w:rFonts w:ascii="Palatino Linotype" w:eastAsia="Palatino Linotype" w:hAnsi="Palatino Linotype" w:cs="Palatino Linotype"/>
          <w:i/>
        </w:rPr>
        <w:t>Recurso.docx</w:t>
      </w:r>
      <w:r w:rsidRPr="005F3B01">
        <w:rPr>
          <w:rFonts w:ascii="Palatino Linotype" w:eastAsia="Palatino Linotype" w:hAnsi="Palatino Linotype" w:cs="Palatino Linotype"/>
        </w:rPr>
        <w:t>”, cuyo contenido es el siguiente:</w:t>
      </w:r>
    </w:p>
    <w:p w14:paraId="11CE2E3F"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“Estado de México, 29 de junio de 2022</w:t>
      </w:r>
    </w:p>
    <w:p w14:paraId="2DD0F2B7"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lastRenderedPageBreak/>
        <w:t>El motivo de la presente inconformidad, tras la petición con folio 03626/METEPEC/IP/2022, entregada mediante el Sistema de Acceso a la Información Mexiquense (SAIMEX), del Instituto de Transparencia, Acceso a la Información Pública y Protección de Datos Personales del Estado de México y Municipios (</w:t>
      </w:r>
      <w:proofErr w:type="spellStart"/>
      <w:r w:rsidRPr="005F3B01">
        <w:rPr>
          <w:rFonts w:ascii="Palatino Linotype" w:eastAsia="Palatino Linotype" w:hAnsi="Palatino Linotype" w:cs="Palatino Linotype"/>
          <w:i/>
          <w:sz w:val="22"/>
          <w:szCs w:val="22"/>
        </w:rPr>
        <w:t>Infoem</w:t>
      </w:r>
      <w:proofErr w:type="spellEnd"/>
      <w:r w:rsidRPr="005F3B01">
        <w:rPr>
          <w:rFonts w:ascii="Palatino Linotype" w:eastAsia="Palatino Linotype" w:hAnsi="Palatino Linotype" w:cs="Palatino Linotype"/>
          <w:i/>
          <w:sz w:val="22"/>
          <w:szCs w:val="22"/>
        </w:rPr>
        <w:t>) y que a la letra dice:</w:t>
      </w:r>
    </w:p>
    <w:p w14:paraId="43FC296D"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Solicito en formato de versión pública, se indiquen los salarios quincenales del </w:t>
      </w:r>
      <w:proofErr w:type="gramStart"/>
      <w:r w:rsidRPr="005F3B01">
        <w:rPr>
          <w:rFonts w:ascii="Palatino Linotype" w:eastAsia="Palatino Linotype" w:hAnsi="Palatino Linotype" w:cs="Palatino Linotype"/>
          <w:i/>
          <w:sz w:val="22"/>
          <w:szCs w:val="22"/>
        </w:rPr>
        <w:t>Presidente</w:t>
      </w:r>
      <w:proofErr w:type="gramEnd"/>
      <w:r w:rsidRPr="005F3B01">
        <w:rPr>
          <w:rFonts w:ascii="Palatino Linotype" w:eastAsia="Palatino Linotype" w:hAnsi="Palatino Linotype" w:cs="Palatino Linotype"/>
          <w:i/>
          <w:sz w:val="22"/>
          <w:szCs w:val="22"/>
        </w:rPr>
        <w:t xml:space="preserve"> Municipal, Regidoras, Regidores, titular de la Sindicatura Municipal y titular de la Secretaría del Ayuntamiento de Metepec, de la actual administración municipal 2022-2024.</w:t>
      </w:r>
    </w:p>
    <w:p w14:paraId="3BCE175C"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Es motivada por la falta de respuesta concreta, </w:t>
      </w:r>
      <w:proofErr w:type="spellStart"/>
      <w:r w:rsidRPr="005F3B01">
        <w:rPr>
          <w:rFonts w:ascii="Palatino Linotype" w:eastAsia="Palatino Linotype" w:hAnsi="Palatino Linotype" w:cs="Palatino Linotype"/>
          <w:i/>
          <w:sz w:val="22"/>
          <w:szCs w:val="22"/>
        </w:rPr>
        <w:t>incompompleta</w:t>
      </w:r>
      <w:proofErr w:type="spellEnd"/>
      <w:r w:rsidRPr="005F3B01">
        <w:rPr>
          <w:rFonts w:ascii="Palatino Linotype" w:eastAsia="Palatino Linotype" w:hAnsi="Palatino Linotype" w:cs="Palatino Linotype"/>
          <w:i/>
          <w:sz w:val="22"/>
          <w:szCs w:val="22"/>
        </w:rPr>
        <w:t xml:space="preserve"> o que no corresponde ya que:</w:t>
      </w:r>
    </w:p>
    <w:p w14:paraId="6C62F950"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1. La solicitud en mención expresa que el requerimiento es “en formato de versión pública”.</w:t>
      </w:r>
    </w:p>
    <w:p w14:paraId="2C036A8C"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2. Se pide en la misma que se indiquen los datos del </w:t>
      </w:r>
      <w:proofErr w:type="gramStart"/>
      <w:r w:rsidRPr="005F3B01">
        <w:rPr>
          <w:rFonts w:ascii="Palatino Linotype" w:eastAsia="Palatino Linotype" w:hAnsi="Palatino Linotype" w:cs="Palatino Linotype"/>
          <w:i/>
          <w:sz w:val="22"/>
          <w:szCs w:val="22"/>
        </w:rPr>
        <w:t>Presidente</w:t>
      </w:r>
      <w:proofErr w:type="gramEnd"/>
      <w:r w:rsidRPr="005F3B01">
        <w:rPr>
          <w:rFonts w:ascii="Palatino Linotype" w:eastAsia="Palatino Linotype" w:hAnsi="Palatino Linotype" w:cs="Palatino Linotype"/>
          <w:i/>
          <w:sz w:val="22"/>
          <w:szCs w:val="22"/>
        </w:rPr>
        <w:t xml:space="preserve"> Municipal, Regidoras, Regidores, titular de la Sindicatura Municipal y titular de la Secretaría del Ayuntamiento de Metepec, referentes a “los salarios quincenales”, los cuales tampoco se entregan.</w:t>
      </w:r>
    </w:p>
    <w:p w14:paraId="1A1B59B3"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3. La respuesta, además de no satisfacer al peticionario, también carece de algún link que pueda ser copiado, indicación de sitio de internet, imagen anexa de salarios o archivo anexo.</w:t>
      </w:r>
    </w:p>
    <w:p w14:paraId="264CDD87"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4. Se entrega un documento de suma dificultad el cual, es de referir, se envió al peticionario con numeral UT/MET/2186/2022 y del cual se expresa la falta de utilidad por las siguientes características:</w:t>
      </w:r>
    </w:p>
    <w:p w14:paraId="6DDB520A" w14:textId="77777777" w:rsidR="0033428A" w:rsidRPr="005F3B01" w:rsidRDefault="00E068AF">
      <w:pPr>
        <w:tabs>
          <w:tab w:val="left" w:pos="1134"/>
        </w:tabs>
        <w:spacing w:before="120" w:after="120"/>
        <w:ind w:left="851"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i/>
          <w:sz w:val="22"/>
          <w:szCs w:val="22"/>
        </w:rPr>
        <w:tab/>
        <w:t>Se comparte un link con 621 caracteres con espacio.</w:t>
      </w:r>
    </w:p>
    <w:p w14:paraId="11E74D36" w14:textId="77777777" w:rsidR="0033428A" w:rsidRPr="005F3B01" w:rsidRDefault="00E068AF">
      <w:pPr>
        <w:tabs>
          <w:tab w:val="left" w:pos="1134"/>
        </w:tabs>
        <w:spacing w:before="120" w:after="120"/>
        <w:ind w:left="851"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i/>
          <w:sz w:val="22"/>
          <w:szCs w:val="22"/>
        </w:rPr>
        <w:tab/>
        <w:t>El anterior no puede ser copiado.</w:t>
      </w:r>
    </w:p>
    <w:p w14:paraId="7189C297" w14:textId="77777777" w:rsidR="0033428A" w:rsidRPr="005F3B01" w:rsidRDefault="00E068AF">
      <w:pPr>
        <w:tabs>
          <w:tab w:val="left" w:pos="1134"/>
        </w:tabs>
        <w:spacing w:before="120" w:after="120"/>
        <w:ind w:left="851"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i/>
          <w:sz w:val="22"/>
          <w:szCs w:val="22"/>
        </w:rPr>
        <w:tab/>
        <w:t>El mismo, deber ser ingresado en la barra de dirección, dígito por dígito, asegurarse que es correcto y esperar la carga de información.</w:t>
      </w:r>
    </w:p>
    <w:p w14:paraId="4CFB20FA" w14:textId="77777777" w:rsidR="0033428A" w:rsidRPr="005F3B01" w:rsidRDefault="00E068AF">
      <w:pPr>
        <w:spacing w:before="120" w:after="120"/>
        <w:ind w:left="284" w:right="335"/>
        <w:jc w:val="center"/>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noProof/>
          <w:sz w:val="22"/>
          <w:szCs w:val="22"/>
        </w:rPr>
        <w:drawing>
          <wp:inline distT="0" distB="0" distL="0" distR="0" wp14:anchorId="3960A219" wp14:editId="4B377B16">
            <wp:extent cx="5612130" cy="1196340"/>
            <wp:effectExtent l="0" t="0" r="0" b="0"/>
            <wp:docPr id="90" name="image4.jpg" descr="C:\Users\HMejiaD42\Salud Haram\WORDPRESS\RED VECINAL\SALARIOS\METEPEC\1 - copia.jpg"/>
            <wp:cNvGraphicFramePr/>
            <a:graphic xmlns:a="http://schemas.openxmlformats.org/drawingml/2006/main">
              <a:graphicData uri="http://schemas.openxmlformats.org/drawingml/2006/picture">
                <pic:pic xmlns:pic="http://schemas.openxmlformats.org/drawingml/2006/picture">
                  <pic:nvPicPr>
                    <pic:cNvPr id="0" name="image4.jpg" descr="C:\Users\HMejiaD42\Salud Haram\WORDPRESS\RED VECINAL\SALARIOS\METEPEC\1 - copia.jpg"/>
                    <pic:cNvPicPr preferRelativeResize="0"/>
                  </pic:nvPicPr>
                  <pic:blipFill>
                    <a:blip r:embed="rId9"/>
                    <a:srcRect/>
                    <a:stretch>
                      <a:fillRect/>
                    </a:stretch>
                  </pic:blipFill>
                  <pic:spPr>
                    <a:xfrm>
                      <a:off x="0" y="0"/>
                      <a:ext cx="5612130" cy="1196340"/>
                    </a:xfrm>
                    <a:prstGeom prst="rect">
                      <a:avLst/>
                    </a:prstGeom>
                    <a:ln/>
                  </pic:spPr>
                </pic:pic>
              </a:graphicData>
            </a:graphic>
          </wp:inline>
        </w:drawing>
      </w:r>
    </w:p>
    <w:p w14:paraId="592CF60E"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Es de importancia </w:t>
      </w:r>
      <w:proofErr w:type="gramStart"/>
      <w:r w:rsidRPr="005F3B01">
        <w:rPr>
          <w:rFonts w:ascii="Palatino Linotype" w:eastAsia="Palatino Linotype" w:hAnsi="Palatino Linotype" w:cs="Palatino Linotype"/>
          <w:i/>
          <w:sz w:val="22"/>
          <w:szCs w:val="22"/>
        </w:rPr>
        <w:t>que</w:t>
      </w:r>
      <w:proofErr w:type="gramEnd"/>
      <w:r w:rsidRPr="005F3B01">
        <w:rPr>
          <w:rFonts w:ascii="Palatino Linotype" w:eastAsia="Palatino Linotype" w:hAnsi="Palatino Linotype" w:cs="Palatino Linotype"/>
          <w:i/>
          <w:sz w:val="22"/>
          <w:szCs w:val="22"/>
        </w:rPr>
        <w:t xml:space="preserve"> al señalar estas irregularidades, se contraviene la Ley de transparencia y acceso a la información pública del Estado de México y sus municipios, particularmente la obligación del Sujeto Obligado que dicta en su artículo 92 de que la información a disposición del público debe ser “forma sencilla, precisa y entendible”, lo cual lamentablemente no es el caso, por lo anteriormente expuesto.</w:t>
      </w:r>
    </w:p>
    <w:p w14:paraId="2CE84BC2"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Además de estas características referidas, he de señalar:</w:t>
      </w:r>
    </w:p>
    <w:p w14:paraId="66AF0EB1"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lastRenderedPageBreak/>
        <w:t>5. La liga, que anteriormente no pudo ser copiada e ingresada (salvo por la copia de digito por digito), posteriormente dirige al sitio de la Información Pública de Oficio Mexiquense del Ayuntamiento de Metepec.</w:t>
      </w:r>
    </w:p>
    <w:p w14:paraId="64D38580" w14:textId="77777777" w:rsidR="0033428A" w:rsidRPr="005F3B01" w:rsidRDefault="00E068AF">
      <w:pPr>
        <w:spacing w:before="120" w:after="120"/>
        <w:ind w:left="851"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5.1. Nuevamente, se insiste </w:t>
      </w:r>
      <w:proofErr w:type="gramStart"/>
      <w:r w:rsidRPr="005F3B01">
        <w:rPr>
          <w:rFonts w:ascii="Palatino Linotype" w:eastAsia="Palatino Linotype" w:hAnsi="Palatino Linotype" w:cs="Palatino Linotype"/>
          <w:i/>
          <w:sz w:val="22"/>
          <w:szCs w:val="22"/>
        </w:rPr>
        <w:t>que</w:t>
      </w:r>
      <w:proofErr w:type="gramEnd"/>
      <w:r w:rsidRPr="005F3B01">
        <w:rPr>
          <w:rFonts w:ascii="Palatino Linotype" w:eastAsia="Palatino Linotype" w:hAnsi="Palatino Linotype" w:cs="Palatino Linotype"/>
          <w:i/>
          <w:sz w:val="22"/>
          <w:szCs w:val="22"/>
        </w:rPr>
        <w:t xml:space="preserve"> pese a esta herramienta ofrecida al peticionario, se carece de respuesta.</w:t>
      </w:r>
    </w:p>
    <w:p w14:paraId="21B55A3E" w14:textId="77777777" w:rsidR="0033428A" w:rsidRPr="005F3B01" w:rsidRDefault="00E068AF">
      <w:pPr>
        <w:spacing w:before="120" w:after="120"/>
        <w:ind w:left="284" w:right="335"/>
        <w:jc w:val="center"/>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noProof/>
          <w:sz w:val="22"/>
          <w:szCs w:val="22"/>
        </w:rPr>
        <w:drawing>
          <wp:inline distT="0" distB="0" distL="0" distR="0" wp14:anchorId="2A79EB50" wp14:editId="22451A41">
            <wp:extent cx="5612130" cy="3483540"/>
            <wp:effectExtent l="0" t="0" r="0" b="0"/>
            <wp:docPr id="92" name="image2.jpg" descr="C:\Users\HMejiaD42\Salud Haram\WORDPRESS\RED VECINAL\SALARIOS\METEPEC\PRUEBA LINK.jpg"/>
            <wp:cNvGraphicFramePr/>
            <a:graphic xmlns:a="http://schemas.openxmlformats.org/drawingml/2006/main">
              <a:graphicData uri="http://schemas.openxmlformats.org/drawingml/2006/picture">
                <pic:pic xmlns:pic="http://schemas.openxmlformats.org/drawingml/2006/picture">
                  <pic:nvPicPr>
                    <pic:cNvPr id="0" name="image2.jpg" descr="C:\Users\HMejiaD42\Salud Haram\WORDPRESS\RED VECINAL\SALARIOS\METEPEC\PRUEBA LINK.jpg"/>
                    <pic:cNvPicPr preferRelativeResize="0"/>
                  </pic:nvPicPr>
                  <pic:blipFill>
                    <a:blip r:embed="rId10"/>
                    <a:srcRect/>
                    <a:stretch>
                      <a:fillRect/>
                    </a:stretch>
                  </pic:blipFill>
                  <pic:spPr>
                    <a:xfrm>
                      <a:off x="0" y="0"/>
                      <a:ext cx="5612130" cy="3483540"/>
                    </a:xfrm>
                    <a:prstGeom prst="rect">
                      <a:avLst/>
                    </a:prstGeom>
                    <a:ln/>
                  </pic:spPr>
                </pic:pic>
              </a:graphicData>
            </a:graphic>
          </wp:inline>
        </w:drawing>
      </w:r>
    </w:p>
    <w:p w14:paraId="4553AEBA"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xml:space="preserve">Es imprescindible indicar que existe una afectación al derecho de acceso a la información pública en términos de la Ley de transparencia y acceso a la información pública del Estado de México y sus municipios, pues como se refiere en el artículo 179 de la referida ley: </w:t>
      </w:r>
    </w:p>
    <w:p w14:paraId="3662E3DF"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a) La entrega de información es incompleta.</w:t>
      </w:r>
    </w:p>
    <w:p w14:paraId="0ACCB4BC"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b) La entrega de información no corresponda con lo solicitado.</w:t>
      </w:r>
    </w:p>
    <w:p w14:paraId="6A3E5827" w14:textId="77777777" w:rsidR="0033428A" w:rsidRPr="005F3B01" w:rsidRDefault="00E068AF">
      <w:pPr>
        <w:spacing w:before="120" w:after="120"/>
        <w:ind w:left="567"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c) Existe la falta de respuesta a una solicitud de acceso a la información.</w:t>
      </w:r>
    </w:p>
    <w:p w14:paraId="74C8B16C" w14:textId="77777777" w:rsidR="0033428A" w:rsidRPr="005F3B01" w:rsidRDefault="0033428A">
      <w:pPr>
        <w:spacing w:before="120" w:after="120"/>
        <w:ind w:left="284" w:right="335"/>
        <w:jc w:val="both"/>
        <w:rPr>
          <w:rFonts w:ascii="Palatino Linotype" w:eastAsia="Palatino Linotype" w:hAnsi="Palatino Linotype" w:cs="Palatino Linotype"/>
          <w:i/>
          <w:sz w:val="22"/>
          <w:szCs w:val="22"/>
        </w:rPr>
      </w:pPr>
    </w:p>
    <w:p w14:paraId="524B7398" w14:textId="77777777" w:rsidR="0033428A" w:rsidRPr="005F3B01" w:rsidRDefault="0033428A">
      <w:pPr>
        <w:spacing w:before="120" w:after="120"/>
        <w:ind w:left="284" w:right="335"/>
        <w:jc w:val="both"/>
        <w:rPr>
          <w:rFonts w:ascii="Palatino Linotype" w:eastAsia="Palatino Linotype" w:hAnsi="Palatino Linotype" w:cs="Palatino Linotype"/>
          <w:i/>
          <w:sz w:val="22"/>
          <w:szCs w:val="22"/>
        </w:rPr>
      </w:pPr>
    </w:p>
    <w:p w14:paraId="339E75B2"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br w:type="page"/>
      </w:r>
    </w:p>
    <w:p w14:paraId="61160195"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lastRenderedPageBreak/>
        <w:t xml:space="preserve">Incluso al revisar los tabuladores de sueldos, que conforme al artículo 92, fracción VII de la referida debe contener: </w:t>
      </w:r>
    </w:p>
    <w:p w14:paraId="24479BC1" w14:textId="77777777" w:rsidR="0033428A" w:rsidRPr="005F3B01" w:rsidRDefault="00E068AF">
      <w:pPr>
        <w:spacing w:before="120" w:after="120"/>
        <w:ind w:left="567" w:right="616"/>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A2F00CB"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Lo cual tampoco se ofrece, toda vez que incumple con listado o base de datos de “todos los servidores públicos de base o de confianza” y no señala por nombre siquiera, a los servidores públicos de mayor interés para la población.</w:t>
      </w:r>
    </w:p>
    <w:p w14:paraId="283E691A" w14:textId="77777777" w:rsidR="0033428A" w:rsidRPr="005F3B01" w:rsidRDefault="00E068AF">
      <w:pPr>
        <w:spacing w:before="120" w:after="120"/>
        <w:ind w:left="284" w:right="335"/>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Por lo expuesto, pido amablemente sé de garantía de acceso a la información, conforme a lo antes referido.” (sic)</w:t>
      </w:r>
    </w:p>
    <w:p w14:paraId="7D52DFDC" w14:textId="77777777" w:rsidR="0033428A" w:rsidRPr="005F3B01" w:rsidRDefault="00E068AF">
      <w:pPr>
        <w:spacing w:before="240" w:after="240" w:line="360" w:lineRule="auto"/>
        <w:ind w:right="51"/>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5. Turno. </w:t>
      </w:r>
      <w:r w:rsidRPr="005F3B0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F3B01">
        <w:rPr>
          <w:rFonts w:ascii="Palatino Linotype" w:eastAsia="Palatino Linotype" w:hAnsi="Palatino Linotype" w:cs="Palatino Linotype"/>
          <w:b/>
        </w:rPr>
        <w:t xml:space="preserve">Guadalupe Ramírez Peña, </w:t>
      </w:r>
      <w:r w:rsidRPr="005F3B01">
        <w:rPr>
          <w:rFonts w:ascii="Palatino Linotype" w:eastAsia="Palatino Linotype" w:hAnsi="Palatino Linotype" w:cs="Palatino Linotype"/>
        </w:rPr>
        <w:t xml:space="preserve">a efecto de que analizara sobre su admisión o su </w:t>
      </w:r>
      <w:proofErr w:type="spellStart"/>
      <w:r w:rsidRPr="005F3B01">
        <w:rPr>
          <w:rFonts w:ascii="Palatino Linotype" w:eastAsia="Palatino Linotype" w:hAnsi="Palatino Linotype" w:cs="Palatino Linotype"/>
        </w:rPr>
        <w:t>desechamiento</w:t>
      </w:r>
      <w:proofErr w:type="spellEnd"/>
      <w:r w:rsidRPr="005F3B01">
        <w:rPr>
          <w:rFonts w:ascii="Palatino Linotype" w:eastAsia="Palatino Linotype" w:hAnsi="Palatino Linotype" w:cs="Palatino Linotype"/>
        </w:rPr>
        <w:t>.</w:t>
      </w:r>
    </w:p>
    <w:p w14:paraId="6F62FDD2"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6. Admisión del Recurso de revisión.</w:t>
      </w:r>
      <w:r w:rsidRPr="005F3B01">
        <w:rPr>
          <w:rFonts w:ascii="Palatino Linotype" w:eastAsia="Palatino Linotype" w:hAnsi="Palatino Linotype" w:cs="Palatino Linotype"/>
        </w:rPr>
        <w:t xml:space="preserve"> Con fecha </w:t>
      </w:r>
      <w:r w:rsidRPr="005F3B01">
        <w:rPr>
          <w:rFonts w:ascii="Palatino Linotype" w:eastAsia="Palatino Linotype" w:hAnsi="Palatino Linotype" w:cs="Palatino Linotype"/>
          <w:b/>
        </w:rPr>
        <w:t xml:space="preserve">cuatro de julio de dos mil veintidós, </w:t>
      </w:r>
      <w:r w:rsidRPr="005F3B0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presentara su informe justificado.</w:t>
      </w:r>
    </w:p>
    <w:p w14:paraId="43B047B7" w14:textId="77777777" w:rsidR="0033428A" w:rsidRPr="005F3B01" w:rsidRDefault="00E068AF">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5F3B01">
        <w:rPr>
          <w:rFonts w:ascii="Palatino Linotype" w:eastAsia="Palatino Linotype" w:hAnsi="Palatino Linotype" w:cs="Palatino Linotype"/>
          <w:b/>
        </w:rPr>
        <w:t>7. Manifestaciones</w:t>
      </w:r>
      <w:r w:rsidRPr="005F3B01">
        <w:rPr>
          <w:rFonts w:ascii="Palatino Linotype" w:eastAsia="Palatino Linotype" w:hAnsi="Palatino Linotype" w:cs="Palatino Linotype"/>
        </w:rPr>
        <w:t xml:space="preserve">. De las constancias que obran en el expediente electrónico del SAIMEX se desprende que en fecha </w:t>
      </w:r>
      <w:r w:rsidRPr="005F3B01">
        <w:rPr>
          <w:rFonts w:ascii="Palatino Linotype" w:eastAsia="Palatino Linotype" w:hAnsi="Palatino Linotype" w:cs="Palatino Linotype"/>
          <w:b/>
        </w:rPr>
        <w:t xml:space="preserve">veintiséis de julio de dos mil veintidós </w:t>
      </w:r>
      <w:r w:rsidRPr="005F3B01">
        <w:rPr>
          <w:rFonts w:ascii="Palatino Linotype" w:eastAsia="Palatino Linotype" w:hAnsi="Palatino Linotype" w:cs="Palatino Linotype"/>
        </w:rPr>
        <w:t>la persona solicitante remitió nuevamente el archivo “</w:t>
      </w:r>
      <w:r w:rsidRPr="005F3B01">
        <w:rPr>
          <w:rFonts w:ascii="Palatino Linotype" w:eastAsia="Palatino Linotype" w:hAnsi="Palatino Linotype" w:cs="Palatino Linotype"/>
          <w:i/>
        </w:rPr>
        <w:t>Recurso.docx</w:t>
      </w:r>
      <w:r w:rsidRPr="005F3B01">
        <w:rPr>
          <w:rFonts w:ascii="Palatino Linotype" w:eastAsia="Palatino Linotype" w:hAnsi="Palatino Linotype" w:cs="Palatino Linotype"/>
        </w:rPr>
        <w:t xml:space="preserve">”, cuyo contenido </w:t>
      </w:r>
      <w:r w:rsidRPr="005F3B01">
        <w:rPr>
          <w:rFonts w:ascii="Palatino Linotype" w:eastAsia="Palatino Linotype" w:hAnsi="Palatino Linotype" w:cs="Palatino Linotype"/>
        </w:rPr>
        <w:lastRenderedPageBreak/>
        <w:t xml:space="preserve">fue referido en el antecedente 4 de la presente resolución, mientras que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no rindió su informe justificado, como se observa a continuación:</w:t>
      </w:r>
    </w:p>
    <w:p w14:paraId="5CBC1D02"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noProof/>
        </w:rPr>
        <w:drawing>
          <wp:inline distT="0" distB="0" distL="0" distR="0" wp14:anchorId="500D004F" wp14:editId="1DD1C898">
            <wp:extent cx="5610225" cy="1581150"/>
            <wp:effectExtent l="0" t="0" r="0" b="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0225" cy="1581150"/>
                    </a:xfrm>
                    <a:prstGeom prst="rect">
                      <a:avLst/>
                    </a:prstGeom>
                    <a:ln/>
                  </pic:spPr>
                </pic:pic>
              </a:graphicData>
            </a:graphic>
          </wp:inline>
        </w:drawing>
      </w:r>
    </w:p>
    <w:p w14:paraId="37B1B449" w14:textId="77777777" w:rsidR="0033428A" w:rsidRPr="005F3B01" w:rsidRDefault="00E068AF">
      <w:pPr>
        <w:spacing w:after="240" w:line="360" w:lineRule="auto"/>
        <w:jc w:val="both"/>
        <w:rPr>
          <w:rFonts w:ascii="Palatino Linotype" w:eastAsia="Palatino Linotype" w:hAnsi="Palatino Linotype" w:cs="Palatino Linotype"/>
          <w:b/>
        </w:rPr>
      </w:pPr>
      <w:r w:rsidRPr="005F3B01">
        <w:rPr>
          <w:rFonts w:ascii="Palatino Linotype" w:eastAsia="Palatino Linotype" w:hAnsi="Palatino Linotype" w:cs="Palatino Linotype"/>
          <w:b/>
        </w:rPr>
        <w:t xml:space="preserve">8. Cierre de instrucción. </w:t>
      </w:r>
      <w:r w:rsidRPr="005F3B0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F3B01">
        <w:rPr>
          <w:rFonts w:ascii="Palatino Linotype" w:eastAsia="Palatino Linotype" w:hAnsi="Palatino Linotype" w:cs="Palatino Linotype"/>
          <w:b/>
        </w:rPr>
        <w:t>dos de agosto de dos mil veintidós</w:t>
      </w:r>
      <w:r w:rsidRPr="005F3B0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75E3733" w14:textId="77777777" w:rsidR="0033428A" w:rsidRPr="005F3B01" w:rsidRDefault="00E068AF">
      <w:pPr>
        <w:spacing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9. Ampliación del término para resolver</w:t>
      </w:r>
      <w:r w:rsidRPr="005F3B01">
        <w:rPr>
          <w:rFonts w:ascii="Palatino Linotype" w:eastAsia="Palatino Linotype" w:hAnsi="Palatino Linotype" w:cs="Palatino Linotype"/>
        </w:rPr>
        <w:t xml:space="preserve">. En fecha </w:t>
      </w:r>
      <w:r w:rsidRPr="005F3B01">
        <w:rPr>
          <w:rFonts w:ascii="Palatino Linotype" w:eastAsia="Palatino Linotype" w:hAnsi="Palatino Linotype" w:cs="Palatino Linotype"/>
          <w:b/>
        </w:rPr>
        <w:t>cinco de octubre de dos mil veintidós</w:t>
      </w:r>
      <w:r w:rsidRPr="005F3B0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47881D6"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5F3B01">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0E19AE36"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3CFB5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82715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434724" w14:textId="77777777" w:rsidR="0033428A" w:rsidRPr="005F3B01" w:rsidRDefault="00E068AF">
      <w:pPr>
        <w:spacing w:before="240" w:after="240" w:line="360" w:lineRule="auto"/>
        <w:jc w:val="both"/>
        <w:rPr>
          <w:rFonts w:ascii="Palatino Linotype" w:eastAsia="Palatino Linotype" w:hAnsi="Palatino Linotype" w:cs="Palatino Linotype"/>
          <w:strike/>
        </w:rPr>
      </w:pPr>
      <w:r w:rsidRPr="005F3B0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0CE175" w14:textId="77777777" w:rsidR="0033428A" w:rsidRPr="005F3B01" w:rsidRDefault="00E068AF">
      <w:pPr>
        <w:numPr>
          <w:ilvl w:val="0"/>
          <w:numId w:val="1"/>
        </w:num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83213E0" w14:textId="77777777" w:rsidR="0033428A" w:rsidRPr="005F3B01" w:rsidRDefault="00E068AF">
      <w:pPr>
        <w:numPr>
          <w:ilvl w:val="0"/>
          <w:numId w:val="1"/>
        </w:num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Actividad Procesal del interesado. Acciones u omisiones del interesado.</w:t>
      </w:r>
    </w:p>
    <w:p w14:paraId="3431786E" w14:textId="77777777" w:rsidR="0033428A" w:rsidRPr="005F3B01" w:rsidRDefault="00E068AF">
      <w:pPr>
        <w:numPr>
          <w:ilvl w:val="0"/>
          <w:numId w:val="1"/>
        </w:num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Conducta de la Autoridad: Las Acciones u omisiones realizadas en el procedimiento. Así como si la autoridad actuó con la debida diligencia.</w:t>
      </w:r>
    </w:p>
    <w:p w14:paraId="68E5D7C5" w14:textId="77777777" w:rsidR="0033428A" w:rsidRPr="005F3B01" w:rsidRDefault="00E068AF">
      <w:pPr>
        <w:spacing w:before="240" w:after="240" w:line="360" w:lineRule="auto"/>
        <w:ind w:left="567"/>
        <w:jc w:val="both"/>
        <w:rPr>
          <w:rFonts w:ascii="Palatino Linotype" w:eastAsia="Palatino Linotype" w:hAnsi="Palatino Linotype" w:cs="Palatino Linotype"/>
        </w:rPr>
      </w:pPr>
      <w:r w:rsidRPr="005F3B01">
        <w:rPr>
          <w:rFonts w:ascii="Palatino Linotype" w:eastAsia="Palatino Linotype" w:hAnsi="Palatino Linotype" w:cs="Palatino Linotype"/>
        </w:rPr>
        <w:t>d) La afectación generada en la situación jurídica de la persona involucrada en el proceso: Violación a sus derechos humanos.</w:t>
      </w:r>
    </w:p>
    <w:p w14:paraId="5493892A"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01FFFA" w14:textId="77777777" w:rsidR="0033428A" w:rsidRPr="005F3B01" w:rsidRDefault="00E068AF">
      <w:pPr>
        <w:spacing w:before="240" w:after="240" w:line="360" w:lineRule="auto"/>
        <w:jc w:val="both"/>
        <w:rPr>
          <w:rFonts w:ascii="Palatino Linotype" w:eastAsia="Palatino Linotype" w:hAnsi="Palatino Linotype" w:cs="Palatino Linotype"/>
          <w:b/>
        </w:rPr>
      </w:pPr>
      <w:r w:rsidRPr="005F3B0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F3B0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F3B01">
        <w:rPr>
          <w:rFonts w:ascii="Palatino Linotype" w:eastAsia="Palatino Linotype" w:hAnsi="Palatino Linotype" w:cs="Palatino Linotype"/>
        </w:rPr>
        <w:t>, visible en la Gaceta del Seminario Judicial de la Federación con el registro digital 205635.</w:t>
      </w:r>
    </w:p>
    <w:p w14:paraId="56C5ECFD"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5F3B01">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219795"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DC0D14B" w14:textId="77777777" w:rsidR="0033428A" w:rsidRPr="005F3B01" w:rsidRDefault="00E068AF">
      <w:pPr>
        <w:spacing w:before="240" w:after="240"/>
        <w:ind w:left="851" w:right="902"/>
        <w:jc w:val="both"/>
        <w:rPr>
          <w:rFonts w:ascii="Palatino Linotype" w:eastAsia="Palatino Linotype" w:hAnsi="Palatino Linotype" w:cs="Palatino Linotype"/>
          <w:sz w:val="22"/>
          <w:szCs w:val="22"/>
        </w:rPr>
      </w:pPr>
      <w:r w:rsidRPr="005F3B01">
        <w:rPr>
          <w:rFonts w:ascii="Palatino Linotype" w:eastAsia="Palatino Linotype" w:hAnsi="Palatino Linotype" w:cs="Palatino Linotype"/>
        </w:rPr>
        <w:t xml:space="preserve"> </w:t>
      </w: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PLAZO RAZONABLE PARA RESOLVER. DIMENSIÓN Y EFECTOS DE ESTE CONCEPTO CUANDO SE ADUCE EXCESIVA CARGA DE TRABAJO</w:t>
      </w: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sz w:val="22"/>
          <w:szCs w:val="22"/>
        </w:rPr>
        <w:t xml:space="preserve"> consultable en el Seminario Judicial de la Federación y su gaceta, con el registro digital 2002351.</w:t>
      </w:r>
    </w:p>
    <w:p w14:paraId="492A23DB" w14:textId="77777777" w:rsidR="0033428A" w:rsidRPr="005F3B01" w:rsidRDefault="00E068AF">
      <w:pPr>
        <w:spacing w:before="240" w:after="240"/>
        <w:ind w:left="851" w:right="902"/>
        <w:jc w:val="both"/>
        <w:rPr>
          <w:rFonts w:ascii="Palatino Linotype" w:eastAsia="Palatino Linotype" w:hAnsi="Palatino Linotype" w:cs="Palatino Linotype"/>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sz w:val="22"/>
          <w:szCs w:val="22"/>
        </w:rPr>
        <w:t>, visible en el Seminario Judicial de la Federación y su gaceta, con el registro digital 2002350.</w:t>
      </w:r>
    </w:p>
    <w:p w14:paraId="70AE71D5"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F51DA15"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2285270" w14:textId="77777777" w:rsidR="0033428A" w:rsidRPr="005F3B01" w:rsidRDefault="0033428A">
      <w:pPr>
        <w:spacing w:before="240" w:after="240" w:line="360" w:lineRule="auto"/>
        <w:jc w:val="both"/>
        <w:rPr>
          <w:rFonts w:ascii="Palatino Linotype" w:eastAsia="Palatino Linotype" w:hAnsi="Palatino Linotype" w:cs="Palatino Linotype"/>
        </w:rPr>
      </w:pPr>
    </w:p>
    <w:p w14:paraId="4FEF6170" w14:textId="77777777" w:rsidR="0033428A" w:rsidRPr="005F3B01" w:rsidRDefault="00E068AF">
      <w:pPr>
        <w:widowControl w:val="0"/>
        <w:spacing w:before="240" w:after="240" w:line="360" w:lineRule="auto"/>
        <w:jc w:val="center"/>
        <w:rPr>
          <w:rFonts w:ascii="Palatino Linotype" w:eastAsia="Palatino Linotype" w:hAnsi="Palatino Linotype" w:cs="Palatino Linotype"/>
          <w:b/>
        </w:rPr>
      </w:pPr>
      <w:r w:rsidRPr="005F3B01">
        <w:rPr>
          <w:rFonts w:ascii="Palatino Linotype" w:eastAsia="Palatino Linotype" w:hAnsi="Palatino Linotype" w:cs="Palatino Linotype"/>
          <w:b/>
        </w:rPr>
        <w:lastRenderedPageBreak/>
        <w:t>II. C O N S I D E R A N D O S</w:t>
      </w:r>
    </w:p>
    <w:p w14:paraId="2D79DBDB"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Primero. Competencia.</w:t>
      </w:r>
      <w:r w:rsidRPr="005F3B0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6F4360D" w14:textId="77777777" w:rsidR="0033428A" w:rsidRPr="005F3B01" w:rsidRDefault="00E068AF">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F3B01">
        <w:rPr>
          <w:rFonts w:ascii="Palatino Linotype" w:eastAsia="Palatino Linotype" w:hAnsi="Palatino Linotype" w:cs="Palatino Linotype"/>
          <w:b/>
        </w:rPr>
        <w:t>Segundo. Oportunidad y Procedibilidad del Recurso de Revisión</w:t>
      </w:r>
      <w:r w:rsidRPr="005F3B0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CA743A"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 xml:space="preserve">remitió la respuesta a la solicitud de información el día </w:t>
      </w:r>
      <w:r w:rsidRPr="005F3B01">
        <w:rPr>
          <w:rFonts w:ascii="Palatino Linotype" w:eastAsia="Palatino Linotype" w:hAnsi="Palatino Linotype" w:cs="Palatino Linotype"/>
          <w:b/>
        </w:rPr>
        <w:t xml:space="preserve">veintiocho de junio de dos mil veintidós, </w:t>
      </w:r>
      <w:r w:rsidRPr="005F3B01">
        <w:rPr>
          <w:rFonts w:ascii="Palatino Linotype" w:eastAsia="Palatino Linotype" w:hAnsi="Palatino Linotype" w:cs="Palatino Linotype"/>
        </w:rPr>
        <w:t xml:space="preserve">mientras que el recurso de revisión interpuesto por 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w:t>
      </w:r>
      <w:r w:rsidRPr="005F3B01">
        <w:rPr>
          <w:rFonts w:ascii="Palatino Linotype" w:eastAsia="Palatino Linotype" w:hAnsi="Palatino Linotype" w:cs="Palatino Linotype"/>
        </w:rPr>
        <w:lastRenderedPageBreak/>
        <w:t xml:space="preserve">se tuvo por presentado el día </w:t>
      </w:r>
      <w:r w:rsidRPr="005F3B01">
        <w:rPr>
          <w:rFonts w:ascii="Palatino Linotype" w:eastAsia="Palatino Linotype" w:hAnsi="Palatino Linotype" w:cs="Palatino Linotype"/>
          <w:b/>
        </w:rPr>
        <w:t>veintinueve de junio dos mil veintidós</w:t>
      </w:r>
      <w:r w:rsidRPr="005F3B01">
        <w:rPr>
          <w:rFonts w:ascii="Palatino Linotype" w:eastAsia="Palatino Linotype" w:hAnsi="Palatino Linotype" w:cs="Palatino Linotype"/>
        </w:rPr>
        <w:t>, esto es, al siguiente día hábil posterior en que tuvo conocimiento de la respuesta impugnada.</w:t>
      </w:r>
    </w:p>
    <w:p w14:paraId="5ED9B74D" w14:textId="77777777" w:rsidR="0033428A" w:rsidRPr="005F3B01" w:rsidRDefault="00E068AF">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5F3B01">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59E3D5"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Finalmente, se advierte que resulta procedente la interposición del recurso, según lo manifestado por 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en sus motivos de inconformidad, de acuerdo al artículo 179, fracciones V y VI del ordenamiento legal citado, que a la letra dice: </w:t>
      </w:r>
    </w:p>
    <w:p w14:paraId="50863A92"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Artículo 179.</w:t>
      </w:r>
      <w:r w:rsidRPr="005F3B0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881C4DC" w14:textId="77777777" w:rsidR="0033428A" w:rsidRPr="005F3B01" w:rsidRDefault="00E068AF">
      <w:pPr>
        <w:spacing w:before="120" w:after="120"/>
        <w:ind w:left="1134"/>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t>...</w:t>
      </w:r>
    </w:p>
    <w:p w14:paraId="356A1340" w14:textId="77777777" w:rsidR="0033428A" w:rsidRPr="005F3B01" w:rsidRDefault="00E068AF">
      <w:pPr>
        <w:spacing w:before="120" w:after="120"/>
        <w:ind w:left="1134"/>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t xml:space="preserve">V. </w:t>
      </w:r>
      <w:r w:rsidRPr="005F3B01">
        <w:rPr>
          <w:rFonts w:ascii="Palatino Linotype" w:eastAsia="Palatino Linotype" w:hAnsi="Palatino Linotype" w:cs="Palatino Linotype"/>
          <w:i/>
          <w:sz w:val="22"/>
          <w:szCs w:val="22"/>
        </w:rPr>
        <w:t>La entrega de información incompleta</w:t>
      </w:r>
      <w:r w:rsidRPr="005F3B01">
        <w:rPr>
          <w:rFonts w:ascii="Palatino Linotype" w:eastAsia="Palatino Linotype" w:hAnsi="Palatino Linotype" w:cs="Palatino Linotype"/>
          <w:b/>
          <w:i/>
          <w:sz w:val="22"/>
          <w:szCs w:val="22"/>
        </w:rPr>
        <w:t>;</w:t>
      </w:r>
    </w:p>
    <w:p w14:paraId="4171443C" w14:textId="77777777" w:rsidR="0033428A" w:rsidRPr="005F3B01" w:rsidRDefault="00E068AF">
      <w:pPr>
        <w:spacing w:before="120" w:after="120"/>
        <w:ind w:left="1134"/>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t>VI.</w:t>
      </w:r>
      <w:r w:rsidRPr="005F3B01">
        <w:rPr>
          <w:rFonts w:ascii="Palatino Linotype" w:eastAsia="Palatino Linotype" w:hAnsi="Palatino Linotype" w:cs="Palatino Linotype"/>
          <w:i/>
          <w:sz w:val="22"/>
          <w:szCs w:val="22"/>
        </w:rPr>
        <w:t xml:space="preserve"> La entrega de información que no corresponda con lo solicitado</w:t>
      </w:r>
      <w:r w:rsidRPr="005F3B01">
        <w:rPr>
          <w:sz w:val="22"/>
          <w:szCs w:val="22"/>
        </w:rPr>
        <w:t>;</w:t>
      </w:r>
      <w:r w:rsidRPr="005F3B01">
        <w:rPr>
          <w:rFonts w:ascii="Palatino Linotype" w:eastAsia="Palatino Linotype" w:hAnsi="Palatino Linotype" w:cs="Palatino Linotype"/>
          <w:b/>
          <w:i/>
          <w:sz w:val="22"/>
          <w:szCs w:val="22"/>
        </w:rPr>
        <w:t>”</w:t>
      </w:r>
    </w:p>
    <w:p w14:paraId="31537E4D"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Tercero. Materia de la revisión. </w:t>
      </w:r>
      <w:r w:rsidRPr="005F3B0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F3B0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F3B01">
        <w:rPr>
          <w:rFonts w:ascii="Palatino Linotype" w:eastAsia="Palatino Linotype" w:hAnsi="Palatino Linotype" w:cs="Palatino Linotype"/>
        </w:rPr>
        <w:t xml:space="preserve">de 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o en su defecto, en caso de ser procedente, ordenar la entrega de información oportuna.</w:t>
      </w:r>
    </w:p>
    <w:p w14:paraId="6B2114E8" w14:textId="77777777" w:rsidR="0033428A" w:rsidRPr="005F3B01" w:rsidRDefault="00E068AF">
      <w:pPr>
        <w:spacing w:before="240" w:after="240" w:line="360" w:lineRule="auto"/>
        <w:ind w:right="51"/>
        <w:jc w:val="both"/>
      </w:pPr>
      <w:bookmarkStart w:id="6" w:name="_heading=h.2et92p0" w:colFirst="0" w:colLast="0"/>
      <w:bookmarkEnd w:id="6"/>
      <w:r w:rsidRPr="005F3B01">
        <w:rPr>
          <w:rFonts w:ascii="Palatino Linotype" w:eastAsia="Palatino Linotype" w:hAnsi="Palatino Linotype" w:cs="Palatino Linotype"/>
          <w:b/>
        </w:rPr>
        <w:lastRenderedPageBreak/>
        <w:t xml:space="preserve">Cuarto. Estudio del asunto. </w:t>
      </w:r>
      <w:r w:rsidRPr="005F3B01">
        <w:rPr>
          <w:rFonts w:ascii="Palatino Linotype" w:eastAsia="Palatino Linotype" w:hAnsi="Palatino Linotype" w:cs="Palatino Linotype"/>
        </w:rPr>
        <w:t xml:space="preserve">Del análisis de la solicitud de información, motivo del recurso de revisión que ahora se resuelve se advierte que la parte </w:t>
      </w:r>
      <w:r w:rsidRPr="005F3B01">
        <w:rPr>
          <w:rFonts w:ascii="Palatino Linotype" w:eastAsia="Palatino Linotype" w:hAnsi="Palatino Linotype" w:cs="Palatino Linotype"/>
          <w:b/>
        </w:rPr>
        <w:t>Recurrente</w:t>
      </w:r>
      <w:r w:rsidRPr="005F3B01">
        <w:rPr>
          <w:rFonts w:ascii="Palatino Linotype" w:eastAsia="Palatino Linotype" w:hAnsi="Palatino Linotype" w:cs="Palatino Linotype"/>
        </w:rPr>
        <w:t xml:space="preserve"> requirió al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le proporcione, información consistente en lo siguiente</w:t>
      </w:r>
      <w:r w:rsidRPr="005F3B01">
        <w:t>:</w:t>
      </w:r>
    </w:p>
    <w:p w14:paraId="6F2BE650" w14:textId="77777777" w:rsidR="0033428A" w:rsidRPr="005F3B01" w:rsidRDefault="00E068AF">
      <w:pPr>
        <w:tabs>
          <w:tab w:val="left" w:pos="709"/>
        </w:tabs>
        <w:spacing w:line="360" w:lineRule="auto"/>
        <w:ind w:left="284"/>
        <w:jc w:val="both"/>
        <w:rPr>
          <w:rFonts w:ascii="Palatino Linotype" w:eastAsia="Palatino Linotype" w:hAnsi="Palatino Linotype" w:cs="Palatino Linotype"/>
        </w:rPr>
      </w:pPr>
      <w:bookmarkStart w:id="7" w:name="_heading=h.26in1rg" w:colFirst="0" w:colLast="0"/>
      <w:bookmarkEnd w:id="7"/>
      <w:r w:rsidRPr="005F3B01">
        <w:rPr>
          <w:rFonts w:ascii="Palatino Linotype" w:eastAsia="Palatino Linotype" w:hAnsi="Palatino Linotype" w:cs="Palatino Linotype"/>
        </w:rPr>
        <w:t xml:space="preserve">1. Salarios quincenales del </w:t>
      </w:r>
      <w:proofErr w:type="gramStart"/>
      <w:r w:rsidRPr="005F3B01">
        <w:rPr>
          <w:rFonts w:ascii="Palatino Linotype" w:eastAsia="Palatino Linotype" w:hAnsi="Palatino Linotype" w:cs="Palatino Linotype"/>
        </w:rPr>
        <w:t>Presidente</w:t>
      </w:r>
      <w:proofErr w:type="gramEnd"/>
      <w:r w:rsidRPr="005F3B01">
        <w:rPr>
          <w:rFonts w:ascii="Palatino Linotype" w:eastAsia="Palatino Linotype" w:hAnsi="Palatino Linotype" w:cs="Palatino Linotype"/>
        </w:rPr>
        <w:t xml:space="preserve"> Municipal, Regidoras, Regidores, Titular de la Sindicatura Municipal y Titular de la Secretaría del Ayuntamiento de Metepec, de la actual administración municipal 2022-2024, en versión pública.</w:t>
      </w:r>
    </w:p>
    <w:p w14:paraId="022F89C5"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En respuesta, la Unidad de Transparencia hizo del conocimiento de la persona solicitante que la información requerida, al tratarse de una obligación de transparencia común, se encontraba disponible en página web de la Información Pública de Oficio Mexiquense, IPOMEX, proporcionando el link a efecto de realizar la consulta, asimismo, señaló que se debía ingresar al directorio de municipios y buscar el Ayuntamiento de Metepec, a efecto de poder realizar la consulta de la información solicitada.</w:t>
      </w:r>
    </w:p>
    <w:p w14:paraId="74C5040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señaló como motivo de inconformidad la falta de respuesta concreta, incompleta y que no corresponde con lo solicitado, toda vez que se solicitó el salario quincenal del Presidente Municipal, Regidoras, Regidores, Titular de la Sindicatura Municipal y Titular de la Secretaría del Ayuntamiento, en versión pública y no fue entregada dicha información, ya que en su lugar se proporcionó un link que al no poder ser copiado, dificulta el acceso al sitio de internet que se indicó para consultar la información, debiendo ingresar en el navegador cada uno de los 621 caracteres de los que consta la dirección electrónica, misma que dirige al sitio de la Información </w:t>
      </w:r>
      <w:r w:rsidRPr="005F3B01">
        <w:rPr>
          <w:rFonts w:ascii="Palatino Linotype" w:eastAsia="Palatino Linotype" w:hAnsi="Palatino Linotype" w:cs="Palatino Linotype"/>
        </w:rPr>
        <w:lastRenderedPageBreak/>
        <w:t>Pública de Oficio Mexiquense del Ayuntamiento de Metepec, como lo acredita con la captura de pantalla inserta en su escrito adjunto al Recurso de Revisión, y respecto de la información publicada en cumplimiento a la obligación de trasparencia prevista en la fracción VIII del artículo 92 de la Ley de Transparencia Local, manifestó que incumple con el listado o base de datos de “todos los servidores públicos de base o de confianza” pues no señala el nombre de los servidores públicos de mayor interés para la población.</w:t>
      </w:r>
    </w:p>
    <w:p w14:paraId="4538B353"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Derivado de los argumentos señalados, la parte </w:t>
      </w:r>
      <w:r w:rsidRPr="005F3B01">
        <w:rPr>
          <w:rFonts w:ascii="Palatino Linotype" w:eastAsia="Palatino Linotype" w:hAnsi="Palatino Linotype" w:cs="Palatino Linotype"/>
          <w:b/>
        </w:rPr>
        <w:t xml:space="preserve">Recurrente </w:t>
      </w:r>
      <w:proofErr w:type="gramStart"/>
      <w:r w:rsidRPr="005F3B01">
        <w:rPr>
          <w:rFonts w:ascii="Palatino Linotype" w:eastAsia="Palatino Linotype" w:hAnsi="Palatino Linotype" w:cs="Palatino Linotype"/>
        </w:rPr>
        <w:t>refirió  que</w:t>
      </w:r>
      <w:proofErr w:type="gramEnd"/>
      <w:r w:rsidRPr="005F3B01">
        <w:rPr>
          <w:rFonts w:ascii="Palatino Linotype" w:eastAsia="Palatino Linotype" w:hAnsi="Palatino Linotype" w:cs="Palatino Linotype"/>
        </w:rPr>
        <w:t xml:space="preserve"> la respuesta proporcionada contraviene lo establecido en el artículo 92 de Ley de Transparencia y Acceso a la Información Pública del Estado de México y Municipios, mismo que dispone que la información a disposición del público debe ser “forma sencilla, precisa y entendible”, situación que en el presente caso no acontece.</w:t>
      </w:r>
    </w:p>
    <w:p w14:paraId="2B4450D8"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Admitido el presente recurso de revisión, en términos del artículo 185 fracción II</w:t>
      </w:r>
      <w:r w:rsidRPr="005F3B01">
        <w:rPr>
          <w:rFonts w:ascii="Palatino Linotype" w:eastAsia="Palatino Linotype" w:hAnsi="Palatino Linotype" w:cs="Palatino Linotype"/>
          <w:vertAlign w:val="superscript"/>
        </w:rPr>
        <w:footnoteReference w:id="1"/>
      </w:r>
      <w:r w:rsidRPr="005F3B0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omiso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en ejercer dicha prerrogativa, como se señaló anteriormente.</w:t>
      </w:r>
    </w:p>
    <w:p w14:paraId="76DE3233"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esta tesitura, de las constancias que integran el expediente electrónico  relacionado con el recurso de revisión materia de estudio, se colige que el Sujeto Obligado no niega la competencia para conocer de la información solicitada, sino </w:t>
      </w:r>
      <w:r w:rsidRPr="005F3B01">
        <w:rPr>
          <w:rFonts w:ascii="Palatino Linotype" w:eastAsia="Palatino Linotype" w:hAnsi="Palatino Linotype" w:cs="Palatino Linotype"/>
        </w:rPr>
        <w:lastRenderedPageBreak/>
        <w:t>por el contrario, con la respuesta pronunciada asevera que es competente para conocer de la solicitud de información</w:t>
      </w:r>
      <w:r w:rsidRPr="005F3B01">
        <w:rPr>
          <w:rFonts w:ascii="Palatino Linotype" w:eastAsia="Palatino Linotype" w:hAnsi="Palatino Linotype" w:cs="Palatino Linotype"/>
          <w:i/>
          <w:sz w:val="20"/>
          <w:szCs w:val="20"/>
        </w:rPr>
        <w:t xml:space="preserve">, </w:t>
      </w:r>
      <w:r w:rsidRPr="005F3B01">
        <w:rPr>
          <w:rFonts w:ascii="Palatino Linotype" w:eastAsia="Palatino Linotype" w:hAnsi="Palatino Linotype" w:cs="Palatino Linotype"/>
        </w:rPr>
        <w:t xml:space="preserve">lo anterior es así, ya que el estudio enunciado tiene por objeto determinar si </w:t>
      </w:r>
      <w:r w:rsidRPr="005F3B01">
        <w:t>los</w:t>
      </w:r>
      <w:r w:rsidRPr="005F3B01">
        <w:rPr>
          <w:rFonts w:ascii="Palatino Linotype" w:eastAsia="Palatino Linotype" w:hAnsi="Palatino Linotype" w:cs="Palatino Linotype"/>
        </w:rPr>
        <w:t xml:space="preserve"> Sujeto</w:t>
      </w:r>
      <w:r w:rsidRPr="005F3B01">
        <w:t>s</w:t>
      </w:r>
      <w:r w:rsidRPr="005F3B01">
        <w:rPr>
          <w:rFonts w:ascii="Palatino Linotype" w:eastAsia="Palatino Linotype" w:hAnsi="Palatino Linotype" w:cs="Palatino Linotype"/>
        </w:rPr>
        <w:t xml:space="preserve"> Obligado</w:t>
      </w:r>
      <w:r w:rsidRPr="005F3B01">
        <w:t>s</w:t>
      </w:r>
      <w:r w:rsidRPr="005F3B01">
        <w:rPr>
          <w:rFonts w:ascii="Palatino Linotype" w:eastAsia="Palatino Linotype" w:hAnsi="Palatino Linotype" w:cs="Palatino Linotype"/>
        </w:rPr>
        <w:t xml:space="preserve"> generan, poseen o administran  la información solicitada, sin embargo, en aquellos casos en que </w:t>
      </w:r>
      <w:r w:rsidRPr="005F3B01">
        <w:t>e</w:t>
      </w:r>
      <w:r w:rsidRPr="005F3B01">
        <w:rPr>
          <w:rFonts w:ascii="Palatino Linotype" w:eastAsia="Palatino Linotype" w:hAnsi="Palatino Linotype" w:cs="Palatino Linotype"/>
        </w:rPr>
        <w:t>st</w:t>
      </w:r>
      <w:r w:rsidRPr="005F3B01">
        <w:t xml:space="preserve">os </w:t>
      </w:r>
      <w:r w:rsidRPr="005F3B01">
        <w:rPr>
          <w:rFonts w:ascii="Palatino Linotype" w:eastAsia="Palatino Linotype" w:hAnsi="Palatino Linotype" w:cs="Palatino Linotype"/>
        </w:rPr>
        <w:t>ha</w:t>
      </w:r>
      <w:r w:rsidRPr="005F3B01">
        <w:t>n</w:t>
      </w:r>
      <w:r w:rsidRPr="005F3B01">
        <w:rPr>
          <w:rFonts w:ascii="Palatino Linotype" w:eastAsia="Palatino Linotype" w:hAnsi="Palatino Linotype" w:cs="Palatino Linotype"/>
        </w:rPr>
        <w:t xml:space="preserve"> asumido </w:t>
      </w:r>
      <w:r w:rsidRPr="005F3B01">
        <w:rPr>
          <w:rFonts w:ascii="Palatino Linotype" w:eastAsia="Palatino Linotype" w:hAnsi="Palatino Linotype" w:cs="Palatino Linotype"/>
          <w:b/>
        </w:rPr>
        <w:t>la competencia</w:t>
      </w:r>
      <w:r w:rsidRPr="005F3B01">
        <w:rPr>
          <w:rFonts w:ascii="Palatino Linotype" w:eastAsia="Palatino Linotype" w:hAnsi="Palatino Linotype" w:cs="Palatino Linotype"/>
        </w:rPr>
        <w:t xml:space="preserve">, sería ocioso y a nada práctico nos conduciría su estudio, ya que, se insiste, el ente obligado </w:t>
      </w:r>
      <w:r w:rsidRPr="005F3B01">
        <w:rPr>
          <w:rFonts w:ascii="Palatino Linotype" w:eastAsia="Palatino Linotype" w:hAnsi="Palatino Linotype" w:cs="Palatino Linotype"/>
          <w:b/>
          <w:u w:val="single"/>
        </w:rPr>
        <w:t>asumió la competencia referida</w:t>
      </w:r>
      <w:r w:rsidRPr="005F3B01">
        <w:rPr>
          <w:rFonts w:ascii="Palatino Linotype" w:eastAsia="Palatino Linotype" w:hAnsi="Palatino Linotype" w:cs="Palatino Linotype"/>
        </w:rPr>
        <w:t xml:space="preserve">, motivo por el cual se actualiza el supuesto previsto en el artículo 12 de la legislación aplicable en la materia. </w:t>
      </w:r>
    </w:p>
    <w:p w14:paraId="4538D686" w14:textId="77777777" w:rsidR="0033428A" w:rsidRPr="005F3B01" w:rsidRDefault="00E068AF">
      <w:pPr>
        <w:spacing w:before="240" w:after="24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5F3B01">
        <w:rPr>
          <w:rFonts w:ascii="Palatino Linotype" w:eastAsia="Palatino Linotype" w:hAnsi="Palatino Linotype" w:cs="Palatino Linotype"/>
          <w:i/>
          <w:sz w:val="22"/>
          <w:szCs w:val="22"/>
        </w:rPr>
        <w:t xml:space="preserve"> en los términos de las disposiciones jurídicas aplicables. </w:t>
      </w:r>
    </w:p>
    <w:p w14:paraId="308AA03B" w14:textId="77777777" w:rsidR="0033428A" w:rsidRPr="005F3B01" w:rsidRDefault="00E068AF">
      <w:pPr>
        <w:spacing w:before="240" w:after="24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F3B01">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5131D132" w14:textId="77777777" w:rsidR="0033428A" w:rsidRPr="005F3B01" w:rsidRDefault="00E068AF">
      <w:pPr>
        <w:pBdr>
          <w:top w:val="nil"/>
          <w:left w:val="nil"/>
          <w:bottom w:val="nil"/>
          <w:right w:val="nil"/>
          <w:between w:val="nil"/>
        </w:pBdr>
        <w:spacing w:before="280" w:after="280" w:line="360" w:lineRule="auto"/>
        <w:jc w:val="both"/>
        <w:rPr>
          <w:rFonts w:ascii="Palatino Linotype" w:hAnsi="Palatino Linotype"/>
        </w:rPr>
      </w:pPr>
      <w:r w:rsidRPr="005F3B01">
        <w:rPr>
          <w:rFonts w:ascii="Palatino Linotype" w:eastAsia="Palatino Linotype" w:hAnsi="Palatino Linotype" w:cs="Palatino Linotype"/>
        </w:rPr>
        <w:t xml:space="preserve">Máxime que de conformidad con lo establecido en el artículo 92, fracción VIII de la Ley de Transparencia y Acceso a la Información Pública del Estado de México y Municipios, los entes públicos se encuentran obligados a poner a disposición del público, de manera permanente y actualizada </w:t>
      </w:r>
      <w:r w:rsidRPr="005F3B01">
        <w:rPr>
          <w:rFonts w:ascii="Palatino Linotype" w:hAnsi="Palatino Linotype"/>
        </w:rPr>
        <w:t>de forma sencilla, precisa y entendible, en los respectivos medios electrónicos, de acuerdo con sus facultades, atribuciones, funciones u objeto social, según corresponda, la información, por lo menos, de la remuneración bruta y neta de todos los servidores públicos, entre otros  temas, documentos y políticas que señala dicho precepto legal, a saber:</w:t>
      </w:r>
    </w:p>
    <w:p w14:paraId="7F335C3A" w14:textId="77777777" w:rsidR="0033428A" w:rsidRPr="005F3B01" w:rsidRDefault="00E068A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lastRenderedPageBreak/>
        <w:t>“</w:t>
      </w:r>
      <w:r w:rsidRPr="005F3B01">
        <w:rPr>
          <w:rFonts w:ascii="Palatino Linotype" w:eastAsia="Palatino Linotype" w:hAnsi="Palatino Linotype" w:cs="Palatino Linotype"/>
          <w:b/>
          <w:i/>
          <w:sz w:val="22"/>
          <w:szCs w:val="22"/>
        </w:rPr>
        <w:t>Artículo 92</w:t>
      </w:r>
      <w:r w:rsidRPr="005F3B0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06620F1" w14:textId="77777777" w:rsidR="0033428A" w:rsidRPr="005F3B01" w:rsidRDefault="00E068A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90AB1C4" w14:textId="77777777" w:rsidR="0033428A" w:rsidRPr="005F3B01" w:rsidRDefault="00E068A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VIII</w:t>
      </w:r>
      <w:r w:rsidRPr="005F3B01">
        <w:rPr>
          <w:rFonts w:ascii="Palatino Linotype" w:eastAsia="Palatino Linotype" w:hAnsi="Palatino Linotype" w:cs="Palatino Linotype"/>
          <w:i/>
          <w:sz w:val="22"/>
          <w:szCs w:val="22"/>
        </w:rPr>
        <w:t xml:space="preserve">. La </w:t>
      </w:r>
      <w:r w:rsidRPr="005F3B01">
        <w:rPr>
          <w:rFonts w:ascii="Palatino Linotype" w:eastAsia="Palatino Linotype" w:hAnsi="Palatino Linotype" w:cs="Palatino Linotype"/>
          <w:b/>
          <w:i/>
          <w:sz w:val="22"/>
          <w:szCs w:val="22"/>
        </w:rPr>
        <w:t>remuneración bruta y neta de todos los servidores públicos</w:t>
      </w:r>
      <w:r w:rsidRPr="005F3B01">
        <w:rPr>
          <w:rFonts w:ascii="Palatino Linotype" w:eastAsia="Palatino Linotype" w:hAnsi="Palatino Linotype" w:cs="Palatino Linotype"/>
          <w:i/>
          <w:sz w:val="22"/>
          <w:szCs w:val="22"/>
        </w:rPr>
        <w:t xml:space="preserve"> de base o de confianza, de todas las percepciones, incluyendo sueldos, prestaciones, gratificaciones, primas, comisiones, dietas, bonos, estímulos, ingresos y sistemas de compensación, </w:t>
      </w:r>
      <w:r w:rsidRPr="005F3B01">
        <w:rPr>
          <w:rFonts w:ascii="Palatino Linotype" w:eastAsia="Palatino Linotype" w:hAnsi="Palatino Linotype" w:cs="Palatino Linotype"/>
          <w:b/>
          <w:i/>
          <w:sz w:val="22"/>
          <w:szCs w:val="22"/>
        </w:rPr>
        <w:t>señalando la periodicidad</w:t>
      </w:r>
      <w:r w:rsidRPr="005F3B01">
        <w:rPr>
          <w:rFonts w:ascii="Palatino Linotype" w:eastAsia="Palatino Linotype" w:hAnsi="Palatino Linotype" w:cs="Palatino Linotype"/>
          <w:i/>
          <w:sz w:val="22"/>
          <w:szCs w:val="22"/>
        </w:rPr>
        <w:t xml:space="preserve"> de dicha remuneración;”</w:t>
      </w:r>
    </w:p>
    <w:p w14:paraId="4A527B8D" w14:textId="77777777" w:rsidR="0033428A" w:rsidRPr="005F3B01" w:rsidRDefault="00E068A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Por consiguiente, se procede al análisis de los requerimientos planteados por la particular y la respuesta proporcionada por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595AB7C6"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tal tesitura, recordemos que la persona solicitante, requirió la entrega del salario quincenal del </w:t>
      </w:r>
      <w:proofErr w:type="gramStart"/>
      <w:r w:rsidRPr="005F3B01">
        <w:rPr>
          <w:rFonts w:ascii="Palatino Linotype" w:eastAsia="Palatino Linotype" w:hAnsi="Palatino Linotype" w:cs="Palatino Linotype"/>
        </w:rPr>
        <w:t>Presidente</w:t>
      </w:r>
      <w:proofErr w:type="gramEnd"/>
      <w:r w:rsidRPr="005F3B01">
        <w:rPr>
          <w:rFonts w:ascii="Palatino Linotype" w:eastAsia="Palatino Linotype" w:hAnsi="Palatino Linotype" w:cs="Palatino Linotype"/>
        </w:rPr>
        <w:t xml:space="preserve"> Municipal, Regidoras, Regidores, Titular de la Sindicatura Municipal y Titular de la Secretaría del Ayuntamiento, proporcionando el Titular de la Unidad de Transparencia del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para la consulta de dicha información</w:t>
      </w:r>
      <w:r w:rsidRPr="005F3B01">
        <w:rPr>
          <w:rFonts w:ascii="Palatino Linotype" w:eastAsia="Palatino Linotype" w:hAnsi="Palatino Linotype" w:cs="Palatino Linotype"/>
          <w:b/>
        </w:rPr>
        <w:t xml:space="preserve"> </w:t>
      </w:r>
      <w:r w:rsidRPr="005F3B01">
        <w:rPr>
          <w:rFonts w:ascii="Palatino Linotype" w:eastAsia="Palatino Linotype" w:hAnsi="Palatino Linotype" w:cs="Palatino Linotype"/>
        </w:rPr>
        <w:t>la siguiente dirección electrónica:</w:t>
      </w:r>
    </w:p>
    <w:p w14:paraId="084901D2" w14:textId="77777777" w:rsidR="0033428A" w:rsidRPr="005F3B01" w:rsidRDefault="00BE0B9A">
      <w:pPr>
        <w:spacing w:before="240" w:after="240" w:line="360" w:lineRule="auto"/>
        <w:ind w:right="49"/>
        <w:jc w:val="center"/>
        <w:rPr>
          <w:rFonts w:ascii="Palatino Linotype" w:eastAsia="Palatino Linotype" w:hAnsi="Palatino Linotype" w:cs="Palatino Linotype"/>
          <w:i/>
          <w:sz w:val="22"/>
          <w:szCs w:val="22"/>
        </w:rPr>
      </w:pPr>
      <w:hyperlink r:id="rId12">
        <w:r w:rsidR="00E068AF" w:rsidRPr="005F3B01">
          <w:rPr>
            <w:rFonts w:ascii="Palatino Linotype" w:eastAsia="Palatino Linotype" w:hAnsi="Palatino Linotype" w:cs="Palatino Linotype"/>
            <w:i/>
            <w:sz w:val="22"/>
            <w:szCs w:val="22"/>
            <w:u w:val="single"/>
          </w:rPr>
          <w:t>https://www.ipomex.org.mx/ipo3/lgt/indice/METEPEC.web?token=03AGdBq27VCOBM62EBFXHCghyd4pGbMReovn3cQsnRUxMqrog-XhVX4JARJ54t7HRW_n-78M7FryK-QnMjp4ll0l2g6VaJx7zwhZ84T4ElCFyinzlYuCOs1ktG21ajTDjWDv2pTZJWUhfxM01o5zg0-d_b3GSSc1VyoAGUdN-GGsDGNHU6OqTaN0MRqCu3_7CS2q6vN5bWLSfCluUGUxtzdhltnMi-ZVi-MoukqCfJaCYEBxDAf0_Ug7eGThPMSue82BAwnXCsOlXRPj6iiQN8itovpGbc9gVnAyZdlCqU</w:t>
        </w:r>
        <w:r w:rsidR="00E068AF" w:rsidRPr="005F3B01">
          <w:rPr>
            <w:rFonts w:ascii="Palatino Linotype" w:eastAsia="Palatino Linotype" w:hAnsi="Palatino Linotype" w:cs="Palatino Linotype"/>
            <w:i/>
            <w:sz w:val="22"/>
            <w:szCs w:val="22"/>
            <w:u w:val="single"/>
          </w:rPr>
          <w:lastRenderedPageBreak/>
          <w:t>fPcWGHaTlxLpWmwgLcH_3sEOPPMGtJnE2Sgf1SvD5lMUCTv30QwU1Y4ELxVXjzcj3FL4BbKKXmuat2G2SxlOcf_QDGb921kppGbKLI6WWP2NWUAzBgs9RjPdrzRRtvY1Bh6XYK1QHyD126SuRuKKmQ458ykhunoh-DGYJ_duy17C-6AY7SEleG5zPiz0rrqjbkmhzvgbVNu3H8wjAz8cXqVenkN84--afVqCEoai8lAjF-GV_Wxk2Gnkow#</w:t>
        </w:r>
      </w:hyperlink>
    </w:p>
    <w:p w14:paraId="73D7956D"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En tal sentido, es oportuno traer a colación el contenido del artículo 161</w:t>
      </w:r>
      <w:r w:rsidRPr="005F3B01">
        <w:rPr>
          <w:rFonts w:ascii="Palatino Linotype" w:eastAsia="Palatino Linotype" w:hAnsi="Palatino Linotype" w:cs="Palatino Linotype"/>
          <w:vertAlign w:val="superscript"/>
        </w:rPr>
        <w:footnoteReference w:id="2"/>
      </w:r>
      <w:r w:rsidRPr="005F3B01">
        <w:rPr>
          <w:rFonts w:ascii="Palatino Linotype" w:eastAsia="Palatino Linotype" w:hAnsi="Palatino Linotype" w:cs="Palatino Linotype"/>
        </w:rPr>
        <w:t xml:space="preserve"> de la Ley de Transparencia y Acceso a la Información Pública del Estado de México y Municipios</w:t>
      </w:r>
      <w:r w:rsidRPr="005F3B01">
        <w:rPr>
          <w:rFonts w:ascii="Palatino Linotype" w:eastAsia="Palatino Linotype" w:hAnsi="Palatino Linotype" w:cs="Palatino Linotype"/>
          <w:i/>
        </w:rPr>
        <w:t xml:space="preserve">, </w:t>
      </w:r>
      <w:r w:rsidRPr="005F3B01">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08C6305"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t>a) La fuente</w:t>
      </w:r>
    </w:p>
    <w:p w14:paraId="14BF8A5D"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t>b) El lugar y</w:t>
      </w:r>
    </w:p>
    <w:p w14:paraId="132BD992"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t>c) La forma</w:t>
      </w:r>
    </w:p>
    <w:p w14:paraId="144669F8"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Asimismo, se establece que la fuente de la información deberá ser:</w:t>
      </w:r>
    </w:p>
    <w:p w14:paraId="6C5BFDD9"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t>a) Precisa</w:t>
      </w:r>
    </w:p>
    <w:p w14:paraId="202654DC"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t>b) Concreta</w:t>
      </w:r>
    </w:p>
    <w:p w14:paraId="79924C77" w14:textId="77777777" w:rsidR="0033428A" w:rsidRPr="005F3B01" w:rsidRDefault="00E068AF">
      <w:pPr>
        <w:spacing w:before="120" w:after="120" w:line="276" w:lineRule="auto"/>
        <w:ind w:left="284" w:right="51"/>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c) Y no debe implicar que el solicitante realice una búsqueda en toda la información que se encuentre disponible.</w:t>
      </w:r>
    </w:p>
    <w:p w14:paraId="7C8C7B8B"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346C8FB0"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Derivado de lo anterior, este Organismo Garante se dio a la tarea de consultar la información contenida en la dirección electrónica proporcionada, observando lo siguiente:</w:t>
      </w:r>
    </w:p>
    <w:p w14:paraId="43D12715"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noProof/>
        </w:rPr>
        <w:drawing>
          <wp:inline distT="0" distB="0" distL="0" distR="0" wp14:anchorId="1409264B" wp14:editId="3E0ED221">
            <wp:extent cx="5610225" cy="476250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0225" cy="4762500"/>
                    </a:xfrm>
                    <a:prstGeom prst="rect">
                      <a:avLst/>
                    </a:prstGeom>
                    <a:ln/>
                  </pic:spPr>
                </pic:pic>
              </a:graphicData>
            </a:graphic>
          </wp:inline>
        </w:drawing>
      </w:r>
    </w:p>
    <w:p w14:paraId="49D529CB"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 xml:space="preserve">Como puede advertirse, tal como lo señaló la parte </w:t>
      </w:r>
      <w:r w:rsidRPr="005F3B01">
        <w:rPr>
          <w:rFonts w:ascii="Palatino Linotype" w:eastAsia="Palatino Linotype" w:hAnsi="Palatino Linotype" w:cs="Palatino Linotype"/>
          <w:b/>
        </w:rPr>
        <w:t xml:space="preserve">Recurrente </w:t>
      </w:r>
      <w:r w:rsidRPr="005F3B01">
        <w:rPr>
          <w:rFonts w:ascii="Palatino Linotype" w:eastAsia="Palatino Linotype" w:hAnsi="Palatino Linotype" w:cs="Palatino Linotype"/>
        </w:rPr>
        <w:t xml:space="preserve">en su recurso de revisión, la dirección electrónica proporcionada dirige al portal de Información Pública de Oficio Mexiquense, IPOMEX, donde se encuentra alojada la información del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en cumplimiento a las obligaciones de transparencia de oficio previstas en la Ley de Transparencia y Acceso a la Información Pública del Estado de México y Municipios.</w:t>
      </w:r>
    </w:p>
    <w:p w14:paraId="11B1306F"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consecuencia, la fuente proporcionada, si bien se hizo del conocimiento de la persona solicitante en el plazo que establece el artículo 161 de la Ley de la Materia Local, no pasa desapercibido que no es precisa ni concreta, pues implica que el particular realice una búsqueda en toda la información que se encuentre disponible en la página electrónica proporcionada, en virtud de que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omitió señalar concretamente el procedimiento mediante el cual podía obtener la información que es de su interés, toda vez que se limitó a  entregar el link, y refirió que se debía localizar, en el directorio de municipios, al Ayuntamiento de Metepec para poder revisar la información solicitada. </w:t>
      </w:r>
    </w:p>
    <w:p w14:paraId="559BC413"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Derivado de lo expuesto se estima dable ordenar la entrega del soporte documental en versión pública de ser necesario, que dé cuenta del salario quincenal vigente al veintidós de junio de dos mil veintidós, del Presidente Municipal, Regidoras, Regidores, Titular de la Sindicatura Municipal y Titular de la Secretaría del Ayuntamiento, para tener por atendido el derecho de acceso a la información de la persona solicitante, pudiendo ser de manera enunciativa, más no limitativa, los Comprobantes Fiscales Digitales por Intern</w:t>
      </w:r>
      <w:r w:rsidR="003C0C86" w:rsidRPr="005F3B01">
        <w:rPr>
          <w:rFonts w:ascii="Palatino Linotype" w:eastAsia="Palatino Linotype" w:hAnsi="Palatino Linotype" w:cs="Palatino Linotype"/>
        </w:rPr>
        <w:t xml:space="preserve">et por concepto de nómina de </w:t>
      </w:r>
      <w:r w:rsidR="005C399E" w:rsidRPr="005F3B01">
        <w:rPr>
          <w:rFonts w:ascii="Palatino Linotype" w:eastAsia="Palatino Linotype" w:hAnsi="Palatino Linotype" w:cs="Palatino Linotype"/>
        </w:rPr>
        <w:t xml:space="preserve">la </w:t>
      </w:r>
      <w:r w:rsidRPr="005F3B01">
        <w:rPr>
          <w:rFonts w:ascii="Palatino Linotype" w:eastAsia="Palatino Linotype" w:hAnsi="Palatino Linotype" w:cs="Palatino Linotype"/>
        </w:rPr>
        <w:t>primera quincena de junio de dos mil veintidós.</w:t>
      </w:r>
    </w:p>
    <w:p w14:paraId="53BDFE1E"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 xml:space="preserve">Atento a lo anterior, no obsta mencionar </w:t>
      </w:r>
      <w:proofErr w:type="gramStart"/>
      <w:r w:rsidRPr="005F3B01">
        <w:rPr>
          <w:rFonts w:ascii="Palatino Linotype" w:eastAsia="Palatino Linotype" w:hAnsi="Palatino Linotype" w:cs="Palatino Linotype"/>
        </w:rPr>
        <w:t>que</w:t>
      </w:r>
      <w:proofErr w:type="gramEnd"/>
      <w:r w:rsidRPr="005F3B01">
        <w:rPr>
          <w:rFonts w:ascii="Palatino Linotype" w:eastAsia="Palatino Linotype" w:hAnsi="Palatino Linotype" w:cs="Palatino Linotype"/>
        </w:rPr>
        <w:t xml:space="preserv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3ACAB059" w14:textId="77777777" w:rsidR="0033428A" w:rsidRPr="005F3B01" w:rsidRDefault="00E068AF">
      <w:pPr>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8.-</w:t>
      </w:r>
      <w:r w:rsidRPr="005F3B01">
        <w:rPr>
          <w:rFonts w:ascii="Palatino Linotype" w:eastAsia="Palatino Linotype" w:hAnsi="Palatino Linotype" w:cs="Palatino Linotype"/>
          <w:i/>
          <w:sz w:val="22"/>
          <w:szCs w:val="22"/>
        </w:rPr>
        <w:t xml:space="preserve"> El </w:t>
      </w:r>
      <w:r w:rsidRPr="005F3B01">
        <w:rPr>
          <w:rFonts w:ascii="Palatino Linotype" w:eastAsia="Palatino Linotype" w:hAnsi="Palatino Linotype" w:cs="Palatino Linotype"/>
          <w:b/>
          <w:i/>
          <w:sz w:val="22"/>
          <w:szCs w:val="22"/>
        </w:rPr>
        <w:t>Órgano Superior</w:t>
      </w:r>
      <w:r w:rsidRPr="005F3B01">
        <w:rPr>
          <w:rFonts w:ascii="Palatino Linotype" w:eastAsia="Palatino Linotype" w:hAnsi="Palatino Linotype" w:cs="Palatino Linotype"/>
          <w:i/>
          <w:sz w:val="22"/>
          <w:szCs w:val="22"/>
        </w:rPr>
        <w:t xml:space="preserve"> tendrá las siguientes atribuciones:</w:t>
      </w:r>
    </w:p>
    <w:p w14:paraId="0CDC0BF2" w14:textId="77777777" w:rsidR="0033428A" w:rsidRPr="005F3B01" w:rsidRDefault="00E068AF">
      <w:pPr>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70C2EC92" w14:textId="77777777" w:rsidR="0033428A" w:rsidRPr="005F3B01" w:rsidRDefault="00E068AF">
      <w:pPr>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XI</w:t>
      </w:r>
      <w:r w:rsidRPr="005F3B01">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0FA9CF2"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que es del tenor literal siguiente:</w:t>
      </w:r>
    </w:p>
    <w:p w14:paraId="2963A5CA" w14:textId="77777777" w:rsidR="0033428A" w:rsidRPr="005F3B01" w:rsidRDefault="00E068AF">
      <w:pPr>
        <w:ind w:left="851"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Artículo 350.-</w:t>
      </w:r>
      <w:r w:rsidRPr="005F3B01">
        <w:rPr>
          <w:rFonts w:ascii="Palatino Linotype" w:eastAsia="Palatino Linotype" w:hAnsi="Palatino Linotype" w:cs="Palatino Linotype"/>
          <w:i/>
          <w:sz w:val="22"/>
          <w:szCs w:val="22"/>
        </w:rPr>
        <w:t xml:space="preserve"> La Secretaría y </w:t>
      </w:r>
      <w:r w:rsidRPr="005F3B01">
        <w:rPr>
          <w:rFonts w:ascii="Palatino Linotype" w:eastAsia="Palatino Linotype" w:hAnsi="Palatino Linotype" w:cs="Palatino Linotype"/>
          <w:b/>
          <w:i/>
          <w:sz w:val="22"/>
          <w:szCs w:val="22"/>
        </w:rPr>
        <w:t>las tesorerías</w:t>
      </w:r>
      <w:r w:rsidRPr="005F3B01">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6EDC00DC" w14:textId="77777777" w:rsidR="0033428A" w:rsidRPr="005F3B01" w:rsidRDefault="00E068AF">
      <w:pPr>
        <w:ind w:left="1134"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w:t>
      </w:r>
      <w:r w:rsidRPr="005F3B01">
        <w:rPr>
          <w:rFonts w:ascii="Palatino Linotype" w:eastAsia="Palatino Linotype" w:hAnsi="Palatino Linotype" w:cs="Palatino Linotype"/>
          <w:i/>
          <w:sz w:val="22"/>
          <w:szCs w:val="22"/>
        </w:rPr>
        <w:t xml:space="preserve"> Patrimonial. </w:t>
      </w:r>
    </w:p>
    <w:p w14:paraId="0919F265" w14:textId="77777777" w:rsidR="0033428A" w:rsidRPr="005F3B01" w:rsidRDefault="00E068AF">
      <w:pPr>
        <w:ind w:left="1134"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II</w:t>
      </w:r>
      <w:r w:rsidRPr="005F3B01">
        <w:rPr>
          <w:rFonts w:ascii="Palatino Linotype" w:eastAsia="Palatino Linotype" w:hAnsi="Palatino Linotype" w:cs="Palatino Linotype"/>
          <w:i/>
          <w:sz w:val="22"/>
          <w:szCs w:val="22"/>
        </w:rPr>
        <w:t xml:space="preserve">. Presupuestal. </w:t>
      </w:r>
    </w:p>
    <w:p w14:paraId="4374CF4E" w14:textId="77777777" w:rsidR="0033428A" w:rsidRPr="005F3B01" w:rsidRDefault="00E068AF">
      <w:pPr>
        <w:ind w:left="1134"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III</w:t>
      </w:r>
      <w:r w:rsidRPr="005F3B01">
        <w:rPr>
          <w:rFonts w:ascii="Palatino Linotype" w:eastAsia="Palatino Linotype" w:hAnsi="Palatino Linotype" w:cs="Palatino Linotype"/>
          <w:i/>
          <w:sz w:val="22"/>
          <w:szCs w:val="22"/>
        </w:rPr>
        <w:t>. De la obra pública.</w:t>
      </w:r>
    </w:p>
    <w:p w14:paraId="7341A92B" w14:textId="77777777" w:rsidR="0033428A" w:rsidRPr="005F3B01" w:rsidRDefault="00E068AF">
      <w:pPr>
        <w:ind w:left="1134" w:right="849"/>
        <w:jc w:val="both"/>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t>IV. De nómina.</w:t>
      </w:r>
    </w:p>
    <w:p w14:paraId="3903BB8D" w14:textId="77777777" w:rsidR="0033428A" w:rsidRPr="005F3B01" w:rsidRDefault="00E068AF">
      <w:pPr>
        <w:ind w:left="1134"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w:t>
      </w:r>
      <w:r w:rsidRPr="005F3B01">
        <w:rPr>
          <w:rFonts w:ascii="Palatino Linotype" w:eastAsia="Palatino Linotype" w:hAnsi="Palatino Linotype" w:cs="Palatino Linotype"/>
          <w:i/>
          <w:sz w:val="22"/>
          <w:szCs w:val="22"/>
        </w:rPr>
        <w:t xml:space="preserve">. Avance del cumplimiento del Plan de Desarrollo del Estado de México. </w:t>
      </w:r>
    </w:p>
    <w:p w14:paraId="5F3EDD79" w14:textId="77777777" w:rsidR="0033428A" w:rsidRPr="005F3B01" w:rsidRDefault="00E068AF">
      <w:pPr>
        <w:ind w:left="851" w:right="849"/>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lastRenderedPageBreak/>
        <w:t>Los informes trimestrales deberán contener la evolución de las finanzas públicas integradas con los comentarios correspondientes y los estados financieros consolidados, así como un reporte de los ingresos y egresos de los organismos auxiliares.</w:t>
      </w:r>
    </w:p>
    <w:p w14:paraId="09C34F37" w14:textId="77777777" w:rsidR="0033428A" w:rsidRPr="005F3B01" w:rsidRDefault="00E068AF">
      <w:pPr>
        <w:ind w:left="851" w:right="849"/>
        <w:jc w:val="both"/>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5F3B01">
        <w:rPr>
          <w:rFonts w:ascii="Palatino Linotype" w:eastAsia="Palatino Linotype" w:hAnsi="Palatino Linotype" w:cs="Palatino Linotype"/>
          <w:b/>
          <w:i/>
          <w:sz w:val="22"/>
          <w:szCs w:val="22"/>
        </w:rPr>
        <w:t>.”</w:t>
      </w:r>
    </w:p>
    <w:p w14:paraId="24C2A5CF"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La información documental comprobatoria de los informes trimestrales presentados, debe conservarse en los archivos de la entidad fiscalizada -</w:t>
      </w:r>
      <w:r w:rsidRPr="005F3B01">
        <w:rPr>
          <w:rFonts w:ascii="Palatino Linotype" w:eastAsia="Palatino Linotype" w:hAnsi="Palatino Linotype" w:cs="Palatino Linotype"/>
          <w:sz w:val="22"/>
          <w:szCs w:val="22"/>
        </w:rPr>
        <w:t xml:space="preserve">municipio- </w:t>
      </w:r>
      <w:r w:rsidRPr="005F3B01">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5A5FABD9" w14:textId="77777777" w:rsidR="0033428A" w:rsidRPr="005F3B01" w:rsidRDefault="00E068AF">
      <w:pPr>
        <w:spacing w:before="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5F3B01">
        <w:rPr>
          <w:rFonts w:ascii="Palatino Linotype" w:eastAsia="Palatino Linotype" w:hAnsi="Palatino Linotype" w:cs="Palatino Linotype"/>
          <w:vertAlign w:val="superscript"/>
        </w:rPr>
        <w:footnoteReference w:id="3"/>
      </w:r>
      <w:r w:rsidRPr="005F3B01">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23507FC5" w14:textId="77777777" w:rsidR="0033428A" w:rsidRPr="005F3B01" w:rsidRDefault="00E068AF">
      <w:pPr>
        <w:spacing w:before="240" w:line="360" w:lineRule="auto"/>
        <w:ind w:right="49"/>
        <w:jc w:val="center"/>
        <w:rPr>
          <w:rFonts w:ascii="Palatino Linotype" w:eastAsia="Palatino Linotype" w:hAnsi="Palatino Linotype" w:cs="Palatino Linotype"/>
        </w:rPr>
      </w:pPr>
      <w:r w:rsidRPr="005F3B01">
        <w:rPr>
          <w:rFonts w:ascii="Palatino Linotype" w:eastAsia="Palatino Linotype" w:hAnsi="Palatino Linotype" w:cs="Palatino Linotype"/>
          <w:noProof/>
        </w:rPr>
        <w:drawing>
          <wp:inline distT="0" distB="0" distL="0" distR="0" wp14:anchorId="59A00F62" wp14:editId="6C7B02CF">
            <wp:extent cx="4176000" cy="1836000"/>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76000" cy="1836000"/>
                    </a:xfrm>
                    <a:prstGeom prst="rect">
                      <a:avLst/>
                    </a:prstGeom>
                    <a:ln/>
                  </pic:spPr>
                </pic:pic>
              </a:graphicData>
            </a:graphic>
          </wp:inline>
        </w:drawing>
      </w:r>
    </w:p>
    <w:p w14:paraId="62427D89" w14:textId="77777777" w:rsidR="0033428A" w:rsidRPr="005F3B01" w:rsidRDefault="00E068AF">
      <w:pPr>
        <w:spacing w:before="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 xml:space="preserve">La información que con motivo de la nómina genera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2BD6C9DC" w14:textId="77777777" w:rsidR="0033428A" w:rsidRPr="005F3B01" w:rsidRDefault="008273E6">
      <w:pPr>
        <w:spacing w:before="240" w:line="360" w:lineRule="auto"/>
        <w:ind w:right="49"/>
        <w:jc w:val="both"/>
        <w:rPr>
          <w:rFonts w:ascii="Palatino Linotype" w:eastAsia="Palatino Linotype" w:hAnsi="Palatino Linotype" w:cs="Palatino Linotype"/>
        </w:rPr>
      </w:pPr>
      <w:r w:rsidRPr="005F3B01">
        <w:rPr>
          <w:noProof/>
        </w:rPr>
        <mc:AlternateContent>
          <mc:Choice Requires="wps">
            <w:drawing>
              <wp:anchor distT="0" distB="0" distL="114300" distR="114300" simplePos="0" relativeHeight="251659264" behindDoc="0" locked="0" layoutInCell="1" hidden="0" allowOverlap="1" wp14:anchorId="4627A1BB" wp14:editId="79745760">
                <wp:simplePos x="0" y="0"/>
                <wp:positionH relativeFrom="column">
                  <wp:posOffset>5025390</wp:posOffset>
                </wp:positionH>
                <wp:positionV relativeFrom="paragraph">
                  <wp:posOffset>2302510</wp:posOffset>
                </wp:positionV>
                <wp:extent cx="552450" cy="304800"/>
                <wp:effectExtent l="19050" t="19050" r="19050" b="19050"/>
                <wp:wrapNone/>
                <wp:docPr id="85" name="Rectángulo 85"/>
                <wp:cNvGraphicFramePr/>
                <a:graphic xmlns:a="http://schemas.openxmlformats.org/drawingml/2006/main">
                  <a:graphicData uri="http://schemas.microsoft.com/office/word/2010/wordprocessingShape">
                    <wps:wsp>
                      <wps:cNvSpPr/>
                      <wps:spPr>
                        <a:xfrm>
                          <a:off x="0" y="0"/>
                          <a:ext cx="552450" cy="304800"/>
                        </a:xfrm>
                        <a:prstGeom prst="rect">
                          <a:avLst/>
                        </a:prstGeom>
                        <a:noFill/>
                        <a:ln w="38100" cap="flat" cmpd="sng">
                          <a:solidFill>
                            <a:srgbClr val="C00000"/>
                          </a:solidFill>
                          <a:prstDash val="solid"/>
                          <a:round/>
                          <a:headEnd type="none" w="sm" len="sm"/>
                          <a:tailEnd type="none" w="sm" len="sm"/>
                        </a:ln>
                      </wps:spPr>
                      <wps:txbx>
                        <w:txbxContent>
                          <w:p w14:paraId="5851ED0D" w14:textId="77777777" w:rsidR="0033428A" w:rsidRDefault="0033428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0EEE306" id="Rectángulo 85" o:spid="_x0000_s1026" style="position:absolute;left:0;text-align:left;margin-left:395.7pt;margin-top:181.3pt;width:43.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" filled="f" strokecolor="#c00000" strokeweight="3pt">
                <v:stroke startarrowwidth="narrow" startarrowlength="short" endarrowwidth="narrow" endarrowlength="short" joinstyle="round"/>
                <v:textbox inset="2.53958mm,2.53958mm,2.53958mm,2.53958mm">
                  <w:txbxContent>
                    <w:p w:rsidR="0033428A" w:rsidRDefault="0033428A">
                      <w:pPr>
                        <w:textDirection w:val="btLr"/>
                      </w:pPr>
                    </w:p>
                  </w:txbxContent>
                </v:textbox>
              </v:rect>
            </w:pict>
          </mc:Fallback>
        </mc:AlternateContent>
      </w:r>
      <w:r w:rsidRPr="005F3B01">
        <w:rPr>
          <w:noProof/>
        </w:rPr>
        <mc:AlternateContent>
          <mc:Choice Requires="wps">
            <w:drawing>
              <wp:anchor distT="0" distB="0" distL="114300" distR="114300" simplePos="0" relativeHeight="251658240" behindDoc="0" locked="0" layoutInCell="1" hidden="0" allowOverlap="1" wp14:anchorId="7F48F2E9" wp14:editId="2C9BCA5C">
                <wp:simplePos x="0" y="0"/>
                <wp:positionH relativeFrom="column">
                  <wp:posOffset>72390</wp:posOffset>
                </wp:positionH>
                <wp:positionV relativeFrom="paragraph">
                  <wp:posOffset>2312035</wp:posOffset>
                </wp:positionV>
                <wp:extent cx="2971800" cy="295275"/>
                <wp:effectExtent l="19050" t="19050" r="19050" b="28575"/>
                <wp:wrapNone/>
                <wp:docPr id="86" name="Rectángulo 86"/>
                <wp:cNvGraphicFramePr/>
                <a:graphic xmlns:a="http://schemas.openxmlformats.org/drawingml/2006/main">
                  <a:graphicData uri="http://schemas.microsoft.com/office/word/2010/wordprocessingShape">
                    <wps:wsp>
                      <wps:cNvSpPr/>
                      <wps:spPr>
                        <a:xfrm>
                          <a:off x="0" y="0"/>
                          <a:ext cx="2971800" cy="295275"/>
                        </a:xfrm>
                        <a:prstGeom prst="rect">
                          <a:avLst/>
                        </a:prstGeom>
                        <a:noFill/>
                        <a:ln w="38100" cap="flat" cmpd="sng">
                          <a:solidFill>
                            <a:srgbClr val="C00000"/>
                          </a:solidFill>
                          <a:prstDash val="solid"/>
                          <a:round/>
                          <a:headEnd type="none" w="sm" len="sm"/>
                          <a:tailEnd type="none" w="sm" len="sm"/>
                        </a:ln>
                      </wps:spPr>
                      <wps:txbx>
                        <w:txbxContent>
                          <w:p w14:paraId="4B77FB91" w14:textId="77777777" w:rsidR="0033428A" w:rsidRDefault="0033428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70B5033" id="Rectángulo 86" o:spid="_x0000_s1027" style="position:absolute;left:0;text-align:left;margin-left:5.7pt;margin-top:182.05pt;width:234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" filled="f" strokecolor="#c00000" strokeweight="3pt">
                <v:stroke startarrowwidth="narrow" startarrowlength="short" endarrowwidth="narrow" endarrowlength="short" joinstyle="round"/>
                <v:textbox inset="2.53958mm,2.53958mm,2.53958mm,2.53958mm">
                  <w:txbxContent>
                    <w:p w:rsidR="0033428A" w:rsidRDefault="0033428A">
                      <w:pPr>
                        <w:textDirection w:val="btLr"/>
                      </w:pPr>
                    </w:p>
                  </w:txbxContent>
                </v:textbox>
              </v:rect>
            </w:pict>
          </mc:Fallback>
        </mc:AlternateContent>
      </w:r>
      <w:r w:rsidR="00E068AF" w:rsidRPr="005F3B01">
        <w:rPr>
          <w:rFonts w:ascii="Palatino Linotype" w:eastAsia="Palatino Linotype" w:hAnsi="Palatino Linotype" w:cs="Palatino Linotype"/>
          <w:noProof/>
        </w:rPr>
        <w:drawing>
          <wp:inline distT="0" distB="0" distL="0" distR="0" wp14:anchorId="6FAEECAF" wp14:editId="24BAD76F">
            <wp:extent cx="5610225" cy="2495550"/>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0225" cy="2495550"/>
                    </a:xfrm>
                    <a:prstGeom prst="rect">
                      <a:avLst/>
                    </a:prstGeom>
                    <a:ln/>
                  </pic:spPr>
                </pic:pic>
              </a:graphicData>
            </a:graphic>
          </wp:inline>
        </w:drawing>
      </w:r>
      <w:r w:rsidR="00E068AF" w:rsidRPr="005F3B01">
        <w:rPr>
          <w:rFonts w:ascii="Palatino Linotype" w:eastAsia="Palatino Linotype" w:hAnsi="Palatino Linotype" w:cs="Palatino Linotype"/>
        </w:rPr>
        <w:t xml:space="preserve"> </w:t>
      </w:r>
    </w:p>
    <w:p w14:paraId="6A0AD5A2"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otro lado, es de mencionar que de las constancias que obran en el expediente electrónico en el que se actúa, no se advierte evidencia de que la solicitud de información hubiera sido turnada al área competente para generar, administrar o poseer la información que es del interés de la persona solicitante, toda vez que quien dio respuesta fue el Titular de la Unidad de Transparencia, tal y como se muestra a continuación:</w:t>
      </w:r>
      <w:r w:rsidRPr="005F3B01">
        <w:rPr>
          <w:noProof/>
        </w:rPr>
        <mc:AlternateContent>
          <mc:Choice Requires="wpg">
            <w:drawing>
              <wp:anchor distT="0" distB="0" distL="114300" distR="114300" simplePos="0" relativeHeight="251660288" behindDoc="0" locked="0" layoutInCell="1" hidden="0" allowOverlap="1" wp14:anchorId="2EE7797E" wp14:editId="012CAB26">
                <wp:simplePos x="0" y="0"/>
                <wp:positionH relativeFrom="column">
                  <wp:posOffset>1600200</wp:posOffset>
                </wp:positionH>
                <wp:positionV relativeFrom="paragraph">
                  <wp:posOffset>2082800</wp:posOffset>
                </wp:positionV>
                <wp:extent cx="438150" cy="247650"/>
                <wp:effectExtent l="0" t="0" r="0" b="0"/>
                <wp:wrapNone/>
                <wp:docPr id="87" name="Conector recto de flecha 87"/>
                <wp:cNvGraphicFramePr/>
                <a:graphic xmlns:a="http://schemas.openxmlformats.org/drawingml/2006/main">
                  <a:graphicData uri="http://schemas.microsoft.com/office/word/2010/wordprocessingShape">
                    <wps:wsp>
                      <wps:cNvCnPr/>
                      <wps:spPr>
                        <a:xfrm flipH="1">
                          <a:off x="5145975" y="3675225"/>
                          <a:ext cx="400050" cy="209550"/>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1600200</wp:posOffset>
                </wp:positionH>
                <wp:positionV relativeFrom="paragraph">
                  <wp:posOffset>2082800</wp:posOffset>
                </wp:positionV>
                <wp:extent cx="438150" cy="247650"/>
                <wp:effectExtent b="0" l="0" r="0" t="0"/>
                <wp:wrapNone/>
                <wp:docPr id="87"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38150" cy="247650"/>
                        </a:xfrm>
                        <a:prstGeom prst="rect"/>
                        <a:ln/>
                      </pic:spPr>
                    </pic:pic>
                  </a:graphicData>
                </a:graphic>
              </wp:anchor>
            </w:drawing>
          </mc:Fallback>
        </mc:AlternateContent>
      </w:r>
    </w:p>
    <w:p w14:paraId="3CB2AA7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noProof/>
        </w:rPr>
        <w:drawing>
          <wp:inline distT="0" distB="0" distL="0" distR="0" wp14:anchorId="29AE7226" wp14:editId="245DEF21">
            <wp:extent cx="5610225" cy="714375"/>
            <wp:effectExtent l="0" t="0" r="0" b="0"/>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10225" cy="714375"/>
                    </a:xfrm>
                    <a:prstGeom prst="rect">
                      <a:avLst/>
                    </a:prstGeom>
                    <a:ln/>
                  </pic:spPr>
                </pic:pic>
              </a:graphicData>
            </a:graphic>
          </wp:inline>
        </w:drawing>
      </w:r>
    </w:p>
    <w:p w14:paraId="2D41EE9F" w14:textId="77777777" w:rsidR="0033428A" w:rsidRPr="005F3B01" w:rsidRDefault="008273E6" w:rsidP="008273E6">
      <w:pPr>
        <w:spacing w:before="240" w:after="240" w:line="360" w:lineRule="auto"/>
        <w:jc w:val="center"/>
        <w:rPr>
          <w:rFonts w:ascii="Palatino Linotype" w:eastAsia="Palatino Linotype" w:hAnsi="Palatino Linotype" w:cs="Palatino Linotype"/>
        </w:rPr>
      </w:pPr>
      <w:r w:rsidRPr="005F3B01">
        <w:rPr>
          <w:noProof/>
        </w:rPr>
        <w:lastRenderedPageBreak/>
        <mc:AlternateContent>
          <mc:Choice Requires="wps">
            <w:drawing>
              <wp:anchor distT="0" distB="0" distL="114300" distR="114300" simplePos="0" relativeHeight="251661312" behindDoc="0" locked="0" layoutInCell="1" hidden="0" allowOverlap="1" wp14:anchorId="42AB835E" wp14:editId="48DB7C16">
                <wp:simplePos x="0" y="0"/>
                <wp:positionH relativeFrom="column">
                  <wp:posOffset>3539490</wp:posOffset>
                </wp:positionH>
                <wp:positionV relativeFrom="paragraph">
                  <wp:posOffset>3827780</wp:posOffset>
                </wp:positionV>
                <wp:extent cx="314325" cy="1263650"/>
                <wp:effectExtent l="0" t="0" r="28575" b="12700"/>
                <wp:wrapNone/>
                <wp:docPr id="84" name="Cerrar llave 84"/>
                <wp:cNvGraphicFramePr/>
                <a:graphic xmlns:a="http://schemas.openxmlformats.org/drawingml/2006/main">
                  <a:graphicData uri="http://schemas.microsoft.com/office/word/2010/wordprocessingShape">
                    <wps:wsp>
                      <wps:cNvSpPr/>
                      <wps:spPr>
                        <a:xfrm>
                          <a:off x="0" y="0"/>
                          <a:ext cx="314325" cy="1263650"/>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3467A266" w14:textId="77777777" w:rsidR="0033428A" w:rsidRDefault="0033428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4988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4" o:spid="_x0000_s1028" type="#_x0000_t88" style="position:absolute;left:0;text-align:left;margin-left:278.7pt;margin-top:301.4pt;width:24.75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" adj="448" strokecolor="#c00000" strokeweight="2pt">
                <v:stroke startarrowwidth="narrow" startarrowlength="short" endarrowwidth="narrow" endarrowlength="short"/>
                <v:textbox inset="2.53958mm,2.53958mm,2.53958mm,2.53958mm">
                  <w:txbxContent>
                    <w:p w:rsidR="0033428A" w:rsidRDefault="0033428A">
                      <w:pPr>
                        <w:textDirection w:val="btLr"/>
                      </w:pPr>
                    </w:p>
                  </w:txbxContent>
                </v:textbox>
              </v:shape>
            </w:pict>
          </mc:Fallback>
        </mc:AlternateContent>
      </w:r>
      <w:r w:rsidR="00E068AF" w:rsidRPr="005F3B01">
        <w:rPr>
          <w:rFonts w:ascii="Palatino Linotype" w:eastAsia="Palatino Linotype" w:hAnsi="Palatino Linotype" w:cs="Palatino Linotype"/>
          <w:noProof/>
        </w:rPr>
        <w:drawing>
          <wp:inline distT="0" distB="0" distL="0" distR="0" wp14:anchorId="27342C5D" wp14:editId="1796B37F">
            <wp:extent cx="5328000" cy="5112000"/>
            <wp:effectExtent l="0" t="0" r="6350" b="0"/>
            <wp:docPr id="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328000" cy="5112000"/>
                    </a:xfrm>
                    <a:prstGeom prst="rect">
                      <a:avLst/>
                    </a:prstGeom>
                    <a:ln/>
                  </pic:spPr>
                </pic:pic>
              </a:graphicData>
            </a:graphic>
          </wp:inline>
        </w:drawing>
      </w:r>
    </w:p>
    <w:p w14:paraId="556C125E"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Siendo necesario mencionar que de conformidad con el artículo 3.97 del Código Reglamentario de Metepec, la Dirección de Administración 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 auxiliándose de la Subdirección de Recursos </w:t>
      </w:r>
      <w:r w:rsidRPr="005F3B01">
        <w:rPr>
          <w:rFonts w:ascii="Palatino Linotype" w:eastAsia="Palatino Linotype" w:hAnsi="Palatino Linotype" w:cs="Palatino Linotype"/>
        </w:rPr>
        <w:lastRenderedPageBreak/>
        <w:t>Humanos, área que tiene a su cargo el Departamento de Nómina, mismo al que se le atribuyen, entre otras atribuciones, las siguientes en su parte conducente:</w:t>
      </w:r>
    </w:p>
    <w:p w14:paraId="2E097A5D"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 xml:space="preserve">Artículo 3.103. </w:t>
      </w:r>
      <w:r w:rsidRPr="005F3B01">
        <w:rPr>
          <w:rFonts w:ascii="Palatino Linotype" w:eastAsia="Palatino Linotype" w:hAnsi="Palatino Linotype" w:cs="Palatino Linotype"/>
          <w:i/>
          <w:sz w:val="22"/>
          <w:szCs w:val="22"/>
        </w:rPr>
        <w:t xml:space="preserve">El </w:t>
      </w:r>
      <w:r w:rsidRPr="005F3B01">
        <w:rPr>
          <w:rFonts w:ascii="Palatino Linotype" w:eastAsia="Palatino Linotype" w:hAnsi="Palatino Linotype" w:cs="Palatino Linotype"/>
          <w:b/>
          <w:i/>
          <w:sz w:val="22"/>
          <w:szCs w:val="22"/>
        </w:rPr>
        <w:t>Departamento de Nómina</w:t>
      </w:r>
      <w:r w:rsidRPr="005F3B01">
        <w:rPr>
          <w:rFonts w:ascii="Palatino Linotype" w:eastAsia="Palatino Linotype" w:hAnsi="Palatino Linotype" w:cs="Palatino Linotype"/>
          <w:i/>
          <w:sz w:val="22"/>
          <w:szCs w:val="22"/>
        </w:rPr>
        <w:t>, tiene las siguientes atribuciones:</w:t>
      </w:r>
    </w:p>
    <w:p w14:paraId="3CA80FF0"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6782EF9"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II.</w:t>
      </w:r>
      <w:r w:rsidRPr="005F3B01">
        <w:rPr>
          <w:rFonts w:ascii="Palatino Linotype" w:eastAsia="Palatino Linotype" w:hAnsi="Palatino Linotype" w:cs="Palatino Linotype"/>
          <w:i/>
          <w:sz w:val="22"/>
          <w:szCs w:val="22"/>
        </w:rPr>
        <w:t xml:space="preserve"> Aplicar en el sistema de nómina los movimientos, incidencias, deducciones y otros conceptos previa autorización de la o el Titular de la Subdirección de Recursos Humanos; y validar su correcta aplicación de conformidad con la normatividad, convenio y procedimientos aplicables;</w:t>
      </w:r>
    </w:p>
    <w:p w14:paraId="1BAED68F"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D69E619"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VI.</w:t>
      </w:r>
      <w:r w:rsidRPr="005F3B01">
        <w:rPr>
          <w:rFonts w:ascii="Palatino Linotype" w:eastAsia="Palatino Linotype" w:hAnsi="Palatino Linotype" w:cs="Palatino Linotype"/>
          <w:i/>
          <w:sz w:val="22"/>
          <w:szCs w:val="22"/>
        </w:rPr>
        <w:t xml:space="preserve"> Conciliar quincenalmente que los movimientos de la nómina correspondan con la determinación de cuotas y aportaciones del Instituto de Seguridad Social del Estado de México y Municipios (ISSEMyM), previo al pago de las mismas; </w:t>
      </w:r>
    </w:p>
    <w:p w14:paraId="02ACFEC3"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VII</w:t>
      </w:r>
      <w:r w:rsidRPr="005F3B01">
        <w:rPr>
          <w:rFonts w:ascii="Palatino Linotype" w:eastAsia="Palatino Linotype" w:hAnsi="Palatino Linotype" w:cs="Palatino Linotype"/>
          <w:i/>
          <w:sz w:val="22"/>
          <w:szCs w:val="22"/>
        </w:rPr>
        <w:t>. Generar y validar el archivo para el timbrado de los recibos de nómina, que cumplen con los requisitos que establece el Servicio de Administración Tributaria;</w:t>
      </w:r>
    </w:p>
    <w:p w14:paraId="41B642BA"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xml:space="preserve">VIII. </w:t>
      </w:r>
      <w:r w:rsidRPr="005F3B01">
        <w:rPr>
          <w:rFonts w:ascii="Palatino Linotype" w:eastAsia="Palatino Linotype" w:hAnsi="Palatino Linotype" w:cs="Palatino Linotype"/>
          <w:i/>
          <w:sz w:val="22"/>
          <w:szCs w:val="22"/>
        </w:rPr>
        <w:t xml:space="preserve">Realizar el timbrado de los archivos XML y la generación del archivo en formato PDF de los recibos de nómina para su impresión; </w:t>
      </w:r>
    </w:p>
    <w:p w14:paraId="082AA2C8"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IX</w:t>
      </w:r>
      <w:r w:rsidRPr="005F3B01">
        <w:rPr>
          <w:rFonts w:ascii="Palatino Linotype" w:eastAsia="Palatino Linotype" w:hAnsi="Palatino Linotype" w:cs="Palatino Linotype"/>
          <w:i/>
          <w:sz w:val="22"/>
          <w:szCs w:val="22"/>
        </w:rPr>
        <w:t>. Entregar a los Enlaces Administrativos o equivalentes de las dependencias los comprobantes de pago (percepciones y deducciones) y los listados de nómina para recabar la firma de los servidores públicos;</w:t>
      </w:r>
    </w:p>
    <w:p w14:paraId="66B38887"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08993E3"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XI.</w:t>
      </w:r>
      <w:r w:rsidRPr="005F3B01">
        <w:rPr>
          <w:rFonts w:ascii="Palatino Linotype" w:eastAsia="Palatino Linotype" w:hAnsi="Palatino Linotype" w:cs="Palatino Linotype"/>
          <w:i/>
          <w:sz w:val="22"/>
          <w:szCs w:val="22"/>
        </w:rPr>
        <w:t xml:space="preserve"> Realizar la dispersión del pago de la nómina a las y los servidores públicos y realizar la conciliación respectiva, para su envío a la Tesorería Municipal;”</w:t>
      </w:r>
    </w:p>
    <w:p w14:paraId="08FB3413"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En consecuencia, para el cumplimiento de la presente resolución, la Unidad de Transparencia, en observancia de lo previsto en los artículos 53</w:t>
      </w:r>
      <w:r w:rsidRPr="005F3B01">
        <w:rPr>
          <w:rFonts w:ascii="Palatino Linotype" w:eastAsia="Palatino Linotype" w:hAnsi="Palatino Linotype" w:cs="Palatino Linotype"/>
          <w:vertAlign w:val="superscript"/>
        </w:rPr>
        <w:footnoteReference w:id="4"/>
      </w:r>
      <w:r w:rsidRPr="005F3B01">
        <w:rPr>
          <w:rFonts w:ascii="Palatino Linotype" w:eastAsia="Palatino Linotype" w:hAnsi="Palatino Linotype" w:cs="Palatino Linotype"/>
        </w:rPr>
        <w:t xml:space="preserve"> fracciones II y IV </w:t>
      </w:r>
      <w:proofErr w:type="gramStart"/>
      <w:r w:rsidRPr="005F3B01">
        <w:rPr>
          <w:rFonts w:ascii="Palatino Linotype" w:eastAsia="Palatino Linotype" w:hAnsi="Palatino Linotype" w:cs="Palatino Linotype"/>
        </w:rPr>
        <w:t xml:space="preserve">y  </w:t>
      </w:r>
      <w:r w:rsidRPr="005F3B01">
        <w:rPr>
          <w:rFonts w:ascii="Palatino Linotype" w:eastAsia="Palatino Linotype" w:hAnsi="Palatino Linotype" w:cs="Palatino Linotype"/>
        </w:rPr>
        <w:lastRenderedPageBreak/>
        <w:t>162</w:t>
      </w:r>
      <w:proofErr w:type="gramEnd"/>
      <w:r w:rsidRPr="005F3B01">
        <w:rPr>
          <w:rFonts w:ascii="Palatino Linotype" w:eastAsia="Palatino Linotype" w:hAnsi="Palatino Linotype" w:cs="Palatino Linotype"/>
          <w:vertAlign w:val="superscript"/>
        </w:rPr>
        <w:footnoteReference w:id="5"/>
      </w:r>
      <w:r w:rsidRPr="005F3B01">
        <w:rPr>
          <w:rFonts w:ascii="Palatino Linotype" w:eastAsia="Palatino Linotype" w:hAnsi="Palatino Linotype" w:cs="Palatino Linotype"/>
        </w:rPr>
        <w:t xml:space="preserve"> de la Ley de la Materia, deberá turnar la solicitud de información a todas las áreas que de acuerdo con sus competencias o funciones deban tener la información que se ordena.</w:t>
      </w:r>
    </w:p>
    <w:p w14:paraId="280970C1"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Finalmente, atendiendo a los motivos de inconformidad aducidos por la persona solicitante, respecto de la dificultad para copiar en el navegador la dirección electrónica proporcionada misma que consta de 621 caracteres, debiendo digitar uno a uno cada carácter para realizar la consulta, se menciona que de conformidad con el artículo 24, fracción V de la Ley de Transparencia y Acceso a la Información Pública del Estado de México y Municipios, los entes públicos se encuentran obligados a promover la generación, documentación y publicación de la información </w:t>
      </w:r>
      <w:r w:rsidRPr="005F3B01">
        <w:rPr>
          <w:rFonts w:ascii="Palatino Linotype" w:eastAsia="Palatino Linotype" w:hAnsi="Palatino Linotype" w:cs="Palatino Linotype"/>
          <w:b/>
          <w:u w:val="single"/>
        </w:rPr>
        <w:t>en formatos abiertos y accesibles</w:t>
      </w:r>
      <w:r w:rsidRPr="005F3B01">
        <w:rPr>
          <w:rFonts w:ascii="Palatino Linotype" w:eastAsia="Palatino Linotype" w:hAnsi="Palatino Linotype" w:cs="Palatino Linotype"/>
        </w:rPr>
        <w:t>, es decir, se debe procurar, en la medida de lo posible, que la información que se genere permita su reproducción y reutilización electrónica, de manera libre sin ninguna restricción.</w:t>
      </w:r>
    </w:p>
    <w:p w14:paraId="0D376A4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Cabe señalar que si bien el formato PDF </w:t>
      </w:r>
      <w:r w:rsidRPr="005F3B01">
        <w:rPr>
          <w:rFonts w:ascii="Palatino Linotype" w:eastAsia="Palatino Linotype" w:hAnsi="Palatino Linotype" w:cs="Palatino Linotype"/>
          <w:sz w:val="22"/>
          <w:szCs w:val="22"/>
        </w:rPr>
        <w:t xml:space="preserve">-por sus siglas en inglés </w:t>
      </w:r>
      <w:r w:rsidRPr="005F3B01">
        <w:rPr>
          <w:rFonts w:ascii="Palatino Linotype" w:eastAsia="Palatino Linotype" w:hAnsi="Palatino Linotype" w:cs="Palatino Linotype"/>
          <w:i/>
          <w:sz w:val="22"/>
          <w:szCs w:val="22"/>
        </w:rPr>
        <w:t xml:space="preserve">Portable </w:t>
      </w:r>
      <w:proofErr w:type="spellStart"/>
      <w:r w:rsidRPr="005F3B01">
        <w:rPr>
          <w:rFonts w:ascii="Palatino Linotype" w:eastAsia="Palatino Linotype" w:hAnsi="Palatino Linotype" w:cs="Palatino Linotype"/>
          <w:i/>
          <w:sz w:val="22"/>
          <w:szCs w:val="22"/>
        </w:rPr>
        <w:t>Document</w:t>
      </w:r>
      <w:proofErr w:type="spellEnd"/>
      <w:r w:rsidRPr="005F3B01">
        <w:rPr>
          <w:rFonts w:ascii="Palatino Linotype" w:eastAsia="Palatino Linotype" w:hAnsi="Palatino Linotype" w:cs="Palatino Linotype"/>
          <w:i/>
          <w:sz w:val="22"/>
          <w:szCs w:val="22"/>
        </w:rPr>
        <w:t xml:space="preserve"> </w:t>
      </w:r>
      <w:proofErr w:type="spellStart"/>
      <w:r w:rsidRPr="005F3B01">
        <w:rPr>
          <w:rFonts w:ascii="Palatino Linotype" w:eastAsia="Palatino Linotype" w:hAnsi="Palatino Linotype" w:cs="Palatino Linotype"/>
          <w:i/>
          <w:sz w:val="22"/>
          <w:szCs w:val="22"/>
        </w:rPr>
        <w:t>Format</w:t>
      </w:r>
      <w:proofErr w:type="spellEnd"/>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i/>
        </w:rPr>
        <w:t xml:space="preserve">, </w:t>
      </w:r>
      <w:r w:rsidRPr="005F3B01">
        <w:rPr>
          <w:rFonts w:ascii="Palatino Linotype" w:eastAsia="Palatino Linotype" w:hAnsi="Palatino Linotype" w:cs="Palatino Linotype"/>
        </w:rPr>
        <w:t xml:space="preserve"> mediante el cual fue remitida la información, puede ser considerado como el más bajo de datos abiertos, al tratarse de un estándar reconocido por la Organización Internacional para la Estandarización (ISO), puesto que los documentos en dicho formato pueden contener vínculos, botones, campos de formulario, audio, vídeo y lógica empresarial, los cuales, se pueden firmar electrónicamente y pueden consultarse con facilidad en Windows o Mac OS utilizando el software gratuito Acrobat Reader DC, en el caso que nos ocupa, se trata </w:t>
      </w:r>
      <w:r w:rsidRPr="005F3B01">
        <w:rPr>
          <w:rFonts w:ascii="Palatino Linotype" w:eastAsia="Palatino Linotype" w:hAnsi="Palatino Linotype" w:cs="Palatino Linotype"/>
        </w:rPr>
        <w:lastRenderedPageBreak/>
        <w:t>de una digitalización de un documento original, que no permite editar,  modificar o procesar su contenido,  y por consiguiente, no es posible su reutilización, generando una barrera que impide el acceso a la fuente donde se localiza la información.</w:t>
      </w:r>
    </w:p>
    <w:p w14:paraId="21F4777D"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tal </w:t>
      </w:r>
      <w:proofErr w:type="gramStart"/>
      <w:r w:rsidRPr="005F3B01">
        <w:rPr>
          <w:rFonts w:ascii="Palatino Linotype" w:eastAsia="Palatino Linotype" w:hAnsi="Palatino Linotype" w:cs="Palatino Linotype"/>
        </w:rPr>
        <w:t>tesitura,  se</w:t>
      </w:r>
      <w:proofErr w:type="gramEnd"/>
      <w:r w:rsidRPr="005F3B01">
        <w:rPr>
          <w:rFonts w:ascii="Palatino Linotype" w:eastAsia="Palatino Linotype" w:hAnsi="Palatino Linotype" w:cs="Palatino Linotype"/>
        </w:rPr>
        <w:t xml:space="preserve"> insta al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con la finalidad de asegurar el acceso a la información que es de su interés.</w:t>
      </w:r>
    </w:p>
    <w:p w14:paraId="3A98C682"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De lo hasta aquí expuesto, se concluye que los motivos de inconformidad de la parte </w:t>
      </w:r>
      <w:r w:rsidRPr="005F3B01">
        <w:rPr>
          <w:rFonts w:ascii="Palatino Linotype" w:eastAsia="Palatino Linotype" w:hAnsi="Palatino Linotype" w:cs="Palatino Linotype"/>
          <w:b/>
        </w:rPr>
        <w:t xml:space="preserve">Recurrente </w:t>
      </w:r>
      <w:r w:rsidRPr="005F3B01">
        <w:rPr>
          <w:rFonts w:ascii="Palatino Linotype" w:eastAsia="Palatino Linotype" w:hAnsi="Palatino Linotype" w:cs="Palatino Linotype"/>
        </w:rPr>
        <w:t xml:space="preserve">devienen fundados, siendo procedente </w:t>
      </w:r>
      <w:r w:rsidRPr="005F3B01">
        <w:rPr>
          <w:rFonts w:ascii="Palatino Linotype" w:eastAsia="Palatino Linotype" w:hAnsi="Palatino Linotype" w:cs="Palatino Linotype"/>
          <w:i/>
        </w:rPr>
        <w:t xml:space="preserve">Revocar </w:t>
      </w:r>
      <w:r w:rsidRPr="005F3B01">
        <w:rPr>
          <w:rFonts w:ascii="Palatino Linotype" w:eastAsia="Palatino Linotype" w:hAnsi="Palatino Linotype" w:cs="Palatino Linotype"/>
        </w:rPr>
        <w:t xml:space="preserve">la respuesta proporcionada por el </w:t>
      </w:r>
      <w:r w:rsidRPr="005F3B01">
        <w:rPr>
          <w:rFonts w:ascii="Palatino Linotype" w:eastAsia="Palatino Linotype" w:hAnsi="Palatino Linotype" w:cs="Palatino Linotype"/>
          <w:b/>
        </w:rPr>
        <w:t xml:space="preserve">Sujeto Obligado </w:t>
      </w:r>
      <w:r w:rsidRPr="005F3B01">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20449BD" w14:textId="77777777" w:rsidR="0033428A" w:rsidRPr="005F3B01" w:rsidRDefault="00E068AF">
      <w:pPr>
        <w:spacing w:before="240" w:after="240" w:line="360" w:lineRule="auto"/>
        <w:ind w:right="51"/>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Quinto. Versión Pública. </w:t>
      </w:r>
      <w:r w:rsidRPr="005F3B01">
        <w:rPr>
          <w:rFonts w:ascii="Palatino Linotype" w:eastAsia="Palatino Linotype" w:hAnsi="Palatino Linotype" w:cs="Palatino Linotype"/>
        </w:rPr>
        <w:t>Como fue debidamente apuntado,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98D8956"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w:t>
      </w:r>
      <w:r w:rsidRPr="005F3B01">
        <w:rPr>
          <w:rFonts w:ascii="Palatino Linotype" w:eastAsia="Palatino Linotype" w:hAnsi="Palatino Linotype" w:cs="Palatino Linotype"/>
        </w:rPr>
        <w:lastRenderedPageBreak/>
        <w:t>cuidar que los datos personales que obren en poder de los Sujetos Obligados sean protegidos y únicamente se den a conocer aquéllos que garanticen la rendición de cuentas y la transparencia en el ejercicio de las atribuciones que tienen conferidas.</w:t>
      </w:r>
    </w:p>
    <w:p w14:paraId="55DA927D"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D32B4FB"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5D55C66A"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rPr>
        <w:t> </w:t>
      </w: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Artículo 3.</w:t>
      </w:r>
      <w:r w:rsidRPr="005F3B01">
        <w:rPr>
          <w:rFonts w:ascii="Palatino Linotype" w:eastAsia="Palatino Linotype" w:hAnsi="Palatino Linotype" w:cs="Palatino Linotype"/>
          <w:i/>
          <w:sz w:val="22"/>
          <w:szCs w:val="22"/>
        </w:rPr>
        <w:t xml:space="preserve"> Para los efectos de la presente Ley se entenderá por:</w:t>
      </w:r>
    </w:p>
    <w:p w14:paraId="3EA9CA6B"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2C732A8"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IX. Datos personales</w:t>
      </w:r>
      <w:r w:rsidRPr="005F3B0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EEF0AF4"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33842E20"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XX. Información clasificada</w:t>
      </w:r>
      <w:r w:rsidRPr="005F3B01">
        <w:rPr>
          <w:rFonts w:ascii="Palatino Linotype" w:eastAsia="Palatino Linotype" w:hAnsi="Palatino Linotype" w:cs="Palatino Linotype"/>
          <w:i/>
          <w:sz w:val="22"/>
          <w:szCs w:val="22"/>
        </w:rPr>
        <w:t>: Aquella considerada por la presente Ley como reservada o confidencial;</w:t>
      </w:r>
    </w:p>
    <w:p w14:paraId="70EA4249"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XXI. Información confidencial</w:t>
      </w:r>
      <w:r w:rsidRPr="005F3B0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FDE15B"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57BB3D31"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XXXII. Protección de Datos Personales</w:t>
      </w:r>
      <w:r w:rsidRPr="005F3B0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5277889"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p>
    <w:p w14:paraId="164803A7" w14:textId="77777777" w:rsidR="0033428A" w:rsidRPr="005F3B01" w:rsidRDefault="00E068AF">
      <w:pPr>
        <w:tabs>
          <w:tab w:val="left" w:pos="1276"/>
        </w:tabs>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lastRenderedPageBreak/>
        <w:t>XLV. Versión pública</w:t>
      </w:r>
      <w:r w:rsidRPr="005F3B0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3C0D603"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Artículo 6</w:t>
      </w:r>
      <w:r w:rsidRPr="005F3B0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7DF21B4"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 (…)</w:t>
      </w:r>
    </w:p>
    <w:p w14:paraId="461CF6D1"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91.</w:t>
      </w:r>
      <w:r w:rsidRPr="005F3B0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F3B01">
        <w:rPr>
          <w:rFonts w:ascii="Palatino Linotype" w:eastAsia="Palatino Linotype" w:hAnsi="Palatino Linotype" w:cs="Palatino Linotype"/>
          <w:i/>
          <w:sz w:val="22"/>
          <w:szCs w:val="22"/>
        </w:rPr>
        <w:br/>
        <w:t>(…)</w:t>
      </w:r>
    </w:p>
    <w:p w14:paraId="603596A7"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137.</w:t>
      </w:r>
      <w:r w:rsidRPr="005F3B0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2E15FA3" w14:textId="77777777" w:rsidR="0033428A" w:rsidRPr="005F3B01" w:rsidRDefault="00E068AF">
      <w:pPr>
        <w:spacing w:before="120" w:after="120"/>
        <w:ind w:left="851"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Artículo 143.</w:t>
      </w:r>
      <w:r w:rsidRPr="005F3B0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B1E90F6" w14:textId="77777777" w:rsidR="0033428A" w:rsidRPr="005F3B01" w:rsidRDefault="00E068AF">
      <w:pPr>
        <w:spacing w:before="120" w:after="120"/>
        <w:ind w:left="1134"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I.</w:t>
      </w:r>
      <w:r w:rsidRPr="005F3B0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EABEF4E" w14:textId="77777777" w:rsidR="0033428A" w:rsidRPr="005F3B01" w:rsidRDefault="00E068AF">
      <w:pPr>
        <w:spacing w:before="240" w:after="240" w:line="360" w:lineRule="auto"/>
        <w:ind w:right="50"/>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w:t>
      </w:r>
      <w:r w:rsidRPr="005F3B01">
        <w:rPr>
          <w:rFonts w:ascii="Palatino Linotype" w:eastAsia="Palatino Linotype" w:hAnsi="Palatino Linotype" w:cs="Palatino Linotype"/>
        </w:rPr>
        <w:lastRenderedPageBreak/>
        <w:t>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5086E30" w14:textId="77777777" w:rsidR="0033428A" w:rsidRPr="005F3B01" w:rsidRDefault="00E068AF">
      <w:pPr>
        <w:spacing w:before="240" w:after="240" w:line="360" w:lineRule="auto"/>
        <w:ind w:right="50"/>
        <w:jc w:val="both"/>
        <w:rPr>
          <w:rFonts w:ascii="Palatino Linotype" w:eastAsia="Palatino Linotype" w:hAnsi="Palatino Linotype" w:cs="Palatino Linotype"/>
        </w:rPr>
      </w:pPr>
      <w:r w:rsidRPr="005F3B0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77DBD0"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F3B01">
        <w:rPr>
          <w:rFonts w:ascii="Palatino Linotype" w:eastAsia="Palatino Linotype" w:hAnsi="Palatino Linotype" w:cs="Palatino Linotype"/>
          <w:b/>
        </w:rPr>
        <w:t>Registro Federal de Contribuyentes</w:t>
      </w:r>
      <w:r w:rsidRPr="005F3B01">
        <w:rPr>
          <w:rFonts w:ascii="Palatino Linotype" w:eastAsia="Palatino Linotype" w:hAnsi="Palatino Linotype" w:cs="Palatino Linotype"/>
        </w:rPr>
        <w:t xml:space="preserve"> (RFC), la </w:t>
      </w:r>
      <w:r w:rsidRPr="005F3B01">
        <w:rPr>
          <w:rFonts w:ascii="Palatino Linotype" w:eastAsia="Palatino Linotype" w:hAnsi="Palatino Linotype" w:cs="Palatino Linotype"/>
          <w:b/>
        </w:rPr>
        <w:t>Clave Única de Registro de Población</w:t>
      </w:r>
      <w:r w:rsidRPr="005F3B01">
        <w:rPr>
          <w:rFonts w:ascii="Palatino Linotype" w:eastAsia="Palatino Linotype" w:hAnsi="Palatino Linotype" w:cs="Palatino Linotype"/>
        </w:rPr>
        <w:t xml:space="preserve"> (CURP), la </w:t>
      </w:r>
      <w:r w:rsidRPr="005F3B01">
        <w:rPr>
          <w:rFonts w:ascii="Palatino Linotype" w:eastAsia="Palatino Linotype" w:hAnsi="Palatino Linotype" w:cs="Palatino Linotype"/>
          <w:b/>
        </w:rPr>
        <w:t>Clave de cualquier tipo de seguridad social</w:t>
      </w:r>
      <w:r w:rsidRPr="005F3B01">
        <w:rPr>
          <w:rFonts w:ascii="Palatino Linotype" w:eastAsia="Palatino Linotype" w:hAnsi="Palatino Linotype" w:cs="Palatino Linotype"/>
        </w:rPr>
        <w:t xml:space="preserve"> (ISSEMYM, u otros), los </w:t>
      </w:r>
      <w:r w:rsidRPr="005F3B01">
        <w:rPr>
          <w:rFonts w:ascii="Palatino Linotype" w:eastAsia="Palatino Linotype" w:hAnsi="Palatino Linotype" w:cs="Palatino Linotype"/>
          <w:b/>
        </w:rPr>
        <w:t>números de cuentas bancarias</w:t>
      </w:r>
      <w:r w:rsidRPr="005F3B01">
        <w:rPr>
          <w:rFonts w:ascii="Palatino Linotype" w:eastAsia="Palatino Linotype" w:hAnsi="Palatino Linotype" w:cs="Palatino Linotype"/>
        </w:rPr>
        <w:t xml:space="preserve">, claves estandarizadas – interbancarias - (CLABES) y de tarjetas, los </w:t>
      </w:r>
      <w:r w:rsidRPr="005F3B01">
        <w:rPr>
          <w:rFonts w:ascii="Palatino Linotype" w:eastAsia="Palatino Linotype" w:hAnsi="Palatino Linotype" w:cs="Palatino Linotype"/>
          <w:b/>
        </w:rPr>
        <w:t>préstamos o descuentos</w:t>
      </w:r>
      <w:r w:rsidRPr="005F3B01">
        <w:rPr>
          <w:rFonts w:ascii="Palatino Linotype" w:eastAsia="Palatino Linotype" w:hAnsi="Palatino Linotype" w:cs="Palatino Linotype"/>
        </w:rPr>
        <w:t xml:space="preserve"> que se le hagan a la persona y que no tengan relación con los impuestos o la cuota por seguridad social, así como los </w:t>
      </w:r>
      <w:r w:rsidRPr="005F3B01">
        <w:rPr>
          <w:rFonts w:ascii="Palatino Linotype" w:eastAsia="Palatino Linotype" w:hAnsi="Palatino Linotype" w:cs="Palatino Linotype"/>
          <w:b/>
        </w:rPr>
        <w:t xml:space="preserve">códigos bidimensionales o códigos QR </w:t>
      </w:r>
      <w:r w:rsidRPr="005F3B01">
        <w:rPr>
          <w:rFonts w:ascii="Palatino Linotype" w:eastAsia="Palatino Linotype" w:hAnsi="Palatino Linotype" w:cs="Palatino Linotype"/>
        </w:rPr>
        <w:t>y</w:t>
      </w:r>
      <w:r w:rsidRPr="005F3B01">
        <w:rPr>
          <w:rFonts w:ascii="Palatino Linotype" w:eastAsia="Palatino Linotype" w:hAnsi="Palatino Linotype" w:cs="Palatino Linotype"/>
          <w:b/>
        </w:rPr>
        <w:t xml:space="preserve"> el número de empleado.</w:t>
      </w:r>
    </w:p>
    <w:p w14:paraId="44389321"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5F3B01">
        <w:rPr>
          <w:rFonts w:ascii="Palatino Linotype" w:eastAsia="Palatino Linotype" w:hAnsi="Palatino Linotype" w:cs="Palatino Linotype"/>
        </w:rPr>
        <w:t>homoclave</w:t>
      </w:r>
      <w:proofErr w:type="spellEnd"/>
      <w:r w:rsidRPr="005F3B01">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971274A"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FD149B"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C0C462A" w14:textId="77777777" w:rsidR="0033428A" w:rsidRPr="005F3B01" w:rsidRDefault="00E068AF">
      <w:pPr>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xml:space="preserve"> “Registro Federal de Contribuyentes (RFC) de personas físicas</w:t>
      </w:r>
      <w:r w:rsidRPr="005F3B01">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DEC9A85"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5F3B01">
        <w:rPr>
          <w:rFonts w:ascii="Palatino Linotype" w:eastAsia="Palatino Linotype" w:hAnsi="Palatino Linotype" w:cs="Palatino Linotype"/>
        </w:rPr>
        <w:t>homoclave</w:t>
      </w:r>
      <w:proofErr w:type="spellEnd"/>
      <w:r w:rsidRPr="005F3B01">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8F08AF3"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F0F73AE"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1ED5A72A" w14:textId="77777777" w:rsidR="0033428A" w:rsidRPr="005F3B01" w:rsidRDefault="00E068AF">
      <w:pPr>
        <w:ind w:left="851" w:right="851"/>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xml:space="preserve"> “Clave Única de Registro de Población (CURP). </w:t>
      </w:r>
      <w:r w:rsidRPr="005F3B0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57ABEA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0F05EE3"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07504FB"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44CD4D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28E3D21"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5CC12F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00FFC6B4"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F76935F" w14:textId="77777777" w:rsidR="0033428A" w:rsidRPr="005F3B01" w:rsidRDefault="00E068AF">
      <w:pPr>
        <w:spacing w:before="240" w:after="24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Cuentas bancarias y/o CLABE interbancaria de personas físicas y morales privadas.</w:t>
      </w:r>
      <w:r w:rsidRPr="005F3B01">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w:t>
      </w:r>
      <w:r w:rsidRPr="005F3B01">
        <w:rPr>
          <w:rFonts w:ascii="Palatino Linotype" w:eastAsia="Palatino Linotype" w:hAnsi="Palatino Linotype" w:cs="Palatino Linotype"/>
          <w:i/>
          <w:sz w:val="22"/>
          <w:szCs w:val="22"/>
        </w:rPr>
        <w:lastRenderedPageBreak/>
        <w:t>información clasificada con fundamento en los artículos 116 de la Ley General de Transparencia y Acceso a la Información Pública y 113 de la Ley Federal de Transparencia y Acceso a la Información Pública.</w:t>
      </w:r>
    </w:p>
    <w:p w14:paraId="33009541" w14:textId="77777777" w:rsidR="0033428A" w:rsidRPr="005F3B01" w:rsidRDefault="00E068AF">
      <w:pPr>
        <w:spacing w:before="240" w:after="24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F3B01">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86AB9A7"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Por cuanto hace a los préstamos o descuentos de carácter personal, en virtud de no tener relación con la prestación del servicio y al no involucrar instituciones públicas, se consideran datos confidenciales.</w:t>
      </w:r>
    </w:p>
    <w:p w14:paraId="716109BE"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32BFA234" w14:textId="77777777" w:rsidR="0033428A" w:rsidRPr="005F3B01" w:rsidRDefault="00E068AF">
      <w:pPr>
        <w:spacing w:before="240" w:after="240"/>
        <w:ind w:left="851" w:right="900"/>
        <w:jc w:val="both"/>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t xml:space="preserve">“ARTÍCULO 84. </w:t>
      </w:r>
      <w:r w:rsidRPr="005F3B01">
        <w:rPr>
          <w:rFonts w:ascii="Palatino Linotype" w:eastAsia="Palatino Linotype" w:hAnsi="Palatino Linotype" w:cs="Palatino Linotype"/>
          <w:i/>
          <w:sz w:val="22"/>
          <w:szCs w:val="22"/>
        </w:rPr>
        <w:t>Sólo podrán hacerse retenciones, descuentos o deducciones al sueldo de los servidores públicos por concepto de:</w:t>
      </w:r>
    </w:p>
    <w:p w14:paraId="7CBE792E"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I. Gravámenes fiscales relacionados con el sueldo;</w:t>
      </w:r>
    </w:p>
    <w:p w14:paraId="323BE72D"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F2080CA"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III. Cuotas sindicales;</w:t>
      </w:r>
    </w:p>
    <w:p w14:paraId="5CF99E3F"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F38C10F"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F53450C"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88CCD13"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VII. Faltas de puntualidad o de asistencia injustificadas;</w:t>
      </w:r>
    </w:p>
    <w:p w14:paraId="7CA44B82" w14:textId="77777777" w:rsidR="0033428A" w:rsidRPr="005F3B01" w:rsidRDefault="00E068AF">
      <w:pPr>
        <w:ind w:left="993" w:right="90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VIII. Pensiones alimenticias ordenadas por la autoridad judicial;</w:t>
      </w:r>
      <w:r w:rsidRPr="005F3B01">
        <w:rPr>
          <w:rFonts w:ascii="Palatino Linotype" w:eastAsia="Palatino Linotype" w:hAnsi="Palatino Linotype" w:cs="Palatino Linotype"/>
          <w:i/>
          <w:sz w:val="22"/>
          <w:szCs w:val="22"/>
        </w:rPr>
        <w:t xml:space="preserve"> o</w:t>
      </w:r>
    </w:p>
    <w:p w14:paraId="45F1B2DC" w14:textId="77777777" w:rsidR="0033428A" w:rsidRPr="005F3B01" w:rsidRDefault="00E068AF">
      <w:pPr>
        <w:ind w:left="993" w:right="902"/>
        <w:jc w:val="both"/>
        <w:rPr>
          <w:rFonts w:ascii="Palatino Linotype" w:eastAsia="Palatino Linotype" w:hAnsi="Palatino Linotype" w:cs="Palatino Linotype"/>
          <w:b/>
          <w:i/>
          <w:sz w:val="22"/>
          <w:szCs w:val="22"/>
        </w:rPr>
      </w:pPr>
      <w:r w:rsidRPr="005F3B01">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64678CD8" w14:textId="77777777" w:rsidR="0033428A" w:rsidRPr="005F3B01" w:rsidRDefault="00E068AF">
      <w:pPr>
        <w:spacing w:before="240" w:after="24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3931C06"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DA6FF0C"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Los </w:t>
      </w:r>
      <w:r w:rsidRPr="005F3B01">
        <w:rPr>
          <w:rFonts w:ascii="Palatino Linotype" w:eastAsia="Palatino Linotype" w:hAnsi="Palatino Linotype" w:cs="Palatino Linotype"/>
          <w:b/>
        </w:rPr>
        <w:t>códigos bidimensionales</w:t>
      </w:r>
      <w:r w:rsidRPr="005F3B01">
        <w:rPr>
          <w:rFonts w:ascii="Palatino Linotype" w:eastAsia="Palatino Linotype" w:hAnsi="Palatino Linotype" w:cs="Palatino Linotype"/>
        </w:rPr>
        <w:t xml:space="preserve"> o </w:t>
      </w:r>
      <w:r w:rsidRPr="005F3B01">
        <w:rPr>
          <w:rFonts w:ascii="Palatino Linotype" w:eastAsia="Palatino Linotype" w:hAnsi="Palatino Linotype" w:cs="Palatino Linotype"/>
          <w:b/>
        </w:rPr>
        <w:t xml:space="preserve">códigos QR, </w:t>
      </w:r>
      <w:r w:rsidRPr="005F3B01">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3A936CB7"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Con relación al </w:t>
      </w:r>
      <w:r w:rsidRPr="005F3B01">
        <w:rPr>
          <w:rFonts w:ascii="Palatino Linotype" w:eastAsia="Palatino Linotype" w:hAnsi="Palatino Linotype" w:cs="Palatino Linotype"/>
          <w:b/>
        </w:rPr>
        <w:t>número de empleado</w:t>
      </w:r>
      <w:r w:rsidRPr="005F3B01">
        <w:rPr>
          <w:rFonts w:ascii="Palatino Linotype" w:eastAsia="Palatino Linotype" w:hAnsi="Palatino Linotype" w:cs="Palatino Linotype"/>
        </w:rPr>
        <w:t xml:space="preserve"> debe precisarse que este constituye un código, en virtud del cual, los trabajadores pueden acceder a un sistema de datos o </w:t>
      </w:r>
      <w:r w:rsidRPr="005F3B01">
        <w:rPr>
          <w:rFonts w:ascii="Palatino Linotype" w:eastAsia="Palatino Linotype" w:hAnsi="Palatino Linotype" w:cs="Palatino Linotype"/>
        </w:rPr>
        <w:lastRenderedPageBreak/>
        <w:t>información de la dependencia o entidad a la que pertenecen, a fin de presentar consultas relacionadas con su situación laboral particular, siendo un número único, permanente e intransferible que se asigna para llevar un registro de los trabajadores</w:t>
      </w:r>
      <w:r w:rsidRPr="005F3B01">
        <w:rPr>
          <w:rFonts w:ascii="Palatino Linotype" w:eastAsia="Palatino Linotype" w:hAnsi="Palatino Linotype" w:cs="Palatino Linotype"/>
          <w:vertAlign w:val="superscript"/>
        </w:rPr>
        <w:footnoteReference w:id="6"/>
      </w:r>
      <w:r w:rsidRPr="005F3B01">
        <w:rPr>
          <w:rFonts w:ascii="Palatino Linotype" w:eastAsia="Palatino Linotype" w:hAnsi="Palatino Linotype" w:cs="Palatino Linotype"/>
        </w:rPr>
        <w:t>.</w:t>
      </w:r>
    </w:p>
    <w:p w14:paraId="44BE7DF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5F3B01">
        <w:rPr>
          <w:rFonts w:ascii="Palatino Linotype" w:eastAsia="Palatino Linotype" w:hAnsi="Palatino Linotype" w:cs="Palatino Linotype"/>
        </w:rPr>
        <w:t>INAI  se</w:t>
      </w:r>
      <w:proofErr w:type="gramEnd"/>
      <w:r w:rsidRPr="005F3B01">
        <w:rPr>
          <w:rFonts w:ascii="Palatino Linotype" w:eastAsia="Palatino Linotype" w:hAnsi="Palatino Linotype" w:cs="Palatino Linotype"/>
        </w:rPr>
        <w:t xml:space="preserve"> ha pronunciado sobre su publicidad, a través del criterio 06/19, que indica lo siguiente:</w:t>
      </w:r>
    </w:p>
    <w:p w14:paraId="5AF39CF6" w14:textId="77777777" w:rsidR="0033428A" w:rsidRPr="005F3B01" w:rsidRDefault="00E068AF">
      <w:pPr>
        <w:tabs>
          <w:tab w:val="left" w:pos="7655"/>
        </w:tabs>
        <w:spacing w:before="240" w:after="240"/>
        <w:ind w:left="993" w:right="992"/>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 xml:space="preserve">“Número de empleado. </w:t>
      </w:r>
      <w:r w:rsidRPr="005F3B01">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ED96B9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deberá acatar lo establecido y de ser procedente, entregará el número de empleado o equivalente de los servidores públicos materia de la </w:t>
      </w:r>
      <w:r w:rsidRPr="005F3B01">
        <w:rPr>
          <w:rFonts w:ascii="Palatino Linotype" w:eastAsia="Palatino Linotype" w:hAnsi="Palatino Linotype" w:cs="Palatino Linotype"/>
        </w:rPr>
        <w:lastRenderedPageBreak/>
        <w:t>solicitud, o en su caso, los clasificará como información confidencial, a través del Acuerdo emitido por su Comité de Transparencia conforme a la Ley de la Materia.</w:t>
      </w:r>
    </w:p>
    <w:p w14:paraId="0601AB72" w14:textId="77777777" w:rsidR="0033428A" w:rsidRPr="005F3B01" w:rsidRDefault="00E068AF">
      <w:pPr>
        <w:spacing w:before="240" w:after="240" w:line="360" w:lineRule="auto"/>
        <w:ind w:right="50"/>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Asimismo, es de señalar que la clasificación de la información no opera con la simple supresión de datos que se haga en los documentos de que se trate o con la simple decisión que tome el Servidor Público Habilitado o el </w:t>
      </w:r>
      <w:proofErr w:type="gramStart"/>
      <w:r w:rsidRPr="005F3B01">
        <w:rPr>
          <w:rFonts w:ascii="Palatino Linotype" w:eastAsia="Palatino Linotype" w:hAnsi="Palatino Linotype" w:cs="Palatino Linotype"/>
        </w:rPr>
        <w:t>Responsable</w:t>
      </w:r>
      <w:proofErr w:type="gramEnd"/>
      <w:r w:rsidRPr="005F3B01">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91AE63F" w14:textId="77777777" w:rsidR="0033428A" w:rsidRPr="005F3B01" w:rsidRDefault="00E068AF">
      <w:pPr>
        <w:spacing w:before="120" w:after="12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49.</w:t>
      </w:r>
      <w:r w:rsidRPr="005F3B01">
        <w:rPr>
          <w:rFonts w:ascii="Palatino Linotype" w:eastAsia="Palatino Linotype" w:hAnsi="Palatino Linotype" w:cs="Palatino Linotype"/>
          <w:i/>
          <w:sz w:val="22"/>
          <w:szCs w:val="22"/>
        </w:rPr>
        <w:t xml:space="preserve"> </w:t>
      </w:r>
      <w:r w:rsidRPr="005F3B01">
        <w:rPr>
          <w:rFonts w:ascii="Palatino Linotype" w:eastAsia="Palatino Linotype" w:hAnsi="Palatino Linotype" w:cs="Palatino Linotype"/>
          <w:b/>
          <w:i/>
          <w:sz w:val="22"/>
          <w:szCs w:val="22"/>
        </w:rPr>
        <w:t>Los Comités de Transparencia</w:t>
      </w:r>
      <w:r w:rsidRPr="005F3B01">
        <w:rPr>
          <w:rFonts w:ascii="Palatino Linotype" w:eastAsia="Palatino Linotype" w:hAnsi="Palatino Linotype" w:cs="Palatino Linotype"/>
          <w:i/>
          <w:sz w:val="22"/>
          <w:szCs w:val="22"/>
        </w:rPr>
        <w:t xml:space="preserve"> tendrán las siguientes atribuciones:</w:t>
      </w:r>
    </w:p>
    <w:p w14:paraId="67FFAA58" w14:textId="77777777" w:rsidR="0033428A" w:rsidRPr="005F3B01" w:rsidRDefault="00E068AF">
      <w:pPr>
        <w:spacing w:before="120" w:after="120"/>
        <w:ind w:left="993"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VIII. Aprobar, modificar o revocar la clasificación de la información</w:t>
      </w:r>
      <w:r w:rsidRPr="005F3B01">
        <w:rPr>
          <w:rFonts w:ascii="Palatino Linotype" w:eastAsia="Palatino Linotype" w:hAnsi="Palatino Linotype" w:cs="Palatino Linotype"/>
          <w:i/>
          <w:sz w:val="22"/>
          <w:szCs w:val="22"/>
        </w:rPr>
        <w:t>…”</w:t>
      </w:r>
    </w:p>
    <w:p w14:paraId="5636D94B" w14:textId="77777777" w:rsidR="0033428A" w:rsidRPr="005F3B01" w:rsidRDefault="00E068AF">
      <w:pPr>
        <w:spacing w:before="120" w:after="12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i/>
          <w:sz w:val="22"/>
          <w:szCs w:val="22"/>
        </w:rPr>
        <w:t>“</w:t>
      </w:r>
      <w:r w:rsidRPr="005F3B01">
        <w:rPr>
          <w:rFonts w:ascii="Palatino Linotype" w:eastAsia="Palatino Linotype" w:hAnsi="Palatino Linotype" w:cs="Palatino Linotype"/>
          <w:b/>
          <w:i/>
          <w:sz w:val="22"/>
          <w:szCs w:val="22"/>
        </w:rPr>
        <w:t>Artículo 53.</w:t>
      </w:r>
      <w:r w:rsidRPr="005F3B01">
        <w:rPr>
          <w:rFonts w:ascii="Palatino Linotype" w:eastAsia="Palatino Linotype" w:hAnsi="Palatino Linotype" w:cs="Palatino Linotype"/>
          <w:i/>
          <w:sz w:val="22"/>
          <w:szCs w:val="22"/>
        </w:rPr>
        <w:t xml:space="preserve"> Las </w:t>
      </w:r>
      <w:r w:rsidRPr="005F3B01">
        <w:rPr>
          <w:rFonts w:ascii="Palatino Linotype" w:eastAsia="Palatino Linotype" w:hAnsi="Palatino Linotype" w:cs="Palatino Linotype"/>
          <w:b/>
          <w:i/>
          <w:sz w:val="22"/>
          <w:szCs w:val="22"/>
        </w:rPr>
        <w:t>Unidades de Transparencia</w:t>
      </w:r>
      <w:r w:rsidRPr="005F3B01">
        <w:rPr>
          <w:rFonts w:ascii="Palatino Linotype" w:eastAsia="Palatino Linotype" w:hAnsi="Palatino Linotype" w:cs="Palatino Linotype"/>
          <w:i/>
          <w:sz w:val="22"/>
          <w:szCs w:val="22"/>
        </w:rPr>
        <w:t xml:space="preserve"> tendrán las siguientes </w:t>
      </w:r>
      <w:r w:rsidRPr="005F3B01">
        <w:rPr>
          <w:rFonts w:ascii="Palatino Linotype" w:eastAsia="Palatino Linotype" w:hAnsi="Palatino Linotype" w:cs="Palatino Linotype"/>
          <w:b/>
          <w:i/>
          <w:sz w:val="22"/>
          <w:szCs w:val="22"/>
        </w:rPr>
        <w:t>funciones</w:t>
      </w:r>
      <w:r w:rsidRPr="005F3B01">
        <w:rPr>
          <w:rFonts w:ascii="Palatino Linotype" w:eastAsia="Palatino Linotype" w:hAnsi="Palatino Linotype" w:cs="Palatino Linotype"/>
          <w:i/>
          <w:sz w:val="22"/>
          <w:szCs w:val="22"/>
        </w:rPr>
        <w:t>:</w:t>
      </w:r>
    </w:p>
    <w:p w14:paraId="113AFE98" w14:textId="77777777" w:rsidR="0033428A" w:rsidRPr="005F3B01" w:rsidRDefault="00E068AF">
      <w:pPr>
        <w:spacing w:before="120" w:after="120"/>
        <w:ind w:left="993"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X. Presentar ante el Comité, el proyecto de clasificación de información</w:t>
      </w:r>
      <w:r w:rsidRPr="005F3B01">
        <w:rPr>
          <w:rFonts w:ascii="Palatino Linotype" w:eastAsia="Palatino Linotype" w:hAnsi="Palatino Linotype" w:cs="Palatino Linotype"/>
          <w:i/>
          <w:sz w:val="22"/>
          <w:szCs w:val="22"/>
        </w:rPr>
        <w:t xml:space="preserve">…” </w:t>
      </w:r>
    </w:p>
    <w:p w14:paraId="1F45D9B9" w14:textId="77777777" w:rsidR="0033428A" w:rsidRPr="005F3B01" w:rsidRDefault="00E068AF">
      <w:pPr>
        <w:spacing w:before="120" w:after="12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“Artículo 59.</w:t>
      </w:r>
      <w:r w:rsidRPr="005F3B01">
        <w:rPr>
          <w:rFonts w:ascii="Palatino Linotype" w:eastAsia="Palatino Linotype" w:hAnsi="Palatino Linotype" w:cs="Palatino Linotype"/>
          <w:i/>
          <w:sz w:val="22"/>
          <w:szCs w:val="22"/>
        </w:rPr>
        <w:t xml:space="preserve"> Los </w:t>
      </w:r>
      <w:r w:rsidRPr="005F3B01">
        <w:rPr>
          <w:rFonts w:ascii="Palatino Linotype" w:eastAsia="Palatino Linotype" w:hAnsi="Palatino Linotype" w:cs="Palatino Linotype"/>
          <w:b/>
          <w:i/>
          <w:sz w:val="22"/>
          <w:szCs w:val="22"/>
        </w:rPr>
        <w:t>servidores públicos habilitados</w:t>
      </w:r>
      <w:r w:rsidRPr="005F3B01">
        <w:rPr>
          <w:rFonts w:ascii="Palatino Linotype" w:eastAsia="Palatino Linotype" w:hAnsi="Palatino Linotype" w:cs="Palatino Linotype"/>
          <w:i/>
          <w:sz w:val="22"/>
          <w:szCs w:val="22"/>
        </w:rPr>
        <w:t xml:space="preserve"> tendrán las </w:t>
      </w:r>
      <w:r w:rsidRPr="005F3B01">
        <w:rPr>
          <w:rFonts w:ascii="Palatino Linotype" w:eastAsia="Palatino Linotype" w:hAnsi="Palatino Linotype" w:cs="Palatino Linotype"/>
          <w:b/>
          <w:i/>
          <w:sz w:val="22"/>
          <w:szCs w:val="22"/>
        </w:rPr>
        <w:t>funciones</w:t>
      </w:r>
      <w:r w:rsidRPr="005F3B01">
        <w:rPr>
          <w:rFonts w:ascii="Palatino Linotype" w:eastAsia="Palatino Linotype" w:hAnsi="Palatino Linotype" w:cs="Palatino Linotype"/>
          <w:i/>
          <w:sz w:val="22"/>
          <w:szCs w:val="22"/>
        </w:rPr>
        <w:t xml:space="preserve"> siguientes:</w:t>
      </w:r>
    </w:p>
    <w:p w14:paraId="55BE5324" w14:textId="77777777" w:rsidR="0033428A" w:rsidRPr="005F3B01" w:rsidRDefault="00E068AF">
      <w:pPr>
        <w:spacing w:before="120" w:after="120"/>
        <w:ind w:left="851" w:right="900"/>
        <w:jc w:val="both"/>
        <w:rPr>
          <w:rFonts w:ascii="Palatino Linotype" w:eastAsia="Palatino Linotype" w:hAnsi="Palatino Linotype" w:cs="Palatino Linotype"/>
          <w:i/>
          <w:sz w:val="22"/>
          <w:szCs w:val="22"/>
        </w:rPr>
      </w:pPr>
      <w:r w:rsidRPr="005F3B0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F3B01">
        <w:rPr>
          <w:rFonts w:ascii="Palatino Linotype" w:eastAsia="Palatino Linotype" w:hAnsi="Palatino Linotype" w:cs="Palatino Linotype"/>
          <w:i/>
          <w:sz w:val="22"/>
          <w:szCs w:val="22"/>
        </w:rPr>
        <w:t>, la cual tendrá los fundamentos y argumentos en que se basa dicha propuesta…”</w:t>
      </w:r>
    </w:p>
    <w:p w14:paraId="01886A1E"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5F3B01">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695BB2CC" w14:textId="77777777" w:rsidR="0033428A" w:rsidRPr="005F3B01" w:rsidRDefault="00E068AF">
      <w:pPr>
        <w:spacing w:before="240" w:after="240" w:line="360" w:lineRule="auto"/>
        <w:ind w:right="49"/>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DE73B43"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b/>
          <w:i/>
          <w:sz w:val="22"/>
          <w:szCs w:val="21"/>
        </w:rPr>
      </w:pPr>
      <w:r w:rsidRPr="005F3B01">
        <w:rPr>
          <w:rFonts w:ascii="Palatino Linotype" w:eastAsia="Palatino Linotype" w:hAnsi="Palatino Linotype" w:cs="Palatino Linotype"/>
          <w:i/>
          <w:sz w:val="22"/>
          <w:szCs w:val="21"/>
        </w:rPr>
        <w:t>“</w:t>
      </w:r>
      <w:r w:rsidRPr="005F3B01">
        <w:rPr>
          <w:rFonts w:ascii="Palatino Linotype" w:eastAsia="Palatino Linotype" w:hAnsi="Palatino Linotype" w:cs="Palatino Linotype"/>
          <w:b/>
          <w:i/>
          <w:sz w:val="22"/>
          <w:szCs w:val="21"/>
        </w:rPr>
        <w:t>Artículo 132.</w:t>
      </w:r>
      <w:r w:rsidRPr="005F3B01">
        <w:rPr>
          <w:rFonts w:ascii="Palatino Linotype" w:eastAsia="Palatino Linotype" w:hAnsi="Palatino Linotype" w:cs="Palatino Linotype"/>
          <w:i/>
          <w:sz w:val="22"/>
          <w:szCs w:val="21"/>
        </w:rPr>
        <w:t xml:space="preserve"> </w:t>
      </w:r>
      <w:r w:rsidRPr="005F3B01">
        <w:rPr>
          <w:rFonts w:ascii="Palatino Linotype" w:eastAsia="Palatino Linotype" w:hAnsi="Palatino Linotype" w:cs="Palatino Linotype"/>
          <w:b/>
          <w:i/>
          <w:sz w:val="22"/>
          <w:szCs w:val="21"/>
        </w:rPr>
        <w:t>La clasificación de la información se llevará a cabo en el momento en que:</w:t>
      </w:r>
    </w:p>
    <w:p w14:paraId="2AD96803"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w:t>
      </w:r>
    </w:p>
    <w:p w14:paraId="7177F981"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II.</w:t>
      </w:r>
      <w:r w:rsidRPr="005F3B01">
        <w:rPr>
          <w:rFonts w:ascii="Palatino Linotype" w:eastAsia="Palatino Linotype" w:hAnsi="Palatino Linotype" w:cs="Palatino Linotype"/>
          <w:i/>
          <w:sz w:val="22"/>
          <w:szCs w:val="21"/>
        </w:rPr>
        <w:t xml:space="preserve"> Se determine mediante resolución de autoridad competente; o</w:t>
      </w:r>
    </w:p>
    <w:p w14:paraId="22ABAF78"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III</w:t>
      </w:r>
      <w:r w:rsidRPr="005F3B01">
        <w:rPr>
          <w:rFonts w:ascii="Palatino Linotype" w:eastAsia="Palatino Linotype" w:hAnsi="Palatino Linotype" w:cs="Palatino Linotype"/>
          <w:i/>
          <w:sz w:val="22"/>
          <w:szCs w:val="21"/>
        </w:rPr>
        <w:t xml:space="preserve">. </w:t>
      </w:r>
      <w:r w:rsidRPr="005F3B01">
        <w:rPr>
          <w:rFonts w:ascii="Palatino Linotype" w:eastAsia="Palatino Linotype" w:hAnsi="Palatino Linotype" w:cs="Palatino Linotype"/>
          <w:b/>
          <w:i/>
          <w:sz w:val="22"/>
          <w:szCs w:val="21"/>
        </w:rPr>
        <w:t>Se generen versiones públicas para dar cumplimiento a las obligaciones de transparencia previstas en esta Ley</w:t>
      </w:r>
      <w:r w:rsidRPr="005F3B01">
        <w:rPr>
          <w:rFonts w:ascii="Palatino Linotype" w:eastAsia="Palatino Linotype" w:hAnsi="Palatino Linotype" w:cs="Palatino Linotype"/>
          <w:i/>
          <w:sz w:val="22"/>
          <w:szCs w:val="21"/>
        </w:rPr>
        <w:t>.”</w:t>
      </w:r>
    </w:p>
    <w:p w14:paraId="2F774DC2"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w:t>
      </w:r>
      <w:proofErr w:type="gramStart"/>
      <w:r w:rsidRPr="005F3B01">
        <w:rPr>
          <w:rFonts w:ascii="Palatino Linotype" w:eastAsia="Palatino Linotype" w:hAnsi="Palatino Linotype" w:cs="Palatino Linotype"/>
          <w:b/>
          <w:i/>
          <w:sz w:val="22"/>
          <w:szCs w:val="21"/>
        </w:rPr>
        <w:t>Segundo.-</w:t>
      </w:r>
      <w:proofErr w:type="gramEnd"/>
      <w:r w:rsidRPr="005F3B01">
        <w:rPr>
          <w:rFonts w:ascii="Palatino Linotype" w:eastAsia="Palatino Linotype" w:hAnsi="Palatino Linotype" w:cs="Palatino Linotype"/>
          <w:i/>
          <w:sz w:val="22"/>
          <w:szCs w:val="21"/>
        </w:rPr>
        <w:t xml:space="preserve"> Para efectos de los presentes Lineamientos Generales, se entenderá por:</w:t>
      </w:r>
    </w:p>
    <w:p w14:paraId="0EEEEA0A"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XVIII.</w:t>
      </w:r>
      <w:r w:rsidRPr="005F3B01">
        <w:rPr>
          <w:rFonts w:ascii="Palatino Linotype" w:eastAsia="Palatino Linotype" w:hAnsi="Palatino Linotype" w:cs="Palatino Linotype"/>
          <w:i/>
          <w:sz w:val="22"/>
          <w:szCs w:val="21"/>
        </w:rPr>
        <w:t xml:space="preserve"> </w:t>
      </w:r>
      <w:r w:rsidRPr="005F3B01">
        <w:rPr>
          <w:rFonts w:ascii="Palatino Linotype" w:eastAsia="Palatino Linotype" w:hAnsi="Palatino Linotype" w:cs="Palatino Linotype"/>
          <w:b/>
          <w:i/>
          <w:sz w:val="22"/>
          <w:szCs w:val="21"/>
        </w:rPr>
        <w:t>Versión pública:</w:t>
      </w:r>
      <w:r w:rsidRPr="005F3B01">
        <w:rPr>
          <w:rFonts w:ascii="Palatino Linotype" w:eastAsia="Palatino Linotype" w:hAnsi="Palatino Linotype" w:cs="Palatino Linotype"/>
          <w:i/>
          <w:sz w:val="22"/>
          <w:szCs w:val="21"/>
        </w:rPr>
        <w:t xml:space="preserve"> El documento a partir del que se otorga acceso a la información, en el que se testan partes o secciones clasificadas, indicando el contenido de éstas de manera genérica, </w:t>
      </w:r>
      <w:r w:rsidRPr="005F3B01">
        <w:rPr>
          <w:rFonts w:ascii="Palatino Linotype" w:eastAsia="Palatino Linotype" w:hAnsi="Palatino Linotype" w:cs="Palatino Linotype"/>
          <w:b/>
          <w:i/>
          <w:sz w:val="22"/>
          <w:szCs w:val="21"/>
        </w:rPr>
        <w:t>fundando y motivando la</w:t>
      </w:r>
      <w:r w:rsidRPr="005F3B01">
        <w:rPr>
          <w:rFonts w:ascii="Palatino Linotype" w:eastAsia="Palatino Linotype" w:hAnsi="Palatino Linotype" w:cs="Palatino Linotype"/>
          <w:i/>
          <w:sz w:val="22"/>
          <w:szCs w:val="21"/>
        </w:rPr>
        <w:t xml:space="preserve"> reserva o </w:t>
      </w:r>
      <w:r w:rsidRPr="005F3B01">
        <w:rPr>
          <w:rFonts w:ascii="Palatino Linotype" w:eastAsia="Palatino Linotype" w:hAnsi="Palatino Linotype" w:cs="Palatino Linotype"/>
          <w:b/>
          <w:i/>
          <w:sz w:val="22"/>
          <w:szCs w:val="21"/>
        </w:rPr>
        <w:t>confidencialidad</w:t>
      </w:r>
      <w:r w:rsidRPr="005F3B01">
        <w:rPr>
          <w:rFonts w:ascii="Palatino Linotype" w:eastAsia="Palatino Linotype" w:hAnsi="Palatino Linotype" w:cs="Palatino Linotype"/>
          <w:i/>
          <w:sz w:val="22"/>
          <w:szCs w:val="21"/>
        </w:rPr>
        <w:t>, a través de la resolución que para tal efecto emita el Comité de Transparencia.</w:t>
      </w:r>
    </w:p>
    <w:p w14:paraId="7E953DF2"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Cuarto.</w:t>
      </w:r>
      <w:r w:rsidRPr="005F3B01">
        <w:rPr>
          <w:rFonts w:ascii="Palatino Linotype" w:eastAsia="Palatino Linotype" w:hAnsi="Palatino Linotype" w:cs="Palatino Linotype"/>
          <w:i/>
          <w:sz w:val="22"/>
          <w:szCs w:val="21"/>
        </w:rPr>
        <w:t xml:space="preserve"> </w:t>
      </w:r>
      <w:r w:rsidRPr="005F3B01">
        <w:rPr>
          <w:rFonts w:ascii="Palatino Linotype" w:eastAsia="Palatino Linotype" w:hAnsi="Palatino Linotype" w:cs="Palatino Linotype"/>
          <w:b/>
          <w:i/>
          <w:sz w:val="22"/>
          <w:szCs w:val="21"/>
        </w:rPr>
        <w:t>Para clasificar la información como</w:t>
      </w:r>
      <w:r w:rsidRPr="005F3B01">
        <w:rPr>
          <w:rFonts w:ascii="Palatino Linotype" w:eastAsia="Palatino Linotype" w:hAnsi="Palatino Linotype" w:cs="Palatino Linotype"/>
          <w:i/>
          <w:sz w:val="22"/>
          <w:szCs w:val="21"/>
        </w:rPr>
        <w:t xml:space="preserve"> reservada o </w:t>
      </w:r>
      <w:r w:rsidRPr="005F3B01">
        <w:rPr>
          <w:rFonts w:ascii="Palatino Linotype" w:eastAsia="Palatino Linotype" w:hAnsi="Palatino Linotype" w:cs="Palatino Linotype"/>
          <w:b/>
          <w:i/>
          <w:sz w:val="22"/>
          <w:szCs w:val="21"/>
        </w:rPr>
        <w:t>confidencial, de manera total o parcial, el titular del área del sujeto obligado deberá atender lo dispuesto por el Título Sexto de la Ley General</w:t>
      </w:r>
      <w:r w:rsidRPr="005F3B01">
        <w:rPr>
          <w:rFonts w:ascii="Palatino Linotype" w:eastAsia="Palatino Linotype" w:hAnsi="Palatino Linotype" w:cs="Palatino Linotype"/>
          <w:i/>
          <w:sz w:val="22"/>
          <w:szCs w:val="21"/>
        </w:rPr>
        <w:t xml:space="preserve">, en relación con las disposiciones contenidas en los presentes lineamientos, así como en aquellas disposiciones legales aplicables a la materia en el ámbito de sus </w:t>
      </w:r>
      <w:r w:rsidRPr="005F3B01">
        <w:rPr>
          <w:rFonts w:ascii="Palatino Linotype" w:eastAsia="Palatino Linotype" w:hAnsi="Palatino Linotype" w:cs="Palatino Linotype"/>
          <w:i/>
          <w:sz w:val="22"/>
          <w:szCs w:val="21"/>
        </w:rPr>
        <w:lastRenderedPageBreak/>
        <w:t>respectivas competencias, en tanto estas últimas no contravengan lo dispuesto en la Ley General.</w:t>
      </w:r>
    </w:p>
    <w:p w14:paraId="3E767595"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Los sujetos obligados deberán aplicar, de manera estricta, las excepciones al derecho de acceso a la información y sólo podrán invocarlas cuando acrediten su procedencia.</w:t>
      </w:r>
    </w:p>
    <w:p w14:paraId="6189BAF4"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Quinto.</w:t>
      </w:r>
      <w:r w:rsidRPr="005F3B01">
        <w:rPr>
          <w:rFonts w:ascii="Palatino Linotype" w:eastAsia="Palatino Linotype" w:hAnsi="Palatino Linotype" w:cs="Palatino Linotype"/>
          <w:i/>
          <w:sz w:val="22"/>
          <w:szCs w:val="2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BD61D12"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Sexto.</w:t>
      </w:r>
      <w:r w:rsidRPr="005F3B01">
        <w:rPr>
          <w:rFonts w:ascii="Palatino Linotype" w:eastAsia="Palatino Linotype" w:hAnsi="Palatino Linotype" w:cs="Palatino Linotype"/>
          <w:i/>
          <w:sz w:val="22"/>
          <w:szCs w:val="21"/>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0263419"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La clasificación de información se realizará conforme a un análisis caso por caso, mediante la aplicación de la prueba de daño y de interés público.</w:t>
      </w:r>
    </w:p>
    <w:p w14:paraId="34A986F6"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Séptimo.</w:t>
      </w:r>
      <w:r w:rsidRPr="005F3B01">
        <w:rPr>
          <w:rFonts w:ascii="Palatino Linotype" w:eastAsia="Palatino Linotype" w:hAnsi="Palatino Linotype" w:cs="Palatino Linotype"/>
          <w:i/>
          <w:sz w:val="22"/>
          <w:szCs w:val="21"/>
        </w:rPr>
        <w:t xml:space="preserve"> La clasificación de la información se llevará a cabo en el momento en que:</w:t>
      </w:r>
    </w:p>
    <w:p w14:paraId="66AB6A13"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I.</w:t>
      </w:r>
      <w:r w:rsidRPr="005F3B01">
        <w:rPr>
          <w:rFonts w:ascii="Palatino Linotype" w:eastAsia="Palatino Linotype" w:hAnsi="Palatino Linotype" w:cs="Palatino Linotype"/>
          <w:i/>
          <w:sz w:val="22"/>
          <w:szCs w:val="21"/>
        </w:rPr>
        <w:t xml:space="preserve"> Se reciba una solicitud de acceso a la información;</w:t>
      </w:r>
    </w:p>
    <w:p w14:paraId="59114B85"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II.</w:t>
      </w:r>
      <w:r w:rsidRPr="005F3B01">
        <w:rPr>
          <w:rFonts w:ascii="Palatino Linotype" w:eastAsia="Palatino Linotype" w:hAnsi="Palatino Linotype" w:cs="Palatino Linotype"/>
          <w:i/>
          <w:sz w:val="22"/>
          <w:szCs w:val="21"/>
        </w:rPr>
        <w:t xml:space="preserve"> Se determine mediante resolución de autoridad competente, o</w:t>
      </w:r>
    </w:p>
    <w:p w14:paraId="078B0762" w14:textId="77777777" w:rsidR="0033428A" w:rsidRPr="005F3B01" w:rsidRDefault="00E068AF">
      <w:pPr>
        <w:tabs>
          <w:tab w:val="left" w:pos="8222"/>
        </w:tabs>
        <w:spacing w:before="120" w:after="120"/>
        <w:ind w:left="1134"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III.</w:t>
      </w:r>
      <w:r w:rsidRPr="005F3B01">
        <w:rPr>
          <w:rFonts w:ascii="Palatino Linotype" w:eastAsia="Palatino Linotype" w:hAnsi="Palatino Linotype" w:cs="Palatino Linotype"/>
          <w:i/>
          <w:sz w:val="22"/>
          <w:szCs w:val="21"/>
        </w:rPr>
        <w:t xml:space="preserve"> Se generen versiones públicas para dar cumplimiento a las obligaciones de transparencia previstas en la Ley General, la Ley Federal y las correspondientes de las entidades federativas.</w:t>
      </w:r>
    </w:p>
    <w:p w14:paraId="7BA6FAD0"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Los titulares de las áreas deberán revisar la clasificación al momento de la recepción de una solicitud de acceso a la información, para verificar si encuadra en una causal de reserva o de confidencialidad.</w:t>
      </w:r>
    </w:p>
    <w:p w14:paraId="4FF0F0F4"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Octavo.</w:t>
      </w:r>
      <w:r w:rsidRPr="005F3B01">
        <w:rPr>
          <w:rFonts w:ascii="Palatino Linotype" w:eastAsia="Palatino Linotype" w:hAnsi="Palatino Linotype" w:cs="Palatino Linotype"/>
          <w:i/>
          <w:sz w:val="22"/>
          <w:szCs w:val="21"/>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588FFD"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lastRenderedPageBreak/>
        <w:t>Para motivar la clasificación se deberán señalar las razones o circunstancias especiales que lo llevaron a concluir que el caso particular se ajusta al supuesto previsto por la norma legal invocada como fundamento.</w:t>
      </w:r>
    </w:p>
    <w:p w14:paraId="0598C477"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En caso de referirse a información reservada, la motivación de la clasificación también deberá comprender las circunstancias que justifican el establecimiento de determinado plazo de reserva.</w:t>
      </w:r>
    </w:p>
    <w:p w14:paraId="50B5BDC1"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3D7B9D"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Los documentos contenidos en los archivos históricos y los identificados como históricos confidenciales no serán susceptibles de clasificación como reservados.</w:t>
      </w:r>
    </w:p>
    <w:p w14:paraId="3CBC2275"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Noveno.</w:t>
      </w:r>
      <w:r w:rsidRPr="005F3B01">
        <w:rPr>
          <w:rFonts w:ascii="Palatino Linotype" w:eastAsia="Palatino Linotype" w:hAnsi="Palatino Linotype" w:cs="Palatino Linotype"/>
          <w:i/>
          <w:sz w:val="22"/>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82B5FA"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Décimo.</w:t>
      </w:r>
      <w:r w:rsidRPr="005F3B01">
        <w:rPr>
          <w:rFonts w:ascii="Palatino Linotype" w:eastAsia="Palatino Linotype" w:hAnsi="Palatino Linotype" w:cs="Palatino Linotype"/>
          <w:i/>
          <w:sz w:val="22"/>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98BF8A2"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En ausencia de los titulares de las áreas, la información será clasificada o desclasificada por la persona que lo supla, en términos de la normativa que rija la actuación del sujeto obligado.</w:t>
      </w:r>
    </w:p>
    <w:p w14:paraId="39CE3D43" w14:textId="77777777" w:rsidR="0033428A" w:rsidRPr="005F3B01" w:rsidRDefault="00E068AF">
      <w:pPr>
        <w:tabs>
          <w:tab w:val="left" w:pos="8222"/>
        </w:tabs>
        <w:spacing w:before="120" w:after="120"/>
        <w:ind w:left="851" w:right="1134"/>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Décimo primero.</w:t>
      </w:r>
      <w:r w:rsidRPr="005F3B01">
        <w:rPr>
          <w:rFonts w:ascii="Palatino Linotype" w:eastAsia="Palatino Linotype" w:hAnsi="Palatino Linotype" w:cs="Palatino Linotype"/>
          <w:i/>
          <w:sz w:val="22"/>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38110816" w14:textId="77777777" w:rsidR="0033428A" w:rsidRPr="005F3B01" w:rsidRDefault="00E068AF">
      <w:pPr>
        <w:ind w:left="851" w:right="900"/>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 xml:space="preserve">“Artículo 143. </w:t>
      </w:r>
      <w:r w:rsidRPr="005F3B01">
        <w:rPr>
          <w:rFonts w:ascii="Palatino Linotype" w:eastAsia="Palatino Linotype" w:hAnsi="Palatino Linotype" w:cs="Palatino Linotype"/>
          <w:i/>
          <w:sz w:val="22"/>
          <w:szCs w:val="21"/>
        </w:rPr>
        <w:t>Para los efectos de esta Ley se considera información confidencial, la clasificada como tal, de manera permanente, por su naturaleza, cuando:</w:t>
      </w:r>
    </w:p>
    <w:p w14:paraId="006FF82E" w14:textId="77777777" w:rsidR="0033428A" w:rsidRPr="005F3B01" w:rsidRDefault="00E068AF">
      <w:pPr>
        <w:ind w:left="1134" w:right="900"/>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 xml:space="preserve">I. </w:t>
      </w:r>
      <w:r w:rsidRPr="005F3B01">
        <w:rPr>
          <w:rFonts w:ascii="Palatino Linotype" w:eastAsia="Palatino Linotype" w:hAnsi="Palatino Linotype" w:cs="Palatino Linotype"/>
          <w:i/>
          <w:sz w:val="22"/>
          <w:szCs w:val="21"/>
        </w:rPr>
        <w:t>Se refiera a la información privada y los datos personales concernientes a una persona física o jurídico colectiva identificada o identificable;</w:t>
      </w:r>
    </w:p>
    <w:p w14:paraId="6290BB6D" w14:textId="77777777" w:rsidR="0033428A" w:rsidRPr="005F3B01" w:rsidRDefault="00E068AF">
      <w:pPr>
        <w:ind w:left="1134" w:right="900"/>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 xml:space="preserve">II. </w:t>
      </w:r>
      <w:r w:rsidRPr="005F3B01">
        <w:rPr>
          <w:rFonts w:ascii="Palatino Linotype" w:eastAsia="Palatino Linotype" w:hAnsi="Palatino Linotype" w:cs="Palatino Linotype"/>
          <w:i/>
          <w:sz w:val="22"/>
          <w:szCs w:val="21"/>
        </w:rPr>
        <w:t xml:space="preserve">Los secretos bancario, fiduciario, industrial, comercial, fiscal, bursátil y postal, cuya titularidad corresponda a particulares, sujetos de derecho </w:t>
      </w:r>
      <w:r w:rsidRPr="005F3B01">
        <w:rPr>
          <w:rFonts w:ascii="Palatino Linotype" w:eastAsia="Palatino Linotype" w:hAnsi="Palatino Linotype" w:cs="Palatino Linotype"/>
          <w:i/>
          <w:sz w:val="22"/>
          <w:szCs w:val="21"/>
        </w:rPr>
        <w:lastRenderedPageBreak/>
        <w:t>internacional o a sujetos obligados cuando no involucren el ejercicio de recursos públicos; y</w:t>
      </w:r>
    </w:p>
    <w:p w14:paraId="65731FB6" w14:textId="77777777" w:rsidR="0033428A" w:rsidRPr="005F3B01" w:rsidRDefault="00E068AF">
      <w:pPr>
        <w:ind w:left="1134" w:right="900"/>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b/>
          <w:i/>
          <w:sz w:val="22"/>
          <w:szCs w:val="21"/>
        </w:rPr>
        <w:t xml:space="preserve">III. </w:t>
      </w:r>
      <w:r w:rsidRPr="005F3B01">
        <w:rPr>
          <w:rFonts w:ascii="Palatino Linotype" w:eastAsia="Palatino Linotype" w:hAnsi="Palatino Linotype" w:cs="Palatino Linotype"/>
          <w:i/>
          <w:sz w:val="22"/>
          <w:szCs w:val="21"/>
        </w:rPr>
        <w:t>La que presenten los particulares a los sujetos obligados, de conformidad con lo dispuesto por las leyes o los tratados internacionales.</w:t>
      </w:r>
    </w:p>
    <w:p w14:paraId="0C9469A1" w14:textId="77777777" w:rsidR="0033428A" w:rsidRPr="005F3B01" w:rsidRDefault="00E068AF">
      <w:pPr>
        <w:spacing w:before="240" w:after="240"/>
        <w:ind w:left="851" w:right="902"/>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La información confidencial no estará sujeta a temporalidad alguna y sólo podrán tener acceso a ella los titulares de la misma, sus representantes y los servidores públicos facultados para ello.</w:t>
      </w:r>
    </w:p>
    <w:p w14:paraId="34A4F72B" w14:textId="77777777" w:rsidR="0033428A" w:rsidRPr="005F3B01" w:rsidRDefault="00E068AF">
      <w:pPr>
        <w:spacing w:before="240" w:after="240"/>
        <w:ind w:left="851" w:right="902"/>
        <w:jc w:val="both"/>
        <w:rPr>
          <w:rFonts w:ascii="Palatino Linotype" w:eastAsia="Palatino Linotype" w:hAnsi="Palatino Linotype" w:cs="Palatino Linotype"/>
          <w:i/>
          <w:sz w:val="22"/>
          <w:szCs w:val="21"/>
        </w:rPr>
      </w:pPr>
      <w:r w:rsidRPr="005F3B01">
        <w:rPr>
          <w:rFonts w:ascii="Palatino Linotype" w:eastAsia="Palatino Linotype" w:hAnsi="Palatino Linotype" w:cs="Palatino Linotype"/>
          <w:i/>
          <w:sz w:val="22"/>
          <w:szCs w:val="21"/>
        </w:rPr>
        <w:t>No se considerará confidencial la información que se encuentre en los registros públicos o en fuentes de acceso público, ni tampoco la que sea considerada por la presente ley como información pública.”</w:t>
      </w:r>
    </w:p>
    <w:p w14:paraId="37AAF082"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5F3B01">
        <w:rPr>
          <w:rFonts w:ascii="Palatino Linotype" w:eastAsia="Palatino Linotype" w:hAnsi="Palatino Linotype" w:cs="Palatino Linotype"/>
        </w:rPr>
        <w:t>supraindicados</w:t>
      </w:r>
      <w:proofErr w:type="spellEnd"/>
      <w:r w:rsidRPr="005F3B01">
        <w:rPr>
          <w:rFonts w:ascii="Palatino Linotype" w:eastAsia="Palatino Linotype" w:hAnsi="Palatino Linotype" w:cs="Palatino Linotype"/>
        </w:rPr>
        <w:t xml:space="preserve">, que establecen los formatos para la clasificación parcial y total de los documentos, conforme a lo siguiente: </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5F3B01" w:rsidRPr="005F3B01" w14:paraId="1E7AC07F" w14:textId="77777777" w:rsidTr="00334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33D9746F" w14:textId="77777777" w:rsidR="0033428A" w:rsidRPr="005F3B01" w:rsidRDefault="00E068AF">
            <w:pPr>
              <w:jc w:val="center"/>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Parcial</w:t>
            </w:r>
          </w:p>
        </w:tc>
        <w:tc>
          <w:tcPr>
            <w:tcW w:w="4414" w:type="dxa"/>
            <w:gridSpan w:val="2"/>
          </w:tcPr>
          <w:p w14:paraId="38548B8F" w14:textId="77777777" w:rsidR="0033428A" w:rsidRPr="005F3B01" w:rsidRDefault="00E068AF">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Total</w:t>
            </w:r>
          </w:p>
        </w:tc>
      </w:tr>
      <w:tr w:rsidR="005F3B01" w:rsidRPr="005F3B01" w14:paraId="64C061DF"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6378FEB" w14:textId="77777777" w:rsidR="0033428A" w:rsidRPr="005F3B01" w:rsidRDefault="00E068AF">
            <w:pPr>
              <w:jc w:val="center"/>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Concepto</w:t>
            </w:r>
          </w:p>
        </w:tc>
        <w:tc>
          <w:tcPr>
            <w:tcW w:w="3421" w:type="dxa"/>
          </w:tcPr>
          <w:p w14:paraId="7C9904A8" w14:textId="77777777" w:rsidR="0033428A" w:rsidRPr="005F3B01" w:rsidRDefault="00E068A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Dónde</w:t>
            </w:r>
          </w:p>
        </w:tc>
        <w:tc>
          <w:tcPr>
            <w:tcW w:w="968" w:type="dxa"/>
          </w:tcPr>
          <w:p w14:paraId="15549C84" w14:textId="77777777" w:rsidR="0033428A" w:rsidRPr="005F3B01" w:rsidRDefault="00E068A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Concepto</w:t>
            </w:r>
          </w:p>
        </w:tc>
        <w:tc>
          <w:tcPr>
            <w:tcW w:w="3446" w:type="dxa"/>
          </w:tcPr>
          <w:p w14:paraId="6A05349D" w14:textId="77777777" w:rsidR="0033428A" w:rsidRPr="005F3B01" w:rsidRDefault="00E068A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Dónde</w:t>
            </w:r>
          </w:p>
        </w:tc>
      </w:tr>
      <w:tr w:rsidR="005F3B01" w:rsidRPr="005F3B01" w14:paraId="5B36146F" w14:textId="77777777" w:rsidTr="0033428A">
        <w:tc>
          <w:tcPr>
            <w:cnfStyle w:val="001000000000" w:firstRow="0" w:lastRow="0" w:firstColumn="1" w:lastColumn="0" w:oddVBand="0" w:evenVBand="0" w:oddHBand="0" w:evenHBand="0" w:firstRowFirstColumn="0" w:firstRowLastColumn="0" w:lastRowFirstColumn="0" w:lastRowLastColumn="0"/>
            <w:tcW w:w="8828" w:type="dxa"/>
            <w:gridSpan w:val="4"/>
          </w:tcPr>
          <w:p w14:paraId="437784FF" w14:textId="77777777" w:rsidR="0033428A" w:rsidRPr="005F3B01" w:rsidRDefault="00E068AF">
            <w:pPr>
              <w:jc w:val="center"/>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Sello oficial o logotipo del sujeto obligado</w:t>
            </w:r>
          </w:p>
        </w:tc>
      </w:tr>
      <w:tr w:rsidR="005F3B01" w:rsidRPr="005F3B01" w14:paraId="3BA95D06"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4BAD272"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Fecha de clasificación</w:t>
            </w:r>
          </w:p>
        </w:tc>
        <w:tc>
          <w:tcPr>
            <w:tcW w:w="3421" w:type="dxa"/>
          </w:tcPr>
          <w:p w14:paraId="4E283D60"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8C75D2B"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Fecha de clasificación</w:t>
            </w:r>
          </w:p>
        </w:tc>
        <w:tc>
          <w:tcPr>
            <w:tcW w:w="3446" w:type="dxa"/>
          </w:tcPr>
          <w:p w14:paraId="134E3DE6"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F3B01" w:rsidRPr="005F3B01" w14:paraId="767A6712"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6B62790F"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Área</w:t>
            </w:r>
          </w:p>
        </w:tc>
        <w:tc>
          <w:tcPr>
            <w:tcW w:w="3421" w:type="dxa"/>
          </w:tcPr>
          <w:p w14:paraId="3BCB1209"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área del cual es titular quien clasifica.</w:t>
            </w:r>
          </w:p>
        </w:tc>
        <w:tc>
          <w:tcPr>
            <w:tcW w:w="968" w:type="dxa"/>
          </w:tcPr>
          <w:p w14:paraId="787FB829"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Área</w:t>
            </w:r>
          </w:p>
        </w:tc>
        <w:tc>
          <w:tcPr>
            <w:tcW w:w="3446" w:type="dxa"/>
          </w:tcPr>
          <w:p w14:paraId="56C8F561"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área de la cual es el titular quien clasifica.</w:t>
            </w:r>
          </w:p>
        </w:tc>
      </w:tr>
      <w:tr w:rsidR="005F3B01" w:rsidRPr="005F3B01" w14:paraId="5E54772F"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D11FC4"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Información reservada</w:t>
            </w:r>
          </w:p>
        </w:tc>
        <w:tc>
          <w:tcPr>
            <w:tcW w:w="3421" w:type="dxa"/>
          </w:tcPr>
          <w:p w14:paraId="01BC705C"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52F17D8"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Reservado</w:t>
            </w:r>
          </w:p>
        </w:tc>
        <w:tc>
          <w:tcPr>
            <w:tcW w:w="3446" w:type="dxa"/>
          </w:tcPr>
          <w:p w14:paraId="6AB28991"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Leyenda de información RESERVADA.</w:t>
            </w:r>
          </w:p>
        </w:tc>
      </w:tr>
      <w:tr w:rsidR="005F3B01" w:rsidRPr="005F3B01" w14:paraId="7D174328"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696D3B69"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Fundamento legal</w:t>
            </w:r>
          </w:p>
        </w:tc>
        <w:tc>
          <w:tcPr>
            <w:tcW w:w="3421" w:type="dxa"/>
          </w:tcPr>
          <w:p w14:paraId="1E8D1638"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59A2B7A"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Periodo de reserva</w:t>
            </w:r>
          </w:p>
        </w:tc>
        <w:tc>
          <w:tcPr>
            <w:tcW w:w="3446" w:type="dxa"/>
          </w:tcPr>
          <w:p w14:paraId="2682A596"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F3B01" w:rsidRPr="005F3B01" w14:paraId="490788CC"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78434E"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Ampliación del periodo de reserva</w:t>
            </w:r>
          </w:p>
        </w:tc>
        <w:tc>
          <w:tcPr>
            <w:tcW w:w="3421" w:type="dxa"/>
          </w:tcPr>
          <w:p w14:paraId="20BABEDC"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738C841"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Fundamento legal</w:t>
            </w:r>
          </w:p>
        </w:tc>
        <w:tc>
          <w:tcPr>
            <w:tcW w:w="3446" w:type="dxa"/>
          </w:tcPr>
          <w:p w14:paraId="18672BC9"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F3B01" w:rsidRPr="005F3B01" w14:paraId="4826937B"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4117DE97"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Confidencial</w:t>
            </w:r>
          </w:p>
        </w:tc>
        <w:tc>
          <w:tcPr>
            <w:tcW w:w="3421" w:type="dxa"/>
          </w:tcPr>
          <w:p w14:paraId="4BC31096"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5601A25"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Ampliación del periodo de reserva</w:t>
            </w:r>
          </w:p>
        </w:tc>
        <w:tc>
          <w:tcPr>
            <w:tcW w:w="3446" w:type="dxa"/>
          </w:tcPr>
          <w:p w14:paraId="22D7B424"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F3B01" w:rsidRPr="005F3B01" w14:paraId="2D3585D7"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AF4BDB0"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Fundamento legal</w:t>
            </w:r>
          </w:p>
        </w:tc>
        <w:tc>
          <w:tcPr>
            <w:tcW w:w="3421" w:type="dxa"/>
          </w:tcPr>
          <w:p w14:paraId="6A1DC0E8"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27E786C"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Confidencial</w:t>
            </w:r>
          </w:p>
        </w:tc>
        <w:tc>
          <w:tcPr>
            <w:tcW w:w="3446" w:type="dxa"/>
          </w:tcPr>
          <w:p w14:paraId="18DE8F8B"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Leyenda de información CONFIDENCIAL.</w:t>
            </w:r>
          </w:p>
        </w:tc>
      </w:tr>
      <w:tr w:rsidR="005F3B01" w:rsidRPr="005F3B01" w14:paraId="2AE462BE"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795C4160"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Rúbrica del titular del área</w:t>
            </w:r>
          </w:p>
        </w:tc>
        <w:tc>
          <w:tcPr>
            <w:tcW w:w="3421" w:type="dxa"/>
          </w:tcPr>
          <w:p w14:paraId="6344E986"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Rúbrica autógrafa de quien clasifica.</w:t>
            </w:r>
          </w:p>
        </w:tc>
        <w:tc>
          <w:tcPr>
            <w:tcW w:w="968" w:type="dxa"/>
          </w:tcPr>
          <w:p w14:paraId="65BF9803"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Fundamento legal</w:t>
            </w:r>
          </w:p>
        </w:tc>
        <w:tc>
          <w:tcPr>
            <w:tcW w:w="3446" w:type="dxa"/>
          </w:tcPr>
          <w:p w14:paraId="02379F3C"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F3B01" w:rsidRPr="005F3B01" w14:paraId="6CE0E7D2"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ACD15E"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Fecha de desclasificación</w:t>
            </w:r>
          </w:p>
        </w:tc>
        <w:tc>
          <w:tcPr>
            <w:tcW w:w="3421" w:type="dxa"/>
          </w:tcPr>
          <w:p w14:paraId="7EE8D26B"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anotará la fecha en que se desclasifica el documento.</w:t>
            </w:r>
          </w:p>
        </w:tc>
        <w:tc>
          <w:tcPr>
            <w:tcW w:w="968" w:type="dxa"/>
          </w:tcPr>
          <w:p w14:paraId="44DD59D1"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Rúbrica del titular del área</w:t>
            </w:r>
          </w:p>
        </w:tc>
        <w:tc>
          <w:tcPr>
            <w:tcW w:w="3446" w:type="dxa"/>
          </w:tcPr>
          <w:p w14:paraId="7ACB8602"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Rúbrica autógrafa de quien clasifica.</w:t>
            </w:r>
          </w:p>
        </w:tc>
      </w:tr>
      <w:tr w:rsidR="005F3B01" w:rsidRPr="005F3B01" w14:paraId="43247638"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0B2A4F1D" w14:textId="77777777" w:rsidR="0033428A" w:rsidRPr="005F3B01" w:rsidRDefault="00E068AF">
            <w:pPr>
              <w:jc w:val="both"/>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 xml:space="preserve">Rúbrica y cargo del </w:t>
            </w:r>
            <w:r w:rsidRPr="005F3B01">
              <w:rPr>
                <w:rFonts w:ascii="Palatino Linotype" w:eastAsia="Palatino Linotype" w:hAnsi="Palatino Linotype" w:cs="Palatino Linotype"/>
                <w:sz w:val="12"/>
                <w:szCs w:val="12"/>
              </w:rPr>
              <w:lastRenderedPageBreak/>
              <w:t>servidor público</w:t>
            </w:r>
          </w:p>
        </w:tc>
        <w:tc>
          <w:tcPr>
            <w:tcW w:w="3421" w:type="dxa"/>
          </w:tcPr>
          <w:p w14:paraId="7129CDB2"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lastRenderedPageBreak/>
              <w:t>Rúbrica autógrafa de quien desclasifica.</w:t>
            </w:r>
          </w:p>
        </w:tc>
        <w:tc>
          <w:tcPr>
            <w:tcW w:w="968" w:type="dxa"/>
          </w:tcPr>
          <w:p w14:paraId="6BC50E69"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Fecha de desclasificación</w:t>
            </w:r>
          </w:p>
        </w:tc>
        <w:tc>
          <w:tcPr>
            <w:tcW w:w="3446" w:type="dxa"/>
          </w:tcPr>
          <w:p w14:paraId="01C6CFF4"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Se anotará la fecha en que se desclasifica.</w:t>
            </w:r>
          </w:p>
        </w:tc>
      </w:tr>
      <w:tr w:rsidR="005F3B01" w:rsidRPr="005F3B01" w14:paraId="71B54F26" w14:textId="77777777" w:rsidTr="0033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D80D1F" w14:textId="77777777" w:rsidR="0033428A" w:rsidRPr="005F3B01" w:rsidRDefault="0033428A">
            <w:pPr>
              <w:jc w:val="both"/>
              <w:rPr>
                <w:rFonts w:ascii="Palatino Linotype" w:eastAsia="Palatino Linotype" w:hAnsi="Palatino Linotype" w:cs="Palatino Linotype"/>
                <w:sz w:val="12"/>
                <w:szCs w:val="12"/>
              </w:rPr>
            </w:pPr>
          </w:p>
        </w:tc>
        <w:tc>
          <w:tcPr>
            <w:tcW w:w="3421" w:type="dxa"/>
          </w:tcPr>
          <w:p w14:paraId="437C59BE" w14:textId="77777777" w:rsidR="0033428A" w:rsidRPr="005F3B01" w:rsidRDefault="0033428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48BB50E"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Partes o secciones reservadas o confidenciales</w:t>
            </w:r>
          </w:p>
        </w:tc>
        <w:tc>
          <w:tcPr>
            <w:tcW w:w="3446" w:type="dxa"/>
          </w:tcPr>
          <w:p w14:paraId="4EAD8432" w14:textId="77777777" w:rsidR="0033428A" w:rsidRPr="005F3B01" w:rsidRDefault="00E068A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 xml:space="preserve">En caso que una vez desclasificado el expediente, </w:t>
            </w:r>
            <w:proofErr w:type="spellStart"/>
            <w:r w:rsidRPr="005F3B01">
              <w:rPr>
                <w:rFonts w:ascii="Palatino Linotype" w:eastAsia="Palatino Linotype" w:hAnsi="Palatino Linotype" w:cs="Palatino Linotype"/>
                <w:sz w:val="12"/>
                <w:szCs w:val="12"/>
              </w:rPr>
              <w:t>subsistanpartes</w:t>
            </w:r>
            <w:proofErr w:type="spellEnd"/>
            <w:r w:rsidRPr="005F3B01">
              <w:rPr>
                <w:rFonts w:ascii="Palatino Linotype" w:eastAsia="Palatino Linotype" w:hAnsi="Palatino Linotype" w:cs="Palatino Linotype"/>
                <w:sz w:val="12"/>
                <w:szCs w:val="12"/>
              </w:rPr>
              <w:t xml:space="preserve"> o secciones del mismo reservadas o confidenciales, se señalará este hecho.</w:t>
            </w:r>
          </w:p>
        </w:tc>
      </w:tr>
      <w:tr w:rsidR="005F3B01" w:rsidRPr="005F3B01" w14:paraId="10790814" w14:textId="77777777" w:rsidTr="0033428A">
        <w:tc>
          <w:tcPr>
            <w:cnfStyle w:val="001000000000" w:firstRow="0" w:lastRow="0" w:firstColumn="1" w:lastColumn="0" w:oddVBand="0" w:evenVBand="0" w:oddHBand="0" w:evenHBand="0" w:firstRowFirstColumn="0" w:firstRowLastColumn="0" w:lastRowFirstColumn="0" w:lastRowLastColumn="0"/>
            <w:tcW w:w="993" w:type="dxa"/>
          </w:tcPr>
          <w:p w14:paraId="53AA4E9A" w14:textId="77777777" w:rsidR="0033428A" w:rsidRPr="005F3B01" w:rsidRDefault="0033428A">
            <w:pPr>
              <w:jc w:val="both"/>
              <w:rPr>
                <w:rFonts w:ascii="Palatino Linotype" w:eastAsia="Palatino Linotype" w:hAnsi="Palatino Linotype" w:cs="Palatino Linotype"/>
                <w:sz w:val="12"/>
                <w:szCs w:val="12"/>
              </w:rPr>
            </w:pPr>
          </w:p>
        </w:tc>
        <w:tc>
          <w:tcPr>
            <w:tcW w:w="3421" w:type="dxa"/>
          </w:tcPr>
          <w:p w14:paraId="47965611" w14:textId="77777777" w:rsidR="0033428A" w:rsidRPr="005F3B01" w:rsidRDefault="0033428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6D70A822"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F3B01">
              <w:rPr>
                <w:rFonts w:ascii="Palatino Linotype" w:eastAsia="Palatino Linotype" w:hAnsi="Palatino Linotype" w:cs="Palatino Linotype"/>
                <w:b/>
                <w:sz w:val="12"/>
                <w:szCs w:val="12"/>
              </w:rPr>
              <w:t>Rúbrica y cargo del servidor público</w:t>
            </w:r>
          </w:p>
        </w:tc>
        <w:tc>
          <w:tcPr>
            <w:tcW w:w="3446" w:type="dxa"/>
          </w:tcPr>
          <w:p w14:paraId="15EF1804" w14:textId="77777777" w:rsidR="0033428A" w:rsidRPr="005F3B01" w:rsidRDefault="00E068A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F3B01">
              <w:rPr>
                <w:rFonts w:ascii="Palatino Linotype" w:eastAsia="Palatino Linotype" w:hAnsi="Palatino Linotype" w:cs="Palatino Linotype"/>
                <w:sz w:val="12"/>
                <w:szCs w:val="12"/>
              </w:rPr>
              <w:t>Rúbrica autógrafa de quien desclasifica.</w:t>
            </w:r>
          </w:p>
        </w:tc>
      </w:tr>
    </w:tbl>
    <w:p w14:paraId="0E37AAB4" w14:textId="77777777" w:rsidR="0033428A" w:rsidRPr="005F3B01" w:rsidRDefault="0033428A"/>
    <w:p w14:paraId="089C8127" w14:textId="77777777" w:rsidR="0033428A" w:rsidRPr="005F3B01" w:rsidRDefault="00E06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7136CC3" w14:textId="77777777" w:rsidR="0033428A" w:rsidRPr="005F3B01" w:rsidRDefault="00E068A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F3B01">
        <w:rPr>
          <w:rFonts w:ascii="Palatino Linotype" w:eastAsia="Palatino Linotype" w:hAnsi="Palatino Linotype" w:cs="Palatino Linotype"/>
          <w:b/>
        </w:rPr>
        <w:t>III. R E S U E L V E:</w:t>
      </w:r>
    </w:p>
    <w:p w14:paraId="3F406C80" w14:textId="77777777" w:rsidR="0033428A" w:rsidRPr="005F3B01" w:rsidRDefault="00E068AF">
      <w:pPr>
        <w:spacing w:before="240" w:after="240" w:line="360" w:lineRule="auto"/>
        <w:jc w:val="both"/>
        <w:rPr>
          <w:rFonts w:ascii="Palatino Linotype" w:eastAsia="Palatino Linotype" w:hAnsi="Palatino Linotype" w:cs="Palatino Linotype"/>
          <w:b/>
        </w:rPr>
      </w:pPr>
      <w:bookmarkStart w:id="8" w:name="_heading=h.4d34og8" w:colFirst="0" w:colLast="0"/>
      <w:bookmarkEnd w:id="8"/>
      <w:r w:rsidRPr="005F3B01">
        <w:rPr>
          <w:rFonts w:ascii="Palatino Linotype" w:eastAsia="Palatino Linotype" w:hAnsi="Palatino Linotype" w:cs="Palatino Linotype"/>
          <w:b/>
        </w:rPr>
        <w:t xml:space="preserve">Primero. </w:t>
      </w:r>
      <w:r w:rsidRPr="005F3B01">
        <w:rPr>
          <w:rFonts w:ascii="Palatino Linotype" w:eastAsia="Palatino Linotype" w:hAnsi="Palatino Linotype" w:cs="Palatino Linotype"/>
        </w:rPr>
        <w:t>Resultan</w:t>
      </w:r>
      <w:r w:rsidRPr="005F3B01">
        <w:rPr>
          <w:rFonts w:ascii="Palatino Linotype" w:eastAsia="Palatino Linotype" w:hAnsi="Palatino Linotype" w:cs="Palatino Linotype"/>
          <w:b/>
        </w:rPr>
        <w:t xml:space="preserve"> fundados</w:t>
      </w:r>
      <w:r w:rsidRPr="005F3B01">
        <w:rPr>
          <w:rFonts w:ascii="Palatino Linotype" w:eastAsia="Palatino Linotype" w:hAnsi="Palatino Linotype" w:cs="Palatino Linotype"/>
        </w:rPr>
        <w:t xml:space="preserve"> los motivos de inconformidad hechos valer por la parte </w:t>
      </w:r>
      <w:r w:rsidRPr="005F3B01">
        <w:rPr>
          <w:rFonts w:ascii="Palatino Linotype" w:eastAsia="Palatino Linotype" w:hAnsi="Palatino Linotype" w:cs="Palatino Linotype"/>
          <w:b/>
        </w:rPr>
        <w:t xml:space="preserve">Recurrente </w:t>
      </w:r>
      <w:r w:rsidRPr="005F3B01">
        <w:rPr>
          <w:rFonts w:ascii="Palatino Linotype" w:eastAsia="Palatino Linotype" w:hAnsi="Palatino Linotype" w:cs="Palatino Linotype"/>
        </w:rPr>
        <w:t xml:space="preserve">en el recurso de revisión </w:t>
      </w:r>
      <w:r w:rsidRPr="005F3B01">
        <w:rPr>
          <w:rFonts w:ascii="Palatino Linotype" w:eastAsia="Palatino Linotype" w:hAnsi="Palatino Linotype" w:cs="Palatino Linotype"/>
          <w:b/>
        </w:rPr>
        <w:t xml:space="preserve">12249/INFOEM/IP/RR/2022, </w:t>
      </w:r>
      <w:r w:rsidRPr="005F3B01">
        <w:rPr>
          <w:rFonts w:ascii="Palatino Linotype" w:eastAsia="Palatino Linotype" w:hAnsi="Palatino Linotype" w:cs="Palatino Linotype"/>
        </w:rPr>
        <w:t xml:space="preserve">por lo que, en términos del Considerando </w:t>
      </w:r>
      <w:r w:rsidRPr="005F3B01">
        <w:rPr>
          <w:rFonts w:ascii="Palatino Linotype" w:eastAsia="Palatino Linotype" w:hAnsi="Palatino Linotype" w:cs="Palatino Linotype"/>
          <w:b/>
        </w:rPr>
        <w:t>Cuarto</w:t>
      </w:r>
      <w:r w:rsidRPr="005F3B01">
        <w:rPr>
          <w:rFonts w:ascii="Palatino Linotype" w:eastAsia="Palatino Linotype" w:hAnsi="Palatino Linotype" w:cs="Palatino Linotype"/>
        </w:rPr>
        <w:t xml:space="preserve"> de la presente resolución, se</w:t>
      </w:r>
      <w:r w:rsidRPr="005F3B01">
        <w:rPr>
          <w:rFonts w:ascii="Palatino Linotype" w:eastAsia="Palatino Linotype" w:hAnsi="Palatino Linotype" w:cs="Palatino Linotype"/>
          <w:b/>
        </w:rPr>
        <w:t xml:space="preserve"> Revoca </w:t>
      </w:r>
      <w:r w:rsidRPr="005F3B01">
        <w:rPr>
          <w:rFonts w:ascii="Palatino Linotype" w:eastAsia="Palatino Linotype" w:hAnsi="Palatino Linotype" w:cs="Palatino Linotype"/>
        </w:rPr>
        <w:t>la respuesta</w:t>
      </w:r>
      <w:r w:rsidRPr="005F3B01">
        <w:rPr>
          <w:rFonts w:ascii="Palatino Linotype" w:eastAsia="Palatino Linotype" w:hAnsi="Palatino Linotype" w:cs="Palatino Linotype"/>
          <w:b/>
        </w:rPr>
        <w:t xml:space="preserve"> </w:t>
      </w:r>
      <w:r w:rsidRPr="005F3B01">
        <w:rPr>
          <w:rFonts w:ascii="Palatino Linotype" w:eastAsia="Palatino Linotype" w:hAnsi="Palatino Linotype" w:cs="Palatino Linotype"/>
        </w:rPr>
        <w:t xml:space="preserve">del </w:t>
      </w:r>
      <w:r w:rsidRPr="005F3B01">
        <w:rPr>
          <w:rFonts w:ascii="Palatino Linotype" w:eastAsia="Palatino Linotype" w:hAnsi="Palatino Linotype" w:cs="Palatino Linotype"/>
          <w:b/>
        </w:rPr>
        <w:t>Sujeto Obligado.</w:t>
      </w:r>
    </w:p>
    <w:p w14:paraId="258F477D"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Segundo. </w:t>
      </w:r>
      <w:r w:rsidRPr="005F3B01">
        <w:rPr>
          <w:rFonts w:ascii="Palatino Linotype" w:eastAsia="Palatino Linotype" w:hAnsi="Palatino Linotype" w:cs="Palatino Linotype"/>
        </w:rPr>
        <w:t xml:space="preserve">Se </w:t>
      </w:r>
      <w:r w:rsidRPr="005F3B01">
        <w:rPr>
          <w:rFonts w:ascii="Palatino Linotype" w:eastAsia="Palatino Linotype" w:hAnsi="Palatino Linotype" w:cs="Palatino Linotype"/>
          <w:b/>
        </w:rPr>
        <w:t>Ordena</w:t>
      </w:r>
      <w:r w:rsidRPr="005F3B01">
        <w:rPr>
          <w:rFonts w:ascii="Palatino Linotype" w:eastAsia="Palatino Linotype" w:hAnsi="Palatino Linotype" w:cs="Palatino Linotype"/>
        </w:rPr>
        <w:t xml:space="preserve"> al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en términos de los Considerandos </w:t>
      </w:r>
      <w:r w:rsidRPr="005F3B01">
        <w:rPr>
          <w:rFonts w:ascii="Palatino Linotype" w:eastAsia="Palatino Linotype" w:hAnsi="Palatino Linotype" w:cs="Palatino Linotype"/>
          <w:b/>
        </w:rPr>
        <w:t xml:space="preserve">Cuarto </w:t>
      </w:r>
      <w:r w:rsidRPr="005F3B01">
        <w:rPr>
          <w:rFonts w:ascii="Palatino Linotype" w:eastAsia="Palatino Linotype" w:hAnsi="Palatino Linotype" w:cs="Palatino Linotype"/>
        </w:rPr>
        <w:t xml:space="preserve">y </w:t>
      </w:r>
      <w:r w:rsidRPr="005F3B01">
        <w:rPr>
          <w:rFonts w:ascii="Palatino Linotype" w:eastAsia="Palatino Linotype" w:hAnsi="Palatino Linotype" w:cs="Palatino Linotype"/>
          <w:b/>
        </w:rPr>
        <w:t xml:space="preserve">Quinto </w:t>
      </w:r>
      <w:r w:rsidRPr="005F3B01">
        <w:rPr>
          <w:rFonts w:ascii="Palatino Linotype" w:eastAsia="Palatino Linotype" w:hAnsi="Palatino Linotype" w:cs="Palatino Linotype"/>
        </w:rPr>
        <w:t>de esta resolución, haga entrega,</w:t>
      </w:r>
      <w:r w:rsidR="004249B8" w:rsidRPr="005F3B01">
        <w:rPr>
          <w:rFonts w:ascii="Palatino Linotype" w:eastAsia="Palatino Linotype" w:hAnsi="Palatino Linotype" w:cs="Palatino Linotype"/>
        </w:rPr>
        <w:t xml:space="preserve"> vía </w:t>
      </w:r>
      <w:r w:rsidR="004249B8" w:rsidRPr="005F3B01">
        <w:rPr>
          <w:rFonts w:ascii="Palatino Linotype" w:eastAsia="Palatino Linotype" w:hAnsi="Palatino Linotype" w:cs="Palatino Linotype"/>
          <w:b/>
        </w:rPr>
        <w:t>SAIMEX</w:t>
      </w:r>
      <w:r w:rsidR="004249B8" w:rsidRPr="005F3B01">
        <w:rPr>
          <w:rFonts w:ascii="Palatino Linotype" w:eastAsia="Palatino Linotype" w:hAnsi="Palatino Linotype" w:cs="Palatino Linotype"/>
        </w:rPr>
        <w:t>,</w:t>
      </w:r>
      <w:r w:rsidRPr="005F3B01">
        <w:rPr>
          <w:rFonts w:ascii="Palatino Linotype" w:eastAsia="Palatino Linotype" w:hAnsi="Palatino Linotype" w:cs="Palatino Linotype"/>
        </w:rPr>
        <w:t xml:space="preserve"> de lo siguiente en versión pública:</w:t>
      </w:r>
    </w:p>
    <w:p w14:paraId="04B649D9" w14:textId="77777777" w:rsidR="0033428A" w:rsidRPr="005F3B01" w:rsidRDefault="00E068AF">
      <w:pPr>
        <w:spacing w:line="360" w:lineRule="auto"/>
        <w:ind w:left="426"/>
        <w:jc w:val="both"/>
        <w:rPr>
          <w:rFonts w:ascii="Palatino Linotype" w:eastAsia="Palatino Linotype" w:hAnsi="Palatino Linotype" w:cs="Palatino Linotype"/>
        </w:rPr>
      </w:pPr>
      <w:bookmarkStart w:id="9" w:name="_heading=h.lnxbz9" w:colFirst="0" w:colLast="0"/>
      <w:bookmarkEnd w:id="9"/>
      <w:r w:rsidRPr="005F3B01">
        <w:rPr>
          <w:rFonts w:ascii="Palatino Linotype" w:eastAsia="Palatino Linotype" w:hAnsi="Palatino Linotype" w:cs="Palatino Linotype"/>
        </w:rPr>
        <w:t xml:space="preserve">1. Documento que dé cuenta del salario </w:t>
      </w:r>
      <w:r w:rsidR="003C0C86" w:rsidRPr="005F3B01">
        <w:rPr>
          <w:rFonts w:ascii="Palatino Linotype" w:eastAsia="Palatino Linotype" w:hAnsi="Palatino Linotype" w:cs="Palatino Linotype"/>
        </w:rPr>
        <w:t xml:space="preserve">correspondiente a la </w:t>
      </w:r>
      <w:r w:rsidR="00681F68" w:rsidRPr="005F3B01">
        <w:rPr>
          <w:rFonts w:ascii="Palatino Linotype" w:eastAsia="Palatino Linotype" w:hAnsi="Palatino Linotype" w:cs="Palatino Linotype"/>
        </w:rPr>
        <w:t xml:space="preserve">segunda quincena de mayo y </w:t>
      </w:r>
      <w:r w:rsidR="003C0C86" w:rsidRPr="005F3B01">
        <w:rPr>
          <w:rFonts w:ascii="Palatino Linotype" w:eastAsia="Palatino Linotype" w:hAnsi="Palatino Linotype" w:cs="Palatino Linotype"/>
        </w:rPr>
        <w:t xml:space="preserve">primera quincena de junio </w:t>
      </w:r>
      <w:r w:rsidRPr="005F3B01">
        <w:rPr>
          <w:rFonts w:ascii="Palatino Linotype" w:eastAsia="Palatino Linotype" w:hAnsi="Palatino Linotype" w:cs="Palatino Linotype"/>
        </w:rPr>
        <w:t xml:space="preserve">de dos mil veintidós del </w:t>
      </w:r>
      <w:proofErr w:type="gramStart"/>
      <w:r w:rsidRPr="005F3B01">
        <w:rPr>
          <w:rFonts w:ascii="Palatino Linotype" w:eastAsia="Palatino Linotype" w:hAnsi="Palatino Linotype" w:cs="Palatino Linotype"/>
        </w:rPr>
        <w:t>Presidente</w:t>
      </w:r>
      <w:proofErr w:type="gramEnd"/>
      <w:r w:rsidRPr="005F3B01">
        <w:rPr>
          <w:rFonts w:ascii="Palatino Linotype" w:eastAsia="Palatino Linotype" w:hAnsi="Palatino Linotype" w:cs="Palatino Linotype"/>
        </w:rPr>
        <w:t xml:space="preserve"> Municipal, Regidoras, Regidores, del Titular de la Sindicatura Municipal y el Titular de la Secretaría del Ayuntamiento de Metepec de la administración municipal 2022-2024.</w:t>
      </w:r>
    </w:p>
    <w:p w14:paraId="603BCF97" w14:textId="77777777" w:rsidR="0033428A" w:rsidRPr="005F3B01" w:rsidRDefault="00E068AF">
      <w:pPr>
        <w:spacing w:before="240" w:after="240"/>
        <w:ind w:left="284"/>
        <w:jc w:val="both"/>
        <w:rPr>
          <w:rFonts w:ascii="Palatino Linotype" w:eastAsia="Palatino Linotype" w:hAnsi="Palatino Linotype" w:cs="Palatino Linotype"/>
          <w:i/>
          <w:sz w:val="20"/>
          <w:szCs w:val="20"/>
        </w:rPr>
      </w:pPr>
      <w:r w:rsidRPr="005F3B01">
        <w:rPr>
          <w:rFonts w:ascii="Palatino Linotype" w:eastAsia="Palatino Linotype" w:hAnsi="Palatino Linotype" w:cs="Palatino Linotype"/>
          <w:i/>
          <w:sz w:val="20"/>
          <w:szCs w:val="20"/>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F3B01">
        <w:rPr>
          <w:rFonts w:ascii="Palatino Linotype" w:eastAsia="Palatino Linotype" w:hAnsi="Palatino Linotype" w:cs="Palatino Linotype"/>
          <w:b/>
          <w:i/>
          <w:sz w:val="20"/>
          <w:szCs w:val="20"/>
        </w:rPr>
        <w:t>Recurrente</w:t>
      </w:r>
      <w:r w:rsidRPr="005F3B01">
        <w:rPr>
          <w:rFonts w:ascii="Palatino Linotype" w:eastAsia="Palatino Linotype" w:hAnsi="Palatino Linotype" w:cs="Palatino Linotype"/>
          <w:i/>
          <w:sz w:val="20"/>
          <w:szCs w:val="20"/>
        </w:rPr>
        <w:t>.</w:t>
      </w:r>
    </w:p>
    <w:p w14:paraId="7197B1D0" w14:textId="77777777" w:rsidR="0033428A" w:rsidRPr="005F3B01" w:rsidRDefault="00E068AF">
      <w:pPr>
        <w:spacing w:before="240" w:after="240" w:line="360" w:lineRule="auto"/>
        <w:jc w:val="both"/>
        <w:rPr>
          <w:rFonts w:ascii="Palatino Linotype" w:eastAsia="Palatino Linotype" w:hAnsi="Palatino Linotype" w:cs="Palatino Linotype"/>
          <w:b/>
        </w:rPr>
      </w:pPr>
      <w:r w:rsidRPr="005F3B01">
        <w:rPr>
          <w:rFonts w:ascii="Palatino Linotype" w:eastAsia="Palatino Linotype" w:hAnsi="Palatino Linotype" w:cs="Palatino Linotype"/>
          <w:b/>
        </w:rPr>
        <w:t xml:space="preserve">Tercero. Notifíquese, </w:t>
      </w:r>
      <w:r w:rsidRPr="005F3B01">
        <w:rPr>
          <w:rFonts w:ascii="Palatino Linotype" w:eastAsia="Palatino Linotype" w:hAnsi="Palatino Linotype" w:cs="Palatino Linotype"/>
        </w:rPr>
        <w:t>vía</w:t>
      </w:r>
      <w:r w:rsidRPr="005F3B01">
        <w:rPr>
          <w:rFonts w:ascii="Palatino Linotype" w:eastAsia="Palatino Linotype" w:hAnsi="Palatino Linotype" w:cs="Palatino Linotype"/>
          <w:b/>
        </w:rPr>
        <w:t xml:space="preserve"> SAIMEX, </w:t>
      </w:r>
      <w:r w:rsidRPr="005F3B01">
        <w:rPr>
          <w:rFonts w:ascii="Palatino Linotype" w:eastAsia="Palatino Linotype" w:hAnsi="Palatino Linotype" w:cs="Palatino Linotype"/>
        </w:rPr>
        <w:t xml:space="preserve">al </w:t>
      </w:r>
      <w:proofErr w:type="gramStart"/>
      <w:r w:rsidRPr="005F3B01">
        <w:rPr>
          <w:rFonts w:ascii="Palatino Linotype" w:eastAsia="Palatino Linotype" w:hAnsi="Palatino Linotype" w:cs="Palatino Linotype"/>
        </w:rPr>
        <w:t>Responsable</w:t>
      </w:r>
      <w:proofErr w:type="gramEnd"/>
      <w:r w:rsidRPr="005F3B01">
        <w:rPr>
          <w:rFonts w:ascii="Palatino Linotype" w:eastAsia="Palatino Linotype" w:hAnsi="Palatino Linotype" w:cs="Palatino Linotype"/>
        </w:rPr>
        <w:t xml:space="preserve"> de la Unidad de Transparencia del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5F3B01">
        <w:rPr>
          <w:rFonts w:ascii="Palatino Linotype" w:eastAsia="Palatino Linotype" w:hAnsi="Palatino Linotype" w:cs="Palatino Linotype"/>
          <w:b/>
        </w:rPr>
        <w:t>.</w:t>
      </w:r>
    </w:p>
    <w:p w14:paraId="638D7039"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F3B01">
        <w:rPr>
          <w:rFonts w:ascii="Palatino Linotype" w:eastAsia="Palatino Linotype" w:hAnsi="Palatino Linotype" w:cs="Palatino Linotype"/>
          <w:b/>
        </w:rPr>
        <w:t>Sujeto Obligado</w:t>
      </w:r>
      <w:r w:rsidRPr="005F3B01">
        <w:rPr>
          <w:rFonts w:ascii="Palatino Linotype" w:eastAsia="Palatino Linotype" w:hAnsi="Palatino Linotype" w:cs="Palatino Linotype"/>
        </w:rPr>
        <w:t xml:space="preserve"> de manera fundada y motivada, podrá solicitar una ampliación de plazo para el cumplimiento de la presente resolución.</w:t>
      </w:r>
    </w:p>
    <w:p w14:paraId="441717B1" w14:textId="77777777" w:rsidR="0033428A" w:rsidRPr="005F3B01" w:rsidRDefault="00E068AF">
      <w:pPr>
        <w:spacing w:before="240" w:after="240"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b/>
        </w:rPr>
        <w:t xml:space="preserve">Cuarto.  Notifíquese, </w:t>
      </w:r>
      <w:r w:rsidRPr="005F3B01">
        <w:rPr>
          <w:rFonts w:ascii="Palatino Linotype" w:eastAsia="Palatino Linotype" w:hAnsi="Palatino Linotype" w:cs="Palatino Linotype"/>
        </w:rPr>
        <w:t xml:space="preserve">vía </w:t>
      </w:r>
      <w:r w:rsidRPr="005F3B01">
        <w:rPr>
          <w:rFonts w:ascii="Palatino Linotype" w:eastAsia="Palatino Linotype" w:hAnsi="Palatino Linotype" w:cs="Palatino Linotype"/>
          <w:b/>
        </w:rPr>
        <w:t>SAIMEX</w:t>
      </w:r>
      <w:r w:rsidRPr="005F3B01">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4F4CB19" w14:textId="77777777" w:rsidR="0033428A" w:rsidRPr="005F3B01" w:rsidRDefault="00E068AF">
      <w:pPr>
        <w:spacing w:line="360" w:lineRule="auto"/>
        <w:jc w:val="both"/>
        <w:rPr>
          <w:rFonts w:ascii="Palatino Linotype" w:eastAsia="Palatino Linotype" w:hAnsi="Palatino Linotype" w:cs="Palatino Linotype"/>
        </w:rPr>
      </w:pPr>
      <w:bookmarkStart w:id="10" w:name="_heading=h.3rdcrjn" w:colFirst="0" w:colLast="0"/>
      <w:bookmarkEnd w:id="10"/>
      <w:r w:rsidRPr="005F3B0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5F3B01">
        <w:rPr>
          <w:rFonts w:ascii="Palatino Linotype" w:eastAsia="Palatino Linotype" w:hAnsi="Palatino Linotype" w:cs="Palatino Linotype"/>
        </w:rPr>
        <w:lastRenderedPageBreak/>
        <w:t xml:space="preserve">MORALES MARTÍNEZ, LUIS GUSTAVO PARRA NORIEGA Y GUADALUPE RAMÍREZ PEÑA; EN LA </w:t>
      </w:r>
      <w:r w:rsidR="00991308" w:rsidRPr="005F3B01">
        <w:rPr>
          <w:rFonts w:ascii="Palatino Linotype" w:eastAsia="Palatino Linotype" w:hAnsi="Palatino Linotype" w:cs="Palatino Linotype"/>
        </w:rPr>
        <w:t>CUADRAGÉSIMA</w:t>
      </w:r>
      <w:r w:rsidRPr="005F3B01">
        <w:rPr>
          <w:rFonts w:ascii="Palatino Linotype" w:eastAsia="Palatino Linotype" w:hAnsi="Palatino Linotype" w:cs="Palatino Linotype"/>
        </w:rPr>
        <w:t xml:space="preserve"> SESIÓN ORDINARIA CELEBRADA EL </w:t>
      </w:r>
      <w:r w:rsidR="00991308" w:rsidRPr="005F3B01">
        <w:rPr>
          <w:rFonts w:ascii="Palatino Linotype" w:eastAsia="Palatino Linotype" w:hAnsi="Palatino Linotype" w:cs="Palatino Linotype"/>
        </w:rPr>
        <w:t>NUEVE</w:t>
      </w:r>
      <w:r w:rsidR="008273E6" w:rsidRPr="005F3B01">
        <w:rPr>
          <w:rFonts w:ascii="Palatino Linotype" w:eastAsia="Palatino Linotype" w:hAnsi="Palatino Linotype" w:cs="Palatino Linotype"/>
        </w:rPr>
        <w:t xml:space="preserve"> DE NOVIEMBRE</w:t>
      </w:r>
      <w:r w:rsidRPr="005F3B01">
        <w:rPr>
          <w:rFonts w:ascii="Palatino Linotype" w:eastAsia="Palatino Linotype" w:hAnsi="Palatino Linotype" w:cs="Palatino Linotype"/>
        </w:rPr>
        <w:t xml:space="preserve"> DE DOS MIL VEINTIDÓS, ANTE EL SECRETARIO TÉCNICO DEL PLENO ALEXIS TAPIA RAMÍREZ.</w:t>
      </w:r>
    </w:p>
    <w:p w14:paraId="7E206A33" w14:textId="77777777" w:rsidR="0033428A" w:rsidRPr="005F3B01" w:rsidRDefault="00E73132">
      <w:pPr>
        <w:spacing w:line="360" w:lineRule="auto"/>
        <w:jc w:val="both"/>
        <w:rPr>
          <w:rFonts w:ascii="Palatino Linotype" w:eastAsia="Palatino Linotype" w:hAnsi="Palatino Linotype" w:cs="Palatino Linotype"/>
        </w:rPr>
      </w:pPr>
      <w:r w:rsidRPr="005F3B01">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0B70BC19" wp14:editId="7EECBDF4">
                <wp:simplePos x="0" y="0"/>
                <wp:positionH relativeFrom="margin">
                  <wp:align>right</wp:align>
                </wp:positionH>
                <wp:positionV relativeFrom="paragraph">
                  <wp:posOffset>31750</wp:posOffset>
                </wp:positionV>
                <wp:extent cx="5505450" cy="62388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6238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1728C" id="Conector recto 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5pt" to="815.8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" strokecolor="black [3200]" strokeweight="2pt">
                <v:shadow on="t" color="black" opacity="24903f" origin=",.5" offset="0,.55556mm"/>
                <w10:wrap anchorx="margin"/>
              </v:line>
            </w:pict>
          </mc:Fallback>
        </mc:AlternateContent>
      </w:r>
    </w:p>
    <w:p w14:paraId="3C972ADA" w14:textId="77777777" w:rsidR="0033428A" w:rsidRPr="005F3B01" w:rsidRDefault="0033428A">
      <w:pPr>
        <w:rPr>
          <w:rFonts w:ascii="Palatino Linotype" w:eastAsia="Palatino Linotype" w:hAnsi="Palatino Linotype" w:cs="Palatino Linotype"/>
        </w:rPr>
      </w:pPr>
    </w:p>
    <w:p w14:paraId="0E53BEA5" w14:textId="77777777" w:rsidR="0033428A" w:rsidRPr="005F3B01" w:rsidRDefault="0033428A">
      <w:pPr>
        <w:spacing w:line="360" w:lineRule="auto"/>
        <w:jc w:val="both"/>
        <w:rPr>
          <w:rFonts w:ascii="Palatino Linotype" w:eastAsia="Palatino Linotype" w:hAnsi="Palatino Linotype" w:cs="Palatino Linotype"/>
        </w:rPr>
      </w:pPr>
    </w:p>
    <w:p w14:paraId="3DC5846D" w14:textId="77777777" w:rsidR="0033428A" w:rsidRPr="005F3B01" w:rsidRDefault="0033428A">
      <w:pPr>
        <w:spacing w:line="360" w:lineRule="auto"/>
        <w:jc w:val="both"/>
        <w:rPr>
          <w:rFonts w:ascii="Palatino Linotype" w:eastAsia="Palatino Linotype" w:hAnsi="Palatino Linotype" w:cs="Palatino Linotype"/>
        </w:rPr>
      </w:pPr>
    </w:p>
    <w:p w14:paraId="5D76242F" w14:textId="77777777" w:rsidR="0033428A" w:rsidRPr="005F3B01" w:rsidRDefault="0033428A">
      <w:pPr>
        <w:spacing w:line="360" w:lineRule="auto"/>
        <w:jc w:val="both"/>
        <w:rPr>
          <w:rFonts w:ascii="Palatino Linotype" w:eastAsia="Palatino Linotype" w:hAnsi="Palatino Linotype" w:cs="Palatino Linotype"/>
        </w:rPr>
      </w:pPr>
    </w:p>
    <w:p w14:paraId="18571012" w14:textId="77777777" w:rsidR="0033428A" w:rsidRPr="005F3B01" w:rsidRDefault="0033428A">
      <w:pPr>
        <w:spacing w:line="360" w:lineRule="auto"/>
        <w:jc w:val="both"/>
        <w:rPr>
          <w:rFonts w:ascii="Palatino Linotype" w:eastAsia="Palatino Linotype" w:hAnsi="Palatino Linotype" w:cs="Palatino Linotype"/>
        </w:rPr>
      </w:pPr>
    </w:p>
    <w:p w14:paraId="5F1032B7" w14:textId="77777777" w:rsidR="0033428A" w:rsidRPr="005F3B01" w:rsidRDefault="0033428A">
      <w:pPr>
        <w:spacing w:line="360" w:lineRule="auto"/>
        <w:jc w:val="both"/>
        <w:rPr>
          <w:rFonts w:ascii="Palatino Linotype" w:eastAsia="Palatino Linotype" w:hAnsi="Palatino Linotype" w:cs="Palatino Linotype"/>
        </w:rPr>
      </w:pPr>
    </w:p>
    <w:p w14:paraId="0B768ED2" w14:textId="77777777" w:rsidR="0033428A" w:rsidRPr="005F3B01" w:rsidRDefault="0033428A">
      <w:pPr>
        <w:spacing w:line="360" w:lineRule="auto"/>
        <w:jc w:val="both"/>
        <w:rPr>
          <w:rFonts w:ascii="Palatino Linotype" w:eastAsia="Palatino Linotype" w:hAnsi="Palatino Linotype" w:cs="Palatino Linotype"/>
        </w:rPr>
      </w:pPr>
    </w:p>
    <w:p w14:paraId="5E51B6D3" w14:textId="77777777" w:rsidR="0033428A" w:rsidRPr="005F3B01" w:rsidRDefault="0033428A">
      <w:pPr>
        <w:spacing w:line="360" w:lineRule="auto"/>
        <w:jc w:val="both"/>
        <w:rPr>
          <w:rFonts w:ascii="Palatino Linotype" w:eastAsia="Palatino Linotype" w:hAnsi="Palatino Linotype" w:cs="Palatino Linotype"/>
        </w:rPr>
      </w:pPr>
    </w:p>
    <w:p w14:paraId="7FDFA0C1" w14:textId="77777777" w:rsidR="0033428A" w:rsidRPr="005F3B01" w:rsidRDefault="0033428A">
      <w:pPr>
        <w:spacing w:line="360" w:lineRule="auto"/>
        <w:jc w:val="both"/>
        <w:rPr>
          <w:rFonts w:ascii="Palatino Linotype" w:eastAsia="Palatino Linotype" w:hAnsi="Palatino Linotype" w:cs="Palatino Linotype"/>
        </w:rPr>
      </w:pPr>
    </w:p>
    <w:p w14:paraId="4126FFBA" w14:textId="77777777" w:rsidR="0033428A" w:rsidRPr="005F3B01" w:rsidRDefault="0033428A">
      <w:pPr>
        <w:spacing w:line="360" w:lineRule="auto"/>
        <w:jc w:val="both"/>
        <w:rPr>
          <w:rFonts w:ascii="Palatino Linotype" w:eastAsia="Palatino Linotype" w:hAnsi="Palatino Linotype" w:cs="Palatino Linotype"/>
        </w:rPr>
      </w:pPr>
    </w:p>
    <w:p w14:paraId="102D66E7" w14:textId="77777777" w:rsidR="0033428A" w:rsidRPr="005F3B01" w:rsidRDefault="0033428A">
      <w:pPr>
        <w:spacing w:line="360" w:lineRule="auto"/>
        <w:jc w:val="both"/>
        <w:rPr>
          <w:rFonts w:ascii="Palatino Linotype" w:eastAsia="Palatino Linotype" w:hAnsi="Palatino Linotype" w:cs="Palatino Linotype"/>
        </w:rPr>
      </w:pPr>
    </w:p>
    <w:p w14:paraId="38D167B6" w14:textId="77777777" w:rsidR="0033428A" w:rsidRPr="005F3B01" w:rsidRDefault="0033428A">
      <w:pPr>
        <w:spacing w:line="360" w:lineRule="auto"/>
        <w:jc w:val="both"/>
        <w:rPr>
          <w:rFonts w:ascii="Palatino Linotype" w:eastAsia="Palatino Linotype" w:hAnsi="Palatino Linotype" w:cs="Palatino Linotype"/>
        </w:rPr>
      </w:pPr>
    </w:p>
    <w:p w14:paraId="54848902" w14:textId="77777777" w:rsidR="0033428A" w:rsidRPr="005F3B01" w:rsidRDefault="0033428A">
      <w:pPr>
        <w:spacing w:line="360" w:lineRule="auto"/>
        <w:jc w:val="both"/>
        <w:rPr>
          <w:rFonts w:ascii="Palatino Linotype" w:eastAsia="Palatino Linotype" w:hAnsi="Palatino Linotype" w:cs="Palatino Linotype"/>
        </w:rPr>
      </w:pPr>
    </w:p>
    <w:p w14:paraId="7B88EE09" w14:textId="77777777" w:rsidR="0033428A" w:rsidRPr="005F3B01" w:rsidRDefault="0033428A">
      <w:pPr>
        <w:spacing w:line="360" w:lineRule="auto"/>
        <w:jc w:val="both"/>
        <w:rPr>
          <w:rFonts w:ascii="Palatino Linotype" w:eastAsia="Palatino Linotype" w:hAnsi="Palatino Linotype" w:cs="Palatino Linotype"/>
        </w:rPr>
      </w:pPr>
    </w:p>
    <w:p w14:paraId="4F20C714" w14:textId="77777777" w:rsidR="0033428A" w:rsidRPr="005F3B01" w:rsidRDefault="0033428A">
      <w:pPr>
        <w:spacing w:line="360" w:lineRule="auto"/>
        <w:jc w:val="both"/>
        <w:rPr>
          <w:rFonts w:ascii="Palatino Linotype" w:eastAsia="Palatino Linotype" w:hAnsi="Palatino Linotype" w:cs="Palatino Linotype"/>
        </w:rPr>
      </w:pPr>
    </w:p>
    <w:p w14:paraId="37823530" w14:textId="77777777" w:rsidR="0033428A" w:rsidRPr="005F3B01" w:rsidRDefault="0033428A">
      <w:pPr>
        <w:spacing w:line="360" w:lineRule="auto"/>
        <w:jc w:val="both"/>
        <w:rPr>
          <w:rFonts w:ascii="Palatino Linotype" w:eastAsia="Palatino Linotype" w:hAnsi="Palatino Linotype" w:cs="Palatino Linotype"/>
        </w:rPr>
      </w:pPr>
    </w:p>
    <w:p w14:paraId="193F53FF" w14:textId="77777777" w:rsidR="0033428A" w:rsidRPr="005F3B01" w:rsidRDefault="0033428A">
      <w:pPr>
        <w:spacing w:line="360" w:lineRule="auto"/>
        <w:jc w:val="both"/>
        <w:rPr>
          <w:rFonts w:ascii="Palatino Linotype" w:eastAsia="Palatino Linotype" w:hAnsi="Palatino Linotype" w:cs="Palatino Linotype"/>
        </w:rPr>
      </w:pPr>
    </w:p>
    <w:p w14:paraId="2D862425" w14:textId="77777777" w:rsidR="0033428A" w:rsidRPr="005F3B01" w:rsidRDefault="0033428A">
      <w:pPr>
        <w:spacing w:line="360" w:lineRule="auto"/>
        <w:jc w:val="both"/>
        <w:rPr>
          <w:rFonts w:ascii="Palatino Linotype" w:eastAsia="Palatino Linotype" w:hAnsi="Palatino Linotype" w:cs="Palatino Linotype"/>
        </w:rPr>
      </w:pPr>
    </w:p>
    <w:p w14:paraId="0E25765D" w14:textId="77777777" w:rsidR="0033428A" w:rsidRPr="005F3B01" w:rsidRDefault="0033428A">
      <w:pPr>
        <w:spacing w:line="360" w:lineRule="auto"/>
        <w:jc w:val="both"/>
        <w:rPr>
          <w:rFonts w:ascii="Palatino Linotype" w:eastAsia="Palatino Linotype" w:hAnsi="Palatino Linotype" w:cs="Palatino Linotype"/>
        </w:rPr>
      </w:pPr>
    </w:p>
    <w:p w14:paraId="4E3A75DF" w14:textId="77777777" w:rsidR="0033428A" w:rsidRPr="005F3B01" w:rsidRDefault="0033428A">
      <w:pPr>
        <w:spacing w:line="360" w:lineRule="auto"/>
        <w:jc w:val="both"/>
        <w:rPr>
          <w:rFonts w:ascii="Palatino Linotype" w:eastAsia="Palatino Linotype" w:hAnsi="Palatino Linotype" w:cs="Palatino Linotype"/>
        </w:rPr>
      </w:pPr>
    </w:p>
    <w:p w14:paraId="33C8CCAC" w14:textId="77777777" w:rsidR="0033428A" w:rsidRPr="005F3B01" w:rsidRDefault="0033428A">
      <w:pPr>
        <w:spacing w:line="360" w:lineRule="auto"/>
        <w:jc w:val="both"/>
        <w:rPr>
          <w:rFonts w:ascii="Palatino Linotype" w:eastAsia="Palatino Linotype" w:hAnsi="Palatino Linotype" w:cs="Palatino Linotype"/>
        </w:rPr>
      </w:pPr>
    </w:p>
    <w:sectPr w:rsidR="0033428A" w:rsidRPr="005F3B01">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1EC9F" w14:textId="77777777" w:rsidR="0047313B" w:rsidRDefault="0047313B">
      <w:r>
        <w:separator/>
      </w:r>
    </w:p>
  </w:endnote>
  <w:endnote w:type="continuationSeparator" w:id="0">
    <w:p w14:paraId="273F7875" w14:textId="77777777" w:rsidR="0047313B" w:rsidRDefault="00473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E0BC" w14:textId="77777777" w:rsidR="0033428A" w:rsidRDefault="00E068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23F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23FE">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18A18349" w14:textId="77777777" w:rsidR="0033428A" w:rsidRDefault="0033428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6EE4" w14:textId="77777777" w:rsidR="0033428A" w:rsidRDefault="00E068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23F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23FE">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3E6E0828" w14:textId="77777777" w:rsidR="0033428A" w:rsidRDefault="0033428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46A8" w14:textId="77777777" w:rsidR="0047313B" w:rsidRDefault="0047313B">
      <w:r>
        <w:separator/>
      </w:r>
    </w:p>
  </w:footnote>
  <w:footnote w:type="continuationSeparator" w:id="0">
    <w:p w14:paraId="6F2CEA83" w14:textId="77777777" w:rsidR="0047313B" w:rsidRDefault="0047313B">
      <w:r>
        <w:continuationSeparator/>
      </w:r>
    </w:p>
  </w:footnote>
  <w:footnote w:id="1">
    <w:p w14:paraId="68D61897" w14:textId="77777777" w:rsidR="0033428A" w:rsidRDefault="00E068AF">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87A4593"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5CC07C0"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3">
    <w:p w14:paraId="7F52013A"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4">
    <w:p w14:paraId="0805FBEB"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89E24EF"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15FBD85E"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5">
    <w:p w14:paraId="79A84511" w14:textId="77777777" w:rsidR="0033428A" w:rsidRDefault="00E068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6">
    <w:p w14:paraId="476EA2D9" w14:textId="77777777" w:rsidR="0033428A" w:rsidRDefault="00E068A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15EA" w14:textId="77777777" w:rsidR="0033428A" w:rsidRDefault="00E068AF">
    <w:pPr>
      <w:rPr>
        <w:rFonts w:ascii="Cambria" w:eastAsia="Cambria" w:hAnsi="Cambria" w:cs="Cambria"/>
        <w:color w:val="000000"/>
      </w:rPr>
    </w:pPr>
    <w:r>
      <w:rPr>
        <w:noProof/>
      </w:rPr>
      <w:drawing>
        <wp:anchor distT="0" distB="0" distL="0" distR="0" simplePos="0" relativeHeight="251658240" behindDoc="1" locked="0" layoutInCell="1" hidden="0" allowOverlap="1" wp14:anchorId="6AC21D70" wp14:editId="33F02FB9">
          <wp:simplePos x="0" y="0"/>
          <wp:positionH relativeFrom="column">
            <wp:posOffset>-1080124</wp:posOffset>
          </wp:positionH>
          <wp:positionV relativeFrom="paragraph">
            <wp:posOffset>-488303</wp:posOffset>
          </wp:positionV>
          <wp:extent cx="7809865" cy="10165715"/>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33428A" w14:paraId="5A1727C2" w14:textId="77777777">
      <w:tc>
        <w:tcPr>
          <w:tcW w:w="2489" w:type="dxa"/>
          <w:shd w:val="clear" w:color="auto" w:fill="auto"/>
        </w:tcPr>
        <w:p w14:paraId="420C76F1"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33BD995" w14:textId="77777777" w:rsidR="0033428A" w:rsidRDefault="00E068A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12249/INFOEM/IP/RR/2022</w:t>
          </w:r>
        </w:p>
      </w:tc>
    </w:tr>
    <w:tr w:rsidR="0033428A" w14:paraId="5544B1C8" w14:textId="77777777">
      <w:trPr>
        <w:trHeight w:val="228"/>
      </w:trPr>
      <w:tc>
        <w:tcPr>
          <w:tcW w:w="2489" w:type="dxa"/>
          <w:shd w:val="clear" w:color="auto" w:fill="auto"/>
          <w:vAlign w:val="center"/>
        </w:tcPr>
        <w:p w14:paraId="455D166B"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F31D1A7" w14:textId="77777777" w:rsidR="0033428A" w:rsidRDefault="00E068A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33428A" w14:paraId="76ECE41D" w14:textId="77777777">
      <w:tc>
        <w:tcPr>
          <w:tcW w:w="2489" w:type="dxa"/>
          <w:shd w:val="clear" w:color="auto" w:fill="auto"/>
          <w:vAlign w:val="center"/>
        </w:tcPr>
        <w:p w14:paraId="476535C0" w14:textId="77777777" w:rsidR="0033428A" w:rsidRDefault="00E068A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0CBD667" w14:textId="77777777" w:rsidR="0033428A" w:rsidRDefault="00E068A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F81D4D" w14:textId="77777777" w:rsidR="0033428A" w:rsidRDefault="00E068A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7CD2" w14:textId="77777777" w:rsidR="0033428A" w:rsidRDefault="0033428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
      <w:tblW w:w="5670" w:type="dxa"/>
      <w:tblInd w:w="3261" w:type="dxa"/>
      <w:tblLayout w:type="fixed"/>
      <w:tblLook w:val="0400" w:firstRow="0" w:lastRow="0" w:firstColumn="0" w:lastColumn="0" w:noHBand="0" w:noVBand="1"/>
    </w:tblPr>
    <w:tblGrid>
      <w:gridCol w:w="2551"/>
      <w:gridCol w:w="3119"/>
    </w:tblGrid>
    <w:tr w:rsidR="0033428A" w14:paraId="03F6E204" w14:textId="77777777">
      <w:tc>
        <w:tcPr>
          <w:tcW w:w="2551" w:type="dxa"/>
          <w:shd w:val="clear" w:color="auto" w:fill="auto"/>
          <w:vAlign w:val="center"/>
        </w:tcPr>
        <w:p w14:paraId="3EEE7129"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C7808CF" w14:textId="77777777" w:rsidR="0033428A" w:rsidRDefault="00E068A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12249/INFOEM/IP/RR/2022</w:t>
          </w:r>
        </w:p>
      </w:tc>
    </w:tr>
    <w:tr w:rsidR="0033428A" w14:paraId="5E0DB7CA" w14:textId="77777777">
      <w:trPr>
        <w:trHeight w:val="130"/>
      </w:trPr>
      <w:tc>
        <w:tcPr>
          <w:tcW w:w="2551" w:type="dxa"/>
          <w:shd w:val="clear" w:color="auto" w:fill="auto"/>
          <w:vAlign w:val="center"/>
        </w:tcPr>
        <w:p w14:paraId="31496DC0"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9041E5D" w14:textId="5316D0D7" w:rsidR="0033428A" w:rsidRDefault="00BE0B9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 XXXXX XXXX</w:t>
          </w:r>
        </w:p>
      </w:tc>
    </w:tr>
    <w:tr w:rsidR="0033428A" w14:paraId="0604CFD5" w14:textId="77777777">
      <w:trPr>
        <w:trHeight w:val="228"/>
      </w:trPr>
      <w:tc>
        <w:tcPr>
          <w:tcW w:w="2551" w:type="dxa"/>
          <w:shd w:val="clear" w:color="auto" w:fill="auto"/>
          <w:vAlign w:val="center"/>
        </w:tcPr>
        <w:p w14:paraId="4F50B0B3"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597A794" w14:textId="77777777" w:rsidR="0033428A" w:rsidRDefault="00E068A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33428A" w14:paraId="1FD0FFB6" w14:textId="77777777">
      <w:tc>
        <w:tcPr>
          <w:tcW w:w="2551" w:type="dxa"/>
          <w:shd w:val="clear" w:color="auto" w:fill="auto"/>
          <w:vAlign w:val="center"/>
        </w:tcPr>
        <w:p w14:paraId="01A5C38C" w14:textId="77777777" w:rsidR="0033428A" w:rsidRDefault="00E06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F4B88EE" w14:textId="77777777" w:rsidR="0033428A" w:rsidRDefault="00E068A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EEA19D" w14:textId="77777777" w:rsidR="0033428A" w:rsidRDefault="00E068AF">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063A47A" wp14:editId="29A98EC0">
          <wp:simplePos x="0" y="0"/>
          <wp:positionH relativeFrom="column">
            <wp:posOffset>-1089649</wp:posOffset>
          </wp:positionH>
          <wp:positionV relativeFrom="paragraph">
            <wp:posOffset>-1169659</wp:posOffset>
          </wp:positionV>
          <wp:extent cx="7809865" cy="10165715"/>
          <wp:effectExtent l="0" t="0" r="0" b="0"/>
          <wp:wrapNone/>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C0B78"/>
    <w:multiLevelType w:val="multilevel"/>
    <w:tmpl w:val="7C0A137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CAE2A28"/>
    <w:multiLevelType w:val="multilevel"/>
    <w:tmpl w:val="D172A52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8A"/>
    <w:rsid w:val="002B23FE"/>
    <w:rsid w:val="0033428A"/>
    <w:rsid w:val="003364D1"/>
    <w:rsid w:val="003C0C86"/>
    <w:rsid w:val="004249B8"/>
    <w:rsid w:val="0047313B"/>
    <w:rsid w:val="005C399E"/>
    <w:rsid w:val="005F3B01"/>
    <w:rsid w:val="00681F68"/>
    <w:rsid w:val="008273E6"/>
    <w:rsid w:val="00991308"/>
    <w:rsid w:val="00AF1B99"/>
    <w:rsid w:val="00BE0B9A"/>
    <w:rsid w:val="00C2228E"/>
    <w:rsid w:val="00E068AF"/>
    <w:rsid w:val="00E73132"/>
    <w:rsid w:val="00F862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0A5EB"/>
  <w15:docId w15:val="{2920A683-286A-4060-913E-19AAC6A2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4A25E0"/>
    <w:rPr>
      <w:color w:val="605E5C"/>
      <w:shd w:val="clear" w:color="auto" w:fill="E1DFDD"/>
    </w:rPr>
  </w:style>
  <w:style w:type="table" w:customStyle="1" w:styleId="a7">
    <w:basedOn w:val="TableNormal2"/>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METEPEC.web?token=03AGdBq27VCOBM62EBFXHCghyd4pGbMReovn3cQsnRUxMqrog-XhVX4JARJ54t7HRW_n-78M7FryK-QnMjp4ll0l2g6VaJx7zwhZ84T4ElCFyinzlYuCOs1ktG21ajTDjWDv2pTZJWUhfxM01o5zg0-d_b3GSSc1VyoAGUdN-GGsDGNHU6OqTaN0MRqCu3_7CS2q6vN5bWLSfCluUGUxtzdhltnMi-ZVi-MoukqCfJaCYEBxDAf0_Ug7eGThPMSue82BAwnXCsOlXRPj6iiQN8itovpGbc9gVnAyZdlCqUfPcWGHaTlxLpWmwgLcH_3sEOPPMGtJnE2Sgf1SvD5lMUCTv30QwU1Y4ELxVXjzcj3FL4BbKKXmuat2G2SxlOcf_QDGb921kppGbKLI6WWP2NWUAzBgs9RjPdrzRRtvY1Bh6XYK1QHyD126SuRuKKmQ458ykhunoh-DGYJ_duy17C-6AY7SEleG5zPiz0rrqjbkmhzvgbVNu3H8wjAz8cXqVenkN84--afVqCEoai8lAjF-GV_Wxk2Gnkow" TargetMode="External"/><Relationship Id="rId13" Type="http://schemas.openxmlformats.org/officeDocument/2006/relationships/image" Target="media/image4.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pomex.org.mx/ipo3/lgt/indice/METEPEC.web?token=03AGdBq27VCOBM62EBFXHCghyd4pGbMReovn3cQsnRUxMqrog-XhVX4JARJ54t7HRW_n-78M7FryK-QnMjp4ll0l2g6VaJx7zwhZ84T4ElCFyinzlYuCOs1ktG21ajTDjWDv2pTZJWUhfxM01o5zg0-d_b3GSSc1VyoAGUdN-GGsDGNHU6OqTaN0MRqCu3_7CS2q6vN5bWLSfCluUGUxtzdhltnMi-ZVi-MoukqCfJaCYEBxDAf0_Ug7eGThPMSue82BAwnXCsOlXRPj6iiQN8itovpGbc9gVnAyZdlCqUfPcWGHaTlxLpWmwgLcH_3sEOPPMGtJnE2Sgf1SvD5lMUCTv30QwU1Y4ELxVXjzcj3FL4BbKKXmuat2G2SxlOcf_QDGb921kppGbKLI6WWP2NWUAzBgs9RjPdrzRRtvY1Bh6XYK1QHyD126SuRuKKmQ458ykhunoh-DGYJ_duy17C-6AY7SEleG5zPiz0rrqjbkmhzvgbVNu3H8wjAz8cXqVenkN84--afVqCEoai8lAjF-GV_Wxk2Gnkow" TargetMode="Externa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KPdwSBid7PpEdJb1rRcwWBrcWg==">AMUW2mXqLQ0mz4qIp3+Tpg97afCHwbz2mqv2DY3VOzK73neCWh4Gjxeyl5fkAN+eCSvP1yYyWo47OG2E3t/24v4AMVcOKOilmuWbCGA62rL1mXjJg1dDN2K6NbFQHOBMxCdthtN9gBH/yfjzgn78K5L8HI3AIL0UaS7SAa59wk3YmsnBB7+4HQ4LTa1QI3vOuANcVLWirMo5cvzSC4rXeLdJh2vOGt6b5LmZOCW4rRuaLTUtmTIeIWC1qRuNFuYHcR4j6wNS6Xz6QyqeS6FJsxXuu9aKW2tj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11477</Words>
  <Characters>63126</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2022-11-10T23:54:00Z</cp:lastPrinted>
  <dcterms:created xsi:type="dcterms:W3CDTF">2022-12-05T05:11:00Z</dcterms:created>
  <dcterms:modified xsi:type="dcterms:W3CDTF">2022-12-05T05:11:00Z</dcterms:modified>
</cp:coreProperties>
</file>