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5246A"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catorce de septiembre de dos mil veintidós. </w:t>
      </w:r>
    </w:p>
    <w:p w14:paraId="2732CAE1"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VISTO</w:t>
      </w:r>
      <w:r w:rsidRPr="00A91FE1">
        <w:rPr>
          <w:rFonts w:ascii="Palatino Linotype" w:eastAsia="Palatino Linotype" w:hAnsi="Palatino Linotype" w:cs="Palatino Linotype"/>
        </w:rPr>
        <w:t xml:space="preserve"> el expediente formado con motivo del recurso de revisión </w:t>
      </w:r>
      <w:r w:rsidRPr="00A91FE1">
        <w:rPr>
          <w:rFonts w:ascii="Palatino Linotype" w:eastAsia="Palatino Linotype" w:hAnsi="Palatino Linotype" w:cs="Palatino Linotype"/>
          <w:b/>
        </w:rPr>
        <w:t>07369/INFOEM/IP/RR/2022</w:t>
      </w:r>
      <w:r w:rsidRPr="00A91FE1">
        <w:rPr>
          <w:rFonts w:ascii="Palatino Linotype" w:eastAsia="Palatino Linotype" w:hAnsi="Palatino Linotype" w:cs="Palatino Linotype"/>
        </w:rPr>
        <w:t>, interpuesto por</w:t>
      </w:r>
      <w:r w:rsidRPr="00A91FE1">
        <w:rPr>
          <w:rFonts w:ascii="Palatino Linotype" w:eastAsia="Palatino Linotype" w:hAnsi="Palatino Linotype" w:cs="Palatino Linotype"/>
          <w:b/>
        </w:rPr>
        <w:t xml:space="preserve"> un particular que no proporcionó nombre o seudónimo, </w:t>
      </w:r>
      <w:r w:rsidRPr="00A91FE1">
        <w:rPr>
          <w:rFonts w:ascii="Palatino Linotype" w:eastAsia="Palatino Linotype" w:hAnsi="Palatino Linotype" w:cs="Palatino Linotype"/>
        </w:rPr>
        <w:t>en lo sucesivo</w:t>
      </w:r>
      <w:r w:rsidRPr="00A91FE1">
        <w:rPr>
          <w:rFonts w:ascii="Palatino Linotype" w:eastAsia="Palatino Linotype" w:hAnsi="Palatino Linotype" w:cs="Palatino Linotype"/>
          <w:b/>
        </w:rPr>
        <w:t xml:space="preserve"> </w:t>
      </w:r>
      <w:r w:rsidRPr="00A91FE1">
        <w:rPr>
          <w:rFonts w:ascii="Palatino Linotype" w:eastAsia="Palatino Linotype" w:hAnsi="Palatino Linotype" w:cs="Palatino Linotype"/>
        </w:rPr>
        <w:t xml:space="preserve">la parte </w:t>
      </w:r>
      <w:r w:rsidRPr="00A91FE1">
        <w:rPr>
          <w:rFonts w:ascii="Palatino Linotype" w:eastAsia="Palatino Linotype" w:hAnsi="Palatino Linotype" w:cs="Palatino Linotype"/>
          <w:b/>
        </w:rPr>
        <w:t>Recurrente,</w:t>
      </w:r>
      <w:r w:rsidRPr="00A91FE1">
        <w:rPr>
          <w:rFonts w:ascii="Palatino Linotype" w:eastAsia="Palatino Linotype" w:hAnsi="Palatino Linotype" w:cs="Palatino Linotype"/>
        </w:rPr>
        <w:t xml:space="preserve"> en contra de la respuesta a su solicitud por parte del </w:t>
      </w:r>
      <w:r w:rsidRPr="00A91FE1">
        <w:rPr>
          <w:rFonts w:ascii="Palatino Linotype" w:eastAsia="Palatino Linotype" w:hAnsi="Palatino Linotype" w:cs="Palatino Linotype"/>
          <w:b/>
        </w:rPr>
        <w:t xml:space="preserve">Ayuntamiento de Tenancingo, </w:t>
      </w:r>
      <w:r w:rsidRPr="00A91FE1">
        <w:rPr>
          <w:rFonts w:ascii="Palatino Linotype" w:eastAsia="Palatino Linotype" w:hAnsi="Palatino Linotype" w:cs="Palatino Linotype"/>
        </w:rPr>
        <w:t xml:space="preserve">en lo sucesivo el </w:t>
      </w:r>
      <w:r w:rsidRPr="00A91FE1">
        <w:rPr>
          <w:rFonts w:ascii="Palatino Linotype" w:eastAsia="Palatino Linotype" w:hAnsi="Palatino Linotype" w:cs="Palatino Linotype"/>
          <w:b/>
        </w:rPr>
        <w:t xml:space="preserve">Sujeto Obligado, </w:t>
      </w:r>
      <w:r w:rsidRPr="00A91FE1">
        <w:rPr>
          <w:rFonts w:ascii="Palatino Linotype" w:eastAsia="Palatino Linotype" w:hAnsi="Palatino Linotype" w:cs="Palatino Linotype"/>
        </w:rPr>
        <w:t xml:space="preserve">se procede a dictar la presente resolución con base en los siguientes: </w:t>
      </w:r>
    </w:p>
    <w:p w14:paraId="629DE171" w14:textId="77777777" w:rsidR="006F675B" w:rsidRPr="00A91FE1" w:rsidRDefault="00951242">
      <w:pPr>
        <w:spacing w:before="240" w:after="240" w:line="360" w:lineRule="auto"/>
        <w:jc w:val="center"/>
        <w:rPr>
          <w:rFonts w:ascii="Palatino Linotype" w:eastAsia="Palatino Linotype" w:hAnsi="Palatino Linotype" w:cs="Palatino Linotype"/>
          <w:b/>
        </w:rPr>
      </w:pPr>
      <w:r w:rsidRPr="00A91FE1">
        <w:rPr>
          <w:rFonts w:ascii="Palatino Linotype" w:eastAsia="Palatino Linotype" w:hAnsi="Palatino Linotype" w:cs="Palatino Linotype"/>
          <w:b/>
        </w:rPr>
        <w:t>I. A N T E C E D E N T E S</w:t>
      </w:r>
    </w:p>
    <w:p w14:paraId="5DDEA5BC"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1. Solicitud de acceso a la información.</w:t>
      </w:r>
      <w:r w:rsidRPr="00A91FE1">
        <w:rPr>
          <w:rFonts w:ascii="Palatino Linotype" w:eastAsia="Palatino Linotype" w:hAnsi="Palatino Linotype" w:cs="Palatino Linotype"/>
        </w:rPr>
        <w:t xml:space="preserve"> Con fecha </w:t>
      </w:r>
      <w:r w:rsidRPr="00A91FE1">
        <w:rPr>
          <w:rFonts w:ascii="Palatino Linotype" w:eastAsia="Palatino Linotype" w:hAnsi="Palatino Linotype" w:cs="Palatino Linotype"/>
          <w:b/>
        </w:rPr>
        <w:t>veintiocho de marzo de dos mil veintidós,</w:t>
      </w:r>
      <w:r w:rsidRPr="00A91FE1">
        <w:rPr>
          <w:rFonts w:ascii="Palatino Linotype" w:eastAsia="Palatino Linotype" w:hAnsi="Palatino Linotype" w:cs="Palatino Linotype"/>
        </w:rPr>
        <w:t xml:space="preserve"> la parte </w:t>
      </w:r>
      <w:r w:rsidRPr="00A91FE1">
        <w:rPr>
          <w:rFonts w:ascii="Palatino Linotype" w:eastAsia="Palatino Linotype" w:hAnsi="Palatino Linotype" w:cs="Palatino Linotype"/>
          <w:b/>
        </w:rPr>
        <w:t xml:space="preserve">Recurrente </w:t>
      </w:r>
      <w:r w:rsidRPr="00A91FE1">
        <w:rPr>
          <w:rFonts w:ascii="Palatino Linotype" w:eastAsia="Palatino Linotype" w:hAnsi="Palatino Linotype" w:cs="Palatino Linotype"/>
        </w:rPr>
        <w:t xml:space="preserve">presentó, través del Sistema de Acceso a la Información Mexiquense, en lo subsecuente el </w:t>
      </w:r>
      <w:r w:rsidRPr="00A91FE1">
        <w:rPr>
          <w:rFonts w:ascii="Palatino Linotype" w:eastAsia="Palatino Linotype" w:hAnsi="Palatino Linotype" w:cs="Palatino Linotype"/>
          <w:b/>
        </w:rPr>
        <w:t>SAIMEX,</w:t>
      </w:r>
      <w:r w:rsidRPr="00A91FE1">
        <w:rPr>
          <w:rFonts w:ascii="Palatino Linotype" w:eastAsia="Palatino Linotype" w:hAnsi="Palatino Linotype" w:cs="Palatino Linotype"/>
        </w:rPr>
        <w:t xml:space="preserve"> ante el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la solicitud de acceso a la información pública, a la que se le asignó el número</w:t>
      </w:r>
      <w:r w:rsidRPr="00A91FE1">
        <w:rPr>
          <w:rFonts w:ascii="Palatino Linotype" w:eastAsia="Palatino Linotype" w:hAnsi="Palatino Linotype" w:cs="Palatino Linotype"/>
          <w:b/>
        </w:rPr>
        <w:t xml:space="preserve"> 00331/TENANCIN/IP/2022, </w:t>
      </w:r>
      <w:r w:rsidRPr="00A91FE1">
        <w:rPr>
          <w:rFonts w:ascii="Palatino Linotype" w:eastAsia="Palatino Linotype" w:hAnsi="Palatino Linotype" w:cs="Palatino Linotype"/>
        </w:rPr>
        <w:t xml:space="preserve">mediante la cual requirió la información siguiente: </w:t>
      </w:r>
    </w:p>
    <w:p w14:paraId="4188F689" w14:textId="77777777" w:rsidR="006F675B" w:rsidRPr="00A91FE1" w:rsidRDefault="00951242">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A91FE1">
        <w:rPr>
          <w:rFonts w:ascii="Palatino Linotype" w:eastAsia="Palatino Linotype" w:hAnsi="Palatino Linotype" w:cs="Palatino Linotype"/>
          <w:i/>
          <w:sz w:val="22"/>
          <w:szCs w:val="22"/>
        </w:rPr>
        <w:t>“solicito los convenios C.S. J1/2022 y C.S.J16/2022 en version publica.” (sic)</w:t>
      </w:r>
    </w:p>
    <w:p w14:paraId="3E66CC6C" w14:textId="77777777" w:rsidR="006F675B" w:rsidRPr="00A91FE1" w:rsidRDefault="00951242">
      <w:pPr>
        <w:spacing w:before="240" w:after="240" w:line="360" w:lineRule="auto"/>
        <w:ind w:right="900"/>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La parte </w:t>
      </w:r>
      <w:r w:rsidRPr="00A91FE1">
        <w:rPr>
          <w:rFonts w:ascii="Palatino Linotype" w:eastAsia="Palatino Linotype" w:hAnsi="Palatino Linotype" w:cs="Palatino Linotype"/>
          <w:b/>
        </w:rPr>
        <w:t>Recurrente</w:t>
      </w:r>
      <w:r w:rsidRPr="00A91FE1">
        <w:rPr>
          <w:rFonts w:ascii="Palatino Linotype" w:eastAsia="Palatino Linotype" w:hAnsi="Palatino Linotype" w:cs="Palatino Linotype"/>
        </w:rPr>
        <w:t xml:space="preserve"> no adjuntó archivos.</w:t>
      </w:r>
    </w:p>
    <w:p w14:paraId="08BD1F3C"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Modalidad de Entrega:</w:t>
      </w:r>
      <w:r w:rsidRPr="00A91FE1">
        <w:rPr>
          <w:rFonts w:ascii="Palatino Linotype" w:eastAsia="Palatino Linotype" w:hAnsi="Palatino Linotype" w:cs="Palatino Linotype"/>
        </w:rPr>
        <w:t xml:space="preserve"> A través de </w:t>
      </w:r>
      <w:r w:rsidRPr="00A91FE1">
        <w:rPr>
          <w:rFonts w:ascii="Palatino Linotype" w:eastAsia="Palatino Linotype" w:hAnsi="Palatino Linotype" w:cs="Palatino Linotype"/>
          <w:b/>
        </w:rPr>
        <w:t>SAIMEX</w:t>
      </w:r>
      <w:r w:rsidRPr="00A91FE1">
        <w:rPr>
          <w:rFonts w:ascii="Palatino Linotype" w:eastAsia="Palatino Linotype" w:hAnsi="Palatino Linotype" w:cs="Palatino Linotype"/>
        </w:rPr>
        <w:t>.</w:t>
      </w:r>
    </w:p>
    <w:p w14:paraId="5A63E5A9"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 xml:space="preserve">2. Respuesta. </w:t>
      </w:r>
      <w:r w:rsidRPr="00A91FE1">
        <w:rPr>
          <w:rFonts w:ascii="Palatino Linotype" w:eastAsia="Palatino Linotype" w:hAnsi="Palatino Linotype" w:cs="Palatino Linotype"/>
        </w:rPr>
        <w:t>Con fecha</w:t>
      </w:r>
      <w:r w:rsidRPr="00A91FE1">
        <w:rPr>
          <w:rFonts w:ascii="Palatino Linotype" w:eastAsia="Palatino Linotype" w:hAnsi="Palatino Linotype" w:cs="Palatino Linotype"/>
          <w:b/>
        </w:rPr>
        <w:t xml:space="preserve"> veinticinco de abril de dos mil veintidós</w:t>
      </w:r>
      <w:r w:rsidRPr="00A91FE1">
        <w:rPr>
          <w:rFonts w:ascii="Palatino Linotype" w:eastAsia="Palatino Linotype" w:hAnsi="Palatino Linotype" w:cs="Palatino Linotype"/>
        </w:rPr>
        <w:t xml:space="preserve">, el </w:t>
      </w:r>
      <w:r w:rsidRPr="00A91FE1">
        <w:rPr>
          <w:rFonts w:ascii="Palatino Linotype" w:eastAsia="Palatino Linotype" w:hAnsi="Palatino Linotype" w:cs="Palatino Linotype"/>
          <w:b/>
        </w:rPr>
        <w:t xml:space="preserve">Sujeto Obligado </w:t>
      </w:r>
      <w:r w:rsidRPr="00A91FE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56E6C52" w14:textId="77777777" w:rsidR="006F675B" w:rsidRPr="00A91FE1" w:rsidRDefault="00951242">
      <w:pPr>
        <w:spacing w:before="240" w:after="24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lastRenderedPageBreak/>
        <w:t>“…le contestamos que:</w:t>
      </w:r>
    </w:p>
    <w:p w14:paraId="383E5D28" w14:textId="77777777" w:rsidR="006F675B" w:rsidRPr="00A91FE1" w:rsidRDefault="00951242">
      <w:pPr>
        <w:spacing w:before="240" w:after="24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SE REMITE RESPUESTA... ” (sic)</w:t>
      </w:r>
    </w:p>
    <w:p w14:paraId="4B88996D" w14:textId="77777777" w:rsidR="006F675B" w:rsidRPr="00A91FE1" w:rsidRDefault="00951242">
      <w:pPr>
        <w:spacing w:before="240" w:after="240" w:line="360" w:lineRule="auto"/>
        <w:ind w:right="49"/>
        <w:jc w:val="both"/>
        <w:rPr>
          <w:rFonts w:ascii="Palatino Linotype" w:eastAsia="Palatino Linotype" w:hAnsi="Palatino Linotype" w:cs="Palatino Linotype"/>
        </w:rPr>
      </w:pPr>
      <w:bookmarkStart w:id="1" w:name="_heading=h.1fob9te" w:colFirst="0" w:colLast="0"/>
      <w:bookmarkEnd w:id="1"/>
      <w:r w:rsidRPr="00A91FE1">
        <w:rPr>
          <w:rFonts w:ascii="Palatino Linotype" w:eastAsia="Palatino Linotype" w:hAnsi="Palatino Linotype" w:cs="Palatino Linotype"/>
        </w:rPr>
        <w:t xml:space="preserve">El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xml:space="preserve"> adjuntó el archivo </w:t>
      </w:r>
      <w:r w:rsidRPr="00A91FE1">
        <w:rPr>
          <w:rFonts w:ascii="Palatino Linotype" w:eastAsia="Palatino Linotype" w:hAnsi="Palatino Linotype" w:cs="Palatino Linotype"/>
          <w:i/>
        </w:rPr>
        <w:t xml:space="preserve">“331-RESP-SEC.pdf”, </w:t>
      </w:r>
      <w:r w:rsidRPr="00A91FE1">
        <w:rPr>
          <w:rFonts w:ascii="Palatino Linotype" w:eastAsia="Palatino Linotype" w:hAnsi="Palatino Linotype" w:cs="Palatino Linotype"/>
        </w:rPr>
        <w:t>que contiene el oficio número PMT058/SA/320/2022, de fecha veinticinco de abril de dos mil veintidós, signado por el Secretario del Ayuntamiento, mediante el cual informa que derivado de la búsqueda en los archivos de la Secretaría del Ayuntamiento, y en el libro de registro de convenios que se sigue en la Dependencia a su cargo, no obran los registros de los convenios con número C.S.J1/2022, y C.S. J16/2022, para los efectos a que haya lugar.</w:t>
      </w:r>
    </w:p>
    <w:p w14:paraId="5272D8E4" w14:textId="77777777" w:rsidR="006F675B" w:rsidRPr="00A91FE1" w:rsidRDefault="00951242">
      <w:pPr>
        <w:spacing w:before="240" w:after="240" w:line="360" w:lineRule="auto"/>
        <w:ind w:right="49"/>
        <w:jc w:val="both"/>
        <w:rPr>
          <w:rFonts w:ascii="Palatino Linotype" w:eastAsia="Palatino Linotype" w:hAnsi="Palatino Linotype" w:cs="Palatino Linotype"/>
        </w:rPr>
      </w:pPr>
      <w:r w:rsidRPr="00A91FE1">
        <w:rPr>
          <w:rFonts w:ascii="Palatino Linotype" w:eastAsia="Palatino Linotype" w:hAnsi="Palatino Linotype" w:cs="Palatino Linotype"/>
          <w:b/>
        </w:rPr>
        <w:t xml:space="preserve">3. Interposición del recurso de revisión. </w:t>
      </w:r>
      <w:r w:rsidRPr="00A91FE1">
        <w:rPr>
          <w:rFonts w:ascii="Palatino Linotype" w:eastAsia="Palatino Linotype" w:hAnsi="Palatino Linotype" w:cs="Palatino Linotype"/>
        </w:rPr>
        <w:t xml:space="preserve">Inconforme con los términos de la respuesta emitida por parte del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xml:space="preserve">, el </w:t>
      </w:r>
      <w:r w:rsidRPr="00A91FE1">
        <w:rPr>
          <w:rFonts w:ascii="Palatino Linotype" w:eastAsia="Palatino Linotype" w:hAnsi="Palatino Linotype" w:cs="Palatino Linotype"/>
          <w:b/>
        </w:rPr>
        <w:t>nueve de mayo de dos mil veintidós,</w:t>
      </w:r>
      <w:r w:rsidRPr="00A91FE1">
        <w:rPr>
          <w:rFonts w:ascii="Palatino Linotype" w:eastAsia="Palatino Linotype" w:hAnsi="Palatino Linotype" w:cs="Palatino Linotype"/>
        </w:rPr>
        <w:t xml:space="preserve"> la parte </w:t>
      </w:r>
      <w:r w:rsidRPr="00A91FE1">
        <w:rPr>
          <w:rFonts w:ascii="Palatino Linotype" w:eastAsia="Palatino Linotype" w:hAnsi="Palatino Linotype" w:cs="Palatino Linotype"/>
          <w:b/>
        </w:rPr>
        <w:t>Recurrente</w:t>
      </w:r>
      <w:r w:rsidRPr="00A91FE1">
        <w:rPr>
          <w:rFonts w:ascii="Palatino Linotype" w:eastAsia="Palatino Linotype" w:hAnsi="Palatino Linotype" w:cs="Palatino Linotype"/>
        </w:rPr>
        <w:t xml:space="preserve"> interpuso el recurso de revisión a través de </w:t>
      </w:r>
      <w:r w:rsidRPr="00A91FE1">
        <w:rPr>
          <w:rFonts w:ascii="Palatino Linotype" w:eastAsia="Palatino Linotype" w:hAnsi="Palatino Linotype" w:cs="Palatino Linotype"/>
          <w:b/>
        </w:rPr>
        <w:t xml:space="preserve">SAIMEX, </w:t>
      </w:r>
      <w:r w:rsidRPr="00A91FE1">
        <w:rPr>
          <w:rFonts w:ascii="Palatino Linotype" w:eastAsia="Palatino Linotype" w:hAnsi="Palatino Linotype" w:cs="Palatino Linotype"/>
        </w:rPr>
        <w:t>en donde se manifestó de la siguiente manera:</w:t>
      </w:r>
    </w:p>
    <w:p w14:paraId="1AF78B0E" w14:textId="77777777" w:rsidR="006F675B" w:rsidRPr="00A91FE1" w:rsidRDefault="00951242">
      <w:pPr>
        <w:tabs>
          <w:tab w:val="left" w:pos="2745"/>
        </w:tabs>
        <w:spacing w:before="240" w:after="240" w:line="360" w:lineRule="auto"/>
        <w:jc w:val="both"/>
        <w:rPr>
          <w:rFonts w:ascii="Palatino Linotype" w:eastAsia="Palatino Linotype" w:hAnsi="Palatino Linotype" w:cs="Palatino Linotype"/>
          <w:b/>
        </w:rPr>
      </w:pPr>
      <w:r w:rsidRPr="00A91FE1">
        <w:rPr>
          <w:rFonts w:ascii="Palatino Linotype" w:eastAsia="Palatino Linotype" w:hAnsi="Palatino Linotype" w:cs="Palatino Linotype"/>
          <w:b/>
        </w:rPr>
        <w:t xml:space="preserve">Acto impugnado: </w:t>
      </w:r>
    </w:p>
    <w:p w14:paraId="259E64F7" w14:textId="77777777" w:rsidR="006F675B" w:rsidRPr="00A91FE1" w:rsidRDefault="00951242">
      <w:pPr>
        <w:tabs>
          <w:tab w:val="left" w:pos="2745"/>
        </w:tabs>
        <w:spacing w:before="240" w:after="240"/>
        <w:ind w:left="851" w:right="900"/>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“negativa de la informacion” (sic)</w:t>
      </w:r>
    </w:p>
    <w:p w14:paraId="48941925" w14:textId="77777777" w:rsidR="006F675B" w:rsidRPr="00A91FE1" w:rsidRDefault="00951242">
      <w:pPr>
        <w:spacing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Y Razones o motivos de inconformidad</w:t>
      </w:r>
      <w:r w:rsidRPr="00A91FE1">
        <w:rPr>
          <w:rFonts w:ascii="Palatino Linotype" w:eastAsia="Palatino Linotype" w:hAnsi="Palatino Linotype" w:cs="Palatino Linotype"/>
        </w:rPr>
        <w:t>:</w:t>
      </w:r>
    </w:p>
    <w:p w14:paraId="749569DE" w14:textId="77777777" w:rsidR="006F675B" w:rsidRPr="00A91FE1" w:rsidRDefault="00951242">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A91FE1">
        <w:rPr>
          <w:rFonts w:ascii="Palatino Linotype" w:eastAsia="Palatino Linotype" w:hAnsi="Palatino Linotype" w:cs="Palatino Linotype"/>
          <w:i/>
          <w:sz w:val="22"/>
          <w:szCs w:val="22"/>
        </w:rPr>
        <w:t xml:space="preserve"> “de acuerdo a la contestacion de la solicitud 0135 que se dio mediante oficio mtm05/8/dae00rh/00857/2022 en el cual hacen mencion de esos dos convenios por lo cual los solicito la unidad de transparencia no cumple con las funciones de acuerdo al 53 de la ley de la materia” (sic)</w:t>
      </w:r>
    </w:p>
    <w:p w14:paraId="230B6A27" w14:textId="77777777" w:rsidR="006F675B" w:rsidRPr="00A91FE1" w:rsidRDefault="00951242">
      <w:pPr>
        <w:spacing w:before="240" w:after="240" w:line="360" w:lineRule="auto"/>
        <w:ind w:right="51"/>
        <w:jc w:val="both"/>
        <w:rPr>
          <w:rFonts w:ascii="Palatino Linotype" w:eastAsia="Palatino Linotype" w:hAnsi="Palatino Linotype" w:cs="Palatino Linotype"/>
        </w:rPr>
      </w:pPr>
      <w:r w:rsidRPr="00A91FE1">
        <w:rPr>
          <w:rFonts w:ascii="Palatino Linotype" w:eastAsia="Palatino Linotype" w:hAnsi="Palatino Linotype" w:cs="Palatino Linotype"/>
          <w:b/>
        </w:rPr>
        <w:t xml:space="preserve">Anexos: </w:t>
      </w:r>
      <w:r w:rsidRPr="00A91FE1">
        <w:rPr>
          <w:rFonts w:ascii="Palatino Linotype" w:eastAsia="Palatino Linotype" w:hAnsi="Palatino Linotype" w:cs="Palatino Linotype"/>
        </w:rPr>
        <w:t xml:space="preserve">La parte </w:t>
      </w:r>
      <w:r w:rsidRPr="00A91FE1">
        <w:rPr>
          <w:rFonts w:ascii="Palatino Linotype" w:eastAsia="Palatino Linotype" w:hAnsi="Palatino Linotype" w:cs="Palatino Linotype"/>
          <w:b/>
        </w:rPr>
        <w:t>Recurrente</w:t>
      </w:r>
      <w:r w:rsidRPr="00A91FE1">
        <w:rPr>
          <w:rFonts w:ascii="Palatino Linotype" w:eastAsia="Palatino Linotype" w:hAnsi="Palatino Linotype" w:cs="Palatino Linotype"/>
        </w:rPr>
        <w:t xml:space="preserve"> no adjuntó archivos.</w:t>
      </w:r>
    </w:p>
    <w:p w14:paraId="07F4216E" w14:textId="77777777" w:rsidR="006F675B" w:rsidRPr="00A91FE1" w:rsidRDefault="00951242">
      <w:pPr>
        <w:spacing w:before="240" w:after="240" w:line="360" w:lineRule="auto"/>
        <w:ind w:right="51"/>
        <w:jc w:val="both"/>
        <w:rPr>
          <w:rFonts w:ascii="Palatino Linotype" w:eastAsia="Palatino Linotype" w:hAnsi="Palatino Linotype" w:cs="Palatino Linotype"/>
        </w:rPr>
      </w:pPr>
      <w:r w:rsidRPr="00A91FE1">
        <w:rPr>
          <w:rFonts w:ascii="Palatino Linotype" w:eastAsia="Palatino Linotype" w:hAnsi="Palatino Linotype" w:cs="Palatino Linotype"/>
          <w:b/>
        </w:rPr>
        <w:t xml:space="preserve">4. Turno. </w:t>
      </w:r>
      <w:r w:rsidRPr="00A91FE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A91FE1">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A91FE1">
        <w:rPr>
          <w:rFonts w:ascii="Palatino Linotype" w:eastAsia="Palatino Linotype" w:hAnsi="Palatino Linotype" w:cs="Palatino Linotype"/>
          <w:b/>
        </w:rPr>
        <w:t xml:space="preserve">Guadalupe Ramírez Peña, </w:t>
      </w:r>
      <w:r w:rsidRPr="00A91FE1">
        <w:rPr>
          <w:rFonts w:ascii="Palatino Linotype" w:eastAsia="Palatino Linotype" w:hAnsi="Palatino Linotype" w:cs="Palatino Linotype"/>
        </w:rPr>
        <w:t>a efecto de que analizara sobre su admisión o su desechamiento.</w:t>
      </w:r>
    </w:p>
    <w:p w14:paraId="3BB32279"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5. Admisión del Recurso de revisión.</w:t>
      </w:r>
      <w:r w:rsidRPr="00A91FE1">
        <w:rPr>
          <w:rFonts w:ascii="Palatino Linotype" w:eastAsia="Palatino Linotype" w:hAnsi="Palatino Linotype" w:cs="Palatino Linotype"/>
        </w:rPr>
        <w:t xml:space="preserve"> Con fecha </w:t>
      </w:r>
      <w:r w:rsidRPr="00A91FE1">
        <w:rPr>
          <w:rFonts w:ascii="Palatino Linotype" w:eastAsia="Palatino Linotype" w:hAnsi="Palatino Linotype" w:cs="Palatino Linotype"/>
          <w:b/>
        </w:rPr>
        <w:t>doce de mayo</w:t>
      </w:r>
      <w:r w:rsidRPr="00A91FE1">
        <w:rPr>
          <w:rFonts w:ascii="Palatino Linotype" w:eastAsia="Palatino Linotype" w:hAnsi="Palatino Linotype" w:cs="Palatino Linotype"/>
        </w:rPr>
        <w:t xml:space="preserve"> </w:t>
      </w:r>
      <w:r w:rsidRPr="00A91FE1">
        <w:rPr>
          <w:rFonts w:ascii="Palatino Linotype" w:eastAsia="Palatino Linotype" w:hAnsi="Palatino Linotype" w:cs="Palatino Linotype"/>
          <w:b/>
        </w:rPr>
        <w:t xml:space="preserve">de dos mil veintidós, </w:t>
      </w:r>
      <w:r w:rsidRPr="00A91FE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91FE1">
        <w:rPr>
          <w:rFonts w:ascii="Palatino Linotype" w:eastAsia="Palatino Linotype" w:hAnsi="Palatino Linotype" w:cs="Palatino Linotype"/>
          <w:b/>
        </w:rPr>
        <w:t xml:space="preserve">Sujeto Obligado </w:t>
      </w:r>
      <w:r w:rsidRPr="00A91FE1">
        <w:rPr>
          <w:rFonts w:ascii="Palatino Linotype" w:eastAsia="Palatino Linotype" w:hAnsi="Palatino Linotype" w:cs="Palatino Linotype"/>
        </w:rPr>
        <w:t>presentara su informe justificado.</w:t>
      </w:r>
    </w:p>
    <w:p w14:paraId="623E478F" w14:textId="77777777" w:rsidR="006F675B" w:rsidRPr="00A91FE1" w:rsidRDefault="00951242">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A91FE1">
        <w:rPr>
          <w:rFonts w:ascii="Palatino Linotype" w:eastAsia="Palatino Linotype" w:hAnsi="Palatino Linotype" w:cs="Palatino Linotype"/>
          <w:b/>
        </w:rPr>
        <w:t>6. Manifestaciones</w:t>
      </w:r>
      <w:r w:rsidRPr="00A91FE1">
        <w:rPr>
          <w:rFonts w:ascii="Palatino Linotype" w:eastAsia="Palatino Linotype" w:hAnsi="Palatino Linotype" w:cs="Palatino Linotype"/>
        </w:rPr>
        <w:t xml:space="preserve">. De las constancias que obran en el expediente electrónico del SAIMEX se desprende que el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xml:space="preserve"> no rindió su informe justificado, del mismo modo la parte </w:t>
      </w:r>
      <w:r w:rsidRPr="00A91FE1">
        <w:rPr>
          <w:rFonts w:ascii="Palatino Linotype" w:eastAsia="Palatino Linotype" w:hAnsi="Palatino Linotype" w:cs="Palatino Linotype"/>
          <w:b/>
        </w:rPr>
        <w:t>Recurrente</w:t>
      </w:r>
      <w:r w:rsidRPr="00A91FE1">
        <w:rPr>
          <w:rFonts w:ascii="Palatino Linotype" w:eastAsia="Palatino Linotype" w:hAnsi="Palatino Linotype" w:cs="Palatino Linotype"/>
        </w:rPr>
        <w:t xml:space="preserve"> omitió realizar manifestaciones, como se observa a continuación:</w:t>
      </w:r>
    </w:p>
    <w:p w14:paraId="0A4C1D5B" w14:textId="77777777" w:rsidR="006F675B" w:rsidRPr="00A91FE1" w:rsidRDefault="00951242">
      <w:pPr>
        <w:spacing w:after="240" w:line="360" w:lineRule="auto"/>
        <w:jc w:val="both"/>
        <w:rPr>
          <w:rFonts w:ascii="Palatino Linotype" w:eastAsia="Palatino Linotype" w:hAnsi="Palatino Linotype" w:cs="Palatino Linotype"/>
          <w:b/>
        </w:rPr>
      </w:pPr>
      <w:r w:rsidRPr="00A91FE1">
        <w:rPr>
          <w:rFonts w:ascii="Palatino Linotype" w:eastAsia="Palatino Linotype" w:hAnsi="Palatino Linotype" w:cs="Palatino Linotype"/>
          <w:b/>
          <w:noProof/>
        </w:rPr>
        <w:drawing>
          <wp:inline distT="0" distB="0" distL="0" distR="0" wp14:anchorId="28DB57BB" wp14:editId="01C17C80">
            <wp:extent cx="5610225" cy="1590675"/>
            <wp:effectExtent l="0" t="0" r="0" b="0"/>
            <wp:docPr id="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590675"/>
                    </a:xfrm>
                    <a:prstGeom prst="rect">
                      <a:avLst/>
                    </a:prstGeom>
                    <a:ln/>
                  </pic:spPr>
                </pic:pic>
              </a:graphicData>
            </a:graphic>
          </wp:inline>
        </w:drawing>
      </w:r>
    </w:p>
    <w:p w14:paraId="250EEED2" w14:textId="77777777" w:rsidR="006F675B" w:rsidRPr="00A91FE1" w:rsidRDefault="00951242">
      <w:pPr>
        <w:spacing w:before="240" w:after="240" w:line="360" w:lineRule="auto"/>
        <w:jc w:val="both"/>
        <w:rPr>
          <w:rFonts w:ascii="Palatino Linotype" w:eastAsia="Palatino Linotype" w:hAnsi="Palatino Linotype" w:cs="Palatino Linotype"/>
          <w:b/>
        </w:rPr>
      </w:pPr>
      <w:r w:rsidRPr="00A91FE1">
        <w:rPr>
          <w:rFonts w:ascii="Palatino Linotype" w:eastAsia="Palatino Linotype" w:hAnsi="Palatino Linotype" w:cs="Palatino Linotype"/>
          <w:b/>
        </w:rPr>
        <w:t xml:space="preserve">7. Cierre de instrucción. </w:t>
      </w:r>
      <w:r w:rsidRPr="00A91FE1">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A91FE1">
        <w:rPr>
          <w:rFonts w:ascii="Palatino Linotype" w:eastAsia="Palatino Linotype" w:hAnsi="Palatino Linotype" w:cs="Palatino Linotype"/>
        </w:rPr>
        <w:lastRenderedPageBreak/>
        <w:t xml:space="preserve">con fecha </w:t>
      </w:r>
      <w:r w:rsidRPr="00A91FE1">
        <w:rPr>
          <w:rFonts w:ascii="Palatino Linotype" w:eastAsia="Palatino Linotype" w:hAnsi="Palatino Linotype" w:cs="Palatino Linotype"/>
          <w:b/>
        </w:rPr>
        <w:t>siete de junio de dos mil veintidós</w:t>
      </w:r>
      <w:r w:rsidRPr="00A91FE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8ECC20F" w14:textId="77777777" w:rsidR="006F675B" w:rsidRPr="00A91FE1" w:rsidRDefault="00951242">
      <w:pPr>
        <w:spacing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8.  Ampliación del término para resolver</w:t>
      </w:r>
      <w:r w:rsidRPr="00A91FE1">
        <w:rPr>
          <w:rFonts w:ascii="Palatino Linotype" w:eastAsia="Palatino Linotype" w:hAnsi="Palatino Linotype" w:cs="Palatino Linotype"/>
        </w:rPr>
        <w:t xml:space="preserve">. En fecha </w:t>
      </w:r>
      <w:r w:rsidR="00C56344" w:rsidRPr="00A91FE1">
        <w:rPr>
          <w:rFonts w:ascii="Palatino Linotype" w:eastAsia="Palatino Linotype" w:hAnsi="Palatino Linotype" w:cs="Palatino Linotype"/>
          <w:b/>
        </w:rPr>
        <w:t xml:space="preserve">veintinueve </w:t>
      </w:r>
      <w:r w:rsidRPr="00A91FE1">
        <w:rPr>
          <w:rFonts w:ascii="Palatino Linotype" w:eastAsia="Palatino Linotype" w:hAnsi="Palatino Linotype" w:cs="Palatino Linotype"/>
          <w:b/>
        </w:rPr>
        <w:t>de junio de dos mil veintidós</w:t>
      </w:r>
      <w:r w:rsidRPr="00A91FE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DDD9623"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D58AA3"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3348BD2"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A91FE1">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01E4D3D4"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9F2C01" w14:textId="77777777" w:rsidR="006F675B" w:rsidRPr="00A91FE1" w:rsidRDefault="00951242">
      <w:pPr>
        <w:spacing w:before="240" w:after="240" w:line="360" w:lineRule="auto"/>
        <w:jc w:val="both"/>
        <w:rPr>
          <w:rFonts w:ascii="Palatino Linotype" w:eastAsia="Palatino Linotype" w:hAnsi="Palatino Linotype" w:cs="Palatino Linotype"/>
          <w:strike/>
        </w:rPr>
      </w:pPr>
      <w:r w:rsidRPr="00A91FE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6800D9" w14:textId="77777777" w:rsidR="006F675B" w:rsidRPr="00A91FE1" w:rsidRDefault="00951242">
      <w:pPr>
        <w:numPr>
          <w:ilvl w:val="0"/>
          <w:numId w:val="1"/>
        </w:num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3F5778D" w14:textId="77777777" w:rsidR="006F675B" w:rsidRPr="00A91FE1" w:rsidRDefault="00951242">
      <w:pPr>
        <w:numPr>
          <w:ilvl w:val="0"/>
          <w:numId w:val="1"/>
        </w:num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Actividad Procesal del interesado. Acciones u omisiones del interesado.</w:t>
      </w:r>
    </w:p>
    <w:p w14:paraId="7AF8134B" w14:textId="77777777" w:rsidR="006F675B" w:rsidRPr="00A91FE1" w:rsidRDefault="00951242">
      <w:pPr>
        <w:numPr>
          <w:ilvl w:val="0"/>
          <w:numId w:val="1"/>
        </w:num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Conducta de la Autoridad: Las Acciones u omisiones realizadas en el procedimiento. Así como si la autoridad actuó con la debida diligencia.</w:t>
      </w:r>
    </w:p>
    <w:p w14:paraId="1A09117F" w14:textId="77777777" w:rsidR="006F675B" w:rsidRPr="00A91FE1" w:rsidRDefault="00951242">
      <w:pPr>
        <w:spacing w:before="240" w:after="240" w:line="360" w:lineRule="auto"/>
        <w:ind w:left="567"/>
        <w:jc w:val="both"/>
        <w:rPr>
          <w:rFonts w:ascii="Palatino Linotype" w:eastAsia="Palatino Linotype" w:hAnsi="Palatino Linotype" w:cs="Palatino Linotype"/>
        </w:rPr>
      </w:pPr>
      <w:r w:rsidRPr="00A91FE1">
        <w:rPr>
          <w:rFonts w:ascii="Palatino Linotype" w:eastAsia="Palatino Linotype" w:hAnsi="Palatino Linotype" w:cs="Palatino Linotype"/>
        </w:rPr>
        <w:t>d) La afectación generada en la situación jurídica de la persona involucrada en el proceso: Violación a sus derechos humanos.</w:t>
      </w:r>
    </w:p>
    <w:p w14:paraId="68F0E251"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A91FE1">
        <w:rPr>
          <w:rFonts w:ascii="Palatino Linotype" w:eastAsia="Palatino Linotype" w:hAnsi="Palatino Linotype" w:cs="Palatino Linotype"/>
        </w:rPr>
        <w:lastRenderedPageBreak/>
        <w:t>relación con la actuación del funcionario, como ha acontecido en el caso que nos ocupa.</w:t>
      </w:r>
    </w:p>
    <w:p w14:paraId="7C272B91" w14:textId="77777777" w:rsidR="006F675B" w:rsidRPr="00A91FE1" w:rsidRDefault="00951242">
      <w:pPr>
        <w:spacing w:before="240" w:after="240" w:line="360" w:lineRule="auto"/>
        <w:jc w:val="both"/>
        <w:rPr>
          <w:rFonts w:ascii="Palatino Linotype" w:eastAsia="Palatino Linotype" w:hAnsi="Palatino Linotype" w:cs="Palatino Linotype"/>
          <w:b/>
        </w:rPr>
      </w:pPr>
      <w:r w:rsidRPr="00A91FE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91FE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91FE1">
        <w:rPr>
          <w:rFonts w:ascii="Palatino Linotype" w:eastAsia="Palatino Linotype" w:hAnsi="Palatino Linotype" w:cs="Palatino Linotype"/>
        </w:rPr>
        <w:t>, visible en la Gaceta del Seminario Judicial de la Federación con el registro digital 205635.</w:t>
      </w:r>
    </w:p>
    <w:p w14:paraId="05BF5A55"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F91DB6"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7F596C0" w14:textId="77777777" w:rsidR="006F675B" w:rsidRPr="00A91FE1" w:rsidRDefault="00951242">
      <w:pPr>
        <w:spacing w:before="240" w:after="240"/>
        <w:ind w:left="851" w:right="902"/>
        <w:jc w:val="both"/>
        <w:rPr>
          <w:rFonts w:ascii="Palatino Linotype" w:eastAsia="Palatino Linotype" w:hAnsi="Palatino Linotype" w:cs="Palatino Linotype"/>
          <w:sz w:val="22"/>
          <w:szCs w:val="22"/>
        </w:rPr>
      </w:pPr>
      <w:r w:rsidRPr="00A91FE1">
        <w:rPr>
          <w:rFonts w:ascii="Palatino Linotype" w:eastAsia="Palatino Linotype" w:hAnsi="Palatino Linotype" w:cs="Palatino Linotype"/>
        </w:rPr>
        <w:lastRenderedPageBreak/>
        <w:t xml:space="preserve"> </w:t>
      </w:r>
      <w:r w:rsidRPr="00A91FE1">
        <w:rPr>
          <w:rFonts w:ascii="Palatino Linotype" w:eastAsia="Palatino Linotype" w:hAnsi="Palatino Linotype" w:cs="Palatino Linotype"/>
          <w:i/>
          <w:sz w:val="22"/>
          <w:szCs w:val="22"/>
        </w:rPr>
        <w:t>“</w:t>
      </w:r>
      <w:r w:rsidRPr="00A91FE1">
        <w:rPr>
          <w:rFonts w:ascii="Palatino Linotype" w:eastAsia="Palatino Linotype" w:hAnsi="Palatino Linotype" w:cs="Palatino Linotype"/>
          <w:b/>
          <w:i/>
          <w:sz w:val="22"/>
          <w:szCs w:val="22"/>
        </w:rPr>
        <w:t>PLAZO RAZONABLE PARA RESOLVER. DIMENSIÓN Y EFECTOS DE ESTE CONCEPTO CUANDO SE ADUCE EXCESIVA CARGA DE TRABAJO</w:t>
      </w:r>
      <w:r w:rsidRPr="00A91FE1">
        <w:rPr>
          <w:rFonts w:ascii="Palatino Linotype" w:eastAsia="Palatino Linotype" w:hAnsi="Palatino Linotype" w:cs="Palatino Linotype"/>
          <w:i/>
          <w:sz w:val="22"/>
          <w:szCs w:val="22"/>
        </w:rPr>
        <w:t>.”</w:t>
      </w:r>
      <w:r w:rsidRPr="00A91FE1">
        <w:rPr>
          <w:rFonts w:ascii="Palatino Linotype" w:eastAsia="Palatino Linotype" w:hAnsi="Palatino Linotype" w:cs="Palatino Linotype"/>
          <w:sz w:val="22"/>
          <w:szCs w:val="22"/>
        </w:rPr>
        <w:t xml:space="preserve"> consultable en el Seminario Judicial de la Federación y su gaceta, con el registro digital 2002351.</w:t>
      </w:r>
    </w:p>
    <w:p w14:paraId="13A5101B" w14:textId="77777777" w:rsidR="006F675B" w:rsidRPr="00A91FE1" w:rsidRDefault="00951242">
      <w:pPr>
        <w:spacing w:before="240" w:after="240"/>
        <w:ind w:left="851" w:right="902"/>
        <w:jc w:val="both"/>
        <w:rPr>
          <w:rFonts w:ascii="Palatino Linotype" w:eastAsia="Palatino Linotype" w:hAnsi="Palatino Linotype" w:cs="Palatino Linotype"/>
          <w:sz w:val="22"/>
          <w:szCs w:val="22"/>
        </w:rPr>
      </w:pPr>
      <w:r w:rsidRPr="00A91FE1">
        <w:rPr>
          <w:rFonts w:ascii="Palatino Linotype" w:eastAsia="Palatino Linotype" w:hAnsi="Palatino Linotype" w:cs="Palatino Linotype"/>
          <w:i/>
          <w:sz w:val="22"/>
          <w:szCs w:val="22"/>
        </w:rPr>
        <w:t>“</w:t>
      </w:r>
      <w:r w:rsidRPr="00A91FE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91FE1">
        <w:rPr>
          <w:rFonts w:ascii="Palatino Linotype" w:eastAsia="Palatino Linotype" w:hAnsi="Palatino Linotype" w:cs="Palatino Linotype"/>
          <w:i/>
          <w:sz w:val="22"/>
          <w:szCs w:val="22"/>
        </w:rPr>
        <w:t>.”</w:t>
      </w:r>
      <w:r w:rsidRPr="00A91FE1">
        <w:rPr>
          <w:rFonts w:ascii="Palatino Linotype" w:eastAsia="Palatino Linotype" w:hAnsi="Palatino Linotype" w:cs="Palatino Linotype"/>
          <w:sz w:val="22"/>
          <w:szCs w:val="22"/>
        </w:rPr>
        <w:t>, visible en el Seminario Judicial de la Federación y su gaceta, con el registro digital 2002350.</w:t>
      </w:r>
    </w:p>
    <w:p w14:paraId="3E6792CE"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677CF1D"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D51630D" w14:textId="77777777" w:rsidR="006F675B" w:rsidRPr="00A91FE1" w:rsidRDefault="00951242">
      <w:pPr>
        <w:widowControl w:val="0"/>
        <w:spacing w:before="240" w:after="240" w:line="360" w:lineRule="auto"/>
        <w:jc w:val="center"/>
        <w:rPr>
          <w:rFonts w:ascii="Palatino Linotype" w:eastAsia="Palatino Linotype" w:hAnsi="Palatino Linotype" w:cs="Palatino Linotype"/>
          <w:b/>
        </w:rPr>
      </w:pPr>
      <w:r w:rsidRPr="00A91FE1">
        <w:rPr>
          <w:rFonts w:ascii="Palatino Linotype" w:eastAsia="Palatino Linotype" w:hAnsi="Palatino Linotype" w:cs="Palatino Linotype"/>
          <w:b/>
        </w:rPr>
        <w:t>II. C O N S I D E R A N D O S</w:t>
      </w:r>
    </w:p>
    <w:p w14:paraId="1651C98F"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Primero. Competencia.</w:t>
      </w:r>
      <w:r w:rsidRPr="00A91FE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A91FE1">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5AAE32A3" w14:textId="77777777" w:rsidR="006F675B" w:rsidRPr="00A91FE1" w:rsidRDefault="00951242">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A91FE1">
        <w:rPr>
          <w:rFonts w:ascii="Palatino Linotype" w:eastAsia="Palatino Linotype" w:hAnsi="Palatino Linotype" w:cs="Palatino Linotype"/>
          <w:b/>
        </w:rPr>
        <w:t>Segundo. Oportunidad y Procedibilidad del Recurso de Revisión</w:t>
      </w:r>
      <w:r w:rsidRPr="00A91FE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7D98030"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91FE1">
        <w:rPr>
          <w:rFonts w:ascii="Palatino Linotype" w:eastAsia="Palatino Linotype" w:hAnsi="Palatino Linotype" w:cs="Palatino Linotype"/>
          <w:b/>
        </w:rPr>
        <w:t xml:space="preserve">Sujeto Obligado </w:t>
      </w:r>
      <w:r w:rsidRPr="00A91FE1">
        <w:rPr>
          <w:rFonts w:ascii="Palatino Linotype" w:eastAsia="Palatino Linotype" w:hAnsi="Palatino Linotype" w:cs="Palatino Linotype"/>
        </w:rPr>
        <w:t xml:space="preserve">remitió la respuesta a la solicitud de información el día </w:t>
      </w:r>
      <w:r w:rsidRPr="00A91FE1">
        <w:rPr>
          <w:rFonts w:ascii="Palatino Linotype" w:eastAsia="Palatino Linotype" w:hAnsi="Palatino Linotype" w:cs="Palatino Linotype"/>
          <w:b/>
        </w:rPr>
        <w:t xml:space="preserve">veinticinco de abril de dos mil veintidós, </w:t>
      </w:r>
      <w:r w:rsidRPr="00A91FE1">
        <w:rPr>
          <w:rFonts w:ascii="Palatino Linotype" w:eastAsia="Palatino Linotype" w:hAnsi="Palatino Linotype" w:cs="Palatino Linotype"/>
        </w:rPr>
        <w:t xml:space="preserve">mientras que el recurso de revisión interpuesto por la parte </w:t>
      </w:r>
      <w:r w:rsidRPr="00A91FE1">
        <w:rPr>
          <w:rFonts w:ascii="Palatino Linotype" w:eastAsia="Palatino Linotype" w:hAnsi="Palatino Linotype" w:cs="Palatino Linotype"/>
          <w:b/>
        </w:rPr>
        <w:t>Recurrente</w:t>
      </w:r>
      <w:r w:rsidRPr="00A91FE1">
        <w:rPr>
          <w:rFonts w:ascii="Palatino Linotype" w:eastAsia="Palatino Linotype" w:hAnsi="Palatino Linotype" w:cs="Palatino Linotype"/>
        </w:rPr>
        <w:t xml:space="preserve">, se tuvo por presentado el día </w:t>
      </w:r>
      <w:r w:rsidRPr="00A91FE1">
        <w:rPr>
          <w:rFonts w:ascii="Palatino Linotype" w:eastAsia="Palatino Linotype" w:hAnsi="Palatino Linotype" w:cs="Palatino Linotype"/>
          <w:b/>
        </w:rPr>
        <w:t>nueve de mayo de dos mil veintidós</w:t>
      </w:r>
      <w:r w:rsidRPr="00A91FE1">
        <w:rPr>
          <w:rFonts w:ascii="Palatino Linotype" w:eastAsia="Palatino Linotype" w:hAnsi="Palatino Linotype" w:cs="Palatino Linotype"/>
        </w:rPr>
        <w:t>, esto es, al noveno día hábil siguiente en que tuvo conocimiento de la respuesta impugnada.</w:t>
      </w:r>
    </w:p>
    <w:p w14:paraId="1E179DA3" w14:textId="77777777" w:rsidR="006F675B" w:rsidRPr="00A91FE1" w:rsidRDefault="00951242">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A91FE1">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B0734C9"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A efecto de sustentar lo anterior, es de suma importancia mencionar que si bien la persona solicitante </w:t>
      </w:r>
      <w:r w:rsidRPr="00A91FE1">
        <w:rPr>
          <w:rFonts w:ascii="Palatino Linotype" w:eastAsia="Palatino Linotype" w:hAnsi="Palatino Linotype" w:cs="Palatino Linotype"/>
          <w:b/>
        </w:rPr>
        <w:t xml:space="preserve">no proporcionó un nombre </w:t>
      </w:r>
      <w:r w:rsidRPr="00A91FE1">
        <w:rPr>
          <w:rFonts w:ascii="Palatino Linotype" w:eastAsia="Palatino Linotype" w:hAnsi="Palatino Linotype" w:cs="Palatino Linotype"/>
        </w:rPr>
        <w:t>como se advierte en el detalle de seguimiento del SAIMEX, sin embargo</w:t>
      </w:r>
      <w:r w:rsidR="00C56344" w:rsidRPr="00A91FE1">
        <w:rPr>
          <w:rFonts w:ascii="Palatino Linotype" w:eastAsia="Palatino Linotype" w:hAnsi="Palatino Linotype" w:cs="Palatino Linotype"/>
        </w:rPr>
        <w:t xml:space="preserve">, el no proporcionar un nombre </w:t>
      </w:r>
      <w:r w:rsidRPr="00A91FE1">
        <w:rPr>
          <w:rFonts w:ascii="Palatino Linotype" w:eastAsia="Palatino Linotype" w:hAnsi="Palatino Linotype" w:cs="Palatino Linotype"/>
        </w:rPr>
        <w:t xml:space="preserve">no es motivo </w:t>
      </w:r>
      <w:r w:rsidRPr="00A91FE1">
        <w:rPr>
          <w:rFonts w:ascii="Palatino Linotype" w:eastAsia="Palatino Linotype" w:hAnsi="Palatino Linotype" w:cs="Palatino Linotype"/>
        </w:rPr>
        <w:lastRenderedPageBreak/>
        <w:t>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E80A9D5" w14:textId="77777777" w:rsidR="006F675B" w:rsidRPr="00A91FE1" w:rsidRDefault="00951242">
      <w:pPr>
        <w:spacing w:before="120" w:after="120"/>
        <w:ind w:left="851" w:right="902"/>
        <w:jc w:val="both"/>
        <w:rPr>
          <w:rFonts w:ascii="Palatino Linotype" w:eastAsia="Palatino Linotype" w:hAnsi="Palatino Linotype" w:cs="Palatino Linotype"/>
          <w:sz w:val="22"/>
          <w:szCs w:val="22"/>
        </w:rPr>
      </w:pPr>
      <w:r w:rsidRPr="00A91FE1">
        <w:rPr>
          <w:rFonts w:ascii="Palatino Linotype" w:eastAsia="Palatino Linotype" w:hAnsi="Palatino Linotype" w:cs="Palatino Linotype"/>
          <w:i/>
          <w:sz w:val="22"/>
          <w:szCs w:val="22"/>
        </w:rPr>
        <w:t>"</w:t>
      </w:r>
      <w:r w:rsidRPr="00A91FE1">
        <w:rPr>
          <w:rFonts w:ascii="Palatino Linotype" w:eastAsia="Palatino Linotype" w:hAnsi="Palatino Linotype" w:cs="Palatino Linotype"/>
          <w:b/>
          <w:i/>
          <w:sz w:val="22"/>
          <w:szCs w:val="22"/>
        </w:rPr>
        <w:t>Las solicitudes anónimas</w:t>
      </w:r>
      <w:r w:rsidRPr="00A91FE1">
        <w:rPr>
          <w:rFonts w:ascii="Palatino Linotype" w:eastAsia="Palatino Linotype" w:hAnsi="Palatino Linotype" w:cs="Palatino Linotype"/>
          <w:i/>
          <w:sz w:val="22"/>
          <w:szCs w:val="22"/>
        </w:rPr>
        <w:t xml:space="preserve">, con nombre incompleto o seudónimo </w:t>
      </w:r>
      <w:r w:rsidRPr="00A91FE1">
        <w:rPr>
          <w:rFonts w:ascii="Palatino Linotype" w:eastAsia="Palatino Linotype" w:hAnsi="Palatino Linotype" w:cs="Palatino Linotype"/>
          <w:b/>
          <w:i/>
          <w:sz w:val="22"/>
          <w:szCs w:val="22"/>
        </w:rPr>
        <w:t>serán procedentes para su trámite por parte del sujeto obligado ante quien se presente</w:t>
      </w:r>
      <w:r w:rsidRPr="00A91FE1">
        <w:rPr>
          <w:rFonts w:ascii="Palatino Linotype" w:eastAsia="Palatino Linotype" w:hAnsi="Palatino Linotype" w:cs="Palatino Linotype"/>
          <w:i/>
          <w:sz w:val="22"/>
          <w:szCs w:val="22"/>
        </w:rPr>
        <w:t>. No podrá requerirse información adicional con motivo del nombre proporcionado por el solicitante."</w:t>
      </w:r>
    </w:p>
    <w:p w14:paraId="19002DAB"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91FE1">
        <w:rPr>
          <w:rFonts w:ascii="Palatino Linotype" w:eastAsia="Palatino Linotype" w:hAnsi="Palatino Linotype" w:cs="Palatino Linotype"/>
          <w:b/>
        </w:rPr>
        <w:t>Recurrente</w:t>
      </w:r>
      <w:r w:rsidRPr="00A91FE1">
        <w:rPr>
          <w:rFonts w:ascii="Palatino Linotype" w:eastAsia="Palatino Linotype" w:hAnsi="Palatino Linotype" w:cs="Palatino Linotype"/>
        </w:rPr>
        <w:t>, por lo que, en el presente caso, al haber sido presentado el recurso de revisión vía SAIMEX, dicho requisito resulta innecesario.</w:t>
      </w:r>
    </w:p>
    <w:p w14:paraId="36E4B211"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Finalmente, se advierte que resulta procedente la interposición del recurso, según lo manifestado por la parte </w:t>
      </w:r>
      <w:r w:rsidRPr="00A91FE1">
        <w:rPr>
          <w:rFonts w:ascii="Palatino Linotype" w:eastAsia="Palatino Linotype" w:hAnsi="Palatino Linotype" w:cs="Palatino Linotype"/>
          <w:b/>
        </w:rPr>
        <w:t>Recurrente</w:t>
      </w:r>
      <w:r w:rsidRPr="00A91FE1">
        <w:rPr>
          <w:rFonts w:ascii="Palatino Linotype" w:eastAsia="Palatino Linotype" w:hAnsi="Palatino Linotype" w:cs="Palatino Linotype"/>
        </w:rPr>
        <w:t xml:space="preserve"> en sus motivos de inconformidad, de acuerdo al artículo 179, fracción I del ordenamiento legal citado, que a la letra dice: </w:t>
      </w:r>
    </w:p>
    <w:p w14:paraId="7E9011CF"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w:t>
      </w:r>
      <w:r w:rsidRPr="00A91FE1">
        <w:rPr>
          <w:rFonts w:ascii="Palatino Linotype" w:eastAsia="Palatino Linotype" w:hAnsi="Palatino Linotype" w:cs="Palatino Linotype"/>
          <w:b/>
          <w:i/>
          <w:sz w:val="22"/>
          <w:szCs w:val="22"/>
        </w:rPr>
        <w:t>Artículo 179.</w:t>
      </w:r>
      <w:r w:rsidRPr="00A91FE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8083805" w14:textId="77777777" w:rsidR="006F675B" w:rsidRPr="00A91FE1" w:rsidRDefault="00951242">
      <w:pPr>
        <w:spacing w:before="120" w:after="120"/>
        <w:ind w:left="1134"/>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 xml:space="preserve">I. </w:t>
      </w:r>
      <w:r w:rsidRPr="00A91FE1">
        <w:rPr>
          <w:rFonts w:ascii="Palatino Linotype" w:eastAsia="Palatino Linotype" w:hAnsi="Palatino Linotype" w:cs="Palatino Linotype"/>
          <w:i/>
          <w:sz w:val="22"/>
          <w:szCs w:val="22"/>
        </w:rPr>
        <w:t>La negativa a la información solicitada</w:t>
      </w:r>
      <w:r w:rsidRPr="00A91FE1">
        <w:rPr>
          <w:rFonts w:ascii="Palatino Linotype" w:eastAsia="Palatino Linotype" w:hAnsi="Palatino Linotype" w:cs="Palatino Linotype"/>
          <w:b/>
          <w:i/>
          <w:sz w:val="22"/>
          <w:szCs w:val="22"/>
        </w:rPr>
        <w:t xml:space="preserve">; </w:t>
      </w:r>
      <w:r w:rsidRPr="00A91FE1">
        <w:rPr>
          <w:rFonts w:ascii="Palatino Linotype" w:eastAsia="Palatino Linotype" w:hAnsi="Palatino Linotype" w:cs="Palatino Linotype"/>
          <w:i/>
          <w:sz w:val="22"/>
          <w:szCs w:val="22"/>
        </w:rPr>
        <w:t>“</w:t>
      </w:r>
    </w:p>
    <w:p w14:paraId="6E5A018A"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 xml:space="preserve">Tercero. Materia de la revisión. </w:t>
      </w:r>
      <w:r w:rsidRPr="00A91FE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91FE1">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91FE1">
        <w:rPr>
          <w:rFonts w:ascii="Palatino Linotype" w:eastAsia="Palatino Linotype" w:hAnsi="Palatino Linotype" w:cs="Palatino Linotype"/>
        </w:rPr>
        <w:t xml:space="preserve">de la parte </w:t>
      </w:r>
      <w:r w:rsidRPr="00A91FE1">
        <w:rPr>
          <w:rFonts w:ascii="Palatino Linotype" w:eastAsia="Palatino Linotype" w:hAnsi="Palatino Linotype" w:cs="Palatino Linotype"/>
          <w:b/>
        </w:rPr>
        <w:lastRenderedPageBreak/>
        <w:t>Recurrente</w:t>
      </w:r>
      <w:r w:rsidRPr="00A91FE1">
        <w:rPr>
          <w:rFonts w:ascii="Palatino Linotype" w:eastAsia="Palatino Linotype" w:hAnsi="Palatino Linotype" w:cs="Palatino Linotype"/>
        </w:rPr>
        <w:t>, o en su defecto, en caso de ser procedente, ordenar la entrega de información oportuna.</w:t>
      </w:r>
    </w:p>
    <w:p w14:paraId="0DF9F05D" w14:textId="77777777" w:rsidR="006F675B" w:rsidRPr="00A91FE1" w:rsidRDefault="00951242">
      <w:pPr>
        <w:spacing w:before="240" w:after="240" w:line="360" w:lineRule="auto"/>
        <w:ind w:right="51"/>
        <w:jc w:val="both"/>
      </w:pPr>
      <w:bookmarkStart w:id="6" w:name="_heading=h.2et92p0" w:colFirst="0" w:colLast="0"/>
      <w:bookmarkEnd w:id="6"/>
      <w:r w:rsidRPr="00A91FE1">
        <w:rPr>
          <w:rFonts w:ascii="Palatino Linotype" w:eastAsia="Palatino Linotype" w:hAnsi="Palatino Linotype" w:cs="Palatino Linotype"/>
          <w:b/>
        </w:rPr>
        <w:t xml:space="preserve">Cuarto. Estudio del asunto. </w:t>
      </w:r>
      <w:r w:rsidRPr="00A91FE1">
        <w:rPr>
          <w:rFonts w:ascii="Palatino Linotype" w:eastAsia="Palatino Linotype" w:hAnsi="Palatino Linotype" w:cs="Palatino Linotype"/>
        </w:rPr>
        <w:t xml:space="preserve">Del análisis de la solicitud de información, motivo del recurso de revisión que ahora se resuelve se advierte que la parte </w:t>
      </w:r>
      <w:r w:rsidRPr="00A91FE1">
        <w:rPr>
          <w:rFonts w:ascii="Palatino Linotype" w:eastAsia="Palatino Linotype" w:hAnsi="Palatino Linotype" w:cs="Palatino Linotype"/>
          <w:b/>
        </w:rPr>
        <w:t>Recurrente</w:t>
      </w:r>
      <w:r w:rsidRPr="00A91FE1">
        <w:rPr>
          <w:rFonts w:ascii="Palatino Linotype" w:eastAsia="Palatino Linotype" w:hAnsi="Palatino Linotype" w:cs="Palatino Linotype"/>
        </w:rPr>
        <w:t xml:space="preserve"> requirió al </w:t>
      </w:r>
      <w:r w:rsidRPr="00A91FE1">
        <w:rPr>
          <w:rFonts w:ascii="Palatino Linotype" w:eastAsia="Palatino Linotype" w:hAnsi="Palatino Linotype" w:cs="Palatino Linotype"/>
          <w:b/>
        </w:rPr>
        <w:t xml:space="preserve">Sujeto Obligado </w:t>
      </w:r>
      <w:r w:rsidRPr="00A91FE1">
        <w:rPr>
          <w:rFonts w:ascii="Palatino Linotype" w:eastAsia="Palatino Linotype" w:hAnsi="Palatino Linotype" w:cs="Palatino Linotype"/>
        </w:rPr>
        <w:t>le proporcione, información consistente en lo siguiente</w:t>
      </w:r>
      <w:r w:rsidRPr="00A91FE1">
        <w:t>:</w:t>
      </w:r>
    </w:p>
    <w:p w14:paraId="4886E28C" w14:textId="77777777" w:rsidR="006F675B" w:rsidRPr="00A91FE1" w:rsidRDefault="00951242">
      <w:pPr>
        <w:spacing w:before="240" w:after="240" w:line="360" w:lineRule="auto"/>
        <w:ind w:left="567" w:right="49"/>
        <w:jc w:val="both"/>
        <w:rPr>
          <w:rFonts w:ascii="Palatino Linotype" w:eastAsia="Palatino Linotype" w:hAnsi="Palatino Linotype" w:cs="Palatino Linotype"/>
        </w:rPr>
      </w:pPr>
      <w:bookmarkStart w:id="7" w:name="_heading=h.26in1rg" w:colFirst="0" w:colLast="0"/>
      <w:bookmarkEnd w:id="7"/>
      <w:r w:rsidRPr="00A91FE1">
        <w:rPr>
          <w:rFonts w:ascii="Palatino Linotype" w:eastAsia="Palatino Linotype" w:hAnsi="Palatino Linotype" w:cs="Palatino Linotype"/>
        </w:rPr>
        <w:t xml:space="preserve">1. Convenios C.S. J1/2022 y C.S.J16/2022, en versión </w:t>
      </w:r>
      <w:r w:rsidR="00C56344" w:rsidRPr="00A91FE1">
        <w:rPr>
          <w:rFonts w:ascii="Palatino Linotype" w:eastAsia="Palatino Linotype" w:hAnsi="Palatino Linotype" w:cs="Palatino Linotype"/>
        </w:rPr>
        <w:t>pública</w:t>
      </w:r>
      <w:r w:rsidRPr="00A91FE1">
        <w:rPr>
          <w:rFonts w:ascii="Palatino Linotype" w:eastAsia="Palatino Linotype" w:hAnsi="Palatino Linotype" w:cs="Palatino Linotype"/>
        </w:rPr>
        <w:t>.</w:t>
      </w:r>
    </w:p>
    <w:p w14:paraId="79ADE8A0" w14:textId="77777777" w:rsidR="006F675B" w:rsidRPr="00A91FE1" w:rsidRDefault="00951242">
      <w:pPr>
        <w:spacing w:before="240" w:after="240" w:line="360" w:lineRule="auto"/>
        <w:ind w:right="49"/>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En respuesta, el </w:t>
      </w:r>
      <w:r w:rsidRPr="00A91FE1">
        <w:rPr>
          <w:rFonts w:ascii="Palatino Linotype" w:eastAsia="Palatino Linotype" w:hAnsi="Palatino Linotype" w:cs="Palatino Linotype"/>
          <w:b/>
        </w:rPr>
        <w:t xml:space="preserve">Sujeto Obligado, </w:t>
      </w:r>
      <w:r w:rsidRPr="00A91FE1">
        <w:rPr>
          <w:rFonts w:ascii="Palatino Linotype" w:eastAsia="Palatino Linotype" w:hAnsi="Palatino Linotype" w:cs="Palatino Linotype"/>
        </w:rPr>
        <w:t>a través de la Unidad de Transparencia, hizo del conocimiento de la persona solicitante, el pronunciamiento vertido por el Secretario del Ayuntamiento, quien, en atención a la solicitud de información manifestó que derivado de la búsqueda en los archivos de la Secretaría del Ayuntamiento, y en el libro de registro de convenios que se sigue en la Dependencia a su cargo, no obran los registros de los convenios con número C. S. J1/2022, y C. S. J16/2022.</w:t>
      </w:r>
    </w:p>
    <w:p w14:paraId="1FC2452D"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señaló que la información le fue negada, ya que en la contestación a la solicitud con número de folio 0135, que se dio mediante el oficio MTM058/DAE00RH/00857/2022, se hace mención a los convenios solicitados, concluyendo que la Unidad de Transparencia no cumplió con las funciones establecidas en el artículo 53 de la Ley de la Materia.</w:t>
      </w:r>
    </w:p>
    <w:p w14:paraId="7AE49D58"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Admitido el presente recurso de revisión, en términos del artículo 185 fracción II</w:t>
      </w:r>
      <w:r w:rsidRPr="00A91FE1">
        <w:rPr>
          <w:rFonts w:ascii="Palatino Linotype" w:eastAsia="Palatino Linotype" w:hAnsi="Palatino Linotype" w:cs="Palatino Linotype"/>
          <w:vertAlign w:val="superscript"/>
        </w:rPr>
        <w:footnoteReference w:id="1"/>
      </w:r>
      <w:r w:rsidRPr="00A91FE1">
        <w:rPr>
          <w:rFonts w:ascii="Palatino Linotype" w:eastAsia="Palatino Linotype" w:hAnsi="Palatino Linotype" w:cs="Palatino Linotype"/>
        </w:rPr>
        <w:t xml:space="preserve"> de la Ley de Transparencia y Acceso a la Información Pública del Estado de México y </w:t>
      </w:r>
      <w:r w:rsidRPr="00A91FE1">
        <w:rPr>
          <w:rFonts w:ascii="Palatino Linotype" w:eastAsia="Palatino Linotype" w:hAnsi="Palatino Linotype" w:cs="Palatino Linotype"/>
        </w:rPr>
        <w:lastRenderedPageBreak/>
        <w:t>Municipios, se integró el expediente y se puso a disposición de las partes para que, en un plazo máximo de siete días hábiles, manifestaran lo que a su derecho resultara conveniente, siendo ambas partes omisas en ejercer dicha prerrogativa.</w:t>
      </w:r>
    </w:p>
    <w:p w14:paraId="2F753C8B" w14:textId="77777777" w:rsidR="006F675B" w:rsidRPr="00A91FE1" w:rsidRDefault="00951242">
      <w:pPr>
        <w:spacing w:before="240" w:after="240" w:line="360" w:lineRule="auto"/>
        <w:ind w:right="51"/>
        <w:jc w:val="both"/>
        <w:rPr>
          <w:rFonts w:ascii="Palatino Linotype" w:eastAsia="Palatino Linotype" w:hAnsi="Palatino Linotype" w:cs="Palatino Linotype"/>
        </w:rPr>
      </w:pPr>
      <w:r w:rsidRPr="00A91FE1">
        <w:rPr>
          <w:rFonts w:ascii="Palatino Linotype" w:eastAsia="Palatino Linotype" w:hAnsi="Palatino Linotype" w:cs="Palatino Linotype"/>
        </w:rPr>
        <w:t>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3FA078D6"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0A488981" w14:textId="77777777" w:rsidR="006F675B" w:rsidRPr="00A91FE1" w:rsidRDefault="00951242">
      <w:pPr>
        <w:spacing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lastRenderedPageBreak/>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BCFD296" w14:textId="77777777" w:rsidR="006F675B" w:rsidRPr="00A91FE1" w:rsidRDefault="006F675B">
      <w:pPr>
        <w:ind w:left="851" w:right="899"/>
        <w:jc w:val="both"/>
        <w:rPr>
          <w:rFonts w:ascii="Palatino Linotype" w:eastAsia="Palatino Linotype" w:hAnsi="Palatino Linotype" w:cs="Palatino Linotype"/>
          <w:i/>
        </w:rPr>
      </w:pPr>
    </w:p>
    <w:p w14:paraId="0ECE8B3A" w14:textId="77777777" w:rsidR="006F675B" w:rsidRPr="00A91FE1" w:rsidRDefault="00951242">
      <w:pPr>
        <w:ind w:left="851" w:right="899"/>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w:t>
      </w:r>
      <w:r w:rsidRPr="00A91FE1">
        <w:rPr>
          <w:rFonts w:ascii="Palatino Linotype" w:eastAsia="Palatino Linotype" w:hAnsi="Palatino Linotype" w:cs="Palatino Linotype"/>
          <w:b/>
          <w:i/>
          <w:sz w:val="22"/>
          <w:szCs w:val="22"/>
        </w:rPr>
        <w:t xml:space="preserve">Artículo 3. </w:t>
      </w:r>
      <w:r w:rsidRPr="00A91FE1">
        <w:rPr>
          <w:rFonts w:ascii="Palatino Linotype" w:eastAsia="Palatino Linotype" w:hAnsi="Palatino Linotype" w:cs="Palatino Linotype"/>
          <w:i/>
          <w:sz w:val="22"/>
          <w:szCs w:val="22"/>
        </w:rPr>
        <w:t>Para los efectos de la presente Ley se entenderá por:</w:t>
      </w:r>
    </w:p>
    <w:p w14:paraId="24BFF588" w14:textId="77777777" w:rsidR="006F675B" w:rsidRPr="00A91FE1" w:rsidRDefault="00951242">
      <w:pPr>
        <w:ind w:left="1134" w:right="899"/>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w:t>
      </w:r>
    </w:p>
    <w:p w14:paraId="733B247D" w14:textId="77777777" w:rsidR="006F675B" w:rsidRPr="00A91FE1" w:rsidRDefault="00951242">
      <w:pPr>
        <w:ind w:left="1134" w:right="899"/>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XI. Documento:</w:t>
      </w:r>
      <w:r w:rsidRPr="00A91FE1">
        <w:rPr>
          <w:rFonts w:ascii="Palatino Linotype" w:eastAsia="Palatino Linotype" w:hAnsi="Palatino Linotype" w:cs="Palatino Linotype"/>
          <w:i/>
          <w:sz w:val="22"/>
          <w:szCs w:val="22"/>
        </w:rPr>
        <w:t xml:space="preserve"> Los expedientes, reportes, estudios, actas</w:t>
      </w:r>
      <w:r w:rsidRPr="00A91FE1">
        <w:rPr>
          <w:rFonts w:ascii="Palatino Linotype" w:eastAsia="Palatino Linotype" w:hAnsi="Palatino Linotype" w:cs="Palatino Linotype"/>
          <w:b/>
          <w:i/>
          <w:sz w:val="22"/>
          <w:szCs w:val="22"/>
        </w:rPr>
        <w:t>,</w:t>
      </w:r>
      <w:r w:rsidRPr="00A91FE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EF3D78E" w14:textId="77777777" w:rsidR="006F675B" w:rsidRPr="00A91FE1" w:rsidRDefault="006F675B">
      <w:pPr>
        <w:ind w:left="851" w:right="899"/>
        <w:jc w:val="both"/>
        <w:rPr>
          <w:rFonts w:ascii="Palatino Linotype" w:eastAsia="Palatino Linotype" w:hAnsi="Palatino Linotype" w:cs="Palatino Linotype"/>
          <w:sz w:val="22"/>
          <w:szCs w:val="22"/>
        </w:rPr>
      </w:pPr>
    </w:p>
    <w:p w14:paraId="2BA13E13" w14:textId="77777777" w:rsidR="006F675B" w:rsidRPr="00A91FE1" w:rsidRDefault="00951242">
      <w:pPr>
        <w:spacing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D7306C" w14:textId="77777777" w:rsidR="006F675B" w:rsidRPr="00A91FE1" w:rsidRDefault="006F675B">
      <w:pPr>
        <w:ind w:left="851" w:right="899"/>
        <w:jc w:val="both"/>
        <w:rPr>
          <w:rFonts w:ascii="Palatino Linotype" w:eastAsia="Palatino Linotype" w:hAnsi="Palatino Linotype" w:cs="Palatino Linotype"/>
        </w:rPr>
      </w:pPr>
    </w:p>
    <w:p w14:paraId="5169910D" w14:textId="77777777" w:rsidR="006F675B" w:rsidRPr="00A91FE1" w:rsidRDefault="00951242">
      <w:pPr>
        <w:ind w:left="851" w:right="899"/>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sz w:val="22"/>
          <w:szCs w:val="22"/>
        </w:rPr>
        <w:t>“</w:t>
      </w:r>
      <w:r w:rsidRPr="00A91FE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91FE1">
        <w:rPr>
          <w:rFonts w:ascii="Palatino Linotype" w:eastAsia="Palatino Linotype" w:hAnsi="Palatino Linotype" w:cs="Palatino Linotype"/>
          <w:i/>
          <w:sz w:val="22"/>
          <w:szCs w:val="22"/>
        </w:rPr>
        <w:t xml:space="preserve"> De conformidad con los artículos antes referidos, el derecho de acceso a la información pública, se </w:t>
      </w:r>
      <w:r w:rsidRPr="00A91FE1">
        <w:rPr>
          <w:rFonts w:ascii="Palatino Linotype" w:eastAsia="Palatino Linotype" w:hAnsi="Palatino Linotype" w:cs="Palatino Linotype"/>
          <w:i/>
          <w:sz w:val="22"/>
          <w:szCs w:val="22"/>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EE7630" w14:textId="77777777" w:rsidR="006F675B" w:rsidRPr="00A91FE1" w:rsidRDefault="00951242">
      <w:pPr>
        <w:ind w:left="851" w:right="899"/>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C3900CE" w14:textId="77777777" w:rsidR="006F675B" w:rsidRPr="00A91FE1" w:rsidRDefault="00951242">
      <w:pPr>
        <w:ind w:left="1134" w:right="899"/>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1E0B1DC" w14:textId="77777777" w:rsidR="006F675B" w:rsidRPr="00A91FE1" w:rsidRDefault="00951242">
      <w:pPr>
        <w:ind w:left="1134" w:right="899"/>
        <w:jc w:val="both"/>
        <w:rPr>
          <w:rFonts w:ascii="Palatino Linotype" w:eastAsia="Palatino Linotype" w:hAnsi="Palatino Linotype" w:cs="Palatino Linotype"/>
          <w:b/>
          <w:i/>
          <w:sz w:val="22"/>
          <w:szCs w:val="22"/>
        </w:rPr>
      </w:pPr>
      <w:r w:rsidRPr="00A91FE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414024A" w14:textId="77777777" w:rsidR="006F675B" w:rsidRPr="00A91FE1" w:rsidRDefault="00951242">
      <w:pPr>
        <w:ind w:left="1134" w:right="899"/>
        <w:jc w:val="both"/>
        <w:rPr>
          <w:rFonts w:ascii="Palatino Linotype" w:eastAsia="Palatino Linotype" w:hAnsi="Palatino Linotype" w:cs="Palatino Linotype"/>
          <w:b/>
          <w:i/>
          <w:sz w:val="22"/>
          <w:szCs w:val="22"/>
        </w:rPr>
      </w:pPr>
      <w:r w:rsidRPr="00A91FE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EA8A1A8" w14:textId="77777777" w:rsidR="006F675B" w:rsidRPr="00A91FE1" w:rsidRDefault="00951242">
      <w:pPr>
        <w:spacing w:before="240" w:after="240" w:line="360" w:lineRule="auto"/>
        <w:ind w:right="51"/>
        <w:jc w:val="both"/>
        <w:rPr>
          <w:rFonts w:ascii="Palatino Linotype" w:eastAsia="Palatino Linotype" w:hAnsi="Palatino Linotype" w:cs="Palatino Linotype"/>
        </w:rPr>
      </w:pPr>
      <w:r w:rsidRPr="00A91FE1">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64E7C87"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w:t>
      </w:r>
      <w:r w:rsidRPr="00A91FE1">
        <w:rPr>
          <w:rFonts w:ascii="Palatino Linotype" w:eastAsia="Palatino Linotype" w:hAnsi="Palatino Linotype" w:cs="Palatino Linotype"/>
        </w:rPr>
        <w:lastRenderedPageBreak/>
        <w:t>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C0C205B" w14:textId="77777777" w:rsidR="006F675B" w:rsidRPr="00A91FE1" w:rsidRDefault="00951242">
      <w:pPr>
        <w:spacing w:before="240" w:after="240" w:line="360" w:lineRule="auto"/>
        <w:ind w:right="49"/>
        <w:jc w:val="both"/>
        <w:rPr>
          <w:rFonts w:ascii="Palatino Linotype" w:eastAsia="Palatino Linotype" w:hAnsi="Palatino Linotype" w:cs="Palatino Linotype"/>
        </w:rPr>
      </w:pPr>
      <w:r w:rsidRPr="00A91FE1">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14:paraId="784230AD" w14:textId="77777777" w:rsidR="006F675B" w:rsidRPr="00A91FE1" w:rsidRDefault="00951242">
      <w:pPr>
        <w:spacing w:after="120"/>
        <w:ind w:left="851" w:right="900"/>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“Artículo 162.</w:t>
      </w:r>
      <w:r w:rsidRPr="00A91FE1">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1E525329" w14:textId="77777777" w:rsidR="006F675B" w:rsidRPr="00A91FE1" w:rsidRDefault="00951242">
      <w:pPr>
        <w:spacing w:after="120"/>
        <w:ind w:left="851" w:right="900"/>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Artículo 163.</w:t>
      </w:r>
      <w:r w:rsidRPr="00A91FE1">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74D1E8A" w14:textId="77777777" w:rsidR="006F675B" w:rsidRPr="00A91FE1" w:rsidRDefault="00951242">
      <w:pPr>
        <w:spacing w:after="120"/>
        <w:ind w:left="851" w:right="900"/>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4997B62" w14:textId="77777777" w:rsidR="006F675B" w:rsidRPr="00A91FE1" w:rsidRDefault="00951242">
      <w:pPr>
        <w:spacing w:after="120"/>
        <w:ind w:left="851" w:right="900"/>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Artículo 164.</w:t>
      </w:r>
      <w:r w:rsidRPr="00A91FE1">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4F1F43FB" w14:textId="77777777" w:rsidR="006F675B" w:rsidRPr="00A91FE1" w:rsidRDefault="00951242">
      <w:pPr>
        <w:spacing w:after="120"/>
        <w:ind w:left="851" w:right="900"/>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 xml:space="preserve">En cualquier caso, se deberá fundar y motivar la necesidad de ofrecer otras modalidades.  </w:t>
      </w:r>
    </w:p>
    <w:p w14:paraId="7D7FC4CE" w14:textId="77777777" w:rsidR="006F675B" w:rsidRPr="00A91FE1" w:rsidRDefault="00951242">
      <w:pPr>
        <w:spacing w:after="120"/>
        <w:ind w:left="851" w:right="900"/>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Artículo 165.</w:t>
      </w:r>
      <w:r w:rsidRPr="00A91FE1">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29ADFDC3" w14:textId="77777777" w:rsidR="006F675B" w:rsidRPr="00A91FE1" w:rsidRDefault="00951242">
      <w:pPr>
        <w:spacing w:before="240" w:after="240" w:line="360" w:lineRule="auto"/>
        <w:ind w:right="49"/>
        <w:jc w:val="both"/>
        <w:rPr>
          <w:rFonts w:ascii="Palatino Linotype" w:eastAsia="Palatino Linotype" w:hAnsi="Palatino Linotype" w:cs="Palatino Linotype"/>
        </w:rPr>
      </w:pPr>
      <w:r w:rsidRPr="00A91FE1">
        <w:rPr>
          <w:rFonts w:ascii="Palatino Linotype" w:eastAsia="Palatino Linotype" w:hAnsi="Palatino Linotype" w:cs="Palatino Linotype"/>
        </w:rPr>
        <w:lastRenderedPageBreak/>
        <w:t>Del cuerpo normativo transcrito, se advierte que las unidades de transparencia deberán garantizar que las solicitudes se turnen a todas las áreas que cuenten con la información o que deban tenerla de acuerdo a sus facultades, competencias o funciones.</w:t>
      </w:r>
    </w:p>
    <w:p w14:paraId="12ECDD1C" w14:textId="77777777" w:rsidR="006F675B" w:rsidRPr="00A91FE1" w:rsidRDefault="00951242">
      <w:pPr>
        <w:spacing w:before="240" w:after="240" w:line="360" w:lineRule="auto"/>
        <w:ind w:right="49"/>
        <w:jc w:val="both"/>
        <w:rPr>
          <w:rFonts w:ascii="Palatino Linotype" w:eastAsia="Palatino Linotype" w:hAnsi="Palatino Linotype" w:cs="Palatino Linotype"/>
        </w:rPr>
      </w:pPr>
      <w:r w:rsidRPr="00A91FE1">
        <w:rPr>
          <w:rFonts w:ascii="Palatino Linotype" w:eastAsia="Palatino Linotype" w:hAnsi="Palatino Linotype" w:cs="Palatino Linotype"/>
        </w:rPr>
        <w:t>Siendo la Unidad de Transparencia la responsable de hacer las notificaciones correspondientes, además de llevar acabo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23EB48A6"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En el caso concreto, derivado de las constancias que obran en el expediente, se advierte que la Unidad de Transparencia turnó la solicitud de información al servidor público habilitado Roberto Jardón Hernández, quien ostenta el cargo de Secretario del Ayuntamiento, como se como se muestra a continuación:</w:t>
      </w:r>
    </w:p>
    <w:p w14:paraId="144EDB1A" w14:textId="77777777" w:rsidR="006F675B" w:rsidRPr="00A91FE1" w:rsidRDefault="00951242">
      <w:pPr>
        <w:spacing w:before="240" w:after="240" w:line="360" w:lineRule="auto"/>
        <w:jc w:val="both"/>
        <w:rPr>
          <w:rFonts w:ascii="Palatino Linotype" w:eastAsia="Palatino Linotype" w:hAnsi="Palatino Linotype" w:cs="Palatino Linotype"/>
          <w:b/>
        </w:rPr>
      </w:pPr>
      <w:r w:rsidRPr="00A91FE1">
        <w:rPr>
          <w:rFonts w:ascii="Palatino Linotype" w:eastAsia="Palatino Linotype" w:hAnsi="Palatino Linotype" w:cs="Palatino Linotype"/>
          <w:b/>
          <w:noProof/>
        </w:rPr>
        <w:drawing>
          <wp:inline distT="0" distB="0" distL="0" distR="0" wp14:anchorId="76D1ECA0" wp14:editId="6E6FA3D2">
            <wp:extent cx="5612130" cy="882650"/>
            <wp:effectExtent l="0" t="0" r="0" b="0"/>
            <wp:docPr id="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612130" cy="882650"/>
                    </a:xfrm>
                    <a:prstGeom prst="rect">
                      <a:avLst/>
                    </a:prstGeom>
                    <a:ln/>
                  </pic:spPr>
                </pic:pic>
              </a:graphicData>
            </a:graphic>
          </wp:inline>
        </w:drawing>
      </w:r>
    </w:p>
    <w:p w14:paraId="30384345" w14:textId="77777777" w:rsidR="006F675B" w:rsidRPr="00A91FE1" w:rsidRDefault="00951242">
      <w:pPr>
        <w:spacing w:before="240" w:after="240" w:line="360" w:lineRule="auto"/>
        <w:jc w:val="center"/>
        <w:rPr>
          <w:rFonts w:ascii="Palatino Linotype" w:eastAsia="Palatino Linotype" w:hAnsi="Palatino Linotype" w:cs="Palatino Linotype"/>
          <w:b/>
        </w:rPr>
      </w:pPr>
      <w:r w:rsidRPr="00A91FE1">
        <w:rPr>
          <w:rFonts w:ascii="Palatino Linotype" w:eastAsia="Palatino Linotype" w:hAnsi="Palatino Linotype" w:cs="Palatino Linotype"/>
          <w:b/>
          <w:noProof/>
        </w:rPr>
        <w:drawing>
          <wp:inline distT="0" distB="0" distL="0" distR="0" wp14:anchorId="4BEC9D35" wp14:editId="4F57E613">
            <wp:extent cx="3423920" cy="1318260"/>
            <wp:effectExtent l="0" t="0" r="0" b="0"/>
            <wp:docPr id="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423920" cy="1318260"/>
                    </a:xfrm>
                    <a:prstGeom prst="rect">
                      <a:avLst/>
                    </a:prstGeom>
                    <a:ln/>
                  </pic:spPr>
                </pic:pic>
              </a:graphicData>
            </a:graphic>
          </wp:inline>
        </w:drawing>
      </w:r>
    </w:p>
    <w:p w14:paraId="79798B33"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lastRenderedPageBreak/>
        <w:t xml:space="preserve">Así, en el ámbito de sus competencias, el Secretario del Ayuntamiento refirió que en el libro de registro de convenios que se sigue en la Dependencia a su cargo, no obran registros de los convenios con número C.S.J1/2022, y C.S. J16/2022, que fueron solicitados, es decir, lo contestado se constituye en una expresión en sentido negativo puesto que en la misma refiere expresamente que no existe registro de los referidos convenios </w:t>
      </w:r>
      <w:r w:rsidRPr="00A91FE1">
        <w:rPr>
          <w:rFonts w:ascii="Palatino Linotype" w:eastAsia="Palatino Linotype" w:hAnsi="Palatino Linotype" w:cs="Palatino Linotype"/>
          <w:b/>
          <w:u w:val="single"/>
        </w:rPr>
        <w:t>en el área a su cargo</w:t>
      </w:r>
      <w:r w:rsidRPr="00A91FE1">
        <w:rPr>
          <w:rFonts w:ascii="Palatino Linotype" w:eastAsia="Palatino Linotype" w:hAnsi="Palatino Linotype" w:cs="Palatino Linotype"/>
        </w:rPr>
        <w:t>.</w:t>
      </w:r>
    </w:p>
    <w:p w14:paraId="46DE1B43" w14:textId="10B874C9"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No obstante de lo anterior, tomando en consideración los argumentos vertidos por la parte</w:t>
      </w:r>
      <w:r w:rsidRPr="00A91FE1">
        <w:rPr>
          <w:rFonts w:ascii="Palatino Linotype" w:eastAsia="Palatino Linotype" w:hAnsi="Palatino Linotype" w:cs="Palatino Linotype"/>
          <w:b/>
        </w:rPr>
        <w:t xml:space="preserve"> Recurrente </w:t>
      </w:r>
      <w:r w:rsidRPr="00A91FE1">
        <w:rPr>
          <w:rFonts w:ascii="Palatino Linotype" w:eastAsia="Palatino Linotype" w:hAnsi="Palatino Linotype" w:cs="Palatino Linotype"/>
        </w:rPr>
        <w:t xml:space="preserve">en su recurso de revisión, este Organismo Garante se dio a la tarea de consultar en el Sistema de Acceso a la Información Pública de Oficio, las constancias que obran en el expediente electrónico de la solicitud de información con número de folio: 00135/TENANCIN/IP/2022, mediante la cual se solicitó al </w:t>
      </w:r>
      <w:r w:rsidRPr="00A91FE1">
        <w:rPr>
          <w:rFonts w:ascii="Palatino Linotype" w:eastAsia="Palatino Linotype" w:hAnsi="Palatino Linotype" w:cs="Palatino Linotype"/>
          <w:b/>
        </w:rPr>
        <w:t xml:space="preserve">Sujeto Obligado </w:t>
      </w:r>
      <w:r w:rsidRPr="00A91FE1">
        <w:rPr>
          <w:rFonts w:ascii="Palatino Linotype" w:eastAsia="Palatino Linotype" w:hAnsi="Palatino Linotype" w:cs="Palatino Linotype"/>
        </w:rPr>
        <w:t>informara el motivo de despido de tres servidores públicos</w:t>
      </w:r>
      <w:r w:rsidR="00693D4E" w:rsidRPr="00A91FE1">
        <w:rPr>
          <w:rFonts w:ascii="Palatino Linotype" w:eastAsia="Palatino Linotype" w:hAnsi="Palatino Linotype" w:cs="Palatino Linotype"/>
        </w:rPr>
        <w:t xml:space="preserve">; </w:t>
      </w:r>
      <w:r w:rsidRPr="00A91FE1">
        <w:rPr>
          <w:rFonts w:ascii="Palatino Linotype" w:eastAsia="Palatino Linotype" w:hAnsi="Palatino Linotype" w:cs="Palatino Linotype"/>
        </w:rPr>
        <w:t>cuya atención corrió a cargo del Coordinador de Recursos Humanos, quien, a través del oficio número MTM058/DAE00RH/00857/2022 de fecha dieciséis de marzo de dos mil veintidós, se pronunció medularmente  en los siguientes términos:</w:t>
      </w:r>
    </w:p>
    <w:p w14:paraId="51C8BD5E" w14:textId="77777777" w:rsidR="006F675B" w:rsidRPr="00A91FE1" w:rsidRDefault="00951242">
      <w:pPr>
        <w:spacing w:before="240" w:after="240" w:line="360" w:lineRule="auto"/>
        <w:jc w:val="center"/>
        <w:rPr>
          <w:rFonts w:ascii="Palatino Linotype" w:eastAsia="Palatino Linotype" w:hAnsi="Palatino Linotype" w:cs="Palatino Linotype"/>
        </w:rPr>
      </w:pPr>
      <w:r w:rsidRPr="00A91FE1">
        <w:rPr>
          <w:rFonts w:ascii="Palatino Linotype" w:eastAsia="Palatino Linotype" w:hAnsi="Palatino Linotype" w:cs="Palatino Linotype"/>
          <w:noProof/>
        </w:rPr>
        <w:drawing>
          <wp:inline distT="0" distB="0" distL="0" distR="0" wp14:anchorId="7A224F59" wp14:editId="114B117B">
            <wp:extent cx="5400000" cy="1923394"/>
            <wp:effectExtent l="0" t="0" r="0" b="0"/>
            <wp:docPr id="8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70583" b="-1"/>
                    <a:stretch>
                      <a:fillRect/>
                    </a:stretch>
                  </pic:blipFill>
                  <pic:spPr>
                    <a:xfrm>
                      <a:off x="0" y="0"/>
                      <a:ext cx="5400000" cy="1923394"/>
                    </a:xfrm>
                    <a:prstGeom prst="rect">
                      <a:avLst/>
                    </a:prstGeom>
                    <a:ln/>
                  </pic:spPr>
                </pic:pic>
              </a:graphicData>
            </a:graphic>
          </wp:inline>
        </w:drawing>
      </w:r>
    </w:p>
    <w:p w14:paraId="1D15ABCC" w14:textId="6B82DE3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lastRenderedPageBreak/>
        <w:t>Como se desprende del oficio en comento, el Coordinador de Recursos Humanos, manifestó que la relación laboral de dos de los servidores públicos señalados por la persona solicitante, se dio por terminada mediante los convenios con número C.S.J1/2022, y C.S. J16/2022</w:t>
      </w:r>
      <w:r w:rsidR="00693D4E" w:rsidRPr="00A91FE1">
        <w:rPr>
          <w:rFonts w:ascii="Palatino Linotype" w:eastAsia="Palatino Linotype" w:hAnsi="Palatino Linotype" w:cs="Palatino Linotype"/>
        </w:rPr>
        <w:t>.</w:t>
      </w:r>
    </w:p>
    <w:p w14:paraId="636C731F"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Cabe señalar que si bien la respuesta emitida por el Coordinador de Recursos Humanos supone un documento público </w:t>
      </w:r>
      <w:r w:rsidRPr="00A91FE1">
        <w:rPr>
          <w:rFonts w:ascii="Palatino Linotype" w:eastAsia="Palatino Linotype" w:hAnsi="Palatino Linotype" w:cs="Palatino Linotype"/>
          <w:i/>
        </w:rPr>
        <w:t xml:space="preserve">ad hoc </w:t>
      </w:r>
      <w:r w:rsidRPr="00A91FE1">
        <w:rPr>
          <w:rFonts w:ascii="Palatino Linotype" w:eastAsia="Palatino Linotype" w:hAnsi="Palatino Linotype" w:cs="Palatino Linotype"/>
        </w:rPr>
        <w:t xml:space="preserve">a través del cual se pronunció respecto del requerimiento de información formulado a través de la solicitud de información 00135/TENANCIN/IP/2022, también lo es que reúne los requisitos previstos en el artículo 57 del Código de Procedimientos Administrativos del Estado de México de aplicación supletoria a nuestra Ley en términos del artículo 195 de la Ley de Transparencia y Acceso a la Información Pública del Estado de México y Municipios, en el que se establece que son </w:t>
      </w:r>
      <w:r w:rsidRPr="00A91FE1">
        <w:rPr>
          <w:rFonts w:ascii="Palatino Linotype" w:eastAsia="Palatino Linotype" w:hAnsi="Palatino Linotype" w:cs="Palatino Linotype"/>
          <w:b/>
        </w:rPr>
        <w:t>documentos públicos</w:t>
      </w:r>
      <w:r w:rsidRPr="00A91FE1">
        <w:rPr>
          <w:rFonts w:ascii="Palatino Linotype" w:eastAsia="Palatino Linotype" w:hAnsi="Palatino Linotype" w:cs="Palatino Linotype"/>
        </w:rPr>
        <w:t xml:space="preserve">, aquéllos cuya formulación está encomendada por ley, dentro de los límites de sus facultades, a las personas dotadas de fe pública y los expedidos por personas servidoras públicas en el ejercicio de sus funciones. La calidad de públicos se demuestra por la existencia regular, sobre los documentos, de </w:t>
      </w:r>
      <w:r w:rsidRPr="00A91FE1">
        <w:rPr>
          <w:rFonts w:ascii="Palatino Linotype" w:eastAsia="Palatino Linotype" w:hAnsi="Palatino Linotype" w:cs="Palatino Linotype"/>
          <w:b/>
        </w:rPr>
        <w:t>sellos, firmas u otros signos exteriores</w:t>
      </w:r>
      <w:r w:rsidRPr="00A91FE1">
        <w:rPr>
          <w:rFonts w:ascii="Palatino Linotype" w:eastAsia="Palatino Linotype" w:hAnsi="Palatino Linotype" w:cs="Palatino Linotype"/>
        </w:rPr>
        <w:t xml:space="preserve"> que, en su caso, prevengan las leyes, salvo prueba en contrario. </w:t>
      </w:r>
    </w:p>
    <w:p w14:paraId="52894713"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Robustece lo anterior, la Tesis Aislada con número de registro digital 282708 emitida por el Pleno de la Suprema Corte de Justicia de la Nación, publicada en el Semanario Judicial de la Federación y su Gaceta, que lleva por rubro y texto el siguiente:</w:t>
      </w:r>
    </w:p>
    <w:p w14:paraId="7778836F" w14:textId="77777777" w:rsidR="006F675B" w:rsidRPr="00A91FE1" w:rsidRDefault="00951242">
      <w:pPr>
        <w:spacing w:after="120"/>
        <w:ind w:left="851" w:right="902"/>
        <w:jc w:val="both"/>
        <w:rPr>
          <w:rFonts w:ascii="Palatino Linotype" w:eastAsia="Palatino Linotype" w:hAnsi="Palatino Linotype" w:cs="Palatino Linotype"/>
          <w:sz w:val="28"/>
          <w:szCs w:val="28"/>
        </w:rPr>
      </w:pPr>
      <w:r w:rsidRPr="00A91FE1">
        <w:rPr>
          <w:rFonts w:ascii="Palatino Linotype" w:eastAsia="Palatino Linotype" w:hAnsi="Palatino Linotype" w:cs="Palatino Linotype"/>
          <w:b/>
          <w:i/>
          <w:sz w:val="22"/>
          <w:szCs w:val="22"/>
        </w:rPr>
        <w:t>“DOCUMENTOS PUBLICOS.</w:t>
      </w:r>
      <w:r w:rsidRPr="00A91FE1">
        <w:rPr>
          <w:rFonts w:ascii="Palatino Linotype" w:eastAsia="Palatino Linotype" w:hAnsi="Palatino Linotype" w:cs="Palatino Linotype"/>
          <w:i/>
          <w:sz w:val="22"/>
          <w:szCs w:val="22"/>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auténticos”</w:t>
      </w:r>
    </w:p>
    <w:p w14:paraId="655729DD" w14:textId="1693C3F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lastRenderedPageBreak/>
        <w:t>Razón por la cual se válida la atención al requerimiento de información correspondiente a la solicitud de información 00135/TENANCIN/IP/2022, y, en consecuencia, se presume la existencia de los convenios que son materia del asunto que ahora se resuelve.</w:t>
      </w:r>
    </w:p>
    <w:p w14:paraId="5BEDFCE4" w14:textId="173F3C1C"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Sin embargo, no escapa de la óptica de este Organismo Garante que en observancia de lo previsto en los artículos 53 fracción II</w:t>
      </w:r>
      <w:r w:rsidRPr="00A91FE1">
        <w:rPr>
          <w:rFonts w:ascii="Palatino Linotype" w:eastAsia="Palatino Linotype" w:hAnsi="Palatino Linotype" w:cs="Palatino Linotype"/>
          <w:vertAlign w:val="superscript"/>
        </w:rPr>
        <w:footnoteReference w:id="2"/>
      </w:r>
      <w:r w:rsidRPr="00A91FE1">
        <w:rPr>
          <w:rFonts w:ascii="Palatino Linotype" w:eastAsia="Palatino Linotype" w:hAnsi="Palatino Linotype" w:cs="Palatino Linotype"/>
        </w:rPr>
        <w:t xml:space="preserve"> y 162</w:t>
      </w:r>
      <w:r w:rsidRPr="00A91FE1">
        <w:rPr>
          <w:rFonts w:ascii="Palatino Linotype" w:eastAsia="Palatino Linotype" w:hAnsi="Palatino Linotype" w:cs="Palatino Linotype"/>
          <w:vertAlign w:val="superscript"/>
        </w:rPr>
        <w:footnoteReference w:id="3"/>
      </w:r>
      <w:r w:rsidRPr="00A91FE1">
        <w:rPr>
          <w:rFonts w:ascii="Palatino Linotype" w:eastAsia="Palatino Linotype" w:hAnsi="Palatino Linotype" w:cs="Palatino Linotype"/>
        </w:rPr>
        <w:t xml:space="preserve"> de la Ley de Transparencia y Acceso a la Información Pública del Estado de México y Municipios, la Unidad de Transparencia turnó la solicitud de información </w:t>
      </w:r>
      <w:r w:rsidR="001A39FE" w:rsidRPr="00A91FE1">
        <w:rPr>
          <w:rFonts w:ascii="Palatino Linotype" w:eastAsia="Palatino Linotype" w:hAnsi="Palatino Linotype" w:cs="Palatino Linotype"/>
        </w:rPr>
        <w:t xml:space="preserve">únicamente </w:t>
      </w:r>
      <w:r w:rsidRPr="00A91FE1">
        <w:rPr>
          <w:rFonts w:ascii="Palatino Linotype" w:eastAsia="Palatino Linotype" w:hAnsi="Palatino Linotype" w:cs="Palatino Linotype"/>
        </w:rPr>
        <w:t>a la Secretaría del Ayuntamiento</w:t>
      </w:r>
      <w:r w:rsidR="001A39FE" w:rsidRPr="00A91FE1">
        <w:rPr>
          <w:rFonts w:ascii="Palatino Linotype" w:eastAsia="Palatino Linotype" w:hAnsi="Palatino Linotype" w:cs="Palatino Linotype"/>
        </w:rPr>
        <w:t>;</w:t>
      </w:r>
      <w:r w:rsidRPr="00A91FE1">
        <w:rPr>
          <w:rFonts w:ascii="Palatino Linotype" w:eastAsia="Palatino Linotype" w:hAnsi="Palatino Linotype" w:cs="Palatino Linotype"/>
        </w:rPr>
        <w:t xml:space="preserve"> correspondiendo, de conformidad con las atribuciones conferidas a la Coordinación de Recursos Humanos, dependiente de la Dirección de Administración, generar, administrar o poseer los convenios solicitados, </w:t>
      </w:r>
      <w:r w:rsidR="001A39FE" w:rsidRPr="00A91FE1">
        <w:rPr>
          <w:rFonts w:ascii="Palatino Linotype" w:eastAsia="Palatino Linotype" w:hAnsi="Palatino Linotype" w:cs="Palatino Linotype"/>
        </w:rPr>
        <w:t>según se lee en</w:t>
      </w:r>
      <w:r w:rsidRPr="00A91FE1">
        <w:rPr>
          <w:rFonts w:ascii="Palatino Linotype" w:eastAsia="Palatino Linotype" w:hAnsi="Palatino Linotype" w:cs="Palatino Linotype"/>
        </w:rPr>
        <w:t xml:space="preserve"> el </w:t>
      </w:r>
      <w:r w:rsidR="00C56344" w:rsidRPr="00A91FE1">
        <w:rPr>
          <w:rFonts w:ascii="Palatino Linotype" w:eastAsia="Palatino Linotype" w:hAnsi="Palatino Linotype" w:cs="Palatino Linotype"/>
        </w:rPr>
        <w:t>artículo</w:t>
      </w:r>
      <w:r w:rsidRPr="00A91FE1">
        <w:rPr>
          <w:rFonts w:ascii="Palatino Linotype" w:eastAsia="Palatino Linotype" w:hAnsi="Palatino Linotype" w:cs="Palatino Linotype"/>
        </w:rPr>
        <w:t xml:space="preserve"> 3.47 del Código Reglamentario de Tenancingo, a saber:</w:t>
      </w:r>
    </w:p>
    <w:p w14:paraId="540BAF76"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w:t>
      </w:r>
      <w:r w:rsidRPr="00A91FE1">
        <w:rPr>
          <w:rFonts w:ascii="Palatino Linotype" w:eastAsia="Palatino Linotype" w:hAnsi="Palatino Linotype" w:cs="Palatino Linotype"/>
          <w:b/>
          <w:i/>
          <w:sz w:val="22"/>
          <w:szCs w:val="22"/>
        </w:rPr>
        <w:t>Artículo 3.47</w:t>
      </w:r>
      <w:r w:rsidRPr="00A91FE1">
        <w:rPr>
          <w:rFonts w:ascii="Palatino Linotype" w:eastAsia="Palatino Linotype" w:hAnsi="Palatino Linotype" w:cs="Palatino Linotype"/>
          <w:i/>
          <w:sz w:val="22"/>
          <w:szCs w:val="22"/>
        </w:rPr>
        <w:t>.- El titular de Recursos Humanos cuenta con las siguientes atribuciones:</w:t>
      </w:r>
    </w:p>
    <w:p w14:paraId="5F572CA3"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I. Elaborar mecanismos de control para la selección, contratación, inducción, rotación y promoción del personal al servicio del Ayuntamiento;</w:t>
      </w:r>
    </w:p>
    <w:p w14:paraId="2E586333"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II</w:t>
      </w:r>
      <w:r w:rsidRPr="00A91FE1">
        <w:rPr>
          <w:rFonts w:ascii="Palatino Linotype" w:eastAsia="Palatino Linotype" w:hAnsi="Palatino Linotype" w:cs="Palatino Linotype"/>
          <w:i/>
          <w:sz w:val="22"/>
          <w:szCs w:val="22"/>
        </w:rPr>
        <w:t xml:space="preserve">. Analizar y vigilar que se cumplan las disposiciones en materia de trabajo, seguridad e higiene, así como las demás normas vigentes en la institución, respecto de los derechos y obligaciones del personal; </w:t>
      </w:r>
    </w:p>
    <w:p w14:paraId="0FE26A48"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III</w:t>
      </w:r>
      <w:r w:rsidRPr="00A91FE1">
        <w:rPr>
          <w:rFonts w:ascii="Palatino Linotype" w:eastAsia="Palatino Linotype" w:hAnsi="Palatino Linotype" w:cs="Palatino Linotype"/>
          <w:i/>
          <w:sz w:val="22"/>
          <w:szCs w:val="22"/>
        </w:rPr>
        <w:t>. Aplicar las disposiciones legales laborales que rigen al personal del Ayuntamiento;</w:t>
      </w:r>
    </w:p>
    <w:p w14:paraId="7C13FBF5"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IV.</w:t>
      </w:r>
      <w:r w:rsidRPr="00A91FE1">
        <w:rPr>
          <w:rFonts w:ascii="Palatino Linotype" w:eastAsia="Palatino Linotype" w:hAnsi="Palatino Linotype" w:cs="Palatino Linotype"/>
          <w:i/>
          <w:sz w:val="22"/>
          <w:szCs w:val="22"/>
        </w:rPr>
        <w:t xml:space="preserve"> Registrar las altas, bajas, cambios de categoría y adscripción, permisos y licencias por incapacidad, entre otras, del personal, y su correcta aplicación en el archivo de expedientes; </w:t>
      </w:r>
    </w:p>
    <w:p w14:paraId="25B5E1DD"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lastRenderedPageBreak/>
        <w:t>V.</w:t>
      </w:r>
      <w:r w:rsidRPr="00A91FE1">
        <w:rPr>
          <w:rFonts w:ascii="Palatino Linotype" w:eastAsia="Palatino Linotype" w:hAnsi="Palatino Linotype" w:cs="Palatino Linotype"/>
          <w:i/>
          <w:sz w:val="22"/>
          <w:szCs w:val="22"/>
        </w:rPr>
        <w:t xml:space="preserve"> Elaborar y distribuir oportunamente la nómina para el pago al personal que labora en el Ayuntamiento, apegándose al presupuesto autorizado y descontar la percepción económica correspondiente cuando exista orden de autoridad competente;</w:t>
      </w:r>
    </w:p>
    <w:p w14:paraId="4DA69880"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VI.</w:t>
      </w:r>
      <w:r w:rsidRPr="00A91FE1">
        <w:rPr>
          <w:rFonts w:ascii="Palatino Linotype" w:eastAsia="Palatino Linotype" w:hAnsi="Palatino Linotype" w:cs="Palatino Linotype"/>
          <w:i/>
          <w:sz w:val="22"/>
          <w:szCs w:val="22"/>
        </w:rPr>
        <w:t xml:space="preserve"> Elaborar programas de capacitación y adiestramiento del personal, conforme a las necesidades institucionales y a las del mismo personal;</w:t>
      </w:r>
    </w:p>
    <w:p w14:paraId="0B354FB4"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 xml:space="preserve"> </w:t>
      </w:r>
      <w:r w:rsidRPr="00A91FE1">
        <w:rPr>
          <w:rFonts w:ascii="Palatino Linotype" w:eastAsia="Palatino Linotype" w:hAnsi="Palatino Linotype" w:cs="Palatino Linotype"/>
          <w:b/>
          <w:i/>
          <w:sz w:val="22"/>
          <w:szCs w:val="22"/>
        </w:rPr>
        <w:t>VII.</w:t>
      </w:r>
      <w:r w:rsidRPr="00A91FE1">
        <w:rPr>
          <w:rFonts w:ascii="Palatino Linotype" w:eastAsia="Palatino Linotype" w:hAnsi="Palatino Linotype" w:cs="Palatino Linotype"/>
          <w:i/>
          <w:sz w:val="22"/>
          <w:szCs w:val="22"/>
        </w:rPr>
        <w:t xml:space="preserve"> Fortalecer las relaciones con las agrupaciones sindicales del Ayuntamiento para acordar los asuntos laborales del personal; </w:t>
      </w:r>
    </w:p>
    <w:p w14:paraId="173F60C5"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VIII.</w:t>
      </w:r>
      <w:r w:rsidRPr="00A91FE1">
        <w:rPr>
          <w:rFonts w:ascii="Palatino Linotype" w:eastAsia="Palatino Linotype" w:hAnsi="Palatino Linotype" w:cs="Palatino Linotype"/>
          <w:i/>
          <w:sz w:val="22"/>
          <w:szCs w:val="22"/>
        </w:rPr>
        <w:t xml:space="preserve"> Verificar el correcto cumplimiento de los lineamientos laborales establecidos en los convenios de condiciones de trabajo del personal sindicalizado; </w:t>
      </w:r>
    </w:p>
    <w:p w14:paraId="757017C4"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IX</w:t>
      </w:r>
      <w:r w:rsidRPr="00A91FE1">
        <w:rPr>
          <w:rFonts w:ascii="Palatino Linotype" w:eastAsia="Palatino Linotype" w:hAnsi="Palatino Linotype" w:cs="Palatino Linotype"/>
          <w:i/>
          <w:sz w:val="22"/>
          <w:szCs w:val="22"/>
        </w:rPr>
        <w:t xml:space="preserve">. Elaborar los manuales de organización del Ayuntamiento, los manuales de procedimientos por área, así como su actualización, adecuándolos a las necesidades de la institución; y </w:t>
      </w:r>
    </w:p>
    <w:p w14:paraId="684CAEDD"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X.</w:t>
      </w:r>
      <w:r w:rsidRPr="00A91FE1">
        <w:rPr>
          <w:rFonts w:ascii="Palatino Linotype" w:eastAsia="Palatino Linotype" w:hAnsi="Palatino Linotype" w:cs="Palatino Linotype"/>
          <w:i/>
          <w:sz w:val="22"/>
          <w:szCs w:val="22"/>
        </w:rPr>
        <w:t xml:space="preserve"> Las demás que le confieran otros ordenamientos.”</w:t>
      </w:r>
    </w:p>
    <w:p w14:paraId="60DD4D71"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En esta tesitura, se estima dable ordenar al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previa búsqueda exhaustiva y razonable, haga entrega de los convenios C.S.J1/2022 y C.S.J16/2022, en versión pública conforme al considerando siguiente, a efecto de satisfacer el derecho de acceso a la información de la persona solicitante.</w:t>
      </w:r>
    </w:p>
    <w:p w14:paraId="24F0DD3E" w14:textId="77777777" w:rsidR="006F675B" w:rsidRPr="00A91FE1" w:rsidRDefault="00951242">
      <w:pPr>
        <w:spacing w:before="240" w:after="240" w:line="360" w:lineRule="auto"/>
        <w:ind w:right="51"/>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De lo hasta aquí expuesto, se concluye que los motivos de inconformidad de la parte </w:t>
      </w:r>
      <w:r w:rsidRPr="00A91FE1">
        <w:rPr>
          <w:rFonts w:ascii="Palatino Linotype" w:eastAsia="Palatino Linotype" w:hAnsi="Palatino Linotype" w:cs="Palatino Linotype"/>
          <w:b/>
        </w:rPr>
        <w:t xml:space="preserve">Recurrente </w:t>
      </w:r>
      <w:r w:rsidRPr="00A91FE1">
        <w:rPr>
          <w:rFonts w:ascii="Palatino Linotype" w:eastAsia="Palatino Linotype" w:hAnsi="Palatino Linotype" w:cs="Palatino Linotype"/>
        </w:rPr>
        <w:t xml:space="preserve">devienen fundados, siendo procedente </w:t>
      </w:r>
      <w:r w:rsidRPr="00A91FE1">
        <w:rPr>
          <w:rFonts w:ascii="Palatino Linotype" w:eastAsia="Palatino Linotype" w:hAnsi="Palatino Linotype" w:cs="Palatino Linotype"/>
          <w:i/>
        </w:rPr>
        <w:t>Revocar</w:t>
      </w:r>
      <w:r w:rsidRPr="00A91FE1">
        <w:rPr>
          <w:rFonts w:ascii="Palatino Linotype" w:eastAsia="Palatino Linotype" w:hAnsi="Palatino Linotype" w:cs="Palatino Linotype"/>
        </w:rPr>
        <w:t xml:space="preserve"> la respuesta proporcionada por el </w:t>
      </w:r>
      <w:r w:rsidRPr="00A91FE1">
        <w:rPr>
          <w:rFonts w:ascii="Palatino Linotype" w:eastAsia="Palatino Linotype" w:hAnsi="Palatino Linotype" w:cs="Palatino Linotype"/>
          <w:b/>
        </w:rPr>
        <w:t xml:space="preserve">Sujeto Obligado </w:t>
      </w:r>
      <w:r w:rsidRPr="00A91FE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7644A4C"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Quinto. Versión Pública.</w:t>
      </w:r>
      <w:r w:rsidRPr="00A91FE1">
        <w:rPr>
          <w:rFonts w:ascii="Palatino Linotype" w:eastAsia="Palatino Linotype" w:hAnsi="Palatino Linotype" w:cs="Palatino Linotype"/>
          <w:sz w:val="28"/>
          <w:szCs w:val="28"/>
        </w:rPr>
        <w:t xml:space="preserve"> </w:t>
      </w:r>
      <w:r w:rsidRPr="00A91FE1">
        <w:rPr>
          <w:rFonts w:ascii="Palatino Linotype" w:eastAsia="Palatino Linotype" w:hAnsi="Palatino Linotype" w:cs="Palatino Linotype"/>
        </w:rPr>
        <w:t>Finalmente, debe señalarse que de ser el caso en que los documentos que vayan a ser entregados por el</w:t>
      </w:r>
      <w:r w:rsidRPr="00A91FE1">
        <w:rPr>
          <w:rFonts w:ascii="Palatino Linotype" w:eastAsia="Palatino Linotype" w:hAnsi="Palatino Linotype" w:cs="Palatino Linotype"/>
          <w:b/>
        </w:rPr>
        <w:t xml:space="preserve"> </w:t>
      </w:r>
      <w:r w:rsidRPr="00A91FE1">
        <w:rPr>
          <w:rFonts w:ascii="Palatino Linotype" w:eastAsia="Palatino Linotype" w:hAnsi="Palatino Linotype" w:cs="Palatino Linotype"/>
        </w:rPr>
        <w:t xml:space="preserve">sujeto obligado, para dar cumplimiento a la presente resolución, contengan datos que deban ser clasificados, el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xml:space="preserve"> deberá hacer la elaboración de la versión pública de tales </w:t>
      </w:r>
      <w:r w:rsidRPr="00A91FE1">
        <w:rPr>
          <w:rFonts w:ascii="Palatino Linotype" w:eastAsia="Palatino Linotype" w:hAnsi="Palatino Linotype" w:cs="Palatino Linotype"/>
        </w:rPr>
        <w:lastRenderedPageBreak/>
        <w:t>documentos a fin de satisfacer el derecho de acceso a la información pública del recurrente sin menoscabo al derecho a la protección de los datos personales de terceros.</w:t>
      </w:r>
    </w:p>
    <w:p w14:paraId="6D8316FB"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9157F10"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w:t>
      </w:r>
      <w:r w:rsidRPr="00A91FE1">
        <w:rPr>
          <w:rFonts w:ascii="Palatino Linotype" w:eastAsia="Palatino Linotype" w:hAnsi="Palatino Linotype" w:cs="Palatino Linotype"/>
          <w:b/>
          <w:i/>
          <w:sz w:val="22"/>
          <w:szCs w:val="22"/>
        </w:rPr>
        <w:t>Artículo 3</w:t>
      </w:r>
      <w:r w:rsidRPr="00A91FE1">
        <w:rPr>
          <w:rFonts w:ascii="Palatino Linotype" w:eastAsia="Palatino Linotype" w:hAnsi="Palatino Linotype" w:cs="Palatino Linotype"/>
          <w:i/>
          <w:sz w:val="22"/>
          <w:szCs w:val="22"/>
        </w:rPr>
        <w:t>. Para los efectos de la presente Ley se entenderá por:</w:t>
      </w:r>
    </w:p>
    <w:p w14:paraId="28B86799"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w:t>
      </w:r>
    </w:p>
    <w:p w14:paraId="456B29CE"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IX. Datos personales</w:t>
      </w:r>
      <w:r w:rsidRPr="00A91FE1">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B2F99C8"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XX. Información clasificada</w:t>
      </w:r>
      <w:r w:rsidRPr="00A91FE1">
        <w:rPr>
          <w:rFonts w:ascii="Palatino Linotype" w:eastAsia="Palatino Linotype" w:hAnsi="Palatino Linotype" w:cs="Palatino Linotype"/>
          <w:i/>
          <w:sz w:val="22"/>
          <w:szCs w:val="22"/>
        </w:rPr>
        <w:t>: Aquella considerada por la presente Ley como reservada o confidencial;</w:t>
      </w:r>
    </w:p>
    <w:p w14:paraId="2C2B4E3F"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 xml:space="preserve">XXI. Información confidencial: </w:t>
      </w:r>
      <w:r w:rsidRPr="00A91FE1">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4659065"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XLV. Versión pública:</w:t>
      </w:r>
      <w:r w:rsidRPr="00A91FE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7612D70"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w:t>
      </w:r>
    </w:p>
    <w:p w14:paraId="0618E4C1"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Artículo 91.</w:t>
      </w:r>
      <w:r w:rsidRPr="00A91FE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40C6309"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Artículo 132.</w:t>
      </w:r>
      <w:r w:rsidRPr="00A91FE1">
        <w:rPr>
          <w:rFonts w:ascii="Palatino Linotype" w:eastAsia="Palatino Linotype" w:hAnsi="Palatino Linotype" w:cs="Palatino Linotype"/>
          <w:i/>
          <w:sz w:val="22"/>
          <w:szCs w:val="22"/>
        </w:rPr>
        <w:t xml:space="preserve"> La clasificación de la información se llevará a cabo en el momento en que:</w:t>
      </w:r>
    </w:p>
    <w:p w14:paraId="6A3FF61B"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w:t>
      </w:r>
      <w:r w:rsidRPr="00A91FE1">
        <w:rPr>
          <w:rFonts w:ascii="Palatino Linotype" w:eastAsia="Palatino Linotype" w:hAnsi="Palatino Linotype" w:cs="Palatino Linotype"/>
          <w:i/>
          <w:sz w:val="22"/>
          <w:szCs w:val="22"/>
        </w:rPr>
        <w:t>. Se reciba una solicitud de acceso a la información;</w:t>
      </w:r>
    </w:p>
    <w:p w14:paraId="32D15F99"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II.</w:t>
      </w:r>
      <w:r w:rsidRPr="00A91FE1">
        <w:rPr>
          <w:rFonts w:ascii="Palatino Linotype" w:eastAsia="Palatino Linotype" w:hAnsi="Palatino Linotype" w:cs="Palatino Linotype"/>
          <w:i/>
          <w:sz w:val="22"/>
          <w:szCs w:val="22"/>
        </w:rPr>
        <w:t xml:space="preserve"> Se determine mediante resolución de autoridad competente; o</w:t>
      </w:r>
    </w:p>
    <w:p w14:paraId="254D38BD"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lastRenderedPageBreak/>
        <w:t>III.</w:t>
      </w:r>
      <w:r w:rsidRPr="00A91FE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E86816E"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w:t>
      </w:r>
    </w:p>
    <w:p w14:paraId="2920197A"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Artículo 143</w:t>
      </w:r>
      <w:r w:rsidRPr="00A91FE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F7E1FDB"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w:t>
      </w:r>
      <w:r w:rsidRPr="00A91FE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498F9CA"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II.</w:t>
      </w:r>
      <w:r w:rsidRPr="00A91FE1">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BB37D11"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III.</w:t>
      </w:r>
      <w:r w:rsidRPr="00A91FE1">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FD1E857"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2CB327E"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85CB9EF"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855B51B"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lastRenderedPageBreak/>
        <w:t>Entorno a lo que aquí nos interesa, los Lineamientos Quincuagésimo sexto, Quincuagésimo séptimo y Quincuagésimo octavo, establecen lo siguiente:</w:t>
      </w:r>
    </w:p>
    <w:p w14:paraId="4B1197E3"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“Quincuagésimo sexto</w:t>
      </w:r>
      <w:r w:rsidRPr="00A91FE1">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CFCB973"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Quincuagésimo séptimo</w:t>
      </w:r>
      <w:r w:rsidRPr="00A91FE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66376C1"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w:t>
      </w:r>
      <w:r w:rsidRPr="00A91FE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0CF74E6"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II.</w:t>
      </w:r>
      <w:r w:rsidRPr="00A91FE1">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1C46A88" w14:textId="77777777" w:rsidR="006F675B" w:rsidRPr="00A91FE1" w:rsidRDefault="00951242">
      <w:pPr>
        <w:spacing w:before="120" w:after="120"/>
        <w:ind w:left="1134"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III.</w:t>
      </w:r>
      <w:r w:rsidRPr="00A91FE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737A81F"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7D395006" w14:textId="77777777" w:rsidR="006F675B" w:rsidRPr="00A91FE1" w:rsidRDefault="00951242">
      <w:pPr>
        <w:spacing w:before="120" w:after="120"/>
        <w:ind w:left="851" w:right="902"/>
        <w:jc w:val="both"/>
        <w:rPr>
          <w:rFonts w:ascii="Palatino Linotype" w:eastAsia="Palatino Linotype" w:hAnsi="Palatino Linotype" w:cs="Palatino Linotype"/>
          <w:i/>
          <w:sz w:val="22"/>
          <w:szCs w:val="22"/>
        </w:rPr>
      </w:pPr>
      <w:r w:rsidRPr="00A91FE1">
        <w:rPr>
          <w:rFonts w:ascii="Palatino Linotype" w:eastAsia="Palatino Linotype" w:hAnsi="Palatino Linotype" w:cs="Palatino Linotype"/>
          <w:b/>
          <w:i/>
          <w:sz w:val="22"/>
          <w:szCs w:val="22"/>
        </w:rPr>
        <w:t>Quincuagésimo octavo</w:t>
      </w:r>
      <w:r w:rsidRPr="00A91FE1">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1AC0012D"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w:t>
      </w:r>
      <w:r w:rsidRPr="00A91FE1">
        <w:rPr>
          <w:rFonts w:ascii="Palatino Linotype" w:eastAsia="Palatino Linotype" w:hAnsi="Palatino Linotype" w:cs="Palatino Linotype"/>
        </w:rPr>
        <w:lastRenderedPageBreak/>
        <w:t>las causas o motivos por las que no se aprecian determinados datos -ya sea porque se testan o suprimen- deja al solicitante en estado de incertidumbre, al no conocer o comprender porque no aparecen en la documentación respectiva.</w:t>
      </w:r>
    </w:p>
    <w:p w14:paraId="52F9CCB9"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A91FE1" w:rsidRPr="00A91FE1" w14:paraId="68912C3A" w14:textId="77777777" w:rsidTr="00EA4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55C24A0" w14:textId="77777777" w:rsidR="001A39FE" w:rsidRPr="00A91FE1" w:rsidRDefault="001A39FE" w:rsidP="00EA40EF">
            <w:pPr>
              <w:jc w:val="center"/>
              <w:rPr>
                <w:rFonts w:ascii="Palatino Linotype" w:hAnsi="Palatino Linotype"/>
                <w:sz w:val="12"/>
                <w:szCs w:val="12"/>
              </w:rPr>
            </w:pPr>
            <w:r w:rsidRPr="00A91FE1">
              <w:rPr>
                <w:rFonts w:ascii="Palatino Linotype" w:hAnsi="Palatino Linotype"/>
                <w:sz w:val="12"/>
                <w:szCs w:val="12"/>
              </w:rPr>
              <w:t>Parcial</w:t>
            </w:r>
          </w:p>
        </w:tc>
        <w:tc>
          <w:tcPr>
            <w:tcW w:w="4414" w:type="dxa"/>
            <w:gridSpan w:val="2"/>
          </w:tcPr>
          <w:p w14:paraId="1AF5F3A8" w14:textId="77777777" w:rsidR="001A39FE" w:rsidRPr="00A91FE1" w:rsidRDefault="001A39FE" w:rsidP="00EA40E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Total</w:t>
            </w:r>
          </w:p>
        </w:tc>
      </w:tr>
      <w:tr w:rsidR="00A91FE1" w:rsidRPr="00A91FE1" w14:paraId="72477776" w14:textId="77777777" w:rsidTr="00EA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45A8FC1" w14:textId="77777777" w:rsidR="001A39FE" w:rsidRPr="00A91FE1" w:rsidRDefault="001A39FE" w:rsidP="00EA40EF">
            <w:pPr>
              <w:jc w:val="center"/>
              <w:rPr>
                <w:rFonts w:ascii="Palatino Linotype" w:hAnsi="Palatino Linotype"/>
                <w:sz w:val="12"/>
                <w:szCs w:val="12"/>
              </w:rPr>
            </w:pPr>
            <w:r w:rsidRPr="00A91FE1">
              <w:rPr>
                <w:rFonts w:ascii="Palatino Linotype" w:hAnsi="Palatino Linotype"/>
                <w:sz w:val="12"/>
                <w:szCs w:val="12"/>
              </w:rPr>
              <w:t>Concepto</w:t>
            </w:r>
          </w:p>
        </w:tc>
        <w:tc>
          <w:tcPr>
            <w:tcW w:w="3421" w:type="dxa"/>
          </w:tcPr>
          <w:p w14:paraId="41499B0E" w14:textId="77777777" w:rsidR="001A39FE" w:rsidRPr="00A91FE1" w:rsidRDefault="001A39FE" w:rsidP="00EA40E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Dónde</w:t>
            </w:r>
          </w:p>
        </w:tc>
        <w:tc>
          <w:tcPr>
            <w:tcW w:w="968" w:type="dxa"/>
          </w:tcPr>
          <w:p w14:paraId="3FCE4DEA" w14:textId="77777777" w:rsidR="001A39FE" w:rsidRPr="00A91FE1" w:rsidRDefault="001A39FE" w:rsidP="00EA40E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Concepto</w:t>
            </w:r>
          </w:p>
        </w:tc>
        <w:tc>
          <w:tcPr>
            <w:tcW w:w="3446" w:type="dxa"/>
          </w:tcPr>
          <w:p w14:paraId="688FDE13" w14:textId="77777777" w:rsidR="001A39FE" w:rsidRPr="00A91FE1" w:rsidRDefault="001A39FE" w:rsidP="00EA40E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Dónde</w:t>
            </w:r>
          </w:p>
        </w:tc>
      </w:tr>
      <w:tr w:rsidR="00A91FE1" w:rsidRPr="00A91FE1" w14:paraId="44E5173A" w14:textId="77777777" w:rsidTr="00EA40EF">
        <w:tc>
          <w:tcPr>
            <w:cnfStyle w:val="001000000000" w:firstRow="0" w:lastRow="0" w:firstColumn="1" w:lastColumn="0" w:oddVBand="0" w:evenVBand="0" w:oddHBand="0" w:evenHBand="0" w:firstRowFirstColumn="0" w:firstRowLastColumn="0" w:lastRowFirstColumn="0" w:lastRowLastColumn="0"/>
            <w:tcW w:w="8828" w:type="dxa"/>
            <w:gridSpan w:val="4"/>
          </w:tcPr>
          <w:p w14:paraId="3ABECDAC" w14:textId="77777777" w:rsidR="001A39FE" w:rsidRPr="00A91FE1" w:rsidRDefault="001A39FE" w:rsidP="00EA40EF">
            <w:pPr>
              <w:jc w:val="center"/>
              <w:rPr>
                <w:rFonts w:ascii="Palatino Linotype" w:hAnsi="Palatino Linotype"/>
                <w:sz w:val="12"/>
                <w:szCs w:val="12"/>
              </w:rPr>
            </w:pPr>
            <w:r w:rsidRPr="00A91FE1">
              <w:rPr>
                <w:rFonts w:ascii="Palatino Linotype" w:hAnsi="Palatino Linotype"/>
                <w:sz w:val="12"/>
                <w:szCs w:val="12"/>
              </w:rPr>
              <w:t>Sello oficial o logotipo del sujeto obligado</w:t>
            </w:r>
          </w:p>
        </w:tc>
      </w:tr>
      <w:tr w:rsidR="00A91FE1" w:rsidRPr="00A91FE1" w14:paraId="42480977" w14:textId="77777777" w:rsidTr="00EA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3B8DA73"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Fecha de clasificación</w:t>
            </w:r>
          </w:p>
        </w:tc>
        <w:tc>
          <w:tcPr>
            <w:tcW w:w="3421" w:type="dxa"/>
          </w:tcPr>
          <w:p w14:paraId="05A1211B"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anotará la fecha en la que el Comité de Transparencia confirmó la clasificación del documento, en su caso.</w:t>
            </w:r>
          </w:p>
        </w:tc>
        <w:tc>
          <w:tcPr>
            <w:tcW w:w="968" w:type="dxa"/>
          </w:tcPr>
          <w:p w14:paraId="117FCC8C"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Fecha de clasificación</w:t>
            </w:r>
          </w:p>
        </w:tc>
        <w:tc>
          <w:tcPr>
            <w:tcW w:w="3446" w:type="dxa"/>
          </w:tcPr>
          <w:p w14:paraId="6ED6D220"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anotará la fecha en la que el Comité de Transparencia confirmó la clasificación del documento, en su caso.</w:t>
            </w:r>
          </w:p>
        </w:tc>
      </w:tr>
      <w:tr w:rsidR="00A91FE1" w:rsidRPr="00A91FE1" w14:paraId="37934951" w14:textId="77777777" w:rsidTr="00EA40EF">
        <w:tc>
          <w:tcPr>
            <w:cnfStyle w:val="001000000000" w:firstRow="0" w:lastRow="0" w:firstColumn="1" w:lastColumn="0" w:oddVBand="0" w:evenVBand="0" w:oddHBand="0" w:evenHBand="0" w:firstRowFirstColumn="0" w:firstRowLastColumn="0" w:lastRowFirstColumn="0" w:lastRowLastColumn="0"/>
            <w:tcW w:w="993" w:type="dxa"/>
          </w:tcPr>
          <w:p w14:paraId="609FED2D"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Área</w:t>
            </w:r>
          </w:p>
        </w:tc>
        <w:tc>
          <w:tcPr>
            <w:tcW w:w="3421" w:type="dxa"/>
          </w:tcPr>
          <w:p w14:paraId="725AB41B"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señalará el nombre del área del cual es titular quien clasifica.</w:t>
            </w:r>
          </w:p>
        </w:tc>
        <w:tc>
          <w:tcPr>
            <w:tcW w:w="968" w:type="dxa"/>
          </w:tcPr>
          <w:p w14:paraId="1CBC6B11"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Área</w:t>
            </w:r>
          </w:p>
        </w:tc>
        <w:tc>
          <w:tcPr>
            <w:tcW w:w="3446" w:type="dxa"/>
          </w:tcPr>
          <w:p w14:paraId="03643D60"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señalará el nombre del área de la cual es el titular quien clasifica.</w:t>
            </w:r>
          </w:p>
        </w:tc>
      </w:tr>
      <w:tr w:rsidR="00A91FE1" w:rsidRPr="00A91FE1" w14:paraId="798355C0" w14:textId="77777777" w:rsidTr="00EA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870802B"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Información reservada</w:t>
            </w:r>
          </w:p>
        </w:tc>
        <w:tc>
          <w:tcPr>
            <w:tcW w:w="3421" w:type="dxa"/>
          </w:tcPr>
          <w:p w14:paraId="7EF1BFFE"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B5F7354"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Reservado</w:t>
            </w:r>
          </w:p>
        </w:tc>
        <w:tc>
          <w:tcPr>
            <w:tcW w:w="3446" w:type="dxa"/>
          </w:tcPr>
          <w:p w14:paraId="37D82154"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Leyenda de información RESERVADA.</w:t>
            </w:r>
          </w:p>
        </w:tc>
      </w:tr>
      <w:tr w:rsidR="00A91FE1" w:rsidRPr="00A91FE1" w14:paraId="3CAEC2AB" w14:textId="77777777" w:rsidTr="00EA40EF">
        <w:tc>
          <w:tcPr>
            <w:cnfStyle w:val="001000000000" w:firstRow="0" w:lastRow="0" w:firstColumn="1" w:lastColumn="0" w:oddVBand="0" w:evenVBand="0" w:oddHBand="0" w:evenHBand="0" w:firstRowFirstColumn="0" w:firstRowLastColumn="0" w:lastRowFirstColumn="0" w:lastRowLastColumn="0"/>
            <w:tcW w:w="993" w:type="dxa"/>
          </w:tcPr>
          <w:p w14:paraId="3E7D9678"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Fundamento legal</w:t>
            </w:r>
          </w:p>
        </w:tc>
        <w:tc>
          <w:tcPr>
            <w:tcW w:w="3421" w:type="dxa"/>
          </w:tcPr>
          <w:p w14:paraId="73024CD6"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3A4AA661"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Periodo de reserva</w:t>
            </w:r>
          </w:p>
        </w:tc>
        <w:tc>
          <w:tcPr>
            <w:tcW w:w="3446" w:type="dxa"/>
          </w:tcPr>
          <w:p w14:paraId="5CDD9BCC"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91FE1" w:rsidRPr="00A91FE1" w14:paraId="41B86755" w14:textId="77777777" w:rsidTr="00EA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6EE0A2"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Ampliación del periodo de reserva</w:t>
            </w:r>
          </w:p>
        </w:tc>
        <w:tc>
          <w:tcPr>
            <w:tcW w:w="3421" w:type="dxa"/>
          </w:tcPr>
          <w:p w14:paraId="13AC5768"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5A1FF3B"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Fundamento legal</w:t>
            </w:r>
          </w:p>
        </w:tc>
        <w:tc>
          <w:tcPr>
            <w:tcW w:w="3446" w:type="dxa"/>
          </w:tcPr>
          <w:p w14:paraId="42C95B17"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señalará el nombre del o de los ordenamientos jurídicos, el o los artículos, fracción(es), párrafo(s) con base en los cuales se sustenta la reserva.</w:t>
            </w:r>
          </w:p>
        </w:tc>
      </w:tr>
      <w:tr w:rsidR="00A91FE1" w:rsidRPr="00A91FE1" w14:paraId="16B37124" w14:textId="77777777" w:rsidTr="00EA40EF">
        <w:tc>
          <w:tcPr>
            <w:cnfStyle w:val="001000000000" w:firstRow="0" w:lastRow="0" w:firstColumn="1" w:lastColumn="0" w:oddVBand="0" w:evenVBand="0" w:oddHBand="0" w:evenHBand="0" w:firstRowFirstColumn="0" w:firstRowLastColumn="0" w:lastRowFirstColumn="0" w:lastRowLastColumn="0"/>
            <w:tcW w:w="993" w:type="dxa"/>
          </w:tcPr>
          <w:p w14:paraId="5A6109E2"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Confidencial</w:t>
            </w:r>
          </w:p>
        </w:tc>
        <w:tc>
          <w:tcPr>
            <w:tcW w:w="3421" w:type="dxa"/>
          </w:tcPr>
          <w:p w14:paraId="57C5136B"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E86D46D"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Ampliación del periodo de reserva</w:t>
            </w:r>
          </w:p>
        </w:tc>
        <w:tc>
          <w:tcPr>
            <w:tcW w:w="3446" w:type="dxa"/>
          </w:tcPr>
          <w:p w14:paraId="55902A4B"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91FE1" w:rsidRPr="00A91FE1" w14:paraId="5E8C4F45" w14:textId="77777777" w:rsidTr="00EA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D082926"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Fundamento legal</w:t>
            </w:r>
          </w:p>
        </w:tc>
        <w:tc>
          <w:tcPr>
            <w:tcW w:w="3421" w:type="dxa"/>
          </w:tcPr>
          <w:p w14:paraId="3D1F840D"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D19BA44"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Confidencial</w:t>
            </w:r>
          </w:p>
        </w:tc>
        <w:tc>
          <w:tcPr>
            <w:tcW w:w="3446" w:type="dxa"/>
          </w:tcPr>
          <w:p w14:paraId="5F0BB0D9"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Leyenda de información CONFIDENCIAL.</w:t>
            </w:r>
          </w:p>
        </w:tc>
      </w:tr>
      <w:tr w:rsidR="00A91FE1" w:rsidRPr="00A91FE1" w14:paraId="5721317D" w14:textId="77777777" w:rsidTr="00EA40EF">
        <w:tc>
          <w:tcPr>
            <w:cnfStyle w:val="001000000000" w:firstRow="0" w:lastRow="0" w:firstColumn="1" w:lastColumn="0" w:oddVBand="0" w:evenVBand="0" w:oddHBand="0" w:evenHBand="0" w:firstRowFirstColumn="0" w:firstRowLastColumn="0" w:lastRowFirstColumn="0" w:lastRowLastColumn="0"/>
            <w:tcW w:w="993" w:type="dxa"/>
          </w:tcPr>
          <w:p w14:paraId="47C9ED1F"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Rúbrica del titular del área</w:t>
            </w:r>
          </w:p>
        </w:tc>
        <w:tc>
          <w:tcPr>
            <w:tcW w:w="3421" w:type="dxa"/>
          </w:tcPr>
          <w:p w14:paraId="289A9D0C"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Rúbrica autógrafa de quien clasifica.</w:t>
            </w:r>
          </w:p>
        </w:tc>
        <w:tc>
          <w:tcPr>
            <w:tcW w:w="968" w:type="dxa"/>
          </w:tcPr>
          <w:p w14:paraId="4E87A695"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Fundamento legal</w:t>
            </w:r>
          </w:p>
        </w:tc>
        <w:tc>
          <w:tcPr>
            <w:tcW w:w="3446" w:type="dxa"/>
          </w:tcPr>
          <w:p w14:paraId="450E7812"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91FE1" w:rsidRPr="00A91FE1" w14:paraId="36979B6F" w14:textId="77777777" w:rsidTr="00EA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F747848"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Fecha de desclasificación</w:t>
            </w:r>
          </w:p>
        </w:tc>
        <w:tc>
          <w:tcPr>
            <w:tcW w:w="3421" w:type="dxa"/>
          </w:tcPr>
          <w:p w14:paraId="22371CE7"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anotará la fecha en que se desclasifica el documento.</w:t>
            </w:r>
          </w:p>
        </w:tc>
        <w:tc>
          <w:tcPr>
            <w:tcW w:w="968" w:type="dxa"/>
          </w:tcPr>
          <w:p w14:paraId="375C8CFB"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Rúbrica del titular del área</w:t>
            </w:r>
          </w:p>
        </w:tc>
        <w:tc>
          <w:tcPr>
            <w:tcW w:w="3446" w:type="dxa"/>
          </w:tcPr>
          <w:p w14:paraId="74994276"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Rúbrica autógrafa de quien clasifica.</w:t>
            </w:r>
          </w:p>
        </w:tc>
      </w:tr>
      <w:tr w:rsidR="00A91FE1" w:rsidRPr="00A91FE1" w14:paraId="5215F911" w14:textId="77777777" w:rsidTr="00EA40EF">
        <w:tc>
          <w:tcPr>
            <w:cnfStyle w:val="001000000000" w:firstRow="0" w:lastRow="0" w:firstColumn="1" w:lastColumn="0" w:oddVBand="0" w:evenVBand="0" w:oddHBand="0" w:evenHBand="0" w:firstRowFirstColumn="0" w:firstRowLastColumn="0" w:lastRowFirstColumn="0" w:lastRowLastColumn="0"/>
            <w:tcW w:w="993" w:type="dxa"/>
          </w:tcPr>
          <w:p w14:paraId="7132C0D2" w14:textId="77777777" w:rsidR="001A39FE" w:rsidRPr="00A91FE1" w:rsidRDefault="001A39FE" w:rsidP="00EA40EF">
            <w:pPr>
              <w:jc w:val="both"/>
              <w:rPr>
                <w:rFonts w:ascii="Palatino Linotype" w:hAnsi="Palatino Linotype"/>
                <w:sz w:val="12"/>
                <w:szCs w:val="12"/>
              </w:rPr>
            </w:pPr>
            <w:r w:rsidRPr="00A91FE1">
              <w:rPr>
                <w:rFonts w:ascii="Palatino Linotype" w:hAnsi="Palatino Linotype"/>
                <w:sz w:val="12"/>
                <w:szCs w:val="12"/>
              </w:rPr>
              <w:t>Rúbrica y cargo del servidor público</w:t>
            </w:r>
          </w:p>
        </w:tc>
        <w:tc>
          <w:tcPr>
            <w:tcW w:w="3421" w:type="dxa"/>
          </w:tcPr>
          <w:p w14:paraId="431C2DC7"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Rúbrica autógrafa de quien desclasifica.</w:t>
            </w:r>
          </w:p>
        </w:tc>
        <w:tc>
          <w:tcPr>
            <w:tcW w:w="968" w:type="dxa"/>
          </w:tcPr>
          <w:p w14:paraId="2B14FDF1"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Fecha de desclasificación</w:t>
            </w:r>
          </w:p>
        </w:tc>
        <w:tc>
          <w:tcPr>
            <w:tcW w:w="3446" w:type="dxa"/>
          </w:tcPr>
          <w:p w14:paraId="5F5EC770"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Se anotará la fecha en que se desclasifica.</w:t>
            </w:r>
          </w:p>
        </w:tc>
      </w:tr>
      <w:tr w:rsidR="00A91FE1" w:rsidRPr="00A91FE1" w14:paraId="3C5E3E94" w14:textId="77777777" w:rsidTr="00EA4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000D1CD" w14:textId="77777777" w:rsidR="001A39FE" w:rsidRPr="00A91FE1" w:rsidRDefault="001A39FE" w:rsidP="00EA40EF">
            <w:pPr>
              <w:jc w:val="both"/>
              <w:rPr>
                <w:rFonts w:ascii="Palatino Linotype" w:hAnsi="Palatino Linotype"/>
                <w:sz w:val="12"/>
                <w:szCs w:val="12"/>
              </w:rPr>
            </w:pPr>
          </w:p>
        </w:tc>
        <w:tc>
          <w:tcPr>
            <w:tcW w:w="3421" w:type="dxa"/>
          </w:tcPr>
          <w:p w14:paraId="2A7D6A09"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8599677"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Partes o secciones reservadas o confidenciales</w:t>
            </w:r>
          </w:p>
        </w:tc>
        <w:tc>
          <w:tcPr>
            <w:tcW w:w="3446" w:type="dxa"/>
          </w:tcPr>
          <w:p w14:paraId="0FEE19BE" w14:textId="77777777" w:rsidR="001A39FE" w:rsidRPr="00A91FE1" w:rsidRDefault="001A39FE" w:rsidP="00EA40E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En caso que una vez desclasificado el expediente, subsistanpartes o secciones del mismo reservadas o confidenciales, se señalará este hecho.</w:t>
            </w:r>
          </w:p>
        </w:tc>
      </w:tr>
      <w:tr w:rsidR="00A91FE1" w:rsidRPr="00A91FE1" w14:paraId="76246727" w14:textId="77777777" w:rsidTr="00EA40EF">
        <w:tc>
          <w:tcPr>
            <w:cnfStyle w:val="001000000000" w:firstRow="0" w:lastRow="0" w:firstColumn="1" w:lastColumn="0" w:oddVBand="0" w:evenVBand="0" w:oddHBand="0" w:evenHBand="0" w:firstRowFirstColumn="0" w:firstRowLastColumn="0" w:lastRowFirstColumn="0" w:lastRowLastColumn="0"/>
            <w:tcW w:w="993" w:type="dxa"/>
          </w:tcPr>
          <w:p w14:paraId="06938238" w14:textId="77777777" w:rsidR="001A39FE" w:rsidRPr="00A91FE1" w:rsidRDefault="001A39FE" w:rsidP="00EA40EF">
            <w:pPr>
              <w:jc w:val="both"/>
              <w:rPr>
                <w:rFonts w:ascii="Palatino Linotype" w:hAnsi="Palatino Linotype"/>
                <w:sz w:val="12"/>
                <w:szCs w:val="12"/>
              </w:rPr>
            </w:pPr>
          </w:p>
        </w:tc>
        <w:tc>
          <w:tcPr>
            <w:tcW w:w="3421" w:type="dxa"/>
          </w:tcPr>
          <w:p w14:paraId="63F758A3"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23104B32"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91FE1">
              <w:rPr>
                <w:rFonts w:ascii="Palatino Linotype" w:hAnsi="Palatino Linotype"/>
                <w:b/>
                <w:sz w:val="12"/>
                <w:szCs w:val="12"/>
              </w:rPr>
              <w:t>Rúbrica y cargo del servidor público</w:t>
            </w:r>
          </w:p>
        </w:tc>
        <w:tc>
          <w:tcPr>
            <w:tcW w:w="3446" w:type="dxa"/>
          </w:tcPr>
          <w:p w14:paraId="432178CF" w14:textId="77777777" w:rsidR="001A39FE" w:rsidRPr="00A91FE1" w:rsidRDefault="001A39FE" w:rsidP="00EA40E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91FE1">
              <w:rPr>
                <w:rFonts w:ascii="Palatino Linotype" w:hAnsi="Palatino Linotype"/>
                <w:sz w:val="12"/>
                <w:szCs w:val="12"/>
              </w:rPr>
              <w:t>Rúbrica autógrafa de quien desclasifica.</w:t>
            </w:r>
          </w:p>
        </w:tc>
      </w:tr>
    </w:tbl>
    <w:p w14:paraId="4B804D35" w14:textId="216C9464" w:rsidR="006F675B" w:rsidRPr="00A91FE1" w:rsidRDefault="0095124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A91FE1">
        <w:rPr>
          <w:rFonts w:ascii="Palatino Linotype" w:eastAsia="Palatino Linotype" w:hAnsi="Palatino Linotype" w:cs="Palatino Linotype"/>
        </w:rPr>
        <w:lastRenderedPageBreak/>
        <w:t>la Ley de Transparencia y Acceso a la Información Pública del Estado de México y Municipios, este Pleno:</w:t>
      </w:r>
    </w:p>
    <w:p w14:paraId="141EC6F1" w14:textId="77777777" w:rsidR="006F675B" w:rsidRPr="00A91FE1" w:rsidRDefault="0095124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91FE1">
        <w:rPr>
          <w:rFonts w:ascii="Palatino Linotype" w:eastAsia="Palatino Linotype" w:hAnsi="Palatino Linotype" w:cs="Palatino Linotype"/>
          <w:b/>
        </w:rPr>
        <w:t>III. R E S U E L V E:</w:t>
      </w:r>
    </w:p>
    <w:p w14:paraId="7BC2D979" w14:textId="77777777" w:rsidR="006F675B" w:rsidRPr="00A91FE1" w:rsidRDefault="00951242">
      <w:pPr>
        <w:spacing w:before="240" w:after="240" w:line="360" w:lineRule="auto"/>
        <w:jc w:val="both"/>
        <w:rPr>
          <w:rFonts w:ascii="Palatino Linotype" w:eastAsia="Palatino Linotype" w:hAnsi="Palatino Linotype" w:cs="Palatino Linotype"/>
          <w:b/>
        </w:rPr>
      </w:pPr>
      <w:bookmarkStart w:id="8" w:name="_heading=h.4d34og8" w:colFirst="0" w:colLast="0"/>
      <w:bookmarkEnd w:id="8"/>
      <w:r w:rsidRPr="00A91FE1">
        <w:rPr>
          <w:rFonts w:ascii="Palatino Linotype" w:eastAsia="Palatino Linotype" w:hAnsi="Palatino Linotype" w:cs="Palatino Linotype"/>
          <w:b/>
        </w:rPr>
        <w:t xml:space="preserve">Primero. </w:t>
      </w:r>
      <w:r w:rsidRPr="00A91FE1">
        <w:rPr>
          <w:rFonts w:ascii="Palatino Linotype" w:eastAsia="Palatino Linotype" w:hAnsi="Palatino Linotype" w:cs="Palatino Linotype"/>
        </w:rPr>
        <w:t>Resultan</w:t>
      </w:r>
      <w:r w:rsidRPr="00A91FE1">
        <w:rPr>
          <w:rFonts w:ascii="Palatino Linotype" w:eastAsia="Palatino Linotype" w:hAnsi="Palatino Linotype" w:cs="Palatino Linotype"/>
          <w:b/>
        </w:rPr>
        <w:t xml:space="preserve"> fundados</w:t>
      </w:r>
      <w:r w:rsidRPr="00A91FE1">
        <w:rPr>
          <w:rFonts w:ascii="Palatino Linotype" w:eastAsia="Palatino Linotype" w:hAnsi="Palatino Linotype" w:cs="Palatino Linotype"/>
        </w:rPr>
        <w:t xml:space="preserve"> los motivos de inconformidad hechos valer por la parte </w:t>
      </w:r>
      <w:r w:rsidRPr="00A91FE1">
        <w:rPr>
          <w:rFonts w:ascii="Palatino Linotype" w:eastAsia="Palatino Linotype" w:hAnsi="Palatino Linotype" w:cs="Palatino Linotype"/>
          <w:b/>
        </w:rPr>
        <w:t xml:space="preserve">Recurrente </w:t>
      </w:r>
      <w:r w:rsidRPr="00A91FE1">
        <w:rPr>
          <w:rFonts w:ascii="Palatino Linotype" w:eastAsia="Palatino Linotype" w:hAnsi="Palatino Linotype" w:cs="Palatino Linotype"/>
        </w:rPr>
        <w:t xml:space="preserve">en el recurso de revisión </w:t>
      </w:r>
      <w:r w:rsidRPr="00A91FE1">
        <w:rPr>
          <w:rFonts w:ascii="Palatino Linotype" w:eastAsia="Palatino Linotype" w:hAnsi="Palatino Linotype" w:cs="Palatino Linotype"/>
          <w:b/>
        </w:rPr>
        <w:t xml:space="preserve">07369/INFOEM/IP/RR/2022, </w:t>
      </w:r>
      <w:r w:rsidRPr="00A91FE1">
        <w:rPr>
          <w:rFonts w:ascii="Palatino Linotype" w:eastAsia="Palatino Linotype" w:hAnsi="Palatino Linotype" w:cs="Palatino Linotype"/>
        </w:rPr>
        <w:t xml:space="preserve">por lo que, en términos del Considerando </w:t>
      </w:r>
      <w:r w:rsidRPr="00A91FE1">
        <w:rPr>
          <w:rFonts w:ascii="Palatino Linotype" w:eastAsia="Palatino Linotype" w:hAnsi="Palatino Linotype" w:cs="Palatino Linotype"/>
          <w:b/>
        </w:rPr>
        <w:t>Cuarto</w:t>
      </w:r>
      <w:r w:rsidRPr="00A91FE1">
        <w:rPr>
          <w:rFonts w:ascii="Palatino Linotype" w:eastAsia="Palatino Linotype" w:hAnsi="Palatino Linotype" w:cs="Palatino Linotype"/>
        </w:rPr>
        <w:t xml:space="preserve"> de la presente resolución, se</w:t>
      </w:r>
      <w:r w:rsidRPr="00A91FE1">
        <w:rPr>
          <w:rFonts w:ascii="Palatino Linotype" w:eastAsia="Palatino Linotype" w:hAnsi="Palatino Linotype" w:cs="Palatino Linotype"/>
          <w:b/>
        </w:rPr>
        <w:t xml:space="preserve"> Revoca </w:t>
      </w:r>
      <w:r w:rsidRPr="00A91FE1">
        <w:rPr>
          <w:rFonts w:ascii="Palatino Linotype" w:eastAsia="Palatino Linotype" w:hAnsi="Palatino Linotype" w:cs="Palatino Linotype"/>
        </w:rPr>
        <w:t>la respuesta</w:t>
      </w:r>
      <w:r w:rsidRPr="00A91FE1">
        <w:rPr>
          <w:rFonts w:ascii="Palatino Linotype" w:eastAsia="Palatino Linotype" w:hAnsi="Palatino Linotype" w:cs="Palatino Linotype"/>
          <w:b/>
        </w:rPr>
        <w:t xml:space="preserve"> </w:t>
      </w:r>
      <w:r w:rsidRPr="00A91FE1">
        <w:rPr>
          <w:rFonts w:ascii="Palatino Linotype" w:eastAsia="Palatino Linotype" w:hAnsi="Palatino Linotype" w:cs="Palatino Linotype"/>
        </w:rPr>
        <w:t xml:space="preserve">del </w:t>
      </w:r>
      <w:r w:rsidRPr="00A91FE1">
        <w:rPr>
          <w:rFonts w:ascii="Palatino Linotype" w:eastAsia="Palatino Linotype" w:hAnsi="Palatino Linotype" w:cs="Palatino Linotype"/>
          <w:b/>
        </w:rPr>
        <w:t>Sujeto Obligado.</w:t>
      </w:r>
    </w:p>
    <w:p w14:paraId="7D1DF38F"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 xml:space="preserve">Segundo. </w:t>
      </w:r>
      <w:r w:rsidRPr="00A91FE1">
        <w:rPr>
          <w:rFonts w:ascii="Palatino Linotype" w:eastAsia="Palatino Linotype" w:hAnsi="Palatino Linotype" w:cs="Palatino Linotype"/>
        </w:rPr>
        <w:t xml:space="preserve">Se </w:t>
      </w:r>
      <w:r w:rsidRPr="00A91FE1">
        <w:rPr>
          <w:rFonts w:ascii="Palatino Linotype" w:eastAsia="Palatino Linotype" w:hAnsi="Palatino Linotype" w:cs="Palatino Linotype"/>
          <w:b/>
        </w:rPr>
        <w:t>Ordena</w:t>
      </w:r>
      <w:r w:rsidRPr="00A91FE1">
        <w:rPr>
          <w:rFonts w:ascii="Palatino Linotype" w:eastAsia="Palatino Linotype" w:hAnsi="Palatino Linotype" w:cs="Palatino Linotype"/>
        </w:rPr>
        <w:t xml:space="preserve"> al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xml:space="preserve">, en términos de los Considerandos </w:t>
      </w:r>
      <w:r w:rsidRPr="00A91FE1">
        <w:rPr>
          <w:rFonts w:ascii="Palatino Linotype" w:eastAsia="Palatino Linotype" w:hAnsi="Palatino Linotype" w:cs="Palatino Linotype"/>
          <w:b/>
        </w:rPr>
        <w:t xml:space="preserve">Cuarto </w:t>
      </w:r>
      <w:r w:rsidRPr="00A91FE1">
        <w:rPr>
          <w:rFonts w:ascii="Palatino Linotype" w:eastAsia="Palatino Linotype" w:hAnsi="Palatino Linotype" w:cs="Palatino Linotype"/>
        </w:rPr>
        <w:t xml:space="preserve">y </w:t>
      </w:r>
      <w:r w:rsidRPr="00A91FE1">
        <w:rPr>
          <w:rFonts w:ascii="Palatino Linotype" w:eastAsia="Palatino Linotype" w:hAnsi="Palatino Linotype" w:cs="Palatino Linotype"/>
          <w:b/>
        </w:rPr>
        <w:t xml:space="preserve">Quinto </w:t>
      </w:r>
      <w:r w:rsidRPr="00A91FE1">
        <w:rPr>
          <w:rFonts w:ascii="Palatino Linotype" w:eastAsia="Palatino Linotype" w:hAnsi="Palatino Linotype" w:cs="Palatino Linotype"/>
        </w:rPr>
        <w:t>de esta resolución, haga entrega, vía SAIMEX, en versión pública, de lo siguiente:</w:t>
      </w:r>
    </w:p>
    <w:p w14:paraId="0115B7DA" w14:textId="4AF5DF28" w:rsidR="00C56344" w:rsidRPr="00A91FE1" w:rsidRDefault="00951242" w:rsidP="00C56344">
      <w:pPr>
        <w:spacing w:before="280" w:after="280" w:line="360" w:lineRule="auto"/>
        <w:ind w:left="280" w:right="40"/>
        <w:jc w:val="both"/>
        <w:rPr>
          <w:rFonts w:ascii="Palatino Linotype" w:eastAsia="Palatino Linotype" w:hAnsi="Palatino Linotype" w:cs="Palatino Linotype"/>
        </w:rPr>
      </w:pPr>
      <w:bookmarkStart w:id="9" w:name="_heading=h.lnxbz9" w:colFirst="0" w:colLast="0"/>
      <w:bookmarkEnd w:id="9"/>
      <w:r w:rsidRPr="00A91FE1">
        <w:rPr>
          <w:rFonts w:ascii="Palatino Linotype" w:eastAsia="Palatino Linotype" w:hAnsi="Palatino Linotype" w:cs="Palatino Linotype"/>
        </w:rPr>
        <w:t>1. Convenios C.S.J1/2022 y C.S.J16/2022</w:t>
      </w:r>
      <w:bookmarkStart w:id="10" w:name="_heading=h.kelgs2428oa6" w:colFirst="0" w:colLast="0"/>
      <w:bookmarkEnd w:id="10"/>
      <w:r w:rsidR="00C56344" w:rsidRPr="00A91FE1">
        <w:rPr>
          <w:rFonts w:ascii="Palatino Linotype" w:eastAsia="Palatino Linotype" w:hAnsi="Palatino Linotype" w:cs="Palatino Linotype"/>
        </w:rPr>
        <w:t xml:space="preserve">. </w:t>
      </w:r>
    </w:p>
    <w:p w14:paraId="393AE642" w14:textId="77777777" w:rsidR="006F675B" w:rsidRPr="00A91FE1" w:rsidRDefault="00C56344" w:rsidP="001A39FE">
      <w:pPr>
        <w:spacing w:before="280" w:after="280"/>
        <w:ind w:left="280" w:right="40"/>
        <w:jc w:val="both"/>
        <w:rPr>
          <w:rFonts w:ascii="Palatino Linotype" w:eastAsia="Palatino Linotype" w:hAnsi="Palatino Linotype" w:cs="Palatino Linotype"/>
          <w:i/>
          <w:sz w:val="20"/>
          <w:szCs w:val="20"/>
        </w:rPr>
      </w:pPr>
      <w:r w:rsidRPr="00A91FE1">
        <w:rPr>
          <w:rFonts w:ascii="Palatino Linotype" w:eastAsia="Palatino Linotype" w:hAnsi="Palatino Linotype" w:cs="Palatino Linotype"/>
          <w:i/>
          <w:sz w:val="20"/>
          <w:szCs w:val="20"/>
        </w:rPr>
        <w:t>P</w:t>
      </w:r>
      <w:r w:rsidR="00951242" w:rsidRPr="00A91FE1">
        <w:rPr>
          <w:rFonts w:ascii="Palatino Linotype" w:eastAsia="Palatino Linotype" w:hAnsi="Palatino Linotype" w:cs="Palatino Linotype"/>
          <w:i/>
          <w:sz w:val="20"/>
          <w:szCs w:val="20"/>
        </w:rPr>
        <w:t xml:space="preserve">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w:t>
      </w:r>
      <w:r w:rsidR="00951242" w:rsidRPr="00A91FE1">
        <w:rPr>
          <w:rFonts w:ascii="Palatino Linotype" w:eastAsia="Palatino Linotype" w:hAnsi="Palatino Linotype" w:cs="Palatino Linotype"/>
          <w:b/>
          <w:i/>
          <w:sz w:val="20"/>
          <w:szCs w:val="20"/>
        </w:rPr>
        <w:t>Recurrente</w:t>
      </w:r>
      <w:r w:rsidR="00951242" w:rsidRPr="00A91FE1">
        <w:rPr>
          <w:rFonts w:ascii="Palatino Linotype" w:eastAsia="Palatino Linotype" w:hAnsi="Palatino Linotype" w:cs="Palatino Linotype"/>
          <w:i/>
          <w:sz w:val="20"/>
          <w:szCs w:val="20"/>
        </w:rPr>
        <w:t>.</w:t>
      </w:r>
    </w:p>
    <w:p w14:paraId="23A0576F" w14:textId="77777777" w:rsidR="006F675B" w:rsidRPr="00A91FE1" w:rsidRDefault="00951242">
      <w:pPr>
        <w:spacing w:before="240" w:after="240" w:line="360" w:lineRule="auto"/>
        <w:jc w:val="both"/>
        <w:rPr>
          <w:rFonts w:ascii="Palatino Linotype" w:eastAsia="Palatino Linotype" w:hAnsi="Palatino Linotype" w:cs="Palatino Linotype"/>
          <w:b/>
        </w:rPr>
      </w:pPr>
      <w:r w:rsidRPr="00A91FE1">
        <w:rPr>
          <w:rFonts w:ascii="Palatino Linotype" w:eastAsia="Palatino Linotype" w:hAnsi="Palatino Linotype" w:cs="Palatino Linotype"/>
          <w:b/>
        </w:rPr>
        <w:t xml:space="preserve">Tercero. Notifíquese, </w:t>
      </w:r>
      <w:r w:rsidRPr="00A91FE1">
        <w:rPr>
          <w:rFonts w:ascii="Palatino Linotype" w:eastAsia="Palatino Linotype" w:hAnsi="Palatino Linotype" w:cs="Palatino Linotype"/>
        </w:rPr>
        <w:t>vía</w:t>
      </w:r>
      <w:r w:rsidRPr="00A91FE1">
        <w:rPr>
          <w:rFonts w:ascii="Palatino Linotype" w:eastAsia="Palatino Linotype" w:hAnsi="Palatino Linotype" w:cs="Palatino Linotype"/>
          <w:b/>
        </w:rPr>
        <w:t xml:space="preserve"> SAIMEX, </w:t>
      </w:r>
      <w:r w:rsidRPr="00A91FE1">
        <w:rPr>
          <w:rFonts w:ascii="Palatino Linotype" w:eastAsia="Palatino Linotype" w:hAnsi="Palatino Linotype" w:cs="Palatino Linotype"/>
        </w:rPr>
        <w:t xml:space="preserve">al Responsable de la Unidad de Transparencia del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A91FE1">
        <w:rPr>
          <w:rFonts w:ascii="Palatino Linotype" w:eastAsia="Palatino Linotype" w:hAnsi="Palatino Linotype" w:cs="Palatino Linotype"/>
          <w:b/>
        </w:rPr>
        <w:t>.</w:t>
      </w:r>
    </w:p>
    <w:p w14:paraId="5946FA04"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A91FE1">
        <w:rPr>
          <w:rFonts w:ascii="Palatino Linotype" w:eastAsia="Palatino Linotype" w:hAnsi="Palatino Linotype" w:cs="Palatino Linotype"/>
        </w:rPr>
        <w:lastRenderedPageBreak/>
        <w:t xml:space="preserve">procedente, el </w:t>
      </w:r>
      <w:r w:rsidRPr="00A91FE1">
        <w:rPr>
          <w:rFonts w:ascii="Palatino Linotype" w:eastAsia="Palatino Linotype" w:hAnsi="Palatino Linotype" w:cs="Palatino Linotype"/>
          <w:b/>
        </w:rPr>
        <w:t>Sujeto Obligado</w:t>
      </w:r>
      <w:r w:rsidRPr="00A91FE1">
        <w:rPr>
          <w:rFonts w:ascii="Palatino Linotype" w:eastAsia="Palatino Linotype" w:hAnsi="Palatino Linotype" w:cs="Palatino Linotype"/>
        </w:rPr>
        <w:t xml:space="preserve"> de manera fundada y motivada, podrá solicitar una ampliación de plazo para el cumplimiento de la presente resolución.</w:t>
      </w:r>
    </w:p>
    <w:p w14:paraId="12F24A3E" w14:textId="77777777" w:rsidR="006F675B" w:rsidRPr="00A91FE1" w:rsidRDefault="00951242">
      <w:pPr>
        <w:spacing w:before="240" w:after="240"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b/>
        </w:rPr>
        <w:t xml:space="preserve">Cuarto.  Notifíquese, </w:t>
      </w:r>
      <w:r w:rsidRPr="00A91FE1">
        <w:rPr>
          <w:rFonts w:ascii="Palatino Linotype" w:eastAsia="Palatino Linotype" w:hAnsi="Palatino Linotype" w:cs="Palatino Linotype"/>
        </w:rPr>
        <w:t xml:space="preserve">vía </w:t>
      </w:r>
      <w:r w:rsidRPr="00A91FE1">
        <w:rPr>
          <w:rFonts w:ascii="Palatino Linotype" w:eastAsia="Palatino Linotype" w:hAnsi="Palatino Linotype" w:cs="Palatino Linotype"/>
          <w:b/>
        </w:rPr>
        <w:t>SAIMEX</w:t>
      </w:r>
      <w:r w:rsidRPr="00A91FE1">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416D761" w14:textId="29DF509A" w:rsidR="006F675B" w:rsidRPr="00A91FE1" w:rsidRDefault="00951242">
      <w:pPr>
        <w:spacing w:line="360" w:lineRule="auto"/>
        <w:jc w:val="both"/>
        <w:rPr>
          <w:rFonts w:ascii="Palatino Linotype" w:eastAsia="Palatino Linotype" w:hAnsi="Palatino Linotype" w:cs="Palatino Linotype"/>
        </w:rPr>
      </w:pPr>
      <w:bookmarkStart w:id="11" w:name="_heading=h.3rdcrjn" w:colFirst="0" w:colLast="0"/>
      <w:bookmarkEnd w:id="11"/>
      <w:r w:rsidRPr="00A91FE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TRIGÉSIMO TERCERA SESIÓN ORDINARIA CELEBRADA EL CATORCE DE SEPTIEMBRE DE DOS MIL VEINTIDÓS, ANTE EL SECRETARIO TÉCNICO DEL PLENO ALEXIS TAPIA RAMÍREZ.</w:t>
      </w:r>
    </w:p>
    <w:p w14:paraId="68B6C60F" w14:textId="13B28370" w:rsidR="00A91FE1" w:rsidRPr="00A91FE1" w:rsidRDefault="00A91FE1">
      <w:pPr>
        <w:spacing w:line="360" w:lineRule="auto"/>
        <w:jc w:val="both"/>
        <w:rPr>
          <w:rFonts w:ascii="Palatino Linotype" w:eastAsia="Palatino Linotype" w:hAnsi="Palatino Linotype" w:cs="Palatino Linotype"/>
        </w:rPr>
      </w:pPr>
      <w:r w:rsidRPr="00A91FE1">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319DC37" wp14:editId="76663BC7">
                <wp:simplePos x="0" y="0"/>
                <wp:positionH relativeFrom="margin">
                  <wp:align>right</wp:align>
                </wp:positionH>
                <wp:positionV relativeFrom="paragraph">
                  <wp:posOffset>48261</wp:posOffset>
                </wp:positionV>
                <wp:extent cx="5505450" cy="159067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505450" cy="1590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91DB1D"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8pt" to="815.8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" strokecolor="black [3200]" strokeweight="2pt">
                <v:shadow on="t" color="black" opacity="24903f" origin=",.5" offset="0,.55556mm"/>
                <w10:wrap anchorx="margin"/>
              </v:line>
            </w:pict>
          </mc:Fallback>
        </mc:AlternateContent>
      </w:r>
    </w:p>
    <w:p w14:paraId="2B51A08C" w14:textId="55B173C0" w:rsidR="006F675B" w:rsidRPr="00A91FE1" w:rsidRDefault="006F675B">
      <w:pPr>
        <w:spacing w:line="360" w:lineRule="auto"/>
        <w:jc w:val="both"/>
        <w:rPr>
          <w:rFonts w:ascii="Palatino Linotype" w:eastAsia="Palatino Linotype" w:hAnsi="Palatino Linotype" w:cs="Palatino Linotype"/>
        </w:rPr>
      </w:pPr>
    </w:p>
    <w:p w14:paraId="7588DB85" w14:textId="77777777" w:rsidR="006F675B" w:rsidRPr="00A91FE1" w:rsidRDefault="006F675B">
      <w:pPr>
        <w:rPr>
          <w:rFonts w:ascii="Palatino Linotype" w:eastAsia="Palatino Linotype" w:hAnsi="Palatino Linotype" w:cs="Palatino Linotype"/>
        </w:rPr>
      </w:pPr>
      <w:bookmarkStart w:id="12" w:name="_GoBack"/>
      <w:bookmarkEnd w:id="12"/>
    </w:p>
    <w:p w14:paraId="1E5A7428" w14:textId="77777777" w:rsidR="006F675B" w:rsidRPr="00A91FE1" w:rsidRDefault="006F675B">
      <w:pPr>
        <w:spacing w:line="360" w:lineRule="auto"/>
        <w:jc w:val="both"/>
        <w:rPr>
          <w:rFonts w:ascii="Palatino Linotype" w:eastAsia="Palatino Linotype" w:hAnsi="Palatino Linotype" w:cs="Palatino Linotype"/>
        </w:rPr>
      </w:pPr>
    </w:p>
    <w:p w14:paraId="0F26D94F" w14:textId="77777777" w:rsidR="006F675B" w:rsidRPr="00A91FE1" w:rsidRDefault="006F675B">
      <w:pPr>
        <w:spacing w:line="360" w:lineRule="auto"/>
        <w:jc w:val="both"/>
        <w:rPr>
          <w:rFonts w:ascii="Palatino Linotype" w:eastAsia="Palatino Linotype" w:hAnsi="Palatino Linotype" w:cs="Palatino Linotype"/>
        </w:rPr>
      </w:pPr>
    </w:p>
    <w:p w14:paraId="606B56B5" w14:textId="77777777" w:rsidR="006F675B" w:rsidRPr="00A91FE1" w:rsidRDefault="006F675B">
      <w:pPr>
        <w:spacing w:line="360" w:lineRule="auto"/>
        <w:jc w:val="both"/>
        <w:rPr>
          <w:rFonts w:ascii="Palatino Linotype" w:eastAsia="Palatino Linotype" w:hAnsi="Palatino Linotype" w:cs="Palatino Linotype"/>
        </w:rPr>
      </w:pPr>
    </w:p>
    <w:p w14:paraId="10EA41A3" w14:textId="77777777" w:rsidR="006F675B" w:rsidRPr="00A91FE1" w:rsidRDefault="006F675B">
      <w:pPr>
        <w:spacing w:line="360" w:lineRule="auto"/>
        <w:jc w:val="both"/>
        <w:rPr>
          <w:rFonts w:ascii="Palatino Linotype" w:eastAsia="Palatino Linotype" w:hAnsi="Palatino Linotype" w:cs="Palatino Linotype"/>
        </w:rPr>
      </w:pPr>
    </w:p>
    <w:p w14:paraId="05E4C291" w14:textId="77777777" w:rsidR="006F675B" w:rsidRPr="00A91FE1" w:rsidRDefault="006F675B">
      <w:pPr>
        <w:spacing w:line="360" w:lineRule="auto"/>
        <w:jc w:val="both"/>
        <w:rPr>
          <w:rFonts w:ascii="Palatino Linotype" w:eastAsia="Palatino Linotype" w:hAnsi="Palatino Linotype" w:cs="Palatino Linotype"/>
        </w:rPr>
      </w:pPr>
    </w:p>
    <w:p w14:paraId="3408D891" w14:textId="77777777" w:rsidR="006F675B" w:rsidRPr="00A91FE1" w:rsidRDefault="006F675B">
      <w:pPr>
        <w:spacing w:line="360" w:lineRule="auto"/>
        <w:jc w:val="both"/>
        <w:rPr>
          <w:rFonts w:ascii="Palatino Linotype" w:eastAsia="Palatino Linotype" w:hAnsi="Palatino Linotype" w:cs="Palatino Linotype"/>
        </w:rPr>
      </w:pPr>
    </w:p>
    <w:p w14:paraId="52690CBD" w14:textId="77777777" w:rsidR="006F675B" w:rsidRPr="00A91FE1" w:rsidRDefault="006F675B">
      <w:pPr>
        <w:spacing w:line="360" w:lineRule="auto"/>
        <w:jc w:val="both"/>
        <w:rPr>
          <w:rFonts w:ascii="Palatino Linotype" w:eastAsia="Palatino Linotype" w:hAnsi="Palatino Linotype" w:cs="Palatino Linotype"/>
        </w:rPr>
      </w:pPr>
    </w:p>
    <w:p w14:paraId="231A953D" w14:textId="77777777" w:rsidR="006F675B" w:rsidRPr="00A91FE1" w:rsidRDefault="006F675B">
      <w:pPr>
        <w:spacing w:line="360" w:lineRule="auto"/>
        <w:jc w:val="both"/>
        <w:rPr>
          <w:rFonts w:ascii="Palatino Linotype" w:eastAsia="Palatino Linotype" w:hAnsi="Palatino Linotype" w:cs="Palatino Linotype"/>
        </w:rPr>
      </w:pPr>
    </w:p>
    <w:p w14:paraId="4DDC1230" w14:textId="77777777" w:rsidR="006F675B" w:rsidRPr="00A91FE1" w:rsidRDefault="006F675B">
      <w:pPr>
        <w:spacing w:line="360" w:lineRule="auto"/>
        <w:jc w:val="both"/>
        <w:rPr>
          <w:rFonts w:ascii="Palatino Linotype" w:eastAsia="Palatino Linotype" w:hAnsi="Palatino Linotype" w:cs="Palatino Linotype"/>
        </w:rPr>
      </w:pPr>
    </w:p>
    <w:p w14:paraId="0EB28ACA" w14:textId="77777777" w:rsidR="006F675B" w:rsidRPr="00A91FE1" w:rsidRDefault="006F675B">
      <w:pPr>
        <w:spacing w:line="360" w:lineRule="auto"/>
        <w:jc w:val="both"/>
        <w:rPr>
          <w:rFonts w:ascii="Palatino Linotype" w:eastAsia="Palatino Linotype" w:hAnsi="Palatino Linotype" w:cs="Palatino Linotype"/>
        </w:rPr>
      </w:pPr>
    </w:p>
    <w:p w14:paraId="72832891" w14:textId="77777777" w:rsidR="006F675B" w:rsidRPr="00A91FE1" w:rsidRDefault="006F675B">
      <w:pPr>
        <w:spacing w:line="360" w:lineRule="auto"/>
        <w:jc w:val="both"/>
        <w:rPr>
          <w:rFonts w:ascii="Palatino Linotype" w:eastAsia="Palatino Linotype" w:hAnsi="Palatino Linotype" w:cs="Palatino Linotype"/>
        </w:rPr>
      </w:pPr>
    </w:p>
    <w:p w14:paraId="2CB843EE" w14:textId="77777777" w:rsidR="006F675B" w:rsidRPr="00A91FE1" w:rsidRDefault="006F675B">
      <w:pPr>
        <w:spacing w:line="360" w:lineRule="auto"/>
        <w:jc w:val="both"/>
        <w:rPr>
          <w:rFonts w:ascii="Palatino Linotype" w:eastAsia="Palatino Linotype" w:hAnsi="Palatino Linotype" w:cs="Palatino Linotype"/>
        </w:rPr>
      </w:pPr>
    </w:p>
    <w:p w14:paraId="3412C1AD" w14:textId="77777777" w:rsidR="006F675B" w:rsidRPr="00A91FE1" w:rsidRDefault="006F675B">
      <w:pPr>
        <w:spacing w:line="360" w:lineRule="auto"/>
        <w:jc w:val="both"/>
        <w:rPr>
          <w:rFonts w:ascii="Palatino Linotype" w:eastAsia="Palatino Linotype" w:hAnsi="Palatino Linotype" w:cs="Palatino Linotype"/>
        </w:rPr>
      </w:pPr>
    </w:p>
    <w:p w14:paraId="4E9CD6E0" w14:textId="77777777" w:rsidR="006F675B" w:rsidRPr="00A91FE1" w:rsidRDefault="006F675B">
      <w:pPr>
        <w:spacing w:line="360" w:lineRule="auto"/>
        <w:jc w:val="both"/>
        <w:rPr>
          <w:rFonts w:ascii="Palatino Linotype" w:eastAsia="Palatino Linotype" w:hAnsi="Palatino Linotype" w:cs="Palatino Linotype"/>
        </w:rPr>
      </w:pPr>
    </w:p>
    <w:p w14:paraId="71EC1EB9" w14:textId="77777777" w:rsidR="006F675B" w:rsidRPr="00A91FE1" w:rsidRDefault="006F675B">
      <w:pPr>
        <w:spacing w:line="360" w:lineRule="auto"/>
        <w:jc w:val="both"/>
        <w:rPr>
          <w:rFonts w:ascii="Palatino Linotype" w:eastAsia="Palatino Linotype" w:hAnsi="Palatino Linotype" w:cs="Palatino Linotype"/>
        </w:rPr>
      </w:pPr>
    </w:p>
    <w:p w14:paraId="0A6386C3" w14:textId="77777777" w:rsidR="006F675B" w:rsidRPr="00A91FE1" w:rsidRDefault="006F675B">
      <w:pPr>
        <w:spacing w:line="360" w:lineRule="auto"/>
        <w:jc w:val="both"/>
        <w:rPr>
          <w:rFonts w:ascii="Palatino Linotype" w:eastAsia="Palatino Linotype" w:hAnsi="Palatino Linotype" w:cs="Palatino Linotype"/>
        </w:rPr>
      </w:pPr>
    </w:p>
    <w:p w14:paraId="27359B84" w14:textId="77777777" w:rsidR="006F675B" w:rsidRPr="00A91FE1" w:rsidRDefault="006F675B">
      <w:pPr>
        <w:spacing w:line="360" w:lineRule="auto"/>
        <w:jc w:val="both"/>
        <w:rPr>
          <w:rFonts w:ascii="Palatino Linotype" w:eastAsia="Palatino Linotype" w:hAnsi="Palatino Linotype" w:cs="Palatino Linotype"/>
        </w:rPr>
      </w:pPr>
    </w:p>
    <w:p w14:paraId="4E9BE507" w14:textId="77777777" w:rsidR="006F675B" w:rsidRPr="00A91FE1" w:rsidRDefault="006F675B">
      <w:pPr>
        <w:spacing w:line="360" w:lineRule="auto"/>
        <w:jc w:val="both"/>
        <w:rPr>
          <w:rFonts w:ascii="Palatino Linotype" w:eastAsia="Palatino Linotype" w:hAnsi="Palatino Linotype" w:cs="Palatino Linotype"/>
        </w:rPr>
      </w:pPr>
    </w:p>
    <w:p w14:paraId="4DAE21B9" w14:textId="77777777" w:rsidR="006F675B" w:rsidRPr="00A91FE1" w:rsidRDefault="006F675B">
      <w:pPr>
        <w:spacing w:line="360" w:lineRule="auto"/>
        <w:jc w:val="both"/>
        <w:rPr>
          <w:rFonts w:ascii="Palatino Linotype" w:eastAsia="Palatino Linotype" w:hAnsi="Palatino Linotype" w:cs="Palatino Linotype"/>
        </w:rPr>
      </w:pPr>
    </w:p>
    <w:p w14:paraId="2C508A6E" w14:textId="77777777" w:rsidR="006F675B" w:rsidRPr="00A91FE1" w:rsidRDefault="006F675B">
      <w:pPr>
        <w:spacing w:line="360" w:lineRule="auto"/>
        <w:jc w:val="both"/>
        <w:rPr>
          <w:rFonts w:ascii="Palatino Linotype" w:eastAsia="Palatino Linotype" w:hAnsi="Palatino Linotype" w:cs="Palatino Linotype"/>
        </w:rPr>
      </w:pPr>
    </w:p>
    <w:sectPr w:rsidR="006F675B" w:rsidRPr="00A91FE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044F4" w14:textId="77777777" w:rsidR="00450E0E" w:rsidRDefault="00450E0E">
      <w:r>
        <w:separator/>
      </w:r>
    </w:p>
  </w:endnote>
  <w:endnote w:type="continuationSeparator" w:id="0">
    <w:p w14:paraId="616272EA" w14:textId="77777777" w:rsidR="00450E0E" w:rsidRDefault="0045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B92A1" w14:textId="77777777" w:rsidR="006F675B" w:rsidRDefault="0095124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A1F21">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A1F21">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003507EE" w14:textId="77777777" w:rsidR="006F675B" w:rsidRDefault="006F675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BA62" w14:textId="77777777" w:rsidR="006F675B" w:rsidRDefault="0095124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A1F2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A1F21">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C18228F" w14:textId="77777777" w:rsidR="006F675B" w:rsidRDefault="006F675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F1DCE" w14:textId="77777777" w:rsidR="00450E0E" w:rsidRDefault="00450E0E">
      <w:r>
        <w:separator/>
      </w:r>
    </w:p>
  </w:footnote>
  <w:footnote w:type="continuationSeparator" w:id="0">
    <w:p w14:paraId="2EE06929" w14:textId="77777777" w:rsidR="00450E0E" w:rsidRDefault="00450E0E">
      <w:r>
        <w:continuationSeparator/>
      </w:r>
    </w:p>
  </w:footnote>
  <w:footnote w:id="1">
    <w:p w14:paraId="5E2948F5" w14:textId="77777777" w:rsidR="006F675B" w:rsidRDefault="00951242">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0E0B65E" w14:textId="77777777" w:rsidR="006F675B" w:rsidRDefault="0095124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77C12C68" w14:textId="77777777" w:rsidR="006F675B" w:rsidRDefault="00951242">
      <w:pPr>
        <w:ind w:right="49"/>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Artículo 53.</w:t>
      </w:r>
      <w:r>
        <w:rPr>
          <w:rFonts w:ascii="Palatino Linotype" w:eastAsia="Palatino Linotype" w:hAnsi="Palatino Linotype" w:cs="Palatino Linotype"/>
          <w:sz w:val="16"/>
          <w:szCs w:val="16"/>
        </w:rPr>
        <w:t xml:space="preserve"> Las </w:t>
      </w:r>
      <w:r>
        <w:rPr>
          <w:rFonts w:ascii="Palatino Linotype" w:eastAsia="Palatino Linotype" w:hAnsi="Palatino Linotype" w:cs="Palatino Linotype"/>
          <w:b/>
          <w:sz w:val="16"/>
          <w:szCs w:val="16"/>
        </w:rPr>
        <w:t>Unidades de Transparencia</w:t>
      </w:r>
      <w:r>
        <w:rPr>
          <w:rFonts w:ascii="Palatino Linotype" w:eastAsia="Palatino Linotype" w:hAnsi="Palatino Linotype" w:cs="Palatino Linotype"/>
          <w:sz w:val="16"/>
          <w:szCs w:val="16"/>
        </w:rPr>
        <w:t xml:space="preserve"> tendrán las siguientes funciones:</w:t>
      </w:r>
    </w:p>
    <w:p w14:paraId="48D18027" w14:textId="77777777" w:rsidR="006F675B" w:rsidRDefault="00951242">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sz w:val="16"/>
          <w:szCs w:val="16"/>
        </w:rPr>
        <w:t>II.</w:t>
      </w:r>
      <w:r>
        <w:rPr>
          <w:rFonts w:ascii="Palatino Linotype" w:eastAsia="Palatino Linotype" w:hAnsi="Palatino Linotype" w:cs="Palatino Linotype"/>
          <w:sz w:val="16"/>
          <w:szCs w:val="16"/>
        </w:rPr>
        <w:t xml:space="preserve"> Recibir, tramitar y dar respuesta a las solicitudes de acceso a la información;</w:t>
      </w:r>
    </w:p>
  </w:footnote>
  <w:footnote w:id="3">
    <w:p w14:paraId="282E2113" w14:textId="77777777" w:rsidR="006F675B" w:rsidRDefault="00951242">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w:t>
      </w:r>
      <w:r>
        <w:rPr>
          <w:rFonts w:ascii="Palatino Linotype" w:eastAsia="Palatino Linotype" w:hAnsi="Palatino Linotype" w:cs="Palatino Linotype"/>
          <w:b/>
          <w:color w:val="000000"/>
          <w:sz w:val="16"/>
          <w:szCs w:val="16"/>
        </w:rPr>
        <w:t>unidades de transparencia</w:t>
      </w:r>
      <w:r>
        <w:rPr>
          <w:rFonts w:ascii="Palatino Linotype" w:eastAsia="Palatino Linotype" w:hAnsi="Palatino Linotype" w:cs="Palatino Linotype"/>
          <w:color w:val="000000"/>
          <w:sz w:val="16"/>
          <w:szCs w:val="16"/>
        </w:rPr>
        <w:t xml:space="preserve"> deberán </w:t>
      </w:r>
      <w:r>
        <w:rPr>
          <w:rFonts w:ascii="Palatino Linotype" w:eastAsia="Palatino Linotype" w:hAnsi="Palatino Linotype" w:cs="Palatino Linotype"/>
          <w:b/>
          <w:color w:val="000000"/>
          <w:sz w:val="16"/>
          <w:szCs w:val="16"/>
        </w:rPr>
        <w:t>garantizar que las solicitudes se turnen a todas las Áreas competentes</w:t>
      </w:r>
      <w:r>
        <w:rPr>
          <w:rFonts w:ascii="Palatino Linotype" w:eastAsia="Palatino Linotype" w:hAnsi="Palatino Linotype" w:cs="Palatino Linotype"/>
          <w:color w:val="000000"/>
          <w:sz w:val="16"/>
          <w:szCs w:val="16"/>
        </w:rPr>
        <w:t xml:space="preserve"> que </w:t>
      </w:r>
      <w:r>
        <w:rPr>
          <w:rFonts w:ascii="Palatino Linotype" w:eastAsia="Palatino Linotype" w:hAnsi="Palatino Linotype" w:cs="Palatino Linotype"/>
          <w:b/>
          <w:color w:val="000000"/>
          <w:sz w:val="16"/>
          <w:szCs w:val="16"/>
        </w:rPr>
        <w:t>cuenten con la información o deban tenerla de acuerdo a sus facultades, competencias y funciones,</w:t>
      </w:r>
      <w:r>
        <w:rPr>
          <w:rFonts w:ascii="Palatino Linotype" w:eastAsia="Palatino Linotype" w:hAnsi="Palatino Linotype" w:cs="Palatino Linotype"/>
          <w:color w:val="000000"/>
          <w:sz w:val="16"/>
          <w:szCs w:val="16"/>
        </w:rPr>
        <w:t xml:space="preserve"> con el objeto de que realicen una </w:t>
      </w:r>
      <w:r>
        <w:rPr>
          <w:rFonts w:ascii="Palatino Linotype" w:eastAsia="Palatino Linotype" w:hAnsi="Palatino Linotype" w:cs="Palatino Linotype"/>
          <w:b/>
          <w:color w:val="000000"/>
          <w:sz w:val="16"/>
          <w:szCs w:val="16"/>
        </w:rPr>
        <w:t>búsqueda exhaustiva y razonable</w:t>
      </w:r>
      <w:r>
        <w:rPr>
          <w:rFonts w:ascii="Palatino Linotype" w:eastAsia="Palatino Linotype" w:hAnsi="Palatino Linotype" w:cs="Palatino Linotype"/>
          <w:color w:val="000000"/>
          <w:sz w:val="16"/>
          <w:szCs w:val="16"/>
        </w:rPr>
        <w:t xml:space="preserv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A34F7" w14:textId="77777777" w:rsidR="006F675B" w:rsidRDefault="00951242">
    <w:pPr>
      <w:rPr>
        <w:rFonts w:ascii="Cambria" w:eastAsia="Cambria" w:hAnsi="Cambria" w:cs="Cambria"/>
        <w:color w:val="000000"/>
      </w:rPr>
    </w:pPr>
    <w:r>
      <w:rPr>
        <w:noProof/>
      </w:rPr>
      <w:drawing>
        <wp:anchor distT="0" distB="0" distL="0" distR="0" simplePos="0" relativeHeight="251658240" behindDoc="1" locked="0" layoutInCell="1" hidden="0" allowOverlap="1" wp14:anchorId="5817A3DA" wp14:editId="1DF5B97D">
          <wp:simplePos x="0" y="0"/>
          <wp:positionH relativeFrom="column">
            <wp:posOffset>-1080124</wp:posOffset>
          </wp:positionH>
          <wp:positionV relativeFrom="paragraph">
            <wp:posOffset>-488303</wp:posOffset>
          </wp:positionV>
          <wp:extent cx="7809865" cy="10165715"/>
          <wp:effectExtent l="0" t="0" r="0" b="0"/>
          <wp:wrapNone/>
          <wp:docPr id="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0"/>
      <w:tblW w:w="5953" w:type="dxa"/>
      <w:tblInd w:w="3261" w:type="dxa"/>
      <w:tblLayout w:type="fixed"/>
      <w:tblLook w:val="0400" w:firstRow="0" w:lastRow="0" w:firstColumn="0" w:lastColumn="0" w:noHBand="0" w:noVBand="1"/>
    </w:tblPr>
    <w:tblGrid>
      <w:gridCol w:w="2489"/>
      <w:gridCol w:w="3464"/>
    </w:tblGrid>
    <w:tr w:rsidR="006F675B" w14:paraId="39E6FC69" w14:textId="77777777">
      <w:tc>
        <w:tcPr>
          <w:tcW w:w="2489" w:type="dxa"/>
          <w:shd w:val="clear" w:color="auto" w:fill="auto"/>
        </w:tcPr>
        <w:p w14:paraId="2C8EBD86" w14:textId="77777777" w:rsidR="006F675B" w:rsidRDefault="009512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B0996B1" w14:textId="77777777" w:rsidR="006F675B" w:rsidRDefault="0095124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07369/INFOEM/IP/RR/2022</w:t>
          </w:r>
        </w:p>
      </w:tc>
    </w:tr>
    <w:tr w:rsidR="006F675B" w14:paraId="3F9CAE43" w14:textId="77777777">
      <w:trPr>
        <w:trHeight w:val="228"/>
      </w:trPr>
      <w:tc>
        <w:tcPr>
          <w:tcW w:w="2489" w:type="dxa"/>
          <w:shd w:val="clear" w:color="auto" w:fill="auto"/>
          <w:vAlign w:val="center"/>
        </w:tcPr>
        <w:p w14:paraId="6D6E2893" w14:textId="77777777" w:rsidR="006F675B" w:rsidRDefault="009512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61786D7" w14:textId="77777777" w:rsidR="006F675B" w:rsidRDefault="0095124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6F675B" w14:paraId="0C4E1B8D" w14:textId="77777777">
      <w:tc>
        <w:tcPr>
          <w:tcW w:w="2489" w:type="dxa"/>
          <w:shd w:val="clear" w:color="auto" w:fill="auto"/>
          <w:vAlign w:val="center"/>
        </w:tcPr>
        <w:p w14:paraId="78D6171B" w14:textId="77777777" w:rsidR="006F675B" w:rsidRDefault="0095124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8414DAF" w14:textId="77777777" w:rsidR="006F675B" w:rsidRDefault="0095124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B83B60F" w14:textId="77777777" w:rsidR="006F675B" w:rsidRDefault="0095124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6D195" w14:textId="77777777" w:rsidR="006F675B" w:rsidRDefault="006F675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
      <w:tblW w:w="5670" w:type="dxa"/>
      <w:tblInd w:w="3261" w:type="dxa"/>
      <w:tblLayout w:type="fixed"/>
      <w:tblLook w:val="0400" w:firstRow="0" w:lastRow="0" w:firstColumn="0" w:lastColumn="0" w:noHBand="0" w:noVBand="1"/>
    </w:tblPr>
    <w:tblGrid>
      <w:gridCol w:w="2551"/>
      <w:gridCol w:w="3119"/>
    </w:tblGrid>
    <w:tr w:rsidR="006F675B" w14:paraId="6F21BAC7" w14:textId="77777777">
      <w:tc>
        <w:tcPr>
          <w:tcW w:w="2551" w:type="dxa"/>
          <w:shd w:val="clear" w:color="auto" w:fill="auto"/>
          <w:vAlign w:val="center"/>
        </w:tcPr>
        <w:p w14:paraId="62230957" w14:textId="77777777" w:rsidR="006F675B" w:rsidRDefault="009512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52A3435" w14:textId="77777777" w:rsidR="006F675B" w:rsidRDefault="0095124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07369/INFOEM/IP/RR/2022</w:t>
          </w:r>
        </w:p>
      </w:tc>
    </w:tr>
    <w:tr w:rsidR="006F675B" w14:paraId="3432908A" w14:textId="77777777">
      <w:trPr>
        <w:trHeight w:val="130"/>
      </w:trPr>
      <w:tc>
        <w:tcPr>
          <w:tcW w:w="2551" w:type="dxa"/>
          <w:shd w:val="clear" w:color="auto" w:fill="auto"/>
          <w:vAlign w:val="center"/>
        </w:tcPr>
        <w:p w14:paraId="7C07694A" w14:textId="77777777" w:rsidR="006F675B" w:rsidRDefault="009512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35F259B" w14:textId="77777777" w:rsidR="006F675B" w:rsidRDefault="006F675B">
          <w:pPr>
            <w:ind w:left="-45"/>
            <w:jc w:val="both"/>
            <w:rPr>
              <w:rFonts w:ascii="Palatino Linotype" w:eastAsia="Palatino Linotype" w:hAnsi="Palatino Linotype" w:cs="Palatino Linotype"/>
              <w:b/>
              <w:sz w:val="22"/>
              <w:szCs w:val="22"/>
            </w:rPr>
          </w:pPr>
        </w:p>
      </w:tc>
    </w:tr>
    <w:tr w:rsidR="006F675B" w14:paraId="4ED1242A" w14:textId="77777777">
      <w:trPr>
        <w:trHeight w:val="228"/>
      </w:trPr>
      <w:tc>
        <w:tcPr>
          <w:tcW w:w="2551" w:type="dxa"/>
          <w:shd w:val="clear" w:color="auto" w:fill="auto"/>
          <w:vAlign w:val="center"/>
        </w:tcPr>
        <w:p w14:paraId="12DFC0D2" w14:textId="77777777" w:rsidR="006F675B" w:rsidRDefault="009512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CF50518" w14:textId="77777777" w:rsidR="006F675B" w:rsidRDefault="0095124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6F675B" w14:paraId="5A01006F" w14:textId="77777777">
      <w:tc>
        <w:tcPr>
          <w:tcW w:w="2551" w:type="dxa"/>
          <w:shd w:val="clear" w:color="auto" w:fill="auto"/>
          <w:vAlign w:val="center"/>
        </w:tcPr>
        <w:p w14:paraId="48652CCF" w14:textId="77777777" w:rsidR="006F675B" w:rsidRDefault="009512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C74DAF6" w14:textId="77777777" w:rsidR="006F675B" w:rsidRDefault="0095124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37A7FE8" w14:textId="77777777" w:rsidR="006F675B" w:rsidRDefault="00951242">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76D9BB56" wp14:editId="19F4C4A9">
          <wp:simplePos x="0" y="0"/>
          <wp:positionH relativeFrom="column">
            <wp:posOffset>-1089649</wp:posOffset>
          </wp:positionH>
          <wp:positionV relativeFrom="paragraph">
            <wp:posOffset>-1169659</wp:posOffset>
          </wp:positionV>
          <wp:extent cx="7809865" cy="10165715"/>
          <wp:effectExtent l="0" t="0" r="0" b="0"/>
          <wp:wrapNone/>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90607F"/>
    <w:multiLevelType w:val="multilevel"/>
    <w:tmpl w:val="443070E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7B42659E"/>
    <w:multiLevelType w:val="multilevel"/>
    <w:tmpl w:val="5F408CA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5B"/>
    <w:rsid w:val="001A39FE"/>
    <w:rsid w:val="002A1F21"/>
    <w:rsid w:val="00450E0E"/>
    <w:rsid w:val="00693D4E"/>
    <w:rsid w:val="006F675B"/>
    <w:rsid w:val="00951242"/>
    <w:rsid w:val="009E7833"/>
    <w:rsid w:val="00A91FE1"/>
    <w:rsid w:val="00C56344"/>
    <w:rsid w:val="00E0312A"/>
    <w:rsid w:val="00E7173D"/>
    <w:rsid w:val="00EC74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F7D1"/>
  <w15:docId w15:val="{F34DB4BF-9F25-4C19-AB3A-0FB25B2A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4A25E0"/>
    <w:rPr>
      <w:color w:val="605E5C"/>
      <w:shd w:val="clear" w:color="auto" w:fill="E1DFDD"/>
    </w:rPr>
  </w:style>
  <w:style w:type="table" w:customStyle="1" w:styleId="a7">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RNer9brNvj9TvZxtSdBnDOyaRw==">AMUW2mVhEpw82qAFl/gRn2SEOtm+0h+86fvFxXVWoTo4+PgHGPs3pCJeIx4l1Qw3oen0pXGAEVQI/kgZuV3rHcqr34ALVGVfX97TWDIspPPnr4D6+Pu9v75WNVW0i0qUpp6ePm0jJG8cKqp3z+UJa98ivYs6leK9YmSRniRQOboqGaJnIocZkRd1pPYhrkrEBldB9XmBMBwBDDP408IZCcUhmektpf+D6hyESoShSyddEflNwUyubfzsRDzT/hWUoex+GgZbQAvTPn31ffsRhFNWEMqzWEg5dPaEsgx8jgIKTHbuWWrsa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6568</Words>
  <Characters>36127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2022-09-19T18:20:00Z</cp:lastPrinted>
  <dcterms:created xsi:type="dcterms:W3CDTF">2022-09-30T17:41:00Z</dcterms:created>
  <dcterms:modified xsi:type="dcterms:W3CDTF">2022-09-30T17:41:00Z</dcterms:modified>
</cp:coreProperties>
</file>