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445518" w14:textId="77777777" w:rsidR="004547C5" w:rsidRDefault="00A031B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Pr>
          <w:rFonts w:ascii="Palatino Linotype" w:eastAsia="Palatino Linotype" w:hAnsi="Palatino Linotype" w:cs="Palatino Linotype"/>
          <w:b/>
        </w:rPr>
        <w:t>quince de junio del dos mil veintidós</w:t>
      </w:r>
      <w:r>
        <w:rPr>
          <w:rFonts w:ascii="Palatino Linotype" w:eastAsia="Palatino Linotype" w:hAnsi="Palatino Linotype" w:cs="Palatino Linotype"/>
        </w:rPr>
        <w:t>.</w:t>
      </w:r>
    </w:p>
    <w:p w14:paraId="61812E51" w14:textId="77777777" w:rsidR="004547C5" w:rsidRDefault="00A031B9">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03709/INFOEM/IP/RR/2022</w:t>
      </w:r>
      <w:r>
        <w:rPr>
          <w:rFonts w:ascii="Palatino Linotype" w:eastAsia="Palatino Linotype" w:hAnsi="Palatino Linotype" w:cs="Palatino Linotype"/>
        </w:rPr>
        <w:t xml:space="preserve">, interpuesto por </w:t>
      </w:r>
      <w:r>
        <w:rPr>
          <w:rFonts w:ascii="Palatino Linotype" w:eastAsia="Palatino Linotype" w:hAnsi="Palatino Linotype" w:cs="Palatino Linotype"/>
          <w:b/>
        </w:rPr>
        <w:t>un particular de manera anónima</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en lo sucesivo</w:t>
      </w:r>
      <w:r>
        <w:rPr>
          <w:rFonts w:ascii="Palatino Linotype" w:eastAsia="Palatino Linotype" w:hAnsi="Palatino Linotype" w:cs="Palatino Linotype"/>
          <w:b/>
        </w:rPr>
        <w:t xml:space="preserve"> 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del </w:t>
      </w:r>
      <w:r>
        <w:rPr>
          <w:rFonts w:ascii="Palatino Linotype" w:eastAsia="Palatino Linotype" w:hAnsi="Palatino Linotype" w:cs="Palatino Linotype"/>
          <w:b/>
        </w:rPr>
        <w:t xml:space="preserve">Ayuntamiento de Metepec,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14:paraId="33DAC6E6" w14:textId="77777777" w:rsidR="004547C5" w:rsidRDefault="00A031B9">
      <w:pPr>
        <w:spacing w:before="240" w:after="240" w:line="360" w:lineRule="auto"/>
        <w:ind w:right="49"/>
        <w:jc w:val="center"/>
        <w:rPr>
          <w:rFonts w:ascii="Palatino Linotype" w:eastAsia="Palatino Linotype" w:hAnsi="Palatino Linotype" w:cs="Palatino Linotype"/>
          <w:b/>
          <w:sz w:val="28"/>
          <w:szCs w:val="28"/>
        </w:rPr>
      </w:pPr>
      <w:r>
        <w:rPr>
          <w:rFonts w:ascii="Palatino Linotype" w:eastAsia="Palatino Linotype" w:hAnsi="Palatino Linotype" w:cs="Palatino Linotype"/>
          <w:b/>
        </w:rPr>
        <w:t>A N T E C E D E N T E S</w:t>
      </w:r>
    </w:p>
    <w:p w14:paraId="6B0D277D" w14:textId="77777777" w:rsidR="004547C5" w:rsidRDefault="00A031B9">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doce de enero de dos mil veintidós, la</w:t>
      </w:r>
      <w:r>
        <w:rPr>
          <w:rFonts w:ascii="Palatino Linotype" w:eastAsia="Palatino Linotype" w:hAnsi="Palatino Linotype" w:cs="Palatino Linotype"/>
        </w:rPr>
        <w:t xml:space="preserve"> </w:t>
      </w:r>
      <w:r>
        <w:rPr>
          <w:rFonts w:ascii="Palatino Linotype" w:eastAsia="Palatino Linotype" w:hAnsi="Palatino Linotype" w:cs="Palatino Linotype"/>
          <w:b/>
        </w:rPr>
        <w:t>parte Recurrente</w:t>
      </w:r>
      <w:r>
        <w:rPr>
          <w:rFonts w:ascii="Palatino Linotype" w:eastAsia="Palatino Linotype" w:hAnsi="Palatino Linotype" w:cs="Palatino Linotype"/>
        </w:rPr>
        <w:t xml:space="preserve"> presentó a través del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 la solicitud de acceso a la información pública, a la que se le asignó el número</w:t>
      </w:r>
      <w:r>
        <w:rPr>
          <w:rFonts w:ascii="Palatino Linotype" w:eastAsia="Palatino Linotype" w:hAnsi="Palatino Linotype" w:cs="Palatino Linotype"/>
          <w:b/>
        </w:rPr>
        <w:t xml:space="preserve">  00837/METEPEC/IP/2022, </w:t>
      </w:r>
      <w:r>
        <w:rPr>
          <w:rFonts w:ascii="Palatino Linotype" w:eastAsia="Palatino Linotype" w:hAnsi="Palatino Linotype" w:cs="Palatino Linotype"/>
        </w:rPr>
        <w:t xml:space="preserve">mediante la cual requirió la información siguiente: </w:t>
      </w:r>
    </w:p>
    <w:p w14:paraId="72B0E09E" w14:textId="77777777" w:rsidR="004547C5" w:rsidRDefault="00A031B9">
      <w:pPr>
        <w:spacing w:before="240" w:after="240"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 “Se solicitan </w:t>
      </w:r>
      <w:r>
        <w:rPr>
          <w:rFonts w:ascii="Palatino Linotype" w:eastAsia="Palatino Linotype" w:hAnsi="Palatino Linotype" w:cs="Palatino Linotype"/>
          <w:b/>
          <w:i/>
          <w:sz w:val="22"/>
          <w:szCs w:val="22"/>
          <w:u w:val="single"/>
        </w:rPr>
        <w:t>los documentos que den cuenta de Elaborar las propuestas para la actualización o modificación de tablas de valores unitarios de suelo y construcción de conformidad con la normatividad establecida para tal efecto para su posterior aprobación del Ayuntamiento a cargo de la tesorería municipal de lo que va del 2022.</w:t>
      </w:r>
      <w:r>
        <w:rPr>
          <w:rFonts w:ascii="Palatino Linotype" w:eastAsia="Palatino Linotype" w:hAnsi="Palatino Linotype" w:cs="Palatino Linotype"/>
          <w:i/>
          <w:sz w:val="22"/>
          <w:szCs w:val="22"/>
        </w:rPr>
        <w:t>” (Sic) (Énfasis añadido)</w:t>
      </w:r>
    </w:p>
    <w:p w14:paraId="06A5F122" w14:textId="77777777" w:rsidR="004547C5" w:rsidRDefault="00A031B9">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Modalidad de Entrega de la información:</w:t>
      </w:r>
      <w:r>
        <w:rPr>
          <w:rFonts w:ascii="Palatino Linotype" w:eastAsia="Palatino Linotype" w:hAnsi="Palatino Linotype" w:cs="Palatino Linotype"/>
        </w:rPr>
        <w:t xml:space="preserve"> A través del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w:t>
      </w:r>
    </w:p>
    <w:p w14:paraId="27204FD6" w14:textId="77777777" w:rsidR="004547C5" w:rsidRDefault="00A031B9">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2. Prórroga</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uno de febrero de dos mil veintidós</w:t>
      </w:r>
      <w:r>
        <w:rPr>
          <w:rFonts w:ascii="Palatino Linotype" w:eastAsia="Palatino Linotype" w:hAnsi="Palatino Linotype" w:cs="Palatino Linotype"/>
        </w:rPr>
        <w:t xml:space="preserve">, el Sujeto Obligado notificó la prórroga para atender la solicitud de información, medularmente en los siguientes términos: </w:t>
      </w:r>
    </w:p>
    <w:p w14:paraId="1DA39E36" w14:textId="77777777" w:rsidR="004547C5" w:rsidRDefault="00A031B9">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28F92C73" w14:textId="77777777" w:rsidR="004547C5" w:rsidRDefault="00A031B9">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METEPEC, ESTADO DE MEXICO, ENERO DEL AÑO 2022. ASUNTO: EL QUE SE INDICA A QUIEN CORRESPONDA P R E S E N T E. Por medio de este conducto y con fundamento en lo dispuesto por los artículos 53, fracción VI y 163 de la Ley de Transparencia y Acceso a la Información Pública del Estado de México y Municipios, me permito notificarle la ampliación del plazo por siete días más, aprobado por el comité de transparencia del Ayuntamiento de Metepec, Estado de México, mediante la primera sesión extraordinaria de fecha 21 de enero de 2022 Por lo anterior, se adjunta el acta del comité No CT/MET/1RASE/2022. Sin más por el momento quedo a sus órdenes. ATENTAMENTE GERARDO ARTURO OZUNA MARTÍNEZ JEFE DE LA UNIDAD DE TRANSPARENCIA</w:t>
      </w:r>
    </w:p>
    <w:p w14:paraId="7A2AFF68" w14:textId="77777777" w:rsidR="004547C5" w:rsidRDefault="00A031B9">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Lic. Gerardo Arturo Ozuna Martínez</w:t>
      </w:r>
    </w:p>
    <w:p w14:paraId="5E952B7F" w14:textId="77777777" w:rsidR="004547C5" w:rsidRDefault="00A031B9">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Responsable de la Unidad de Transparencia”</w:t>
      </w:r>
    </w:p>
    <w:p w14:paraId="1BB28493" w14:textId="77777777" w:rsidR="004547C5" w:rsidRDefault="00A031B9">
      <w:pPr>
        <w:spacing w:before="240" w:after="240"/>
        <w:ind w:left="567" w:right="85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Archivo adjunto: </w:t>
      </w:r>
    </w:p>
    <w:p w14:paraId="2A94C249" w14:textId="77777777" w:rsidR="004547C5" w:rsidRDefault="00A031B9">
      <w:pPr>
        <w:spacing w:before="240" w:after="240" w:line="360" w:lineRule="auto"/>
        <w:ind w:left="567" w:right="851"/>
        <w:jc w:val="both"/>
        <w:rPr>
          <w:rFonts w:ascii="Palatino Linotype" w:eastAsia="Palatino Linotype" w:hAnsi="Palatino Linotype" w:cs="Palatino Linotype"/>
        </w:rPr>
      </w:pPr>
      <w:r>
        <w:rPr>
          <w:rFonts w:ascii="Palatino Linotype" w:eastAsia="Palatino Linotype" w:hAnsi="Palatino Linotype" w:cs="Palatino Linotype"/>
          <w:b/>
          <w:i/>
        </w:rPr>
        <w:t xml:space="preserve">“acta primera sesion extraordinaria.pdf”: </w:t>
      </w:r>
      <w:r>
        <w:rPr>
          <w:rFonts w:ascii="Palatino Linotype" w:eastAsia="Palatino Linotype" w:hAnsi="Palatino Linotype" w:cs="Palatino Linotype"/>
        </w:rPr>
        <w:t>Consistente de diecisiete fojas en la que se aprecia el Acta de la Primera Sesión Extraordinaria del Comité de Transparencia, la cual se celebró el veintiuno de enero de dos mil veintidós y tuvo por objeto aprobar la prórroga para atender diversas solicitudes de información, entre ellas, la que recayó al presente recurso de revisión.</w:t>
      </w:r>
    </w:p>
    <w:p w14:paraId="27EE3DEB" w14:textId="77777777" w:rsidR="004547C5" w:rsidRDefault="00A031B9">
      <w:pPr>
        <w:spacing w:before="240" w:after="240" w:line="360" w:lineRule="auto"/>
        <w:ind w:left="567" w:right="851"/>
        <w:jc w:val="both"/>
        <w:rPr>
          <w:rFonts w:ascii="Palatino Linotype" w:eastAsia="Palatino Linotype" w:hAnsi="Palatino Linotype" w:cs="Palatino Linotype"/>
          <w:sz w:val="22"/>
          <w:szCs w:val="22"/>
        </w:rPr>
      </w:pPr>
      <w:r>
        <w:object w:dxaOrig="7335" w:dyaOrig="11370" w14:anchorId="6D30C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45pt;height:568.7pt" o:ole="">
            <v:imagedata r:id="rId8" o:title=""/>
          </v:shape>
          <o:OLEObject Type="Embed" ProgID="Paint.Picture" ShapeID="_x0000_i1025" DrawAspect="Content" ObjectID="_1716897945" r:id="rId9"/>
        </w:object>
      </w:r>
      <w:r>
        <w:t xml:space="preserve"> </w:t>
      </w:r>
      <w:r>
        <w:object w:dxaOrig="8370" w:dyaOrig="10950" w14:anchorId="0254A5FF">
          <v:shape id="_x0000_i1026" type="#_x0000_t75" style="width:418.25pt;height:547.7pt" o:ole="">
            <v:imagedata r:id="rId10" o:title=""/>
          </v:shape>
          <o:OLEObject Type="Embed" ProgID="Paint.Picture" ShapeID="_x0000_i1026" DrawAspect="Content" ObjectID="_1716897946" r:id="rId11"/>
        </w:object>
      </w:r>
    </w:p>
    <w:p w14:paraId="79CA1A36" w14:textId="77777777" w:rsidR="004547C5" w:rsidRDefault="00A031B9">
      <w:pPr>
        <w:spacing w:before="240" w:after="240"/>
        <w:ind w:left="567" w:right="851"/>
        <w:jc w:val="both"/>
        <w:rPr>
          <w:rFonts w:ascii="Palatino Linotype" w:eastAsia="Palatino Linotype" w:hAnsi="Palatino Linotype" w:cs="Palatino Linotype"/>
          <w:sz w:val="22"/>
          <w:szCs w:val="22"/>
        </w:rPr>
      </w:pPr>
      <w:r>
        <w:object w:dxaOrig="8220" w:dyaOrig="10800" w14:anchorId="0470D86B">
          <v:shape id="_x0000_i1027" type="#_x0000_t75" style="width:410.95pt;height:540.4pt" o:ole="">
            <v:imagedata r:id="rId12" o:title=""/>
          </v:shape>
          <o:OLEObject Type="Embed" ProgID="Paint.Picture" ShapeID="_x0000_i1027" DrawAspect="Content" ObjectID="_1716897947" r:id="rId13"/>
        </w:object>
      </w:r>
      <w:r>
        <w:rPr>
          <w:noProof/>
          <w:lang w:val="es-MX"/>
        </w:rPr>
        <mc:AlternateContent>
          <mc:Choice Requires="wpg">
            <w:drawing>
              <wp:anchor distT="0" distB="0" distL="114300" distR="114300" simplePos="0" relativeHeight="251658240" behindDoc="0" locked="0" layoutInCell="1" hidden="0" allowOverlap="1" wp14:anchorId="782B3DDD" wp14:editId="2DF13293">
                <wp:simplePos x="0" y="0"/>
                <wp:positionH relativeFrom="column">
                  <wp:posOffset>444500</wp:posOffset>
                </wp:positionH>
                <wp:positionV relativeFrom="paragraph">
                  <wp:posOffset>6565900</wp:posOffset>
                </wp:positionV>
                <wp:extent cx="1362075" cy="171450"/>
                <wp:effectExtent l="0" t="0" r="0" b="0"/>
                <wp:wrapNone/>
                <wp:docPr id="83" name="Rectángulo 83"/>
                <wp:cNvGraphicFramePr/>
                <a:graphic xmlns:a="http://schemas.openxmlformats.org/drawingml/2006/main">
                  <a:graphicData uri="http://schemas.microsoft.com/office/word/2010/wordprocessingShape">
                    <wps:wsp>
                      <wps:cNvSpPr/>
                      <wps:spPr>
                        <a:xfrm>
                          <a:off x="4679250" y="3708563"/>
                          <a:ext cx="1333500" cy="142875"/>
                        </a:xfrm>
                        <a:prstGeom prst="rect">
                          <a:avLst/>
                        </a:prstGeom>
                        <a:noFill/>
                        <a:ln w="28575" cap="flat" cmpd="sng">
                          <a:solidFill>
                            <a:srgbClr val="002060"/>
                          </a:solidFill>
                          <a:prstDash val="solid"/>
                          <a:round/>
                          <a:headEnd type="none" w="sm" len="sm"/>
                          <a:tailEnd type="none" w="sm" len="sm"/>
                        </a:ln>
                      </wps:spPr>
                      <wps:txbx>
                        <w:txbxContent>
                          <w:p w14:paraId="66ECCB3F" w14:textId="77777777" w:rsidR="004547C5" w:rsidRDefault="004547C5">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444500</wp:posOffset>
                </wp:positionH>
                <wp:positionV relativeFrom="paragraph">
                  <wp:posOffset>6565900</wp:posOffset>
                </wp:positionV>
                <wp:extent cx="1362075" cy="171450"/>
                <wp:effectExtent b="0" l="0" r="0" t="0"/>
                <wp:wrapNone/>
                <wp:docPr id="83" name="image11.png"/>
                <a:graphic>
                  <a:graphicData uri="http://schemas.openxmlformats.org/drawingml/2006/picture">
                    <pic:pic>
                      <pic:nvPicPr>
                        <pic:cNvPr id="0" name="image11.png"/>
                        <pic:cNvPicPr preferRelativeResize="0"/>
                      </pic:nvPicPr>
                      <pic:blipFill>
                        <a:blip r:embed="rId14"/>
                        <a:srcRect/>
                        <a:stretch>
                          <a:fillRect/>
                        </a:stretch>
                      </pic:blipFill>
                      <pic:spPr>
                        <a:xfrm>
                          <a:off x="0" y="0"/>
                          <a:ext cx="1362075" cy="171450"/>
                        </a:xfrm>
                        <a:prstGeom prst="rect"/>
                        <a:ln/>
                      </pic:spPr>
                    </pic:pic>
                  </a:graphicData>
                </a:graphic>
              </wp:anchor>
            </w:drawing>
          </mc:Fallback>
        </mc:AlternateContent>
      </w:r>
    </w:p>
    <w:p w14:paraId="595C9283" w14:textId="77777777" w:rsidR="004547C5" w:rsidRDefault="00A031B9">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3. Respuesta a la solicitud de información. </w:t>
      </w:r>
      <w:r>
        <w:rPr>
          <w:rFonts w:ascii="Palatino Linotype" w:eastAsia="Palatino Linotype" w:hAnsi="Palatino Linotype" w:cs="Palatino Linotype"/>
        </w:rPr>
        <w:t>En fecha</w:t>
      </w:r>
      <w:r>
        <w:rPr>
          <w:rFonts w:ascii="Palatino Linotype" w:eastAsia="Palatino Linotype" w:hAnsi="Palatino Linotype" w:cs="Palatino Linotype"/>
          <w:b/>
        </w:rPr>
        <w:t xml:space="preserve"> dieciséis de febrero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 través del SAIMEX notificó la respuesta a la solicitud de información sustancialmente en los siguientes términos: </w:t>
      </w:r>
    </w:p>
    <w:p w14:paraId="4F6D8009" w14:textId="77777777" w:rsidR="004547C5" w:rsidRDefault="00A031B9">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6D5A7F2" w14:textId="77777777" w:rsidR="004547C5" w:rsidRDefault="00A031B9">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 SOLICITANTE P R E S E N T E. En respuesta a la solicitud número 00837/METEPEC/IP/2022,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se anexa la respuesta del Servidor Público habilitado. Lo anterior con fundamento en lo establecido por los artículos 12, 18, 19, 53 fracción VI, 160 y 162 de la Ley de Transparencia y Acceso a la Información Pública del Estado de México. Sin más por el momento, me despido de usted, reiterando estar a sus órdenes. ATENTAMENTE Lic. Gerardo Arturo Ozuna Martínez Titular de la Unidad de Transparencia</w:t>
      </w:r>
    </w:p>
    <w:p w14:paraId="3D98BE1D" w14:textId="77777777" w:rsidR="004547C5" w:rsidRDefault="00A031B9">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14:paraId="27C23827" w14:textId="77777777" w:rsidR="004547C5" w:rsidRDefault="00A031B9">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Lic. Gerardo Arturo Ozuna Martínez”</w:t>
      </w:r>
    </w:p>
    <w:p w14:paraId="60F0ECEF" w14:textId="77777777" w:rsidR="004547C5" w:rsidRDefault="00A031B9">
      <w:pPr>
        <w:spacing w:before="240" w:after="240" w:line="360" w:lineRule="auto"/>
        <w:ind w:right="900"/>
        <w:jc w:val="both"/>
        <w:rPr>
          <w:rFonts w:ascii="Palatino Linotype" w:eastAsia="Palatino Linotype" w:hAnsi="Palatino Linotype" w:cs="Palatino Linotype"/>
          <w:b/>
          <w:color w:val="000000"/>
        </w:rPr>
      </w:pPr>
      <w:r>
        <w:rPr>
          <w:rFonts w:ascii="Palatino Linotype" w:eastAsia="Palatino Linotype" w:hAnsi="Palatino Linotype" w:cs="Palatino Linotype"/>
          <w:b/>
        </w:rPr>
        <w:t>El Sujeto Obligado adjuntó a su respuesta el a</w:t>
      </w:r>
      <w:r>
        <w:rPr>
          <w:rFonts w:ascii="Palatino Linotype" w:eastAsia="Palatino Linotype" w:hAnsi="Palatino Linotype" w:cs="Palatino Linotype"/>
          <w:b/>
          <w:color w:val="000000"/>
        </w:rPr>
        <w:t xml:space="preserve">rchivo electrónico siguiente: </w:t>
      </w:r>
    </w:p>
    <w:p w14:paraId="15BE7294" w14:textId="77777777" w:rsidR="004547C5" w:rsidRDefault="00A031B9">
      <w:pPr>
        <w:spacing w:before="240" w:after="240" w:line="360" w:lineRule="auto"/>
        <w:ind w:left="567" w:right="900"/>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 xml:space="preserve">“837-UT.pdf”: </w:t>
      </w:r>
      <w:r>
        <w:rPr>
          <w:rFonts w:ascii="Palatino Linotype" w:eastAsia="Palatino Linotype" w:hAnsi="Palatino Linotype" w:cs="Palatino Linotype"/>
          <w:color w:val="000000"/>
        </w:rPr>
        <w:t xml:space="preserve">Documento de una foja, consistente en el oficio TM/0387/2022, mediante el cual, el Tesorero Municipal remite su </w:t>
      </w:r>
      <w:r>
        <w:rPr>
          <w:rFonts w:ascii="Palatino Linotype" w:eastAsia="Palatino Linotype" w:hAnsi="Palatino Linotype" w:cs="Palatino Linotype"/>
          <w:color w:val="000000"/>
        </w:rPr>
        <w:lastRenderedPageBreak/>
        <w:t xml:space="preserve">respuesta a la solicitud de información, medularmente en los términos siguientes: </w:t>
      </w:r>
    </w:p>
    <w:p w14:paraId="463E64DE" w14:textId="77777777" w:rsidR="004547C5" w:rsidRDefault="00A031B9">
      <w:pPr>
        <w:spacing w:before="240" w:after="240" w:line="360" w:lineRule="auto"/>
        <w:ind w:left="567" w:right="900"/>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drawing>
          <wp:inline distT="0" distB="0" distL="0" distR="0" wp14:anchorId="192E004E" wp14:editId="14CE6E14">
            <wp:extent cx="4412232" cy="6185610"/>
            <wp:effectExtent l="0" t="0" r="0" b="0"/>
            <wp:docPr id="8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4412232" cy="6185610"/>
                    </a:xfrm>
                    <a:prstGeom prst="rect">
                      <a:avLst/>
                    </a:prstGeom>
                    <a:ln/>
                  </pic:spPr>
                </pic:pic>
              </a:graphicData>
            </a:graphic>
          </wp:inline>
        </w:drawing>
      </w:r>
    </w:p>
    <w:p w14:paraId="62B06EF7" w14:textId="77777777" w:rsidR="004547C5" w:rsidRDefault="00A031B9">
      <w:pPr>
        <w:spacing w:before="240" w:after="240" w:line="360" w:lineRule="auto"/>
        <w:jc w:val="both"/>
        <w:rPr>
          <w:rFonts w:ascii="Palatino Linotype" w:eastAsia="Palatino Linotype" w:hAnsi="Palatino Linotype" w:cs="Palatino Linotype"/>
          <w:b/>
          <w:i/>
          <w:color w:val="000000"/>
        </w:rPr>
      </w:pPr>
      <w:r>
        <w:rPr>
          <w:rFonts w:ascii="Palatino Linotype" w:eastAsia="Palatino Linotype" w:hAnsi="Palatino Linotype" w:cs="Palatino Linotype"/>
          <w:b/>
        </w:rPr>
        <w:lastRenderedPageBreak/>
        <w:t xml:space="preserve">4. Interposición del recurso de revisión. </w:t>
      </w:r>
      <w:r>
        <w:rPr>
          <w:rFonts w:ascii="Palatino Linotype" w:eastAsia="Palatino Linotype" w:hAnsi="Palatino Linotype" w:cs="Palatino Linotype"/>
        </w:rPr>
        <w:t xml:space="preserve">Inconforme con la respuesta,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interpuso el recurso de revisión materia del presente estudio el día </w:t>
      </w:r>
      <w:r>
        <w:rPr>
          <w:rFonts w:ascii="Palatino Linotype" w:eastAsia="Palatino Linotype" w:hAnsi="Palatino Linotype" w:cs="Palatino Linotype"/>
          <w:b/>
        </w:rPr>
        <w:t>diez de marzo de dos mil veintidós</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el que expresó lo siguiente: </w:t>
      </w:r>
    </w:p>
    <w:p w14:paraId="259DDD2A" w14:textId="77777777" w:rsidR="004547C5" w:rsidRDefault="00A031B9">
      <w:pPr>
        <w:spacing w:before="240" w:after="240" w:line="360" w:lineRule="auto"/>
        <w:ind w:left="567" w:right="567"/>
        <w:jc w:val="both"/>
        <w:rPr>
          <w:rFonts w:ascii="Palatino Linotype" w:eastAsia="Palatino Linotype" w:hAnsi="Palatino Linotype" w:cs="Palatino Linotype"/>
        </w:rPr>
      </w:pPr>
      <w:r>
        <w:rPr>
          <w:rFonts w:ascii="Palatino Linotype" w:eastAsia="Palatino Linotype" w:hAnsi="Palatino Linotype" w:cs="Palatino Linotype"/>
          <w:b/>
        </w:rPr>
        <w:t xml:space="preserve">a) Acto impugnado: </w:t>
      </w:r>
    </w:p>
    <w:p w14:paraId="343A4929" w14:textId="77777777" w:rsidR="004547C5" w:rsidRDefault="00A031B9">
      <w:pPr>
        <w:spacing w:before="240" w:after="240" w:line="360"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respuesta proporcionada por el Sujeto Obligado.” (Sic)</w:t>
      </w:r>
    </w:p>
    <w:p w14:paraId="3B156683" w14:textId="77777777" w:rsidR="004547C5" w:rsidRDefault="00A031B9">
      <w:pPr>
        <w:spacing w:before="240" w:after="240" w:line="360" w:lineRule="auto"/>
        <w:ind w:left="567" w:right="851"/>
        <w:jc w:val="both"/>
        <w:rPr>
          <w:rFonts w:ascii="Palatino Linotype" w:eastAsia="Palatino Linotype" w:hAnsi="Palatino Linotype" w:cs="Palatino Linotype"/>
        </w:rPr>
      </w:pPr>
      <w:r>
        <w:rPr>
          <w:rFonts w:ascii="Palatino Linotype" w:eastAsia="Palatino Linotype" w:hAnsi="Palatino Linotype" w:cs="Palatino Linotype"/>
          <w:b/>
        </w:rPr>
        <w:t>b) Razones o motivos de inconformidad</w:t>
      </w:r>
      <w:r>
        <w:rPr>
          <w:rFonts w:ascii="Palatino Linotype" w:eastAsia="Palatino Linotype" w:hAnsi="Palatino Linotype" w:cs="Palatino Linotype"/>
        </w:rPr>
        <w:t xml:space="preserve">: </w:t>
      </w:r>
    </w:p>
    <w:p w14:paraId="3F0A8768" w14:textId="77777777" w:rsidR="004547C5" w:rsidRDefault="00A031B9">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w:t>
      </w:r>
      <w:r>
        <w:rPr>
          <w:rFonts w:ascii="Palatino Linotype" w:eastAsia="Palatino Linotype" w:hAnsi="Palatino Linotype" w:cs="Palatino Linotype"/>
          <w:i/>
          <w:sz w:val="22"/>
          <w:szCs w:val="22"/>
        </w:rPr>
        <w:lastRenderedPageBreak/>
        <w:t>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 (Sic) (Énfasis añadido)</w:t>
      </w:r>
    </w:p>
    <w:p w14:paraId="11F97621" w14:textId="77777777" w:rsidR="004547C5" w:rsidRDefault="00A031B9">
      <w:pPr>
        <w:widowControl w:val="0"/>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5. Turno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Pr>
          <w:rFonts w:ascii="Palatino Linotype" w:eastAsia="Palatino Linotype" w:hAnsi="Palatino Linotype" w:cs="Palatino Linotype"/>
          <w:b/>
        </w:rPr>
        <w:t>Comisionada</w:t>
      </w:r>
      <w:r>
        <w:rPr>
          <w:rFonts w:ascii="Palatino Linotype" w:eastAsia="Palatino Linotype" w:hAnsi="Palatino Linotype" w:cs="Palatino Linotype"/>
        </w:rPr>
        <w:t xml:space="preserve"> </w:t>
      </w:r>
      <w:r>
        <w:rPr>
          <w:rFonts w:ascii="Palatino Linotype" w:eastAsia="Palatino Linotype" w:hAnsi="Palatino Linotype" w:cs="Palatino Linotype"/>
          <w:b/>
        </w:rPr>
        <w:t>Guadalupe Ramírez Peña</w:t>
      </w:r>
      <w:r>
        <w:rPr>
          <w:rFonts w:ascii="Palatino Linotype" w:eastAsia="Palatino Linotype" w:hAnsi="Palatino Linotype" w:cs="Palatino Linotype"/>
        </w:rPr>
        <w:t xml:space="preserve"> para su análisis, estudio, elaboración del proyecto y presentación ante el Pleno de este Instituto.</w:t>
      </w:r>
    </w:p>
    <w:p w14:paraId="2A357F32" w14:textId="77777777" w:rsidR="004547C5" w:rsidRDefault="00A031B9">
      <w:pPr>
        <w:widowControl w:val="0"/>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6.</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w:t>
      </w:r>
      <w:r>
        <w:rPr>
          <w:rFonts w:ascii="Palatino Linotype" w:eastAsia="Palatino Linotype" w:hAnsi="Palatino Linotype" w:cs="Palatino Linotype"/>
        </w:rPr>
        <w:t xml:space="preserve"> El día</w:t>
      </w:r>
      <w:r>
        <w:rPr>
          <w:rFonts w:ascii="Palatino Linotype" w:eastAsia="Palatino Linotype" w:hAnsi="Palatino Linotype" w:cs="Palatino Linotype"/>
          <w:b/>
        </w:rPr>
        <w:t xml:space="preserve"> dieciséis de marzo de dos mil veintidós </w:t>
      </w:r>
      <w:r>
        <w:rPr>
          <w:rFonts w:ascii="Palatino Linotype" w:eastAsia="Palatino Linotype" w:hAnsi="Palatino Linotype" w:cs="Palatino Linotype"/>
        </w:rPr>
        <w:t>se admitió a trámite el presente recurso de revisión a efecto de integrar el expediente respectivo; fue puesto a disposición de las partes por siete días hábiles para que ofrecieran pruebas y manifestaran lo que a su derecho convenga.</w:t>
      </w:r>
    </w:p>
    <w:p w14:paraId="615D6546" w14:textId="77777777" w:rsidR="004547C5" w:rsidRDefault="00A031B9">
      <w:pPr>
        <w:widowControl w:val="0"/>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7. Manifestaciones</w:t>
      </w:r>
      <w:r>
        <w:rPr>
          <w:rFonts w:ascii="Palatino Linotype" w:eastAsia="Palatino Linotype" w:hAnsi="Palatino Linotype" w:cs="Palatino Linotype"/>
        </w:rPr>
        <w:t xml:space="preserve">. De constancias del expediente electrónico del SAIMEX, se observa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fue omiso en rendir su informe justificado</w:t>
      </w:r>
      <w:r>
        <w:rPr>
          <w:rFonts w:ascii="Palatino Linotype" w:eastAsia="Palatino Linotype" w:hAnsi="Palatino Linotype" w:cs="Palatino Linotype"/>
          <w:b/>
        </w:rPr>
        <w:t>,</w:t>
      </w:r>
      <w:r>
        <w:rPr>
          <w:rFonts w:ascii="Palatino Linotype" w:eastAsia="Palatino Linotype" w:hAnsi="Palatino Linotype" w:cs="Palatino Linotype"/>
        </w:rPr>
        <w:t xml:space="preserve"> asimismo por cuanto hace al particular, se tiene que no emitió alegatos o pronunciamiento alguno, por lo que se tiene por precluido su derecho para tal efecto.</w:t>
      </w:r>
    </w:p>
    <w:p w14:paraId="57030C8A" w14:textId="77777777" w:rsidR="004547C5" w:rsidRDefault="00A031B9">
      <w:pPr>
        <w:spacing w:before="240" w:after="240" w:line="360" w:lineRule="auto"/>
        <w:ind w:right="49"/>
        <w:jc w:val="both"/>
      </w:pPr>
      <w:r>
        <w:rPr>
          <w:noProof/>
          <w:lang w:val="es-MX"/>
        </w:rPr>
        <w:drawing>
          <wp:inline distT="0" distB="0" distL="0" distR="0" wp14:anchorId="4E61C284" wp14:editId="17702636">
            <wp:extent cx="5572125" cy="857250"/>
            <wp:effectExtent l="0" t="0" r="0" b="0"/>
            <wp:docPr id="8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5572125" cy="857250"/>
                    </a:xfrm>
                    <a:prstGeom prst="rect">
                      <a:avLst/>
                    </a:prstGeom>
                    <a:ln/>
                  </pic:spPr>
                </pic:pic>
              </a:graphicData>
            </a:graphic>
          </wp:inline>
        </w:drawing>
      </w:r>
    </w:p>
    <w:p w14:paraId="2B04E95E" w14:textId="77777777" w:rsidR="004547C5" w:rsidRDefault="00A031B9">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8.- Ampliación del plazo para emitir resolución.</w:t>
      </w:r>
      <w:r>
        <w:rPr>
          <w:rFonts w:ascii="Palatino Linotype" w:eastAsia="Palatino Linotype" w:hAnsi="Palatino Linotype" w:cs="Palatino Linotype"/>
        </w:rPr>
        <w:t xml:space="preserve"> El </w:t>
      </w:r>
      <w:r w:rsidR="004C430B">
        <w:rPr>
          <w:rFonts w:ascii="Palatino Linotype" w:eastAsia="Palatino Linotype" w:hAnsi="Palatino Linotype" w:cs="Palatino Linotype"/>
          <w:b/>
        </w:rPr>
        <w:t>diez</w:t>
      </w:r>
      <w:r>
        <w:rPr>
          <w:rFonts w:ascii="Palatino Linotype" w:eastAsia="Palatino Linotype" w:hAnsi="Palatino Linotype" w:cs="Palatino Linotype"/>
          <w:b/>
        </w:rPr>
        <w:t xml:space="preserve"> de junio de dos mil veintidós</w:t>
      </w:r>
      <w:r>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76798FD0" w14:textId="77777777" w:rsidR="004547C5" w:rsidRDefault="00A031B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9. Cierre de Instrucción. </w:t>
      </w:r>
      <w:r>
        <w:rPr>
          <w:rFonts w:ascii="Palatino Linotype" w:eastAsia="Palatino Linotype" w:hAnsi="Palatino Linotype" w:cs="Palatino Linotype"/>
        </w:rPr>
        <w:t xml:space="preserve">Una vez transcurrido el plazo otorgado para que las partes manifestaran lo que a su derecho conviniera, y siguiendo los trámites correspondientes con fundamento en el artículo 185 fracción VI de la Ley de Transparencia y Acceso a la Información Pública del Estado de México y Municipios, el día </w:t>
      </w:r>
      <w:r w:rsidR="004C430B">
        <w:rPr>
          <w:rFonts w:ascii="Palatino Linotype" w:eastAsia="Palatino Linotype" w:hAnsi="Palatino Linotype" w:cs="Palatino Linotype"/>
          <w:b/>
        </w:rPr>
        <w:t>diez</w:t>
      </w:r>
      <w:r>
        <w:rPr>
          <w:rFonts w:ascii="Palatino Linotype" w:eastAsia="Palatino Linotype" w:hAnsi="Palatino Linotype" w:cs="Palatino Linotype"/>
          <w:b/>
          <w:color w:val="000000"/>
        </w:rPr>
        <w:t xml:space="preserve"> de junio </w:t>
      </w:r>
      <w:r>
        <w:rPr>
          <w:rFonts w:ascii="Palatino Linotype" w:eastAsia="Palatino Linotype" w:hAnsi="Palatino Linotype" w:cs="Palatino Linotype"/>
          <w:b/>
        </w:rPr>
        <w:t>de dos mil veintidós</w:t>
      </w:r>
      <w:r>
        <w:rPr>
          <w:rFonts w:ascii="Palatino Linotype" w:eastAsia="Palatino Linotype" w:hAnsi="Palatino Linotype" w:cs="Palatino Linotype"/>
        </w:rPr>
        <w:t>, se procedió a decretar el cierre de instrucción respectivo y no existiendo diligencia pendiente de desahogo, se ordenó emitir la resolución que conforme a derecho proceda.</w:t>
      </w:r>
    </w:p>
    <w:p w14:paraId="308F2882" w14:textId="77777777" w:rsidR="004547C5" w:rsidRDefault="00A031B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razón de que fue debidamente sustanciado el expediente electrónico y no existe diligencia pendiente de desahogo, se emite la Resolución que conforme a Derecho proceda, de acuerdo con los siguientes: </w:t>
      </w:r>
    </w:p>
    <w:p w14:paraId="7F11C622" w14:textId="77777777" w:rsidR="004547C5" w:rsidRDefault="00A031B9">
      <w:pPr>
        <w:spacing w:before="240" w:after="240" w:line="360" w:lineRule="auto"/>
        <w:ind w:right="49"/>
        <w:jc w:val="center"/>
        <w:rPr>
          <w:rFonts w:ascii="Palatino Linotype" w:eastAsia="Palatino Linotype" w:hAnsi="Palatino Linotype" w:cs="Palatino Linotype"/>
          <w:b/>
        </w:rPr>
      </w:pPr>
      <w:r>
        <w:rPr>
          <w:rFonts w:ascii="Palatino Linotype" w:eastAsia="Palatino Linotype" w:hAnsi="Palatino Linotype" w:cs="Palatino Linotype"/>
          <w:b/>
        </w:rPr>
        <w:t>CONSIDERANDO</w:t>
      </w:r>
    </w:p>
    <w:p w14:paraId="67EB0E6B" w14:textId="77777777" w:rsidR="004547C5" w:rsidRDefault="00A031B9">
      <w:pPr>
        <w:spacing w:before="240" w:after="240" w:line="360" w:lineRule="auto"/>
        <w:ind w:right="49"/>
        <w:jc w:val="both"/>
        <w:rPr>
          <w:rFonts w:ascii="Palatino Linotype" w:eastAsia="Palatino Linotype" w:hAnsi="Palatino Linotype" w:cs="Palatino Linotype"/>
          <w:highlight w:val="white"/>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w:t>
      </w:r>
      <w:r>
        <w:rPr>
          <w:rFonts w:ascii="Palatino Linotype" w:eastAsia="Palatino Linotype" w:hAnsi="Palatino Linotype" w:cs="Palatino Linotype"/>
          <w:b/>
        </w:rPr>
        <w:t>Competencia.</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el presente recurso de revisión interpuesto por </w:t>
      </w:r>
      <w:r>
        <w:rPr>
          <w:rFonts w:ascii="Palatino Linotype" w:eastAsia="Palatino Linotype" w:hAnsi="Palatino Linotype" w:cs="Palatino Linotype"/>
          <w:b/>
          <w:highlight w:val="white"/>
        </w:rPr>
        <w:t>la parte Recurrente</w:t>
      </w:r>
      <w:r>
        <w:rPr>
          <w:rFonts w:ascii="Palatino Linotype" w:eastAsia="Palatino Linotype" w:hAnsi="Palatino Linotype" w:cs="Palatino Linotype"/>
          <w:highlight w:val="white"/>
        </w:rPr>
        <w:t>, conforme a lo dispuesto en los artículos 6, apartado A de la Constitución Política de los Estados Unidos Mexicanos; 5, párrafos trigésimo, trigésimo primero y trigésimo segundo;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3F9519AE" w14:textId="77777777" w:rsidR="004547C5" w:rsidRDefault="00A031B9">
      <w:pPr>
        <w:spacing w:before="240" w:after="240" w:line="360" w:lineRule="auto"/>
        <w:jc w:val="both"/>
        <w:rPr>
          <w:rFonts w:ascii="Palatino Linotype" w:eastAsia="Palatino Linotype" w:hAnsi="Palatino Linotype" w:cs="Palatino Linotype"/>
          <w:highlight w:val="red"/>
        </w:rPr>
      </w:pPr>
      <w:r>
        <w:rPr>
          <w:rFonts w:ascii="Palatino Linotype" w:eastAsia="Palatino Linotype" w:hAnsi="Palatino Linotype" w:cs="Palatino Linotype"/>
          <w:b/>
        </w:rPr>
        <w:t xml:space="preserve">Segundo. Oportunidad y Procedibilidad. </w:t>
      </w:r>
      <w:r>
        <w:rPr>
          <w:rFonts w:ascii="Palatino Linotype" w:eastAsia="Palatino Linotype" w:hAnsi="Palatino Linotype" w:cs="Palatino Linotype"/>
        </w:rPr>
        <w:t xml:space="preserve">De conformidad con los requisitos de Oportunidad y Procedibilidad que debe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la solicitud planteada por el solicitante en fecha </w:t>
      </w:r>
      <w:r>
        <w:rPr>
          <w:rFonts w:ascii="Palatino Linotype" w:eastAsia="Palatino Linotype" w:hAnsi="Palatino Linotype" w:cs="Palatino Linotype"/>
          <w:b/>
        </w:rPr>
        <w:t>dieciséis de febrero del año dos mil veintidós</w:t>
      </w:r>
      <w:r>
        <w:rPr>
          <w:rFonts w:ascii="Palatino Linotype" w:eastAsia="Palatino Linotype" w:hAnsi="Palatino Linotype" w:cs="Palatino Linotype"/>
        </w:rPr>
        <w:t xml:space="preserve"> y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presentó su recurso de </w:t>
      </w:r>
      <w:r>
        <w:rPr>
          <w:rFonts w:ascii="Palatino Linotype" w:eastAsia="Palatino Linotype" w:hAnsi="Palatino Linotype" w:cs="Palatino Linotype"/>
        </w:rPr>
        <w:lastRenderedPageBreak/>
        <w:t xml:space="preserve">revisión el </w:t>
      </w:r>
      <w:r>
        <w:rPr>
          <w:rFonts w:ascii="Palatino Linotype" w:eastAsia="Palatino Linotype" w:hAnsi="Palatino Linotype" w:cs="Palatino Linotype"/>
          <w:b/>
        </w:rPr>
        <w:t>diez de marzo de dos mil veintidós</w:t>
      </w:r>
      <w:r>
        <w:rPr>
          <w:rFonts w:ascii="Palatino Linotype" w:eastAsia="Palatino Linotype" w:hAnsi="Palatino Linotype" w:cs="Palatino Linotype"/>
        </w:rPr>
        <w:t>, esto es al décimo quinto día hábil en el que tuvo conocimiento de la respuesta.</w:t>
      </w:r>
    </w:p>
    <w:p w14:paraId="5606F6E2" w14:textId="77777777" w:rsidR="004547C5" w:rsidRDefault="00A031B9">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Asimismo, por cuanto hace a la procedibilidad de</w:t>
      </w:r>
      <w:r>
        <w:rPr>
          <w:rFonts w:ascii="Palatino Linotype" w:eastAsia="Palatino Linotype" w:hAnsi="Palatino Linotype" w:cs="Palatino Linotype"/>
        </w:rPr>
        <w:t xml:space="preserve">l </w:t>
      </w:r>
      <w:r>
        <w:rPr>
          <w:rFonts w:ascii="Palatino Linotype" w:eastAsia="Palatino Linotype" w:hAnsi="Palatino Linotype" w:cs="Palatino Linotype"/>
          <w:color w:val="000000"/>
        </w:rPr>
        <w:t xml:space="preserve"> recurso de </w:t>
      </w:r>
      <w:r>
        <w:rPr>
          <w:rFonts w:ascii="Palatino Linotype" w:eastAsia="Palatino Linotype" w:hAnsi="Palatino Linotype" w:cs="Palatino Linotype"/>
        </w:rPr>
        <w:t>revisión</w:t>
      </w:r>
      <w:r>
        <w:rPr>
          <w:rFonts w:ascii="Palatino Linotype" w:eastAsia="Palatino Linotype" w:hAnsi="Palatino Linotype" w:cs="Palatino Linotype"/>
          <w:color w:val="000000"/>
        </w:rPr>
        <w:t xml:space="preserve">, es de suma importancia señalar que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no señaló nombre o seudónimo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43A31AA" w14:textId="77777777" w:rsidR="004547C5" w:rsidRDefault="00A031B9">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27902060" w14:textId="77777777" w:rsidR="004547C5" w:rsidRDefault="00A031B9">
      <w:pPr>
        <w:spacing w:before="240" w:after="240"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las cosas, por cuanto hace a la procedibilidad del recurso de revisión, una vez realizado el análisis del formato de interposición del mismo,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5F36BFA4" w14:textId="77777777" w:rsidR="004547C5" w:rsidRDefault="00A031B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se advierte que resulta procedente la interposición del recurso, según lo manifestado por</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 xml:space="preserve">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sus motivos de inconformidad, de acuerdo al artículo 179, </w:t>
      </w:r>
      <w:r w:rsidRPr="00472E5C">
        <w:rPr>
          <w:rFonts w:ascii="Palatino Linotype" w:eastAsia="Palatino Linotype" w:hAnsi="Palatino Linotype" w:cs="Palatino Linotype"/>
        </w:rPr>
        <w:t>fracción V</w:t>
      </w:r>
      <w:r w:rsidR="00472E5C" w:rsidRPr="00472E5C">
        <w:rPr>
          <w:rFonts w:ascii="Palatino Linotype" w:eastAsia="Palatino Linotype" w:hAnsi="Palatino Linotype" w:cs="Palatino Linotype"/>
        </w:rPr>
        <w:t>I</w:t>
      </w:r>
      <w:r w:rsidRPr="00472E5C">
        <w:rPr>
          <w:rFonts w:ascii="Palatino Linotype" w:eastAsia="Palatino Linotype" w:hAnsi="Palatino Linotype" w:cs="Palatino Linotype"/>
        </w:rPr>
        <w:t xml:space="preserve"> del</w:t>
      </w:r>
      <w:r>
        <w:rPr>
          <w:rFonts w:ascii="Palatino Linotype" w:eastAsia="Palatino Linotype" w:hAnsi="Palatino Linotype" w:cs="Palatino Linotype"/>
        </w:rPr>
        <w:t xml:space="preserve"> ordenamiento legal citado, que a la letra dice: </w:t>
      </w:r>
    </w:p>
    <w:p w14:paraId="5262DC54" w14:textId="77777777" w:rsidR="004547C5" w:rsidRDefault="00A031B9">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 </w:t>
      </w:r>
    </w:p>
    <w:p w14:paraId="35AB75FB" w14:textId="77777777" w:rsidR="004547C5" w:rsidRDefault="00A031B9">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p>
    <w:p w14:paraId="0DD9F481" w14:textId="77777777" w:rsidR="004547C5" w:rsidRPr="00472E5C" w:rsidRDefault="00472E5C">
      <w:pPr>
        <w:spacing w:before="240" w:after="240" w:line="276" w:lineRule="auto"/>
        <w:ind w:left="567" w:right="900"/>
        <w:jc w:val="both"/>
        <w:rPr>
          <w:rFonts w:ascii="Palatino Linotype" w:eastAsia="Palatino Linotype" w:hAnsi="Palatino Linotype" w:cs="Palatino Linotype"/>
          <w:b/>
          <w:i/>
          <w:sz w:val="22"/>
          <w:szCs w:val="22"/>
        </w:rPr>
      </w:pPr>
      <w:r w:rsidRPr="00472E5C">
        <w:rPr>
          <w:rFonts w:ascii="Palatino Linotype" w:eastAsia="Palatino Linotype" w:hAnsi="Palatino Linotype" w:cs="Palatino Linotype"/>
          <w:b/>
          <w:i/>
          <w:sz w:val="22"/>
          <w:szCs w:val="22"/>
        </w:rPr>
        <w:t>VI. La entrega de información que no corresponda con lo solicitado;</w:t>
      </w:r>
      <w:r w:rsidR="00A031B9" w:rsidRPr="00472E5C">
        <w:rPr>
          <w:rFonts w:ascii="Palatino Linotype" w:eastAsia="Palatino Linotype" w:hAnsi="Palatino Linotype" w:cs="Palatino Linotype"/>
          <w:i/>
          <w:sz w:val="22"/>
          <w:szCs w:val="22"/>
        </w:rPr>
        <w:t>” </w:t>
      </w:r>
    </w:p>
    <w:p w14:paraId="7D85B5ED" w14:textId="77777777" w:rsidR="004547C5" w:rsidRDefault="00A031B9">
      <w:pPr>
        <w:spacing w:before="240" w:after="240" w:line="276" w:lineRule="auto"/>
        <w:ind w:right="61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(Énfasis añadido)</w:t>
      </w:r>
    </w:p>
    <w:p w14:paraId="0DA146BA" w14:textId="77777777" w:rsidR="004547C5" w:rsidRDefault="00A031B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de la parte Recurrente, o en su defecto, en caso de ser procedente, ordenar la entrega de información oportuna.</w:t>
      </w:r>
    </w:p>
    <w:p w14:paraId="7F230A55" w14:textId="77777777" w:rsidR="004547C5" w:rsidRDefault="00A031B9">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 xml:space="preserve">Antes de entrar al análisis de los pronunciamientos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7E506AFE" w14:textId="77777777" w:rsidR="004547C5" w:rsidRDefault="00A031B9">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sz w:val="22"/>
          <w:szCs w:val="22"/>
        </w:rPr>
        <w:t xml:space="preserve">, así </w:t>
      </w:r>
      <w:r>
        <w:rPr>
          <w:rFonts w:ascii="Palatino Linotype" w:eastAsia="Palatino Linotype" w:hAnsi="Palatino Linotype" w:cs="Palatino Linotype"/>
          <w:i/>
          <w:sz w:val="22"/>
          <w:szCs w:val="22"/>
        </w:rPr>
        <w:lastRenderedPageBreak/>
        <w:t>como de las garantías para su protección, cuyo ejercicio no podrá restringirse ni suspenderse, salvo en los casos y bajo las condiciones que esta Constitución establece.</w:t>
      </w:r>
    </w:p>
    <w:p w14:paraId="6E2585E3" w14:textId="77777777" w:rsidR="004547C5" w:rsidRDefault="00A031B9">
      <w:pPr>
        <w:tabs>
          <w:tab w:val="left" w:pos="709"/>
        </w:tabs>
        <w:spacing w:before="240" w:after="240" w:line="276" w:lineRule="auto"/>
        <w:ind w:left="851" w:right="85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308E39CC" w14:textId="77777777" w:rsidR="004547C5" w:rsidRDefault="00A031B9">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5B4C02FA" w14:textId="77777777" w:rsidR="004547C5" w:rsidRDefault="00A031B9">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E1B0FAF" w14:textId="77777777" w:rsidR="004547C5" w:rsidRDefault="00A031B9">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6o.</w:t>
      </w:r>
    </w:p>
    <w:p w14:paraId="3F355E67" w14:textId="77777777" w:rsidR="004547C5" w:rsidRDefault="00A031B9">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D73673C" w14:textId="77777777" w:rsidR="004547C5" w:rsidRDefault="00A031B9">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 Para el ejercicio del derecho de acceso a la información, la Federación y </w:t>
      </w:r>
      <w:r>
        <w:rPr>
          <w:rFonts w:ascii="Palatino Linotype" w:eastAsia="Palatino Linotype" w:hAnsi="Palatino Linotype" w:cs="Palatino Linotype"/>
          <w:b/>
          <w:i/>
          <w:sz w:val="22"/>
          <w:szCs w:val="22"/>
          <w:u w:val="single"/>
        </w:rPr>
        <w:t>las entidades federativas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en el ámbito de sus respectivas competencias, se regirán por los siguientes principios y bases:</w:t>
      </w:r>
    </w:p>
    <w:p w14:paraId="4F4C767C" w14:textId="77777777" w:rsidR="004547C5" w:rsidRDefault="00A031B9">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Toda la información en posesión de cualquier autoridad, entidad, órgano y organismo de los Poderes</w:t>
      </w:r>
      <w:r>
        <w:rPr>
          <w:rFonts w:ascii="Palatino Linotype" w:eastAsia="Palatino Linotype" w:hAnsi="Palatino Linotype" w:cs="Palatino Linotype"/>
          <w:i/>
          <w:sz w:val="22"/>
          <w:szCs w:val="22"/>
        </w:rPr>
        <w:t xml:space="preserve"> Ejecutivo, Legislativo </w:t>
      </w:r>
      <w:r>
        <w:rPr>
          <w:rFonts w:ascii="Palatino Linotype" w:eastAsia="Palatino Linotype" w:hAnsi="Palatino Linotype" w:cs="Palatino Linotype"/>
          <w:b/>
          <w:i/>
          <w:sz w:val="22"/>
          <w:szCs w:val="22"/>
          <w:u w:val="single"/>
        </w:rPr>
        <w:t>y Judicial</w:t>
      </w:r>
      <w:r>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sz w:val="22"/>
          <w:szCs w:val="22"/>
        </w:rPr>
        <w:t>es pública y sólo podrá ser reservada temporalmente por razones de interés público y seguridad nacional,</w:t>
      </w:r>
      <w:r>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w:t>
      </w:r>
      <w:r>
        <w:rPr>
          <w:rFonts w:ascii="Palatino Linotype" w:eastAsia="Palatino Linotype" w:hAnsi="Palatino Linotype" w:cs="Palatino Linotype"/>
          <w:i/>
          <w:sz w:val="22"/>
          <w:szCs w:val="22"/>
        </w:rPr>
        <w:lastRenderedPageBreak/>
        <w:t>competencias o funciones, la ley determinará los supuestos específicos bajo los cuales procederá la declaración de inexistencia de la información.</w:t>
      </w:r>
    </w:p>
    <w:p w14:paraId="436A5F78" w14:textId="77777777" w:rsidR="004547C5" w:rsidRDefault="00A031B9">
      <w:pPr>
        <w:spacing w:before="240" w:after="240" w:line="276" w:lineRule="auto"/>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62DD5210" w14:textId="77777777" w:rsidR="004547C5" w:rsidRDefault="00A031B9">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2"/>
          <w:szCs w:val="22"/>
        </w:rPr>
        <w:t xml:space="preserve"> a sus datos personales o a la rectificación de éstos.</w:t>
      </w:r>
    </w:p>
    <w:p w14:paraId="5FA216FD" w14:textId="77777777" w:rsidR="004547C5" w:rsidRDefault="00A031B9">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6858C651" w14:textId="77777777" w:rsidR="004547C5" w:rsidRDefault="00A031B9">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0BD0C89" w14:textId="77777777" w:rsidR="004547C5" w:rsidRDefault="00A031B9">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5F96A7F4" w14:textId="77777777" w:rsidR="004547C5" w:rsidRDefault="00A031B9">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31B620B8" w14:textId="77777777" w:rsidR="004547C5" w:rsidRDefault="00A031B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w:t>
      </w:r>
      <w:r>
        <w:rPr>
          <w:rFonts w:ascii="Palatino Linotype" w:eastAsia="Palatino Linotype" w:hAnsi="Palatino Linotype" w:cs="Palatino Linotype"/>
        </w:rPr>
        <w:lastRenderedPageBreak/>
        <w:t>privilegiando el principio de máxima publicidad, como así lo establece dicha determinación, que a continuación se transcribe para un mejor entendimiento:</w:t>
      </w:r>
    </w:p>
    <w:p w14:paraId="33120DF5" w14:textId="77777777" w:rsidR="004547C5" w:rsidRDefault="00A031B9">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6AE450C" w14:textId="77777777" w:rsidR="004547C5" w:rsidRDefault="00A031B9">
      <w:pPr>
        <w:spacing w:before="240" w:after="240" w:line="276" w:lineRule="auto"/>
        <w:ind w:left="709" w:right="7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69BBD6A" w14:textId="77777777" w:rsidR="004547C5" w:rsidRDefault="00A031B9">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14:paraId="4FBE8677" w14:textId="77777777" w:rsidR="004547C5" w:rsidRDefault="00A031B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5B395FEA" w14:textId="77777777" w:rsidR="004547C5" w:rsidRDefault="00A031B9">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4321884C" w14:textId="77777777" w:rsidR="004547C5" w:rsidRDefault="00A031B9">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7876A1D9" w14:textId="77777777" w:rsidR="004547C5" w:rsidRDefault="00A031B9">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xml:space="preserve">, para satisfacer el derecho de acceso a la información pública, </w:t>
      </w:r>
      <w:r>
        <w:rPr>
          <w:rFonts w:ascii="Palatino Linotype" w:eastAsia="Palatino Linotype" w:hAnsi="Palatino Linotype" w:cs="Palatino Linotype"/>
        </w:rPr>
        <w:t>como así lo establece el criterio 03/17 emitido por el Instituto Nacional de Transparencia, Acceso a la Información Pública y Protección de Datos Personales, el cual señala lo siguiente:</w:t>
      </w:r>
    </w:p>
    <w:p w14:paraId="7A2C04A7" w14:textId="77777777" w:rsidR="004547C5" w:rsidRDefault="00A031B9">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03/17</w:t>
      </w:r>
    </w:p>
    <w:p w14:paraId="05BB8092" w14:textId="77777777" w:rsidR="004547C5" w:rsidRDefault="00A031B9">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“NO EXISTE OBLIGACIÓN DE ELABORAR DOCUMENTOS AD HOC PARA ATENDER LAS SOLICITUDES DE ACCESO A LA INFORMACIÓN.</w:t>
      </w:r>
    </w:p>
    <w:p w14:paraId="054004EF" w14:textId="77777777" w:rsidR="004547C5" w:rsidRDefault="00A031B9">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0409F887" w14:textId="77777777" w:rsidR="004547C5" w:rsidRDefault="00A031B9">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lastRenderedPageBreak/>
        <w:t xml:space="preserve">Por otra parte, y aunado a lo antepuesto, el último párrafo del artículo 24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D901343" w14:textId="77777777" w:rsidR="004547C5" w:rsidRDefault="00A031B9">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B3F9800" w14:textId="77777777" w:rsidR="004547C5" w:rsidRDefault="00A031B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1B72DB7" w14:textId="77777777" w:rsidR="004547C5" w:rsidRDefault="00A031B9">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6B6186BE" w14:textId="77777777" w:rsidR="004547C5" w:rsidRDefault="00A031B9">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p>
    <w:p w14:paraId="177B08E3" w14:textId="77777777" w:rsidR="004547C5" w:rsidRDefault="00A031B9">
      <w:pP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(Sic)</w:t>
      </w:r>
    </w:p>
    <w:p w14:paraId="66109932" w14:textId="77777777" w:rsidR="004547C5" w:rsidRDefault="00A031B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5D1FDDD" w14:textId="77777777" w:rsidR="004547C5" w:rsidRDefault="00A031B9">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14:paraId="0404D3F1" w14:textId="77777777" w:rsidR="004547C5" w:rsidRDefault="00A031B9">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843710F" w14:textId="77777777" w:rsidR="004547C5" w:rsidRDefault="00A031B9">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5E55223E" w14:textId="77777777" w:rsidR="004547C5" w:rsidRDefault="00A031B9">
      <w:pPr>
        <w:numPr>
          <w:ilvl w:val="0"/>
          <w:numId w:val="2"/>
        </w:num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generada por los Sujetos Obligados;</w:t>
      </w:r>
    </w:p>
    <w:p w14:paraId="030F7D8B" w14:textId="77777777" w:rsidR="004547C5" w:rsidRDefault="00A031B9">
      <w:pPr>
        <w:numPr>
          <w:ilvl w:val="0"/>
          <w:numId w:val="2"/>
        </w:num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Que se trate de información registrada en cualquier soporte documental, que en ejercicio de las atribuciones conferidas, sea administrada por los Sujetos Obligados, y</w:t>
      </w:r>
    </w:p>
    <w:p w14:paraId="044FE8E2" w14:textId="77777777" w:rsidR="004547C5" w:rsidRDefault="00A031B9">
      <w:pPr>
        <w:spacing w:before="240" w:after="240" w:line="276" w:lineRule="auto"/>
        <w:ind w:left="567" w:right="567" w:hanging="28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w:t>
      </w:r>
      <w:r>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14:paraId="08A5E01A" w14:textId="77777777" w:rsidR="004547C5" w:rsidRDefault="00A031B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w:t>
      </w:r>
    </w:p>
    <w:p w14:paraId="5E93002E" w14:textId="77777777" w:rsidR="004547C5" w:rsidRDefault="00A031B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para profundizar en el estudio del presente asunto, es conveniente recordar que la parte solicitante requirió al </w:t>
      </w:r>
      <w:r>
        <w:rPr>
          <w:rFonts w:ascii="Palatino Linotype" w:eastAsia="Palatino Linotype" w:hAnsi="Palatino Linotype" w:cs="Palatino Linotype"/>
          <w:b/>
        </w:rPr>
        <w:t>Sujeto Obligado</w:t>
      </w:r>
      <w:r>
        <w:rPr>
          <w:rFonts w:ascii="Palatino Linotype" w:eastAsia="Palatino Linotype" w:hAnsi="Palatino Linotype" w:cs="Palatino Linotype"/>
        </w:rPr>
        <w:t>, le proporcionara lo siguiente:</w:t>
      </w:r>
    </w:p>
    <w:p w14:paraId="487ABEE1" w14:textId="77777777" w:rsidR="004547C5" w:rsidRDefault="00A031B9">
      <w:pPr>
        <w:numPr>
          <w:ilvl w:val="0"/>
          <w:numId w:val="3"/>
        </w:numPr>
        <w:pBdr>
          <w:top w:val="nil"/>
          <w:left w:val="nil"/>
          <w:bottom w:val="nil"/>
          <w:right w:val="nil"/>
          <w:between w:val="nil"/>
        </w:pBdr>
        <w:tabs>
          <w:tab w:val="left" w:pos="7513"/>
        </w:tabs>
        <w:spacing w:before="240" w:after="240" w:line="360" w:lineRule="auto"/>
        <w:ind w:left="567" w:right="851"/>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Documentos que den cuenta de </w:t>
      </w:r>
      <w:r>
        <w:rPr>
          <w:rFonts w:ascii="Palatino Linotype" w:eastAsia="Palatino Linotype" w:hAnsi="Palatino Linotype" w:cs="Palatino Linotype"/>
          <w:b/>
        </w:rPr>
        <w:t xml:space="preserve">la elaboración de </w:t>
      </w:r>
      <w:r>
        <w:rPr>
          <w:rFonts w:ascii="Palatino Linotype" w:eastAsia="Palatino Linotype" w:hAnsi="Palatino Linotype" w:cs="Palatino Linotype"/>
          <w:b/>
          <w:color w:val="000000"/>
        </w:rPr>
        <w:t xml:space="preserve">las propuestas para la actualización o modificación de tablas de valores unitarios de suelo y construcción de conformidad con la normatividad </w:t>
      </w:r>
      <w:r>
        <w:rPr>
          <w:rFonts w:ascii="Palatino Linotype" w:eastAsia="Palatino Linotype" w:hAnsi="Palatino Linotype" w:cs="Palatino Linotype"/>
          <w:b/>
          <w:color w:val="000000"/>
        </w:rPr>
        <w:lastRenderedPageBreak/>
        <w:t>establecida para tal efecto para su posterior aprobación del Ayuntamiento a cargo de la tesorería municipal de lo que va del 2022.</w:t>
      </w:r>
    </w:p>
    <w:p w14:paraId="27F98C57" w14:textId="77777777" w:rsidR="004547C5" w:rsidRDefault="00A031B9">
      <w:pPr>
        <w:tabs>
          <w:tab w:val="left" w:pos="7513"/>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manifestó por conducto del Tesorero Municipal, la siguiente liga electrónica: </w:t>
      </w:r>
      <w:hyperlink r:id="rId17">
        <w:r>
          <w:rPr>
            <w:rFonts w:ascii="Palatino Linotype" w:eastAsia="Palatino Linotype" w:hAnsi="Palatino Linotype" w:cs="Palatino Linotype"/>
            <w:color w:val="0000FF"/>
            <w:u w:val="single"/>
          </w:rPr>
          <w:t>https://legislacion.edomex.gob.mx/sites/legislacion.edomex.gob.mx/files/files/pdf/gct/2021/dic301.pdf</w:t>
        </w:r>
      </w:hyperlink>
      <w:r>
        <w:rPr>
          <w:rFonts w:ascii="Palatino Linotype" w:eastAsia="Palatino Linotype" w:hAnsi="Palatino Linotype" w:cs="Palatino Linotype"/>
        </w:rPr>
        <w:t xml:space="preserve"> , en la cual se aprecia lo siguiente: </w:t>
      </w:r>
    </w:p>
    <w:p w14:paraId="2B89ADD7" w14:textId="77777777" w:rsidR="004547C5" w:rsidRDefault="00A031B9">
      <w:pPr>
        <w:tabs>
          <w:tab w:val="left" w:pos="7513"/>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44769A71" wp14:editId="150FBD11">
            <wp:extent cx="5572125" cy="3990975"/>
            <wp:effectExtent l="0" t="0" r="0" b="0"/>
            <wp:docPr id="8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5572125" cy="3990975"/>
                    </a:xfrm>
                    <a:prstGeom prst="rect">
                      <a:avLst/>
                    </a:prstGeom>
                    <a:ln/>
                  </pic:spPr>
                </pic:pic>
              </a:graphicData>
            </a:graphic>
          </wp:inline>
        </w:drawing>
      </w:r>
    </w:p>
    <w:p w14:paraId="5BDEC87A" w14:textId="77777777" w:rsidR="004547C5" w:rsidRDefault="00A031B9">
      <w:pPr>
        <w:spacing w:before="240" w:after="240" w:line="360" w:lineRule="auto"/>
        <w:jc w:val="both"/>
        <w:rPr>
          <w:rFonts w:ascii="Palatino Linotype" w:eastAsia="Palatino Linotype" w:hAnsi="Palatino Linotype" w:cs="Palatino Linotype"/>
          <w:i/>
        </w:rPr>
      </w:pPr>
      <w:r>
        <w:rPr>
          <w:rFonts w:ascii="Palatino Linotype" w:eastAsia="Palatino Linotype" w:hAnsi="Palatino Linotype" w:cs="Palatino Linotype"/>
        </w:rPr>
        <w:t xml:space="preserve">Conocida la respuesta a la solicitud de información, el particular, al no estar conforme con los términos de la misma, interpuso el recurso de revisión que nos </w:t>
      </w:r>
      <w:r>
        <w:rPr>
          <w:rFonts w:ascii="Palatino Linotype" w:eastAsia="Palatino Linotype" w:hAnsi="Palatino Linotype" w:cs="Palatino Linotype"/>
        </w:rPr>
        <w:lastRenderedPageBreak/>
        <w:t xml:space="preserve">ocupa, donde señaló como motivos de inconformidad: </w:t>
      </w:r>
      <w:r>
        <w:rPr>
          <w:rFonts w:ascii="Palatino Linotype" w:eastAsia="Palatino Linotype" w:hAnsi="Palatino Linotype" w:cs="Palatino Linotype"/>
          <w:i/>
        </w:rPr>
        <w:t>“</w:t>
      </w:r>
      <w:r>
        <w:rPr>
          <w:rFonts w:ascii="Palatino Linotype" w:eastAsia="Palatino Linotype" w:hAnsi="Palatino Linotype" w:cs="Palatino Linotype"/>
          <w:b/>
          <w:i/>
          <w:u w:val="single"/>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w:t>
      </w:r>
      <w:r>
        <w:rPr>
          <w:rFonts w:ascii="Palatino Linotype" w:eastAsia="Palatino Linotype" w:hAnsi="Palatino Linotype" w:cs="Palatino Linotype"/>
          <w:i/>
        </w:rPr>
        <w:t xml:space="preserve">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w:t>
      </w:r>
      <w:r>
        <w:rPr>
          <w:rFonts w:ascii="Palatino Linotype" w:eastAsia="Palatino Linotype" w:hAnsi="Palatino Linotype" w:cs="Palatino Linotype"/>
          <w:b/>
          <w:i/>
          <w:u w:val="single"/>
        </w:rPr>
        <w:t xml:space="preserve">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w:t>
      </w:r>
      <w:r>
        <w:rPr>
          <w:rFonts w:ascii="Palatino Linotype" w:eastAsia="Palatino Linotype" w:hAnsi="Palatino Linotype" w:cs="Palatino Linotype"/>
          <w:i/>
        </w:rPr>
        <w:t xml:space="preserve">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w:t>
      </w:r>
      <w:r>
        <w:rPr>
          <w:rFonts w:ascii="Palatino Linotype" w:eastAsia="Palatino Linotype" w:hAnsi="Palatino Linotype" w:cs="Palatino Linotype"/>
          <w:b/>
          <w:i/>
          <w:u w:val="single"/>
        </w:rPr>
        <w:t xml:space="preserve">En este sentido, el sujeto obligado se encuentra constreñido a entregar la información solicitada, en los formatos que obren en sus archivos y por el medio de notificación seleccionado, siguiendo el procedimiento señalado en la propia Ley de </w:t>
      </w:r>
      <w:r>
        <w:rPr>
          <w:rFonts w:ascii="Palatino Linotype" w:eastAsia="Palatino Linotype" w:hAnsi="Palatino Linotype" w:cs="Palatino Linotype"/>
          <w:b/>
          <w:i/>
          <w:u w:val="single"/>
        </w:rPr>
        <w:lastRenderedPageBreak/>
        <w:t xml:space="preserve">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w:t>
      </w:r>
      <w:r>
        <w:rPr>
          <w:rFonts w:ascii="Palatino Linotype" w:eastAsia="Palatino Linotype" w:hAnsi="Palatino Linotype" w:cs="Palatino Linotype"/>
          <w:i/>
        </w:rPr>
        <w:t>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 (Sic) (Énfasis añadido)</w:t>
      </w:r>
    </w:p>
    <w:p w14:paraId="0CBDD314" w14:textId="77777777" w:rsidR="004547C5" w:rsidRDefault="00A031B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las cosas, durante la etapa de manifestaciones,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r w:rsidR="00472E5C">
        <w:rPr>
          <w:rFonts w:ascii="Palatino Linotype" w:eastAsia="Palatino Linotype" w:hAnsi="Palatino Linotype" w:cs="Palatino Linotype"/>
        </w:rPr>
        <w:t xml:space="preserve">fue omiso en </w:t>
      </w:r>
      <w:r w:rsidR="00472E5C" w:rsidRPr="00472E5C">
        <w:rPr>
          <w:rFonts w:ascii="Palatino Linotype" w:eastAsia="Palatino Linotype" w:hAnsi="Palatino Linotype" w:cs="Palatino Linotype"/>
        </w:rPr>
        <w:t>rendir</w:t>
      </w:r>
      <w:r w:rsidRPr="00472E5C">
        <w:rPr>
          <w:rFonts w:ascii="Palatino Linotype" w:eastAsia="Palatino Linotype" w:hAnsi="Palatino Linotype" w:cs="Palatino Linotype"/>
        </w:rPr>
        <w:t xml:space="preserve"> su informe justificado, asimism</w:t>
      </w:r>
      <w:r>
        <w:rPr>
          <w:rFonts w:ascii="Palatino Linotype" w:eastAsia="Palatino Linotype" w:hAnsi="Palatino Linotype" w:cs="Palatino Linotype"/>
        </w:rPr>
        <w:t xml:space="preserve">o se tiene que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no emitió alegatos, manifestaciones o pronunciamiento alguno que a su derecho conviniera, luego entonces, se tiene por precluido su derecho para tal efecto.</w:t>
      </w:r>
    </w:p>
    <w:p w14:paraId="6957692D" w14:textId="77777777" w:rsidR="004547C5" w:rsidRDefault="00A031B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a efecto de garantizar el efectivo ejercicio del derecho de acceso a la información pública que asiste al particular, resulta conveniente entrar al estudio de las siguientes consideraciones de hecho y derecho: </w:t>
      </w:r>
    </w:p>
    <w:p w14:paraId="596AC50E" w14:textId="77777777" w:rsidR="004547C5" w:rsidRDefault="00A031B9">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 las constancias que integran el expediente se advierte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en respuesta, por conducto de la Tesorería Municipal, una liga electrónica que a su vez conduce a lo siguiente: </w:t>
      </w:r>
    </w:p>
    <w:p w14:paraId="70167E87" w14:textId="77777777" w:rsidR="004547C5" w:rsidRDefault="00A031B9">
      <w:pPr>
        <w:spacing w:after="240" w:line="360"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i/>
          <w:noProof/>
          <w:sz w:val="22"/>
          <w:szCs w:val="22"/>
          <w:lang w:val="es-MX"/>
        </w:rPr>
        <w:drawing>
          <wp:inline distT="0" distB="0" distL="0" distR="0" wp14:anchorId="17D4EAC1" wp14:editId="5E3E9CB8">
            <wp:extent cx="5572125" cy="3993515"/>
            <wp:effectExtent l="0" t="0" r="0" b="0"/>
            <wp:docPr id="8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5572125" cy="3993515"/>
                    </a:xfrm>
                    <a:prstGeom prst="rect">
                      <a:avLst/>
                    </a:prstGeom>
                    <a:ln/>
                  </pic:spPr>
                </pic:pic>
              </a:graphicData>
            </a:graphic>
          </wp:inline>
        </w:drawing>
      </w:r>
    </w:p>
    <w:p w14:paraId="2A00F615" w14:textId="77777777" w:rsidR="004547C5" w:rsidRDefault="00A031B9">
      <w:pPr>
        <w:spacing w:after="240" w:line="360"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i/>
          <w:noProof/>
          <w:sz w:val="22"/>
          <w:szCs w:val="22"/>
          <w:lang w:val="es-MX"/>
        </w:rPr>
        <w:lastRenderedPageBreak/>
        <w:drawing>
          <wp:inline distT="0" distB="0" distL="0" distR="0" wp14:anchorId="230F17F0" wp14:editId="1516048B">
            <wp:extent cx="5581650" cy="4686300"/>
            <wp:effectExtent l="0" t="0" r="0" b="0"/>
            <wp:docPr id="9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5581650" cy="4686300"/>
                    </a:xfrm>
                    <a:prstGeom prst="rect">
                      <a:avLst/>
                    </a:prstGeom>
                    <a:ln/>
                  </pic:spPr>
                </pic:pic>
              </a:graphicData>
            </a:graphic>
          </wp:inline>
        </w:drawing>
      </w:r>
    </w:p>
    <w:p w14:paraId="01ED52FB" w14:textId="77777777" w:rsidR="004547C5" w:rsidRDefault="00A031B9">
      <w:pPr>
        <w:spacing w:after="240" w:line="360"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i/>
          <w:noProof/>
          <w:sz w:val="22"/>
          <w:szCs w:val="22"/>
          <w:lang w:val="es-MX"/>
        </w:rPr>
        <w:lastRenderedPageBreak/>
        <w:drawing>
          <wp:inline distT="0" distB="0" distL="0" distR="0" wp14:anchorId="08B8FE60" wp14:editId="3C034CFE">
            <wp:extent cx="5581650" cy="4010025"/>
            <wp:effectExtent l="0" t="0" r="0" b="0"/>
            <wp:docPr id="8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5581650" cy="4010025"/>
                    </a:xfrm>
                    <a:prstGeom prst="rect">
                      <a:avLst/>
                    </a:prstGeom>
                    <a:ln/>
                  </pic:spPr>
                </pic:pic>
              </a:graphicData>
            </a:graphic>
          </wp:inline>
        </w:drawing>
      </w:r>
    </w:p>
    <w:p w14:paraId="08952860" w14:textId="77777777" w:rsidR="004547C5" w:rsidRDefault="00A031B9">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Sin embargo, lo remitido por el particular no colma lo requerido, en virtud de que solicitó los documentos que dan cumplimiento a la siguiente atribución de la Tesorería Municipal: </w:t>
      </w:r>
    </w:p>
    <w:p w14:paraId="5D3A9F67" w14:textId="77777777" w:rsidR="004547C5" w:rsidRDefault="00A031B9">
      <w:pPr>
        <w:spacing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3. 48.- Además de las previstas en la Ley Orgánica y en la legislación fiscal para los Municipios, son atribuciones de la Tesorería Municipal las siguientes:</w:t>
      </w:r>
    </w:p>
    <w:p w14:paraId="2D02098D" w14:textId="77777777" w:rsidR="004547C5" w:rsidRDefault="00A031B9">
      <w:pPr>
        <w:spacing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2353A4B" w14:textId="77777777" w:rsidR="004547C5" w:rsidRDefault="00A031B9">
      <w:pPr>
        <w:spacing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Elaborar las propuestas para la actualización o modificación de tablas de valores unitarios de suelo y construcción de conformidad con la normatividad establecida para tal efecto para su posterior aprobación del Ayuntamiento</w:t>
      </w:r>
      <w:r>
        <w:rPr>
          <w:rFonts w:ascii="Palatino Linotype" w:eastAsia="Palatino Linotype" w:hAnsi="Palatino Linotype" w:cs="Palatino Linotype"/>
          <w:i/>
          <w:sz w:val="22"/>
          <w:szCs w:val="22"/>
        </w:rPr>
        <w:t>;” (Sic) (Énfasis añadido)</w:t>
      </w:r>
    </w:p>
    <w:p w14:paraId="0F0A2172" w14:textId="77777777" w:rsidR="004547C5" w:rsidRDefault="00A031B9">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Bajo este orden de ideas, el Código Financiero del Estado de México regula  en sus artículos 171 y 195, el procedimiento para la elaboración y presentación de propuestas para la actualización y modificación de las tablas de valores unitarios de suelo y construcción, preceptos que se traen a colación para mejor proveer del presente estudio: </w:t>
      </w:r>
    </w:p>
    <w:p w14:paraId="12B1CFDC" w14:textId="77777777" w:rsidR="004547C5" w:rsidRDefault="00A031B9">
      <w:pPr>
        <w:spacing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“Artículo 171.- </w:t>
      </w:r>
      <w:r>
        <w:rPr>
          <w:rFonts w:ascii="Palatino Linotype" w:eastAsia="Palatino Linotype" w:hAnsi="Palatino Linotype" w:cs="Palatino Linotype"/>
          <w:b/>
          <w:i/>
          <w:sz w:val="22"/>
          <w:szCs w:val="22"/>
        </w:rPr>
        <w:t>Los Ayuntamientos y las autoridades catastrales municipales, además de las atribuciones que este Código y otros ordenamientos les confieran en materia catastral, tendrán las facultades y obligaciones siguientes:</w:t>
      </w:r>
    </w:p>
    <w:p w14:paraId="4A7FDC4D" w14:textId="77777777" w:rsidR="004547C5" w:rsidRDefault="00A031B9">
      <w:pPr>
        <w:spacing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6334459" w14:textId="77777777" w:rsidR="004547C5" w:rsidRDefault="00A031B9">
      <w:pPr>
        <w:spacing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IX. Solicitar la opinión técnica al IGECEM sobre la modificación y actualización de áreas homogéneas, bandas de valor, manzanas catastrales, códigos de clave de calle, nomenclatura y valores unitarios de suelo y construcciones, que conformará el proyecto de Tablas de Valores Unitarios de Suelo y Construcciones que proponga a la Legislatura. </w:t>
      </w:r>
    </w:p>
    <w:p w14:paraId="17D1E406" w14:textId="77777777" w:rsidR="004547C5" w:rsidRDefault="00A031B9">
      <w:pPr>
        <w:spacing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X. Difundir dentro de su territorio las Tablas de Valores Unitarios de Suelo y Construcción aprobadas por la Legislatura. </w:t>
      </w:r>
    </w:p>
    <w:p w14:paraId="6A257DEA" w14:textId="77777777" w:rsidR="004547C5" w:rsidRDefault="00A031B9">
      <w:pPr>
        <w:spacing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XI. Aplicar las Tablas de Valores Unitarios de Suelo y Construcciones aprobadas por la Legislatura, en la determinación del valor catastral de los inmuebles.</w:t>
      </w:r>
    </w:p>
    <w:p w14:paraId="3B5C5BA4" w14:textId="77777777" w:rsidR="004547C5" w:rsidRDefault="00A031B9">
      <w:pPr>
        <w:spacing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134700D" w14:textId="77777777" w:rsidR="004547C5" w:rsidRDefault="00A031B9">
      <w:pPr>
        <w:spacing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XV. Proponer a la Legislatura para su aprobación el proyecto de Tablas de Valores Unitarios de Suelo y Construcciones.</w:t>
      </w:r>
    </w:p>
    <w:p w14:paraId="33BB9BE2" w14:textId="77777777" w:rsidR="004547C5" w:rsidRDefault="00A031B9">
      <w:pPr>
        <w:spacing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3F57FBED" w14:textId="77777777" w:rsidR="004547C5" w:rsidRDefault="00A031B9">
      <w:pPr>
        <w:spacing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 xml:space="preserve">Artículo 195.- Las Tablas de Valores Unitarios de Suelo y Construcciones, se actualizarán, por las autoridades en la materia; en los términos siguientes: </w:t>
      </w:r>
    </w:p>
    <w:p w14:paraId="2D68903C" w14:textId="77777777" w:rsidR="004547C5" w:rsidRDefault="00A031B9">
      <w:pPr>
        <w:numPr>
          <w:ilvl w:val="0"/>
          <w:numId w:val="1"/>
        </w:numPr>
        <w:pBdr>
          <w:top w:val="nil"/>
          <w:left w:val="nil"/>
          <w:bottom w:val="nil"/>
          <w:right w:val="nil"/>
          <w:between w:val="nil"/>
        </w:pBdr>
        <w:spacing w:after="240" w:line="276" w:lineRule="auto"/>
        <w:ind w:left="567" w:right="851" w:hanging="14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u w:val="single"/>
        </w:rPr>
        <w:t>La autoridad catastral municipal</w:t>
      </w:r>
      <w:r>
        <w:rPr>
          <w:rFonts w:ascii="Palatino Linotype" w:eastAsia="Palatino Linotype" w:hAnsi="Palatino Linotype" w:cs="Palatino Linotype"/>
          <w:b/>
          <w:i/>
          <w:color w:val="000000"/>
          <w:sz w:val="22"/>
          <w:szCs w:val="22"/>
        </w:rPr>
        <w:t xml:space="preserve"> en coordinación con el IGECEM, de acuerdo a la normatividad establecida en el Reglamento de este Título y en el Manual Catastral, </w:t>
      </w:r>
      <w:r>
        <w:rPr>
          <w:rFonts w:ascii="Palatino Linotype" w:eastAsia="Palatino Linotype" w:hAnsi="Palatino Linotype" w:cs="Palatino Linotype"/>
          <w:b/>
          <w:i/>
          <w:color w:val="000000"/>
          <w:sz w:val="22"/>
          <w:szCs w:val="22"/>
          <w:u w:val="single"/>
        </w:rPr>
        <w:t>elaborará las propuestas para la modificación y actualización de áreas homogéneas, bandas de valor, manzanas, códigos de clave de calle y nomenclatura así como actualización de los valores unitarios de suelo y construcciones, de la totalidad del territorio municipal.</w:t>
      </w:r>
      <w:r>
        <w:rPr>
          <w:rFonts w:ascii="Palatino Linotype" w:eastAsia="Palatino Linotype" w:hAnsi="Palatino Linotype" w:cs="Palatino Linotype"/>
          <w:b/>
          <w:i/>
          <w:color w:val="000000"/>
          <w:sz w:val="22"/>
          <w:szCs w:val="22"/>
        </w:rPr>
        <w:t xml:space="preserve"> </w:t>
      </w:r>
    </w:p>
    <w:p w14:paraId="1F721F2C" w14:textId="77777777" w:rsidR="004547C5" w:rsidRDefault="00A031B9">
      <w:pPr>
        <w:pBdr>
          <w:top w:val="nil"/>
          <w:left w:val="nil"/>
          <w:bottom w:val="nil"/>
          <w:right w:val="nil"/>
          <w:between w:val="nil"/>
        </w:pBdr>
        <w:spacing w:after="240" w:line="276" w:lineRule="auto"/>
        <w:ind w:left="567" w:right="851"/>
        <w:jc w:val="both"/>
        <w:rPr>
          <w:rFonts w:ascii="Palatino Linotype" w:eastAsia="Palatino Linotype" w:hAnsi="Palatino Linotype" w:cs="Palatino Linotype"/>
          <w:b/>
          <w:i/>
          <w:color w:val="000000"/>
          <w:sz w:val="22"/>
          <w:szCs w:val="22"/>
          <w:u w:val="single"/>
        </w:rPr>
      </w:pPr>
      <w:r>
        <w:rPr>
          <w:rFonts w:ascii="Palatino Linotype" w:eastAsia="Palatino Linotype" w:hAnsi="Palatino Linotype" w:cs="Palatino Linotype"/>
          <w:i/>
          <w:color w:val="000000"/>
          <w:sz w:val="22"/>
          <w:szCs w:val="22"/>
        </w:rPr>
        <w:t xml:space="preserve">Para mantener la homogeneidad y la congruencia técnica de la información, </w:t>
      </w:r>
      <w:r>
        <w:rPr>
          <w:rFonts w:ascii="Palatino Linotype" w:eastAsia="Palatino Linotype" w:hAnsi="Palatino Linotype" w:cs="Palatino Linotype"/>
          <w:b/>
          <w:i/>
          <w:color w:val="000000"/>
          <w:sz w:val="22"/>
          <w:szCs w:val="22"/>
          <w:u w:val="single"/>
        </w:rPr>
        <w:t xml:space="preserve">la autoridad catastral municipal presentará para su revisión al IGECEM, las propuestas acompañadas de los soportes técnicos que sustenten las actualizaciones, durante el período comprendido entre el uno de enero y el treinta de junio de cada año, con el fin de solicitar al Instituto la opinión técnica correspondiente. </w:t>
      </w:r>
    </w:p>
    <w:p w14:paraId="7822987F" w14:textId="77777777" w:rsidR="004547C5" w:rsidRDefault="00A031B9">
      <w:pPr>
        <w:pBdr>
          <w:top w:val="nil"/>
          <w:left w:val="nil"/>
          <w:bottom w:val="nil"/>
          <w:right w:val="nil"/>
          <w:between w:val="nil"/>
        </w:pBdr>
        <w:spacing w:after="240" w:line="276" w:lineRule="auto"/>
        <w:ind w:left="567"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Los soportes técnicos a que se hace mención en el párrafo anterior, se conforman por la documentación que contiene los estudios con los que se acredita que los valores unitarios de suelo y construcciones propuestos, son equiparables a los valores de mercado, así como los gráficos correspondientes. </w:t>
      </w:r>
    </w:p>
    <w:p w14:paraId="62414535" w14:textId="77777777" w:rsidR="004547C5" w:rsidRDefault="00A031B9">
      <w:pPr>
        <w:pBdr>
          <w:top w:val="nil"/>
          <w:left w:val="nil"/>
          <w:bottom w:val="nil"/>
          <w:right w:val="nil"/>
          <w:between w:val="nil"/>
        </w:pBdr>
        <w:spacing w:after="240" w:line="276" w:lineRule="auto"/>
        <w:ind w:left="567"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Los valores unitarios de suelo de las áreas homogéneas de tipo especial, clasificadas como ruinas o sitios arqueológicos, cuerpos de agua y reservas naturales o áreas naturales protegidas, deberán ser simbólicos por no ser objeto de comercialización, por lo que no requieren actualización ni presentación de soportes técnicos. </w:t>
      </w:r>
    </w:p>
    <w:p w14:paraId="7D08F2DE" w14:textId="77777777" w:rsidR="004547C5" w:rsidRDefault="00A031B9">
      <w:pPr>
        <w:pBdr>
          <w:top w:val="nil"/>
          <w:left w:val="nil"/>
          <w:bottom w:val="nil"/>
          <w:right w:val="nil"/>
          <w:between w:val="nil"/>
        </w:pBdr>
        <w:spacing w:after="240" w:line="276" w:lineRule="auto"/>
        <w:ind w:left="567"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Para efectos de este Título, se entenderá por valor de mercado a la expresión en términos monetarios por unidad de medida, resultado de una investigación de precios de inmuebles comparables dentro del área homogénea o banda de valor en estudio, obtenidos en un período de tiempo razonable y en un mercado inmobiliario abierto donde imperen condiciones libres de toda coacción entre la oferta y la demanda, información que permite, mediante un proceso de análisis estadístico, obtener un valor promedio aplicable en el área homogénea o banda de valor de que se trate. </w:t>
      </w:r>
    </w:p>
    <w:p w14:paraId="5B5A2F13" w14:textId="77777777" w:rsidR="004547C5" w:rsidRDefault="00A031B9">
      <w:pPr>
        <w:numPr>
          <w:ilvl w:val="0"/>
          <w:numId w:val="1"/>
        </w:numPr>
        <w:pBdr>
          <w:top w:val="nil"/>
          <w:left w:val="nil"/>
          <w:bottom w:val="nil"/>
          <w:right w:val="nil"/>
          <w:between w:val="nil"/>
        </w:pBdr>
        <w:spacing w:after="240" w:line="276" w:lineRule="auto"/>
        <w:ind w:left="567" w:right="851" w:hanging="141"/>
        <w:jc w:val="both"/>
        <w:rPr>
          <w:rFonts w:ascii="Palatino Linotype" w:eastAsia="Palatino Linotype" w:hAnsi="Palatino Linotype" w:cs="Palatino Linotype"/>
          <w:b/>
          <w:i/>
          <w:color w:val="000000"/>
          <w:sz w:val="22"/>
          <w:szCs w:val="22"/>
          <w:u w:val="single"/>
        </w:rPr>
      </w:pPr>
      <w:r>
        <w:rPr>
          <w:rFonts w:ascii="Palatino Linotype" w:eastAsia="Palatino Linotype" w:hAnsi="Palatino Linotype" w:cs="Palatino Linotype"/>
          <w:b/>
          <w:i/>
          <w:color w:val="000000"/>
          <w:sz w:val="22"/>
          <w:szCs w:val="22"/>
          <w:u w:val="single"/>
        </w:rPr>
        <w:lastRenderedPageBreak/>
        <w:t xml:space="preserve">Las propuestas y los soportes técnicos a que se refiere la fracción anterior, serán revisadas técnicamente por el IGECEM durante los meses de julio y agosto de cada año, a efecto de que cumplan con lo dispuesto en este Título, su Reglamento y en el Manual Catastral, que hayan sido elaboradas de acuerdo con los instructivos y formatos autorizados. </w:t>
      </w:r>
    </w:p>
    <w:p w14:paraId="2DCCD2A1" w14:textId="77777777" w:rsidR="004547C5" w:rsidRDefault="00A031B9">
      <w:pPr>
        <w:pBdr>
          <w:top w:val="nil"/>
          <w:left w:val="nil"/>
          <w:bottom w:val="nil"/>
          <w:right w:val="nil"/>
          <w:between w:val="nil"/>
        </w:pBdr>
        <w:spacing w:after="240" w:line="276" w:lineRule="auto"/>
        <w:ind w:left="567"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El IGECEM enviará la opinión técnica correspondiente durante los primeros siete días de septiembre a la autoridad catastral municipal para la integración del proyecto municipal de Tablas de Valores Unitarios de Suelo y Construcciones. </w:t>
      </w:r>
    </w:p>
    <w:p w14:paraId="25B94574" w14:textId="77777777" w:rsidR="004547C5" w:rsidRDefault="00A031B9">
      <w:pPr>
        <w:pBdr>
          <w:top w:val="nil"/>
          <w:left w:val="nil"/>
          <w:bottom w:val="nil"/>
          <w:right w:val="nil"/>
          <w:between w:val="nil"/>
        </w:pBdr>
        <w:spacing w:after="240" w:line="276" w:lineRule="auto"/>
        <w:ind w:left="567" w:right="851"/>
        <w:jc w:val="both"/>
        <w:rPr>
          <w:rFonts w:ascii="Palatino Linotype" w:eastAsia="Palatino Linotype" w:hAnsi="Palatino Linotype" w:cs="Palatino Linotype"/>
          <w:b/>
          <w:i/>
          <w:color w:val="000000"/>
          <w:sz w:val="22"/>
          <w:szCs w:val="22"/>
          <w:u w:val="single"/>
        </w:rPr>
      </w:pPr>
      <w:r>
        <w:rPr>
          <w:rFonts w:ascii="Palatino Linotype" w:eastAsia="Palatino Linotype" w:hAnsi="Palatino Linotype" w:cs="Palatino Linotype"/>
          <w:b/>
          <w:i/>
          <w:color w:val="000000"/>
          <w:sz w:val="22"/>
          <w:szCs w:val="22"/>
          <w:u w:val="single"/>
        </w:rPr>
        <w:t>El Ayuntamiento en sesión de cabildo, validará el Proyecto Municipal de Tablas de Valores Unitarios de Suelo y Construcciones y los soportes técnicos que lo sustentan, elaborado por la autoridad catastral municipal, tomando en consideración en todo momento, la opinión técnica emitida por el IGECEM respecto a este proyecto e integrará la iniciativa correspondiente, que enviará a la Legislatura a más tardar el día quince de octubre, en los términos que dispone el Reglamento de este Título.</w:t>
      </w:r>
    </w:p>
    <w:p w14:paraId="4FAA3A3F" w14:textId="77777777" w:rsidR="004547C5" w:rsidRDefault="00A031B9">
      <w:pPr>
        <w:numPr>
          <w:ilvl w:val="0"/>
          <w:numId w:val="1"/>
        </w:numPr>
        <w:pBdr>
          <w:top w:val="nil"/>
          <w:left w:val="nil"/>
          <w:bottom w:val="nil"/>
          <w:right w:val="nil"/>
          <w:between w:val="nil"/>
        </w:pBdr>
        <w:spacing w:after="240" w:line="276" w:lineRule="auto"/>
        <w:ind w:left="567" w:right="851" w:hanging="283"/>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A la recepción de las iniciativas municipales de actualización de las Tablas de Valores Unitarios de Suelo y Construcciones, la Legislatura verificará que los soportes documentales coincidan con aquellos revisados técnicamente por el IGECEM y en su caso, las aprobará durante los primeros quince días del mes de noviembre. </w:t>
      </w:r>
    </w:p>
    <w:p w14:paraId="50896B30" w14:textId="77777777" w:rsidR="004547C5" w:rsidRDefault="00A031B9">
      <w:pPr>
        <w:spacing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Cuando de la verificación a que alude el párrafo anterior, se determine que alguna iniciativa municipal de actualización de las Tablas de Valores Unitarios de Suelo y Construcciones no contiene los soportes documentales o éstos no coinciden con los revisados técnicamente por el IGECEM, la Legislatura otorgará un plazo improrrogable de quince días naturales a efecto de que corrija la omisión y presenten los sustentos que permitan acreditar que los valores unitarios de suelo o construcciones propuestos, son equiparables a los valores de mercado y previo análisis en lo particular, la Legislatura determinará lo conducente. </w:t>
      </w:r>
    </w:p>
    <w:p w14:paraId="42E1E448" w14:textId="77777777" w:rsidR="004547C5" w:rsidRDefault="00A031B9">
      <w:pPr>
        <w:spacing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En los casos de iniciativas municipales de actualización de las Tablas de Valores Unitarios de Suelo y Construcciones que se presenten ratificando </w:t>
      </w:r>
      <w:r>
        <w:rPr>
          <w:rFonts w:ascii="Palatino Linotype" w:eastAsia="Palatino Linotype" w:hAnsi="Palatino Linotype" w:cs="Palatino Linotype"/>
          <w:b/>
          <w:i/>
          <w:sz w:val="22"/>
          <w:szCs w:val="22"/>
        </w:rPr>
        <w:lastRenderedPageBreak/>
        <w:t xml:space="preserve">total o parcialmente los valores unitarios de suelo, a efecto de aplicar los que estuvieron vigentes en el ejercicio fiscal anterior, sin acreditar esta ratificación con los soportes técnicos necesarios, la Legislatura otorgará un plazo improrrogable de quince días naturales para que presenten los sustentos documentales que permitan acreditar que los valores unitarios de suelo ratificados, son equiparables a los valores de mercado en las áreas homogéneas correspondientes; en caso de incumplimiento, se aplicará un factor de actualización anual determinado por el Índice Nacional de Precios al Consumidor durante el periodo comprendido entre septiembre del año anterior a septiembre del año en que se presenta la iniciativa, publicados en el Periódico Oficial correspondiente. </w:t>
      </w:r>
    </w:p>
    <w:p w14:paraId="6EFF81CF" w14:textId="77777777" w:rsidR="004547C5" w:rsidRDefault="00A031B9">
      <w:pPr>
        <w:spacing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Tratándose de los ayuntamientos que no presenten ante la Legislatura su iniciativa municipal de actualización de las Tablas de Valores Unitarios de Suelo y Construcciones en los términos establecidos en este Código, la Legislatura otorgará un plazo improrrogable de cinco días a efecto de que el ayuntamiento presente su iniciativa, en caso de incumplimiento, con los elementos que le proporcione el IGECEM, determinará lo procedente. Los valores unitarios aprobados iniciarán si vigencia a partir del primer día del mes de enero del siguiente año.</w:t>
      </w:r>
    </w:p>
    <w:p w14:paraId="5B23D25E" w14:textId="77777777" w:rsidR="004547C5" w:rsidRDefault="00A031B9">
      <w:pPr>
        <w:spacing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 IV. El Ayuntamiento remitirá al IGECEM copia certificada del acuerdo contenido en el acta de cabildo de la sesión a que alude el segundo párrafo de la fracción II de este artículo, a más tardar el día quince de octubre.” </w:t>
      </w:r>
      <w:r>
        <w:rPr>
          <w:rFonts w:ascii="Palatino Linotype" w:eastAsia="Palatino Linotype" w:hAnsi="Palatino Linotype" w:cs="Palatino Linotype"/>
          <w:i/>
          <w:sz w:val="22"/>
          <w:szCs w:val="22"/>
        </w:rPr>
        <w:t>(Sic) (Énfasis añadido)</w:t>
      </w:r>
    </w:p>
    <w:p w14:paraId="084A36D8" w14:textId="77777777" w:rsidR="00472E5C" w:rsidRDefault="00A031B9">
      <w:pPr>
        <w:spacing w:before="240" w:after="240" w:line="360" w:lineRule="auto"/>
        <w:jc w:val="both"/>
        <w:rPr>
          <w:rFonts w:ascii="Palatino Linotype" w:eastAsia="Palatino Linotype" w:hAnsi="Palatino Linotype" w:cs="Palatino Linotype"/>
        </w:rPr>
      </w:pPr>
      <w:bookmarkStart w:id="0" w:name="_heading=h.gjdgxs" w:colFirst="0" w:colLast="0"/>
      <w:bookmarkEnd w:id="0"/>
      <w:r>
        <w:rPr>
          <w:rFonts w:ascii="Palatino Linotype" w:eastAsia="Palatino Linotype" w:hAnsi="Palatino Linotype" w:cs="Palatino Linotype"/>
        </w:rPr>
        <w:t xml:space="preserve">De lo anteriormente citado, se advierte que los documentos que requiere el particular, versan sobre las propuestas remitidas por la autoridad municipal, específicamente la Tesorería Municipal por conducto de su unidad de catastro al Instituto de Información e Investigación Geográfica, Estadística y Catastral del Estado de México (IGECEM), </w:t>
      </w:r>
      <w:r w:rsidR="00472E5C">
        <w:rPr>
          <w:rFonts w:ascii="Palatino Linotype" w:eastAsia="Palatino Linotype" w:hAnsi="Palatino Linotype" w:cs="Palatino Linotype"/>
        </w:rPr>
        <w:t xml:space="preserve">es de resaltar que </w:t>
      </w:r>
      <w:r w:rsidR="00472E5C" w:rsidRPr="002C562A">
        <w:rPr>
          <w:rFonts w:ascii="Palatino Linotype" w:eastAsia="Palatino Linotype" w:hAnsi="Palatino Linotype" w:cs="Palatino Linotype"/>
          <w:b/>
        </w:rPr>
        <w:t>este proceso puede darse entre el periodo comprendido del uno de enero hasta el treinta de junio</w:t>
      </w:r>
      <w:r w:rsidR="00472E5C">
        <w:rPr>
          <w:rFonts w:ascii="Palatino Linotype" w:eastAsia="Palatino Linotype" w:hAnsi="Palatino Linotype" w:cs="Palatino Linotype"/>
        </w:rPr>
        <w:t>,</w:t>
      </w:r>
      <w:r w:rsidR="002C562A">
        <w:rPr>
          <w:rFonts w:ascii="Palatino Linotype" w:eastAsia="Palatino Linotype" w:hAnsi="Palatino Linotype" w:cs="Palatino Linotype"/>
        </w:rPr>
        <w:t xml:space="preserve"> con la finalidad de solicitar al IGECEM, la opinión técnica correspondiente</w:t>
      </w:r>
      <w:r w:rsidR="00472E5C">
        <w:rPr>
          <w:rFonts w:ascii="Palatino Linotype" w:eastAsia="Palatino Linotype" w:hAnsi="Palatino Linotype" w:cs="Palatino Linotype"/>
        </w:rPr>
        <w:t xml:space="preserve"> tal como señala el </w:t>
      </w:r>
      <w:r w:rsidR="00472E5C">
        <w:rPr>
          <w:rFonts w:ascii="Palatino Linotype" w:eastAsia="Palatino Linotype" w:hAnsi="Palatino Linotype" w:cs="Palatino Linotype"/>
        </w:rPr>
        <w:lastRenderedPageBreak/>
        <w:t>artículo 195, fracci</w:t>
      </w:r>
      <w:r w:rsidR="002C562A">
        <w:rPr>
          <w:rFonts w:ascii="Palatino Linotype" w:eastAsia="Palatino Linotype" w:hAnsi="Palatino Linotype" w:cs="Palatino Linotype"/>
        </w:rPr>
        <w:t xml:space="preserve">ón primera, párrafo segundo, </w:t>
      </w:r>
      <w:r w:rsidR="00472E5C">
        <w:rPr>
          <w:rFonts w:ascii="Palatino Linotype" w:eastAsia="Palatino Linotype" w:hAnsi="Palatino Linotype" w:cs="Palatino Linotype"/>
        </w:rPr>
        <w:t xml:space="preserve">del Código Financiero del Estado de México, mismo que se inserta a continuación con la finalidad de reiterar esta circunstancia:  </w:t>
      </w:r>
    </w:p>
    <w:p w14:paraId="2226B604" w14:textId="77777777" w:rsidR="00472E5C" w:rsidRPr="00472E5C" w:rsidRDefault="00472E5C" w:rsidP="00472E5C">
      <w:pPr>
        <w:spacing w:before="240" w:after="240" w:line="276" w:lineRule="auto"/>
        <w:ind w:left="567" w:right="851"/>
        <w:jc w:val="both"/>
        <w:rPr>
          <w:rFonts w:ascii="Palatino Linotype" w:eastAsia="Palatino Linotype" w:hAnsi="Palatino Linotype" w:cs="Palatino Linotype"/>
          <w:i/>
          <w:sz w:val="22"/>
        </w:rPr>
      </w:pPr>
      <w:r>
        <w:rPr>
          <w:rFonts w:ascii="Palatino Linotype" w:eastAsia="Palatino Linotype" w:hAnsi="Palatino Linotype" w:cs="Palatino Linotype"/>
          <w:i/>
          <w:sz w:val="22"/>
        </w:rPr>
        <w:t>“</w:t>
      </w:r>
      <w:r w:rsidRPr="00472E5C">
        <w:rPr>
          <w:rFonts w:ascii="Palatino Linotype" w:eastAsia="Palatino Linotype" w:hAnsi="Palatino Linotype" w:cs="Palatino Linotype"/>
          <w:i/>
          <w:sz w:val="22"/>
        </w:rPr>
        <w:t xml:space="preserve">Artículo 195.- Las Tablas de Valores Unitarios de Suelo y Construcciones, se actualizarán, por las autoridades en la materia; en los términos siguientes: </w:t>
      </w:r>
    </w:p>
    <w:p w14:paraId="42217E1C" w14:textId="77777777" w:rsidR="00472E5C" w:rsidRPr="00472E5C" w:rsidRDefault="00472E5C" w:rsidP="00472E5C">
      <w:pPr>
        <w:spacing w:before="240" w:after="240" w:line="276" w:lineRule="auto"/>
        <w:ind w:left="567" w:right="851"/>
        <w:jc w:val="both"/>
        <w:rPr>
          <w:rFonts w:ascii="Palatino Linotype" w:eastAsia="Palatino Linotype" w:hAnsi="Palatino Linotype" w:cs="Palatino Linotype"/>
          <w:b/>
          <w:i/>
          <w:sz w:val="22"/>
        </w:rPr>
      </w:pPr>
      <w:r w:rsidRPr="00472E5C">
        <w:rPr>
          <w:rFonts w:ascii="Palatino Linotype" w:eastAsia="Palatino Linotype" w:hAnsi="Palatino Linotype" w:cs="Palatino Linotype"/>
          <w:i/>
          <w:sz w:val="22"/>
        </w:rPr>
        <w:t>I.</w:t>
      </w:r>
      <w:r w:rsidRPr="00472E5C">
        <w:rPr>
          <w:rFonts w:ascii="Palatino Linotype" w:eastAsia="Palatino Linotype" w:hAnsi="Palatino Linotype" w:cs="Palatino Linotype"/>
          <w:b/>
          <w:i/>
          <w:sz w:val="22"/>
        </w:rPr>
        <w:t xml:space="preserve">La autoridad catastral municipal en coordinación con el IGECEM, de acuerdo a la normatividad establecida en el Reglamento de este Título y en el Manual Catastral, elaborará las propuestas para la modificación y actualización de áreas homogéneas, bandas de valor, manzanas, códigos de clave de calle y nomenclatura así como actualización de los valores unitarios de suelo y construcciones, de la totalidad del territorio municipal. </w:t>
      </w:r>
    </w:p>
    <w:p w14:paraId="19EFDD07" w14:textId="77777777" w:rsidR="00472E5C" w:rsidRPr="00472E5C" w:rsidRDefault="00472E5C" w:rsidP="00472E5C">
      <w:pPr>
        <w:spacing w:before="240" w:after="240" w:line="276" w:lineRule="auto"/>
        <w:ind w:left="567" w:right="851"/>
        <w:jc w:val="both"/>
        <w:rPr>
          <w:rFonts w:ascii="Palatino Linotype" w:eastAsia="Palatino Linotype" w:hAnsi="Palatino Linotype" w:cs="Palatino Linotype"/>
          <w:i/>
          <w:sz w:val="22"/>
        </w:rPr>
      </w:pPr>
      <w:r w:rsidRPr="00472E5C">
        <w:rPr>
          <w:rFonts w:ascii="Palatino Linotype" w:eastAsia="Palatino Linotype" w:hAnsi="Palatino Linotype" w:cs="Palatino Linotype"/>
          <w:b/>
          <w:i/>
          <w:sz w:val="22"/>
        </w:rPr>
        <w:t xml:space="preserve">Para mantener la homogeneidad y la congruencia técnica de la información, </w:t>
      </w:r>
      <w:r w:rsidRPr="002C562A">
        <w:rPr>
          <w:rFonts w:ascii="Palatino Linotype" w:eastAsia="Palatino Linotype" w:hAnsi="Palatino Linotype" w:cs="Palatino Linotype"/>
          <w:b/>
          <w:i/>
          <w:sz w:val="22"/>
          <w:u w:val="single"/>
        </w:rPr>
        <w:t>la autoridad catastral municipal presentará para su revisión al IGECEM, las propuestas acompañadas de los soportes técnicos que sustenten las actualizaciones, durante el período comprendido entre el uno de enero y el treinta de junio de cada año</w:t>
      </w:r>
      <w:r w:rsidRPr="00472E5C">
        <w:rPr>
          <w:rFonts w:ascii="Palatino Linotype" w:eastAsia="Palatino Linotype" w:hAnsi="Palatino Linotype" w:cs="Palatino Linotype"/>
          <w:b/>
          <w:i/>
          <w:sz w:val="22"/>
        </w:rPr>
        <w:t>, con el fin de solicitar al Instituto la opinión técnica correspondiente</w:t>
      </w:r>
      <w:r w:rsidRPr="00472E5C">
        <w:rPr>
          <w:rFonts w:ascii="Palatino Linotype" w:eastAsia="Palatino Linotype" w:hAnsi="Palatino Linotype" w:cs="Palatino Linotype"/>
          <w:i/>
          <w:sz w:val="22"/>
        </w:rPr>
        <w:t>.</w:t>
      </w:r>
      <w:r>
        <w:rPr>
          <w:rFonts w:ascii="Palatino Linotype" w:eastAsia="Palatino Linotype" w:hAnsi="Palatino Linotype" w:cs="Palatino Linotype"/>
          <w:i/>
          <w:sz w:val="22"/>
        </w:rPr>
        <w:t>”</w:t>
      </w:r>
      <w:r w:rsidR="002C562A">
        <w:rPr>
          <w:rFonts w:ascii="Palatino Linotype" w:eastAsia="Palatino Linotype" w:hAnsi="Palatino Linotype" w:cs="Palatino Linotype"/>
          <w:i/>
          <w:sz w:val="22"/>
        </w:rPr>
        <w:t xml:space="preserve"> (Sic) (Énfasis añadido)</w:t>
      </w:r>
    </w:p>
    <w:p w14:paraId="21FF1BC1" w14:textId="77777777" w:rsidR="004547C5" w:rsidRDefault="002C562A">
      <w:pPr>
        <w:spacing w:before="240" w:after="240" w:line="360" w:lineRule="auto"/>
        <w:jc w:val="both"/>
        <w:rPr>
          <w:rFonts w:ascii="Palatino Linotype" w:eastAsia="Palatino Linotype" w:hAnsi="Palatino Linotype" w:cs="Palatino Linotype"/>
          <w:highlight w:val="cyan"/>
        </w:rPr>
      </w:pPr>
      <w:r>
        <w:rPr>
          <w:rFonts w:ascii="Palatino Linotype" w:eastAsia="Palatino Linotype" w:hAnsi="Palatino Linotype" w:cs="Palatino Linotype"/>
        </w:rPr>
        <w:t>En atención a ello,</w:t>
      </w:r>
      <w:r w:rsidR="00A031B9">
        <w:rPr>
          <w:rFonts w:ascii="Palatino Linotype" w:eastAsia="Palatino Linotype" w:hAnsi="Palatino Linotype" w:cs="Palatino Linotype"/>
        </w:rPr>
        <w:t xml:space="preserve"> para satisfacer el derecho de acceso de información pública del particular, el Sujeto Obligado deberá entregar los documentos en los que consten las propuestas elaboradas por la </w:t>
      </w:r>
      <w:r w:rsidR="00A031B9" w:rsidRPr="002C562A">
        <w:rPr>
          <w:rFonts w:ascii="Palatino Linotype" w:eastAsia="Palatino Linotype" w:hAnsi="Palatino Linotype" w:cs="Palatino Linotype"/>
        </w:rPr>
        <w:t xml:space="preserve">Subdirección de Catastro, para la actualización o modificación de tablas de valores unitarios de suelo y construcción, generadas </w:t>
      </w:r>
      <w:r w:rsidR="00A031B9">
        <w:rPr>
          <w:rFonts w:ascii="Palatino Linotype" w:eastAsia="Palatino Linotype" w:hAnsi="Palatino Linotype" w:cs="Palatino Linotype"/>
        </w:rPr>
        <w:t xml:space="preserve">del primero </w:t>
      </w:r>
      <w:r w:rsidR="00A031B9" w:rsidRPr="002C562A">
        <w:rPr>
          <w:rFonts w:ascii="Palatino Linotype" w:eastAsia="Palatino Linotype" w:hAnsi="Palatino Linotype" w:cs="Palatino Linotype"/>
        </w:rPr>
        <w:t>al doce de enero de dos mil veintidós</w:t>
      </w:r>
      <w:r w:rsidR="00A031B9">
        <w:rPr>
          <w:rFonts w:ascii="Palatino Linotype" w:eastAsia="Palatino Linotype" w:hAnsi="Palatino Linotype" w:cs="Palatino Linotype"/>
        </w:rPr>
        <w:t>, de ser procedente en versión pública</w:t>
      </w:r>
      <w:r w:rsidR="00A031B9" w:rsidRPr="002C562A">
        <w:rPr>
          <w:rFonts w:ascii="Palatino Linotype" w:eastAsia="Palatino Linotype" w:hAnsi="Palatino Linotype" w:cs="Palatino Linotype"/>
        </w:rPr>
        <w:t xml:space="preserve">. </w:t>
      </w:r>
    </w:p>
    <w:p w14:paraId="52D87628" w14:textId="77777777" w:rsidR="004547C5" w:rsidRDefault="00A031B9">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Ahora bien, no escapa de la óptica de este organismo garante que el requerimiento de información del particular data consta en información generada del uno al doce  de enero de dos mil veintidós, por lo que derivado de la temporalidad, es probable que no se haya generado información al respecto, es por ello que siguiendo a </w:t>
      </w:r>
      <w:r>
        <w:rPr>
          <w:rFonts w:ascii="Palatino Linotype" w:eastAsia="Palatino Linotype" w:hAnsi="Palatino Linotype" w:cs="Palatino Linotype"/>
        </w:rPr>
        <w:lastRenderedPageBreak/>
        <w:t xml:space="preserve">cabalidad los procesos y procedimientos que conforme a derecho deben de seguir las dependencias y en este caso los ayuntamientos para las requisiciones, se estima procedente ordenar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efectúe una búsqueda exhaustiva y razonable al interior de los archivos de la Subdirección de Catastro para efecto de localizar las copias de todas los documentos en los que consten las propuestas elaboradas por la Subdirección de Catastro, para la actualización o modificación de tablas de valores unitarios de suelo y construcción, generadas al doce de enero de dos mil veintidós, sin embargo,</w:t>
      </w:r>
      <w:r>
        <w:rPr>
          <w:rFonts w:ascii="Palatino Linotype" w:eastAsia="Palatino Linotype" w:hAnsi="Palatino Linotype" w:cs="Palatino Linotype"/>
          <w:color w:val="000000"/>
        </w:rPr>
        <w:t xml:space="preserve"> de ser el caso en el que derivado de una búsqueda exhaustiva y razonable no se locali</w:t>
      </w:r>
      <w:r>
        <w:rPr>
          <w:rFonts w:ascii="Palatino Linotype" w:eastAsia="Palatino Linotype" w:hAnsi="Palatino Linotype" w:cs="Palatino Linotype"/>
        </w:rPr>
        <w:t>ce</w:t>
      </w:r>
      <w:r>
        <w:rPr>
          <w:rFonts w:ascii="Palatino Linotype" w:eastAsia="Palatino Linotype" w:hAnsi="Palatino Linotype" w:cs="Palatino Linotype"/>
          <w:color w:val="000000"/>
        </w:rPr>
        <w:t xml:space="preserve"> la información requerida, deberá manifestarse a la parte solicitante de manera fundada y motivada</w:t>
      </w:r>
      <w:r w:rsidR="002C562A">
        <w:rPr>
          <w:rFonts w:ascii="Palatino Linotype" w:eastAsia="Palatino Linotype" w:hAnsi="Palatino Linotype" w:cs="Palatino Linotype"/>
          <w:color w:val="000000"/>
        </w:rPr>
        <w:t xml:space="preserve"> en términos del segundo párrafo del artículo 19 de la Ley de Transparencia</w:t>
      </w:r>
      <w:r>
        <w:rPr>
          <w:rFonts w:ascii="Palatino Linotype" w:eastAsia="Palatino Linotype" w:hAnsi="Palatino Linotype" w:cs="Palatino Linotype"/>
          <w:color w:val="000000"/>
        </w:rPr>
        <w:t xml:space="preserve">, toda vez que así se </w:t>
      </w:r>
      <w:r w:rsidRPr="002C562A">
        <w:rPr>
          <w:rFonts w:ascii="Palatino Linotype" w:eastAsia="Palatino Linotype" w:hAnsi="Palatino Linotype" w:cs="Palatino Linotype"/>
          <w:color w:val="000000"/>
        </w:rPr>
        <w:t>brinda certeza jurídica a los particulares</w:t>
      </w:r>
      <w:r>
        <w:rPr>
          <w:rFonts w:ascii="Palatino Linotype" w:eastAsia="Palatino Linotype" w:hAnsi="Palatino Linotype" w:cs="Palatino Linotype"/>
          <w:color w:val="000000"/>
        </w:rPr>
        <w:t xml:space="preserve"> de que se agotó el procedimiento previsto por la normatividad. </w:t>
      </w:r>
    </w:p>
    <w:p w14:paraId="5539BB77" w14:textId="77777777" w:rsidR="004547C5" w:rsidRDefault="004547C5">
      <w:pPr>
        <w:spacing w:line="360" w:lineRule="auto"/>
        <w:jc w:val="both"/>
        <w:rPr>
          <w:rFonts w:ascii="Palatino Linotype" w:eastAsia="Palatino Linotype" w:hAnsi="Palatino Linotype" w:cs="Palatino Linotype"/>
        </w:rPr>
      </w:pPr>
    </w:p>
    <w:p w14:paraId="22D9A364" w14:textId="77777777" w:rsidR="004547C5" w:rsidRDefault="00A031B9">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“FUNDAMENTACIÓN Y MOTIVACIÓN DE LOS ACTOS ADMINISTRATIVOS</w:t>
      </w:r>
      <w:r>
        <w:rPr>
          <w:rFonts w:ascii="Palatino Linotype" w:eastAsia="Palatino Linotype" w:hAnsi="Palatino Linotype" w:cs="Palatino Linotype"/>
          <w:i/>
          <w:sz w:val="22"/>
          <w:szCs w:val="22"/>
        </w:rPr>
        <w:t xml:space="preserve">. De acuerdo con  el artículo 16 constitucional, </w:t>
      </w:r>
      <w:r>
        <w:rPr>
          <w:rFonts w:ascii="Palatino Linotype" w:eastAsia="Palatino Linotype" w:hAnsi="Palatino Linotype" w:cs="Palatino Linotype"/>
          <w:b/>
          <w:i/>
          <w:sz w:val="22"/>
          <w:szCs w:val="22"/>
          <w:u w:val="single"/>
        </w:rPr>
        <w:t>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w:t>
      </w:r>
      <w:r>
        <w:rPr>
          <w:rFonts w:ascii="Palatino Linotype" w:eastAsia="Palatino Linotype" w:hAnsi="Palatino Linotype" w:cs="Palatino Linotype"/>
          <w:i/>
          <w:sz w:val="22"/>
          <w:szCs w:val="22"/>
        </w:rPr>
        <w:t xml:space="preserve">.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w:t>
      </w:r>
      <w:r>
        <w:rPr>
          <w:rFonts w:ascii="Palatino Linotype" w:eastAsia="Palatino Linotype" w:hAnsi="Palatino Linotype" w:cs="Palatino Linotype"/>
          <w:i/>
          <w:sz w:val="22"/>
          <w:szCs w:val="22"/>
        </w:rPr>
        <w:lastRenderedPageBreak/>
        <w:t>cuerpos legales y preceptos que se estén aplicando al caso concreto, es decir, los supuestos normativos en que se encuadra la conducta del gobernado para que esté obligado al pago, que serán señalados con toda exactitud, precisándose los incisos, subincisos, fracciones y preceptos aplicable, y b).- Los cuerpos legales y preceptos que otorgan competencia o facultades a las autoridades para emitir el acto en agravio del gobernado.”</w:t>
      </w:r>
    </w:p>
    <w:p w14:paraId="125E0108" w14:textId="77777777" w:rsidR="004547C5" w:rsidRDefault="00A031B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no escapa de la óptica de este Organismo Garante que el particular, a través de su recurso de revisión, solicitó a este Instituto, se le diera vista a la Contraloría Interna y Órgano de Control y Vigilancia en términos de la Ley de Responsabilidades de los Servidores Públicos del Estado y Municipios, a efectos de que dicho Órgano determinara el grado de responsabilidad, al considerar posibles causas de responsabilidad administrativa por el incumplimiento a las disposiciones previstas en los artículos 161, 163 segundo párrafo y 177 de la Ley de Transparencia y Acceso a la Información Pública del Estado de México y Municipios, sin embargo, es preciso hacer de su conocimiento que el recurso de revisión no es la vía para instaurar procedimientos de responsabilidad administrativa, no obstante, se dejan a salvo sus derechos para que en caso de considerarlo oportuno a sus intereses, ejerza dicha acción ante las instancias correspondientes.</w:t>
      </w:r>
    </w:p>
    <w:p w14:paraId="3B5A513F" w14:textId="77777777" w:rsidR="004547C5" w:rsidRDefault="00A031B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resulta procedente revocar la respuesta en términos de la fracción III del artículo 186 de la Ley de Transparencia y Acceso a la Información Pública del Estado de México y Municipios, a efectos de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entregue la información requerida en versión pública de ser procedente, tal como se detalla en el siguiente considerando.</w:t>
      </w:r>
    </w:p>
    <w:p w14:paraId="12EBA05A" w14:textId="77777777" w:rsidR="004547C5" w:rsidRDefault="00A031B9">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 xml:space="preserve">Finalmente para la entrega de los soportes documentales que deberá proporcionar el sujeto obligado para dar satisfacción de la derecho </w:t>
      </w:r>
      <w:r>
        <w:rPr>
          <w:rFonts w:ascii="Palatino Linotype" w:eastAsia="Palatino Linotype" w:hAnsi="Palatino Linotype" w:cs="Palatino Linotype"/>
        </w:rPr>
        <w:lastRenderedPageBreak/>
        <w:t xml:space="preserve">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74735497" w14:textId="77777777" w:rsidR="004547C5" w:rsidRDefault="00A031B9">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14:paraId="07811208" w14:textId="77777777" w:rsidR="004547C5" w:rsidRDefault="00A031B9">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Para los efectos de la presente Ley se entenderá por:</w:t>
      </w:r>
    </w:p>
    <w:p w14:paraId="7D9D630B" w14:textId="77777777" w:rsidR="004547C5" w:rsidRDefault="00A031B9">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9ED884C" w14:textId="77777777" w:rsidR="004547C5" w:rsidRDefault="00A031B9">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48928348" w14:textId="77777777" w:rsidR="004547C5" w:rsidRDefault="00A031B9">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Aquella considerada por la presente Ley como reservada o confidencial;</w:t>
      </w:r>
    </w:p>
    <w:p w14:paraId="37C3396C" w14:textId="77777777" w:rsidR="004547C5" w:rsidRDefault="00A031B9">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 Información confidencial:</w:t>
      </w:r>
      <w:r>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77EBD06" w14:textId="77777777" w:rsidR="004547C5" w:rsidRDefault="00A031B9">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34267263" w14:textId="77777777" w:rsidR="004547C5" w:rsidRDefault="00A031B9">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1FF0653" w14:textId="77777777" w:rsidR="004547C5" w:rsidRDefault="00A031B9">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91. </w:t>
      </w:r>
      <w:r>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6FA26721" w14:textId="77777777" w:rsidR="004547C5" w:rsidRDefault="00A031B9">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Artículo 132. </w:t>
      </w:r>
      <w:r>
        <w:rPr>
          <w:rFonts w:ascii="Palatino Linotype" w:eastAsia="Palatino Linotype" w:hAnsi="Palatino Linotype" w:cs="Palatino Linotype"/>
          <w:i/>
          <w:sz w:val="22"/>
          <w:szCs w:val="22"/>
        </w:rPr>
        <w:t>La clasificación de la información se llevará a cabo en el momento en que:</w:t>
      </w:r>
    </w:p>
    <w:p w14:paraId="445B5A0B" w14:textId="77777777" w:rsidR="004547C5" w:rsidRDefault="00A031B9">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Se reciba una solicitud de acceso a la información;</w:t>
      </w:r>
    </w:p>
    <w:p w14:paraId="7F9A37FA" w14:textId="77777777" w:rsidR="004547C5" w:rsidRDefault="00A031B9">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Se determine mediante resolución de autoridad competente; o</w:t>
      </w:r>
    </w:p>
    <w:p w14:paraId="5A6265CF" w14:textId="77777777" w:rsidR="004547C5" w:rsidRDefault="00A031B9">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Se generen versiones públicas para dar cumplimiento a las obligaciones de transparencia previstas en esta Ley.</w:t>
      </w:r>
    </w:p>
    <w:p w14:paraId="0BE896EF" w14:textId="77777777" w:rsidR="004547C5" w:rsidRDefault="00A031B9">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4F31567" w14:textId="77777777" w:rsidR="004547C5" w:rsidRDefault="00A031B9">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2C8914AB" w14:textId="77777777" w:rsidR="004547C5" w:rsidRDefault="00A031B9">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21EAAE87" w14:textId="77777777" w:rsidR="004547C5" w:rsidRDefault="00A031B9">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433632AE" w14:textId="77777777" w:rsidR="004547C5" w:rsidRDefault="00A031B9">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11431B8D" w14:textId="77777777" w:rsidR="004547C5" w:rsidRDefault="00A031B9">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568497A2" w14:textId="77777777" w:rsidR="004547C5" w:rsidRDefault="00A031B9">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37BA1085" w14:textId="77777777" w:rsidR="004547C5" w:rsidRDefault="00A031B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w:t>
      </w:r>
      <w:r>
        <w:rPr>
          <w:rFonts w:ascii="Palatino Linotype" w:eastAsia="Palatino Linotype" w:hAnsi="Palatino Linotype" w:cs="Palatino Linotype"/>
        </w:rPr>
        <w:lastRenderedPageBreak/>
        <w:t>generarán, en su caso, versiones públicas de expedientes o documentos que contengan partes o secciones clasificadas.</w:t>
      </w:r>
    </w:p>
    <w:p w14:paraId="7818A304" w14:textId="77777777" w:rsidR="004547C5" w:rsidRDefault="00A031B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6432D573" w14:textId="77777777" w:rsidR="004547C5" w:rsidRDefault="00A031B9">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Quincuagésimo sexto</w:t>
      </w:r>
      <w:r>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0D338681" w14:textId="77777777" w:rsidR="004547C5" w:rsidRDefault="00A031B9">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séptimo</w:t>
      </w:r>
      <w:r>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0CBBC1A8" w14:textId="77777777" w:rsidR="004547C5" w:rsidRDefault="00A031B9">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1A0105C0" w14:textId="77777777" w:rsidR="004547C5" w:rsidRDefault="00A031B9">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344667AC" w14:textId="77777777" w:rsidR="004547C5" w:rsidRDefault="00A031B9">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0C0411EC" w14:textId="77777777" w:rsidR="004547C5" w:rsidRDefault="00A031B9">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14:paraId="13303572" w14:textId="77777777" w:rsidR="004547C5" w:rsidRDefault="00A031B9">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octavo</w:t>
      </w:r>
      <w:r>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3B7F1E6C" w14:textId="77777777" w:rsidR="004547C5" w:rsidRDefault="00A031B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w:t>
      </w:r>
      <w:r>
        <w:rPr>
          <w:rFonts w:ascii="Palatino Linotype" w:eastAsia="Palatino Linotype" w:hAnsi="Palatino Linotype" w:cs="Palatino Linotype"/>
        </w:rPr>
        <w:lastRenderedPageBreak/>
        <w:t>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16BEDE11" w14:textId="77777777" w:rsidR="004547C5" w:rsidRDefault="00A031B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119"/>
        <w:gridCol w:w="1129"/>
        <w:gridCol w:w="3446"/>
      </w:tblGrid>
      <w:tr w:rsidR="004547C5" w14:paraId="76ACA0F1" w14:textId="77777777">
        <w:tc>
          <w:tcPr>
            <w:tcW w:w="4253" w:type="dxa"/>
            <w:gridSpan w:val="2"/>
            <w:tcBorders>
              <w:top w:val="nil"/>
              <w:left w:val="nil"/>
              <w:right w:val="nil"/>
            </w:tcBorders>
          </w:tcPr>
          <w:p w14:paraId="3359FAEF" w14:textId="77777777" w:rsidR="004547C5" w:rsidRDefault="00A031B9">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Parcial</w:t>
            </w:r>
          </w:p>
        </w:tc>
        <w:tc>
          <w:tcPr>
            <w:tcW w:w="4575" w:type="dxa"/>
            <w:gridSpan w:val="2"/>
            <w:tcBorders>
              <w:top w:val="nil"/>
              <w:left w:val="nil"/>
              <w:right w:val="nil"/>
            </w:tcBorders>
          </w:tcPr>
          <w:p w14:paraId="1DFC649D" w14:textId="77777777" w:rsidR="004547C5" w:rsidRDefault="00A031B9">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Total</w:t>
            </w:r>
          </w:p>
        </w:tc>
      </w:tr>
      <w:tr w:rsidR="004547C5" w14:paraId="26126345" w14:textId="77777777">
        <w:tc>
          <w:tcPr>
            <w:tcW w:w="1134" w:type="dxa"/>
          </w:tcPr>
          <w:p w14:paraId="57A72972" w14:textId="77777777" w:rsidR="004547C5" w:rsidRDefault="00A031B9">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119" w:type="dxa"/>
          </w:tcPr>
          <w:p w14:paraId="42EDE9D5" w14:textId="77777777" w:rsidR="004547C5" w:rsidRDefault="00A031B9">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c>
          <w:tcPr>
            <w:tcW w:w="1129" w:type="dxa"/>
          </w:tcPr>
          <w:p w14:paraId="3C306E0A" w14:textId="77777777" w:rsidR="004547C5" w:rsidRDefault="00A031B9">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446" w:type="dxa"/>
          </w:tcPr>
          <w:p w14:paraId="28FA516C" w14:textId="77777777" w:rsidR="004547C5" w:rsidRDefault="00A031B9">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r>
      <w:tr w:rsidR="004547C5" w14:paraId="33A2763D" w14:textId="77777777">
        <w:tc>
          <w:tcPr>
            <w:tcW w:w="8828" w:type="dxa"/>
            <w:gridSpan w:val="4"/>
          </w:tcPr>
          <w:p w14:paraId="2A770909" w14:textId="77777777" w:rsidR="004547C5" w:rsidRDefault="00A031B9">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Sello oficial o logotipo del sujeto obligado</w:t>
            </w:r>
          </w:p>
        </w:tc>
      </w:tr>
      <w:tr w:rsidR="004547C5" w14:paraId="28052E44" w14:textId="77777777">
        <w:tc>
          <w:tcPr>
            <w:tcW w:w="1134" w:type="dxa"/>
          </w:tcPr>
          <w:p w14:paraId="7A9EBF13" w14:textId="77777777" w:rsidR="004547C5" w:rsidRDefault="00A031B9">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119" w:type="dxa"/>
          </w:tcPr>
          <w:p w14:paraId="37152F98" w14:textId="77777777" w:rsidR="004547C5" w:rsidRDefault="00A031B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14:paraId="42CF9F14" w14:textId="77777777" w:rsidR="004547C5" w:rsidRDefault="00A031B9">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446" w:type="dxa"/>
          </w:tcPr>
          <w:p w14:paraId="32169955" w14:textId="77777777" w:rsidR="004547C5" w:rsidRDefault="00A031B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4547C5" w14:paraId="42EB30E9" w14:textId="77777777">
        <w:tc>
          <w:tcPr>
            <w:tcW w:w="1134" w:type="dxa"/>
          </w:tcPr>
          <w:p w14:paraId="69CCBF1E" w14:textId="77777777" w:rsidR="004547C5" w:rsidRDefault="00A031B9">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119" w:type="dxa"/>
          </w:tcPr>
          <w:p w14:paraId="6ECCC89F" w14:textId="77777777" w:rsidR="004547C5" w:rsidRDefault="00A031B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del cual es titular quien clasifica.</w:t>
            </w:r>
          </w:p>
        </w:tc>
        <w:tc>
          <w:tcPr>
            <w:tcW w:w="1129" w:type="dxa"/>
          </w:tcPr>
          <w:p w14:paraId="41397D17" w14:textId="77777777" w:rsidR="004547C5" w:rsidRDefault="00A031B9">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446" w:type="dxa"/>
          </w:tcPr>
          <w:p w14:paraId="5580A29C" w14:textId="77777777" w:rsidR="004547C5" w:rsidRDefault="00A031B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 la cual es el titular quien clasifica.</w:t>
            </w:r>
          </w:p>
        </w:tc>
      </w:tr>
      <w:tr w:rsidR="004547C5" w14:paraId="577D33D2" w14:textId="77777777">
        <w:tc>
          <w:tcPr>
            <w:tcW w:w="1134" w:type="dxa"/>
          </w:tcPr>
          <w:p w14:paraId="53C0263F" w14:textId="77777777" w:rsidR="004547C5" w:rsidRDefault="00A031B9">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Información reservada</w:t>
            </w:r>
          </w:p>
        </w:tc>
        <w:tc>
          <w:tcPr>
            <w:tcW w:w="3119" w:type="dxa"/>
          </w:tcPr>
          <w:p w14:paraId="0D88234B" w14:textId="77777777" w:rsidR="004547C5" w:rsidRDefault="00A031B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tcPr>
          <w:p w14:paraId="3ABEB702" w14:textId="77777777" w:rsidR="004547C5" w:rsidRDefault="00A031B9">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Reservado</w:t>
            </w:r>
          </w:p>
        </w:tc>
        <w:tc>
          <w:tcPr>
            <w:tcW w:w="3446" w:type="dxa"/>
          </w:tcPr>
          <w:p w14:paraId="417F9B7F" w14:textId="77777777" w:rsidR="004547C5" w:rsidRDefault="00A031B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RESERVADA.</w:t>
            </w:r>
          </w:p>
        </w:tc>
      </w:tr>
      <w:tr w:rsidR="004547C5" w14:paraId="3D9A3CF0" w14:textId="77777777">
        <w:tc>
          <w:tcPr>
            <w:tcW w:w="1134" w:type="dxa"/>
          </w:tcPr>
          <w:p w14:paraId="7939F393" w14:textId="77777777" w:rsidR="004547C5" w:rsidRDefault="00A031B9">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119" w:type="dxa"/>
          </w:tcPr>
          <w:p w14:paraId="3F424B02" w14:textId="77777777" w:rsidR="004547C5" w:rsidRDefault="00A031B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14:paraId="6D446843" w14:textId="77777777" w:rsidR="004547C5" w:rsidRDefault="00A031B9">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Periodo de reserva</w:t>
            </w:r>
          </w:p>
        </w:tc>
        <w:tc>
          <w:tcPr>
            <w:tcW w:w="3446" w:type="dxa"/>
          </w:tcPr>
          <w:p w14:paraId="7460B8B0" w14:textId="77777777" w:rsidR="004547C5" w:rsidRDefault="00A031B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4547C5" w14:paraId="1305EFB8" w14:textId="77777777">
        <w:tc>
          <w:tcPr>
            <w:tcW w:w="1134" w:type="dxa"/>
          </w:tcPr>
          <w:p w14:paraId="6120868C" w14:textId="77777777" w:rsidR="004547C5" w:rsidRDefault="00A031B9">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119" w:type="dxa"/>
          </w:tcPr>
          <w:p w14:paraId="37D68E03" w14:textId="77777777" w:rsidR="004547C5" w:rsidRDefault="00A031B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14:paraId="3D12EB2C" w14:textId="77777777" w:rsidR="004547C5" w:rsidRDefault="00A031B9">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14:paraId="19D4C7E9" w14:textId="77777777" w:rsidR="004547C5" w:rsidRDefault="00A031B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4547C5" w14:paraId="06408A79" w14:textId="77777777">
        <w:tc>
          <w:tcPr>
            <w:tcW w:w="1134" w:type="dxa"/>
          </w:tcPr>
          <w:p w14:paraId="65CA108D" w14:textId="77777777" w:rsidR="004547C5" w:rsidRDefault="00A031B9">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119" w:type="dxa"/>
          </w:tcPr>
          <w:p w14:paraId="13E9DF98" w14:textId="77777777" w:rsidR="004547C5" w:rsidRDefault="00A031B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14:paraId="0E33930D" w14:textId="77777777" w:rsidR="004547C5" w:rsidRDefault="00A031B9">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446" w:type="dxa"/>
          </w:tcPr>
          <w:p w14:paraId="6B9D227A" w14:textId="77777777" w:rsidR="004547C5" w:rsidRDefault="00A031B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4547C5" w14:paraId="3D35709D" w14:textId="77777777">
        <w:tc>
          <w:tcPr>
            <w:tcW w:w="1134" w:type="dxa"/>
          </w:tcPr>
          <w:p w14:paraId="750D0A03" w14:textId="77777777" w:rsidR="004547C5" w:rsidRDefault="00A031B9">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119" w:type="dxa"/>
          </w:tcPr>
          <w:p w14:paraId="10460EED" w14:textId="77777777" w:rsidR="004547C5" w:rsidRDefault="00A031B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14:paraId="6AB75B0F" w14:textId="77777777" w:rsidR="004547C5" w:rsidRDefault="00A031B9">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446" w:type="dxa"/>
          </w:tcPr>
          <w:p w14:paraId="172D3ACC" w14:textId="77777777" w:rsidR="004547C5" w:rsidRDefault="00A031B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CONFIDENCIAL.</w:t>
            </w:r>
          </w:p>
        </w:tc>
      </w:tr>
      <w:tr w:rsidR="004547C5" w14:paraId="47753D5D" w14:textId="77777777">
        <w:tc>
          <w:tcPr>
            <w:tcW w:w="1134" w:type="dxa"/>
          </w:tcPr>
          <w:p w14:paraId="462DFBF8" w14:textId="77777777" w:rsidR="004547C5" w:rsidRDefault="00A031B9">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119" w:type="dxa"/>
          </w:tcPr>
          <w:p w14:paraId="6D283720" w14:textId="77777777" w:rsidR="004547C5" w:rsidRDefault="00A031B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c>
          <w:tcPr>
            <w:tcW w:w="1129" w:type="dxa"/>
          </w:tcPr>
          <w:p w14:paraId="3AD7C541" w14:textId="77777777" w:rsidR="004547C5" w:rsidRDefault="00A031B9">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14:paraId="02B7278F" w14:textId="77777777" w:rsidR="004547C5" w:rsidRDefault="00A031B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4547C5" w14:paraId="52A9D1DC" w14:textId="77777777">
        <w:tc>
          <w:tcPr>
            <w:tcW w:w="1134" w:type="dxa"/>
          </w:tcPr>
          <w:p w14:paraId="77BFFD43" w14:textId="77777777" w:rsidR="004547C5" w:rsidRDefault="00A031B9">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119" w:type="dxa"/>
          </w:tcPr>
          <w:p w14:paraId="1B63FA70" w14:textId="77777777" w:rsidR="004547C5" w:rsidRDefault="00A031B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 el documento.</w:t>
            </w:r>
          </w:p>
        </w:tc>
        <w:tc>
          <w:tcPr>
            <w:tcW w:w="1129" w:type="dxa"/>
          </w:tcPr>
          <w:p w14:paraId="658B6158" w14:textId="77777777" w:rsidR="004547C5" w:rsidRDefault="00A031B9">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446" w:type="dxa"/>
          </w:tcPr>
          <w:p w14:paraId="2F2251D3" w14:textId="77777777" w:rsidR="004547C5" w:rsidRDefault="00A031B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r>
      <w:tr w:rsidR="004547C5" w14:paraId="0A2F38E9" w14:textId="77777777">
        <w:tc>
          <w:tcPr>
            <w:tcW w:w="1134" w:type="dxa"/>
          </w:tcPr>
          <w:p w14:paraId="57E4C654" w14:textId="77777777" w:rsidR="004547C5" w:rsidRDefault="00A031B9">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119" w:type="dxa"/>
          </w:tcPr>
          <w:p w14:paraId="7E996372" w14:textId="77777777" w:rsidR="004547C5" w:rsidRDefault="00A031B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c>
          <w:tcPr>
            <w:tcW w:w="1129" w:type="dxa"/>
          </w:tcPr>
          <w:p w14:paraId="5D8911EF" w14:textId="77777777" w:rsidR="004547C5" w:rsidRDefault="00A031B9">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446" w:type="dxa"/>
          </w:tcPr>
          <w:p w14:paraId="6E81F209" w14:textId="77777777" w:rsidR="004547C5" w:rsidRDefault="00A031B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w:t>
            </w:r>
          </w:p>
        </w:tc>
      </w:tr>
      <w:tr w:rsidR="004547C5" w14:paraId="42D71CF4" w14:textId="77777777">
        <w:tc>
          <w:tcPr>
            <w:tcW w:w="1134" w:type="dxa"/>
          </w:tcPr>
          <w:p w14:paraId="50A6FD03" w14:textId="77777777" w:rsidR="004547C5" w:rsidRDefault="004547C5">
            <w:pPr>
              <w:jc w:val="both"/>
              <w:rPr>
                <w:rFonts w:ascii="Palatino Linotype" w:eastAsia="Palatino Linotype" w:hAnsi="Palatino Linotype" w:cs="Palatino Linotype"/>
                <w:b/>
                <w:sz w:val="12"/>
                <w:szCs w:val="12"/>
              </w:rPr>
            </w:pPr>
          </w:p>
        </w:tc>
        <w:tc>
          <w:tcPr>
            <w:tcW w:w="3119" w:type="dxa"/>
          </w:tcPr>
          <w:p w14:paraId="31454909" w14:textId="77777777" w:rsidR="004547C5" w:rsidRDefault="004547C5">
            <w:pPr>
              <w:jc w:val="both"/>
              <w:rPr>
                <w:rFonts w:ascii="Palatino Linotype" w:eastAsia="Palatino Linotype" w:hAnsi="Palatino Linotype" w:cs="Palatino Linotype"/>
                <w:sz w:val="12"/>
                <w:szCs w:val="12"/>
              </w:rPr>
            </w:pPr>
          </w:p>
        </w:tc>
        <w:tc>
          <w:tcPr>
            <w:tcW w:w="1129" w:type="dxa"/>
          </w:tcPr>
          <w:p w14:paraId="4A0FBC28" w14:textId="77777777" w:rsidR="004547C5" w:rsidRDefault="00A031B9">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Partes o secciones reservadas o confidenciales</w:t>
            </w:r>
          </w:p>
        </w:tc>
        <w:tc>
          <w:tcPr>
            <w:tcW w:w="3446" w:type="dxa"/>
          </w:tcPr>
          <w:p w14:paraId="58B214DC" w14:textId="77777777" w:rsidR="004547C5" w:rsidRDefault="00A031B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que una vez desclasificado el expediente, subsistanpartes o secciones del mismo reservadas o confidenciales, se señalará este hecho.</w:t>
            </w:r>
          </w:p>
        </w:tc>
      </w:tr>
      <w:tr w:rsidR="004547C5" w14:paraId="2659712B" w14:textId="77777777">
        <w:tc>
          <w:tcPr>
            <w:tcW w:w="1134" w:type="dxa"/>
          </w:tcPr>
          <w:p w14:paraId="517E9F18" w14:textId="77777777" w:rsidR="004547C5" w:rsidRDefault="004547C5">
            <w:pPr>
              <w:jc w:val="both"/>
              <w:rPr>
                <w:rFonts w:ascii="Palatino Linotype" w:eastAsia="Palatino Linotype" w:hAnsi="Palatino Linotype" w:cs="Palatino Linotype"/>
                <w:b/>
                <w:sz w:val="12"/>
                <w:szCs w:val="12"/>
              </w:rPr>
            </w:pPr>
          </w:p>
        </w:tc>
        <w:tc>
          <w:tcPr>
            <w:tcW w:w="3119" w:type="dxa"/>
          </w:tcPr>
          <w:p w14:paraId="01AA4F7D" w14:textId="77777777" w:rsidR="004547C5" w:rsidRDefault="004547C5">
            <w:pPr>
              <w:jc w:val="both"/>
              <w:rPr>
                <w:rFonts w:ascii="Palatino Linotype" w:eastAsia="Palatino Linotype" w:hAnsi="Palatino Linotype" w:cs="Palatino Linotype"/>
                <w:sz w:val="12"/>
                <w:szCs w:val="12"/>
              </w:rPr>
            </w:pPr>
          </w:p>
        </w:tc>
        <w:tc>
          <w:tcPr>
            <w:tcW w:w="1129" w:type="dxa"/>
          </w:tcPr>
          <w:p w14:paraId="7DB813DF" w14:textId="77777777" w:rsidR="004547C5" w:rsidRDefault="00A031B9">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446" w:type="dxa"/>
          </w:tcPr>
          <w:p w14:paraId="19DF4B53" w14:textId="77777777" w:rsidR="004547C5" w:rsidRDefault="00A031B9">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r>
    </w:tbl>
    <w:p w14:paraId="50573312" w14:textId="77777777" w:rsidR="004547C5" w:rsidRDefault="00A031B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w:t>
      </w:r>
    </w:p>
    <w:p w14:paraId="3C4F1913" w14:textId="77777777" w:rsidR="004547C5" w:rsidRDefault="00A031B9">
      <w:pPr>
        <w:shd w:val="clear" w:color="auto" w:fill="FFFFFF"/>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179, fracción I, 181, 185 de la Ley de Transparencia y Acceso a la Información Pública del Estado de México y Municipios, este Pleno:</w:t>
      </w:r>
    </w:p>
    <w:p w14:paraId="4181B815" w14:textId="77777777" w:rsidR="004547C5" w:rsidRDefault="00A031B9">
      <w:pPr>
        <w:numPr>
          <w:ilvl w:val="0"/>
          <w:numId w:val="4"/>
        </w:numPr>
        <w:spacing w:before="240" w:after="240" w:line="360" w:lineRule="auto"/>
        <w:ind w:left="284" w:hanging="426"/>
        <w:jc w:val="center"/>
        <w:rPr>
          <w:rFonts w:ascii="Palatino Linotype" w:eastAsia="Palatino Linotype" w:hAnsi="Palatino Linotype" w:cs="Palatino Linotype"/>
          <w:b/>
        </w:rPr>
      </w:pPr>
      <w:r>
        <w:rPr>
          <w:rFonts w:ascii="Palatino Linotype" w:eastAsia="Palatino Linotype" w:hAnsi="Palatino Linotype" w:cs="Palatino Linotype"/>
          <w:b/>
        </w:rPr>
        <w:t>R E S U E L V E:</w:t>
      </w:r>
    </w:p>
    <w:p w14:paraId="287FD0BA" w14:textId="77777777" w:rsidR="004547C5" w:rsidRDefault="00A031B9">
      <w:pPr>
        <w:spacing w:before="240" w:after="240" w:line="360" w:lineRule="auto"/>
        <w:jc w:val="both"/>
        <w:rPr>
          <w:rFonts w:ascii="Palatino Linotype" w:eastAsia="Palatino Linotype" w:hAnsi="Palatino Linotype" w:cs="Palatino Linotype"/>
          <w:b/>
        </w:rPr>
      </w:pPr>
      <w:bookmarkStart w:id="1" w:name="_heading=h.30j0zll" w:colFirst="0" w:colLast="0"/>
      <w:bookmarkEnd w:id="1"/>
      <w:r>
        <w:rPr>
          <w:rFonts w:ascii="Palatino Linotype" w:eastAsia="Palatino Linotype" w:hAnsi="Palatino Linotype" w:cs="Palatino Linotype"/>
          <w:b/>
        </w:rPr>
        <w:t xml:space="preserve">Primero. </w:t>
      </w:r>
      <w:r>
        <w:rPr>
          <w:rFonts w:ascii="Palatino Linotype" w:eastAsia="Palatino Linotype" w:hAnsi="Palatino Linotype" w:cs="Palatino Linotype"/>
        </w:rPr>
        <w:t>Resultan</w:t>
      </w:r>
      <w:r>
        <w:rPr>
          <w:rFonts w:ascii="Palatino Linotype" w:eastAsia="Palatino Linotype" w:hAnsi="Palatino Linotype" w:cs="Palatino Linotype"/>
          <w:b/>
        </w:rPr>
        <w:t xml:space="preserve"> parcialmente fundados </w:t>
      </w:r>
      <w:r>
        <w:rPr>
          <w:rFonts w:ascii="Palatino Linotype" w:eastAsia="Palatino Linotype" w:hAnsi="Palatino Linotype" w:cs="Palatino Linotype"/>
        </w:rPr>
        <w:t xml:space="preserve">los motivos de inconformidad hechos valer por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en el recurso de revisión</w:t>
      </w:r>
      <w:r>
        <w:rPr>
          <w:rFonts w:ascii="Palatino Linotype" w:eastAsia="Palatino Linotype" w:hAnsi="Palatino Linotype" w:cs="Palatino Linotype"/>
          <w:b/>
        </w:rPr>
        <w:t xml:space="preserve"> 03709/INFOEM/IP/RR/2022, </w:t>
      </w:r>
      <w:r>
        <w:rPr>
          <w:rFonts w:ascii="Palatino Linotype" w:eastAsia="Palatino Linotype" w:hAnsi="Palatino Linotype" w:cs="Palatino Linotype"/>
        </w:rPr>
        <w:t>por lo que, en términos del</w:t>
      </w:r>
      <w:r>
        <w:rPr>
          <w:rFonts w:ascii="Palatino Linotype" w:eastAsia="Palatino Linotype" w:hAnsi="Palatino Linotype" w:cs="Palatino Linotype"/>
          <w:b/>
        </w:rPr>
        <w:t xml:space="preserve"> Considerando Cuarto </w:t>
      </w:r>
      <w:r>
        <w:rPr>
          <w:rFonts w:ascii="Palatino Linotype" w:eastAsia="Palatino Linotype" w:hAnsi="Palatino Linotype" w:cs="Palatino Linotype"/>
        </w:rPr>
        <w:t xml:space="preserve">de la presente resolución, se </w:t>
      </w:r>
      <w:r w:rsidR="002C562A" w:rsidRPr="002C562A">
        <w:rPr>
          <w:rFonts w:ascii="Palatino Linotype" w:eastAsia="Palatino Linotype" w:hAnsi="Palatino Linotype" w:cs="Palatino Linotype"/>
          <w:b/>
        </w:rPr>
        <w:t>REVO</w:t>
      </w:r>
      <w:r w:rsidRPr="002C562A">
        <w:rPr>
          <w:rFonts w:ascii="Palatino Linotype" w:eastAsia="Palatino Linotype" w:hAnsi="Palatino Linotype" w:cs="Palatino Linotype"/>
          <w:b/>
        </w:rPr>
        <w:t>CA</w:t>
      </w:r>
      <w:r>
        <w:rPr>
          <w:rFonts w:ascii="Palatino Linotype" w:eastAsia="Palatino Linotype" w:hAnsi="Palatino Linotype" w:cs="Palatino Linotype"/>
          <w:b/>
        </w:rPr>
        <w:t xml:space="preserve"> </w:t>
      </w:r>
      <w:r>
        <w:rPr>
          <w:rFonts w:ascii="Palatino Linotype" w:eastAsia="Palatino Linotype" w:hAnsi="Palatino Linotype" w:cs="Palatino Linotype"/>
        </w:rPr>
        <w:t>la respuesta emitida por el</w:t>
      </w:r>
      <w:r>
        <w:rPr>
          <w:rFonts w:ascii="Palatino Linotype" w:eastAsia="Palatino Linotype" w:hAnsi="Palatino Linotype" w:cs="Palatino Linotype"/>
          <w:b/>
        </w:rPr>
        <w:t xml:space="preserve"> Sujeto Obligado.</w:t>
      </w:r>
    </w:p>
    <w:p w14:paraId="4A7733E8" w14:textId="77777777" w:rsidR="004547C5" w:rsidRDefault="00A031B9">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 xml:space="preserve">Se Ordena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que haga entrega</w:t>
      </w:r>
      <w:r>
        <w:rPr>
          <w:rFonts w:ascii="Palatino Linotype" w:eastAsia="Palatino Linotype" w:hAnsi="Palatino Linotype" w:cs="Palatino Linotype"/>
          <w:b/>
        </w:rPr>
        <w:t xml:space="preserve"> vía SAIMEX, </w:t>
      </w:r>
      <w:r>
        <w:rPr>
          <w:rFonts w:ascii="Palatino Linotype" w:eastAsia="Palatino Linotype" w:hAnsi="Palatino Linotype" w:cs="Palatino Linotype"/>
        </w:rPr>
        <w:t xml:space="preserve">en términos de los </w:t>
      </w:r>
      <w:r>
        <w:rPr>
          <w:rFonts w:ascii="Palatino Linotype" w:eastAsia="Palatino Linotype" w:hAnsi="Palatino Linotype" w:cs="Palatino Linotype"/>
          <w:b/>
        </w:rPr>
        <w:t xml:space="preserve">Considerandos Cuarto y Quinto </w:t>
      </w:r>
      <w:r>
        <w:rPr>
          <w:rFonts w:ascii="Palatino Linotype" w:eastAsia="Palatino Linotype" w:hAnsi="Palatino Linotype" w:cs="Palatino Linotype"/>
        </w:rPr>
        <w:t xml:space="preserve">de esta resolución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previa búsqueda exhaustiva y razonable, </w:t>
      </w:r>
      <w:r>
        <w:rPr>
          <w:rFonts w:ascii="Palatino Linotype" w:eastAsia="Palatino Linotype" w:hAnsi="Palatino Linotype" w:cs="Palatino Linotype"/>
          <w:b/>
        </w:rPr>
        <w:t>en versión pública de ser procedente</w:t>
      </w:r>
      <w:r>
        <w:rPr>
          <w:rFonts w:ascii="Palatino Linotype" w:eastAsia="Palatino Linotype" w:hAnsi="Palatino Linotype" w:cs="Palatino Linotype"/>
        </w:rPr>
        <w:t>, de lo siguiente:</w:t>
      </w:r>
      <w:r>
        <w:rPr>
          <w:rFonts w:ascii="Palatino Linotype" w:eastAsia="Palatino Linotype" w:hAnsi="Palatino Linotype" w:cs="Palatino Linotype"/>
          <w:b/>
        </w:rPr>
        <w:t xml:space="preserve"> </w:t>
      </w:r>
    </w:p>
    <w:p w14:paraId="5A0F17EE" w14:textId="77777777" w:rsidR="004547C5" w:rsidRDefault="002C562A">
      <w:pPr>
        <w:pBdr>
          <w:top w:val="nil"/>
          <w:left w:val="nil"/>
          <w:bottom w:val="nil"/>
          <w:right w:val="nil"/>
          <w:between w:val="nil"/>
        </w:pBdr>
        <w:spacing w:before="240" w:after="240"/>
        <w:ind w:left="567" w:right="709"/>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Documentos en los que conste</w:t>
      </w:r>
      <w:r w:rsidR="00A031B9">
        <w:rPr>
          <w:rFonts w:ascii="Palatino Linotype" w:eastAsia="Palatino Linotype" w:hAnsi="Palatino Linotype" w:cs="Palatino Linotype"/>
          <w:b/>
          <w:i/>
          <w:color w:val="000000"/>
        </w:rPr>
        <w:t xml:space="preserve"> </w:t>
      </w:r>
      <w:r w:rsidR="00A031B9">
        <w:rPr>
          <w:rFonts w:ascii="Palatino Linotype" w:eastAsia="Palatino Linotype" w:hAnsi="Palatino Linotype" w:cs="Palatino Linotype"/>
          <w:b/>
          <w:i/>
        </w:rPr>
        <w:t>la elaboración de las propuestas</w:t>
      </w:r>
      <w:r w:rsidR="00A031B9">
        <w:rPr>
          <w:rFonts w:ascii="Palatino Linotype" w:eastAsia="Palatino Linotype" w:hAnsi="Palatino Linotype" w:cs="Palatino Linotype"/>
          <w:b/>
          <w:i/>
          <w:color w:val="000000"/>
        </w:rPr>
        <w:t xml:space="preserve"> para la actualización o modificación de tablas de valores unitarios de suelo y construcción, generadas del </w:t>
      </w:r>
      <w:r w:rsidR="00A031B9">
        <w:rPr>
          <w:rFonts w:ascii="Palatino Linotype" w:eastAsia="Palatino Linotype" w:hAnsi="Palatino Linotype" w:cs="Palatino Linotype"/>
          <w:b/>
          <w:i/>
        </w:rPr>
        <w:t xml:space="preserve">primero </w:t>
      </w:r>
      <w:r w:rsidR="00A031B9">
        <w:rPr>
          <w:rFonts w:ascii="Palatino Linotype" w:eastAsia="Palatino Linotype" w:hAnsi="Palatino Linotype" w:cs="Palatino Linotype"/>
          <w:b/>
          <w:i/>
          <w:color w:val="000000"/>
        </w:rPr>
        <w:t xml:space="preserve">al doce de enero de dos mil veintidós. </w:t>
      </w:r>
    </w:p>
    <w:p w14:paraId="1015FEB3" w14:textId="77777777" w:rsidR="004547C5" w:rsidRDefault="00A031B9">
      <w:pPr>
        <w:pBdr>
          <w:top w:val="nil"/>
          <w:left w:val="nil"/>
          <w:bottom w:val="nil"/>
          <w:right w:val="nil"/>
          <w:between w:val="nil"/>
        </w:pBdr>
        <w:spacing w:before="240" w:after="240"/>
        <w:ind w:left="567" w:right="70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De ser el caso en el que la entrega del documento se dé en versión pública, deberá emitir el Acuerdo del Comité de Transparencia en términos de la Ley de Transparencia y Acceso a la Información Pública del Estado de México y </w:t>
      </w:r>
      <w:r>
        <w:rPr>
          <w:rFonts w:ascii="Palatino Linotype" w:eastAsia="Palatino Linotype" w:hAnsi="Palatino Linotype" w:cs="Palatino Linotype"/>
          <w:i/>
          <w:color w:val="000000"/>
        </w:rPr>
        <w:lastRenderedPageBreak/>
        <w:t>Municipios, en el que funde y motive las razones sobre los datos que se supriman o eliminen y se ponga a disposición del Recurrente.</w:t>
      </w:r>
    </w:p>
    <w:p w14:paraId="36D8C875" w14:textId="77777777" w:rsidR="004547C5" w:rsidRDefault="00A031B9">
      <w:pPr>
        <w:spacing w:before="240" w:after="240"/>
        <w:ind w:left="567" w:right="70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De ser el caso en el que no se haya generado, poseíd</w:t>
      </w:r>
      <w:r>
        <w:rPr>
          <w:rFonts w:ascii="Palatino Linotype" w:eastAsia="Palatino Linotype" w:hAnsi="Palatino Linotype" w:cs="Palatino Linotype"/>
          <w:i/>
        </w:rPr>
        <w:t>o</w:t>
      </w:r>
      <w:r>
        <w:rPr>
          <w:rFonts w:ascii="Palatino Linotype" w:eastAsia="Palatino Linotype" w:hAnsi="Palatino Linotype" w:cs="Palatino Linotype"/>
          <w:i/>
          <w:color w:val="000000"/>
        </w:rPr>
        <w:t xml:space="preserve"> o administrado la informaci</w:t>
      </w:r>
      <w:r w:rsidR="002C562A">
        <w:rPr>
          <w:rFonts w:ascii="Palatino Linotype" w:eastAsia="Palatino Linotype" w:hAnsi="Palatino Linotype" w:cs="Palatino Linotype"/>
          <w:i/>
          <w:color w:val="000000"/>
        </w:rPr>
        <w:t>ón que se ordena hacer entrega,</w:t>
      </w:r>
      <w:r>
        <w:rPr>
          <w:rFonts w:ascii="Palatino Linotype" w:eastAsia="Palatino Linotype" w:hAnsi="Palatino Linotype" w:cs="Palatino Linotype"/>
          <w:i/>
          <w:color w:val="000000"/>
        </w:rPr>
        <w:t xml:space="preserve"> bastará con que el Sujeto Obligado lo haga del conocimiento del recurrente, de manera fundada y motivada en términos del segundo párrafo del  artículo 19 de la Ley de Transparencia local, para dar por satisfecho el derecho de acceso a la información. </w:t>
      </w:r>
    </w:p>
    <w:p w14:paraId="358F0985" w14:textId="77777777" w:rsidR="004547C5" w:rsidRDefault="00A031B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w:t>
      </w:r>
      <w:r>
        <w:rPr>
          <w:rFonts w:ascii="Palatino Linotype" w:eastAsia="Palatino Linotype" w:hAnsi="Palatino Linotype" w:cs="Palatino Linotype"/>
        </w:rPr>
        <w:t>Notifíquese vía</w:t>
      </w:r>
      <w:r>
        <w:rPr>
          <w:rFonts w:ascii="Palatino Linotype" w:eastAsia="Palatino Linotype" w:hAnsi="Palatino Linotype" w:cs="Palatino Linotype"/>
          <w:b/>
        </w:rPr>
        <w:t xml:space="preserve"> Sistema de Acceso a la Información Mexiquense (SAIMEX), </w:t>
      </w:r>
      <w:r>
        <w:rPr>
          <w:rFonts w:ascii="Palatino Linotype" w:eastAsia="Palatino Linotype" w:hAnsi="Palatino Linotype" w:cs="Palatino Linotype"/>
        </w:rPr>
        <w:t>al Responsable de la Unidad de Transparencia del Sujeto Obligado la presente resolución,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p>
    <w:p w14:paraId="4B6D0510" w14:textId="77777777" w:rsidR="004547C5" w:rsidRDefault="00A031B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068172C" w14:textId="77777777" w:rsidR="004547C5" w:rsidRDefault="00A031B9">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Quinto.  Notifíquese, al recurrente vía Sistema de Acceso a la Información Mexiquense (SAIMEX), </w:t>
      </w:r>
      <w:r>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r>
        <w:rPr>
          <w:rFonts w:ascii="Palatino Linotype" w:eastAsia="Palatino Linotype" w:hAnsi="Palatino Linotype" w:cs="Palatino Linotype"/>
          <w:b/>
        </w:rPr>
        <w:t>.</w:t>
      </w:r>
    </w:p>
    <w:bookmarkStart w:id="2" w:name="_heading=h.1fob9te" w:colFirst="0" w:colLast="0"/>
    <w:bookmarkEnd w:id="2"/>
    <w:p w14:paraId="244DBD17" w14:textId="4763CAC4" w:rsidR="004547C5" w:rsidRDefault="004C430B">
      <w:pPr>
        <w:spacing w:before="240" w:after="240" w:line="360" w:lineRule="auto"/>
        <w:jc w:val="both"/>
        <w:rPr>
          <w:rFonts w:ascii="Palatino Linotype" w:eastAsia="Palatino Linotype" w:hAnsi="Palatino Linotype" w:cs="Palatino Linotype"/>
        </w:rPr>
        <w:sectPr w:rsidR="004547C5">
          <w:headerReference w:type="default" r:id="rId22"/>
          <w:footerReference w:type="default" r:id="rId23"/>
          <w:headerReference w:type="first" r:id="rId24"/>
          <w:footerReference w:type="first" r:id="rId25"/>
          <w:pgSz w:w="12240" w:h="15840"/>
          <w:pgMar w:top="1417" w:right="1750" w:bottom="1417" w:left="1701" w:header="708" w:footer="708" w:gutter="0"/>
          <w:pgNumType w:start="1"/>
          <w:cols w:space="720"/>
          <w:titlePg/>
        </w:sectPr>
      </w:pPr>
      <w:r>
        <w:rPr>
          <w:rFonts w:ascii="Palatino Linotype" w:eastAsia="Palatino Linotype" w:hAnsi="Palatino Linotype" w:cs="Palatino Linotype"/>
          <w:noProof/>
          <w:lang w:val="es-MX"/>
        </w:rPr>
        <w:lastRenderedPageBreak/>
        <mc:AlternateContent>
          <mc:Choice Requires="wps">
            <w:drawing>
              <wp:anchor distT="0" distB="0" distL="114300" distR="114300" simplePos="0" relativeHeight="251659264" behindDoc="0" locked="0" layoutInCell="1" allowOverlap="1" wp14:anchorId="65AD74E1" wp14:editId="4A69B5F4">
                <wp:simplePos x="0" y="0"/>
                <wp:positionH relativeFrom="column">
                  <wp:posOffset>72389</wp:posOffset>
                </wp:positionH>
                <wp:positionV relativeFrom="paragraph">
                  <wp:posOffset>2717800</wp:posOffset>
                </wp:positionV>
                <wp:extent cx="5191125" cy="4762500"/>
                <wp:effectExtent l="0" t="0" r="28575" b="19050"/>
                <wp:wrapNone/>
                <wp:docPr id="1" name="Conector recto 1"/>
                <wp:cNvGraphicFramePr/>
                <a:graphic xmlns:a="http://schemas.openxmlformats.org/drawingml/2006/main">
                  <a:graphicData uri="http://schemas.microsoft.com/office/word/2010/wordprocessingShape">
                    <wps:wsp>
                      <wps:cNvCnPr/>
                      <wps:spPr>
                        <a:xfrm>
                          <a:off x="0" y="0"/>
                          <a:ext cx="5191125" cy="4762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FD94D5"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7pt,214pt" to="414.45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" strokecolor="black [3040]"/>
            </w:pict>
          </mc:Fallback>
        </mc:AlternateContent>
      </w:r>
      <w:r w:rsidR="00A031B9">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w:t>
      </w:r>
      <w:r w:rsidR="00EF200F">
        <w:rPr>
          <w:rFonts w:ascii="Palatino Linotype" w:eastAsia="Palatino Linotype" w:hAnsi="Palatino Linotype" w:cs="Palatino Linotype"/>
        </w:rPr>
        <w:t xml:space="preserve">SHARON CRISTINA MORALES MARTÍNEZ,  </w:t>
      </w:r>
      <w:r w:rsidR="00A031B9">
        <w:rPr>
          <w:rFonts w:ascii="Palatino Linotype" w:eastAsia="Palatino Linotype" w:hAnsi="Palatino Linotype" w:cs="Palatino Linotype"/>
        </w:rPr>
        <w:t>LUIS GUSTAVO PARRA NORIEGA Y GUADALUPE RAMÍREZ PEÑA;</w:t>
      </w:r>
      <w:r w:rsidR="00EF200F">
        <w:rPr>
          <w:rFonts w:ascii="Palatino Linotype" w:eastAsia="Palatino Linotype" w:hAnsi="Palatino Linotype" w:cs="Palatino Linotype"/>
        </w:rPr>
        <w:t xml:space="preserve"> </w:t>
      </w:r>
      <w:r w:rsidR="00A031B9">
        <w:rPr>
          <w:rFonts w:ascii="Palatino Linotype" w:eastAsia="Palatino Linotype" w:hAnsi="Palatino Linotype" w:cs="Palatino Linotype"/>
        </w:rPr>
        <w:t>EN LA VIGÉSIMA SEGUNDA SESIÓN ORDINARIA CELEBRADA EL QUINCE DE JUNIO DEL DOS MIL VEINTIDÓS, ANTE EL SECRETARIO TÉCNICO DEL PLENO, ALEXIS TAPIA RAMÍREZ.</w:t>
      </w:r>
    </w:p>
    <w:p w14:paraId="555BE77B" w14:textId="77777777" w:rsidR="004547C5" w:rsidRDefault="004547C5">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14:paraId="41CC4881" w14:textId="77777777" w:rsidR="004547C5" w:rsidRDefault="004547C5">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14:paraId="55064924" w14:textId="77777777" w:rsidR="004547C5" w:rsidRDefault="004547C5">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sectPr w:rsidR="004547C5">
      <w:headerReference w:type="first" r:id="rId26"/>
      <w:pgSz w:w="12240" w:h="15840"/>
      <w:pgMar w:top="1417" w:right="1701" w:bottom="1417" w:left="1701"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B0CCB" w14:textId="77777777" w:rsidR="009E72CC" w:rsidRDefault="009E72CC">
      <w:r>
        <w:separator/>
      </w:r>
    </w:p>
  </w:endnote>
  <w:endnote w:type="continuationSeparator" w:id="0">
    <w:p w14:paraId="5B649267" w14:textId="77777777" w:rsidR="009E72CC" w:rsidRDefault="009E7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FF3F8" w14:textId="77777777" w:rsidR="004547C5" w:rsidRDefault="00A031B9">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4C430B">
      <w:rPr>
        <w:rFonts w:ascii="Arial" w:eastAsia="Arial" w:hAnsi="Arial" w:cs="Arial"/>
        <w:b/>
        <w:noProof/>
        <w:color w:val="000000"/>
        <w:sz w:val="20"/>
        <w:szCs w:val="20"/>
      </w:rPr>
      <w:t>12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4C430B">
      <w:rPr>
        <w:rFonts w:ascii="Arial" w:eastAsia="Arial" w:hAnsi="Arial" w:cs="Arial"/>
        <w:b/>
        <w:noProof/>
        <w:color w:val="000000"/>
        <w:sz w:val="20"/>
        <w:szCs w:val="20"/>
      </w:rPr>
      <w:t>41</w:t>
    </w:r>
    <w:r>
      <w:rPr>
        <w:rFonts w:ascii="Arial" w:eastAsia="Arial" w:hAnsi="Arial" w:cs="Arial"/>
        <w:b/>
        <w:color w:val="000000"/>
        <w:sz w:val="20"/>
        <w:szCs w:val="20"/>
      </w:rPr>
      <w:fldChar w:fldCharType="end"/>
    </w:r>
  </w:p>
  <w:p w14:paraId="5D2F3D5F" w14:textId="77777777" w:rsidR="004547C5" w:rsidRDefault="004547C5">
    <w:pPr>
      <w:pBdr>
        <w:top w:val="nil"/>
        <w:left w:val="nil"/>
        <w:bottom w:val="nil"/>
        <w:right w:val="nil"/>
        <w:between w:val="nil"/>
      </w:pBdr>
      <w:tabs>
        <w:tab w:val="center" w:pos="4252"/>
        <w:tab w:val="right" w:pos="8504"/>
      </w:tabs>
      <w:rPr>
        <w:color w:val="000000"/>
      </w:rPr>
    </w:pPr>
  </w:p>
  <w:p w14:paraId="78523BE7" w14:textId="77777777" w:rsidR="004547C5" w:rsidRDefault="004547C5">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69A3C" w14:textId="77777777" w:rsidR="004547C5" w:rsidRDefault="00A031B9">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4C430B">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4C430B">
      <w:rPr>
        <w:rFonts w:ascii="Arial" w:eastAsia="Arial" w:hAnsi="Arial" w:cs="Arial"/>
        <w:b/>
        <w:noProof/>
        <w:color w:val="000000"/>
        <w:sz w:val="20"/>
        <w:szCs w:val="20"/>
      </w:rPr>
      <w:t>41</w:t>
    </w:r>
    <w:r>
      <w:rPr>
        <w:rFonts w:ascii="Arial" w:eastAsia="Arial" w:hAnsi="Arial" w:cs="Arial"/>
        <w:b/>
        <w:color w:val="000000"/>
        <w:sz w:val="20"/>
        <w:szCs w:val="20"/>
      </w:rPr>
      <w:fldChar w:fldCharType="end"/>
    </w:r>
  </w:p>
  <w:p w14:paraId="6BC7988E" w14:textId="77777777" w:rsidR="004547C5" w:rsidRDefault="004547C5">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1C6CAB" w14:textId="77777777" w:rsidR="009E72CC" w:rsidRDefault="009E72CC">
      <w:r>
        <w:separator/>
      </w:r>
    </w:p>
  </w:footnote>
  <w:footnote w:type="continuationSeparator" w:id="0">
    <w:p w14:paraId="11B60C7E" w14:textId="77777777" w:rsidR="009E72CC" w:rsidRDefault="009E72CC">
      <w:r>
        <w:continuationSeparator/>
      </w:r>
    </w:p>
  </w:footnote>
  <w:footnote w:id="1">
    <w:p w14:paraId="7E4EA5AE" w14:textId="77777777" w:rsidR="004547C5" w:rsidRDefault="00A031B9">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2A36F894" w14:textId="77777777" w:rsidR="004547C5" w:rsidRDefault="00A031B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2E7D1" w14:textId="77777777" w:rsidR="004547C5" w:rsidRDefault="00A031B9">
    <w:pPr>
      <w:widowControl w:val="0"/>
      <w:pBdr>
        <w:top w:val="nil"/>
        <w:left w:val="nil"/>
        <w:bottom w:val="nil"/>
        <w:right w:val="nil"/>
        <w:between w:val="nil"/>
      </w:pBdr>
      <w:spacing w:line="276" w:lineRule="auto"/>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24F20F04" wp14:editId="7536E158">
          <wp:simplePos x="0" y="0"/>
          <wp:positionH relativeFrom="column">
            <wp:posOffset>-1080129</wp:posOffset>
          </wp:positionH>
          <wp:positionV relativeFrom="paragraph">
            <wp:posOffset>-345434</wp:posOffset>
          </wp:positionV>
          <wp:extent cx="7635600" cy="9943200"/>
          <wp:effectExtent l="0" t="0" r="0" b="0"/>
          <wp:wrapNone/>
          <wp:docPr id="9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1"/>
      <w:tblW w:w="6240" w:type="dxa"/>
      <w:tblInd w:w="3746" w:type="dxa"/>
      <w:tblLayout w:type="fixed"/>
      <w:tblLook w:val="0400" w:firstRow="0" w:lastRow="0" w:firstColumn="0" w:lastColumn="0" w:noHBand="0" w:noVBand="1"/>
    </w:tblPr>
    <w:tblGrid>
      <w:gridCol w:w="2553"/>
      <w:gridCol w:w="3687"/>
    </w:tblGrid>
    <w:tr w:rsidR="004547C5" w14:paraId="1D419578" w14:textId="77777777">
      <w:tc>
        <w:tcPr>
          <w:tcW w:w="2553" w:type="dxa"/>
          <w:vAlign w:val="center"/>
        </w:tcPr>
        <w:p w14:paraId="1AF439D5" w14:textId="77777777" w:rsidR="004547C5" w:rsidRDefault="00A031B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265B726D" w14:textId="77777777" w:rsidR="004547C5" w:rsidRDefault="00A031B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03709/INFOEM/IP/RR/2022</w:t>
          </w:r>
        </w:p>
      </w:tc>
    </w:tr>
    <w:tr w:rsidR="004547C5" w14:paraId="30D8200B" w14:textId="77777777">
      <w:trPr>
        <w:trHeight w:val="228"/>
      </w:trPr>
      <w:tc>
        <w:tcPr>
          <w:tcW w:w="2553" w:type="dxa"/>
          <w:vAlign w:val="center"/>
        </w:tcPr>
        <w:p w14:paraId="780FD636" w14:textId="77777777" w:rsidR="004547C5" w:rsidRDefault="00A031B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1299C99C" w14:textId="77777777" w:rsidR="004547C5" w:rsidRDefault="00A031B9">
          <w:pPr>
            <w:ind w:right="66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Metepec</w:t>
          </w:r>
        </w:p>
      </w:tc>
    </w:tr>
    <w:tr w:rsidR="004547C5" w14:paraId="4FCA3C12" w14:textId="77777777">
      <w:tc>
        <w:tcPr>
          <w:tcW w:w="2553" w:type="dxa"/>
          <w:vAlign w:val="center"/>
        </w:tcPr>
        <w:p w14:paraId="6E520C93" w14:textId="77777777" w:rsidR="004547C5" w:rsidRDefault="00A031B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5CB967A6" w14:textId="77777777" w:rsidR="004547C5" w:rsidRDefault="00A031B9">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C6F668B" w14:textId="77777777" w:rsidR="004547C5" w:rsidRDefault="00A031B9">
    <w:pPr>
      <w:rPr>
        <w:rFonts w:ascii="Cambria" w:eastAsia="Cambria" w:hAnsi="Cambria" w:cs="Cambria"/>
        <w:color w:val="000000"/>
      </w:rPr>
    </w:pPr>
    <w:r>
      <w:rPr>
        <w:rFonts w:ascii="Cambria" w:eastAsia="Cambria" w:hAnsi="Cambria" w:cs="Cambria"/>
        <w:color w:val="000000"/>
      </w:rPr>
      <w:tab/>
    </w:r>
  </w:p>
  <w:p w14:paraId="78BD9A77" w14:textId="77777777" w:rsidR="004547C5" w:rsidRDefault="004547C5">
    <w:pPr>
      <w:pBdr>
        <w:top w:val="nil"/>
        <w:left w:val="nil"/>
        <w:bottom w:val="nil"/>
        <w:right w:val="nil"/>
        <w:between w:val="nil"/>
      </w:pBdr>
      <w:rPr>
        <w:rFonts w:ascii="Cambria" w:eastAsia="Cambria" w:hAnsi="Cambria" w:cs="Cambria"/>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CB591" w14:textId="77777777" w:rsidR="004547C5" w:rsidRDefault="00A031B9">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14:anchorId="556FE574" wp14:editId="40C26FFA">
          <wp:simplePos x="0" y="0"/>
          <wp:positionH relativeFrom="column">
            <wp:posOffset>-1080128</wp:posOffset>
          </wp:positionH>
          <wp:positionV relativeFrom="paragraph">
            <wp:posOffset>-343528</wp:posOffset>
          </wp:positionV>
          <wp:extent cx="7635600" cy="9943200"/>
          <wp:effectExtent l="0" t="0" r="0" b="0"/>
          <wp:wrapNone/>
          <wp:docPr id="8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0"/>
      <w:tblW w:w="6240" w:type="dxa"/>
      <w:tblInd w:w="3685" w:type="dxa"/>
      <w:tblLayout w:type="fixed"/>
      <w:tblLook w:val="0400" w:firstRow="0" w:lastRow="0" w:firstColumn="0" w:lastColumn="0" w:noHBand="0" w:noVBand="1"/>
    </w:tblPr>
    <w:tblGrid>
      <w:gridCol w:w="2553"/>
      <w:gridCol w:w="3687"/>
    </w:tblGrid>
    <w:tr w:rsidR="004547C5" w14:paraId="0ED2ADA2" w14:textId="77777777">
      <w:tc>
        <w:tcPr>
          <w:tcW w:w="2553" w:type="dxa"/>
          <w:vAlign w:val="center"/>
        </w:tcPr>
        <w:p w14:paraId="48BE5F08" w14:textId="77777777" w:rsidR="004547C5" w:rsidRDefault="00A031B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4A508A33" w14:textId="77777777" w:rsidR="004547C5" w:rsidRDefault="00A031B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03709/INFOEM/IP/RR/2022</w:t>
          </w:r>
        </w:p>
      </w:tc>
    </w:tr>
    <w:tr w:rsidR="004547C5" w14:paraId="0AD14154" w14:textId="77777777">
      <w:tc>
        <w:tcPr>
          <w:tcW w:w="2553" w:type="dxa"/>
          <w:vAlign w:val="center"/>
        </w:tcPr>
        <w:p w14:paraId="435BD0EE" w14:textId="77777777" w:rsidR="004547C5" w:rsidRDefault="00A031B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14:paraId="346B1354" w14:textId="77777777" w:rsidR="004547C5" w:rsidRDefault="004547C5">
          <w:pPr>
            <w:rPr>
              <w:rFonts w:ascii="Palatino Linotype" w:eastAsia="Palatino Linotype" w:hAnsi="Palatino Linotype" w:cs="Palatino Linotype"/>
              <w:b/>
              <w:sz w:val="22"/>
              <w:szCs w:val="22"/>
            </w:rPr>
          </w:pPr>
        </w:p>
      </w:tc>
    </w:tr>
    <w:tr w:rsidR="004547C5" w14:paraId="12DFECC4" w14:textId="77777777">
      <w:trPr>
        <w:trHeight w:val="228"/>
      </w:trPr>
      <w:tc>
        <w:tcPr>
          <w:tcW w:w="2553" w:type="dxa"/>
          <w:vAlign w:val="center"/>
        </w:tcPr>
        <w:p w14:paraId="18C3F5C1" w14:textId="77777777" w:rsidR="004547C5" w:rsidRDefault="00A031B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30B7B678" w14:textId="77777777" w:rsidR="004547C5" w:rsidRDefault="00A031B9">
          <w:pPr>
            <w:ind w:right="7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Metepec</w:t>
          </w:r>
        </w:p>
      </w:tc>
    </w:tr>
    <w:tr w:rsidR="004547C5" w14:paraId="5DB0D2B8" w14:textId="77777777">
      <w:tc>
        <w:tcPr>
          <w:tcW w:w="2553" w:type="dxa"/>
          <w:vAlign w:val="center"/>
        </w:tcPr>
        <w:p w14:paraId="338AE682" w14:textId="77777777" w:rsidR="004547C5" w:rsidRDefault="00A031B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72B9D1C1" w14:textId="77777777" w:rsidR="004547C5" w:rsidRDefault="00A031B9">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390D58D" w14:textId="77777777" w:rsidR="004547C5" w:rsidRDefault="004547C5">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3468B" w14:textId="77777777" w:rsidR="004547C5" w:rsidRDefault="00A031B9">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p>
  <w:p w14:paraId="6BB62ED7" w14:textId="77777777" w:rsidR="004547C5" w:rsidRDefault="004547C5">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9A29DF"/>
    <w:multiLevelType w:val="multilevel"/>
    <w:tmpl w:val="2C006E0C"/>
    <w:lvl w:ilvl="0">
      <w:start w:val="1"/>
      <w:numFmt w:val="upperRoman"/>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1DBF66A4"/>
    <w:multiLevelType w:val="multilevel"/>
    <w:tmpl w:val="EB7EE9CE"/>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 w15:restartNumberingAfterBreak="0">
    <w:nsid w:val="21031702"/>
    <w:multiLevelType w:val="multilevel"/>
    <w:tmpl w:val="CFB83EB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 w15:restartNumberingAfterBreak="0">
    <w:nsid w:val="286F6AEA"/>
    <w:multiLevelType w:val="multilevel"/>
    <w:tmpl w:val="E564E69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47C5"/>
    <w:rsid w:val="000270C2"/>
    <w:rsid w:val="002C562A"/>
    <w:rsid w:val="004547C5"/>
    <w:rsid w:val="00472E5C"/>
    <w:rsid w:val="004C430B"/>
    <w:rsid w:val="009E72CC"/>
    <w:rsid w:val="00A031B9"/>
    <w:rsid w:val="00AD2241"/>
    <w:rsid w:val="00EF20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2411A"/>
  <w15:docId w15:val="{CC265CB0-B242-4C19-9842-06B75DFCD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1E85"/>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776B4"/>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rPr>
  </w:style>
  <w:style w:type="character" w:customStyle="1" w:styleId="Ttulo3Car">
    <w:name w:val="Título 3 Car"/>
    <w:basedOn w:val="Fuentedeprrafopredeter"/>
    <w:link w:val="Ttulo3"/>
    <w:uiPriority w:val="9"/>
    <w:rsid w:val="00A776B4"/>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A776B4"/>
    <w:pPr>
      <w:ind w:left="283" w:hanging="283"/>
      <w:contextualSpacing/>
    </w:pPr>
  </w:style>
  <w:style w:type="paragraph" w:styleId="Lista2">
    <w:name w:val="List 2"/>
    <w:basedOn w:val="Normal"/>
    <w:uiPriority w:val="99"/>
    <w:unhideWhenUsed/>
    <w:rsid w:val="00A776B4"/>
    <w:pPr>
      <w:ind w:left="566" w:hanging="283"/>
      <w:contextualSpacing/>
    </w:pPr>
  </w:style>
  <w:style w:type="paragraph" w:styleId="Lista3">
    <w:name w:val="List 3"/>
    <w:basedOn w:val="Normal"/>
    <w:uiPriority w:val="99"/>
    <w:unhideWhenUsed/>
    <w:rsid w:val="00A776B4"/>
    <w:pPr>
      <w:ind w:left="849" w:hanging="283"/>
      <w:contextualSpacing/>
    </w:pPr>
  </w:style>
  <w:style w:type="paragraph" w:styleId="Textoindependiente">
    <w:name w:val="Body Text"/>
    <w:basedOn w:val="Normal"/>
    <w:link w:val="TextoindependienteCar"/>
    <w:uiPriority w:val="99"/>
    <w:unhideWhenUsed/>
    <w:rsid w:val="00A776B4"/>
    <w:pPr>
      <w:spacing w:after="120"/>
    </w:pPr>
  </w:style>
  <w:style w:type="character" w:customStyle="1" w:styleId="TextoindependienteCar">
    <w:name w:val="Texto independiente Car"/>
    <w:basedOn w:val="Fuentedeprrafopredeter"/>
    <w:link w:val="Textoindependiente"/>
    <w:uiPriority w:val="99"/>
    <w:rsid w:val="00A776B4"/>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A776B4"/>
    <w:pPr>
      <w:spacing w:after="120"/>
      <w:ind w:left="283"/>
    </w:pPr>
  </w:style>
  <w:style w:type="character" w:customStyle="1" w:styleId="SangradetextonormalCar">
    <w:name w:val="Sangría de texto normal Car"/>
    <w:basedOn w:val="Fuentedeprrafopredeter"/>
    <w:link w:val="Sangradetextonormal"/>
    <w:uiPriority w:val="99"/>
    <w:rsid w:val="00A776B4"/>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A776B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776B4"/>
    <w:rPr>
      <w:rFonts w:ascii="Times New Roman" w:eastAsia="Times New Roman" w:hAnsi="Times New Roman" w:cs="Times New Roman"/>
      <w:lang w:val="es-ES"/>
    </w:rPr>
  </w:style>
  <w:style w:type="paragraph" w:styleId="Textosinformato">
    <w:name w:val="Plain Text"/>
    <w:basedOn w:val="Normal"/>
    <w:link w:val="TextosinformatoCar"/>
    <w:rsid w:val="00B67939"/>
    <w:rPr>
      <w:rFonts w:ascii="Courier New" w:hAnsi="Courier New"/>
      <w:sz w:val="20"/>
      <w:szCs w:val="20"/>
    </w:rPr>
  </w:style>
  <w:style w:type="character" w:customStyle="1" w:styleId="TextosinformatoCar">
    <w:name w:val="Texto sin formato Car"/>
    <w:basedOn w:val="Fuentedeprrafopredeter"/>
    <w:link w:val="Textosinformato"/>
    <w:rsid w:val="00B67939"/>
    <w:rPr>
      <w:rFonts w:ascii="Courier New" w:eastAsia="Times New Roman" w:hAnsi="Courier New" w:cs="Times New Roman"/>
      <w:sz w:val="20"/>
      <w:szCs w:val="20"/>
      <w:lang w:val="es-ES"/>
    </w:rPr>
  </w:style>
  <w:style w:type="paragraph" w:customStyle="1" w:styleId="j">
    <w:name w:val="j"/>
    <w:basedOn w:val="Normal"/>
    <w:rsid w:val="00226723"/>
    <w:pPr>
      <w:spacing w:before="100" w:beforeAutospacing="1" w:after="100" w:afterAutospacing="1"/>
    </w:pPr>
    <w:rPr>
      <w:lang w:val="es-MX"/>
    </w:rPr>
  </w:style>
  <w:style w:type="table" w:styleId="Tabladelista1clara-nfasis1">
    <w:name w:val="List Table 1 Light Accent 1"/>
    <w:basedOn w:val="Tablanormal"/>
    <w:uiPriority w:val="46"/>
    <w:rsid w:val="008E6246"/>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2871584667633129156gmail-msofootnotereference">
    <w:name w:val="m_2871584667633129156gmail-msofootnotereference"/>
    <w:basedOn w:val="Fuentedeprrafopredeter"/>
    <w:rsid w:val="00C12849"/>
  </w:style>
  <w:style w:type="character" w:customStyle="1" w:styleId="h">
    <w:name w:val="h"/>
    <w:basedOn w:val="Fuentedeprrafopredeter"/>
    <w:rsid w:val="007F685F"/>
  </w:style>
  <w:style w:type="table" w:customStyle="1" w:styleId="Tabladelista1clara-nfasis12">
    <w:name w:val="Tabla de lista 1 clara - Énfasis 12"/>
    <w:basedOn w:val="Tablanormal"/>
    <w:next w:val="Tabladelista1clara-nfasis1"/>
    <w:uiPriority w:val="46"/>
    <w:rsid w:val="00C04B32"/>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ipervnculovisitado">
    <w:name w:val="FollowedHyperlink"/>
    <w:basedOn w:val="Fuentedeprrafopredeter"/>
    <w:uiPriority w:val="99"/>
    <w:semiHidden/>
    <w:unhideWhenUsed/>
    <w:rsid w:val="002C16E8"/>
    <w:rPr>
      <w:color w:val="800080"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6">
    <w:name w:val="16"/>
    <w:basedOn w:val="TableNormal1"/>
    <w:tblPr>
      <w:tblStyleRowBandSize w:val="1"/>
      <w:tblStyleColBandSize w:val="1"/>
      <w:tblCellMar>
        <w:left w:w="108" w:type="dxa"/>
        <w:right w:w="108" w:type="dxa"/>
      </w:tblCellMar>
    </w:tblPr>
  </w:style>
  <w:style w:type="table" w:customStyle="1" w:styleId="15">
    <w:name w:val="15"/>
    <w:basedOn w:val="TableNormal1"/>
    <w:tblPr>
      <w:tblStyleRowBandSize w:val="1"/>
      <w:tblStyleColBandSize w:val="1"/>
      <w:tblCellMar>
        <w:left w:w="115" w:type="dxa"/>
        <w:right w:w="115" w:type="dxa"/>
      </w:tblCellMar>
    </w:tblPr>
  </w:style>
  <w:style w:type="table" w:customStyle="1" w:styleId="14">
    <w:name w:val="14"/>
    <w:basedOn w:val="TableNormal1"/>
    <w:tblPr>
      <w:tblStyleRowBandSize w:val="1"/>
      <w:tblStyleColBandSize w:val="1"/>
      <w:tblCellMar>
        <w:left w:w="115" w:type="dxa"/>
        <w:right w:w="115" w:type="dxa"/>
      </w:tblCellMar>
    </w:tblPr>
  </w:style>
  <w:style w:type="table" w:customStyle="1" w:styleId="13">
    <w:name w:val="13"/>
    <w:basedOn w:val="TableNormal1"/>
    <w:tblPr>
      <w:tblStyleRowBandSize w:val="1"/>
      <w:tblStyleColBandSize w:val="1"/>
      <w:tblCellMar>
        <w:left w:w="115" w:type="dxa"/>
        <w:right w:w="115" w:type="dxa"/>
      </w:tblCellMar>
    </w:tblPr>
  </w:style>
  <w:style w:type="table" w:customStyle="1" w:styleId="12">
    <w:name w:val="12"/>
    <w:basedOn w:val="TableNormal1"/>
    <w:tblPr>
      <w:tblStyleRowBandSize w:val="1"/>
      <w:tblStyleColBandSize w:val="1"/>
      <w:tblCellMar>
        <w:left w:w="115" w:type="dxa"/>
        <w:right w:w="115" w:type="dxa"/>
      </w:tblCellMar>
    </w:tblPr>
  </w:style>
  <w:style w:type="table" w:customStyle="1" w:styleId="11">
    <w:name w:val="11"/>
    <w:basedOn w:val="TableNormal2"/>
    <w:tblPr>
      <w:tblStyleRowBandSize w:val="1"/>
      <w:tblStyleColBandSize w:val="1"/>
      <w:tblCellMar>
        <w:left w:w="115" w:type="dxa"/>
        <w:right w:w="115" w:type="dxa"/>
      </w:tblCellMar>
    </w:tblPr>
  </w:style>
  <w:style w:type="table" w:customStyle="1" w:styleId="10">
    <w:name w:val="10"/>
    <w:basedOn w:val="TableNormal2"/>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B001C4"/>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9"/>
    <w:basedOn w:val="TableNormal3"/>
    <w:tblPr>
      <w:tblStyleRowBandSize w:val="1"/>
      <w:tblStyleColBandSize w:val="1"/>
      <w:tblCellMar>
        <w:left w:w="115" w:type="dxa"/>
        <w:right w:w="115" w:type="dxa"/>
      </w:tblCellMar>
    </w:tblPr>
  </w:style>
  <w:style w:type="table" w:customStyle="1" w:styleId="8">
    <w:name w:val="8"/>
    <w:basedOn w:val="TableNormal3"/>
    <w:tblPr>
      <w:tblStyleRowBandSize w:val="1"/>
      <w:tblStyleColBandSize w:val="1"/>
      <w:tblCellMar>
        <w:left w:w="115" w:type="dxa"/>
        <w:right w:w="115" w:type="dxa"/>
      </w:tblCellMar>
    </w:tblPr>
  </w:style>
  <w:style w:type="table" w:customStyle="1" w:styleId="7">
    <w:name w:val="7"/>
    <w:basedOn w:val="TableNormal3"/>
    <w:tblPr>
      <w:tblStyleRowBandSize w:val="1"/>
      <w:tblStyleColBandSize w:val="1"/>
      <w:tblCellMar>
        <w:left w:w="115" w:type="dxa"/>
        <w:right w:w="115" w:type="dxa"/>
      </w:tblCellMar>
    </w:tblPr>
  </w:style>
  <w:style w:type="table" w:customStyle="1" w:styleId="6">
    <w:name w:val="6"/>
    <w:basedOn w:val="TableNormal4"/>
    <w:tblPr>
      <w:tblStyleRowBandSize w:val="1"/>
      <w:tblStyleColBandSize w:val="1"/>
      <w:tblCellMar>
        <w:left w:w="115" w:type="dxa"/>
        <w:right w:w="115" w:type="dxa"/>
      </w:tblCellMar>
    </w:tblPr>
  </w:style>
  <w:style w:type="table" w:customStyle="1" w:styleId="5">
    <w:name w:val="5"/>
    <w:basedOn w:val="TableNormal4"/>
    <w:tblPr>
      <w:tblStyleRowBandSize w:val="1"/>
      <w:tblStyleColBandSize w:val="1"/>
      <w:tblCellMar>
        <w:left w:w="115" w:type="dxa"/>
        <w:right w:w="115" w:type="dxa"/>
      </w:tblCellMar>
    </w:tblPr>
  </w:style>
  <w:style w:type="table" w:customStyle="1" w:styleId="4">
    <w:name w:val="4"/>
    <w:basedOn w:val="TableNormal4"/>
    <w:tblPr>
      <w:tblStyleRowBandSize w:val="1"/>
      <w:tblStyleColBandSize w:val="1"/>
      <w:tblCellMar>
        <w:left w:w="115" w:type="dxa"/>
        <w:right w:w="115" w:type="dxa"/>
      </w:tblCellMar>
    </w:tblPr>
  </w:style>
  <w:style w:type="table" w:customStyle="1" w:styleId="3">
    <w:name w:val="3"/>
    <w:basedOn w:val="TableNormal5"/>
    <w:tblPr>
      <w:tblStyleRowBandSize w:val="1"/>
      <w:tblStyleColBandSize w:val="1"/>
      <w:tblCellMar>
        <w:left w:w="115" w:type="dxa"/>
        <w:right w:w="115" w:type="dxa"/>
      </w:tblCellMar>
    </w:tblPr>
  </w:style>
  <w:style w:type="table" w:customStyle="1" w:styleId="2">
    <w:name w:val="2"/>
    <w:basedOn w:val="TableNormal5"/>
    <w:tblPr>
      <w:tblStyleRowBandSize w:val="1"/>
      <w:tblStyleColBandSize w:val="1"/>
      <w:tblCellMar>
        <w:left w:w="115" w:type="dxa"/>
        <w:right w:w="115" w:type="dxa"/>
      </w:tblCellMar>
    </w:tblPr>
  </w:style>
  <w:style w:type="table" w:customStyle="1" w:styleId="1">
    <w:name w:val="1"/>
    <w:basedOn w:val="TableNormal5"/>
    <w:tblPr>
      <w:tblStyleRowBandSize w:val="1"/>
      <w:tblStyleColBandSize w:val="1"/>
      <w:tblCellMar>
        <w:left w:w="115" w:type="dxa"/>
        <w:right w:w="115" w:type="dxa"/>
      </w:tblCellMar>
    </w:tbl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legislacion.edomex.gob.mx/sites/legislacion.edomex.gob.mx/files/files/pdf/gct/2021/dic301.pdf"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11.pn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uUrRlDD4Yx04ztJQLSb8EzFPQw==">AMUW2mWfNiyExjHw9tt2QrFgywX4iAalq9PHixW6gz6jJ0QZrIYuJNAWqAa3hkCAM99Rd3hpasVH7+UrvntB2MGxHypnlOYrF7Qj/oWKBnK5I113B+HGws7A3dwr7JHJxoVs5dQs2ZYPhI25Zvwvn+es5QnkkmzOzA==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41</Pages>
  <Words>9289</Words>
  <Characters>51090</Characters>
  <Application>Microsoft Office Word</Application>
  <DocSecurity>0</DocSecurity>
  <Lines>425</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User 425</cp:lastModifiedBy>
  <cp:revision>4</cp:revision>
  <cp:lastPrinted>2022-06-16T20:19:00Z</cp:lastPrinted>
  <dcterms:created xsi:type="dcterms:W3CDTF">2022-06-16T01:15:00Z</dcterms:created>
  <dcterms:modified xsi:type="dcterms:W3CDTF">2022-06-16T20:19:00Z</dcterms:modified>
</cp:coreProperties>
</file>