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80703D">
        <w:rPr>
          <w:rFonts w:ascii="Palatino Linotype" w:eastAsia="Palatino Linotype" w:hAnsi="Palatino Linotype" w:cs="Palatino Linotype"/>
        </w:rPr>
        <w:t>celebrada el</w:t>
      </w:r>
      <w:r>
        <w:rPr>
          <w:rFonts w:ascii="Palatino Linotype" w:eastAsia="Palatino Linotype" w:hAnsi="Palatino Linotype" w:cs="Palatino Linotype"/>
        </w:rPr>
        <w:t xml:space="preserve"> veinticuatro de agosto de dos mil veintidós. </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09267/INFOEM/IP/RR/2022, </w:t>
      </w:r>
      <w:r>
        <w:rPr>
          <w:rFonts w:ascii="Palatino Linotype" w:eastAsia="Palatino Linotype" w:hAnsi="Palatino Linotype" w:cs="Palatino Linotype"/>
        </w:rPr>
        <w:t xml:space="preserve">promovido por el </w:t>
      </w:r>
      <w:r>
        <w:rPr>
          <w:rFonts w:ascii="Palatino Linotype" w:eastAsia="Palatino Linotype" w:hAnsi="Palatino Linotype" w:cs="Palatino Linotype"/>
          <w:b/>
        </w:rPr>
        <w:t xml:space="preserve">C. </w:t>
      </w:r>
      <w:bookmarkStart w:id="0" w:name="_GoBack"/>
      <w:r w:rsidR="00602999">
        <w:rPr>
          <w:rFonts w:ascii="Palatino Linotype" w:eastAsia="Palatino Linotype" w:hAnsi="Palatino Linotype" w:cs="Palatino Linotype"/>
          <w:b/>
        </w:rPr>
        <w:t>XXXXXX XXXXXXXX</w:t>
      </w:r>
      <w:bookmarkEnd w:id="0"/>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Chimalhuacán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rsidR="00C91F8C" w:rsidRDefault="00C91F8C">
      <w:pPr>
        <w:spacing w:line="360" w:lineRule="auto"/>
        <w:jc w:val="both"/>
        <w:rPr>
          <w:rFonts w:ascii="Palatino Linotype" w:eastAsia="Palatino Linotype" w:hAnsi="Palatino Linotype" w:cs="Palatino Linotype"/>
          <w:b/>
        </w:rPr>
      </w:pPr>
    </w:p>
    <w:p w:rsidR="00C91F8C" w:rsidRDefault="00867F95">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rsidR="00C91F8C" w:rsidRDefault="00C91F8C">
      <w:pPr>
        <w:rPr>
          <w:rFonts w:ascii="Palatino Linotype" w:eastAsia="Palatino Linotype" w:hAnsi="Palatino Linotype" w:cs="Palatino Linotype"/>
          <w:b/>
        </w:rPr>
      </w:pPr>
    </w:p>
    <w:p w:rsidR="00C91F8C" w:rsidRDefault="00867F9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rsidR="00C91F8C" w:rsidRDefault="00867F95">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Pr>
          <w:rFonts w:ascii="Palatino Linotype" w:eastAsia="Palatino Linotype" w:hAnsi="Palatino Linotype" w:cs="Palatino Linotype"/>
        </w:rPr>
        <w:t xml:space="preserve"> En fecha veintinueve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00323/CHIMALHU/IP/2022, </w:t>
      </w:r>
      <w:r>
        <w:rPr>
          <w:rFonts w:ascii="Palatino Linotype" w:eastAsia="Palatino Linotype" w:hAnsi="Palatino Linotype" w:cs="Palatino Linotype"/>
        </w:rPr>
        <w:t>requirió, lo siguiente:</w:t>
      </w:r>
    </w:p>
    <w:p w:rsidR="00C91F8C" w:rsidRDefault="00867F95">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“Solicito que me hagan entrega de un listado de los CONTRATOS DE OBRAS, BIENES Y SERVICIOS licitados en su municipio, tanto en adjudicación directa, licitación pública e invitación a cuando meses tres personas, de 2012 a la fecha más reciente, con los siguientes datos: A.-Institución B.-Nombre de la UC C.-Responsable de la UC D.-Código del expediente E.-Referencia del expediente F.-</w:t>
      </w:r>
      <w:r>
        <w:rPr>
          <w:rFonts w:ascii="Palatino Linotype" w:eastAsia="Palatino Linotype" w:hAnsi="Palatino Linotype" w:cs="Palatino Linotype"/>
          <w:i/>
          <w:sz w:val="22"/>
          <w:szCs w:val="22"/>
        </w:rPr>
        <w:lastRenderedPageBreak/>
        <w:t xml:space="preserve">Título del expediente G.-Fundamento legal H.-Número del procedimiento I.-Fecha de fallo J.-Fecha de publicación K.-Tipo de contratación L.-Tipo de procedimiento M.-Título del contrato N.-Descripción del contrato O.-Importe del contrato P.-Convenio modificatorio Q.-RFC </w:t>
      </w:r>
      <w:proofErr w:type="spellStart"/>
      <w:r>
        <w:rPr>
          <w:rFonts w:ascii="Palatino Linotype" w:eastAsia="Palatino Linotype" w:hAnsi="Palatino Linotype" w:cs="Palatino Linotype"/>
          <w:i/>
          <w:sz w:val="22"/>
          <w:szCs w:val="22"/>
        </w:rPr>
        <w:t>R.Proveedor</w:t>
      </w:r>
      <w:proofErr w:type="spellEnd"/>
      <w:r>
        <w:rPr>
          <w:rFonts w:ascii="Palatino Linotype" w:eastAsia="Palatino Linotype" w:hAnsi="Palatino Linotype" w:cs="Palatino Linotype"/>
          <w:i/>
          <w:sz w:val="22"/>
          <w:szCs w:val="22"/>
        </w:rPr>
        <w:t xml:space="preserve"> o contratista S.-Dirección del anuncio . } También la lista de proveedores de 2012 a la fecha más reciente.”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C91F8C" w:rsidRDefault="00C91F8C">
      <w:pPr>
        <w:tabs>
          <w:tab w:val="left" w:pos="851"/>
        </w:tabs>
        <w:ind w:right="901"/>
        <w:jc w:val="both"/>
        <w:rPr>
          <w:rFonts w:ascii="Palatino Linotype" w:eastAsia="Palatino Linotype" w:hAnsi="Palatino Linotype" w:cs="Palatino Linotype"/>
          <w:sz w:val="22"/>
          <w:szCs w:val="22"/>
        </w:rPr>
      </w:pPr>
    </w:p>
    <w:p w:rsidR="00C91F8C" w:rsidRDefault="00867F95">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rsidR="00C91F8C" w:rsidRDefault="00C91F8C">
      <w:pPr>
        <w:pBdr>
          <w:top w:val="nil"/>
          <w:left w:val="nil"/>
          <w:bottom w:val="nil"/>
          <w:right w:val="nil"/>
          <w:between w:val="nil"/>
        </w:pBdr>
        <w:spacing w:line="360" w:lineRule="auto"/>
        <w:ind w:left="850"/>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los expedientes electrónicos del SAIMEX advierte en fecha seis de mayo del dos mil veintidós el  turno de requerimiento hecho al servidor público habilitado que estimó competente, en términos de lo establecido por el artículo 162 de la Ley de Transparencia y Acceso a la Información Pública del Estado de México y Municipios.</w:t>
      </w:r>
    </w:p>
    <w:p w:rsidR="00C91F8C" w:rsidRDefault="00867F9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rsidR="00C91F8C" w:rsidRDefault="00867F9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w:t>
      </w:r>
      <w:r w:rsidRPr="0080703D">
        <w:rPr>
          <w:rFonts w:ascii="Palatino Linotype" w:eastAsia="Palatino Linotype" w:hAnsi="Palatino Linotype" w:cs="Palatino Linotype"/>
          <w:b/>
        </w:rPr>
        <w:t>veintitrés de mayo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rsidR="00C91F8C" w:rsidRDefault="00867F95">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w:t>
      </w:r>
      <w:r>
        <w:rPr>
          <w:rFonts w:ascii="Palatino Linotype" w:eastAsia="Palatino Linotype" w:hAnsi="Palatino Linotype" w:cs="Palatino Linotype"/>
          <w:i/>
          <w:sz w:val="22"/>
          <w:szCs w:val="22"/>
        </w:rPr>
        <w:lastRenderedPageBreak/>
        <w:t>resumirla, efectuar cálculos o practicar investigaciones.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excepciones.”(Sic)</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Adjuntando a su respuesta el documento denominado </w:t>
      </w:r>
      <w:r>
        <w:rPr>
          <w:rFonts w:ascii="Palatino Linotype" w:eastAsia="Palatino Linotype" w:hAnsi="Palatino Linotype" w:cs="Palatino Linotype"/>
          <w:i/>
        </w:rPr>
        <w:t xml:space="preserve">Respuesta 00323 CHIMALHU IP 2022.pdf </w:t>
      </w:r>
      <w:r>
        <w:rPr>
          <w:rFonts w:ascii="Palatino Linotype" w:eastAsia="Palatino Linotype" w:hAnsi="Palatino Linotype" w:cs="Palatino Linotype"/>
        </w:rPr>
        <w:t xml:space="preserve">de cuyo contenido se advierten las instrucciones para acceder a la información publicada en el Portal de Información Pública de Oficio Mexiquense del </w:t>
      </w:r>
      <w:r>
        <w:rPr>
          <w:rFonts w:ascii="Palatino Linotype" w:eastAsia="Palatino Linotype" w:hAnsi="Palatino Linotype" w:cs="Palatino Linotype"/>
          <w:b/>
        </w:rPr>
        <w:t xml:space="preserve">SUJETO OBLIGADO. </w:t>
      </w:r>
    </w:p>
    <w:p w:rsidR="00C91F8C" w:rsidRDefault="00C91F8C">
      <w:pPr>
        <w:widowControl w:val="0"/>
        <w:spacing w:line="360" w:lineRule="auto"/>
        <w:jc w:val="both"/>
        <w:rPr>
          <w:rFonts w:ascii="Palatino Linotype" w:eastAsia="Palatino Linotype" w:hAnsi="Palatino Linotype" w:cs="Palatino Linotype"/>
          <w:b/>
          <w:sz w:val="28"/>
          <w:szCs w:val="28"/>
        </w:rPr>
      </w:pPr>
    </w:p>
    <w:p w:rsidR="00C91F8C" w:rsidRDefault="00867F95">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rsidR="00C91F8C" w:rsidRDefault="00867F95">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veinticinco de mayo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09267/INFOEM/IP/RR/2022,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rsidR="00C91F8C" w:rsidRDefault="00C91F8C">
      <w:pPr>
        <w:widowControl w:val="0"/>
        <w:spacing w:line="360" w:lineRule="auto"/>
        <w:jc w:val="both"/>
        <w:rPr>
          <w:rFonts w:ascii="Palatino Linotype" w:eastAsia="Palatino Linotype" w:hAnsi="Palatino Linotype" w:cs="Palatino Linotype"/>
        </w:rPr>
      </w:pPr>
    </w:p>
    <w:p w:rsidR="00C91F8C" w:rsidRDefault="00867F95">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rsidR="00C91F8C" w:rsidRDefault="00867F95">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ha satisfecho mi derecho a la información ya que no han entregado la información solicitada, faltan partes y deberían estar en sus archivos.”(</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C91F8C" w:rsidRDefault="00C91F8C">
      <w:pPr>
        <w:ind w:right="899"/>
        <w:jc w:val="both"/>
        <w:rPr>
          <w:rFonts w:ascii="Palatino Linotype" w:eastAsia="Palatino Linotype" w:hAnsi="Palatino Linotype" w:cs="Palatino Linotype"/>
        </w:rPr>
      </w:pPr>
    </w:p>
    <w:p w:rsidR="00C91F8C" w:rsidRDefault="00867F95">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rsidR="00C91F8C" w:rsidRDefault="00867F95">
      <w:pPr>
        <w:tabs>
          <w:tab w:val="left" w:pos="709"/>
        </w:tabs>
        <w:spacing w:before="66"/>
        <w:ind w:left="850" w:right="899"/>
        <w:jc w:val="both"/>
        <w:rPr>
          <w:rFonts w:ascii="Palatino Linotype" w:eastAsia="Palatino Linotype" w:hAnsi="Palatino Linotype" w:cs="Palatino Linotype"/>
          <w:b/>
          <w:u w:val="single"/>
        </w:rPr>
      </w:pPr>
      <w:r>
        <w:rPr>
          <w:rFonts w:ascii="Palatino Linotype" w:eastAsia="Palatino Linotype" w:hAnsi="Palatino Linotype" w:cs="Palatino Linotype"/>
          <w:i/>
          <w:sz w:val="22"/>
          <w:szCs w:val="22"/>
        </w:rPr>
        <w:t>“No se ha satisfecho mi derecho a la información ya que no han entregado la información solicitada, faltan partes y deberían estar en sus archivos.”(</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C91F8C" w:rsidRDefault="00867F9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 xml:space="preserve">V. Del turno del Recurso de Revisión. </w:t>
      </w: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veinticinco de mayo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a efecto de decretar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C91F8C" w:rsidRDefault="00C91F8C">
      <w:pPr>
        <w:spacing w:line="360" w:lineRule="auto"/>
        <w:jc w:val="both"/>
        <w:rPr>
          <w:rFonts w:ascii="Palatino Linotype" w:eastAsia="Palatino Linotype" w:hAnsi="Palatino Linotype" w:cs="Palatino Linotype"/>
        </w:rPr>
      </w:pPr>
    </w:p>
    <w:p w:rsidR="00C91F8C" w:rsidRDefault="00867F95">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rsidR="00C91F8C" w:rsidRDefault="00867F95">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veintisiete de mayo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C91F8C" w:rsidRDefault="00C91F8C">
      <w:pPr>
        <w:tabs>
          <w:tab w:val="center" w:pos="4252"/>
          <w:tab w:val="right" w:pos="8504"/>
        </w:tabs>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rsidR="00C91F8C" w:rsidRDefault="00867F95">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w:t>
      </w:r>
      <w:r>
        <w:rPr>
          <w:rFonts w:ascii="Palatino Linotype" w:eastAsia="Palatino Linotype" w:hAnsi="Palatino Linotype" w:cs="Palatino Linotype"/>
        </w:rPr>
        <w:lastRenderedPageBreak/>
        <w:t xml:space="preserve">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tampoco presentó el Informe Justificado correspondiente </w:t>
      </w:r>
    </w:p>
    <w:p w:rsidR="00C91F8C" w:rsidRDefault="00C91F8C">
      <w:pPr>
        <w:widowControl w:val="0"/>
        <w:tabs>
          <w:tab w:val="left" w:pos="0"/>
        </w:tabs>
        <w:spacing w:line="360" w:lineRule="auto"/>
        <w:jc w:val="both"/>
        <w:rPr>
          <w:rFonts w:ascii="Palatino Linotype" w:eastAsia="Palatino Linotype" w:hAnsi="Palatino Linotype" w:cs="Palatino Linotype"/>
          <w:b/>
        </w:rPr>
      </w:pPr>
    </w:p>
    <w:p w:rsidR="00C91F8C" w:rsidRDefault="00867F95">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rsidR="00C91F8C" w:rsidRDefault="00867F95">
      <w:pPr>
        <w:spacing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En fecha doce de julio de dos mil veintidós, se notificó el acuerdo de ampliación de plazo para resolver el presente Recurso de Revisión, previsto en el artículo 181, tercer párrafo de la Ley de Transparencia y Acceso a la Información Pública del Estado de México y Municipios.</w:t>
      </w:r>
    </w:p>
    <w:p w:rsidR="00C91F8C" w:rsidRDefault="00C91F8C">
      <w:pPr>
        <w:shd w:val="clear" w:color="auto" w:fill="FFFFFF"/>
        <w:spacing w:line="360" w:lineRule="auto"/>
        <w:jc w:val="both"/>
        <w:rPr>
          <w:rFonts w:ascii="Palatino Linotype" w:eastAsia="Palatino Linotype" w:hAnsi="Palatino Linotype" w:cs="Palatino Linotype"/>
        </w:rPr>
      </w:pPr>
    </w:p>
    <w:p w:rsidR="00C91F8C"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0703D"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Pr>
          <w:rFonts w:ascii="Palatino Linotype" w:eastAsia="Palatino Linotype" w:hAnsi="Palatino Linotype" w:cs="Palatino Linotype"/>
        </w:rPr>
        <w:lastRenderedPageBreak/>
        <w:t>de asuntos conforme a los parámetros establecidos por diversos órganos jurisdiccionales federales, aplicables también en procedimientos análogos, como el que nos ocupa.</w:t>
      </w:r>
    </w:p>
    <w:p w:rsidR="0080703D"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0703D"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0703D"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Por ello, excepcionalmente, si un asunto es resuelto con posterioridad a los plazos señalados por la norma debe analizarse la razonabilidad del tiempo necesario para su resolución, atent</w:t>
      </w:r>
      <w:r w:rsidR="0080703D">
        <w:rPr>
          <w:rFonts w:ascii="Palatino Linotype" w:eastAsia="Palatino Linotype" w:hAnsi="Palatino Linotype" w:cs="Palatino Linotype"/>
        </w:rPr>
        <w:t>os a los siguientes criterios: </w:t>
      </w:r>
    </w:p>
    <w:p w:rsidR="0080703D"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      Complejidad del asunto: La complejidad de la prueba, la pluralidad de sujetos procesales, el tiempo transcurrido, las características y contexto del recurso.</w:t>
      </w:r>
      <w:r>
        <w:rPr>
          <w:rFonts w:ascii="Palatino Linotype" w:eastAsia="Palatino Linotype" w:hAnsi="Palatino Linotype" w:cs="Palatino Linotype"/>
        </w:rPr>
        <w:br/>
        <w:t>b)     Actividad Procesal del interesado: Acciones u omisiones del interesado.</w:t>
      </w:r>
      <w:r>
        <w:rPr>
          <w:rFonts w:ascii="Palatino Linotype" w:eastAsia="Palatino Linotype" w:hAnsi="Palatino Linotype" w:cs="Palatino Linotype"/>
        </w:rPr>
        <w:br/>
        <w:t xml:space="preserve">c)      Conducta de la Autoridad: Las Acciones u omisiones realizadas en el </w:t>
      </w:r>
      <w:r>
        <w:rPr>
          <w:rFonts w:ascii="Palatino Linotype" w:eastAsia="Palatino Linotype" w:hAnsi="Palatino Linotype" w:cs="Palatino Linotype"/>
        </w:rPr>
        <w:lastRenderedPageBreak/>
        <w:t>procedimiento. Así como si la autoridad actuó con la debida diligencia.</w:t>
      </w:r>
      <w:r>
        <w:rPr>
          <w:rFonts w:ascii="Palatino Linotype" w:eastAsia="Palatino Linotype" w:hAnsi="Palatino Linotype" w:cs="Palatino Linotype"/>
        </w:rPr>
        <w:br/>
        <w:t>d) La afectación generada en la situación jurídica de la persona involucrada en el proceso: Vi</w:t>
      </w:r>
      <w:r w:rsidR="0080703D">
        <w:rPr>
          <w:rFonts w:ascii="Palatino Linotype" w:eastAsia="Palatino Linotype" w:hAnsi="Palatino Linotype" w:cs="Palatino Linotype"/>
        </w:rPr>
        <w:t>olación a sus derechos humanos.</w:t>
      </w:r>
    </w:p>
    <w:p w:rsidR="0080703D"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80703D">
        <w:rPr>
          <w:rFonts w:ascii="Palatino Linotype" w:eastAsia="Palatino Linotype" w:hAnsi="Palatino Linotype" w:cs="Palatino Linotype"/>
        </w:rPr>
        <w:t>ecido en el caso que nos ocupa.</w:t>
      </w:r>
    </w:p>
    <w:p w:rsidR="0080703D"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w:t>
      </w:r>
      <w:r w:rsidR="0080703D">
        <w:rPr>
          <w:rFonts w:ascii="Palatino Linotype" w:eastAsia="Palatino Linotype" w:hAnsi="Palatino Linotype" w:cs="Palatino Linotype"/>
        </w:rPr>
        <w:t xml:space="preserve"> 205635.</w:t>
      </w:r>
    </w:p>
    <w:p w:rsidR="0080703D"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w:t>
      </w:r>
      <w:r w:rsidR="0080703D">
        <w:rPr>
          <w:rFonts w:ascii="Palatino Linotype" w:eastAsia="Palatino Linotype" w:hAnsi="Palatino Linotype" w:cs="Palatino Linotype"/>
        </w:rPr>
        <w:t>arse de causas de fuerza mayor.</w:t>
      </w:r>
    </w:p>
    <w:p w:rsidR="0080703D"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Al respecto, también son de considerar los criterios sostenidos por el Cuarto Tribunal Colegiado en Materia Administrativa del Primer Circuito, cuyos rubros y datos de ide</w:t>
      </w:r>
      <w:r w:rsidR="0080703D">
        <w:rPr>
          <w:rFonts w:ascii="Palatino Linotype" w:eastAsia="Palatino Linotype" w:hAnsi="Palatino Linotype" w:cs="Palatino Linotype"/>
        </w:rPr>
        <w:t>ntificación son los siguientes:</w:t>
      </w:r>
    </w:p>
    <w:p w:rsidR="0080703D"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“PLAZO RAZONABLE PARA RESOLVER. DIMENSIÓN Y EFECTOS DE ESTE CONCEPTO CUANDO SE ADUCE EXCESIVA CARGA DE TRABAJO.” consultable en el Seminario Judicial de la Federación y su gaceta, c</w:t>
      </w:r>
      <w:r w:rsidR="0080703D">
        <w:rPr>
          <w:rFonts w:ascii="Palatino Linotype" w:eastAsia="Palatino Linotype" w:hAnsi="Palatino Linotype" w:cs="Palatino Linotype"/>
        </w:rPr>
        <w:t>on el registro digital 2002351.</w:t>
      </w:r>
    </w:p>
    <w:p w:rsidR="0080703D"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“PLAZO RAZONABLE PARA RESOLVER. CONCEPTO Y ELEMENTOS QUE LO INTEGRAN A LA LUZ DEL DERECHO INTERNACIONAL DE LOS DERECHOS HUMANOS.”, visible en el Seminario Judicial de la Federación y su gaceta, c</w:t>
      </w:r>
      <w:r w:rsidR="0080703D">
        <w:rPr>
          <w:rFonts w:ascii="Palatino Linotype" w:eastAsia="Palatino Linotype" w:hAnsi="Palatino Linotype" w:cs="Palatino Linotype"/>
        </w:rPr>
        <w:t>on el registro digital 2002350.</w:t>
      </w:r>
    </w:p>
    <w:p w:rsidR="00C91F8C"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Por ello, este organismo garante comprometido con la tutela de los derechos humanos confiados, señala que este exceso del plazo legal para resolver el presente asunto, resulta de carácter excepcional.</w:t>
      </w:r>
    </w:p>
    <w:p w:rsidR="00C91F8C" w:rsidRDefault="00867F9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 Cierre de Instrucción</w:t>
      </w: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w:t>
      </w:r>
      <w:r w:rsidR="0080703D">
        <w:rPr>
          <w:rFonts w:ascii="Palatino Linotype" w:eastAsia="Palatino Linotype" w:hAnsi="Palatino Linotype" w:cs="Palatino Linotype"/>
        </w:rPr>
        <w:t>veintitrés</w:t>
      </w:r>
      <w:r>
        <w:rPr>
          <w:rFonts w:ascii="Palatino Linotype" w:eastAsia="Palatino Linotype" w:hAnsi="Palatino Linotype" w:cs="Palatino Linotype"/>
        </w:rPr>
        <w:t xml:space="preserve"> de agosto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C91F8C" w:rsidRDefault="00C91F8C">
      <w:pPr>
        <w:rPr>
          <w:rFonts w:ascii="Palatino Linotype" w:eastAsia="Palatino Linotype" w:hAnsi="Palatino Linotype" w:cs="Palatino Linotype"/>
          <w:b/>
          <w:sz w:val="28"/>
          <w:szCs w:val="28"/>
        </w:rPr>
      </w:pPr>
    </w:p>
    <w:p w:rsidR="00C91F8C" w:rsidRDefault="00C91F8C">
      <w:pPr>
        <w:jc w:val="center"/>
        <w:rPr>
          <w:rFonts w:ascii="Palatino Linotype" w:eastAsia="Palatino Linotype" w:hAnsi="Palatino Linotype" w:cs="Palatino Linotype"/>
          <w:b/>
          <w:sz w:val="28"/>
          <w:szCs w:val="28"/>
        </w:rPr>
      </w:pPr>
    </w:p>
    <w:p w:rsidR="00C91F8C" w:rsidRDefault="00867F95">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rsidR="00C91F8C" w:rsidRDefault="00C91F8C">
      <w:pPr>
        <w:jc w:val="center"/>
        <w:rPr>
          <w:rFonts w:ascii="Palatino Linotype" w:eastAsia="Palatino Linotype" w:hAnsi="Palatino Linotype" w:cs="Palatino Linotype"/>
          <w:b/>
          <w:sz w:val="28"/>
          <w:szCs w:val="28"/>
        </w:rPr>
      </w:pPr>
    </w:p>
    <w:p w:rsidR="00C91F8C" w:rsidRDefault="00867F95">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C91F8C" w:rsidRDefault="00867F95">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91F8C" w:rsidRDefault="00C91F8C">
      <w:pPr>
        <w:spacing w:line="360" w:lineRule="auto"/>
        <w:jc w:val="both"/>
        <w:rPr>
          <w:rFonts w:ascii="Palatino Linotype" w:eastAsia="Palatino Linotype" w:hAnsi="Palatino Linotype" w:cs="Palatino Linotype"/>
          <w:b/>
          <w:sz w:val="28"/>
          <w:szCs w:val="28"/>
        </w:rPr>
      </w:pPr>
    </w:p>
    <w:p w:rsidR="00C91F8C" w:rsidRDefault="00867F9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b/>
        </w:rPr>
        <w:t xml:space="preserve">. Interés. </w:t>
      </w:r>
    </w:p>
    <w:p w:rsidR="00C91F8C" w:rsidRDefault="00867F95">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rsidR="00C91F8C" w:rsidRDefault="00C91F8C">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C91F8C" w:rsidRDefault="00867F95">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rsidR="00C91F8C" w:rsidRDefault="00867F95">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C91F8C" w:rsidRDefault="00C91F8C">
      <w:pPr>
        <w:ind w:left="720" w:right="709"/>
        <w:jc w:val="both"/>
        <w:rPr>
          <w:rFonts w:ascii="Palatino Linotype" w:eastAsia="Palatino Linotype" w:hAnsi="Palatino Linotype" w:cs="Palatino Linotype"/>
          <w:i/>
          <w:sz w:val="22"/>
          <w:szCs w:val="22"/>
        </w:rPr>
      </w:pP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91F8C" w:rsidRDefault="00C91F8C">
      <w:pPr>
        <w:ind w:left="851" w:right="899"/>
        <w:jc w:val="both"/>
        <w:rPr>
          <w:rFonts w:ascii="Palatino Linotype" w:eastAsia="Palatino Linotype" w:hAnsi="Palatino Linotype" w:cs="Palatino Linotype"/>
          <w:i/>
          <w:sz w:val="22"/>
          <w:szCs w:val="22"/>
        </w:rPr>
      </w:pP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91F8C" w:rsidRDefault="00C91F8C">
      <w:pPr>
        <w:ind w:left="851" w:right="899"/>
        <w:jc w:val="both"/>
        <w:rPr>
          <w:rFonts w:ascii="Palatino Linotype" w:eastAsia="Palatino Linotype" w:hAnsi="Palatino Linotype" w:cs="Palatino Linotype"/>
          <w:i/>
          <w:sz w:val="22"/>
          <w:szCs w:val="22"/>
        </w:rPr>
      </w:pP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C91F8C" w:rsidRDefault="00C91F8C">
      <w:pPr>
        <w:ind w:left="720" w:right="709"/>
        <w:jc w:val="both"/>
        <w:rPr>
          <w:rFonts w:ascii="Palatino Linotype" w:eastAsia="Palatino Linotype" w:hAnsi="Palatino Linotype" w:cs="Palatino Linotype"/>
          <w:i/>
          <w:sz w:val="22"/>
          <w:szCs w:val="22"/>
        </w:rPr>
      </w:pPr>
    </w:p>
    <w:p w:rsidR="00C91F8C" w:rsidRDefault="00867F95">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lastRenderedPageBreak/>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veintitrés de mayo de dos mil 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veinticuatro de mayo al trece de junio de dos mil veintidós, </w:t>
      </w:r>
      <w:r>
        <w:rPr>
          <w:rFonts w:ascii="Palatino Linotype" w:eastAsia="Palatino Linotype" w:hAnsi="Palatino Linotype" w:cs="Palatino Linotype"/>
        </w:rPr>
        <w:t xml:space="preserve">sin contemplar en el cómputo los días veintiocho y veintinueve de mayo así como cuatro cinco, once y doce de junio por corresponder a sábados y domingos, considerados como días inhábiles, en términos del artículo 3, fracción X de la Ley de Transparencia y Acceso a la Información Pública del Estado de México y Municipios. </w:t>
      </w:r>
    </w:p>
    <w:p w:rsidR="00C91F8C" w:rsidRDefault="00C91F8C">
      <w:pPr>
        <w:spacing w:line="360" w:lineRule="auto"/>
        <w:jc w:val="both"/>
        <w:rPr>
          <w:rFonts w:ascii="Palatino Linotype" w:eastAsia="Palatino Linotype" w:hAnsi="Palatino Linotype" w:cs="Palatino Linotype"/>
        </w:rPr>
      </w:pPr>
      <w:bookmarkStart w:id="5" w:name="_heading=h.orkc3o7h9xbv" w:colFirst="0" w:colLast="0"/>
      <w:bookmarkEnd w:id="5"/>
    </w:p>
    <w:p w:rsidR="00C91F8C" w:rsidRDefault="00867F95">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día veinticinco de mayo, luego entonces  su interposición se considera oportuna.  </w:t>
      </w:r>
    </w:p>
    <w:p w:rsidR="00C91F8C" w:rsidRDefault="00C91F8C">
      <w:pPr>
        <w:spacing w:line="360" w:lineRule="auto"/>
        <w:ind w:right="49"/>
        <w:jc w:val="both"/>
        <w:rPr>
          <w:rFonts w:ascii="Palatino Linotype" w:eastAsia="Palatino Linotype" w:hAnsi="Palatino Linotype" w:cs="Palatino Linotype"/>
        </w:rPr>
      </w:pPr>
    </w:p>
    <w:p w:rsidR="00C91F8C" w:rsidRDefault="00867F95">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p>
    <w:p w:rsidR="00C91F8C" w:rsidRDefault="00867F9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rsidR="00C91F8C" w:rsidRDefault="00C91F8C">
      <w:pPr>
        <w:ind w:right="49"/>
        <w:jc w:val="both"/>
        <w:rPr>
          <w:rFonts w:ascii="Palatino Linotype" w:eastAsia="Palatino Linotype" w:hAnsi="Palatino Linotype" w:cs="Palatino Linotype"/>
        </w:rPr>
      </w:pPr>
    </w:p>
    <w:p w:rsidR="00C91F8C" w:rsidRDefault="00867F95">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rsidR="00C91F8C" w:rsidRDefault="00867F95">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C91F8C" w:rsidRDefault="00867F95">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que recurre </w:t>
      </w:r>
      <w:r>
        <w:rPr>
          <w:rFonts w:ascii="Palatino Linotype" w:eastAsia="Palatino Linotype" w:hAnsi="Palatino Linotype" w:cs="Palatino Linotype"/>
          <w:i/>
          <w:sz w:val="22"/>
          <w:szCs w:val="22"/>
        </w:rPr>
        <w:t>o de su representante y, en su caso</w:t>
      </w:r>
      <w:proofErr w:type="gramStart"/>
      <w:r>
        <w:rPr>
          <w:rFonts w:ascii="Palatino Linotype" w:eastAsia="Palatino Linotype" w:hAnsi="Palatino Linotype" w:cs="Palatino Linotype"/>
          <w:i/>
          <w:sz w:val="22"/>
          <w:szCs w:val="22"/>
        </w:rPr>
        <w:t>, …</w:t>
      </w:r>
      <w:proofErr w:type="gramEnd"/>
    </w:p>
    <w:p w:rsidR="00C91F8C" w:rsidRDefault="00867F95">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En caso de que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rsidR="00C91F8C" w:rsidRDefault="00867F95">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C91F8C" w:rsidRDefault="00C91F8C">
      <w:pPr>
        <w:tabs>
          <w:tab w:val="left" w:pos="851"/>
        </w:tabs>
        <w:ind w:right="901"/>
        <w:jc w:val="both"/>
        <w:rPr>
          <w:rFonts w:ascii="Palatino Linotype" w:eastAsia="Palatino Linotype" w:hAnsi="Palatino Linotype" w:cs="Palatino Linotype"/>
          <w:i/>
          <w:sz w:val="22"/>
          <w:szCs w:val="22"/>
        </w:rPr>
      </w:pPr>
    </w:p>
    <w:p w:rsidR="00C91F8C" w:rsidRDefault="00867F9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Pr>
          <w:rFonts w:ascii="Palatino Linotype" w:eastAsia="Palatino Linotype" w:hAnsi="Palatino Linotype" w:cs="Palatino Linotype"/>
        </w:rPr>
        <w:lastRenderedPageBreak/>
        <w:t>acceso a la información pública, toda vez que disponen que toda persona sin necesidad de acreditar interés alguno o justificar su utilización, tendrá acceso gratuito a la información pública.</w:t>
      </w:r>
    </w:p>
    <w:p w:rsidR="00C91F8C" w:rsidRDefault="00C91F8C">
      <w:pPr>
        <w:tabs>
          <w:tab w:val="left" w:pos="851"/>
        </w:tabs>
        <w:spacing w:line="360" w:lineRule="auto"/>
        <w:ind w:left="851" w:right="901"/>
        <w:jc w:val="both"/>
        <w:rPr>
          <w:rFonts w:ascii="Palatino Linotype" w:eastAsia="Palatino Linotype" w:hAnsi="Palatino Linotype" w:cs="Palatino Linotype"/>
          <w:sz w:val="22"/>
          <w:szCs w:val="22"/>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constituye un supuesto indispensable de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 la misma persona que realizó la solicitud de acceso a la información pública que ahora se impugna.</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 el presente Recurso de Revisión, resulta intrascendente conocer el nombre completo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w:t>
      </w:r>
      <w:r>
        <w:rPr>
          <w:rFonts w:ascii="Palatino Linotype" w:eastAsia="Palatino Linotype" w:hAnsi="Palatino Linotype" w:cs="Palatino Linotype"/>
        </w:rPr>
        <w:lastRenderedPageBreak/>
        <w:t>realizar dicho análisis; toda vez que, se limitaría el ejercicio de un Derecho Humano, como el Derecho de Acceso a la Información Pública, por una cuestión procedimental.</w:t>
      </w:r>
    </w:p>
    <w:p w:rsidR="00C91F8C" w:rsidRDefault="00C91F8C">
      <w:pPr>
        <w:tabs>
          <w:tab w:val="left" w:pos="851"/>
        </w:tabs>
        <w:ind w:right="901"/>
        <w:jc w:val="both"/>
        <w:rPr>
          <w:rFonts w:ascii="Palatino Linotype" w:eastAsia="Palatino Linotype" w:hAnsi="Palatino Linotype" w:cs="Palatino Linotype"/>
          <w:i/>
          <w:sz w:val="22"/>
          <w:szCs w:val="22"/>
        </w:rPr>
      </w:pP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rsidR="00C91F8C" w:rsidRDefault="00867F9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precisar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rsidR="00C91F8C" w:rsidRDefault="00867F95">
      <w:pPr>
        <w:tabs>
          <w:tab w:val="left" w:pos="851"/>
        </w:tabs>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“Solicito que me hagan entrega de un listado de los CONTRATOS DE OBRAS, BIENES Y SERVICIOS licitados en su municipio, tanto en adjudicación directa, licitación pública e invitación a cuando meses tres personas, de 2012 a la fecha más reciente, con los siguientes datos: A.-Institución B.-Nombre de la UC C.-Responsable de la UC D.-Código del expediente E.-Referencia del expediente F.-Título del expediente G.-Fundamento legal H.-Número del procedimiento I.-Fecha de fallo J.-Fecha de publicación K.-Tipo de contratación L.-Tipo de procedimiento M.-Título del contrato N.-Descripción del contrato O.-Importe del contrato P.-Convenio modificatorio Q.-RFC </w:t>
      </w:r>
      <w:proofErr w:type="spellStart"/>
      <w:r>
        <w:rPr>
          <w:rFonts w:ascii="Palatino Linotype" w:eastAsia="Palatino Linotype" w:hAnsi="Palatino Linotype" w:cs="Palatino Linotype"/>
          <w:i/>
          <w:sz w:val="22"/>
          <w:szCs w:val="22"/>
        </w:rPr>
        <w:t>R.Proveedor</w:t>
      </w:r>
      <w:proofErr w:type="spellEnd"/>
      <w:r>
        <w:rPr>
          <w:rFonts w:ascii="Palatino Linotype" w:eastAsia="Palatino Linotype" w:hAnsi="Palatino Linotype" w:cs="Palatino Linotype"/>
          <w:i/>
          <w:sz w:val="22"/>
          <w:szCs w:val="22"/>
        </w:rPr>
        <w:t xml:space="preserve"> o contratista S.-Dirección del anuncio . } También la lista de proveedores de 2012 a la fecha más reciente. ” (Sic)</w:t>
      </w:r>
    </w:p>
    <w:p w:rsidR="00C91F8C" w:rsidRDefault="00C91F8C">
      <w:pPr>
        <w:spacing w:before="200" w:line="360" w:lineRule="auto"/>
        <w:ind w:right="-28"/>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por medio de la dirección de Egresos y Administración señalando las instrucciones para acceder al portal de Información Pública de Oficio Mexiquense del ente recurrido.</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con la respuesta </w:t>
      </w:r>
      <w:r w:rsidR="0080703D">
        <w:rPr>
          <w:rFonts w:ascii="Palatino Linotype" w:eastAsia="Palatino Linotype" w:hAnsi="Palatino Linotype" w:cs="Palatino Linotype"/>
        </w:rPr>
        <w:t>proporcionada</w:t>
      </w:r>
      <w:r>
        <w:rPr>
          <w:rFonts w:ascii="Palatino Linotype" w:eastAsia="Palatino Linotype" w:hAnsi="Palatino Linotype" w:cs="Palatino Linotype"/>
        </w:rPr>
        <w:t xml:space="preserve">, el </w:t>
      </w:r>
      <w:r w:rsidR="0080703D">
        <w:rPr>
          <w:rFonts w:ascii="Palatino Linotype" w:eastAsia="Palatino Linotype" w:hAnsi="Palatino Linotype" w:cs="Palatino Linotype"/>
        </w:rPr>
        <w:t>particular</w:t>
      </w:r>
      <w:r>
        <w:rPr>
          <w:rFonts w:ascii="Palatino Linotype" w:eastAsia="Palatino Linotype" w:hAnsi="Palatino Linotype" w:cs="Palatino Linotype"/>
        </w:rPr>
        <w:t xml:space="preserve"> interpuso el presente medio de impugnación, en donde de forma medular se inconforma de que la </w:t>
      </w:r>
      <w:r w:rsidR="0080703D">
        <w:rPr>
          <w:rFonts w:ascii="Palatino Linotype" w:eastAsia="Palatino Linotype" w:hAnsi="Palatino Linotype" w:cs="Palatino Linotype"/>
        </w:rPr>
        <w:t>respuesta</w:t>
      </w:r>
      <w:r>
        <w:rPr>
          <w:rFonts w:ascii="Palatino Linotype" w:eastAsia="Palatino Linotype" w:hAnsi="Palatino Linotype" w:cs="Palatino Linotype"/>
        </w:rPr>
        <w:t xml:space="preserve"> otorgada es incompleta. Lo que en consecuencia actualiza la causal de improcedencia establecida en el artículo 179 fracción V de la Ley de Transparencia y Acceso a la </w:t>
      </w:r>
      <w:r>
        <w:rPr>
          <w:rFonts w:ascii="Palatino Linotype" w:eastAsia="Palatino Linotype" w:hAnsi="Palatino Linotype" w:cs="Palatino Linotype"/>
        </w:rPr>
        <w:lastRenderedPageBreak/>
        <w:t xml:space="preserve">Información pública que establece la entrega de información incompleta, como se aprecia a continuación: </w:t>
      </w: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w:t>
      </w:r>
      <w:proofErr w:type="gramStart"/>
      <w:r>
        <w:rPr>
          <w:rFonts w:ascii="Palatino Linotype" w:eastAsia="Palatino Linotype" w:hAnsi="Palatino Linotype" w:cs="Palatino Linotype"/>
          <w:i/>
          <w:sz w:val="22"/>
          <w:szCs w:val="22"/>
        </w:rPr>
        <w:t>las siguientes causa</w:t>
      </w:r>
      <w:proofErr w:type="gramEnd"/>
      <w:r>
        <w:rPr>
          <w:rFonts w:ascii="Palatino Linotype" w:eastAsia="Palatino Linotype" w:hAnsi="Palatino Linotype" w:cs="Palatino Linotype"/>
          <w:i/>
          <w:sz w:val="22"/>
          <w:szCs w:val="22"/>
        </w:rPr>
        <w:t>:</w:t>
      </w:r>
    </w:p>
    <w:p w:rsidR="00C91F8C" w:rsidRDefault="00C91F8C">
      <w:pPr>
        <w:ind w:left="850" w:right="899"/>
        <w:jc w:val="both"/>
        <w:rPr>
          <w:rFonts w:ascii="Palatino Linotype" w:eastAsia="Palatino Linotype" w:hAnsi="Palatino Linotype" w:cs="Palatino Linotype"/>
          <w:b/>
          <w:i/>
          <w:sz w:val="22"/>
          <w:szCs w:val="22"/>
        </w:rPr>
      </w:pPr>
    </w:p>
    <w:p w:rsidR="00C91F8C" w:rsidRDefault="00867F95">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La entrega de información incompleta;” </w:t>
      </w:r>
    </w:p>
    <w:p w:rsidR="00C91F8C" w:rsidRDefault="00867F95">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roofErr w:type="gramStart"/>
      <w:r>
        <w:rPr>
          <w:rFonts w:ascii="Palatino Linotype" w:eastAsia="Palatino Linotype" w:hAnsi="Palatino Linotype" w:cs="Palatino Linotype"/>
          <w:b/>
          <w:i/>
          <w:sz w:val="22"/>
          <w:szCs w:val="22"/>
        </w:rPr>
        <w:t>énfasis</w:t>
      </w:r>
      <w:proofErr w:type="gramEnd"/>
      <w:r>
        <w:rPr>
          <w:rFonts w:ascii="Palatino Linotype" w:eastAsia="Palatino Linotype" w:hAnsi="Palatino Linotype" w:cs="Palatino Linotype"/>
          <w:b/>
          <w:i/>
          <w:sz w:val="22"/>
          <w:szCs w:val="22"/>
        </w:rPr>
        <w:t xml:space="preserve"> añadido)</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Luego entonces, lo procedente es analizar la totalidad de las constancias que obran en el expediente electrónico del SAIMEX, para determinar si con estas se puede satisfacer el Derecho de Acceso a la Información del particular.</w:t>
      </w:r>
    </w:p>
    <w:p w:rsidR="00C91F8C" w:rsidRDefault="00C91F8C">
      <w:pPr>
        <w:spacing w:line="360" w:lineRule="auto"/>
        <w:jc w:val="both"/>
        <w:rPr>
          <w:rFonts w:ascii="Palatino Linotype" w:eastAsia="Palatino Linotype" w:hAnsi="Palatino Linotype" w:cs="Palatino Linotype"/>
        </w:rPr>
      </w:pPr>
    </w:p>
    <w:p w:rsidR="00C91F8C" w:rsidRDefault="00867F95">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preciso recordar que como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hizo entrega del documento emitido por la Dirección de Egresos y Administración, en el cual se observan instrucciones para acceder a la información solicitada como se puede apreciar a continuación: </w:t>
      </w:r>
    </w:p>
    <w:p w:rsidR="00C91F8C" w:rsidRDefault="00867F95">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noProof/>
        </w:rPr>
        <w:drawing>
          <wp:inline distT="114300" distB="114300" distL="114300" distR="114300">
            <wp:extent cx="5353050" cy="2012556"/>
            <wp:effectExtent l="0" t="0" r="0" b="0"/>
            <wp:docPr id="3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5872" r="6809" b="7428"/>
                    <a:stretch>
                      <a:fillRect/>
                    </a:stretch>
                  </pic:blipFill>
                  <pic:spPr>
                    <a:xfrm>
                      <a:off x="0" y="0"/>
                      <a:ext cx="5353050" cy="2012556"/>
                    </a:xfrm>
                    <a:prstGeom prst="rect">
                      <a:avLst/>
                    </a:prstGeom>
                    <a:ln/>
                  </pic:spPr>
                </pic:pic>
              </a:graphicData>
            </a:graphic>
          </wp:inline>
        </w:drawing>
      </w:r>
    </w:p>
    <w:p w:rsidR="00C91F8C" w:rsidRDefault="00867F95">
      <w:pPr>
        <w:spacing w:before="240" w:after="240" w:line="360" w:lineRule="auto"/>
        <w:ind w:right="51"/>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extent cx="4163060" cy="3639231"/>
            <wp:effectExtent l="0" t="0" r="0" b="0"/>
            <wp:docPr id="37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t="14864" r="5383" b="2399"/>
                    <a:stretch>
                      <a:fillRect/>
                    </a:stretch>
                  </pic:blipFill>
                  <pic:spPr>
                    <a:xfrm>
                      <a:off x="0" y="0"/>
                      <a:ext cx="4163060" cy="3639231"/>
                    </a:xfrm>
                    <a:prstGeom prst="rect">
                      <a:avLst/>
                    </a:prstGeom>
                    <a:ln/>
                  </pic:spPr>
                </pic:pic>
              </a:graphicData>
            </a:graphic>
          </wp:inline>
        </w:drawing>
      </w:r>
    </w:p>
    <w:p w:rsidR="00C91F8C" w:rsidRDefault="00867F95">
      <w:pPr>
        <w:spacing w:before="240" w:after="240" w:line="360" w:lineRule="auto"/>
        <w:ind w:right="51"/>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4314825" cy="2716607"/>
            <wp:effectExtent l="0" t="0" r="0" b="0"/>
            <wp:docPr id="37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16768" b="13709"/>
                    <a:stretch>
                      <a:fillRect/>
                    </a:stretch>
                  </pic:blipFill>
                  <pic:spPr>
                    <a:xfrm>
                      <a:off x="0" y="0"/>
                      <a:ext cx="4314825" cy="2716607"/>
                    </a:xfrm>
                    <a:prstGeom prst="rect">
                      <a:avLst/>
                    </a:prstGeom>
                    <a:ln/>
                  </pic:spPr>
                </pic:pic>
              </a:graphicData>
            </a:graphic>
          </wp:inline>
        </w:drawing>
      </w:r>
    </w:p>
    <w:p w:rsidR="00C91F8C" w:rsidRDefault="00867F95">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las imágenes antes referidas se puede apreciar que la respuesta emitida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remite al apartado “concesiones, contratos, convenios, permisos, licencias o autorizaciones otorgados” mismo que se observa a continuación: </w:t>
      </w:r>
    </w:p>
    <w:p w:rsidR="00C91F8C" w:rsidRDefault="00867F95">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5791835" cy="2844800"/>
            <wp:effectExtent l="0" t="0" r="0" b="0"/>
            <wp:docPr id="37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791835" cy="2844800"/>
                    </a:xfrm>
                    <a:prstGeom prst="rect">
                      <a:avLst/>
                    </a:prstGeom>
                    <a:ln/>
                  </pic:spPr>
                </pic:pic>
              </a:graphicData>
            </a:graphic>
          </wp:inline>
        </w:drawing>
      </w:r>
    </w:p>
    <w:p w:rsidR="00C91F8C" w:rsidRDefault="00867F95">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Así bien de la imagen anterior se observan los registros de los ejercicios 2022, 2021, 2020 y 2019, mismas que a su vez contienen los contratos, convenios, licencias, permisos y autorizaciones otorgadas. </w:t>
      </w:r>
    </w:p>
    <w:p w:rsidR="00C91F8C" w:rsidRDefault="00867F95">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tal sentido, de la investigación realizada por esta ponencia se aprecia que dentro de dichos registros se encuentran los rubros siguientes:</w:t>
      </w:r>
    </w:p>
    <w:p w:rsidR="00C91F8C" w:rsidRDefault="00867F95">
      <w:pPr>
        <w:spacing w:before="240" w:after="240" w:line="360" w:lineRule="auto"/>
        <w:ind w:right="51"/>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extent cx="5305425" cy="6391275"/>
            <wp:effectExtent l="0" t="0" r="0" b="0"/>
            <wp:docPr id="36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305425" cy="6391275"/>
                    </a:xfrm>
                    <a:prstGeom prst="rect">
                      <a:avLst/>
                    </a:prstGeom>
                    <a:ln/>
                  </pic:spPr>
                </pic:pic>
              </a:graphicData>
            </a:graphic>
          </wp:inline>
        </w:drawing>
      </w:r>
    </w:p>
    <w:p w:rsidR="00C91F8C" w:rsidRDefault="00867F95">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los rubros referidos se puede obtener la información relativa a el tipo de acto, que para el caso que nos ocupa es contrato, nombre del titular o institución a la cual se le otorgó el servicio, o permiso, monto total aprovechado, el área responsable de la información, así como el hipervínculo al contrato respectivo, el cual no se encuentra publicado. </w:t>
      </w:r>
    </w:p>
    <w:p w:rsidR="00C91F8C" w:rsidRDefault="00867F95">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si bien en la dirección aportada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respuesta se advierte parte de la información solicitada, la misma no se encuentra completa, al no visualizarse el contrato respectivo que pudiera contener el resto de los rubros solicitados. </w:t>
      </w:r>
    </w:p>
    <w:p w:rsidR="00C91F8C" w:rsidRDefault="00867F95">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tal sentido,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C91F8C" w:rsidRDefault="00867F95">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91F8C" w:rsidRDefault="00867F95">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w:t>
      </w:r>
      <w:r>
        <w:rPr>
          <w:rFonts w:ascii="Palatino Linotype" w:eastAsia="Palatino Linotype" w:hAnsi="Palatino Linotype" w:cs="Palatino Linotype"/>
          <w:i/>
          <w:sz w:val="22"/>
          <w:szCs w:val="22"/>
        </w:rPr>
        <w:lastRenderedPageBreak/>
        <w:t>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91F8C" w:rsidRDefault="00867F95">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C91F8C" w:rsidRDefault="00C91F8C">
      <w:pPr>
        <w:spacing w:line="360" w:lineRule="auto"/>
        <w:jc w:val="both"/>
        <w:rPr>
          <w:rFonts w:ascii="Palatino Linotype" w:eastAsia="Palatino Linotype" w:hAnsi="Palatino Linotype" w:cs="Palatino Linotype"/>
        </w:rPr>
      </w:pPr>
    </w:p>
    <w:p w:rsidR="00C91F8C" w:rsidRDefault="00867F95">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C91F8C" w:rsidRDefault="00C91F8C">
      <w:pPr>
        <w:ind w:left="567" w:right="758"/>
        <w:jc w:val="both"/>
        <w:rPr>
          <w:rFonts w:ascii="Palatino Linotype" w:eastAsia="Palatino Linotype" w:hAnsi="Palatino Linotype" w:cs="Palatino Linotype"/>
          <w:i/>
          <w:sz w:val="22"/>
          <w:szCs w:val="22"/>
        </w:rPr>
      </w:pPr>
    </w:p>
    <w:p w:rsidR="00C91F8C" w:rsidRDefault="00867F95">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C91F8C" w:rsidRDefault="00C91F8C">
      <w:pPr>
        <w:spacing w:line="360" w:lineRule="auto"/>
        <w:ind w:right="-93"/>
        <w:jc w:val="both"/>
        <w:rPr>
          <w:rFonts w:ascii="Palatino Linotype" w:eastAsia="Palatino Linotype" w:hAnsi="Palatino Linotype" w:cs="Palatino Linotype"/>
        </w:rPr>
      </w:pPr>
    </w:p>
    <w:p w:rsidR="00C91F8C" w:rsidRDefault="00867F95">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Pr>
          <w:rFonts w:ascii="Palatino Linotype" w:eastAsia="Palatino Linotype" w:hAnsi="Palatino Linotype" w:cs="Palatino Linotype"/>
        </w:rPr>
        <w:lastRenderedPageBreak/>
        <w:t>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C91F8C" w:rsidRDefault="00C91F8C">
      <w:pPr>
        <w:spacing w:line="360" w:lineRule="auto"/>
        <w:ind w:right="-93"/>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rsidR="00C91F8C" w:rsidRDefault="00C91F8C">
      <w:pPr>
        <w:ind w:left="851" w:right="850"/>
        <w:jc w:val="both"/>
        <w:rPr>
          <w:rFonts w:ascii="Palatino Linotype" w:eastAsia="Palatino Linotype" w:hAnsi="Palatino Linotype" w:cs="Palatino Linotype"/>
        </w:rPr>
      </w:pPr>
    </w:p>
    <w:p w:rsidR="00C91F8C" w:rsidRDefault="00867F95">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C91F8C" w:rsidRDefault="00C91F8C">
      <w:pPr>
        <w:spacing w:line="360" w:lineRule="auto"/>
        <w:ind w:right="-93"/>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91F8C" w:rsidRDefault="00C91F8C">
      <w:pPr>
        <w:spacing w:line="360" w:lineRule="auto"/>
        <w:ind w:right="49"/>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91F8C" w:rsidRDefault="00C91F8C">
      <w:pPr>
        <w:ind w:left="851" w:right="899"/>
        <w:jc w:val="both"/>
        <w:rPr>
          <w:rFonts w:ascii="Palatino Linotype" w:eastAsia="Palatino Linotype" w:hAnsi="Palatino Linotype" w:cs="Palatino Linotype"/>
          <w:i/>
          <w:sz w:val="22"/>
          <w:szCs w:val="22"/>
        </w:rPr>
      </w:pP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C91F8C" w:rsidRDefault="00C91F8C">
      <w:pPr>
        <w:ind w:left="851" w:right="899"/>
        <w:jc w:val="both"/>
        <w:rPr>
          <w:rFonts w:ascii="Palatino Linotype" w:eastAsia="Palatino Linotype" w:hAnsi="Palatino Linotype" w:cs="Palatino Linotype"/>
          <w:sz w:val="22"/>
          <w:szCs w:val="22"/>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91F8C" w:rsidRDefault="00C91F8C">
      <w:pPr>
        <w:ind w:left="851" w:right="899"/>
        <w:jc w:val="both"/>
        <w:rPr>
          <w:rFonts w:ascii="Palatino Linotype" w:eastAsia="Palatino Linotype" w:hAnsi="Palatino Linotype" w:cs="Palatino Linotype"/>
        </w:rPr>
      </w:pPr>
    </w:p>
    <w:p w:rsidR="00C91F8C" w:rsidRDefault="00867F95">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C91F8C" w:rsidRDefault="00867F95">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C91F8C" w:rsidRDefault="00867F95">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C91F8C" w:rsidRDefault="00C91F8C">
      <w:pPr>
        <w:spacing w:line="360" w:lineRule="auto"/>
        <w:ind w:right="-93"/>
        <w:jc w:val="both"/>
        <w:rPr>
          <w:rFonts w:ascii="Palatino Linotype" w:eastAsia="Palatino Linotype" w:hAnsi="Palatino Linotype" w:cs="Palatino Linotype"/>
        </w:rPr>
      </w:pPr>
    </w:p>
    <w:p w:rsidR="00C91F8C" w:rsidRDefault="00867F9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precedente se advierte que lo solicitado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versa medularmente sobre contratos y adquisiciones de servicios y bienes, en ese tenor, la </w:t>
      </w:r>
      <w:r>
        <w:rPr>
          <w:rFonts w:ascii="Palatino Linotype" w:eastAsia="Palatino Linotype" w:hAnsi="Palatino Linotype" w:cs="Palatino Linotype"/>
        </w:rPr>
        <w:lastRenderedPageBreak/>
        <w:t xml:space="preserve">Ley de Contratación Pública del Estado de México, citada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señala en sus artículos 4 y 5  lo siguiente: </w:t>
      </w: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 Para los efectos de esta Ley, en las adquisiciones, enajenaciones, arrendamientos y servicios, quedan comprendidos:</w:t>
      </w: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adquisición de bienes muebles. </w:t>
      </w: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La adquisición de bienes inmuebles, a través de compraventa. </w:t>
      </w: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La enajenación de bienes muebles e inmuebles. </w:t>
      </w: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El arrendamiento de bienes muebles e inmuebles. </w:t>
      </w: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La contratación de los servicios, relacionados con bienes muebles que se encuentran incorporados o adheridos a bienes inmuebles, cuya instalación o mantenimiento no implique modificación al bien inmueble. </w:t>
      </w: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 contratación de los servicios de reconstrucción y mantenimiento de bienes muebles. </w:t>
      </w: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La contratación de los servicios de maquila, seguros y transportación, así como de los de limpieza y vigilancia de bienes inmuebles. </w:t>
      </w: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La prestación de servicios profesionales, la contratación de consultorías, asesorías y estudios e investigaciones, excepto la contratación de servicios personales de personas físicas bajo el régimen de honorarios. </w:t>
      </w:r>
    </w:p>
    <w:p w:rsidR="00C91F8C" w:rsidRDefault="00867F95">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general, otros actos que impliquen la contratación de servicios de cualquier naturaleza. </w:t>
      </w:r>
    </w:p>
    <w:p w:rsidR="00C91F8C" w:rsidRDefault="00867F95">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 </w:t>
      </w:r>
    </w:p>
    <w:p w:rsidR="00C91F8C" w:rsidRDefault="00867F95">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contratación de seguros de garantía financiera, así como de servicios profesionales, consultorías, asesorías, estudios e investigaciones en relación con créditos, empréstitos, préstamos o financiamientos de cualquier naturaleza, incluyendo la emisión de valores, o cualquier otro servicio financiero no estarán sujetos a lo dispuesto por esta Ley. </w:t>
      </w:r>
    </w:p>
    <w:p w:rsidR="00C91F8C" w:rsidRDefault="00867F95">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Tampoco aplicará esta ley a la contratación de servicios financieros relacionados con la apertura de cuentas bancarias para la recepción y manejo, inversión y pago de recursos públicos.</w:t>
      </w:r>
    </w:p>
    <w:p w:rsidR="00C91F8C" w:rsidRDefault="00867F95">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w:t>
      </w:r>
      <w:r>
        <w:rPr>
          <w:rFonts w:ascii="Palatino Linotype" w:eastAsia="Palatino Linotype" w:hAnsi="Palatino Linotype" w:cs="Palatino Linotype"/>
          <w:i/>
          <w:sz w:val="22"/>
          <w:szCs w:val="22"/>
        </w:rPr>
        <w:t xml:space="preserve"> La Secretaría llevará a cabo los procedimientos de adquisición de bienes o servicios que requieran las dependencias, conforme a sus respectivos programas de adquisiciones. </w:t>
      </w:r>
    </w:p>
    <w:p w:rsidR="00C91F8C" w:rsidRDefault="00867F95">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Las entidades, tribunales administrativos y ayuntamientos, en el ámbito de su respectiva competencia, tendrán a su cargo el trámite de los procedimientos de adquisición de bienes, contratación de servicios, arrendamientos y enajenaciones de bienes muebles e inmuebles.</w:t>
      </w:r>
      <w:r>
        <w:rPr>
          <w:rFonts w:ascii="Palatino Linotype" w:eastAsia="Palatino Linotype" w:hAnsi="Palatino Linotype" w:cs="Palatino Linotype"/>
          <w:i/>
          <w:sz w:val="22"/>
          <w:szCs w:val="22"/>
        </w:rPr>
        <w:t>”</w:t>
      </w:r>
    </w:p>
    <w:p w:rsidR="00C91F8C" w:rsidRDefault="00867F95">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los ayuntamientos en el ámbito de su competencia, tendrán a su cargo el trámite de los procedimientos de adquisición de bienes, contratación de servicios, arrendamientos y enajenaciones de bienes muebles e inmuebles. </w:t>
      </w:r>
    </w:p>
    <w:p w:rsidR="00C91F8C" w:rsidRDefault="00867F9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establecido lo anterior, se advierte que estos procedimientos deberán ser publicados conforme a lo establecido en la Ley de Transparencia y Acceso a la Información Pública del Estado de México y Municipios, en su artículo 92 dentro del apartado de obligaciones de transparencia comunes a todos los sujetos obligados fracción XXIX. Mismo que establece lo siguiente: </w:t>
      </w: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91F8C" w:rsidRDefault="00C91F8C">
      <w:pPr>
        <w:ind w:left="851" w:right="899"/>
        <w:jc w:val="both"/>
        <w:rPr>
          <w:rFonts w:ascii="Palatino Linotype" w:eastAsia="Palatino Linotype" w:hAnsi="Palatino Linotype" w:cs="Palatino Linotype"/>
          <w:i/>
          <w:sz w:val="22"/>
          <w:szCs w:val="22"/>
        </w:rPr>
      </w:pP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sobre los procesos y resultados sobre procedimientos de adjudicación directa, invitación restringida y licitación de cualquier naturaleza,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incluyendo la versión pública del expediente respectivo</w:t>
      </w:r>
      <w:r>
        <w:rPr>
          <w:rFonts w:ascii="Palatino Linotype" w:eastAsia="Palatino Linotype" w:hAnsi="Palatino Linotype" w:cs="Palatino Linotype"/>
          <w:i/>
          <w:sz w:val="22"/>
          <w:szCs w:val="22"/>
        </w:rPr>
        <w:t xml:space="preserve"> y de los contratos celebrados, que deberán contener, por los menos, lo siguiente: </w:t>
      </w:r>
    </w:p>
    <w:p w:rsidR="00C91F8C" w:rsidRDefault="00C91F8C">
      <w:pPr>
        <w:ind w:left="851" w:right="899"/>
        <w:jc w:val="both"/>
        <w:rPr>
          <w:rFonts w:ascii="Palatino Linotype" w:eastAsia="Palatino Linotype" w:hAnsi="Palatino Linotype" w:cs="Palatino Linotype"/>
          <w:i/>
          <w:sz w:val="22"/>
          <w:szCs w:val="22"/>
        </w:rPr>
      </w:pPr>
    </w:p>
    <w:p w:rsidR="00C91F8C" w:rsidRDefault="00867F9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De licitaciones públicas o procedimientos de invitación restringida: </w:t>
      </w:r>
    </w:p>
    <w:p w:rsidR="00C91F8C" w:rsidRDefault="00867F95">
      <w:pPr>
        <w:ind w:left="144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1) La convocatoria o invitación emitida, así como los fundamentos legales aplicados para llevarla a cabo;</w:t>
      </w:r>
      <w:r>
        <w:rPr>
          <w:rFonts w:ascii="Palatino Linotype" w:eastAsia="Palatino Linotype" w:hAnsi="Palatino Linotype" w:cs="Palatino Linotype"/>
          <w:sz w:val="22"/>
          <w:szCs w:val="22"/>
        </w:rPr>
        <w:t xml:space="preserve"> </w:t>
      </w:r>
    </w:p>
    <w:p w:rsidR="00C91F8C" w:rsidRDefault="00867F95">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Los nombres de los participantes o invitados;</w:t>
      </w:r>
    </w:p>
    <w:p w:rsidR="00C91F8C" w:rsidRDefault="00867F95">
      <w:pPr>
        <w:ind w:left="144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3) El nombre del ganador y las razones que lo justifican;</w:t>
      </w:r>
    </w:p>
    <w:p w:rsidR="00C91F8C" w:rsidRDefault="00867F95">
      <w:pPr>
        <w:ind w:left="144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4) El área solicitante y la responsable de su ejecución; </w:t>
      </w:r>
    </w:p>
    <w:p w:rsidR="00C91F8C" w:rsidRDefault="00867F95">
      <w:pPr>
        <w:ind w:left="144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5) Las convocatorias e invitaciones emitidas;</w:t>
      </w:r>
    </w:p>
    <w:p w:rsidR="00C91F8C" w:rsidRDefault="00867F95">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 Los dictámenes y fallo de adjudicación; </w:t>
      </w:r>
    </w:p>
    <w:p w:rsidR="00C91F8C" w:rsidRDefault="00867F95">
      <w:pPr>
        <w:ind w:left="144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7) El contrato y, en su caso, sus anexos</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 </w:t>
      </w:r>
    </w:p>
    <w:p w:rsidR="00C91F8C" w:rsidRDefault="00867F95">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8) Los mecanismos de vigilancia y supervisión, incluyendo en su caso, los estudios de impacto urbano y ambiental, según corresponda;</w:t>
      </w:r>
    </w:p>
    <w:p w:rsidR="00C91F8C" w:rsidRDefault="00867F95">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9) La partida presupuestal, de conformidad con el clasificador por objeto del gasto, en el caso de ser aplicable; </w:t>
      </w:r>
    </w:p>
    <w:p w:rsidR="00C91F8C" w:rsidRDefault="00867F95">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rsidR="00C91F8C" w:rsidRDefault="00867F95">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11) Los convenios modificatorios que, en su caso, sean firmados, precisando el objeto y la fecha de celebración;</w:t>
      </w:r>
    </w:p>
    <w:p w:rsidR="00C91F8C" w:rsidRDefault="00867F95">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 Los informes de avance físico y financiero sobre las obras o servicios contratados; </w:t>
      </w:r>
    </w:p>
    <w:p w:rsidR="00C91F8C" w:rsidRDefault="00867F95">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El convenio de terminación; y </w:t>
      </w:r>
    </w:p>
    <w:p w:rsidR="00C91F8C" w:rsidRDefault="00867F95">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14) El finiquito.</w:t>
      </w:r>
    </w:p>
    <w:p w:rsidR="00C91F8C" w:rsidRDefault="00C91F8C">
      <w:pPr>
        <w:ind w:left="1440" w:right="899"/>
        <w:jc w:val="both"/>
        <w:rPr>
          <w:rFonts w:ascii="Palatino Linotype" w:eastAsia="Palatino Linotype" w:hAnsi="Palatino Linotype" w:cs="Palatino Linotype"/>
          <w:i/>
          <w:sz w:val="22"/>
          <w:szCs w:val="22"/>
        </w:rPr>
      </w:pP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De las adjudicaciones directas: </w:t>
      </w:r>
    </w:p>
    <w:p w:rsidR="00C91F8C" w:rsidRDefault="00867F95">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La propuesta enviada por el participante; </w:t>
      </w:r>
    </w:p>
    <w:p w:rsidR="00C91F8C" w:rsidRDefault="00867F95">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Los motivos y fundamentos legales aplicados para llevarla a cabo; </w:t>
      </w:r>
    </w:p>
    <w:p w:rsidR="00C91F8C" w:rsidRDefault="00867F95">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La autorización del ejercicio de la opción; </w:t>
      </w:r>
    </w:p>
    <w:p w:rsidR="00C91F8C" w:rsidRDefault="00867F95">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 En su caso, las cotizaciones consideradas, especificando los nombres de los proveedores y sus montos; </w:t>
      </w:r>
    </w:p>
    <w:p w:rsidR="00C91F8C" w:rsidRDefault="00867F95">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 El nombre de la persona física o jurídica colectiva adjudicada; </w:t>
      </w:r>
    </w:p>
    <w:p w:rsidR="00C91F8C" w:rsidRDefault="00867F95">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 La unidad administrativa solicitante y la responsable de su ejecución; </w:t>
      </w:r>
    </w:p>
    <w:p w:rsidR="00C91F8C" w:rsidRDefault="00867F95">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7) El número, fecha, el monto del contrato y el plazo de entrega o de ejecución de los servicios u obra; </w:t>
      </w:r>
    </w:p>
    <w:p w:rsidR="00C91F8C" w:rsidRDefault="00867F95">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rsidR="00C91F8C" w:rsidRDefault="00867F95">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 Los informes de avance sobre las obras o servicios contratados; </w:t>
      </w:r>
    </w:p>
    <w:p w:rsidR="00C91F8C" w:rsidRDefault="00867F95">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El convenio de terminación; y </w:t>
      </w:r>
    </w:p>
    <w:p w:rsidR="00C91F8C" w:rsidRDefault="00867F95">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11) El finiquito.” (Sic)</w:t>
      </w:r>
    </w:p>
    <w:p w:rsidR="00C91F8C" w:rsidRDefault="00867F95">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C91F8C" w:rsidRDefault="00867F9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dentro de la información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hacer de conocimiento de los particulares se encuentra la relativa a las adquisiciones de bienes y la contratación de servicios, dentro de la cual se encontrará el contrato con sus anexos. </w:t>
      </w:r>
    </w:p>
    <w:p w:rsidR="00C91F8C" w:rsidRDefault="00867F9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Mismo es el caso para la parte de la solicitud donde el particular desea conocer la lista de proveedores del 2012 a la fecha más reciente. La Ley de Transparencia Local antes citada prevé dentro de la información que deberá ser publicada por los Sujetos Obligados como parte de las obligaciones de transparencia comunes, la relativa </w:t>
      </w:r>
      <w:proofErr w:type="gramStart"/>
      <w:r>
        <w:rPr>
          <w:rFonts w:ascii="Palatino Linotype" w:eastAsia="Palatino Linotype" w:hAnsi="Palatino Linotype" w:cs="Palatino Linotype"/>
        </w:rPr>
        <w:t>a el</w:t>
      </w:r>
      <w:proofErr w:type="gramEnd"/>
      <w:r>
        <w:rPr>
          <w:rFonts w:ascii="Palatino Linotype" w:eastAsia="Palatino Linotype" w:hAnsi="Palatino Linotype" w:cs="Palatino Linotype"/>
        </w:rPr>
        <w:t xml:space="preserve"> padrón de proveedores y contratistas, tal y como se observa de la fracción XXXVI artículo 92 de la ley referida, cuyo contenido es el siguiente: </w:t>
      </w:r>
    </w:p>
    <w:p w:rsidR="00C91F8C" w:rsidRDefault="00867F95">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“Capítulo II </w:t>
      </w:r>
    </w:p>
    <w:p w:rsidR="00C91F8C" w:rsidRDefault="00867F95">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las Obligaciones de Transparencia Comunes </w:t>
      </w:r>
    </w:p>
    <w:p w:rsidR="00C91F8C" w:rsidRDefault="00C91F8C">
      <w:pPr>
        <w:ind w:left="850" w:right="899"/>
        <w:jc w:val="both"/>
        <w:rPr>
          <w:rFonts w:ascii="Palatino Linotype" w:eastAsia="Palatino Linotype" w:hAnsi="Palatino Linotype" w:cs="Palatino Linotype"/>
          <w:i/>
          <w:sz w:val="22"/>
          <w:szCs w:val="22"/>
        </w:rPr>
      </w:pP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91F8C" w:rsidRDefault="00C91F8C">
      <w:pPr>
        <w:ind w:left="850" w:right="899"/>
        <w:jc w:val="both"/>
        <w:rPr>
          <w:rFonts w:ascii="Palatino Linotype" w:eastAsia="Palatino Linotype" w:hAnsi="Palatino Linotype" w:cs="Palatino Linotype"/>
          <w:i/>
          <w:sz w:val="22"/>
          <w:szCs w:val="22"/>
        </w:rPr>
      </w:pP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XXXVI. Padrón de proveedores y contratistas</w:t>
      </w:r>
      <w:r>
        <w:rPr>
          <w:rFonts w:ascii="Palatino Linotype" w:eastAsia="Palatino Linotype" w:hAnsi="Palatino Linotype" w:cs="Palatino Linotype"/>
          <w:i/>
          <w:sz w:val="22"/>
          <w:szCs w:val="22"/>
        </w:rPr>
        <w:t xml:space="preserve">;” </w:t>
      </w:r>
    </w:p>
    <w:p w:rsidR="00C91F8C" w:rsidRDefault="00867F95">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roofErr w:type="gramStart"/>
      <w:r>
        <w:rPr>
          <w:rFonts w:ascii="Palatino Linotype" w:eastAsia="Palatino Linotype" w:hAnsi="Palatino Linotype" w:cs="Palatino Linotype"/>
          <w:i/>
          <w:sz w:val="22"/>
          <w:szCs w:val="22"/>
        </w:rPr>
        <w:t>énfasis</w:t>
      </w:r>
      <w:proofErr w:type="gramEnd"/>
      <w:r>
        <w:rPr>
          <w:rFonts w:ascii="Palatino Linotype" w:eastAsia="Palatino Linotype" w:hAnsi="Palatino Linotype" w:cs="Palatino Linotype"/>
          <w:i/>
          <w:sz w:val="22"/>
          <w:szCs w:val="22"/>
        </w:rPr>
        <w:t xml:space="preserve"> añadido)</w:t>
      </w:r>
    </w:p>
    <w:p w:rsidR="00C91F8C" w:rsidRDefault="00867F9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pronunciarse respecto de dicho rubro de la solicitud, por lo que, su respuesta careció de los principios de congruencia y exhaustividad, como refuerzo de lo anterior</w:t>
      </w:r>
      <w:r>
        <w:rPr>
          <w:rFonts w:ascii="Palatino Linotype" w:eastAsia="Palatino Linotype" w:hAnsi="Palatino Linotype" w:cs="Palatino Linotype"/>
          <w:u w:val="single"/>
        </w:rPr>
        <w:t xml:space="preserve">, resulta crucial el Criterio 02/17, emitido por el Pleno del </w:t>
      </w:r>
      <w:r>
        <w:rPr>
          <w:rFonts w:ascii="Palatino Linotype" w:eastAsia="Palatino Linotype" w:hAnsi="Palatino Linotype" w:cs="Palatino Linotype"/>
        </w:rPr>
        <w:t>Instituto Nacional de Transparencia y Acceso a la Información y Protección de Datos Personales, de título y texto siguientes:</w:t>
      </w:r>
    </w:p>
    <w:p w:rsidR="00C91F8C" w:rsidRDefault="00867F95">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 xml:space="preserve">“Congruencia y exhaustividad. Sus alcances para garantizar el derecho de acceso a la información. </w:t>
      </w:r>
      <w:r>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w:t>
      </w:r>
      <w:r>
        <w:rPr>
          <w:rFonts w:ascii="Palatino Linotype" w:eastAsia="Palatino Linotype" w:hAnsi="Palatino Linotype" w:cs="Palatino Linotype"/>
          <w:i/>
        </w:rPr>
        <w:t xml:space="preserve">con los principios de congruencia y exhaustividad. Para el efectivo ejercicio del derecho de acceso a la información, </w:t>
      </w:r>
      <w:r>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Pr>
          <w:rFonts w:ascii="Palatino Linotype" w:eastAsia="Palatino Linotype" w:hAnsi="Palatino Linotype" w:cs="Palatino Linotype"/>
          <w:i/>
        </w:rPr>
        <w:t xml:space="preserve">; mientras que </w:t>
      </w:r>
      <w:r>
        <w:rPr>
          <w:rFonts w:ascii="Palatino Linotype" w:eastAsia="Palatino Linotype" w:hAnsi="Palatino Linotype" w:cs="Palatino Linotype"/>
          <w:b/>
          <w:i/>
        </w:rPr>
        <w:t>la exhaustividad significa que dicha respuesta se refiera expresamente a cada uno de los puntos solicitados</w:t>
      </w:r>
      <w:r>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C91F8C" w:rsidRDefault="00867F95">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(Énfasis añadido)</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citado criterio, se desprende que todo acto administrativo debe apegarse al principio de exhaustividad y congruencia, entendido el segundo como la concordancia entre el requerimiento formulado por el particular y la respuesta proporcionada por </w:t>
      </w:r>
      <w:r>
        <w:rPr>
          <w:rFonts w:ascii="Palatino Linotype" w:eastAsia="Palatino Linotype" w:hAnsi="Palatino Linotype" w:cs="Palatino Linotype"/>
          <w:b/>
        </w:rPr>
        <w:lastRenderedPageBreak/>
        <w:t>EL SUJETO OBLIGADO,</w:t>
      </w:r>
      <w:r>
        <w:rPr>
          <w:rFonts w:ascii="Palatino Linotype" w:eastAsia="Palatino Linotype" w:hAnsi="Palatino Linotype" w:cs="Palatino Linotype"/>
        </w:rPr>
        <w:t xml:space="preserve"> es decir que las respuesta que emitan los Sujetos Obligados, así como las resoluciones de los Órganos de Transparencia Estatales, deben guardar una relación lógica con lo solicitado, lo cual en el presente caso no sucedió, toda vez que la respuesta emitida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fue congruente con lo solicitado por el Particular. </w:t>
      </w:r>
    </w:p>
    <w:p w:rsidR="00C91F8C" w:rsidRDefault="00867F9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toda vez que el ente recurrido es competente para poseer, generar y administrar la información solicitada, deberá hacer entrega de la misma en versión pública.</w:t>
      </w:r>
    </w:p>
    <w:p w:rsidR="00C91F8C" w:rsidRDefault="00867F9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escapa de la óptica de este Instituto que en su respuesta,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refirió no contar con la información relativa al año 2012, por ello, conviene profundizar en el supuesto de la inexistencia de la información cuando por el paso del tiempo y en términos de la normatividad aplicable,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procede a la baja documental de lo requerido.</w:t>
      </w: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los Lineamientos para la Administración de Documentos en el Estado de México señala los ciclos de vida de los diversos documentos en poder de los Sujetos Obligados como se advierte a continuación:</w:t>
      </w:r>
    </w:p>
    <w:p w:rsidR="00C91F8C" w:rsidRDefault="00C91F8C">
      <w:pPr>
        <w:jc w:val="both"/>
        <w:rPr>
          <w:rFonts w:ascii="Palatino Linotype" w:eastAsia="Palatino Linotype" w:hAnsi="Palatino Linotype" w:cs="Palatino Linotype"/>
        </w:rPr>
      </w:pP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61. El ciclo de vida de los documentos de Archivo se corresponderá con las siguientes fases:</w:t>
      </w:r>
    </w:p>
    <w:p w:rsidR="00C91F8C" w:rsidRDefault="00867F95">
      <w:pPr>
        <w:numPr>
          <w:ilvl w:val="0"/>
          <w:numId w:val="1"/>
        </w:num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Fase Activa.</w:t>
      </w:r>
      <w:r>
        <w:rPr>
          <w:rFonts w:ascii="Palatino Linotype" w:eastAsia="Palatino Linotype" w:hAnsi="Palatino Linotype" w:cs="Palatino Linotype"/>
          <w:i/>
          <w:sz w:val="22"/>
          <w:szCs w:val="22"/>
        </w:rPr>
        <w:t xml:space="preserve"> Etapa en la que los documentos están en un período de tramitación y se utilizan constantemente por parte de la Unidad Administrativa que los generó o recibió, y se ubican en </w:t>
      </w:r>
      <w:r>
        <w:rPr>
          <w:rFonts w:ascii="Palatino Linotype" w:eastAsia="Palatino Linotype" w:hAnsi="Palatino Linotype" w:cs="Palatino Linotype"/>
          <w:b/>
          <w:i/>
          <w:sz w:val="22"/>
          <w:szCs w:val="22"/>
        </w:rPr>
        <w:t>el Archivo de Trámite;</w:t>
      </w:r>
    </w:p>
    <w:p w:rsidR="00C91F8C" w:rsidRDefault="00867F95">
      <w:pPr>
        <w:numPr>
          <w:ilvl w:val="0"/>
          <w:numId w:val="1"/>
        </w:num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Fase </w:t>
      </w:r>
      <w:proofErr w:type="spellStart"/>
      <w:r>
        <w:rPr>
          <w:rFonts w:ascii="Palatino Linotype" w:eastAsia="Palatino Linotype" w:hAnsi="Palatino Linotype" w:cs="Palatino Linotype"/>
          <w:b/>
          <w:i/>
          <w:sz w:val="22"/>
          <w:szCs w:val="22"/>
        </w:rPr>
        <w:t>Semiactiva</w:t>
      </w:r>
      <w:proofErr w:type="spellEnd"/>
      <w:r>
        <w:rPr>
          <w:rFonts w:ascii="Palatino Linotype" w:eastAsia="Palatino Linotype" w:hAnsi="Palatino Linotype" w:cs="Palatino Linotype"/>
          <w:i/>
          <w:sz w:val="22"/>
          <w:szCs w:val="22"/>
        </w:rPr>
        <w:t xml:space="preserve">. Período en el que los documentos, una vez concluido su trámite, mantienen un valor administrativo, pero ya no son de uso frecuente por parte de la Unidad Administrativa que los generó o recibió y se resguardan en el </w:t>
      </w:r>
      <w:r>
        <w:rPr>
          <w:rFonts w:ascii="Palatino Linotype" w:eastAsia="Palatino Linotype" w:hAnsi="Palatino Linotype" w:cs="Palatino Linotype"/>
          <w:b/>
          <w:i/>
          <w:sz w:val="22"/>
          <w:szCs w:val="22"/>
        </w:rPr>
        <w:t>Archivo de Concentración</w:t>
      </w:r>
      <w:r>
        <w:rPr>
          <w:rFonts w:ascii="Palatino Linotype" w:eastAsia="Palatino Linotype" w:hAnsi="Palatino Linotype" w:cs="Palatino Linotype"/>
          <w:i/>
          <w:sz w:val="22"/>
          <w:szCs w:val="22"/>
        </w:rPr>
        <w:t>; y</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rsidR="00C91F8C" w:rsidRDefault="00C91F8C">
      <w:pPr>
        <w:jc w:val="both"/>
        <w:rPr>
          <w:rFonts w:ascii="Palatino Linotype" w:eastAsia="Palatino Linotype" w:hAnsi="Palatino Linotype" w:cs="Palatino Linotype"/>
        </w:rPr>
      </w:pP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Acta de Baja</w:t>
      </w:r>
      <w:r>
        <w:rPr>
          <w:rFonts w:ascii="Palatino Linotype" w:eastAsia="Palatino Linotype" w:hAnsi="Palatino Linotype" w:cs="Palatino Linotype"/>
          <w:i/>
          <w:sz w:val="22"/>
          <w:szCs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Acuerdo</w:t>
      </w:r>
      <w:r>
        <w:rPr>
          <w:rFonts w:ascii="Palatino Linotype" w:eastAsia="Palatino Linotype" w:hAnsi="Palatino Linotype" w:cs="Palatino Linotype"/>
          <w:i/>
          <w:sz w:val="22"/>
          <w:szCs w:val="22"/>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Pr>
          <w:rFonts w:ascii="Palatino Linotype" w:eastAsia="Palatino Linotype" w:hAnsi="Palatino Linotype" w:cs="Palatino Linotype"/>
          <w:i/>
          <w:sz w:val="22"/>
          <w:szCs w:val="22"/>
        </w:rPr>
        <w:t>precaucional</w:t>
      </w:r>
      <w:proofErr w:type="spellEnd"/>
      <w:r>
        <w:rPr>
          <w:rFonts w:ascii="Palatino Linotype" w:eastAsia="Palatino Linotype" w:hAnsi="Palatino Linotype" w:cs="Palatino Linotype"/>
          <w:i/>
          <w:sz w:val="22"/>
          <w:szCs w:val="22"/>
        </w:rPr>
        <w:t xml:space="preserve"> ya prescribió en los Archivos de Concentración y que son resultantes del proceso de selección final. </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IX. Baja Documental</w:t>
      </w:r>
      <w:r>
        <w:rPr>
          <w:rFonts w:ascii="Palatino Linotype" w:eastAsia="Palatino Linotype" w:hAnsi="Palatino Linotype" w:cs="Palatino Linotype"/>
          <w:i/>
          <w:sz w:val="22"/>
          <w:szCs w:val="22"/>
        </w:rPr>
        <w:t>: Eliminación física de la documentación que haya prescrito en sus valores administrativos, legales, fiscales o contables, y que no contenga valores históricos, conforme a la normatividad emitida por la Comisión</w:t>
      </w:r>
    </w:p>
    <w:p w:rsidR="00C91F8C" w:rsidRDefault="00C91F8C">
      <w:pPr>
        <w:ind w:left="850" w:right="901"/>
        <w:jc w:val="both"/>
        <w:rPr>
          <w:rFonts w:ascii="Palatino Linotype" w:eastAsia="Palatino Linotype" w:hAnsi="Palatino Linotype" w:cs="Palatino Linotype"/>
          <w:b/>
          <w:i/>
          <w:sz w:val="22"/>
          <w:szCs w:val="22"/>
        </w:rPr>
      </w:pP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20</w:t>
      </w:r>
      <w:r>
        <w:rPr>
          <w:rFonts w:ascii="Palatino Linotype" w:eastAsia="Palatino Linotype" w:hAnsi="Palatino Linotype" w:cs="Palatino Linotype"/>
          <w:i/>
          <w:sz w:val="22"/>
          <w:szCs w:val="22"/>
        </w:rPr>
        <w:t xml:space="preserve">.- Los expedientes de trámite concluido y los desclasificados se mantendrán íntegros por un periodo de </w:t>
      </w:r>
      <w:r>
        <w:rPr>
          <w:rFonts w:ascii="Palatino Linotype" w:eastAsia="Palatino Linotype" w:hAnsi="Palatino Linotype" w:cs="Palatino Linotype"/>
          <w:b/>
          <w:i/>
          <w:sz w:val="22"/>
          <w:szCs w:val="22"/>
        </w:rPr>
        <w:t>dos años en los Archivos de Trámite</w:t>
      </w:r>
      <w:r>
        <w:rPr>
          <w:rFonts w:ascii="Palatino Linotype" w:eastAsia="Palatino Linotype" w:hAnsi="Palatino Linotype" w:cs="Palatino Linotype"/>
          <w:i/>
          <w:sz w:val="22"/>
          <w:szCs w:val="22"/>
        </w:rPr>
        <w:t xml:space="preserve"> de las Unidades Administrativas. Cumplido este plazo se podrá proceder a su selección preliminar y transferencia al Archivo de Concentración. </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período señalado se computará a partir del día siguiente a la fecha del documento con el cual se dé por concluido el asunto que motivó la integración de los expedientes.</w:t>
      </w:r>
    </w:p>
    <w:p w:rsidR="00C91F8C" w:rsidRDefault="00C91F8C">
      <w:pPr>
        <w:ind w:left="850" w:right="901"/>
        <w:jc w:val="both"/>
        <w:rPr>
          <w:rFonts w:ascii="Palatino Linotype" w:eastAsia="Palatino Linotype" w:hAnsi="Palatino Linotype" w:cs="Palatino Linotype"/>
          <w:b/>
          <w:i/>
          <w:sz w:val="22"/>
          <w:szCs w:val="22"/>
        </w:rPr>
      </w:pP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27</w:t>
      </w:r>
      <w:r>
        <w:rPr>
          <w:rFonts w:ascii="Palatino Linotype" w:eastAsia="Palatino Linotype" w:hAnsi="Palatino Linotype" w:cs="Palatino Linotype"/>
          <w:i/>
          <w:sz w:val="22"/>
          <w:szCs w:val="22"/>
        </w:rPr>
        <w:t xml:space="preserve">.- Las Unidades Administrativas al realizar la transferencia de los expedientes de trámite concluido, señalarán en el Inventario correspondiente los plazos de conservación </w:t>
      </w:r>
      <w:proofErr w:type="spellStart"/>
      <w:r>
        <w:rPr>
          <w:rFonts w:ascii="Palatino Linotype" w:eastAsia="Palatino Linotype" w:hAnsi="Palatino Linotype" w:cs="Palatino Linotype"/>
          <w:i/>
          <w:sz w:val="22"/>
          <w:szCs w:val="22"/>
        </w:rPr>
        <w:t>precaucional</w:t>
      </w:r>
      <w:proofErr w:type="spellEnd"/>
      <w:r>
        <w:rPr>
          <w:rFonts w:ascii="Palatino Linotype" w:eastAsia="Palatino Linotype" w:hAnsi="Palatino Linotype" w:cs="Palatino Linotype"/>
          <w:i/>
          <w:sz w:val="22"/>
          <w:szCs w:val="22"/>
        </w:rPr>
        <w:t xml:space="preserve"> de éstos </w:t>
      </w:r>
      <w:r>
        <w:rPr>
          <w:rFonts w:ascii="Palatino Linotype" w:eastAsia="Palatino Linotype" w:hAnsi="Palatino Linotype" w:cs="Palatino Linotype"/>
          <w:b/>
          <w:i/>
          <w:sz w:val="22"/>
          <w:szCs w:val="22"/>
        </w:rPr>
        <w:t>en el Archivo de Concentración</w:t>
      </w:r>
      <w:r>
        <w:rPr>
          <w:rFonts w:ascii="Palatino Linotype" w:eastAsia="Palatino Linotype" w:hAnsi="Palatino Linotype" w:cs="Palatino Linotype"/>
          <w:i/>
          <w:sz w:val="22"/>
          <w:szCs w:val="22"/>
        </w:rPr>
        <w:t xml:space="preserve">. Para determinar el plazo de conservación </w:t>
      </w:r>
      <w:proofErr w:type="spellStart"/>
      <w:r>
        <w:rPr>
          <w:rFonts w:ascii="Palatino Linotype" w:eastAsia="Palatino Linotype" w:hAnsi="Palatino Linotype" w:cs="Palatino Linotype"/>
          <w:i/>
          <w:sz w:val="22"/>
          <w:szCs w:val="22"/>
        </w:rPr>
        <w:t>precaucional</w:t>
      </w:r>
      <w:proofErr w:type="spellEnd"/>
      <w:r>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periodos: </w:t>
      </w:r>
    </w:p>
    <w:p w:rsidR="00C91F8C" w:rsidRDefault="00C91F8C">
      <w:pPr>
        <w:ind w:left="850" w:right="901"/>
        <w:jc w:val="both"/>
        <w:rPr>
          <w:rFonts w:ascii="Palatino Linotype" w:eastAsia="Palatino Linotype" w:hAnsi="Palatino Linotype" w:cs="Palatino Linotype"/>
          <w:b/>
          <w:i/>
          <w:sz w:val="22"/>
          <w:szCs w:val="22"/>
        </w:rPr>
      </w:pP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6 años para expedientes con información administrativa</w:t>
      </w:r>
      <w:r>
        <w:rPr>
          <w:rFonts w:ascii="Palatino Linotype" w:eastAsia="Palatino Linotype" w:hAnsi="Palatino Linotype" w:cs="Palatino Linotype"/>
          <w:i/>
          <w:sz w:val="22"/>
          <w:szCs w:val="22"/>
        </w:rPr>
        <w:t>;</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6 años como mínimo para expedientes con información fiscal y presupuestal contable </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12 años como mínimo para expedientes con información jurídico-legal, obra pública y activo fijo y</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Cuando en la legislación se establezcan períodos de conservación mayores a los señalados en las fracciones I, II, y III se considerarán los estipulados en dicha legislación para efectos de realización del proceso de selección final. </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Cuando las Unidades Administrativas no indiquen el plazo de conservación </w:t>
      </w:r>
      <w:proofErr w:type="spellStart"/>
      <w:r>
        <w:rPr>
          <w:rFonts w:ascii="Palatino Linotype" w:eastAsia="Palatino Linotype" w:hAnsi="Palatino Linotype" w:cs="Palatino Linotype"/>
          <w:i/>
          <w:sz w:val="22"/>
          <w:szCs w:val="22"/>
        </w:rPr>
        <w:t>precaucional</w:t>
      </w:r>
      <w:proofErr w:type="spellEnd"/>
      <w:r>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  </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w:t>
      </w:r>
      <w:r>
        <w:rPr>
          <w:rFonts w:ascii="Palatino Linotype" w:eastAsia="Palatino Linotype" w:hAnsi="Palatino Linotype" w:cs="Palatino Linotype"/>
        </w:rPr>
        <w:lastRenderedPageBreak/>
        <w:t>competentes para los efectos procedentes; sin embargo, dichos efectos por sí no colman el derecho de acceso a la información de los ciudadanos.</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decir, ante la negativa de la información dada la baja de los documentos, no se colma con informar o hacer entrega al ciudadano del acta de baja, pues ésta sólo hace constancia de la autorización de la baja de los documentos resultantes del proceso de selección preliminar aplicado a los expedientes de trámite concluido, más no así lo dispuesto por el artículo 169 y 170 de la Ley de la materia.</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caso de que la información no obre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w:t>
      </w:r>
      <w:r>
        <w:rPr>
          <w:rFonts w:ascii="Palatino Linotype" w:eastAsia="Palatino Linotype" w:hAnsi="Palatino Linotype" w:cs="Palatino Linotype"/>
        </w:rPr>
        <w:lastRenderedPageBreak/>
        <w:t>en términos de la fracción I, del diverso 9, de la Ley de Transparencia y Acceso a la Información Pública del Estado de México y Municipios.</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apoyo a lo anterior por analogía el criterio 14-09 que emite el Instituto Nacional de Transparencia, Acceso a la Información y Protección de Datos Personales que a la letra dice:</w:t>
      </w:r>
    </w:p>
    <w:p w:rsidR="00C91F8C" w:rsidRDefault="00C91F8C">
      <w:pPr>
        <w:jc w:val="both"/>
        <w:rPr>
          <w:rFonts w:ascii="Palatino Linotype" w:eastAsia="Palatino Linotype" w:hAnsi="Palatino Linotype" w:cs="Palatino Linotype"/>
        </w:rPr>
      </w:pP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Baja documental</w:t>
      </w:r>
      <w:r>
        <w:rPr>
          <w:rFonts w:ascii="Palatino Linotype" w:eastAsia="Palatino Linotype" w:hAnsi="Palatino Linotype" w:cs="Palatino Linotype"/>
          <w:i/>
          <w:sz w:val="22"/>
          <w:szCs w:val="22"/>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91F8C" w:rsidRDefault="00C91F8C">
      <w:pPr>
        <w:shd w:val="clear" w:color="auto" w:fill="FFFFFF"/>
        <w:spacing w:line="360" w:lineRule="auto"/>
        <w:jc w:val="both"/>
        <w:rPr>
          <w:rFonts w:ascii="Palatino Linotype" w:eastAsia="Palatino Linotype" w:hAnsi="Palatino Linotype" w:cs="Palatino Linotype"/>
        </w:rPr>
      </w:pPr>
    </w:p>
    <w:p w:rsidR="00C91F8C" w:rsidRDefault="00867F95">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Resulta aplicable el criterio reiterado número </w:t>
      </w:r>
      <w:r>
        <w:rPr>
          <w:rFonts w:ascii="Palatino Linotype" w:eastAsia="Palatino Linotype" w:hAnsi="Palatino Linotype" w:cs="Palatino Linotype"/>
          <w:b/>
        </w:rPr>
        <w:t>08/19</w:t>
      </w:r>
      <w:r>
        <w:rPr>
          <w:rFonts w:ascii="Palatino Linotype" w:eastAsia="Palatino Linotype" w:hAnsi="Palatino Linotype" w:cs="Palatino Linotype"/>
        </w:rPr>
        <w:t>, emitidos por Acuerdo del Pleno del Instituto de Transparencia y Acceso a la Información Pública del Estado de México y Municipios, que a la letra dice:</w:t>
      </w:r>
    </w:p>
    <w:p w:rsidR="00C91F8C" w:rsidRDefault="00C91F8C">
      <w:pPr>
        <w:shd w:val="clear" w:color="auto" w:fill="FFFFFF"/>
        <w:jc w:val="both"/>
        <w:rPr>
          <w:rFonts w:ascii="Palatino Linotype" w:eastAsia="Palatino Linotype" w:hAnsi="Palatino Linotype" w:cs="Palatino Linotype"/>
        </w:rPr>
      </w:pPr>
    </w:p>
    <w:p w:rsidR="00C91F8C" w:rsidRDefault="00867F95">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“INEXISTENCIA DE LA INFORMACIÓN. SUPUESTOS PARA EMITIR LA RESOLUCIÓN DE LA</w:t>
      </w:r>
      <w:r>
        <w:rPr>
          <w:rFonts w:ascii="Palatino Linotype" w:eastAsia="Palatino Linotype" w:hAnsi="Palatino Linotype" w:cs="Palatino Linotype"/>
          <w:i/>
          <w:sz w:val="22"/>
          <w:szCs w:val="22"/>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eastAsia="Palatino Linotype" w:hAnsi="Palatino Linotype" w:cs="Palatino Linotype"/>
          <w:b/>
          <w:i/>
          <w:sz w:val="22"/>
          <w:szCs w:val="22"/>
        </w:rPr>
        <w:t>”</w:t>
      </w:r>
    </w:p>
    <w:p w:rsidR="00C91F8C" w:rsidRDefault="00867F95">
      <w:pPr>
        <w:shd w:val="clear" w:color="auto" w:fill="FFFFFF"/>
        <w:ind w:right="902" w:firstLine="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C91F8C" w:rsidRDefault="00C91F8C">
      <w:pPr>
        <w:shd w:val="clear" w:color="auto" w:fill="FFFFFF"/>
        <w:ind w:right="902" w:firstLine="851"/>
        <w:jc w:val="both"/>
        <w:rPr>
          <w:rFonts w:ascii="Palatino Linotype" w:eastAsia="Palatino Linotype" w:hAnsi="Palatino Linotype" w:cs="Palatino Linotype"/>
          <w:i/>
          <w:sz w:val="22"/>
          <w:szCs w:val="22"/>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 ya que, se no localizó la información solicitada, lo procedente es realizar la entrega del Acuerdo de Inexistencia aun y cuando ésta haya causado baja documental.</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C91F8C" w:rsidRDefault="00C91F8C">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C91F8C" w:rsidRDefault="00C91F8C">
      <w:pPr>
        <w:jc w:val="both"/>
        <w:rPr>
          <w:rFonts w:ascii="Palatino Linotype" w:eastAsia="Palatino Linotype" w:hAnsi="Palatino Linotype" w:cs="Palatino Linotype"/>
        </w:rPr>
      </w:pP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Analizará el caso y tomará las medidas necesarias para localizar la información;</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Expedirá una resolución que confirme la inexistencia del documento;</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rsidR="00C91F8C" w:rsidRDefault="00C91F8C">
      <w:pPr>
        <w:spacing w:line="360" w:lineRule="auto"/>
        <w:jc w:val="both"/>
        <w:rPr>
          <w:rFonts w:ascii="Palatino Linotype" w:eastAsia="Palatino Linotype" w:hAnsi="Palatino Linotype" w:cs="Palatino Linotype"/>
        </w:rPr>
      </w:pPr>
      <w:bookmarkStart w:id="6" w:name="_heading=h.b9pt8ttxgy6p" w:colFirst="0" w:colLast="0"/>
      <w:bookmarkEnd w:id="6"/>
    </w:p>
    <w:p w:rsidR="00C91F8C" w:rsidRDefault="00C91F8C">
      <w:pPr>
        <w:spacing w:line="360" w:lineRule="auto"/>
        <w:jc w:val="both"/>
        <w:rPr>
          <w:rFonts w:ascii="Palatino Linotype" w:eastAsia="Palatino Linotype" w:hAnsi="Palatino Linotype" w:cs="Palatino Linotype"/>
        </w:rPr>
      </w:pPr>
      <w:bookmarkStart w:id="7" w:name="_heading=h.mrrad1b0tv8a" w:colFirst="0" w:colLast="0"/>
      <w:bookmarkEnd w:id="7"/>
    </w:p>
    <w:p w:rsidR="00C91F8C" w:rsidRDefault="00867F9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Expuesto lo anterior este Organismo Garante</w:t>
      </w:r>
      <w:r w:rsidR="0080703D">
        <w:rPr>
          <w:rFonts w:ascii="Palatino Linotype" w:eastAsia="Palatino Linotype" w:hAnsi="Palatino Linotype" w:cs="Palatino Linotype"/>
        </w:rPr>
        <w:t xml:space="preserve"> determina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otorgada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 la solicitud de información  recaída en el Recurso de Revisión número</w:t>
      </w:r>
      <w:r>
        <w:rPr>
          <w:rFonts w:ascii="Palatino Linotype" w:eastAsia="Palatino Linotype" w:hAnsi="Palatino Linotype" w:cs="Palatino Linotype"/>
          <w:b/>
        </w:rPr>
        <w:t xml:space="preserve"> 09267/INFOEM/IP/RR/2022,  </w:t>
      </w:r>
      <w:r>
        <w:rPr>
          <w:rFonts w:ascii="Palatino Linotype" w:eastAsia="Palatino Linotype" w:hAnsi="Palatino Linotype" w:cs="Palatino Linotype"/>
        </w:rPr>
        <w:t>por resultar parcialmente fundados los motivos de inconformidad</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y ordenarle haga entrega del soporte documental donde consten los contratos de obras, bienes y servicios realizados a través de adjudicación directa, licitación pública e invitación restringida, del primero de enero de dos mil doce a veintinueve de abril de dos mil veintidós, en versión pública.  </w:t>
      </w:r>
    </w:p>
    <w:p w:rsidR="00C91F8C" w:rsidRDefault="00C91F8C">
      <w:pPr>
        <w:spacing w:line="360" w:lineRule="auto"/>
        <w:ind w:right="49"/>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sentido es importante mencionar que para que pueda existir una correcta versión pública de la información, la  clasificación de los datos confidenciales deberá llevarse a cabo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91F8C" w:rsidRDefault="00867F95">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rsidR="00C91F8C" w:rsidRDefault="00867F95">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rsidR="00C91F8C" w:rsidRDefault="00867F95">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C91F8C" w:rsidRDefault="00867F9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p>
    <w:p w:rsidR="00C91F8C" w:rsidRDefault="00C91F8C">
      <w:pPr>
        <w:ind w:left="851" w:right="902"/>
        <w:jc w:val="both"/>
        <w:rPr>
          <w:rFonts w:ascii="Palatino Linotype" w:eastAsia="Palatino Linotype" w:hAnsi="Palatino Linotype" w:cs="Palatino Linotype"/>
          <w:i/>
          <w:sz w:val="22"/>
          <w:szCs w:val="22"/>
        </w:rPr>
      </w:pPr>
    </w:p>
    <w:p w:rsidR="00C91F8C" w:rsidRDefault="00867F95">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C91F8C" w:rsidRDefault="00867F95">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91F8C" w:rsidRDefault="00C91F8C">
      <w:pPr>
        <w:ind w:left="850" w:right="901"/>
        <w:jc w:val="both"/>
        <w:rPr>
          <w:rFonts w:ascii="Palatino Linotype" w:eastAsia="Palatino Linotype" w:hAnsi="Palatino Linotype" w:cs="Palatino Linotype"/>
          <w:i/>
          <w:sz w:val="22"/>
          <w:szCs w:val="22"/>
        </w:rPr>
      </w:pPr>
    </w:p>
    <w:p w:rsidR="00C91F8C" w:rsidRDefault="00C91F8C">
      <w:pPr>
        <w:ind w:left="850" w:right="901"/>
        <w:jc w:val="both"/>
        <w:rPr>
          <w:rFonts w:ascii="Palatino Linotype" w:eastAsia="Palatino Linotype" w:hAnsi="Palatino Linotype" w:cs="Palatino Linotype"/>
          <w:i/>
          <w:sz w:val="22"/>
          <w:szCs w:val="22"/>
        </w:rPr>
      </w:pPr>
    </w:p>
    <w:p w:rsidR="00C91F8C" w:rsidRDefault="00C91F8C">
      <w:pPr>
        <w:ind w:left="850" w:right="901"/>
        <w:jc w:val="both"/>
        <w:rPr>
          <w:rFonts w:ascii="Palatino Linotype" w:eastAsia="Palatino Linotype" w:hAnsi="Palatino Linotype" w:cs="Palatino Linotype"/>
          <w:i/>
          <w:sz w:val="22"/>
          <w:szCs w:val="22"/>
        </w:rPr>
      </w:pPr>
    </w:p>
    <w:p w:rsidR="00C91F8C" w:rsidRDefault="00867F9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rsidR="00C91F8C" w:rsidRDefault="00C91F8C">
      <w:pPr>
        <w:ind w:left="850" w:right="901"/>
        <w:jc w:val="both"/>
        <w:rPr>
          <w:rFonts w:ascii="Palatino Linotype" w:eastAsia="Palatino Linotype" w:hAnsi="Palatino Linotype" w:cs="Palatino Linotype"/>
          <w:i/>
          <w:sz w:val="22"/>
          <w:szCs w:val="22"/>
        </w:rPr>
      </w:pPr>
    </w:p>
    <w:tbl>
      <w:tblPr>
        <w:tblStyle w:val="afffffff8"/>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C91F8C">
        <w:trPr>
          <w:jc w:val="center"/>
        </w:trPr>
        <w:tc>
          <w:tcPr>
            <w:tcW w:w="1129" w:type="dxa"/>
            <w:tcBorders>
              <w:top w:val="single" w:sz="4" w:space="0" w:color="000000"/>
              <w:left w:val="single" w:sz="4" w:space="0" w:color="000000"/>
              <w:bottom w:val="single" w:sz="4" w:space="0" w:color="000000"/>
              <w:right w:val="single" w:sz="4" w:space="0" w:color="000000"/>
            </w:tcBorders>
          </w:tcPr>
          <w:p w:rsidR="00C91F8C" w:rsidRDefault="00C91F8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C91F8C">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C91F8C" w:rsidRDefault="00867F95">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C91F8C" w:rsidRDefault="00867F95">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C91F8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C91F8C" w:rsidRDefault="00C91F8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C91F8C" w:rsidRDefault="00867F95">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C91F8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C91F8C" w:rsidRDefault="00C91F8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C91F8C" w:rsidRDefault="00867F95">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i/>
              </w:rPr>
              <w:t>anotarán</w:t>
            </w:r>
            <w:proofErr w:type="gramEnd"/>
            <w:r>
              <w:rPr>
                <w:rFonts w:ascii="Palatino Linotype" w:eastAsia="Palatino Linotype" w:hAnsi="Palatino Linotype" w:cs="Palatino Linotype"/>
                <w:i/>
              </w:rPr>
              <w:t xml:space="preserve"> todas las páginas que lo conforman. Si el documento no contiene información reservada, se tachará este apartado.</w:t>
            </w:r>
          </w:p>
        </w:tc>
      </w:tr>
      <w:tr w:rsidR="00C91F8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C91F8C" w:rsidRDefault="00C91F8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C91F8C" w:rsidRDefault="00867F95">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C91F8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C91F8C" w:rsidRDefault="00C91F8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C91F8C" w:rsidRDefault="00867F95">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C91F8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C91F8C" w:rsidRDefault="00C91F8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C91F8C" w:rsidRDefault="00867F95">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C91F8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C91F8C" w:rsidRDefault="00C91F8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C91F8C" w:rsidRDefault="00867F95">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las partes o páginas del documento que se clasifica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Si el documento fuera confidencial en su totalidad, se anotarán todas las páginas que lo conforman</w:t>
            </w:r>
            <w:r>
              <w:rPr>
                <w:rFonts w:ascii="Palatino Linotype" w:eastAsia="Palatino Linotype" w:hAnsi="Palatino Linotype" w:cs="Palatino Linotype"/>
                <w:i/>
              </w:rPr>
              <w:t>. Si el documento no contiene información confidencial, se tachará este apartado.</w:t>
            </w:r>
          </w:p>
        </w:tc>
      </w:tr>
      <w:tr w:rsidR="00C91F8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C91F8C" w:rsidRDefault="00C91F8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C91F8C" w:rsidRDefault="00867F95">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C91F8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C91F8C" w:rsidRDefault="00C91F8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C91F8C" w:rsidRDefault="00867F95">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C91F8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C91F8C" w:rsidRDefault="00C91F8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C91F8C" w:rsidRDefault="00867F95">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C91F8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C91F8C" w:rsidRDefault="00C91F8C">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C91F8C" w:rsidRDefault="00867F95">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C91F8C" w:rsidRDefault="00867F95">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C91F8C" w:rsidRDefault="00867F95">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C91F8C" w:rsidRDefault="00C91F8C">
      <w:pPr>
        <w:spacing w:line="360" w:lineRule="auto"/>
        <w:jc w:val="both"/>
        <w:rPr>
          <w:rFonts w:ascii="Palatino Linotype" w:eastAsia="Palatino Linotype" w:hAnsi="Palatino Linotype" w:cs="Palatino Linotype"/>
        </w:rPr>
      </w:pPr>
    </w:p>
    <w:p w:rsidR="00C91F8C" w:rsidRDefault="00867F9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lastRenderedPageBreak/>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p>
    <w:p w:rsidR="00C91F8C" w:rsidRDefault="00867F95">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último, no se omite comentar que los Sujetos Obligados, en términos del artículo 12 de la Ley de Transparencia y Acceso a la Información Pública del Estado de México y Municipios únicamente se encuentran constreñidos a entregar la información que obre en sus archivos en el estado que se encuentre, sin tener que procesarla o practicar investigaciones ni cálculos, por lo que, si bien es cierto tiene competencia para generar la información solicitada, lo cierto es también que no tiene la obligación de generar el listado con todos los rubros solicitados por el ahora </w:t>
      </w:r>
      <w:r>
        <w:rPr>
          <w:rFonts w:ascii="Palatino Linotype" w:eastAsia="Palatino Linotype" w:hAnsi="Palatino Linotype" w:cs="Palatino Linotype"/>
          <w:b/>
        </w:rPr>
        <w:t xml:space="preserve">RECURRENTE. </w:t>
      </w:r>
    </w:p>
    <w:p w:rsidR="00C91F8C" w:rsidRDefault="00867F95">
      <w:pPr>
        <w:shd w:val="clear" w:color="auto" w:fill="FFFFFF"/>
        <w:spacing w:line="360" w:lineRule="auto"/>
        <w:jc w:val="both"/>
        <w:rPr>
          <w:sz w:val="28"/>
          <w:szCs w:val="28"/>
        </w:rPr>
      </w:pPr>
      <w:r>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rsidR="00C91F8C" w:rsidRDefault="00867F95">
      <w:pPr>
        <w:shd w:val="clear" w:color="auto" w:fill="FFFFFF"/>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 </w:t>
      </w:r>
      <w:r>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w:t>
      </w:r>
      <w:r>
        <w:rPr>
          <w:rFonts w:ascii="Palatino Linotype" w:eastAsia="Palatino Linotype" w:hAnsi="Palatino Linotype" w:cs="Palatino Linotype"/>
          <w:i/>
          <w:sz w:val="22"/>
          <w:szCs w:val="22"/>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rsidR="00C91F8C" w:rsidRDefault="00C91F8C">
      <w:pPr>
        <w:shd w:val="clear" w:color="auto" w:fill="FFFFFF"/>
        <w:ind w:left="567" w:right="567"/>
        <w:jc w:val="both"/>
        <w:rPr>
          <w:rFonts w:ascii="Palatino Linotype" w:eastAsia="Palatino Linotype" w:hAnsi="Palatino Linotype" w:cs="Palatino Linotype"/>
          <w:i/>
          <w:sz w:val="22"/>
          <w:szCs w:val="22"/>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C91F8C" w:rsidRDefault="00C91F8C">
      <w:pPr>
        <w:spacing w:line="360" w:lineRule="auto"/>
        <w:jc w:val="center"/>
        <w:rPr>
          <w:rFonts w:ascii="Palatino Linotype" w:eastAsia="Palatino Linotype" w:hAnsi="Palatino Linotype" w:cs="Palatino Linotype"/>
          <w:b/>
          <w:sz w:val="26"/>
          <w:szCs w:val="26"/>
        </w:rPr>
      </w:pPr>
    </w:p>
    <w:p w:rsidR="00C91F8C" w:rsidRDefault="00867F95">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rsidR="00C91F8C" w:rsidRDefault="00C91F8C">
      <w:pPr>
        <w:spacing w:line="360" w:lineRule="auto"/>
        <w:ind w:right="49"/>
        <w:jc w:val="both"/>
        <w:rPr>
          <w:rFonts w:ascii="Palatino Linotype" w:eastAsia="Palatino Linotype" w:hAnsi="Palatino Linotype" w:cs="Palatino Linotype"/>
          <w:b/>
        </w:rPr>
      </w:pPr>
    </w:p>
    <w:p w:rsidR="00C91F8C" w:rsidRDefault="00867F9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09267/INFOEM/IP/RR/2022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rsidR="00C91F8C" w:rsidRDefault="00C91F8C">
      <w:pPr>
        <w:spacing w:line="360" w:lineRule="auto"/>
        <w:ind w:right="49"/>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w:t>
      </w:r>
      <w:r w:rsidR="00E30A1D">
        <w:rPr>
          <w:rFonts w:ascii="Palatino Linotype" w:eastAsia="Palatino Linotype" w:hAnsi="Palatino Linotype" w:cs="Palatino Linotype"/>
        </w:rPr>
        <w:t xml:space="preserve">en versión pública </w:t>
      </w:r>
      <w:r>
        <w:rPr>
          <w:rFonts w:ascii="Palatino Linotype" w:eastAsia="Palatino Linotype" w:hAnsi="Palatino Linotype" w:cs="Palatino Linotype"/>
        </w:rPr>
        <w:t xml:space="preserve">al Recurrente mediante el Sistema de Acceso a la Información Mexiquense (SAIMEX), de lo siguiente: </w:t>
      </w:r>
    </w:p>
    <w:p w:rsidR="0080703D" w:rsidRDefault="0080703D">
      <w:pPr>
        <w:spacing w:line="360" w:lineRule="auto"/>
        <w:jc w:val="both"/>
        <w:rPr>
          <w:rFonts w:ascii="Palatino Linotype" w:eastAsia="Palatino Linotype" w:hAnsi="Palatino Linotype" w:cs="Palatino Linotype"/>
        </w:rPr>
      </w:pPr>
    </w:p>
    <w:p w:rsidR="00C91F8C" w:rsidRDefault="00867F95">
      <w:pPr>
        <w:tabs>
          <w:tab w:val="left" w:pos="993"/>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El soporte documental donde </w:t>
      </w:r>
      <w:r w:rsidRPr="00867F95">
        <w:rPr>
          <w:rFonts w:ascii="Palatino Linotype" w:eastAsia="Palatino Linotype" w:hAnsi="Palatino Linotype" w:cs="Palatino Linotype"/>
          <w:i/>
          <w:sz w:val="22"/>
          <w:szCs w:val="22"/>
        </w:rPr>
        <w:t>consten los</w:t>
      </w:r>
      <w:r w:rsidR="007C07CF" w:rsidRPr="00867F95">
        <w:rPr>
          <w:rFonts w:ascii="Palatino Linotype" w:eastAsia="Palatino Linotype" w:hAnsi="Palatino Linotype" w:cs="Palatino Linotype"/>
          <w:i/>
          <w:sz w:val="22"/>
          <w:szCs w:val="22"/>
        </w:rPr>
        <w:t xml:space="preserve"> expedientes y</w:t>
      </w:r>
      <w:r>
        <w:rPr>
          <w:rFonts w:ascii="Palatino Linotype" w:eastAsia="Palatino Linotype" w:hAnsi="Palatino Linotype" w:cs="Palatino Linotype"/>
          <w:i/>
          <w:sz w:val="22"/>
          <w:szCs w:val="22"/>
        </w:rPr>
        <w:t xml:space="preserve"> contratos de obras, bienes y servicios realizados a través de adjudicación directa, licitación pública e invitación restringida, así como el listado de proveedores del primero de enero de dos mil doce a veintinuev</w:t>
      </w:r>
      <w:r w:rsidR="00E30A1D">
        <w:rPr>
          <w:rFonts w:ascii="Palatino Linotype" w:eastAsia="Palatino Linotype" w:hAnsi="Palatino Linotype" w:cs="Palatino Linotype"/>
          <w:i/>
          <w:sz w:val="22"/>
          <w:szCs w:val="22"/>
        </w:rPr>
        <w:t>e de abril de dos mil veintidós.</w:t>
      </w:r>
    </w:p>
    <w:p w:rsidR="00C91F8C" w:rsidRDefault="00C91F8C">
      <w:pPr>
        <w:tabs>
          <w:tab w:val="left" w:pos="709"/>
        </w:tabs>
        <w:ind w:left="850" w:right="899"/>
        <w:jc w:val="both"/>
        <w:rPr>
          <w:rFonts w:ascii="Palatino Linotype" w:eastAsia="Palatino Linotype" w:hAnsi="Palatino Linotype" w:cs="Palatino Linotype"/>
          <w:i/>
          <w:sz w:val="22"/>
          <w:szCs w:val="22"/>
        </w:rPr>
      </w:pPr>
    </w:p>
    <w:p w:rsidR="00C91F8C" w:rsidRDefault="00867F95">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rsidR="00C91F8C" w:rsidRDefault="00C91F8C">
      <w:pPr>
        <w:tabs>
          <w:tab w:val="left" w:pos="709"/>
        </w:tabs>
        <w:ind w:left="850" w:right="899"/>
        <w:jc w:val="both"/>
        <w:rPr>
          <w:rFonts w:ascii="Palatino Linotype" w:eastAsia="Palatino Linotype" w:hAnsi="Palatino Linotype" w:cs="Palatino Linotype"/>
          <w:i/>
          <w:sz w:val="22"/>
          <w:szCs w:val="22"/>
        </w:rPr>
      </w:pPr>
    </w:p>
    <w:p w:rsidR="00C91F8C" w:rsidRDefault="00867F95">
      <w:pPr>
        <w:tabs>
          <w:tab w:val="left" w:pos="709"/>
        </w:tabs>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caso de no contar con la información que se ordena, el Comité de Transparencia del</w:t>
      </w:r>
      <w:r>
        <w:rPr>
          <w:rFonts w:ascii="Palatino Linotype" w:eastAsia="Palatino Linotype" w:hAnsi="Palatino Linotype" w:cs="Palatino Linotype"/>
          <w:b/>
          <w:i/>
          <w:sz w:val="22"/>
          <w:szCs w:val="22"/>
        </w:rPr>
        <w:t xml:space="preserve"> SUJETO OBLIGADO</w:t>
      </w:r>
      <w:r>
        <w:rPr>
          <w:rFonts w:ascii="Palatino Linotype" w:eastAsia="Palatino Linotype" w:hAnsi="Palatino Linotype" w:cs="Palatino Linotype"/>
          <w:i/>
          <w:sz w:val="22"/>
          <w:szCs w:val="22"/>
        </w:rPr>
        <w:t xml:space="preserve"> deberá emitir el Acuerdo de Inexistencia en términos del Considerando </w:t>
      </w:r>
      <w:r>
        <w:rPr>
          <w:rFonts w:ascii="Palatino Linotype" w:eastAsia="Palatino Linotype" w:hAnsi="Palatino Linotype" w:cs="Palatino Linotype"/>
          <w:b/>
          <w:i/>
          <w:sz w:val="22"/>
          <w:szCs w:val="22"/>
        </w:rPr>
        <w:t>QUINTO</w:t>
      </w:r>
    </w:p>
    <w:p w:rsidR="00C91F8C" w:rsidRDefault="00C91F8C">
      <w:pPr>
        <w:tabs>
          <w:tab w:val="left" w:pos="709"/>
        </w:tabs>
        <w:ind w:left="850" w:right="899"/>
        <w:jc w:val="both"/>
        <w:rPr>
          <w:rFonts w:ascii="Palatino Linotype" w:eastAsia="Palatino Linotype" w:hAnsi="Palatino Linotype" w:cs="Palatino Linotype"/>
          <w:b/>
          <w:i/>
          <w:sz w:val="20"/>
          <w:szCs w:val="20"/>
        </w:rPr>
      </w:pPr>
    </w:p>
    <w:p w:rsidR="00C91F8C" w:rsidRDefault="00C91F8C">
      <w:pPr>
        <w:spacing w:line="360" w:lineRule="auto"/>
        <w:jc w:val="both"/>
        <w:rPr>
          <w:rFonts w:ascii="Palatino Linotype" w:eastAsia="Palatino Linotype" w:hAnsi="Palatino Linotype" w:cs="Palatino Linotype"/>
          <w:b/>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C91F8C" w:rsidRDefault="00C91F8C">
      <w:pPr>
        <w:spacing w:line="360" w:lineRule="auto"/>
        <w:jc w:val="both"/>
        <w:rPr>
          <w:rFonts w:ascii="Palatino Linotype" w:eastAsia="Palatino Linotype" w:hAnsi="Palatino Linotype" w:cs="Palatino Linotype"/>
          <w:sz w:val="22"/>
          <w:szCs w:val="22"/>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91F8C" w:rsidRDefault="00C91F8C">
      <w:pPr>
        <w:spacing w:line="360" w:lineRule="auto"/>
        <w:jc w:val="both"/>
        <w:rPr>
          <w:rFonts w:ascii="Palatino Linotype" w:eastAsia="Palatino Linotype" w:hAnsi="Palatino Linotype" w:cs="Palatino Linotype"/>
          <w:sz w:val="22"/>
          <w:szCs w:val="22"/>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Recurrente la presente Resolución, a través del Sistema de Acceso a la Información Mexiquense (SAIMEX), asimismo, se hace de su </w:t>
      </w:r>
      <w:r>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podrá promover el Juicio de Amparo en los términos de las leyes aplicables.</w:t>
      </w:r>
    </w:p>
    <w:p w:rsidR="00CB75B3" w:rsidRDefault="00CB75B3">
      <w:pPr>
        <w:spacing w:line="360" w:lineRule="auto"/>
        <w:jc w:val="both"/>
        <w:rPr>
          <w:rFonts w:ascii="Palatino Linotype" w:eastAsia="Palatino Linotype" w:hAnsi="Palatino Linotype" w:cs="Palatino Linotype"/>
        </w:rPr>
      </w:pPr>
    </w:p>
    <w:p w:rsidR="00C91F8C" w:rsidRDefault="00867F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DE AGOSTO DE DOS MIL VEINTIDÓS, ANTE EL SECRETARIO TÉCNICO DEL PLENO, ALEXIS TAPIA RAMÍREZ.</w:t>
      </w:r>
    </w:p>
    <w:p w:rsidR="00C91F8C" w:rsidRDefault="00867F95">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rsidR="00C91F8C" w:rsidRDefault="00867F95">
      <w:pPr>
        <w:rPr>
          <w:rFonts w:ascii="Palatino Linotype" w:eastAsia="Palatino Linotype" w:hAnsi="Palatino Linotype" w:cs="Palatino Linotype"/>
        </w:rPr>
      </w:pPr>
      <w:r>
        <w:br w:type="page"/>
      </w: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bookmarkStart w:id="8" w:name="_heading=h.30j0zll" w:colFirst="0" w:colLast="0"/>
      <w:bookmarkEnd w:id="8"/>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p w:rsidR="00C91F8C" w:rsidRDefault="00C91F8C">
      <w:pPr>
        <w:spacing w:line="360" w:lineRule="auto"/>
        <w:jc w:val="both"/>
        <w:rPr>
          <w:rFonts w:ascii="Palatino Linotype" w:eastAsia="Palatino Linotype" w:hAnsi="Palatino Linotype" w:cs="Palatino Linotype"/>
        </w:rPr>
      </w:pPr>
    </w:p>
    <w:sectPr w:rsidR="00C91F8C">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5DE" w:rsidRDefault="003A05DE">
      <w:r>
        <w:separator/>
      </w:r>
    </w:p>
  </w:endnote>
  <w:endnote w:type="continuationSeparator" w:id="0">
    <w:p w:rsidR="003A05DE" w:rsidRDefault="003A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8C" w:rsidRDefault="00867F9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02999">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02999">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8C" w:rsidRDefault="00867F9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0299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02999">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5DE" w:rsidRDefault="003A05DE">
      <w:r>
        <w:separator/>
      </w:r>
    </w:p>
  </w:footnote>
  <w:footnote w:type="continuationSeparator" w:id="0">
    <w:p w:rsidR="003A05DE" w:rsidRDefault="003A0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8C" w:rsidRDefault="003A05D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8C" w:rsidRDefault="003A05D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a"/>
      <w:tblW w:w="9534" w:type="dxa"/>
      <w:tblInd w:w="-142" w:type="dxa"/>
      <w:tblLayout w:type="fixed"/>
      <w:tblLook w:val="0400" w:firstRow="0" w:lastRow="0" w:firstColumn="0" w:lastColumn="0" w:noHBand="0" w:noVBand="1"/>
    </w:tblPr>
    <w:tblGrid>
      <w:gridCol w:w="3261"/>
      <w:gridCol w:w="2551"/>
      <w:gridCol w:w="3722"/>
    </w:tblGrid>
    <w:tr w:rsidR="00C91F8C">
      <w:tc>
        <w:tcPr>
          <w:tcW w:w="3261" w:type="dxa"/>
          <w:vMerge w:val="restart"/>
        </w:tcPr>
        <w:p w:rsidR="00C91F8C" w:rsidRDefault="00867F95">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C91F8C" w:rsidRDefault="00867F9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C91F8C" w:rsidRDefault="00867F95">
          <w:pPr>
            <w:jc w:val="both"/>
            <w:rPr>
              <w:rFonts w:ascii="Palatino Linotype" w:eastAsia="Palatino Linotype" w:hAnsi="Palatino Linotype" w:cs="Palatino Linotype"/>
              <w:b/>
            </w:rPr>
          </w:pPr>
          <w:r>
            <w:rPr>
              <w:rFonts w:ascii="Palatino Linotype" w:eastAsia="Palatino Linotype" w:hAnsi="Palatino Linotype" w:cs="Palatino Linotype"/>
              <w:b/>
            </w:rPr>
            <w:t>09267/INFOEM/IP/RR/2022</w:t>
          </w:r>
        </w:p>
      </w:tc>
    </w:tr>
    <w:tr w:rsidR="00C91F8C">
      <w:tc>
        <w:tcPr>
          <w:tcW w:w="3261" w:type="dxa"/>
          <w:vMerge/>
        </w:tcPr>
        <w:p w:rsidR="00C91F8C" w:rsidRDefault="00C91F8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C91F8C" w:rsidRDefault="00867F9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C91F8C" w:rsidRDefault="00867F95">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Chimalhuacán</w:t>
          </w:r>
        </w:p>
      </w:tc>
    </w:tr>
    <w:tr w:rsidR="00C91F8C">
      <w:trPr>
        <w:trHeight w:val="790"/>
      </w:trPr>
      <w:tc>
        <w:tcPr>
          <w:tcW w:w="3261" w:type="dxa"/>
          <w:vMerge/>
        </w:tcPr>
        <w:p w:rsidR="00C91F8C" w:rsidRDefault="00C91F8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C91F8C" w:rsidRDefault="00867F9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C91F8C" w:rsidRDefault="00867F95">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C91F8C" w:rsidRDefault="00C91F8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8C" w:rsidRDefault="003A05D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9"/>
      <w:tblW w:w="9900" w:type="dxa"/>
      <w:tblInd w:w="-833" w:type="dxa"/>
      <w:tblLayout w:type="fixed"/>
      <w:tblLook w:val="0400" w:firstRow="0" w:lastRow="0" w:firstColumn="0" w:lastColumn="0" w:noHBand="0" w:noVBand="1"/>
    </w:tblPr>
    <w:tblGrid>
      <w:gridCol w:w="3805"/>
      <w:gridCol w:w="3000"/>
      <w:gridCol w:w="3095"/>
    </w:tblGrid>
    <w:tr w:rsidR="00C91F8C">
      <w:tc>
        <w:tcPr>
          <w:tcW w:w="3805" w:type="dxa"/>
          <w:vMerge w:val="restart"/>
          <w:shd w:val="clear" w:color="auto" w:fill="auto"/>
        </w:tcPr>
        <w:p w:rsidR="00C91F8C" w:rsidRDefault="00867F95">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C91F8C" w:rsidRDefault="00867F9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C91F8C" w:rsidRDefault="00867F9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09267/INFOEM/IP/RR/2022 </w:t>
          </w:r>
        </w:p>
      </w:tc>
    </w:tr>
    <w:tr w:rsidR="00C91F8C">
      <w:tc>
        <w:tcPr>
          <w:tcW w:w="3805" w:type="dxa"/>
          <w:vMerge/>
          <w:shd w:val="clear" w:color="auto" w:fill="auto"/>
        </w:tcPr>
        <w:p w:rsidR="00C91F8C" w:rsidRDefault="00C91F8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C91F8C" w:rsidRDefault="00867F9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C91F8C" w:rsidRDefault="00602999">
          <w:pPr>
            <w:jc w:val="both"/>
            <w:rPr>
              <w:rFonts w:ascii="Palatino Linotype" w:eastAsia="Palatino Linotype" w:hAnsi="Palatino Linotype" w:cs="Palatino Linotype"/>
              <w:b/>
            </w:rPr>
          </w:pPr>
          <w:r>
            <w:rPr>
              <w:rFonts w:ascii="Palatino Linotype" w:eastAsia="Palatino Linotype" w:hAnsi="Palatino Linotype" w:cs="Palatino Linotype"/>
              <w:b/>
            </w:rPr>
            <w:t>XXXXXX XXXXXXXX</w:t>
          </w:r>
        </w:p>
      </w:tc>
    </w:tr>
    <w:tr w:rsidR="00C91F8C">
      <w:trPr>
        <w:trHeight w:val="228"/>
      </w:trPr>
      <w:tc>
        <w:tcPr>
          <w:tcW w:w="3805" w:type="dxa"/>
          <w:vMerge/>
          <w:shd w:val="clear" w:color="auto" w:fill="auto"/>
        </w:tcPr>
        <w:p w:rsidR="00C91F8C" w:rsidRDefault="00C91F8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C91F8C" w:rsidRDefault="00867F9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C91F8C" w:rsidRDefault="00867F95">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Chimalhuacán</w:t>
          </w:r>
        </w:p>
      </w:tc>
    </w:tr>
    <w:tr w:rsidR="00C91F8C">
      <w:tc>
        <w:tcPr>
          <w:tcW w:w="3805" w:type="dxa"/>
          <w:vMerge/>
          <w:shd w:val="clear" w:color="auto" w:fill="auto"/>
        </w:tcPr>
        <w:p w:rsidR="00C91F8C" w:rsidRDefault="00C91F8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C91F8C" w:rsidRDefault="00867F9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C91F8C" w:rsidRDefault="00867F9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C91F8C" w:rsidRDefault="00C91F8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8284F"/>
    <w:multiLevelType w:val="multilevel"/>
    <w:tmpl w:val="326A7A6E"/>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8C"/>
    <w:rsid w:val="003A05DE"/>
    <w:rsid w:val="005E24E0"/>
    <w:rsid w:val="00602999"/>
    <w:rsid w:val="007C07CF"/>
    <w:rsid w:val="0080703D"/>
    <w:rsid w:val="008169D0"/>
    <w:rsid w:val="00867F95"/>
    <w:rsid w:val="00BE21AA"/>
    <w:rsid w:val="00C91F8C"/>
    <w:rsid w:val="00C94CE9"/>
    <w:rsid w:val="00CB75B3"/>
    <w:rsid w:val="00E30A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19C9D75-FA91-47F4-99BB-48D62092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b"/>
    <w:tblPr>
      <w:tblStyleRowBandSize w:val="1"/>
      <w:tblStyleColBandSize w:val="1"/>
      <w:tblCellMar>
        <w:top w:w="100" w:type="dxa"/>
        <w:left w:w="100" w:type="dxa"/>
        <w:bottom w:w="100" w:type="dxa"/>
        <w:right w:w="100" w:type="dxa"/>
      </w:tblCellMar>
    </w:tblPr>
  </w:style>
  <w:style w:type="table" w:customStyle="1" w:styleId="a0">
    <w:basedOn w:val="TableNormalffb"/>
    <w:tblPr>
      <w:tblStyleRowBandSize w:val="1"/>
      <w:tblStyleColBandSize w:val="1"/>
      <w:tblCellMar>
        <w:left w:w="115" w:type="dxa"/>
        <w:right w:w="115" w:type="dxa"/>
      </w:tblCellMar>
    </w:tblPr>
  </w:style>
  <w:style w:type="table" w:customStyle="1" w:styleId="a1">
    <w:basedOn w:val="TableNormalffb"/>
    <w:tblPr>
      <w:tblStyleRowBandSize w:val="1"/>
      <w:tblStyleColBandSize w:val="1"/>
      <w:tblCellMar>
        <w:left w:w="115" w:type="dxa"/>
        <w:right w:w="115" w:type="dxa"/>
      </w:tblCellMar>
    </w:tblPr>
  </w:style>
  <w:style w:type="table" w:customStyle="1" w:styleId="a2">
    <w:basedOn w:val="TableNormalffb"/>
    <w:tblPr>
      <w:tblStyleRowBandSize w:val="1"/>
      <w:tblStyleColBandSize w:val="1"/>
      <w:tblCellMar>
        <w:left w:w="115" w:type="dxa"/>
        <w:right w:w="115" w:type="dxa"/>
      </w:tblCellMar>
    </w:tblPr>
  </w:style>
  <w:style w:type="table" w:customStyle="1" w:styleId="a3">
    <w:basedOn w:val="TableNormalffb"/>
    <w:tblPr>
      <w:tblStyleRowBandSize w:val="1"/>
      <w:tblStyleColBandSize w:val="1"/>
      <w:tblCellMar>
        <w:left w:w="115" w:type="dxa"/>
        <w:right w:w="115" w:type="dxa"/>
      </w:tblCellMar>
    </w:tblPr>
  </w:style>
  <w:style w:type="table" w:customStyle="1" w:styleId="a4">
    <w:basedOn w:val="TableNormalffb"/>
    <w:tblPr>
      <w:tblStyleRowBandSize w:val="1"/>
      <w:tblStyleColBandSize w:val="1"/>
      <w:tblCellMar>
        <w:left w:w="115" w:type="dxa"/>
        <w:right w:w="115" w:type="dxa"/>
      </w:tblCellMar>
    </w:tblPr>
  </w:style>
  <w:style w:type="table" w:customStyle="1" w:styleId="a5">
    <w:basedOn w:val="TableNormalffb"/>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b"/>
    <w:tblPr>
      <w:tblStyleRowBandSize w:val="1"/>
      <w:tblStyleColBandSize w:val="1"/>
      <w:tblCellMar>
        <w:left w:w="115" w:type="dxa"/>
        <w:right w:w="115" w:type="dxa"/>
      </w:tblCellMar>
    </w:tblPr>
  </w:style>
  <w:style w:type="table" w:customStyle="1" w:styleId="a7">
    <w:basedOn w:val="TableNormalffb"/>
    <w:tblPr>
      <w:tblStyleRowBandSize w:val="1"/>
      <w:tblStyleColBandSize w:val="1"/>
      <w:tblCellMar>
        <w:left w:w="115" w:type="dxa"/>
        <w:right w:w="115" w:type="dxa"/>
      </w:tblCellMar>
    </w:tblPr>
  </w:style>
  <w:style w:type="table" w:customStyle="1" w:styleId="a8">
    <w:basedOn w:val="TableNormalffb"/>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b"/>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a"/>
    <w:tblPr>
      <w:tblStyleRowBandSize w:val="1"/>
      <w:tblStyleColBandSize w:val="1"/>
      <w:tblCellMar>
        <w:left w:w="115" w:type="dxa"/>
        <w:right w:w="115" w:type="dxa"/>
      </w:tblCellMar>
    </w:tblPr>
  </w:style>
  <w:style w:type="table" w:customStyle="1" w:styleId="afff3">
    <w:basedOn w:val="TableNormalfa"/>
    <w:tblPr>
      <w:tblStyleRowBandSize w:val="1"/>
      <w:tblStyleColBandSize w:val="1"/>
      <w:tblCellMar>
        <w:top w:w="100" w:type="dxa"/>
        <w:left w:w="100" w:type="dxa"/>
        <w:bottom w:w="100" w:type="dxa"/>
        <w:right w:w="100" w:type="dxa"/>
      </w:tblCellMar>
    </w:tblPr>
  </w:style>
  <w:style w:type="table" w:customStyle="1" w:styleId="afff4">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a"/>
    <w:tblPr>
      <w:tblStyleRowBandSize w:val="1"/>
      <w:tblStyleColBandSize w:val="1"/>
      <w:tblCellMar>
        <w:top w:w="100" w:type="dxa"/>
        <w:left w:w="100" w:type="dxa"/>
        <w:bottom w:w="100" w:type="dxa"/>
        <w:right w:w="100" w:type="dxa"/>
      </w:tblCellMar>
    </w:tblPr>
  </w:style>
  <w:style w:type="table" w:customStyle="1" w:styleId="afff7">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a"/>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a"/>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nGP9IetE15c+36GSjygxywuqRQ==">AMUW2mWku6wOPEV2Gy6BdNW8noidw2ATTNgEtrYyEXp9ww6jCpsjY5FZ+xfiMatr4jY6wavME4MnQyexxluhueW2kQHAmZbn1PRlFlzvfT+wV4dIbNwvDCPyWO1273j0lHx91gofb+2MUnkSbU9pj5zcWgpP+oY/bhJ34Vhnd8BULpYr2fo+Y3BVkQKNcKpZWXpE11s/EFKgyFAcUVx1ygXplyfe1VmOOuflilm11kWetrpduEz0gnVFRfQlfJwbxQibuMGFOZE6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9FC18F-F753-488D-A2E3-568155F1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10322</Words>
  <Characters>56771</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5</cp:revision>
  <cp:lastPrinted>2022-08-26T18:30:00Z</cp:lastPrinted>
  <dcterms:created xsi:type="dcterms:W3CDTF">2022-08-18T19:55:00Z</dcterms:created>
  <dcterms:modified xsi:type="dcterms:W3CDTF">2022-09-12T20:19:00Z</dcterms:modified>
</cp:coreProperties>
</file>