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0DCC4A7" w:rsidR="005000AA" w:rsidRPr="002B2F4C" w:rsidRDefault="005000AA" w:rsidP="005000AA">
      <w:pPr>
        <w:spacing w:before="240" w:after="240" w:line="360" w:lineRule="auto"/>
        <w:jc w:val="both"/>
        <w:rPr>
          <w:rFonts w:ascii="Palatino Linotype" w:hAnsi="Palatino Linotype"/>
          <w:sz w:val="24"/>
          <w:szCs w:val="24"/>
        </w:rPr>
      </w:pPr>
      <w:r w:rsidRPr="002B2F4C">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BA7E9E" w:rsidRPr="002B2F4C">
        <w:rPr>
          <w:rFonts w:ascii="Palatino Linotype" w:hAnsi="Palatino Linotype"/>
          <w:sz w:val="24"/>
          <w:szCs w:val="24"/>
        </w:rPr>
        <w:t xml:space="preserve">treinta (30) de noviembre </w:t>
      </w:r>
      <w:r w:rsidRPr="002B2F4C">
        <w:rPr>
          <w:rFonts w:ascii="Palatino Linotype" w:hAnsi="Palatino Linotype"/>
          <w:sz w:val="24"/>
          <w:szCs w:val="24"/>
        </w:rPr>
        <w:t>de dos mil veinti</w:t>
      </w:r>
      <w:r w:rsidR="00022835" w:rsidRPr="002B2F4C">
        <w:rPr>
          <w:rFonts w:ascii="Palatino Linotype" w:hAnsi="Palatino Linotype"/>
          <w:sz w:val="24"/>
          <w:szCs w:val="24"/>
        </w:rPr>
        <w:t>dós</w:t>
      </w:r>
      <w:r w:rsidRPr="002B2F4C">
        <w:rPr>
          <w:rFonts w:ascii="Palatino Linotype" w:hAnsi="Palatino Linotype"/>
          <w:sz w:val="24"/>
          <w:szCs w:val="24"/>
        </w:rPr>
        <w:t>.</w:t>
      </w:r>
    </w:p>
    <w:p w14:paraId="4C818016" w14:textId="62E0AEC0" w:rsidR="005000AA" w:rsidRPr="002B2F4C" w:rsidRDefault="005000AA" w:rsidP="005000AA">
      <w:pPr>
        <w:pStyle w:val="Encabezado"/>
        <w:spacing w:line="360" w:lineRule="auto"/>
        <w:jc w:val="both"/>
        <w:rPr>
          <w:rFonts w:ascii="Palatino Linotype" w:hAnsi="Palatino Linotype"/>
          <w:sz w:val="24"/>
          <w:szCs w:val="24"/>
        </w:rPr>
      </w:pPr>
      <w:r w:rsidRPr="002B2F4C">
        <w:rPr>
          <w:rFonts w:ascii="Palatino Linotype" w:hAnsi="Palatino Linotype"/>
          <w:b/>
          <w:sz w:val="24"/>
          <w:szCs w:val="24"/>
        </w:rPr>
        <w:t>VISTO el</w:t>
      </w:r>
      <w:r w:rsidRPr="002B2F4C">
        <w:rPr>
          <w:rFonts w:ascii="Palatino Linotype" w:hAnsi="Palatino Linotype"/>
          <w:sz w:val="24"/>
          <w:szCs w:val="24"/>
        </w:rPr>
        <w:t xml:space="preserve"> expediente electrónico formado con motivo del recurso de revisión </w:t>
      </w:r>
      <w:r w:rsidR="008306E4" w:rsidRPr="002B2F4C">
        <w:rPr>
          <w:rFonts w:ascii="Palatino Linotype" w:hAnsi="Palatino Linotype" w:cs="Arial"/>
          <w:b/>
          <w:sz w:val="24"/>
          <w:szCs w:val="24"/>
        </w:rPr>
        <w:t>12543</w:t>
      </w:r>
      <w:r w:rsidR="008306E4" w:rsidRPr="002B2F4C">
        <w:rPr>
          <w:rFonts w:ascii="Palatino Linotype" w:eastAsia="Calibri" w:hAnsi="Palatino Linotype" w:cs="Tahoma"/>
          <w:b/>
          <w:sz w:val="24"/>
          <w:lang w:eastAsia="en-US"/>
        </w:rPr>
        <w:t>/INFOEM/ICR-84/IP/RR/2022</w:t>
      </w:r>
      <w:r w:rsidRPr="002B2F4C">
        <w:rPr>
          <w:rFonts w:ascii="Palatino Linotype" w:hAnsi="Palatino Linotype" w:cs="Arial"/>
          <w:b/>
          <w:bCs/>
          <w:sz w:val="24"/>
          <w:szCs w:val="24"/>
        </w:rPr>
        <w:t xml:space="preserve">, </w:t>
      </w:r>
      <w:r w:rsidRPr="002B2F4C">
        <w:rPr>
          <w:rFonts w:ascii="Palatino Linotype" w:hAnsi="Palatino Linotype"/>
          <w:sz w:val="24"/>
          <w:szCs w:val="24"/>
        </w:rPr>
        <w:t>promovido por</w:t>
      </w:r>
      <w:r w:rsidR="00396CF5" w:rsidRPr="002B2F4C">
        <w:rPr>
          <w:rFonts w:ascii="Palatino Linotype" w:hAnsi="Palatino Linotype"/>
          <w:sz w:val="24"/>
          <w:szCs w:val="24"/>
        </w:rPr>
        <w:t xml:space="preserve"> </w:t>
      </w:r>
      <w:r w:rsidR="0000791B" w:rsidRPr="002B2F4C">
        <w:rPr>
          <w:rFonts w:ascii="Palatino Linotype" w:hAnsi="Palatino Linotype"/>
          <w:sz w:val="24"/>
          <w:szCs w:val="24"/>
        </w:rPr>
        <w:t>un</w:t>
      </w:r>
      <w:r w:rsidR="00B93FF6" w:rsidRPr="002B2F4C">
        <w:rPr>
          <w:rFonts w:ascii="Palatino Linotype" w:hAnsi="Palatino Linotype"/>
          <w:sz w:val="24"/>
          <w:szCs w:val="24"/>
        </w:rPr>
        <w:t xml:space="preserve"> </w:t>
      </w:r>
      <w:r w:rsidR="00B93FF6" w:rsidRPr="002B2F4C">
        <w:rPr>
          <w:rFonts w:ascii="Palatino Linotype" w:hAnsi="Palatino Linotype"/>
          <w:b/>
          <w:sz w:val="24"/>
          <w:szCs w:val="24"/>
        </w:rPr>
        <w:t>Usuario del Sistema de Acceso a la Información Mexiquense (SAIMEX)</w:t>
      </w:r>
      <w:r w:rsidR="00B93FF6" w:rsidRPr="002B2F4C">
        <w:rPr>
          <w:rFonts w:ascii="Palatino Linotype" w:hAnsi="Palatino Linotype"/>
          <w:sz w:val="24"/>
          <w:szCs w:val="24"/>
        </w:rPr>
        <w:t xml:space="preserve"> que no proporcionó su nombre para ser identificado</w:t>
      </w:r>
      <w:r w:rsidR="00CA3902" w:rsidRPr="002B2F4C">
        <w:rPr>
          <w:rFonts w:ascii="Palatino Linotype" w:eastAsia="Calibri" w:hAnsi="Palatino Linotype" w:cs="Tahoma"/>
          <w:b/>
          <w:sz w:val="24"/>
          <w:szCs w:val="22"/>
          <w:lang w:eastAsia="en-US"/>
        </w:rPr>
        <w:t>,</w:t>
      </w:r>
      <w:r w:rsidR="005D09C1" w:rsidRPr="002B2F4C">
        <w:rPr>
          <w:rFonts w:ascii="Palatino Linotype" w:hAnsi="Palatino Linotype"/>
          <w:sz w:val="24"/>
          <w:szCs w:val="24"/>
        </w:rPr>
        <w:t xml:space="preserve"> en su calidad de </w:t>
      </w:r>
      <w:r w:rsidRPr="002B2F4C">
        <w:rPr>
          <w:rFonts w:ascii="Palatino Linotype" w:hAnsi="Palatino Linotype"/>
          <w:b/>
          <w:sz w:val="24"/>
          <w:szCs w:val="24"/>
        </w:rPr>
        <w:t>RECURRENTE</w:t>
      </w:r>
      <w:r w:rsidRPr="002B2F4C">
        <w:rPr>
          <w:rFonts w:ascii="Palatino Linotype" w:hAnsi="Palatino Linotype" w:cs="Arial"/>
          <w:sz w:val="24"/>
          <w:szCs w:val="24"/>
        </w:rPr>
        <w:t xml:space="preserve">, en contra de la </w:t>
      </w:r>
      <w:r w:rsidR="005D09C1" w:rsidRPr="002B2F4C">
        <w:rPr>
          <w:rFonts w:ascii="Palatino Linotype" w:hAnsi="Palatino Linotype" w:cs="Arial"/>
          <w:sz w:val="24"/>
          <w:szCs w:val="24"/>
        </w:rPr>
        <w:t xml:space="preserve">falta de </w:t>
      </w:r>
      <w:r w:rsidRPr="002B2F4C">
        <w:rPr>
          <w:rFonts w:ascii="Palatino Linotype" w:hAnsi="Palatino Linotype" w:cs="Arial"/>
          <w:sz w:val="24"/>
          <w:szCs w:val="24"/>
        </w:rPr>
        <w:t xml:space="preserve">respuesta del </w:t>
      </w:r>
      <w:r w:rsidR="00B93FF6" w:rsidRPr="002B2F4C">
        <w:rPr>
          <w:rFonts w:ascii="Palatino Linotype" w:eastAsia="Calibri" w:hAnsi="Palatino Linotype" w:cs="Tahoma"/>
          <w:b/>
          <w:sz w:val="22"/>
          <w:szCs w:val="28"/>
          <w:lang w:eastAsia="en-US"/>
        </w:rPr>
        <w:t>Ayuntamiento de Metepec</w:t>
      </w:r>
      <w:r w:rsidRPr="002B2F4C">
        <w:rPr>
          <w:rFonts w:ascii="Palatino Linotype" w:hAnsi="Palatino Linotype" w:cs="Arial"/>
          <w:sz w:val="24"/>
          <w:szCs w:val="24"/>
        </w:rPr>
        <w:t>,</w:t>
      </w:r>
      <w:r w:rsidRPr="002B2F4C">
        <w:rPr>
          <w:rFonts w:ascii="Palatino Linotype" w:hAnsi="Palatino Linotype"/>
          <w:b/>
          <w:sz w:val="24"/>
          <w:szCs w:val="24"/>
        </w:rPr>
        <w:t xml:space="preserve"> </w:t>
      </w:r>
      <w:r w:rsidRPr="002B2F4C">
        <w:rPr>
          <w:rFonts w:ascii="Palatino Linotype" w:hAnsi="Palatino Linotype"/>
          <w:sz w:val="24"/>
          <w:szCs w:val="24"/>
        </w:rPr>
        <w:t>en lo sucesivo el</w:t>
      </w:r>
      <w:r w:rsidRPr="002B2F4C">
        <w:rPr>
          <w:rFonts w:ascii="Palatino Linotype" w:hAnsi="Palatino Linotype"/>
          <w:b/>
          <w:sz w:val="24"/>
          <w:szCs w:val="24"/>
        </w:rPr>
        <w:t xml:space="preserve"> SUJETO OBLIGADO, </w:t>
      </w:r>
      <w:r w:rsidRPr="002B2F4C">
        <w:rPr>
          <w:rFonts w:ascii="Palatino Linotype" w:hAnsi="Palatino Linotype"/>
          <w:sz w:val="24"/>
          <w:szCs w:val="24"/>
        </w:rPr>
        <w:t>se procede a dictar la presente resolución, con base en los siguientes:</w:t>
      </w:r>
    </w:p>
    <w:p w14:paraId="1F1BAF80" w14:textId="77777777" w:rsidR="005000AA" w:rsidRPr="002B2F4C" w:rsidRDefault="005000AA" w:rsidP="005000AA">
      <w:pPr>
        <w:pStyle w:val="Ttulo1"/>
        <w:jc w:val="center"/>
        <w:rPr>
          <w:rFonts w:ascii="Palatino Linotype" w:hAnsi="Palatino Linotype"/>
          <w:b/>
          <w:color w:val="auto"/>
          <w:sz w:val="24"/>
          <w:szCs w:val="24"/>
        </w:rPr>
      </w:pPr>
      <w:bookmarkStart w:id="0" w:name="_Toc87549671"/>
      <w:r w:rsidRPr="002B2F4C">
        <w:rPr>
          <w:rFonts w:ascii="Palatino Linotype" w:hAnsi="Palatino Linotype"/>
          <w:b/>
          <w:color w:val="auto"/>
          <w:sz w:val="24"/>
          <w:szCs w:val="24"/>
        </w:rPr>
        <w:t>ANTECEDENTES</w:t>
      </w:r>
      <w:bookmarkEnd w:id="0"/>
    </w:p>
    <w:p w14:paraId="04287D5F" w14:textId="77777777" w:rsidR="005000AA" w:rsidRPr="002B2F4C" w:rsidRDefault="005000AA" w:rsidP="005000AA">
      <w:pPr>
        <w:rPr>
          <w:rFonts w:ascii="Palatino Linotype" w:hAnsi="Palatino Linotype"/>
          <w:sz w:val="24"/>
          <w:szCs w:val="24"/>
          <w:lang w:eastAsia="en-US"/>
        </w:rPr>
      </w:pPr>
    </w:p>
    <w:p w14:paraId="205E5E03" w14:textId="43D5F9EA" w:rsidR="005000AA" w:rsidRPr="002B2F4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2B2F4C">
        <w:rPr>
          <w:rFonts w:ascii="Palatino Linotype" w:eastAsia="Calibri" w:hAnsi="Palatino Linotype" w:cs="Arial"/>
          <w:sz w:val="24"/>
          <w:lang w:val="es-ES"/>
        </w:rPr>
        <w:t xml:space="preserve">El día </w:t>
      </w:r>
      <w:r w:rsidR="00B93FF6" w:rsidRPr="002B2F4C">
        <w:rPr>
          <w:rFonts w:ascii="Palatino Linotype" w:eastAsia="Calibri" w:hAnsi="Palatino Linotype" w:cs="Arial"/>
          <w:sz w:val="24"/>
          <w:lang w:val="es-ES"/>
        </w:rPr>
        <w:t>siete</w:t>
      </w:r>
      <w:r w:rsidR="00AA58C8" w:rsidRPr="002B2F4C">
        <w:rPr>
          <w:rFonts w:ascii="Palatino Linotype" w:eastAsia="Calibri" w:hAnsi="Palatino Linotype" w:cs="Arial"/>
          <w:sz w:val="24"/>
          <w:lang w:val="es-ES"/>
        </w:rPr>
        <w:t xml:space="preserve"> (</w:t>
      </w:r>
      <w:r w:rsidR="00B93FF6" w:rsidRPr="002B2F4C">
        <w:rPr>
          <w:rFonts w:ascii="Palatino Linotype" w:eastAsia="Calibri" w:hAnsi="Palatino Linotype" w:cs="Arial"/>
          <w:sz w:val="24"/>
          <w:lang w:val="es-ES"/>
        </w:rPr>
        <w:t>7</w:t>
      </w:r>
      <w:r w:rsidR="00AA58C8" w:rsidRPr="002B2F4C">
        <w:rPr>
          <w:rFonts w:ascii="Palatino Linotype" w:eastAsia="Calibri" w:hAnsi="Palatino Linotype" w:cs="Arial"/>
          <w:sz w:val="24"/>
          <w:lang w:val="es-ES"/>
        </w:rPr>
        <w:t xml:space="preserve">) de </w:t>
      </w:r>
      <w:r w:rsidR="004934A5" w:rsidRPr="002B2F4C">
        <w:rPr>
          <w:rFonts w:ascii="Palatino Linotype" w:eastAsia="Calibri" w:hAnsi="Palatino Linotype" w:cs="Arial"/>
          <w:sz w:val="24"/>
          <w:lang w:val="es-ES"/>
        </w:rPr>
        <w:t>junio</w:t>
      </w:r>
      <w:r w:rsidR="005000AA" w:rsidRPr="002B2F4C">
        <w:rPr>
          <w:rFonts w:ascii="Palatino Linotype" w:eastAsia="Calibri" w:hAnsi="Palatino Linotype"/>
          <w:sz w:val="24"/>
          <w:lang w:val="es-ES"/>
        </w:rPr>
        <w:t xml:space="preserve"> de dos mil veinti</w:t>
      </w:r>
      <w:r w:rsidR="00D60DFE" w:rsidRPr="002B2F4C">
        <w:rPr>
          <w:rFonts w:ascii="Palatino Linotype" w:eastAsia="Calibri" w:hAnsi="Palatino Linotype"/>
          <w:sz w:val="24"/>
          <w:lang w:val="es-ES"/>
        </w:rPr>
        <w:t>dós</w:t>
      </w:r>
      <w:r w:rsidR="005000AA" w:rsidRPr="002B2F4C">
        <w:rPr>
          <w:rFonts w:ascii="Palatino Linotype" w:eastAsia="Calibri" w:hAnsi="Palatino Linotype" w:cs="Arial"/>
          <w:sz w:val="24"/>
          <w:lang w:val="es-ES"/>
        </w:rPr>
        <w:t>,</w:t>
      </w:r>
      <w:r w:rsidR="005000AA" w:rsidRPr="002B2F4C">
        <w:rPr>
          <w:rFonts w:ascii="Palatino Linotype" w:eastAsia="Calibri" w:hAnsi="Palatino Linotype"/>
          <w:sz w:val="24"/>
          <w:lang w:val="es-ES"/>
        </w:rPr>
        <w:t xml:space="preserve"> </w:t>
      </w:r>
      <w:r w:rsidR="005000AA" w:rsidRPr="002B2F4C">
        <w:rPr>
          <w:rFonts w:ascii="Palatino Linotype" w:eastAsia="Calibri" w:hAnsi="Palatino Linotype"/>
          <w:b/>
          <w:sz w:val="24"/>
          <w:lang w:val="es-ES"/>
        </w:rPr>
        <w:t xml:space="preserve">EL RECURRENTE </w:t>
      </w:r>
      <w:r w:rsidR="005000AA" w:rsidRPr="002B2F4C">
        <w:rPr>
          <w:rFonts w:ascii="Palatino Linotype" w:eastAsia="Calibri" w:hAnsi="Palatino Linotype"/>
          <w:bCs/>
          <w:sz w:val="24"/>
          <w:lang w:val="es-ES"/>
        </w:rPr>
        <w:t>presentó</w:t>
      </w:r>
      <w:r w:rsidR="005000AA" w:rsidRPr="002B2F4C">
        <w:rPr>
          <w:rFonts w:ascii="Palatino Linotype" w:hAnsi="Palatino Linotype"/>
          <w:b/>
          <w:sz w:val="24"/>
        </w:rPr>
        <w:t>,</w:t>
      </w:r>
      <w:r w:rsidR="005000AA" w:rsidRPr="002B2F4C">
        <w:rPr>
          <w:rFonts w:ascii="Palatino Linotype" w:eastAsia="Calibri" w:hAnsi="Palatino Linotype" w:cs="Arial"/>
          <w:sz w:val="24"/>
          <w:lang w:val="es-ES"/>
        </w:rPr>
        <w:t xml:space="preserve"> ante el </w:t>
      </w:r>
      <w:r w:rsidR="005000AA" w:rsidRPr="002B2F4C">
        <w:rPr>
          <w:rFonts w:ascii="Palatino Linotype" w:eastAsia="Calibri" w:hAnsi="Palatino Linotype" w:cs="Arial"/>
          <w:b/>
          <w:sz w:val="24"/>
          <w:lang w:val="es-ES"/>
        </w:rPr>
        <w:t>SUJETO OBLIGADO</w:t>
      </w:r>
      <w:r w:rsidR="005000AA" w:rsidRPr="002B2F4C">
        <w:rPr>
          <w:rFonts w:ascii="Palatino Linotype" w:eastAsia="Calibri" w:hAnsi="Palatino Linotype" w:cs="Arial"/>
          <w:sz w:val="24"/>
        </w:rPr>
        <w:t xml:space="preserve"> vía </w:t>
      </w:r>
      <w:r w:rsidR="005000AA" w:rsidRPr="002B2F4C">
        <w:rPr>
          <w:rFonts w:ascii="Palatino Linotype" w:eastAsia="Calibri" w:hAnsi="Palatino Linotype" w:cs="Arial"/>
          <w:sz w:val="24"/>
          <w:lang w:val="es-ES"/>
        </w:rPr>
        <w:t>Sistema de Acceso a la Información Mexiquense (</w:t>
      </w:r>
      <w:r w:rsidR="005000AA" w:rsidRPr="002B2F4C">
        <w:rPr>
          <w:rFonts w:ascii="Palatino Linotype" w:eastAsia="Calibri" w:hAnsi="Palatino Linotype" w:cs="Arial"/>
          <w:b/>
          <w:sz w:val="24"/>
          <w:lang w:val="es-ES"/>
        </w:rPr>
        <w:t>SAIMEX)</w:t>
      </w:r>
      <w:r w:rsidR="005000AA" w:rsidRPr="002B2F4C">
        <w:rPr>
          <w:rFonts w:ascii="Palatino Linotype" w:eastAsia="Calibri" w:hAnsi="Palatino Linotype" w:cs="Arial"/>
          <w:sz w:val="24"/>
          <w:lang w:val="es-ES"/>
        </w:rPr>
        <w:t xml:space="preserve">, la solicitud de información pública registrada con el número </w:t>
      </w:r>
      <w:r w:rsidR="00B93FF6" w:rsidRPr="002B2F4C">
        <w:rPr>
          <w:rFonts w:ascii="Palatino Linotype" w:eastAsia="Calibri" w:hAnsi="Palatino Linotype" w:cs="Arial"/>
          <w:b/>
          <w:sz w:val="24"/>
          <w:lang w:val="es-ES"/>
        </w:rPr>
        <w:t>03573/METEPEC/IP/2022</w:t>
      </w:r>
      <w:r w:rsidR="005D09C1" w:rsidRPr="002B2F4C">
        <w:rPr>
          <w:rFonts w:ascii="Palatino Linotype" w:hAnsi="Palatino Linotype"/>
          <w:b/>
          <w:sz w:val="24"/>
          <w:lang w:val="es-ES"/>
        </w:rPr>
        <w:t xml:space="preserve"> </w:t>
      </w:r>
      <w:r w:rsidR="005000AA" w:rsidRPr="002B2F4C">
        <w:rPr>
          <w:rFonts w:ascii="Palatino Linotype" w:eastAsia="Calibri" w:hAnsi="Palatino Linotype" w:cs="Arial"/>
          <w:sz w:val="24"/>
          <w:lang w:val="es-ES"/>
        </w:rPr>
        <w:t>mediante la cual solicitó lo siguiente:</w:t>
      </w:r>
    </w:p>
    <w:p w14:paraId="0A3CDCB5" w14:textId="77777777" w:rsidR="00965001" w:rsidRPr="002B2F4C" w:rsidRDefault="00965001" w:rsidP="00965001">
      <w:pPr>
        <w:pStyle w:val="Prrafodelista"/>
        <w:spacing w:line="360" w:lineRule="auto"/>
        <w:ind w:left="0"/>
        <w:jc w:val="both"/>
        <w:rPr>
          <w:rFonts w:ascii="Palatino Linotype" w:hAnsi="Palatino Linotype" w:cs="Arial"/>
          <w:sz w:val="24"/>
          <w:lang w:val="es-ES"/>
        </w:rPr>
      </w:pPr>
    </w:p>
    <w:p w14:paraId="19CBEB32" w14:textId="3F81B3AD" w:rsidR="005000AA" w:rsidRPr="002B2F4C" w:rsidRDefault="005000AA" w:rsidP="005000AA">
      <w:pPr>
        <w:ind w:left="567" w:right="567"/>
        <w:jc w:val="both"/>
        <w:rPr>
          <w:rFonts w:ascii="Palatino Linotype" w:eastAsia="Calibri" w:hAnsi="Palatino Linotype" w:cs="Arial"/>
          <w:i/>
          <w:sz w:val="24"/>
          <w:szCs w:val="24"/>
          <w:lang w:val="es-ES"/>
        </w:rPr>
      </w:pPr>
      <w:r w:rsidRPr="002B2F4C">
        <w:rPr>
          <w:rFonts w:ascii="Palatino Linotype" w:eastAsia="Calibri" w:hAnsi="Palatino Linotype" w:cs="Arial"/>
          <w:i/>
          <w:sz w:val="24"/>
          <w:szCs w:val="24"/>
          <w:lang w:val="es-ES"/>
        </w:rPr>
        <w:t>“</w:t>
      </w:r>
      <w:proofErr w:type="spellStart"/>
      <w:r w:rsidR="00B93FF6" w:rsidRPr="002B2F4C">
        <w:rPr>
          <w:rFonts w:ascii="Palatino Linotype" w:hAnsi="Palatino Linotype"/>
          <w:i/>
          <w:sz w:val="24"/>
          <w:szCs w:val="24"/>
          <w:lang w:eastAsia="es-MX"/>
        </w:rPr>
        <w:t>Curriculum</w:t>
      </w:r>
      <w:proofErr w:type="spellEnd"/>
      <w:r w:rsidR="00B93FF6" w:rsidRPr="002B2F4C">
        <w:rPr>
          <w:rFonts w:ascii="Palatino Linotype" w:hAnsi="Palatino Linotype"/>
          <w:i/>
          <w:sz w:val="24"/>
          <w:szCs w:val="24"/>
          <w:lang w:eastAsia="es-MX"/>
        </w:rPr>
        <w:t xml:space="preserve"> del personal adscrito al </w:t>
      </w:r>
      <w:proofErr w:type="spellStart"/>
      <w:r w:rsidR="00B93FF6" w:rsidRPr="002B2F4C">
        <w:rPr>
          <w:rFonts w:ascii="Palatino Linotype" w:hAnsi="Palatino Linotype"/>
          <w:i/>
          <w:sz w:val="24"/>
          <w:szCs w:val="24"/>
          <w:lang w:eastAsia="es-MX"/>
        </w:rPr>
        <w:t>imcufidem</w:t>
      </w:r>
      <w:proofErr w:type="spellEnd"/>
      <w:r w:rsidRPr="002B2F4C">
        <w:rPr>
          <w:rFonts w:ascii="Palatino Linotype" w:eastAsia="Calibri" w:hAnsi="Palatino Linotype" w:cs="Arial"/>
          <w:i/>
          <w:sz w:val="24"/>
          <w:szCs w:val="24"/>
          <w:lang w:val="es-ES"/>
        </w:rPr>
        <w:t>” (Sic)</w:t>
      </w:r>
    </w:p>
    <w:p w14:paraId="7690DF83" w14:textId="77777777" w:rsidR="00A36BE2" w:rsidRPr="002B2F4C"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2B2F4C"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2B2F4C">
        <w:rPr>
          <w:rFonts w:ascii="Palatino Linotype" w:hAnsi="Palatino Linotype" w:cs="Arial"/>
          <w:sz w:val="24"/>
          <w:lang w:val="es-ES"/>
        </w:rPr>
        <w:t xml:space="preserve">Señaló como modalidad de entrega de la información a través del </w:t>
      </w:r>
      <w:r w:rsidRPr="002B2F4C">
        <w:rPr>
          <w:rFonts w:ascii="Palatino Linotype" w:hAnsi="Palatino Linotype" w:cs="Arial"/>
          <w:b/>
          <w:sz w:val="24"/>
          <w:lang w:val="es-ES"/>
        </w:rPr>
        <w:t>SAIMEX.</w:t>
      </w:r>
    </w:p>
    <w:p w14:paraId="318044EA" w14:textId="77777777" w:rsidR="00427E2F" w:rsidRPr="002B2F4C" w:rsidRDefault="00427E2F" w:rsidP="00427E2F">
      <w:pPr>
        <w:pStyle w:val="Prrafodelista"/>
        <w:spacing w:line="360" w:lineRule="auto"/>
        <w:ind w:left="0"/>
        <w:jc w:val="both"/>
        <w:rPr>
          <w:rFonts w:ascii="Palatino Linotype" w:hAnsi="Palatino Linotype" w:cs="Arial"/>
          <w:sz w:val="24"/>
          <w:lang w:val="es-ES"/>
        </w:rPr>
      </w:pPr>
    </w:p>
    <w:p w14:paraId="73E1F042" w14:textId="583AC6BD" w:rsidR="00B93FF6" w:rsidRPr="002B2F4C" w:rsidRDefault="00B93FF6"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2B2F4C">
        <w:rPr>
          <w:rFonts w:ascii="Palatino Linotype" w:hAnsi="Palatino Linotype"/>
          <w:color w:val="000000"/>
          <w:sz w:val="24"/>
        </w:rPr>
        <w:t>El veintiocho (28) de junio de dos mil veintidós, el Sujeto Obligado solicitó una prórroga para dar respuesta a la solicitud.</w:t>
      </w:r>
    </w:p>
    <w:p w14:paraId="758386EF" w14:textId="77777777" w:rsidR="00B93FF6" w:rsidRPr="002B2F4C" w:rsidRDefault="00B93FF6" w:rsidP="00B93FF6">
      <w:pPr>
        <w:pStyle w:val="Prrafodelista"/>
        <w:rPr>
          <w:rFonts w:ascii="Palatino Linotype" w:eastAsia="Calibri" w:hAnsi="Palatino Linotype"/>
          <w:sz w:val="24"/>
          <w:lang w:val="es-ES"/>
        </w:rPr>
      </w:pPr>
    </w:p>
    <w:p w14:paraId="47BDCF02" w14:textId="0192B2CC" w:rsidR="005D09C1" w:rsidRPr="002B2F4C"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2B2F4C">
        <w:rPr>
          <w:rFonts w:ascii="Palatino Linotype" w:eastAsia="Calibri" w:hAnsi="Palatino Linotype"/>
          <w:sz w:val="24"/>
          <w:lang w:val="es-ES"/>
        </w:rPr>
        <w:lastRenderedPageBreak/>
        <w:t xml:space="preserve">El </w:t>
      </w:r>
      <w:r w:rsidR="005D09C1" w:rsidRPr="002B2F4C">
        <w:rPr>
          <w:rFonts w:ascii="Palatino Linotype" w:eastAsia="Calibri" w:hAnsi="Palatino Linotype"/>
          <w:sz w:val="24"/>
          <w:lang w:val="es-ES"/>
        </w:rPr>
        <w:t>Sujeto Obligado no emitió respuesta a la solicitud.</w:t>
      </w:r>
    </w:p>
    <w:p w14:paraId="3CE72CFC" w14:textId="3423FCEA" w:rsidR="00E65B7C" w:rsidRPr="002B2F4C"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301B7D4D" w:rsidR="005000AA" w:rsidRPr="002B2F4C"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B2F4C">
        <w:rPr>
          <w:rFonts w:ascii="Palatino Linotype" w:eastAsia="Calibri" w:hAnsi="Palatino Linotype" w:cs="Arial"/>
          <w:sz w:val="24"/>
          <w:lang w:val="es-AR"/>
        </w:rPr>
        <w:t xml:space="preserve">El </w:t>
      </w:r>
      <w:r w:rsidR="004934A5" w:rsidRPr="002B2F4C">
        <w:rPr>
          <w:rFonts w:ascii="Palatino Linotype" w:eastAsia="Calibri" w:hAnsi="Palatino Linotype" w:cs="Arial"/>
          <w:sz w:val="24"/>
          <w:lang w:val="es-AR"/>
        </w:rPr>
        <w:t>ocho</w:t>
      </w:r>
      <w:r w:rsidR="005000AA" w:rsidRPr="002B2F4C">
        <w:rPr>
          <w:rFonts w:ascii="Palatino Linotype" w:eastAsia="Calibri" w:hAnsi="Palatino Linotype" w:cs="Arial"/>
          <w:sz w:val="24"/>
          <w:lang w:val="es-AR"/>
        </w:rPr>
        <w:t xml:space="preserve"> (</w:t>
      </w:r>
      <w:r w:rsidR="00B93FF6" w:rsidRPr="002B2F4C">
        <w:rPr>
          <w:rFonts w:ascii="Palatino Linotype" w:eastAsia="Calibri" w:hAnsi="Palatino Linotype" w:cs="Arial"/>
          <w:sz w:val="24"/>
          <w:lang w:val="es-AR"/>
        </w:rPr>
        <w:t>8</w:t>
      </w:r>
      <w:r w:rsidR="005000AA" w:rsidRPr="002B2F4C">
        <w:rPr>
          <w:rFonts w:ascii="Palatino Linotype" w:eastAsia="Calibri" w:hAnsi="Palatino Linotype" w:cs="Arial"/>
          <w:sz w:val="24"/>
          <w:lang w:val="es-AR"/>
        </w:rPr>
        <w:t xml:space="preserve">) de </w:t>
      </w:r>
      <w:r w:rsidR="00965001" w:rsidRPr="002B2F4C">
        <w:rPr>
          <w:rFonts w:ascii="Palatino Linotype" w:eastAsia="Calibri" w:hAnsi="Palatino Linotype" w:cs="Arial"/>
          <w:sz w:val="24"/>
          <w:lang w:val="es-AR"/>
        </w:rPr>
        <w:t>ju</w:t>
      </w:r>
      <w:r w:rsidR="00B93FF6" w:rsidRPr="002B2F4C">
        <w:rPr>
          <w:rFonts w:ascii="Palatino Linotype" w:eastAsia="Calibri" w:hAnsi="Palatino Linotype" w:cs="Arial"/>
          <w:sz w:val="24"/>
          <w:lang w:val="es-AR"/>
        </w:rPr>
        <w:t>lio</w:t>
      </w:r>
      <w:r w:rsidR="004E6A3B" w:rsidRPr="002B2F4C">
        <w:rPr>
          <w:rFonts w:ascii="Palatino Linotype" w:eastAsia="Calibri" w:hAnsi="Palatino Linotype" w:cs="Arial"/>
          <w:sz w:val="24"/>
          <w:lang w:val="es-AR"/>
        </w:rPr>
        <w:t xml:space="preserve"> </w:t>
      </w:r>
      <w:r w:rsidR="005000AA" w:rsidRPr="002B2F4C">
        <w:rPr>
          <w:rFonts w:ascii="Palatino Linotype" w:eastAsia="Calibri" w:hAnsi="Palatino Linotype" w:cs="Arial"/>
          <w:sz w:val="24"/>
          <w:lang w:val="es-AR"/>
        </w:rPr>
        <w:t>de</w:t>
      </w:r>
      <w:r w:rsidR="005000AA" w:rsidRPr="002B2F4C">
        <w:rPr>
          <w:rFonts w:ascii="Palatino Linotype" w:hAnsi="Palatino Linotype" w:cs="Arial"/>
          <w:sz w:val="24"/>
          <w:lang w:val="es-ES"/>
        </w:rPr>
        <w:t xml:space="preserve"> dos mil veinti</w:t>
      </w:r>
      <w:r w:rsidR="0021453D" w:rsidRPr="002B2F4C">
        <w:rPr>
          <w:rFonts w:ascii="Palatino Linotype" w:hAnsi="Palatino Linotype" w:cs="Arial"/>
          <w:sz w:val="24"/>
          <w:lang w:val="es-ES"/>
        </w:rPr>
        <w:t>dós</w:t>
      </w:r>
      <w:r w:rsidR="005000AA" w:rsidRPr="002B2F4C">
        <w:rPr>
          <w:rFonts w:ascii="Palatino Linotype" w:hAnsi="Palatino Linotype" w:cs="Arial"/>
          <w:sz w:val="24"/>
          <w:lang w:val="es-ES"/>
        </w:rPr>
        <w:t xml:space="preserve">, </w:t>
      </w:r>
      <w:r w:rsidR="005000AA" w:rsidRPr="002B2F4C">
        <w:rPr>
          <w:rFonts w:ascii="Palatino Linotype" w:hAnsi="Palatino Linotype"/>
          <w:b/>
          <w:sz w:val="24"/>
        </w:rPr>
        <w:t>EL RECURRENTE</w:t>
      </w:r>
      <w:r w:rsidR="005000AA" w:rsidRPr="002B2F4C">
        <w:rPr>
          <w:rFonts w:ascii="Palatino Linotype" w:hAnsi="Palatino Linotype" w:cs="Arial"/>
          <w:sz w:val="24"/>
          <w:lang w:val="es-ES"/>
        </w:rPr>
        <w:t xml:space="preserve"> interpuso el recurso de revisión, en contra de la </w:t>
      </w:r>
      <w:r w:rsidR="005D09C1" w:rsidRPr="002B2F4C">
        <w:rPr>
          <w:rFonts w:ascii="Palatino Linotype" w:hAnsi="Palatino Linotype" w:cs="Arial"/>
          <w:sz w:val="24"/>
          <w:lang w:val="es-ES"/>
        </w:rPr>
        <w:t xml:space="preserve">falta de </w:t>
      </w:r>
      <w:r w:rsidR="005000AA" w:rsidRPr="002B2F4C">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2B2F4C" w:rsidRDefault="005000AA" w:rsidP="005000AA">
      <w:pPr>
        <w:pStyle w:val="Prrafodelista"/>
        <w:rPr>
          <w:rFonts w:ascii="Palatino Linotype" w:hAnsi="Palatino Linotype" w:cs="Arial"/>
          <w:i/>
          <w:sz w:val="24"/>
        </w:rPr>
      </w:pPr>
    </w:p>
    <w:p w14:paraId="60DF770D" w14:textId="54E5E0B5" w:rsidR="005000AA" w:rsidRPr="002B2F4C" w:rsidRDefault="005000AA" w:rsidP="005000AA">
      <w:pPr>
        <w:pStyle w:val="Prrafodelista"/>
        <w:spacing w:line="360" w:lineRule="auto"/>
        <w:jc w:val="both"/>
        <w:rPr>
          <w:rFonts w:ascii="Palatino Linotype" w:hAnsi="Palatino Linotype" w:cstheme="minorBidi"/>
          <w:bCs/>
          <w:i/>
          <w:iCs/>
          <w:sz w:val="24"/>
        </w:rPr>
      </w:pPr>
      <w:r w:rsidRPr="002B2F4C">
        <w:rPr>
          <w:rFonts w:ascii="Palatino Linotype" w:hAnsi="Palatino Linotype"/>
          <w:b/>
          <w:sz w:val="24"/>
        </w:rPr>
        <w:t xml:space="preserve">Acto impugnado: </w:t>
      </w:r>
      <w:r w:rsidRPr="002B2F4C">
        <w:rPr>
          <w:rFonts w:ascii="Palatino Linotype" w:hAnsi="Palatino Linotype"/>
          <w:bCs/>
          <w:i/>
          <w:iCs/>
          <w:sz w:val="24"/>
        </w:rPr>
        <w:t>“</w:t>
      </w:r>
      <w:r w:rsidR="00B93FF6" w:rsidRPr="002B2F4C">
        <w:rPr>
          <w:rFonts w:ascii="Palatino Linotype" w:eastAsia="Calibri" w:hAnsi="Palatino Linotype" w:cs="Tahoma"/>
          <w:i/>
          <w:sz w:val="24"/>
          <w:szCs w:val="22"/>
          <w:lang w:eastAsia="en-US"/>
        </w:rPr>
        <w:t>Falta de respuesta del sujeto obligado</w:t>
      </w:r>
      <w:r w:rsidRPr="002B2F4C">
        <w:rPr>
          <w:rFonts w:ascii="Palatino Linotype" w:hAnsi="Palatino Linotype"/>
          <w:bCs/>
          <w:i/>
          <w:iCs/>
          <w:sz w:val="24"/>
        </w:rPr>
        <w:t>” (sic) y,</w:t>
      </w:r>
    </w:p>
    <w:p w14:paraId="777595D3" w14:textId="1EDF3E90" w:rsidR="005000AA" w:rsidRPr="002B2F4C" w:rsidRDefault="005000AA" w:rsidP="005000AA">
      <w:pPr>
        <w:pStyle w:val="Prrafodelista"/>
        <w:spacing w:line="360" w:lineRule="auto"/>
        <w:jc w:val="both"/>
        <w:rPr>
          <w:rFonts w:ascii="Palatino Linotype" w:eastAsia="Calibri" w:hAnsi="Palatino Linotype" w:cs="Arial"/>
          <w:sz w:val="24"/>
          <w:lang w:val="es-ES"/>
        </w:rPr>
      </w:pPr>
      <w:r w:rsidRPr="002B2F4C">
        <w:rPr>
          <w:rFonts w:ascii="Palatino Linotype" w:hAnsi="Palatino Linotype"/>
          <w:b/>
          <w:sz w:val="24"/>
        </w:rPr>
        <w:t>Razones o Motivos de Inconformidad:</w:t>
      </w:r>
      <w:r w:rsidRPr="002B2F4C">
        <w:rPr>
          <w:rStyle w:val="Ttulo2Car"/>
          <w:rFonts w:ascii="Palatino Linotype" w:hAnsi="Palatino Linotype"/>
          <w:b/>
          <w:i/>
          <w:sz w:val="24"/>
          <w:szCs w:val="24"/>
          <w:lang w:val="es-ES"/>
        </w:rPr>
        <w:t xml:space="preserve"> </w:t>
      </w:r>
      <w:r w:rsidRPr="002B2F4C">
        <w:rPr>
          <w:rFonts w:ascii="Palatino Linotype" w:hAnsi="Palatino Linotype"/>
          <w:sz w:val="24"/>
        </w:rPr>
        <w:t>“</w:t>
      </w:r>
      <w:r w:rsidR="00B93FF6" w:rsidRPr="002B2F4C">
        <w:rPr>
          <w:rFonts w:ascii="Palatino Linotype" w:hAnsi="Palatino Linotype"/>
          <w:i/>
          <w:sz w:val="24"/>
        </w:rPr>
        <w:t>Falta de respuesta del sujeto obligado</w:t>
      </w:r>
      <w:r w:rsidR="004E6A3B" w:rsidRPr="002B2F4C">
        <w:rPr>
          <w:rFonts w:ascii="Palatino Linotype" w:hAnsi="Palatino Linotype"/>
          <w:i/>
          <w:sz w:val="24"/>
        </w:rPr>
        <w:t>"</w:t>
      </w:r>
      <w:r w:rsidRPr="002B2F4C">
        <w:rPr>
          <w:rFonts w:ascii="Palatino Linotype" w:eastAsia="Calibri" w:hAnsi="Palatino Linotype" w:cs="Arial"/>
          <w:sz w:val="24"/>
          <w:lang w:val="es-ES"/>
        </w:rPr>
        <w:t>(Sic)</w:t>
      </w:r>
      <w:r w:rsidR="005358D9" w:rsidRPr="002B2F4C">
        <w:rPr>
          <w:rFonts w:ascii="Palatino Linotype" w:eastAsia="Calibri" w:hAnsi="Palatino Linotype" w:cs="Arial"/>
          <w:sz w:val="24"/>
          <w:lang w:val="es-ES"/>
        </w:rPr>
        <w:t>.</w:t>
      </w:r>
    </w:p>
    <w:p w14:paraId="518E834F" w14:textId="77777777" w:rsidR="00BC6FDD" w:rsidRPr="002B2F4C"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2B2F4C"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B2F4C">
        <w:rPr>
          <w:rFonts w:ascii="Palatino Linotype" w:hAnsi="Palatino Linotype" w:cs="Arial"/>
          <w:sz w:val="24"/>
          <w:lang w:val="es-ES"/>
        </w:rPr>
        <w:t xml:space="preserve">Se registró el recurso de revisión bajo el número de expediente </w:t>
      </w:r>
      <w:r w:rsidRPr="002B2F4C">
        <w:rPr>
          <w:rFonts w:ascii="Palatino Linotype" w:hAnsi="Palatino Linotype" w:cs="Arial"/>
          <w:bCs/>
          <w:sz w:val="24"/>
        </w:rPr>
        <w:t xml:space="preserve">al rubro indicado, asimismo con fundamento en lo dispuesto por el </w:t>
      </w:r>
      <w:r w:rsidRPr="002B2F4C">
        <w:rPr>
          <w:rFonts w:ascii="Palatino Linotype" w:eastAsia="Calibri" w:hAnsi="Palatino Linotype" w:cs="Arial"/>
          <w:sz w:val="24"/>
          <w:lang w:val="es-ES"/>
        </w:rPr>
        <w:t xml:space="preserve">artículo 185 fracción I de la </w:t>
      </w:r>
      <w:r w:rsidRPr="002B2F4C">
        <w:rPr>
          <w:rFonts w:ascii="Palatino Linotype" w:eastAsia="Calibri" w:hAnsi="Palatino Linotype" w:cs="Arial"/>
          <w:b/>
          <w:sz w:val="24"/>
          <w:lang w:val="es-ES"/>
        </w:rPr>
        <w:t xml:space="preserve">Ley de Transparencia y Acceso a la Información Pública del Estado de México y Municipios </w:t>
      </w:r>
      <w:r w:rsidR="00D31521" w:rsidRPr="002B2F4C">
        <w:rPr>
          <w:rFonts w:ascii="Palatino Linotype" w:hAnsi="Palatino Linotype" w:cs="Arial"/>
          <w:sz w:val="24"/>
          <w:lang w:val="es-ES"/>
        </w:rPr>
        <w:t>se turnó a</w:t>
      </w:r>
      <w:r w:rsidR="00F942BD" w:rsidRPr="002B2F4C">
        <w:rPr>
          <w:rFonts w:ascii="Palatino Linotype" w:hAnsi="Palatino Linotype" w:cs="Arial"/>
          <w:sz w:val="24"/>
          <w:lang w:val="es-ES"/>
        </w:rPr>
        <w:t xml:space="preserve"> </w:t>
      </w:r>
      <w:r w:rsidRPr="002B2F4C">
        <w:rPr>
          <w:rFonts w:ascii="Palatino Linotype" w:hAnsi="Palatino Linotype" w:cs="Arial"/>
          <w:sz w:val="24"/>
          <w:lang w:val="es-ES"/>
        </w:rPr>
        <w:t>l</w:t>
      </w:r>
      <w:r w:rsidR="00F942BD" w:rsidRPr="002B2F4C">
        <w:rPr>
          <w:rFonts w:ascii="Palatino Linotype" w:hAnsi="Palatino Linotype" w:cs="Arial"/>
          <w:sz w:val="24"/>
          <w:lang w:val="es-ES"/>
        </w:rPr>
        <w:t>a</w:t>
      </w:r>
      <w:r w:rsidRPr="002B2F4C">
        <w:rPr>
          <w:rFonts w:ascii="Palatino Linotype" w:hAnsi="Palatino Linotype" w:cs="Arial"/>
          <w:sz w:val="24"/>
          <w:lang w:val="es-ES"/>
        </w:rPr>
        <w:t xml:space="preserve"> </w:t>
      </w:r>
      <w:r w:rsidR="00F942BD" w:rsidRPr="002B2F4C">
        <w:rPr>
          <w:rFonts w:ascii="Palatino Linotype" w:hAnsi="Palatino Linotype" w:cs="Arial"/>
          <w:b/>
          <w:sz w:val="24"/>
          <w:lang w:val="es-ES"/>
        </w:rPr>
        <w:t>Comisionada</w:t>
      </w:r>
      <w:r w:rsidRPr="002B2F4C">
        <w:rPr>
          <w:rFonts w:ascii="Palatino Linotype" w:hAnsi="Palatino Linotype" w:cs="Arial"/>
          <w:b/>
          <w:sz w:val="24"/>
          <w:lang w:val="es-ES"/>
        </w:rPr>
        <w:t xml:space="preserve"> </w:t>
      </w:r>
      <w:r w:rsidR="00F942BD" w:rsidRPr="002B2F4C">
        <w:rPr>
          <w:rFonts w:ascii="Palatino Linotype" w:hAnsi="Palatino Linotype" w:cs="Arial"/>
          <w:b/>
          <w:sz w:val="24"/>
          <w:lang w:val="es-ES"/>
        </w:rPr>
        <w:t>María del Rosario Mejía Ayala</w:t>
      </w:r>
      <w:r w:rsidRPr="002B2F4C">
        <w:rPr>
          <w:rFonts w:ascii="Palatino Linotype" w:hAnsi="Palatino Linotype" w:cs="Arial"/>
          <w:b/>
          <w:sz w:val="24"/>
          <w:lang w:val="es-ES"/>
        </w:rPr>
        <w:t xml:space="preserve">, </w:t>
      </w:r>
      <w:r w:rsidRPr="002B2F4C">
        <w:rPr>
          <w:rFonts w:ascii="Palatino Linotype" w:hAnsi="Palatino Linotype" w:cs="Arial"/>
          <w:sz w:val="24"/>
          <w:lang w:val="es-ES"/>
        </w:rPr>
        <w:t xml:space="preserve">con el objeto de </w:t>
      </w:r>
      <w:r w:rsidRPr="002B2F4C">
        <w:rPr>
          <w:rFonts w:ascii="Palatino Linotype" w:hAnsi="Palatino Linotype" w:cs="Arial"/>
          <w:sz w:val="24"/>
        </w:rPr>
        <w:t>su análisis.</w:t>
      </w:r>
    </w:p>
    <w:p w14:paraId="21EFF6B2" w14:textId="77777777" w:rsidR="005000AA" w:rsidRPr="002B2F4C"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1174764" w:rsidR="005000AA" w:rsidRPr="002B2F4C"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B2F4C">
        <w:rPr>
          <w:rFonts w:ascii="Palatino Linotype" w:eastAsia="Calibri" w:hAnsi="Palatino Linotype" w:cs="Arial"/>
          <w:sz w:val="24"/>
          <w:lang w:val="es-ES"/>
        </w:rPr>
        <w:t>La Comisionada</w:t>
      </w:r>
      <w:r w:rsidR="005000AA" w:rsidRPr="002B2F4C">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5358D9" w:rsidRPr="002B2F4C">
        <w:rPr>
          <w:rFonts w:ascii="Palatino Linotype" w:eastAsia="Calibri" w:hAnsi="Palatino Linotype" w:cs="Arial"/>
          <w:sz w:val="24"/>
          <w:lang w:val="es-ES"/>
        </w:rPr>
        <w:t>trece</w:t>
      </w:r>
      <w:r w:rsidR="005D09C1" w:rsidRPr="002B2F4C">
        <w:rPr>
          <w:rFonts w:ascii="Palatino Linotype" w:eastAsia="Calibri" w:hAnsi="Palatino Linotype" w:cs="Arial"/>
          <w:sz w:val="24"/>
          <w:lang w:val="es-ES"/>
        </w:rPr>
        <w:t xml:space="preserve"> (</w:t>
      </w:r>
      <w:r w:rsidR="005358D9" w:rsidRPr="002B2F4C">
        <w:rPr>
          <w:rFonts w:ascii="Palatino Linotype" w:eastAsia="Calibri" w:hAnsi="Palatino Linotype" w:cs="Arial"/>
          <w:sz w:val="24"/>
          <w:lang w:val="es-ES"/>
        </w:rPr>
        <w:t>13</w:t>
      </w:r>
      <w:r w:rsidR="005D09C1" w:rsidRPr="002B2F4C">
        <w:rPr>
          <w:rFonts w:ascii="Palatino Linotype" w:eastAsia="Calibri" w:hAnsi="Palatino Linotype" w:cs="Arial"/>
          <w:sz w:val="24"/>
          <w:lang w:val="es-ES"/>
        </w:rPr>
        <w:t xml:space="preserve">) </w:t>
      </w:r>
      <w:r w:rsidR="004E6A3B" w:rsidRPr="002B2F4C">
        <w:rPr>
          <w:rFonts w:ascii="Palatino Linotype" w:eastAsia="Calibri" w:hAnsi="Palatino Linotype" w:cs="Arial"/>
          <w:sz w:val="24"/>
          <w:lang w:val="es-ES"/>
        </w:rPr>
        <w:t xml:space="preserve">de </w:t>
      </w:r>
      <w:r w:rsidR="00965001" w:rsidRPr="002B2F4C">
        <w:rPr>
          <w:rFonts w:ascii="Palatino Linotype" w:eastAsia="Calibri" w:hAnsi="Palatino Linotype" w:cs="Arial"/>
          <w:sz w:val="24"/>
          <w:lang w:val="es-ES"/>
        </w:rPr>
        <w:t xml:space="preserve">julio </w:t>
      </w:r>
      <w:r w:rsidR="005000AA" w:rsidRPr="002B2F4C">
        <w:rPr>
          <w:rFonts w:ascii="Palatino Linotype" w:eastAsia="Calibri" w:hAnsi="Palatino Linotype" w:cs="Arial"/>
          <w:sz w:val="24"/>
          <w:lang w:val="es-ES"/>
        </w:rPr>
        <w:t>de dos mil veinti</w:t>
      </w:r>
      <w:r w:rsidR="0021453D" w:rsidRPr="002B2F4C">
        <w:rPr>
          <w:rFonts w:ascii="Palatino Linotype" w:eastAsia="Calibri" w:hAnsi="Palatino Linotype" w:cs="Arial"/>
          <w:sz w:val="24"/>
          <w:lang w:val="es-ES"/>
        </w:rPr>
        <w:t>dós</w:t>
      </w:r>
      <w:r w:rsidR="005000AA" w:rsidRPr="002B2F4C">
        <w:rPr>
          <w:rFonts w:ascii="Palatino Linotype" w:eastAsia="Calibri" w:hAnsi="Palatino Linotype" w:cs="Arial"/>
          <w:sz w:val="24"/>
          <w:lang w:val="es-ES"/>
        </w:rPr>
        <w:t xml:space="preserve">, puso a disposición de las partes el expediente electrónico </w:t>
      </w:r>
      <w:r w:rsidR="005000AA" w:rsidRPr="002B2F4C">
        <w:rPr>
          <w:rFonts w:ascii="Palatino Linotype" w:eastAsia="Calibri" w:hAnsi="Palatino Linotype" w:cs="Arial"/>
          <w:sz w:val="24"/>
        </w:rPr>
        <w:t xml:space="preserve">vía </w:t>
      </w:r>
      <w:r w:rsidR="005000AA" w:rsidRPr="002B2F4C">
        <w:rPr>
          <w:rFonts w:ascii="Palatino Linotype" w:eastAsia="Calibri" w:hAnsi="Palatino Linotype" w:cs="Arial"/>
          <w:b/>
          <w:sz w:val="24"/>
          <w:lang w:val="es-ES"/>
        </w:rPr>
        <w:t xml:space="preserve">SAIMEX </w:t>
      </w:r>
      <w:r w:rsidR="005000AA" w:rsidRPr="002B2F4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2B2F4C">
        <w:rPr>
          <w:rFonts w:ascii="Palatino Linotype" w:eastAsia="Calibri" w:hAnsi="Palatino Linotype" w:cs="Arial"/>
          <w:b/>
          <w:sz w:val="24"/>
          <w:lang w:val="es-ES"/>
        </w:rPr>
        <w:t>SUJETO OBLIGADO</w:t>
      </w:r>
      <w:r w:rsidR="005000AA" w:rsidRPr="002B2F4C">
        <w:rPr>
          <w:rFonts w:ascii="Palatino Linotype" w:eastAsia="Calibri" w:hAnsi="Palatino Linotype" w:cs="Arial"/>
          <w:sz w:val="24"/>
          <w:lang w:val="es-ES"/>
        </w:rPr>
        <w:t xml:space="preserve"> presentara el informe justificado procedente.</w:t>
      </w:r>
    </w:p>
    <w:p w14:paraId="79E9E290" w14:textId="77777777" w:rsidR="00BC6FDD" w:rsidRPr="002B2F4C"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B2F4C">
        <w:rPr>
          <w:rFonts w:ascii="Palatino Linotype" w:eastAsiaTheme="minorEastAsia" w:hAnsi="Palatino Linotype"/>
          <w:color w:val="000000"/>
          <w:sz w:val="24"/>
          <w:szCs w:val="24"/>
          <w:lang w:val="es-ES_tradnl"/>
        </w:rPr>
        <w:lastRenderedPageBreak/>
        <w:t xml:space="preserve">El </w:t>
      </w:r>
      <w:r w:rsidRPr="002B2F4C">
        <w:rPr>
          <w:rFonts w:ascii="Palatino Linotype" w:eastAsiaTheme="minorEastAsia" w:hAnsi="Palatino Linotype"/>
          <w:b/>
          <w:color w:val="000000"/>
          <w:sz w:val="24"/>
          <w:szCs w:val="24"/>
          <w:lang w:val="es-ES_tradnl"/>
        </w:rPr>
        <w:t xml:space="preserve">SUJETO OBLIGADO </w:t>
      </w:r>
      <w:r w:rsidRPr="002B2F4C">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B2F4C">
        <w:rPr>
          <w:rFonts w:ascii="Palatino Linotype" w:eastAsiaTheme="minorEastAsia" w:hAnsi="Palatino Linotype"/>
          <w:b/>
          <w:color w:val="000000"/>
          <w:sz w:val="24"/>
          <w:szCs w:val="24"/>
          <w:lang w:val="es-ES_tradnl"/>
        </w:rPr>
        <w:t xml:space="preserve">RECURRENTE </w:t>
      </w:r>
      <w:r w:rsidRPr="002B2F4C">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B2F4C">
        <w:rPr>
          <w:rFonts w:ascii="Palatino Linotype" w:eastAsiaTheme="minorEastAsia" w:hAnsi="Palatino Linotype"/>
          <w:b/>
          <w:color w:val="000000"/>
          <w:sz w:val="24"/>
          <w:szCs w:val="24"/>
          <w:lang w:val="es-ES_tradnl"/>
        </w:rPr>
        <w:t xml:space="preserve">SAIMEX, </w:t>
      </w:r>
      <w:r w:rsidRPr="002B2F4C">
        <w:rPr>
          <w:rFonts w:ascii="Palatino Linotype" w:eastAsiaTheme="minorEastAsia" w:hAnsi="Palatino Linotype"/>
          <w:bCs/>
          <w:color w:val="000000"/>
          <w:sz w:val="24"/>
          <w:szCs w:val="24"/>
          <w:lang w:val="es-ES_tradnl"/>
        </w:rPr>
        <w:t>se inserta imagen de referencia.</w:t>
      </w:r>
    </w:p>
    <w:p w14:paraId="47932EDD" w14:textId="24FF0AA1" w:rsidR="00BC6FDD" w:rsidRPr="002B2F4C" w:rsidRDefault="005358D9" w:rsidP="00BC6FDD">
      <w:pPr>
        <w:spacing w:before="240" w:after="240" w:line="360" w:lineRule="auto"/>
        <w:jc w:val="both"/>
        <w:rPr>
          <w:rFonts w:ascii="Palatino Linotype" w:hAnsi="Palatino Linotype"/>
          <w:i/>
          <w:color w:val="000000"/>
          <w:sz w:val="24"/>
        </w:rPr>
      </w:pPr>
      <w:r w:rsidRPr="002B2F4C">
        <w:rPr>
          <w:noProof/>
          <w:lang w:eastAsia="es-MX"/>
        </w:rPr>
        <w:drawing>
          <wp:inline distT="0" distB="0" distL="0" distR="0" wp14:anchorId="674792E2" wp14:editId="73002C5A">
            <wp:extent cx="5753100" cy="1705861"/>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131" t="25359" r="7287" b="29526"/>
                    <a:stretch/>
                  </pic:blipFill>
                  <pic:spPr bwMode="auto">
                    <a:xfrm>
                      <a:off x="0" y="0"/>
                      <a:ext cx="5781538" cy="1714293"/>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2B2F4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2B2F4C">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B2F4C"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B2F4C"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B2F4C">
        <w:rPr>
          <w:rFonts w:ascii="Palatino Linotype" w:hAnsi="Palatino Linotype" w:cs="Arial"/>
          <w:b/>
          <w:bCs/>
          <w:i/>
          <w:iCs/>
          <w:color w:val="222222"/>
          <w:sz w:val="22"/>
          <w:lang w:val="es-ES_tradnl"/>
        </w:rPr>
        <w:t>QUEJA, RECURSO DE. LA OMISION DE RENDIR EL INFORME RESPECTIVO NO IMPIDE QUE SE RESUELV</w:t>
      </w:r>
      <w:r w:rsidRPr="002B2F4C">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2B2F4C">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2B2F4C"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2B2F4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2B2F4C">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2B2F4C">
        <w:rPr>
          <w:rFonts w:ascii="Palatino Linotype" w:hAnsi="Palatino Linotype" w:cs="Arial"/>
          <w:b/>
          <w:bCs/>
          <w:color w:val="222222"/>
          <w:sz w:val="24"/>
        </w:rPr>
        <w:t>SUJETO OBLIGADO</w:t>
      </w:r>
      <w:r w:rsidRPr="002B2F4C">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2B2F4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3C26B466" w:rsidR="00BC6FDD" w:rsidRPr="002B2F4C" w:rsidRDefault="00DD7DC3" w:rsidP="00463BCB">
      <w:pPr>
        <w:pStyle w:val="Prrafodelista"/>
        <w:numPr>
          <w:ilvl w:val="0"/>
          <w:numId w:val="3"/>
        </w:numPr>
        <w:spacing w:line="360" w:lineRule="auto"/>
        <w:ind w:left="0" w:firstLine="0"/>
        <w:jc w:val="both"/>
        <w:rPr>
          <w:rFonts w:ascii="Palatino Linotype" w:hAnsi="Palatino Linotype" w:cs="Tahoma"/>
          <w:sz w:val="24"/>
        </w:rPr>
      </w:pPr>
      <w:r w:rsidRPr="002B2F4C">
        <w:rPr>
          <w:rFonts w:ascii="Palatino Linotype" w:eastAsia="Calibri" w:hAnsi="Palatino Linotype" w:cs="Arial"/>
          <w:sz w:val="24"/>
          <w:lang w:val="es-ES"/>
        </w:rPr>
        <w:t xml:space="preserve">El día </w:t>
      </w:r>
      <w:r w:rsidR="005358D9" w:rsidRPr="002B2F4C">
        <w:rPr>
          <w:rFonts w:ascii="Palatino Linotype" w:eastAsia="Calibri" w:hAnsi="Palatino Linotype" w:cs="Arial"/>
          <w:sz w:val="24"/>
          <w:lang w:val="es-ES"/>
        </w:rPr>
        <w:t>nueve</w:t>
      </w:r>
      <w:r w:rsidR="005000AA" w:rsidRPr="002B2F4C">
        <w:rPr>
          <w:rFonts w:ascii="Palatino Linotype" w:eastAsia="Calibri" w:hAnsi="Palatino Linotype" w:cs="Arial"/>
          <w:sz w:val="24"/>
          <w:lang w:val="es-ES"/>
        </w:rPr>
        <w:t xml:space="preserve"> (</w:t>
      </w:r>
      <w:r w:rsidR="005358D9" w:rsidRPr="002B2F4C">
        <w:rPr>
          <w:rFonts w:ascii="Palatino Linotype" w:eastAsia="Calibri" w:hAnsi="Palatino Linotype" w:cs="Arial"/>
          <w:sz w:val="24"/>
          <w:lang w:val="es-ES"/>
        </w:rPr>
        <w:t>9</w:t>
      </w:r>
      <w:r w:rsidR="005000AA" w:rsidRPr="002B2F4C">
        <w:rPr>
          <w:rFonts w:ascii="Palatino Linotype" w:eastAsia="Calibri" w:hAnsi="Palatino Linotype" w:cs="Arial"/>
          <w:sz w:val="24"/>
          <w:lang w:val="es-ES"/>
        </w:rPr>
        <w:t xml:space="preserve">) de </w:t>
      </w:r>
      <w:r w:rsidR="005358D9" w:rsidRPr="002B2F4C">
        <w:rPr>
          <w:rFonts w:ascii="Palatino Linotype" w:eastAsia="Calibri" w:hAnsi="Palatino Linotype" w:cs="Arial"/>
          <w:sz w:val="24"/>
          <w:lang w:val="es-ES"/>
        </w:rPr>
        <w:t>agosto</w:t>
      </w:r>
      <w:r w:rsidR="00E65B7C" w:rsidRPr="002B2F4C">
        <w:rPr>
          <w:rFonts w:ascii="Palatino Linotype" w:eastAsia="Calibri" w:hAnsi="Palatino Linotype" w:cs="Arial"/>
          <w:sz w:val="24"/>
          <w:lang w:val="es-ES"/>
        </w:rPr>
        <w:t xml:space="preserve"> de </w:t>
      </w:r>
      <w:r w:rsidR="00D73603" w:rsidRPr="002B2F4C">
        <w:rPr>
          <w:rFonts w:ascii="Palatino Linotype" w:eastAsia="Calibri" w:hAnsi="Palatino Linotype" w:cs="Arial"/>
          <w:sz w:val="24"/>
          <w:lang w:val="es-ES"/>
        </w:rPr>
        <w:t>dos mil veinti</w:t>
      </w:r>
      <w:r w:rsidR="0021453D" w:rsidRPr="002B2F4C">
        <w:rPr>
          <w:rFonts w:ascii="Palatino Linotype" w:eastAsia="Calibri" w:hAnsi="Palatino Linotype" w:cs="Arial"/>
          <w:sz w:val="24"/>
          <w:lang w:val="es-ES"/>
        </w:rPr>
        <w:t>dós</w:t>
      </w:r>
      <w:r w:rsidR="00D73603" w:rsidRPr="002B2F4C">
        <w:rPr>
          <w:rFonts w:ascii="Palatino Linotype" w:eastAsia="Calibri" w:hAnsi="Palatino Linotype" w:cs="Arial"/>
          <w:sz w:val="24"/>
          <w:lang w:val="es-ES"/>
        </w:rPr>
        <w:t>, la</w:t>
      </w:r>
      <w:r w:rsidR="005000AA" w:rsidRPr="002B2F4C">
        <w:rPr>
          <w:rFonts w:ascii="Palatino Linotype" w:hAnsi="Palatino Linotype"/>
          <w:sz w:val="24"/>
        </w:rPr>
        <w:t xml:space="preserve"> Comisionad</w:t>
      </w:r>
      <w:r w:rsidR="00D73603" w:rsidRPr="002B2F4C">
        <w:rPr>
          <w:rFonts w:ascii="Palatino Linotype" w:hAnsi="Palatino Linotype"/>
          <w:sz w:val="24"/>
        </w:rPr>
        <w:t>a</w:t>
      </w:r>
      <w:r w:rsidR="005000AA" w:rsidRPr="002B2F4C">
        <w:rPr>
          <w:rFonts w:ascii="Palatino Linotype" w:hAnsi="Palatino Linotype"/>
          <w:sz w:val="24"/>
        </w:rPr>
        <w:t xml:space="preserve"> Ponente decretó el cierre de instrucción</w:t>
      </w:r>
      <w:r w:rsidR="005000AA" w:rsidRPr="002B2F4C">
        <w:rPr>
          <w:rFonts w:ascii="Palatino Linotype" w:hAnsi="Palatino Linotype" w:cs="Arial"/>
          <w:sz w:val="24"/>
        </w:rPr>
        <w:t>.</w:t>
      </w:r>
      <w:r w:rsidR="005000AA" w:rsidRPr="002B2F4C">
        <w:rPr>
          <w:rFonts w:ascii="Palatino Linotype" w:hAnsi="Palatino Linotype" w:cs="Tahoma"/>
          <w:sz w:val="24"/>
        </w:rPr>
        <w:t xml:space="preserve"> </w:t>
      </w:r>
      <w:r w:rsidR="003C497F" w:rsidRPr="002B2F4C">
        <w:rPr>
          <w:rFonts w:ascii="Palatino Linotype" w:hAnsi="Palatino Linotype" w:cs="Tahoma"/>
          <w:sz w:val="24"/>
        </w:rPr>
        <w:t xml:space="preserve">Por lo que turnó la presente resolución </w:t>
      </w:r>
      <w:r w:rsidR="003C5753" w:rsidRPr="002B2F4C">
        <w:rPr>
          <w:rFonts w:ascii="Palatino Linotype" w:hAnsi="Palatino Linotype" w:cs="Tahoma"/>
          <w:sz w:val="24"/>
        </w:rPr>
        <w:t>para su aprobación.</w:t>
      </w:r>
    </w:p>
    <w:p w14:paraId="2A7F6D02" w14:textId="77777777" w:rsidR="00467E24" w:rsidRPr="002B2F4C" w:rsidRDefault="00467E24" w:rsidP="00467E24">
      <w:pPr>
        <w:pStyle w:val="Prrafodelista"/>
        <w:spacing w:line="360" w:lineRule="auto"/>
        <w:ind w:left="0"/>
        <w:jc w:val="both"/>
        <w:rPr>
          <w:rFonts w:ascii="Palatino Linotype" w:eastAsia="Calibri" w:hAnsi="Palatino Linotype" w:cs="Arial"/>
          <w:sz w:val="24"/>
          <w:lang w:val="es-ES"/>
        </w:rPr>
      </w:pPr>
    </w:p>
    <w:p w14:paraId="4995D5BB" w14:textId="70588B3D" w:rsidR="00467E24" w:rsidRPr="002B2F4C"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2B2F4C">
        <w:rPr>
          <w:rFonts w:ascii="Palatino Linotype" w:hAnsi="Palatino Linotype" w:cs="Tahoma"/>
          <w:sz w:val="24"/>
        </w:rPr>
        <w:t>El diecisiete (17) de agosto de dos mil veintidós, en la Vigésima Novena Sesión Ordinaria, el Pleno del Instituto de Transparencia, Acceso a la Información Pública y Protección de Datos Personales del Estado de México y Municipios, aprobó por Unanimidad de votos, la resolución dictada en el recurso de revisión 012543/INFOEM/IP/RR/2022 en la cual se determinó lo siguiente:</w:t>
      </w:r>
    </w:p>
    <w:p w14:paraId="143548B8" w14:textId="77777777" w:rsidR="00467E24" w:rsidRPr="002B2F4C" w:rsidRDefault="00467E24" w:rsidP="00467E24">
      <w:pPr>
        <w:pStyle w:val="Prrafodelista"/>
        <w:rPr>
          <w:rFonts w:ascii="Palatino Linotype" w:hAnsi="Palatino Linotype" w:cs="Tahoma"/>
          <w:sz w:val="24"/>
        </w:rPr>
      </w:pPr>
    </w:p>
    <w:p w14:paraId="2D5CD55C" w14:textId="77777777" w:rsidR="00467E24" w:rsidRPr="002B2F4C" w:rsidRDefault="00467E24" w:rsidP="00467E24">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r w:rsidRPr="002B2F4C">
        <w:rPr>
          <w:rFonts w:ascii="Palatino Linotype" w:hAnsi="Palatino Linotype" w:cs="Arial"/>
          <w:b/>
          <w:i/>
          <w:sz w:val="22"/>
          <w:szCs w:val="24"/>
          <w:lang w:val="es-ES_tradnl"/>
        </w:rPr>
        <w:lastRenderedPageBreak/>
        <w:t xml:space="preserve">PRIMERO. </w:t>
      </w:r>
      <w:r w:rsidRPr="002B2F4C">
        <w:rPr>
          <w:rFonts w:ascii="Palatino Linotype" w:hAnsi="Palatino Linotype" w:cs="Arial"/>
          <w:i/>
          <w:sz w:val="22"/>
          <w:szCs w:val="24"/>
          <w:lang w:val="es-ES_tradnl"/>
        </w:rPr>
        <w:t>Resultan fundadas las</w:t>
      </w:r>
      <w:r w:rsidRPr="002B2F4C">
        <w:rPr>
          <w:rFonts w:ascii="Palatino Linotype" w:hAnsi="Palatino Linotype" w:cs="Arial"/>
          <w:b/>
          <w:i/>
          <w:sz w:val="22"/>
          <w:szCs w:val="24"/>
          <w:lang w:val="es-ES_tradnl"/>
        </w:rPr>
        <w:t xml:space="preserve"> </w:t>
      </w:r>
      <w:r w:rsidRPr="002B2F4C">
        <w:rPr>
          <w:rFonts w:ascii="Palatino Linotype" w:hAnsi="Palatino Linotype" w:cs="Arial"/>
          <w:i/>
          <w:sz w:val="22"/>
          <w:szCs w:val="24"/>
          <w:lang w:val="es-ES"/>
        </w:rPr>
        <w:t xml:space="preserve">razones o motivos de inconformidad hechos valer en el recurso de revisión </w:t>
      </w:r>
      <w:r w:rsidRPr="002B2F4C">
        <w:rPr>
          <w:rFonts w:ascii="Palatino Linotype" w:hAnsi="Palatino Linotype" w:cs="Arial"/>
          <w:b/>
          <w:i/>
          <w:sz w:val="22"/>
          <w:szCs w:val="24"/>
        </w:rPr>
        <w:t>12543</w:t>
      </w:r>
      <w:r w:rsidRPr="002B2F4C">
        <w:rPr>
          <w:rFonts w:ascii="Palatino Linotype" w:eastAsia="Calibri" w:hAnsi="Palatino Linotype" w:cs="Tahoma"/>
          <w:b/>
          <w:i/>
          <w:sz w:val="22"/>
          <w:lang w:eastAsia="en-US"/>
        </w:rPr>
        <w:t>/INFOEM/IP/RR/2022</w:t>
      </w:r>
      <w:r w:rsidRPr="002B2F4C">
        <w:rPr>
          <w:rFonts w:ascii="Palatino Linotype" w:hAnsi="Palatino Linotype" w:cs="Arial"/>
          <w:b/>
          <w:bCs/>
          <w:i/>
          <w:sz w:val="22"/>
          <w:lang w:eastAsia="es-MX"/>
        </w:rPr>
        <w:t xml:space="preserve"> </w:t>
      </w:r>
      <w:r w:rsidRPr="002B2F4C">
        <w:rPr>
          <w:rFonts w:ascii="Palatino Linotype" w:eastAsiaTheme="minorEastAsia" w:hAnsi="Palatino Linotype" w:cs="Arial"/>
          <w:bCs/>
          <w:i/>
          <w:sz w:val="22"/>
          <w:szCs w:val="24"/>
          <w:lang w:val="es-ES_tradnl" w:eastAsia="es-MX"/>
        </w:rPr>
        <w:t xml:space="preserve">en términos del </w:t>
      </w:r>
      <w:r w:rsidRPr="002B2F4C">
        <w:rPr>
          <w:rFonts w:ascii="Palatino Linotype" w:eastAsiaTheme="minorEastAsia" w:hAnsi="Palatino Linotype" w:cs="Arial"/>
          <w:b/>
          <w:bCs/>
          <w:i/>
          <w:sz w:val="22"/>
          <w:szCs w:val="24"/>
          <w:lang w:val="es-ES_tradnl" w:eastAsia="es-MX"/>
        </w:rPr>
        <w:t xml:space="preserve">Considerando CUARTO </w:t>
      </w:r>
      <w:r w:rsidRPr="002B2F4C">
        <w:rPr>
          <w:rFonts w:ascii="Palatino Linotype" w:eastAsiaTheme="minorEastAsia" w:hAnsi="Palatino Linotype" w:cs="Arial"/>
          <w:bCs/>
          <w:i/>
          <w:sz w:val="22"/>
          <w:szCs w:val="24"/>
          <w:lang w:val="es-ES_tradnl" w:eastAsia="es-MX"/>
        </w:rPr>
        <w:t xml:space="preserve">de la presente resolución. </w:t>
      </w:r>
    </w:p>
    <w:p w14:paraId="5D7207DB" w14:textId="77777777" w:rsidR="00467E24" w:rsidRPr="002B2F4C" w:rsidRDefault="00467E24" w:rsidP="00467E24">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p>
    <w:p w14:paraId="7AA449CD" w14:textId="77777777" w:rsidR="00467E24" w:rsidRPr="002B2F4C" w:rsidRDefault="00467E24" w:rsidP="00467E24">
      <w:pPr>
        <w:tabs>
          <w:tab w:val="left" w:pos="284"/>
        </w:tabs>
        <w:spacing w:line="360" w:lineRule="auto"/>
        <w:ind w:left="567" w:right="822"/>
        <w:jc w:val="both"/>
        <w:rPr>
          <w:rFonts w:ascii="Palatino Linotype" w:eastAsia="Calibri" w:hAnsi="Palatino Linotype" w:cs="Arial"/>
          <w:i/>
          <w:sz w:val="22"/>
          <w:szCs w:val="24"/>
          <w:lang w:val="es-ES"/>
        </w:rPr>
      </w:pPr>
      <w:r w:rsidRPr="002B2F4C">
        <w:rPr>
          <w:rFonts w:ascii="Palatino Linotype" w:eastAsia="Calibri" w:hAnsi="Palatino Linotype" w:cs="Arial"/>
          <w:b/>
          <w:bCs/>
          <w:i/>
          <w:sz w:val="22"/>
          <w:szCs w:val="24"/>
          <w:lang w:val="es-ES"/>
        </w:rPr>
        <w:t xml:space="preserve">SEGUNDO. </w:t>
      </w:r>
      <w:r w:rsidRPr="002B2F4C">
        <w:rPr>
          <w:rFonts w:ascii="Palatino Linotype" w:eastAsia="Calibri" w:hAnsi="Palatino Linotype" w:cs="Arial"/>
          <w:i/>
          <w:sz w:val="22"/>
          <w:szCs w:val="24"/>
          <w:lang w:val="es-ES"/>
        </w:rPr>
        <w:t xml:space="preserve">Se </w:t>
      </w:r>
      <w:r w:rsidRPr="002B2F4C">
        <w:rPr>
          <w:rFonts w:ascii="Palatino Linotype" w:eastAsia="Calibri" w:hAnsi="Palatino Linotype" w:cs="Arial"/>
          <w:b/>
          <w:i/>
          <w:sz w:val="22"/>
          <w:szCs w:val="24"/>
          <w:lang w:val="es-ES"/>
        </w:rPr>
        <w:t xml:space="preserve">ORDENA </w:t>
      </w:r>
      <w:r w:rsidRPr="002B2F4C">
        <w:rPr>
          <w:rFonts w:ascii="Palatino Linotype" w:eastAsia="Calibri" w:hAnsi="Palatino Linotype" w:cs="Arial"/>
          <w:i/>
          <w:sz w:val="22"/>
          <w:szCs w:val="24"/>
          <w:lang w:val="es-ES"/>
        </w:rPr>
        <w:t xml:space="preserve">al </w:t>
      </w:r>
      <w:r w:rsidRPr="002B2F4C">
        <w:rPr>
          <w:rFonts w:ascii="Palatino Linotype" w:eastAsia="Calibri" w:hAnsi="Palatino Linotype" w:cs="Tahoma"/>
          <w:b/>
          <w:i/>
          <w:sz w:val="22"/>
          <w:szCs w:val="28"/>
          <w:lang w:eastAsia="en-US"/>
        </w:rPr>
        <w:t>Ayuntamiento de Metepec</w:t>
      </w:r>
      <w:r w:rsidRPr="002B2F4C">
        <w:rPr>
          <w:rFonts w:ascii="Palatino Linotype" w:eastAsia="Calibri" w:hAnsi="Palatino Linotype" w:cs="Arial"/>
          <w:b/>
          <w:bCs/>
          <w:i/>
          <w:sz w:val="22"/>
          <w:szCs w:val="24"/>
          <w:lang w:val="es-ES_tradnl"/>
        </w:rPr>
        <w:t xml:space="preserve"> </w:t>
      </w:r>
      <w:r w:rsidRPr="002B2F4C">
        <w:rPr>
          <w:rFonts w:ascii="Palatino Linotype" w:eastAsia="Calibri" w:hAnsi="Palatino Linotype" w:cs="Arial"/>
          <w:i/>
          <w:sz w:val="22"/>
          <w:szCs w:val="24"/>
          <w:lang w:val="es-ES"/>
        </w:rPr>
        <w:t xml:space="preserve">dar atención a la solicitud de información </w:t>
      </w:r>
      <w:r w:rsidRPr="002B2F4C">
        <w:rPr>
          <w:rFonts w:ascii="Palatino Linotype" w:eastAsia="Calibri" w:hAnsi="Palatino Linotype" w:cs="Arial"/>
          <w:b/>
          <w:i/>
          <w:sz w:val="22"/>
          <w:lang w:val="es-ES"/>
        </w:rPr>
        <w:t>03573/METEPEC/IP/2022</w:t>
      </w:r>
      <w:r w:rsidRPr="002B2F4C">
        <w:rPr>
          <w:rFonts w:ascii="Palatino Linotype" w:hAnsi="Palatino Linotype"/>
          <w:b/>
          <w:i/>
          <w:sz w:val="22"/>
          <w:lang w:val="es-ES"/>
        </w:rPr>
        <w:t xml:space="preserve"> </w:t>
      </w:r>
      <w:r w:rsidRPr="002B2F4C">
        <w:rPr>
          <w:rFonts w:ascii="Palatino Linotype" w:eastAsia="Calibri" w:hAnsi="Palatino Linotype" w:cs="Arial"/>
          <w:i/>
          <w:sz w:val="22"/>
          <w:szCs w:val="24"/>
          <w:lang w:val="es-ES"/>
        </w:rPr>
        <w:t xml:space="preserve">y, en su caso, entregar la información en la modalidad </w:t>
      </w:r>
      <w:r w:rsidRPr="002B2F4C">
        <w:rPr>
          <w:rFonts w:ascii="Palatino Linotype" w:eastAsia="Calibri" w:hAnsi="Palatino Linotype" w:cs="Arial"/>
          <w:i/>
          <w:sz w:val="22"/>
          <w:szCs w:val="24"/>
          <w:lang w:val="es-ES_tradnl"/>
        </w:rPr>
        <w:t>Sistema de Acceso a Información Mexiquense (</w:t>
      </w:r>
      <w:r w:rsidRPr="002B2F4C">
        <w:rPr>
          <w:rFonts w:ascii="Palatino Linotype" w:eastAsia="Calibri" w:hAnsi="Palatino Linotype" w:cs="Arial"/>
          <w:b/>
          <w:i/>
          <w:sz w:val="22"/>
          <w:szCs w:val="24"/>
          <w:lang w:val="es-ES"/>
        </w:rPr>
        <w:t>SAIMEX).</w:t>
      </w:r>
    </w:p>
    <w:p w14:paraId="0BB0373C" w14:textId="77777777" w:rsidR="00467E24" w:rsidRPr="002B2F4C" w:rsidRDefault="00467E24" w:rsidP="00467E24">
      <w:pPr>
        <w:tabs>
          <w:tab w:val="left" w:pos="284"/>
        </w:tabs>
        <w:spacing w:line="360" w:lineRule="auto"/>
        <w:ind w:left="567" w:right="822"/>
        <w:jc w:val="both"/>
        <w:rPr>
          <w:rFonts w:ascii="Palatino Linotype" w:eastAsia="Calibri" w:hAnsi="Palatino Linotype" w:cs="Arial"/>
          <w:i/>
          <w:sz w:val="22"/>
          <w:szCs w:val="24"/>
          <w:lang w:val="es-ES"/>
        </w:rPr>
      </w:pPr>
    </w:p>
    <w:p w14:paraId="0243B2B8" w14:textId="77777777" w:rsidR="00467E24" w:rsidRPr="002B2F4C" w:rsidRDefault="00467E24" w:rsidP="00467E24">
      <w:pPr>
        <w:tabs>
          <w:tab w:val="left" w:pos="284"/>
          <w:tab w:val="left" w:pos="8080"/>
        </w:tabs>
        <w:spacing w:line="360" w:lineRule="auto"/>
        <w:ind w:left="567" w:right="822"/>
        <w:contextualSpacing/>
        <w:jc w:val="both"/>
        <w:rPr>
          <w:rFonts w:ascii="Palatino Linotype" w:eastAsia="Palatino Linotype" w:hAnsi="Palatino Linotype" w:cs="Palatino Linotype"/>
          <w:b/>
          <w:i/>
          <w:sz w:val="22"/>
          <w:szCs w:val="24"/>
          <w:lang w:val="es-ES_tradnl"/>
        </w:rPr>
      </w:pPr>
      <w:r w:rsidRPr="002B2F4C">
        <w:rPr>
          <w:rFonts w:ascii="Palatino Linotype" w:eastAsia="Palatino Linotype" w:hAnsi="Palatino Linotype" w:cs="Palatino Linotype"/>
          <w:b/>
          <w:i/>
          <w:sz w:val="22"/>
          <w:szCs w:val="24"/>
          <w:lang w:val="es-ES_tradnl"/>
        </w:rPr>
        <w:t xml:space="preserve">TERCERO. Notifíquese </w:t>
      </w:r>
      <w:r w:rsidRPr="002B2F4C">
        <w:rPr>
          <w:rFonts w:ascii="Palatino Linotype" w:eastAsia="Palatino Linotype" w:hAnsi="Palatino Linotype" w:cs="Palatino Linotype"/>
          <w:i/>
          <w:sz w:val="22"/>
          <w:szCs w:val="24"/>
          <w:lang w:val="es-ES_tradnl"/>
        </w:rPr>
        <w:t xml:space="preserve">al Titular de la Unidad de Transparencia del </w:t>
      </w:r>
      <w:r w:rsidRPr="002B2F4C">
        <w:rPr>
          <w:rFonts w:ascii="Palatino Linotype" w:eastAsia="Palatino Linotype" w:hAnsi="Palatino Linotype" w:cs="Palatino Linotype"/>
          <w:b/>
          <w:i/>
          <w:sz w:val="22"/>
          <w:szCs w:val="24"/>
          <w:lang w:val="es-ES_tradnl"/>
        </w:rPr>
        <w:t>SUJETO OBLIGADO</w:t>
      </w:r>
      <w:r w:rsidRPr="002B2F4C">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2B2F4C">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A2BFFFA" w14:textId="77777777" w:rsidR="00467E24" w:rsidRPr="002B2F4C" w:rsidRDefault="00467E24" w:rsidP="00467E24">
      <w:pPr>
        <w:shd w:val="clear" w:color="auto" w:fill="FFFFFF"/>
        <w:tabs>
          <w:tab w:val="left" w:pos="284"/>
        </w:tabs>
        <w:spacing w:line="360" w:lineRule="auto"/>
        <w:ind w:left="567" w:right="822"/>
        <w:jc w:val="both"/>
        <w:rPr>
          <w:rFonts w:ascii="Palatino Linotype" w:hAnsi="Palatino Linotype" w:cs="Arial"/>
          <w:b/>
          <w:i/>
          <w:sz w:val="22"/>
          <w:szCs w:val="24"/>
          <w:lang w:val="es-ES_tradnl"/>
        </w:rPr>
      </w:pPr>
    </w:p>
    <w:p w14:paraId="05081070" w14:textId="77777777" w:rsidR="00467E24" w:rsidRPr="002B2F4C"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2B2F4C">
        <w:rPr>
          <w:rFonts w:ascii="Palatino Linotype" w:hAnsi="Palatino Linotype" w:cs="Arial"/>
          <w:b/>
          <w:i/>
          <w:sz w:val="22"/>
          <w:szCs w:val="24"/>
          <w:lang w:val="es-ES_tradnl"/>
        </w:rPr>
        <w:t xml:space="preserve">CUARTO. </w:t>
      </w:r>
      <w:r w:rsidRPr="002B2F4C">
        <w:rPr>
          <w:rFonts w:ascii="Palatino Linotype" w:hAnsi="Palatino Linotype"/>
          <w:b/>
          <w:bCs/>
          <w:i/>
          <w:color w:val="222222"/>
          <w:sz w:val="22"/>
          <w:szCs w:val="24"/>
          <w:lang w:val="es-ES"/>
        </w:rPr>
        <w:t xml:space="preserve">Notifíquese </w:t>
      </w:r>
      <w:r w:rsidRPr="002B2F4C">
        <w:rPr>
          <w:rFonts w:ascii="Palatino Linotype" w:hAnsi="Palatino Linotype"/>
          <w:bCs/>
          <w:i/>
          <w:color w:val="222222"/>
          <w:sz w:val="22"/>
          <w:szCs w:val="24"/>
          <w:lang w:val="es-ES"/>
        </w:rPr>
        <w:t xml:space="preserve">al </w:t>
      </w:r>
      <w:r w:rsidRPr="002B2F4C">
        <w:rPr>
          <w:rFonts w:ascii="Palatino Linotype" w:hAnsi="Palatino Linotype"/>
          <w:b/>
          <w:bCs/>
          <w:i/>
          <w:color w:val="222222"/>
          <w:sz w:val="22"/>
          <w:szCs w:val="24"/>
          <w:lang w:val="es-ES"/>
        </w:rPr>
        <w:t>RECURRENTE</w:t>
      </w:r>
      <w:r w:rsidRPr="002B2F4C">
        <w:rPr>
          <w:rFonts w:ascii="Palatino Linotype" w:hAnsi="Palatino Linotype"/>
          <w:b/>
          <w:i/>
          <w:color w:val="222222"/>
          <w:sz w:val="22"/>
          <w:szCs w:val="24"/>
          <w:lang w:val="es-ES"/>
        </w:rPr>
        <w:t xml:space="preserve"> </w:t>
      </w:r>
      <w:r w:rsidRPr="002B2F4C">
        <w:rPr>
          <w:rFonts w:ascii="Palatino Linotype" w:eastAsiaTheme="minorEastAsia" w:hAnsi="Palatino Linotype"/>
          <w:i/>
          <w:sz w:val="22"/>
          <w:szCs w:val="24"/>
          <w:lang w:val="es-ES_tradnl"/>
        </w:rPr>
        <w:t>la presente resolución</w:t>
      </w:r>
      <w:r w:rsidRPr="002B2F4C">
        <w:rPr>
          <w:rFonts w:ascii="Palatino Linotype" w:eastAsia="MS Mincho" w:hAnsi="Palatino Linotype"/>
          <w:i/>
          <w:sz w:val="22"/>
          <w:szCs w:val="24"/>
          <w:lang w:val="es-ES_tradnl"/>
        </w:rPr>
        <w:t xml:space="preserve"> a través del Sistema de Acceso a la Información Mexiquense (SAIMEX)</w:t>
      </w:r>
    </w:p>
    <w:p w14:paraId="216B5169" w14:textId="77777777" w:rsidR="00467E24" w:rsidRPr="002B2F4C"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14:paraId="2D1EEFE1" w14:textId="77777777" w:rsidR="00467E24" w:rsidRPr="002B2F4C"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2B2F4C">
        <w:rPr>
          <w:rFonts w:ascii="Palatino Linotype" w:eastAsia="MS Mincho" w:hAnsi="Palatino Linotype"/>
          <w:b/>
          <w:i/>
          <w:sz w:val="22"/>
          <w:szCs w:val="24"/>
        </w:rPr>
        <w:t>QUINTO.</w:t>
      </w:r>
      <w:r w:rsidRPr="002B2F4C">
        <w:rPr>
          <w:rFonts w:ascii="Palatino Linotype" w:eastAsia="MS Mincho" w:hAnsi="Palatino Linotype"/>
          <w:i/>
          <w:sz w:val="22"/>
          <w:szCs w:val="24"/>
        </w:rPr>
        <w:t xml:space="preserve"> </w:t>
      </w:r>
      <w:r w:rsidRPr="002B2F4C">
        <w:rPr>
          <w:rFonts w:ascii="Palatino Linotype" w:eastAsia="MS Mincho" w:hAnsi="Palatino Linotype"/>
          <w:i/>
          <w:sz w:val="22"/>
          <w:szCs w:val="24"/>
          <w:lang w:val="es-ES"/>
        </w:rPr>
        <w:t>Se hace del conocimiento del</w:t>
      </w:r>
      <w:r w:rsidRPr="002B2F4C">
        <w:rPr>
          <w:rFonts w:ascii="Palatino Linotype" w:eastAsiaTheme="minorEastAsia" w:hAnsi="Palatino Linotype"/>
          <w:b/>
          <w:i/>
          <w:sz w:val="22"/>
          <w:szCs w:val="24"/>
          <w:lang w:val="es-ES_tradnl"/>
        </w:rPr>
        <w:t xml:space="preserve"> RECURRENTE </w:t>
      </w:r>
      <w:r w:rsidRPr="002B2F4C">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B2F4C">
        <w:rPr>
          <w:rFonts w:ascii="Palatino Linotype" w:eastAsia="MS Mincho" w:hAnsi="Palatino Linotype"/>
          <w:bCs/>
          <w:i/>
          <w:sz w:val="22"/>
          <w:szCs w:val="24"/>
          <w:lang w:val="es-ES"/>
        </w:rPr>
        <w:t>vía juicio de amparo</w:t>
      </w:r>
      <w:r w:rsidRPr="002B2F4C">
        <w:rPr>
          <w:rFonts w:ascii="Palatino Linotype" w:eastAsia="MS Mincho" w:hAnsi="Palatino Linotype"/>
          <w:i/>
          <w:sz w:val="22"/>
          <w:szCs w:val="24"/>
          <w:lang w:val="es-ES"/>
        </w:rPr>
        <w:t> en los términos de las leyes aplicables.</w:t>
      </w:r>
    </w:p>
    <w:p w14:paraId="16E55033" w14:textId="77777777" w:rsidR="00467E24" w:rsidRPr="002B2F4C"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7642769C" w14:textId="77777777" w:rsidR="00467E24" w:rsidRPr="002B2F4C"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rPr>
      </w:pPr>
      <w:r w:rsidRPr="002B2F4C">
        <w:rPr>
          <w:rFonts w:ascii="Palatino Linotype" w:eastAsia="MS Mincho" w:hAnsi="Palatino Linotype"/>
          <w:b/>
          <w:bCs/>
          <w:i/>
          <w:sz w:val="22"/>
          <w:szCs w:val="24"/>
        </w:rPr>
        <w:lastRenderedPageBreak/>
        <w:t>SEXTO.</w:t>
      </w:r>
      <w:r w:rsidRPr="002B2F4C">
        <w:rPr>
          <w:rFonts w:ascii="Palatino Linotype" w:eastAsia="MS Mincho" w:hAnsi="Palatino Linotype"/>
          <w:bCs/>
          <w:i/>
          <w:sz w:val="22"/>
          <w:szCs w:val="24"/>
        </w:rPr>
        <w:t xml:space="preserve"> Hágase del conocimiento</w:t>
      </w:r>
      <w:r w:rsidRPr="002B2F4C">
        <w:rPr>
          <w:rFonts w:ascii="Palatino Linotype" w:eastAsia="MS Mincho" w:hAnsi="Palatino Linotype"/>
          <w:b/>
          <w:bCs/>
          <w:i/>
          <w:sz w:val="22"/>
          <w:szCs w:val="24"/>
        </w:rPr>
        <w:t> </w:t>
      </w:r>
      <w:r w:rsidRPr="002B2F4C">
        <w:rPr>
          <w:rFonts w:ascii="Palatino Linotype" w:eastAsia="MS Mincho" w:hAnsi="Palatino Linotype"/>
          <w:i/>
          <w:sz w:val="22"/>
          <w:szCs w:val="24"/>
        </w:rPr>
        <w:t>del </w:t>
      </w:r>
      <w:r w:rsidRPr="002B2F4C">
        <w:rPr>
          <w:rFonts w:ascii="Palatino Linotype" w:hAnsi="Palatino Linotype"/>
          <w:b/>
          <w:i/>
          <w:color w:val="222222"/>
          <w:sz w:val="22"/>
          <w:szCs w:val="24"/>
          <w:lang w:val="es-ES"/>
        </w:rPr>
        <w:t>RECURRENTE</w:t>
      </w:r>
      <w:r w:rsidRPr="002B2F4C">
        <w:rPr>
          <w:rFonts w:ascii="Palatino Linotype" w:eastAsia="MS Mincho" w:hAnsi="Palatino Linotype"/>
          <w:b/>
          <w:bCs/>
          <w:i/>
          <w:sz w:val="22"/>
          <w:szCs w:val="24"/>
        </w:rPr>
        <w:t> </w:t>
      </w:r>
      <w:r w:rsidRPr="002B2F4C">
        <w:rPr>
          <w:rFonts w:ascii="Palatino Linotype" w:eastAsia="MS Mincho" w:hAnsi="Palatino Linotype"/>
          <w:i/>
          <w:sz w:val="22"/>
          <w:szCs w:val="24"/>
        </w:rPr>
        <w:t>que la respuesta que dé </w:t>
      </w:r>
      <w:r w:rsidRPr="002B2F4C">
        <w:rPr>
          <w:rFonts w:ascii="Palatino Linotype" w:eastAsia="MS Mincho" w:hAnsi="Palatino Linotype"/>
          <w:b/>
          <w:bCs/>
          <w:i/>
          <w:sz w:val="22"/>
          <w:szCs w:val="24"/>
        </w:rPr>
        <w:t>EL SUJETO OBLIGADO</w:t>
      </w:r>
      <w:r w:rsidRPr="002B2F4C">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ECD46D0" w14:textId="77777777" w:rsidR="00467E24" w:rsidRPr="002B2F4C"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rPr>
      </w:pPr>
    </w:p>
    <w:p w14:paraId="54229B6A" w14:textId="77777777" w:rsidR="00467E24" w:rsidRPr="002B2F4C"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rPr>
      </w:pPr>
      <w:r w:rsidRPr="002B2F4C">
        <w:rPr>
          <w:rFonts w:ascii="Palatino Linotype" w:eastAsia="MS Mincho" w:hAnsi="Palatino Linotype"/>
          <w:b/>
          <w:i/>
          <w:sz w:val="22"/>
          <w:szCs w:val="24"/>
        </w:rPr>
        <w:t>SÉPTIMO</w:t>
      </w:r>
      <w:r w:rsidRPr="002B2F4C">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2B2F4C">
        <w:rPr>
          <w:rFonts w:ascii="Palatino Linotype" w:eastAsia="MS Mincho" w:hAnsi="Palatino Linotype"/>
          <w:b/>
          <w:i/>
          <w:sz w:val="22"/>
          <w:szCs w:val="24"/>
        </w:rPr>
        <w:t xml:space="preserve">al SUJETO OBLIGADO </w:t>
      </w:r>
      <w:r w:rsidRPr="002B2F4C">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4EB1031B" w14:textId="77777777" w:rsidR="00467E24" w:rsidRPr="002B2F4C" w:rsidRDefault="00467E24" w:rsidP="00467E24">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77D0F53A" w14:textId="77777777" w:rsidR="00467E24" w:rsidRPr="002B2F4C" w:rsidRDefault="00467E24" w:rsidP="00467E24">
      <w:pPr>
        <w:tabs>
          <w:tab w:val="left" w:pos="284"/>
        </w:tabs>
        <w:spacing w:line="360" w:lineRule="auto"/>
        <w:ind w:left="567" w:right="822"/>
        <w:jc w:val="both"/>
        <w:rPr>
          <w:rFonts w:ascii="Palatino Linotype" w:eastAsia="MS Mincho" w:hAnsi="Palatino Linotype"/>
          <w:b/>
          <w:i/>
          <w:sz w:val="22"/>
          <w:szCs w:val="24"/>
          <w:lang w:val="es-ES_tradnl"/>
        </w:rPr>
      </w:pPr>
      <w:r w:rsidRPr="002B2F4C">
        <w:rPr>
          <w:rFonts w:ascii="Palatino Linotype" w:eastAsia="MS Mincho" w:hAnsi="Palatino Linotype"/>
          <w:b/>
          <w:i/>
          <w:sz w:val="22"/>
          <w:szCs w:val="24"/>
          <w:lang w:val="es-ES_tradnl"/>
        </w:rPr>
        <w:t xml:space="preserve">OCTAVO. </w:t>
      </w:r>
      <w:r w:rsidRPr="002B2F4C">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B2F4C">
        <w:rPr>
          <w:rFonts w:ascii="Palatino Linotype" w:eastAsia="MS Mincho" w:hAnsi="Palatino Linotype"/>
          <w:b/>
          <w:i/>
          <w:sz w:val="22"/>
          <w:szCs w:val="24"/>
          <w:lang w:val="es-ES_tradnl"/>
        </w:rPr>
        <w:t>Considerando SEXTO.</w:t>
      </w:r>
    </w:p>
    <w:p w14:paraId="56409618" w14:textId="77777777" w:rsidR="00467E24" w:rsidRPr="002B2F4C" w:rsidRDefault="00467E24" w:rsidP="00467E24">
      <w:pPr>
        <w:pStyle w:val="Prrafodelista"/>
        <w:rPr>
          <w:rFonts w:ascii="Palatino Linotype" w:eastAsia="Calibri" w:hAnsi="Palatino Linotype" w:cs="Arial"/>
          <w:sz w:val="24"/>
          <w:lang w:val="es-ES"/>
        </w:rPr>
      </w:pPr>
    </w:p>
    <w:p w14:paraId="25A3CA71" w14:textId="77777777" w:rsidR="00467E24" w:rsidRPr="002B2F4C"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2B2F4C">
        <w:rPr>
          <w:rFonts w:ascii="Palatino Linotype" w:hAnsi="Palatino Linotype" w:cs="Tahoma"/>
          <w:sz w:val="24"/>
        </w:rPr>
        <w:t>De las constancias que obran en el expediente electrónico del SAIMEX, se puede advertir que el Sujeto Obligado entregó los siguientes documentos electrónicos:</w:t>
      </w:r>
    </w:p>
    <w:p w14:paraId="0ED130FF" w14:textId="77777777" w:rsidR="00467E24" w:rsidRPr="002B2F4C" w:rsidRDefault="00467E24" w:rsidP="00467E24">
      <w:pPr>
        <w:pStyle w:val="Prrafodelista"/>
        <w:spacing w:line="360" w:lineRule="auto"/>
        <w:ind w:left="0"/>
        <w:jc w:val="both"/>
        <w:rPr>
          <w:rFonts w:ascii="Palatino Linotype" w:hAnsi="Palatino Linotype" w:cs="Tahoma"/>
          <w:sz w:val="24"/>
        </w:rPr>
      </w:pPr>
    </w:p>
    <w:p w14:paraId="476E08C9" w14:textId="2F96E897" w:rsidR="00467E24" w:rsidRPr="002B2F4C" w:rsidRDefault="00467E24" w:rsidP="00E216AD">
      <w:pPr>
        <w:pStyle w:val="Prrafodelista"/>
        <w:numPr>
          <w:ilvl w:val="0"/>
          <w:numId w:val="7"/>
        </w:numPr>
        <w:spacing w:line="360" w:lineRule="auto"/>
        <w:jc w:val="both"/>
        <w:rPr>
          <w:rFonts w:ascii="Palatino Linotype" w:hAnsi="Palatino Linotype" w:cs="Tahoma"/>
          <w:sz w:val="24"/>
        </w:rPr>
      </w:pPr>
      <w:r w:rsidRPr="002B2F4C">
        <w:rPr>
          <w:rFonts w:ascii="Palatino Linotype" w:hAnsi="Palatino Linotype" w:cs="Tahoma"/>
          <w:b/>
          <w:sz w:val="24"/>
        </w:rPr>
        <w:t xml:space="preserve">CV 2021 </w:t>
      </w:r>
      <w:proofErr w:type="spellStart"/>
      <w:r w:rsidRPr="002B2F4C">
        <w:rPr>
          <w:rFonts w:ascii="Palatino Linotype" w:hAnsi="Palatino Linotype" w:cs="Tahoma"/>
          <w:b/>
          <w:sz w:val="24"/>
        </w:rPr>
        <w:t>vp</w:t>
      </w:r>
      <w:proofErr w:type="spellEnd"/>
      <w:r w:rsidRPr="002B2F4C">
        <w:rPr>
          <w:rFonts w:ascii="Palatino Linotype" w:hAnsi="Palatino Linotype" w:cs="Tahoma"/>
          <w:b/>
          <w:sz w:val="24"/>
        </w:rPr>
        <w:t xml:space="preserve"> ok.pdf</w:t>
      </w:r>
      <w:r w:rsidRPr="002B2F4C">
        <w:rPr>
          <w:rFonts w:ascii="Palatino Linotype" w:hAnsi="Palatino Linotype" w:cs="Tahoma"/>
          <w:sz w:val="24"/>
        </w:rPr>
        <w:t>: Documento que se integra por 54 páginas que contienen diversos currículums vitae en versión pública.</w:t>
      </w:r>
    </w:p>
    <w:p w14:paraId="7C9D0A09" w14:textId="77777777" w:rsidR="00467E24" w:rsidRPr="002B2F4C" w:rsidRDefault="00467E24" w:rsidP="00467E24">
      <w:pPr>
        <w:pStyle w:val="Prrafodelista"/>
        <w:spacing w:line="360" w:lineRule="auto"/>
        <w:jc w:val="both"/>
        <w:rPr>
          <w:rFonts w:ascii="Palatino Linotype" w:hAnsi="Palatino Linotype" w:cs="Tahoma"/>
          <w:sz w:val="24"/>
        </w:rPr>
      </w:pPr>
    </w:p>
    <w:p w14:paraId="6353DB89" w14:textId="23DB7B65" w:rsidR="00467E24" w:rsidRPr="002B2F4C" w:rsidRDefault="00467E24" w:rsidP="00E216AD">
      <w:pPr>
        <w:pStyle w:val="Prrafodelista"/>
        <w:numPr>
          <w:ilvl w:val="0"/>
          <w:numId w:val="7"/>
        </w:numPr>
        <w:spacing w:line="360" w:lineRule="auto"/>
        <w:jc w:val="both"/>
        <w:rPr>
          <w:rFonts w:ascii="Palatino Linotype" w:hAnsi="Palatino Linotype" w:cs="Tahoma"/>
          <w:sz w:val="24"/>
        </w:rPr>
      </w:pPr>
      <w:r w:rsidRPr="002B2F4C">
        <w:rPr>
          <w:rFonts w:ascii="Palatino Linotype" w:hAnsi="Palatino Linotype" w:cs="Tahoma"/>
          <w:b/>
          <w:sz w:val="24"/>
        </w:rPr>
        <w:lastRenderedPageBreak/>
        <w:t xml:space="preserve">CV 2022 vp.pdf: </w:t>
      </w:r>
      <w:r w:rsidRPr="002B2F4C">
        <w:rPr>
          <w:rFonts w:ascii="Palatino Linotype" w:hAnsi="Palatino Linotype" w:cs="Tahoma"/>
          <w:sz w:val="24"/>
        </w:rPr>
        <w:t>Documento integrado por 60 páginas que contienen diversos currículums vitae.</w:t>
      </w:r>
    </w:p>
    <w:p w14:paraId="361994C1" w14:textId="77777777" w:rsidR="00467E24" w:rsidRPr="002B2F4C" w:rsidRDefault="00467E24" w:rsidP="00467E24">
      <w:pPr>
        <w:pStyle w:val="Prrafodelista"/>
        <w:rPr>
          <w:rFonts w:ascii="Palatino Linotype" w:hAnsi="Palatino Linotype" w:cs="Tahoma"/>
          <w:sz w:val="24"/>
        </w:rPr>
      </w:pPr>
    </w:p>
    <w:p w14:paraId="231A12C7" w14:textId="135375CF" w:rsidR="00467E24" w:rsidRPr="002B2F4C" w:rsidRDefault="00467E24" w:rsidP="00E216AD">
      <w:pPr>
        <w:pStyle w:val="Prrafodelista"/>
        <w:numPr>
          <w:ilvl w:val="0"/>
          <w:numId w:val="7"/>
        </w:numPr>
        <w:spacing w:line="360" w:lineRule="auto"/>
        <w:jc w:val="both"/>
        <w:rPr>
          <w:rFonts w:ascii="Palatino Linotype" w:hAnsi="Palatino Linotype" w:cs="Tahoma"/>
          <w:sz w:val="24"/>
        </w:rPr>
      </w:pPr>
      <w:r w:rsidRPr="002B2F4C">
        <w:rPr>
          <w:rFonts w:ascii="Palatino Linotype" w:hAnsi="Palatino Linotype" w:cs="Tahoma"/>
          <w:b/>
          <w:sz w:val="24"/>
        </w:rPr>
        <w:t>RR 12543 SOLIC 3573 IMCUFIDEM.PDF:</w:t>
      </w:r>
      <w:r w:rsidRPr="002B2F4C">
        <w:rPr>
          <w:rFonts w:ascii="Palatino Linotype" w:hAnsi="Palatino Linotype" w:cs="Tahoma"/>
          <w:sz w:val="24"/>
        </w:rPr>
        <w:t xml:space="preserve"> Oficio IMCUFIDEM/1152/2022 suscrito por el Coordinador General del Instituto Municipal de Cultura Física y Deporte mediante el cual </w:t>
      </w:r>
      <w:r w:rsidR="00CD71B7" w:rsidRPr="002B2F4C">
        <w:rPr>
          <w:rFonts w:ascii="Palatino Linotype" w:hAnsi="Palatino Linotype" w:cs="Tahoma"/>
          <w:sz w:val="24"/>
        </w:rPr>
        <w:t>refiere que los documentos contienen datos personales por lo que solicita al Comité de Transparencia realice las versiones públicas y clasifique la información como confidencial.</w:t>
      </w:r>
    </w:p>
    <w:p w14:paraId="0CB08E7B" w14:textId="77777777" w:rsidR="00CD71B7" w:rsidRPr="002B2F4C" w:rsidRDefault="00CD71B7" w:rsidP="00CD71B7">
      <w:pPr>
        <w:pStyle w:val="Prrafodelista"/>
        <w:rPr>
          <w:rFonts w:ascii="Palatino Linotype" w:hAnsi="Palatino Linotype" w:cs="Tahoma"/>
          <w:sz w:val="24"/>
        </w:rPr>
      </w:pPr>
    </w:p>
    <w:p w14:paraId="6FFD650E" w14:textId="1B588634" w:rsidR="00467E24" w:rsidRPr="002B2F4C" w:rsidRDefault="00467E24" w:rsidP="00E216AD">
      <w:pPr>
        <w:pStyle w:val="Prrafodelista"/>
        <w:numPr>
          <w:ilvl w:val="0"/>
          <w:numId w:val="6"/>
        </w:numPr>
        <w:spacing w:line="360" w:lineRule="auto"/>
        <w:ind w:left="851"/>
        <w:jc w:val="both"/>
        <w:rPr>
          <w:rFonts w:ascii="Palatino Linotype" w:hAnsi="Palatino Linotype" w:cs="Tahoma"/>
          <w:sz w:val="24"/>
        </w:rPr>
      </w:pPr>
      <w:r w:rsidRPr="002B2F4C">
        <w:rPr>
          <w:rFonts w:ascii="Palatino Linotype" w:hAnsi="Palatino Linotype" w:cs="Tahoma"/>
          <w:b/>
          <w:sz w:val="24"/>
        </w:rPr>
        <w:t xml:space="preserve">Acta 50 </w:t>
      </w:r>
      <w:proofErr w:type="spellStart"/>
      <w:r w:rsidRPr="002B2F4C">
        <w:rPr>
          <w:rFonts w:ascii="Palatino Linotype" w:hAnsi="Palatino Linotype" w:cs="Tahoma"/>
          <w:b/>
          <w:sz w:val="24"/>
        </w:rPr>
        <w:t>Sesión</w:t>
      </w:r>
      <w:proofErr w:type="spellEnd"/>
      <w:r w:rsidRPr="002B2F4C">
        <w:rPr>
          <w:rFonts w:ascii="Palatino Linotype" w:hAnsi="Palatino Linotype" w:cs="Tahoma"/>
          <w:b/>
          <w:sz w:val="24"/>
        </w:rPr>
        <w:t xml:space="preserve"> Ext. FINAL.pdf</w:t>
      </w:r>
      <w:r w:rsidR="00CD71B7" w:rsidRPr="002B2F4C">
        <w:rPr>
          <w:rFonts w:ascii="Palatino Linotype" w:hAnsi="Palatino Linotype" w:cs="Tahoma"/>
          <w:b/>
          <w:sz w:val="24"/>
        </w:rPr>
        <w:t>:</w:t>
      </w:r>
      <w:r w:rsidR="00CD71B7" w:rsidRPr="002B2F4C">
        <w:rPr>
          <w:rFonts w:ascii="Palatino Linotype" w:hAnsi="Palatino Linotype" w:cs="Tahoma"/>
          <w:sz w:val="24"/>
        </w:rPr>
        <w:t xml:space="preserve"> Acta de la Quincuagésima sesión extraordinaria del Comité de Transparencia del Ayuntamiento de Metepec que sustenta las versiones públicas de los currículums vitae </w:t>
      </w:r>
      <w:r w:rsidR="006411BB" w:rsidRPr="002B2F4C">
        <w:rPr>
          <w:rFonts w:ascii="Palatino Linotype" w:hAnsi="Palatino Linotype" w:cs="Tahoma"/>
          <w:sz w:val="24"/>
        </w:rPr>
        <w:t>proporcionadas</w:t>
      </w:r>
      <w:r w:rsidR="00CD71B7" w:rsidRPr="002B2F4C">
        <w:rPr>
          <w:rFonts w:ascii="Palatino Linotype" w:hAnsi="Palatino Linotype" w:cs="Tahoma"/>
          <w:sz w:val="24"/>
        </w:rPr>
        <w:t>, conforme al punto 3 del orden del día.</w:t>
      </w:r>
    </w:p>
    <w:p w14:paraId="68E7D7BB" w14:textId="77777777" w:rsidR="00467E24" w:rsidRPr="002B2F4C" w:rsidRDefault="00467E24" w:rsidP="00467E24">
      <w:pPr>
        <w:pStyle w:val="Prrafodelista"/>
        <w:spacing w:line="360" w:lineRule="auto"/>
        <w:ind w:left="851"/>
        <w:jc w:val="both"/>
        <w:rPr>
          <w:rFonts w:ascii="Palatino Linotype" w:hAnsi="Palatino Linotype" w:cs="Tahoma"/>
          <w:sz w:val="24"/>
        </w:rPr>
      </w:pPr>
    </w:p>
    <w:p w14:paraId="66F21945" w14:textId="4F660875" w:rsidR="00CD71B7" w:rsidRPr="002B2F4C" w:rsidRDefault="00467E24" w:rsidP="00CD71B7">
      <w:pPr>
        <w:pStyle w:val="Prrafodelista"/>
        <w:numPr>
          <w:ilvl w:val="0"/>
          <w:numId w:val="3"/>
        </w:numPr>
        <w:spacing w:line="360" w:lineRule="auto"/>
        <w:ind w:left="0" w:firstLine="0"/>
        <w:jc w:val="both"/>
        <w:rPr>
          <w:rFonts w:ascii="Palatino Linotype" w:hAnsi="Palatino Linotype" w:cs="Tahoma"/>
          <w:sz w:val="24"/>
        </w:rPr>
      </w:pPr>
      <w:r w:rsidRPr="002B2F4C">
        <w:rPr>
          <w:rFonts w:ascii="Palatino Linotype" w:hAnsi="Palatino Linotype" w:cs="Tahoma"/>
          <w:sz w:val="24"/>
        </w:rPr>
        <w:t xml:space="preserve">En fecha </w:t>
      </w:r>
      <w:r w:rsidR="00CD71B7" w:rsidRPr="002B2F4C">
        <w:rPr>
          <w:rFonts w:ascii="Palatino Linotype" w:hAnsi="Palatino Linotype" w:cs="Tahoma"/>
          <w:sz w:val="24"/>
        </w:rPr>
        <w:t xml:space="preserve">veintiuno </w:t>
      </w:r>
      <w:r w:rsidRPr="002B2F4C">
        <w:rPr>
          <w:rFonts w:ascii="Palatino Linotype" w:hAnsi="Palatino Linotype" w:cs="Tahoma"/>
          <w:sz w:val="24"/>
        </w:rPr>
        <w:t>(</w:t>
      </w:r>
      <w:r w:rsidR="00CD71B7" w:rsidRPr="002B2F4C">
        <w:rPr>
          <w:rFonts w:ascii="Palatino Linotype" w:hAnsi="Palatino Linotype" w:cs="Tahoma"/>
          <w:sz w:val="24"/>
        </w:rPr>
        <w:t>21</w:t>
      </w:r>
      <w:r w:rsidRPr="002B2F4C">
        <w:rPr>
          <w:rFonts w:ascii="Palatino Linotype" w:hAnsi="Palatino Linotype" w:cs="Tahoma"/>
          <w:sz w:val="24"/>
        </w:rPr>
        <w:t xml:space="preserve">) de </w:t>
      </w:r>
      <w:r w:rsidR="00CD71B7" w:rsidRPr="002B2F4C">
        <w:rPr>
          <w:rFonts w:ascii="Palatino Linotype" w:hAnsi="Palatino Linotype" w:cs="Tahoma"/>
          <w:sz w:val="24"/>
        </w:rPr>
        <w:t xml:space="preserve">octubre </w:t>
      </w:r>
      <w:r w:rsidRPr="002B2F4C">
        <w:rPr>
          <w:rFonts w:ascii="Palatino Linotype" w:hAnsi="Palatino Linotype" w:cs="Tahoma"/>
          <w:sz w:val="24"/>
        </w:rPr>
        <w:t xml:space="preserve">de dos mil veintidós, </w:t>
      </w:r>
      <w:r w:rsidR="00CD71B7" w:rsidRPr="002B2F4C">
        <w:rPr>
          <w:rFonts w:ascii="Palatino Linotype" w:hAnsi="Palatino Linotype" w:cs="Tahoma"/>
          <w:sz w:val="24"/>
        </w:rPr>
        <w:t xml:space="preserve">el Director de Transparencia y Gobierno Abierto, a través del oficio </w:t>
      </w:r>
      <w:proofErr w:type="spellStart"/>
      <w:r w:rsidR="00CD71B7" w:rsidRPr="002B2F4C">
        <w:rPr>
          <w:rFonts w:ascii="Palatino Linotype" w:hAnsi="Palatino Linotype" w:cs="Tahoma"/>
          <w:sz w:val="24"/>
        </w:rPr>
        <w:t>DTyGA</w:t>
      </w:r>
      <w:proofErr w:type="spellEnd"/>
      <w:r w:rsidR="00CD71B7" w:rsidRPr="002B2F4C">
        <w:rPr>
          <w:rFonts w:ascii="Palatino Linotype" w:hAnsi="Palatino Linotype" w:cs="Tahoma"/>
          <w:sz w:val="24"/>
        </w:rPr>
        <w:t>/MET/3433/2022 determinó que el Ayuntamiento de Metepec “ha dado tota y cabal cumplimiento a la resolución antes referida”</w:t>
      </w:r>
    </w:p>
    <w:p w14:paraId="348C57D3" w14:textId="77777777" w:rsidR="00467E24" w:rsidRPr="002B2F4C" w:rsidRDefault="00467E24" w:rsidP="00467E24">
      <w:pPr>
        <w:pStyle w:val="Prrafodelista"/>
        <w:spacing w:line="360" w:lineRule="auto"/>
        <w:ind w:left="0"/>
        <w:jc w:val="both"/>
        <w:rPr>
          <w:rFonts w:ascii="Palatino Linotype" w:hAnsi="Palatino Linotype" w:cs="Tahoma"/>
          <w:sz w:val="24"/>
        </w:rPr>
      </w:pPr>
    </w:p>
    <w:p w14:paraId="07121C09" w14:textId="5A2848C7" w:rsidR="00467E24" w:rsidRPr="002B2F4C"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2B2F4C">
        <w:rPr>
          <w:rFonts w:ascii="Palatino Linotype" w:hAnsi="Palatino Linotype" w:cs="Tahoma"/>
          <w:sz w:val="24"/>
        </w:rPr>
        <w:t xml:space="preserve">El </w:t>
      </w:r>
      <w:r w:rsidR="00CD71B7" w:rsidRPr="002B2F4C">
        <w:rPr>
          <w:rFonts w:ascii="Palatino Linotype" w:hAnsi="Palatino Linotype" w:cs="Tahoma"/>
          <w:sz w:val="24"/>
        </w:rPr>
        <w:t>veintiuno (21) de octubre de dos mil veintidós</w:t>
      </w:r>
      <w:r w:rsidRPr="002B2F4C">
        <w:rPr>
          <w:rFonts w:ascii="Palatino Linotype" w:hAnsi="Palatino Linotype" w:cs="Tahoma"/>
          <w:sz w:val="24"/>
        </w:rPr>
        <w:t xml:space="preserve">, </w:t>
      </w:r>
      <w:r w:rsidRPr="002B2F4C">
        <w:rPr>
          <w:rFonts w:ascii="Palatino Linotype" w:hAnsi="Palatino Linotype"/>
          <w:sz w:val="24"/>
        </w:rPr>
        <w:t>el Particular interpuso</w:t>
      </w:r>
      <w:r w:rsidRPr="002B2F4C">
        <w:rPr>
          <w:rFonts w:ascii="Palatino Linotype" w:hAnsi="Palatino Linotype"/>
          <w:sz w:val="28"/>
        </w:rPr>
        <w:t xml:space="preserve"> </w:t>
      </w:r>
      <w:r w:rsidRPr="002B2F4C">
        <w:rPr>
          <w:rFonts w:ascii="Palatino Linotype" w:hAnsi="Palatino Linotype"/>
          <w:sz w:val="24"/>
        </w:rPr>
        <w:t>el medio de impugnación en estudio indicando como acto impugnado y razones o motivos de inconformidad lo que a continuación se transcribe:</w:t>
      </w:r>
    </w:p>
    <w:p w14:paraId="5CCA4BB3" w14:textId="77777777" w:rsidR="00467E24" w:rsidRPr="002B2F4C" w:rsidRDefault="00467E24" w:rsidP="00467E24">
      <w:pPr>
        <w:pStyle w:val="Prrafodelista"/>
        <w:spacing w:line="360" w:lineRule="auto"/>
        <w:ind w:left="0"/>
        <w:jc w:val="both"/>
        <w:rPr>
          <w:rFonts w:ascii="Palatino Linotype" w:hAnsi="Palatino Linotype" w:cs="Tahoma"/>
          <w:sz w:val="24"/>
        </w:rPr>
      </w:pPr>
    </w:p>
    <w:p w14:paraId="57C70857" w14:textId="245CCF58" w:rsidR="00467E24" w:rsidRPr="002B2F4C" w:rsidRDefault="00467E24" w:rsidP="00E216AD">
      <w:pPr>
        <w:pStyle w:val="Prrafodelista"/>
        <w:numPr>
          <w:ilvl w:val="0"/>
          <w:numId w:val="5"/>
        </w:numPr>
        <w:jc w:val="both"/>
        <w:rPr>
          <w:rFonts w:ascii="Palatino Linotype" w:hAnsi="Palatino Linotype"/>
          <w:sz w:val="24"/>
          <w:lang w:eastAsia="es-MX"/>
        </w:rPr>
      </w:pPr>
      <w:r w:rsidRPr="002B2F4C">
        <w:rPr>
          <w:rFonts w:ascii="Palatino Linotype" w:hAnsi="Palatino Linotype" w:cs="Tahoma"/>
          <w:b/>
          <w:sz w:val="24"/>
        </w:rPr>
        <w:lastRenderedPageBreak/>
        <w:t>Acto impugnado</w:t>
      </w:r>
      <w:r w:rsidRPr="002B2F4C">
        <w:rPr>
          <w:rFonts w:ascii="Palatino Linotype" w:hAnsi="Palatino Linotype" w:cs="Tahoma"/>
          <w:sz w:val="24"/>
        </w:rPr>
        <w:t xml:space="preserve"> “</w:t>
      </w:r>
      <w:r w:rsidR="00CD71B7" w:rsidRPr="002B2F4C">
        <w:rPr>
          <w:rFonts w:ascii="Palatino Linotype" w:hAnsi="Palatino Linotype"/>
          <w:i/>
          <w:lang w:eastAsia="es-MX"/>
        </w:rPr>
        <w:t>la respuesta del sujeto obligado</w:t>
      </w:r>
      <w:r w:rsidRPr="002B2F4C">
        <w:rPr>
          <w:rFonts w:ascii="Palatino Linotype" w:hAnsi="Palatino Linotype"/>
          <w:i/>
          <w:lang w:eastAsia="es-MX"/>
        </w:rPr>
        <w:t>”</w:t>
      </w:r>
      <w:r w:rsidRPr="002B2F4C">
        <w:rPr>
          <w:rFonts w:ascii="Palatino Linotype" w:hAnsi="Palatino Linotype"/>
          <w:lang w:eastAsia="es-MX"/>
        </w:rPr>
        <w:t xml:space="preserve"> </w:t>
      </w:r>
    </w:p>
    <w:p w14:paraId="0997C42E" w14:textId="77777777" w:rsidR="00467E24" w:rsidRPr="002B2F4C" w:rsidRDefault="00467E24" w:rsidP="00467E24">
      <w:pPr>
        <w:jc w:val="both"/>
        <w:rPr>
          <w:rFonts w:ascii="Palatino Linotype" w:hAnsi="Palatino Linotype"/>
          <w:sz w:val="24"/>
          <w:szCs w:val="24"/>
          <w:lang w:eastAsia="es-MX"/>
        </w:rPr>
      </w:pPr>
    </w:p>
    <w:p w14:paraId="1E4DD2A2" w14:textId="40C3B4AC" w:rsidR="00467E24" w:rsidRPr="002B2F4C" w:rsidRDefault="00467E24" w:rsidP="00E216AD">
      <w:pPr>
        <w:pStyle w:val="Prrafodelista"/>
        <w:numPr>
          <w:ilvl w:val="0"/>
          <w:numId w:val="5"/>
        </w:numPr>
        <w:jc w:val="both"/>
        <w:rPr>
          <w:rFonts w:ascii="Palatino Linotype" w:hAnsi="Palatino Linotype"/>
          <w:sz w:val="24"/>
          <w:lang w:eastAsia="es-MX"/>
        </w:rPr>
      </w:pPr>
      <w:r w:rsidRPr="002B2F4C">
        <w:rPr>
          <w:rFonts w:ascii="Palatino Linotype" w:hAnsi="Palatino Linotype"/>
          <w:b/>
          <w:sz w:val="24"/>
          <w:lang w:eastAsia="es-MX"/>
        </w:rPr>
        <w:t>Razones o motivos de la inconformidad</w:t>
      </w:r>
      <w:r w:rsidRPr="002B2F4C">
        <w:rPr>
          <w:rFonts w:ascii="Palatino Linotype" w:hAnsi="Palatino Linotype"/>
          <w:sz w:val="24"/>
          <w:lang w:eastAsia="es-MX"/>
        </w:rPr>
        <w:t xml:space="preserve"> “</w:t>
      </w:r>
      <w:r w:rsidR="00CD71B7" w:rsidRPr="002B2F4C">
        <w:rPr>
          <w:rFonts w:ascii="Palatino Linotype" w:hAnsi="Palatino Linotype"/>
          <w:i/>
          <w:lang w:eastAsia="es-MX"/>
        </w:rPr>
        <w:t xml:space="preserve">la respuesta del sujeto obligado </w:t>
      </w:r>
      <w:proofErr w:type="spellStart"/>
      <w:r w:rsidR="00CD71B7" w:rsidRPr="002B2F4C">
        <w:rPr>
          <w:rFonts w:ascii="Palatino Linotype" w:hAnsi="Palatino Linotype"/>
          <w:i/>
          <w:lang w:eastAsia="es-MX"/>
        </w:rPr>
        <w:t>esta</w:t>
      </w:r>
      <w:proofErr w:type="spellEnd"/>
      <w:r w:rsidR="00CD71B7" w:rsidRPr="002B2F4C">
        <w:rPr>
          <w:rFonts w:ascii="Palatino Linotype" w:hAnsi="Palatino Linotype"/>
          <w:i/>
          <w:lang w:eastAsia="es-MX"/>
        </w:rPr>
        <w:t xml:space="preserve"> repleta de inconsistencias, no protege los datos personales deja visible pasatiempos del trabajador, capacidades y aptitudes de los trabajadores, referencias laborales, referencias personales y sus teléfonos, sueldos anteriores, nacionalidad, etc.</w:t>
      </w:r>
      <w:r w:rsidRPr="002B2F4C">
        <w:rPr>
          <w:rFonts w:ascii="Palatino Linotype" w:hAnsi="Palatino Linotype"/>
          <w:sz w:val="24"/>
          <w:lang w:eastAsia="es-MX"/>
        </w:rPr>
        <w:t>”</w:t>
      </w:r>
    </w:p>
    <w:p w14:paraId="2A9653FD" w14:textId="77777777" w:rsidR="00467E24" w:rsidRPr="002B2F4C" w:rsidRDefault="00467E24" w:rsidP="00467E24">
      <w:pPr>
        <w:pStyle w:val="Prrafodelista"/>
        <w:spacing w:line="360" w:lineRule="auto"/>
        <w:ind w:left="0"/>
        <w:jc w:val="both"/>
        <w:rPr>
          <w:rFonts w:ascii="Palatino Linotype" w:hAnsi="Palatino Linotype" w:cs="Tahoma"/>
          <w:sz w:val="24"/>
        </w:rPr>
      </w:pPr>
    </w:p>
    <w:p w14:paraId="6420E128" w14:textId="6119F1CB" w:rsidR="00467E24" w:rsidRPr="002B2F4C"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B2F4C">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CD71B7" w:rsidRPr="002B2F4C">
        <w:rPr>
          <w:rFonts w:ascii="Palatino Linotype" w:eastAsia="Calibri" w:hAnsi="Palatino Linotype" w:cs="Arial"/>
          <w:sz w:val="24"/>
          <w:lang w:val="es-ES"/>
        </w:rPr>
        <w:t>veintiséis</w:t>
      </w:r>
      <w:r w:rsidRPr="002B2F4C">
        <w:rPr>
          <w:rFonts w:ascii="Palatino Linotype" w:eastAsia="Calibri" w:hAnsi="Palatino Linotype" w:cs="Arial"/>
          <w:sz w:val="24"/>
          <w:lang w:val="es-ES"/>
        </w:rPr>
        <w:t xml:space="preserve"> (</w:t>
      </w:r>
      <w:r w:rsidR="00CD71B7" w:rsidRPr="002B2F4C">
        <w:rPr>
          <w:rFonts w:ascii="Palatino Linotype" w:eastAsia="Calibri" w:hAnsi="Palatino Linotype" w:cs="Arial"/>
          <w:sz w:val="24"/>
          <w:lang w:val="es-ES"/>
        </w:rPr>
        <w:t>26</w:t>
      </w:r>
      <w:r w:rsidRPr="002B2F4C">
        <w:rPr>
          <w:rFonts w:ascii="Palatino Linotype" w:eastAsia="Calibri" w:hAnsi="Palatino Linotype" w:cs="Arial"/>
          <w:sz w:val="24"/>
          <w:lang w:val="es-ES"/>
        </w:rPr>
        <w:t xml:space="preserve">) de </w:t>
      </w:r>
      <w:r w:rsidR="00CD71B7" w:rsidRPr="002B2F4C">
        <w:rPr>
          <w:rFonts w:ascii="Palatino Linotype" w:eastAsia="Calibri" w:hAnsi="Palatino Linotype" w:cs="Arial"/>
          <w:sz w:val="24"/>
          <w:lang w:val="es-ES"/>
        </w:rPr>
        <w:t>octubre</w:t>
      </w:r>
      <w:r w:rsidRPr="002B2F4C">
        <w:rPr>
          <w:rFonts w:ascii="Palatino Linotype" w:eastAsia="Calibri" w:hAnsi="Palatino Linotype" w:cs="Arial"/>
          <w:sz w:val="24"/>
          <w:lang w:val="es-ES"/>
        </w:rPr>
        <w:t xml:space="preserve"> de dos mil veintidós, puso a disposición de las partes el expediente electrónico </w:t>
      </w:r>
      <w:r w:rsidRPr="002B2F4C">
        <w:rPr>
          <w:rFonts w:ascii="Palatino Linotype" w:eastAsia="Calibri" w:hAnsi="Palatino Linotype" w:cs="Arial"/>
          <w:sz w:val="24"/>
        </w:rPr>
        <w:t xml:space="preserve">vía </w:t>
      </w:r>
      <w:r w:rsidRPr="002B2F4C">
        <w:rPr>
          <w:rFonts w:ascii="Palatino Linotype" w:eastAsia="Calibri" w:hAnsi="Palatino Linotype" w:cs="Arial"/>
          <w:b/>
          <w:sz w:val="24"/>
          <w:lang w:val="es-ES"/>
        </w:rPr>
        <w:t xml:space="preserve">SAIMEX </w:t>
      </w:r>
      <w:r w:rsidRPr="002B2F4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2B2F4C">
        <w:rPr>
          <w:rFonts w:ascii="Palatino Linotype" w:eastAsia="Calibri" w:hAnsi="Palatino Linotype" w:cs="Arial"/>
          <w:b/>
          <w:sz w:val="24"/>
          <w:lang w:val="es-ES"/>
        </w:rPr>
        <w:t>SUJETO OBLIGADO</w:t>
      </w:r>
      <w:r w:rsidRPr="002B2F4C">
        <w:rPr>
          <w:rFonts w:ascii="Palatino Linotype" w:eastAsia="Calibri" w:hAnsi="Palatino Linotype" w:cs="Arial"/>
          <w:sz w:val="24"/>
          <w:lang w:val="es-ES"/>
        </w:rPr>
        <w:t xml:space="preserve"> presentara el informe justificado procedente.</w:t>
      </w:r>
    </w:p>
    <w:p w14:paraId="5C6AA9F9" w14:textId="77777777" w:rsidR="00467E24" w:rsidRPr="002B2F4C" w:rsidRDefault="00467E24" w:rsidP="00467E24">
      <w:pPr>
        <w:pStyle w:val="Prrafodelista"/>
        <w:spacing w:line="360" w:lineRule="auto"/>
        <w:ind w:left="0"/>
        <w:jc w:val="both"/>
        <w:rPr>
          <w:rFonts w:ascii="Palatino Linotype" w:hAnsi="Palatino Linotype" w:cs="Tahoma"/>
          <w:sz w:val="24"/>
        </w:rPr>
      </w:pPr>
    </w:p>
    <w:p w14:paraId="2D5B5486" w14:textId="77777777" w:rsidR="006D3646" w:rsidRPr="002B2F4C" w:rsidRDefault="006D3646" w:rsidP="006D3646">
      <w:pPr>
        <w:pStyle w:val="Prrafodelista"/>
        <w:numPr>
          <w:ilvl w:val="0"/>
          <w:numId w:val="3"/>
        </w:numPr>
        <w:spacing w:line="360" w:lineRule="auto"/>
        <w:ind w:left="0" w:firstLine="0"/>
        <w:jc w:val="both"/>
        <w:rPr>
          <w:rFonts w:ascii="Palatino Linotype" w:hAnsi="Palatino Linotype" w:cs="Tahoma"/>
          <w:sz w:val="24"/>
        </w:rPr>
      </w:pPr>
      <w:r w:rsidRPr="002B2F4C">
        <w:rPr>
          <w:rFonts w:ascii="Palatino Linotype" w:eastAsiaTheme="minorEastAsia" w:hAnsi="Palatino Linotype"/>
          <w:color w:val="000000"/>
          <w:sz w:val="24"/>
          <w:lang w:val="es-ES_tradnl"/>
        </w:rPr>
        <w:t xml:space="preserve">El </w:t>
      </w:r>
      <w:r w:rsidRPr="002B2F4C">
        <w:rPr>
          <w:rFonts w:ascii="Palatino Linotype" w:eastAsiaTheme="minorEastAsia" w:hAnsi="Palatino Linotype"/>
          <w:b/>
          <w:color w:val="000000"/>
          <w:sz w:val="24"/>
          <w:lang w:val="es-ES_tradnl"/>
        </w:rPr>
        <w:t xml:space="preserve">SUJETO OBLIGADO </w:t>
      </w:r>
      <w:r w:rsidRPr="002B2F4C">
        <w:rPr>
          <w:rFonts w:ascii="Palatino Linotype" w:eastAsiaTheme="minorEastAsia" w:hAnsi="Palatino Linotype"/>
          <w:color w:val="000000"/>
          <w:sz w:val="24"/>
          <w:lang w:val="es-ES_tradnl"/>
        </w:rPr>
        <w:t xml:space="preserve">no rindió informe justificado para manifestar lo que a su derecho conviniera; por su parte el </w:t>
      </w:r>
      <w:r w:rsidRPr="002B2F4C">
        <w:rPr>
          <w:rFonts w:ascii="Palatino Linotype" w:eastAsiaTheme="minorEastAsia" w:hAnsi="Palatino Linotype"/>
          <w:b/>
          <w:color w:val="000000"/>
          <w:sz w:val="24"/>
          <w:lang w:val="es-ES_tradnl"/>
        </w:rPr>
        <w:t xml:space="preserve">RECURRENTE </w:t>
      </w:r>
      <w:r w:rsidRPr="002B2F4C">
        <w:rPr>
          <w:rFonts w:ascii="Palatino Linotype" w:eastAsiaTheme="minorEastAsia" w:hAnsi="Palatino Linotype"/>
          <w:color w:val="000000"/>
          <w:sz w:val="24"/>
          <w:lang w:val="es-ES_tradnl"/>
        </w:rPr>
        <w:t xml:space="preserve">no presentó alegatos ni ofreció medios de prueba, según constancias del Sistema de Acceso a la Información Mexiquense </w:t>
      </w:r>
      <w:r w:rsidRPr="002B2F4C">
        <w:rPr>
          <w:rFonts w:ascii="Palatino Linotype" w:eastAsiaTheme="minorEastAsia" w:hAnsi="Palatino Linotype"/>
          <w:b/>
          <w:color w:val="000000"/>
          <w:sz w:val="24"/>
          <w:lang w:val="es-ES_tradnl"/>
        </w:rPr>
        <w:t xml:space="preserve">SAIMEX, </w:t>
      </w:r>
      <w:r w:rsidRPr="002B2F4C">
        <w:rPr>
          <w:rFonts w:ascii="Palatino Linotype" w:eastAsiaTheme="minorEastAsia" w:hAnsi="Palatino Linotype"/>
          <w:bCs/>
          <w:color w:val="000000"/>
          <w:sz w:val="24"/>
          <w:lang w:val="es-ES_tradnl"/>
        </w:rPr>
        <w:t>se inserta imagen de referencia.</w:t>
      </w:r>
    </w:p>
    <w:p w14:paraId="23C65F44" w14:textId="77777777" w:rsidR="006D3646" w:rsidRPr="002B2F4C" w:rsidRDefault="006D3646" w:rsidP="006D3646">
      <w:pPr>
        <w:spacing w:before="240" w:after="240" w:line="360" w:lineRule="auto"/>
        <w:jc w:val="both"/>
        <w:rPr>
          <w:rFonts w:ascii="Palatino Linotype" w:hAnsi="Palatino Linotype"/>
          <w:i/>
          <w:color w:val="000000"/>
          <w:sz w:val="24"/>
        </w:rPr>
      </w:pPr>
      <w:r w:rsidRPr="002B2F4C">
        <w:rPr>
          <w:noProof/>
          <w:lang w:eastAsia="es-MX"/>
        </w:rPr>
        <w:lastRenderedPageBreak/>
        <w:drawing>
          <wp:inline distT="0" distB="0" distL="0" distR="0" wp14:anchorId="581AE7FD" wp14:editId="1B42CADA">
            <wp:extent cx="5753100" cy="1705861"/>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131" t="25359" r="7287" b="29526"/>
                    <a:stretch/>
                  </pic:blipFill>
                  <pic:spPr bwMode="auto">
                    <a:xfrm>
                      <a:off x="0" y="0"/>
                      <a:ext cx="5781538" cy="1714293"/>
                    </a:xfrm>
                    <a:prstGeom prst="rect">
                      <a:avLst/>
                    </a:prstGeom>
                    <a:ln>
                      <a:noFill/>
                    </a:ln>
                    <a:extLst>
                      <a:ext uri="{53640926-AAD7-44D8-BBD7-CCE9431645EC}">
                        <a14:shadowObscured xmlns:a14="http://schemas.microsoft.com/office/drawing/2010/main"/>
                      </a:ext>
                    </a:extLst>
                  </pic:spPr>
                </pic:pic>
              </a:graphicData>
            </a:graphic>
          </wp:inline>
        </w:drawing>
      </w:r>
    </w:p>
    <w:p w14:paraId="4B55319C" w14:textId="4FEF1FD5" w:rsidR="006D3646" w:rsidRPr="002B2F4C" w:rsidRDefault="006D3646" w:rsidP="006D3646">
      <w:pPr>
        <w:pStyle w:val="Prrafodelista"/>
        <w:numPr>
          <w:ilvl w:val="0"/>
          <w:numId w:val="2"/>
        </w:numPr>
        <w:tabs>
          <w:tab w:val="left" w:pos="284"/>
        </w:tabs>
        <w:spacing w:line="360" w:lineRule="auto"/>
        <w:ind w:left="0" w:firstLine="0"/>
        <w:jc w:val="both"/>
        <w:rPr>
          <w:rFonts w:ascii="Palatino Linotype" w:hAnsi="Palatino Linotype" w:cs="Arial"/>
          <w:color w:val="222222"/>
          <w:sz w:val="19"/>
          <w:szCs w:val="19"/>
        </w:rPr>
      </w:pPr>
      <w:r w:rsidRPr="002B2F4C">
        <w:rPr>
          <w:rFonts w:ascii="Palatino Linotype" w:hAnsi="Palatino Linotype" w:cs="Arial"/>
          <w:color w:val="222222"/>
          <w:sz w:val="24"/>
        </w:rPr>
        <w:t xml:space="preserve">Ante la </w:t>
      </w:r>
      <w:proofErr w:type="spellStart"/>
      <w:r w:rsidRPr="002B2F4C">
        <w:rPr>
          <w:rFonts w:ascii="Palatino Linotype" w:hAnsi="Palatino Linotype" w:cs="Arial"/>
          <w:color w:val="222222"/>
          <w:sz w:val="24"/>
        </w:rPr>
        <w:t>la</w:t>
      </w:r>
      <w:proofErr w:type="spellEnd"/>
      <w:r w:rsidRPr="002B2F4C">
        <w:rPr>
          <w:rFonts w:ascii="Palatino Linotype" w:hAnsi="Palatino Linotype" w:cs="Arial"/>
          <w:color w:val="222222"/>
          <w:sz w:val="24"/>
        </w:rPr>
        <w:t xml:space="preserve"> respuesta que ahora se impugna, generando con esta omisión el perjuicio en su </w:t>
      </w:r>
      <w:r w:rsidR="002B2F4C" w:rsidRPr="002B2F4C">
        <w:rPr>
          <w:rFonts w:ascii="Palatino Linotype" w:hAnsi="Palatino Linotype" w:cs="Arial"/>
          <w:color w:val="222222"/>
          <w:sz w:val="24"/>
        </w:rPr>
        <w:t xml:space="preserve">omisión de rendir informe justificado, se tiene que dejó de justificar las razones o motivos que lo llevaron a no emitir </w:t>
      </w:r>
      <w:r w:rsidRPr="002B2F4C">
        <w:rPr>
          <w:rFonts w:ascii="Palatino Linotype" w:hAnsi="Palatino Linotype" w:cs="Arial"/>
          <w:color w:val="222222"/>
          <w:sz w:val="24"/>
        </w:rPr>
        <w:t xml:space="preserve">contra ya que impide que esta Autoridad conozca y resuelva el presente recurso con mayor cautela. </w:t>
      </w:r>
    </w:p>
    <w:p w14:paraId="0741495D" w14:textId="77777777" w:rsidR="006D3646" w:rsidRPr="002B2F4C" w:rsidRDefault="006D3646" w:rsidP="006D3646">
      <w:pPr>
        <w:pStyle w:val="Prrafodelista"/>
        <w:tabs>
          <w:tab w:val="left" w:pos="284"/>
        </w:tabs>
        <w:spacing w:line="360" w:lineRule="auto"/>
        <w:ind w:left="0"/>
        <w:jc w:val="both"/>
        <w:rPr>
          <w:rFonts w:ascii="Palatino Linotype" w:hAnsi="Palatino Linotype" w:cs="Arial"/>
          <w:color w:val="222222"/>
          <w:sz w:val="19"/>
          <w:szCs w:val="19"/>
        </w:rPr>
      </w:pPr>
    </w:p>
    <w:p w14:paraId="1E5D0E42" w14:textId="77777777" w:rsidR="006D3646" w:rsidRPr="002B2F4C" w:rsidRDefault="006D3646" w:rsidP="006D3646">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2B2F4C">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2B2F4C">
        <w:rPr>
          <w:rFonts w:ascii="Palatino Linotype" w:hAnsi="Palatino Linotype" w:cs="Arial"/>
          <w:b/>
          <w:bCs/>
          <w:color w:val="222222"/>
          <w:sz w:val="24"/>
        </w:rPr>
        <w:t>SUJETO OBLIGADO</w:t>
      </w:r>
      <w:r w:rsidRPr="002B2F4C">
        <w:rPr>
          <w:rFonts w:ascii="Palatino Linotype" w:hAnsi="Palatino Linotype" w:cs="Arial"/>
          <w:color w:val="222222"/>
          <w:sz w:val="24"/>
        </w:rPr>
        <w:t> pierda la oportunidad de justificar su falta de respuesta y manifestar lo que a su derecho convenga.</w:t>
      </w:r>
    </w:p>
    <w:p w14:paraId="72F8C99F" w14:textId="77777777" w:rsidR="006D3646" w:rsidRPr="002B2F4C" w:rsidRDefault="006D3646" w:rsidP="006D3646">
      <w:pPr>
        <w:pStyle w:val="Prrafodelista"/>
        <w:spacing w:before="240" w:after="240" w:line="360" w:lineRule="auto"/>
        <w:ind w:left="0"/>
        <w:jc w:val="both"/>
        <w:rPr>
          <w:rFonts w:ascii="Palatino Linotype" w:hAnsi="Palatino Linotype"/>
          <w:i/>
          <w:color w:val="000000"/>
          <w:sz w:val="24"/>
        </w:rPr>
      </w:pPr>
    </w:p>
    <w:p w14:paraId="4D5BDC2F" w14:textId="69B390FE" w:rsidR="006D3646" w:rsidRPr="002B2F4C" w:rsidRDefault="006D3646" w:rsidP="006D3646">
      <w:pPr>
        <w:pStyle w:val="Prrafodelista"/>
        <w:numPr>
          <w:ilvl w:val="0"/>
          <w:numId w:val="3"/>
        </w:numPr>
        <w:spacing w:line="360" w:lineRule="auto"/>
        <w:ind w:left="0" w:firstLine="0"/>
        <w:jc w:val="both"/>
        <w:rPr>
          <w:rFonts w:ascii="Palatino Linotype" w:hAnsi="Palatino Linotype" w:cs="Tahoma"/>
          <w:sz w:val="24"/>
        </w:rPr>
      </w:pPr>
      <w:r w:rsidRPr="002B2F4C">
        <w:rPr>
          <w:rFonts w:ascii="Palatino Linotype" w:eastAsia="Calibri" w:hAnsi="Palatino Linotype" w:cs="Arial"/>
          <w:sz w:val="24"/>
          <w:lang w:val="es-ES"/>
        </w:rPr>
        <w:t>El día veintidós (22) de noviembre de dos mil veintidós, la</w:t>
      </w:r>
      <w:r w:rsidRPr="002B2F4C">
        <w:rPr>
          <w:rFonts w:ascii="Palatino Linotype" w:hAnsi="Palatino Linotype"/>
          <w:sz w:val="24"/>
        </w:rPr>
        <w:t xml:space="preserve"> Comisionada Ponente decretó el cierre de instrucción</w:t>
      </w:r>
      <w:r w:rsidRPr="002B2F4C">
        <w:rPr>
          <w:rFonts w:ascii="Palatino Linotype" w:hAnsi="Palatino Linotype" w:cs="Arial"/>
          <w:sz w:val="24"/>
        </w:rPr>
        <w:t>.</w:t>
      </w:r>
      <w:r w:rsidRPr="002B2F4C">
        <w:rPr>
          <w:rFonts w:ascii="Palatino Linotype" w:hAnsi="Palatino Linotype" w:cs="Tahoma"/>
          <w:sz w:val="24"/>
        </w:rPr>
        <w:t xml:space="preserve"> Por lo que turnó la presente resolución para su aprobación.</w:t>
      </w:r>
    </w:p>
    <w:p w14:paraId="719F267B" w14:textId="77777777" w:rsidR="006D3646" w:rsidRPr="002B2F4C" w:rsidRDefault="006D3646" w:rsidP="006D3646">
      <w:pPr>
        <w:rPr>
          <w:rFonts w:ascii="Palatino Linotype" w:hAnsi="Palatino Linotype" w:cs="Tahoma"/>
          <w:sz w:val="24"/>
        </w:rPr>
      </w:pPr>
    </w:p>
    <w:p w14:paraId="5478C872" w14:textId="77777777" w:rsidR="006D3646" w:rsidRPr="002B2F4C" w:rsidRDefault="006D3646" w:rsidP="006D3646">
      <w:pPr>
        <w:pStyle w:val="Prrafodelista"/>
        <w:spacing w:line="360" w:lineRule="auto"/>
        <w:ind w:left="0"/>
        <w:jc w:val="both"/>
        <w:rPr>
          <w:rFonts w:ascii="Palatino Linotype" w:hAnsi="Palatino Linotype" w:cs="Tahoma"/>
          <w:sz w:val="24"/>
        </w:rPr>
      </w:pPr>
    </w:p>
    <w:p w14:paraId="0F9176A0" w14:textId="77777777" w:rsidR="005000AA" w:rsidRPr="002B2F4C" w:rsidRDefault="005000AA" w:rsidP="005000AA">
      <w:pPr>
        <w:pStyle w:val="Ttulo1"/>
        <w:jc w:val="center"/>
        <w:rPr>
          <w:rFonts w:ascii="Palatino Linotype" w:hAnsi="Palatino Linotype"/>
          <w:b/>
          <w:color w:val="auto"/>
          <w:sz w:val="24"/>
          <w:szCs w:val="24"/>
        </w:rPr>
      </w:pPr>
      <w:bookmarkStart w:id="4" w:name="_Toc87549672"/>
      <w:r w:rsidRPr="002B2F4C">
        <w:rPr>
          <w:rFonts w:ascii="Palatino Linotype" w:hAnsi="Palatino Linotype"/>
          <w:b/>
          <w:color w:val="auto"/>
          <w:sz w:val="24"/>
          <w:szCs w:val="24"/>
        </w:rPr>
        <w:lastRenderedPageBreak/>
        <w:t>CONSIDERANDO</w:t>
      </w:r>
      <w:bookmarkEnd w:id="4"/>
      <w:r w:rsidRPr="002B2F4C">
        <w:rPr>
          <w:rFonts w:ascii="Palatino Linotype" w:hAnsi="Palatino Linotype"/>
          <w:b/>
          <w:color w:val="auto"/>
          <w:sz w:val="24"/>
          <w:szCs w:val="24"/>
        </w:rPr>
        <w:t xml:space="preserve"> </w:t>
      </w:r>
    </w:p>
    <w:p w14:paraId="1058C60B" w14:textId="77777777" w:rsidR="005000AA" w:rsidRPr="002B2F4C" w:rsidRDefault="005000AA" w:rsidP="005000AA">
      <w:pPr>
        <w:pStyle w:val="Ttulo2"/>
        <w:rPr>
          <w:rFonts w:ascii="Palatino Linotype" w:hAnsi="Palatino Linotype"/>
          <w:b/>
          <w:bCs/>
          <w:color w:val="auto"/>
          <w:spacing w:val="60"/>
          <w:sz w:val="24"/>
          <w:szCs w:val="24"/>
          <w:lang w:eastAsia="en-US"/>
        </w:rPr>
      </w:pPr>
      <w:bookmarkStart w:id="5" w:name="_Toc87549673"/>
      <w:r w:rsidRPr="002B2F4C">
        <w:rPr>
          <w:rFonts w:ascii="Palatino Linotype" w:hAnsi="Palatino Linotype"/>
          <w:b/>
          <w:color w:val="auto"/>
          <w:sz w:val="24"/>
          <w:szCs w:val="24"/>
        </w:rPr>
        <w:t>PRIMERO. De la competencia</w:t>
      </w:r>
      <w:bookmarkEnd w:id="5"/>
    </w:p>
    <w:p w14:paraId="38B24DFE" w14:textId="3BFE7192" w:rsidR="005000AA" w:rsidRPr="002B2F4C"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2B2F4C">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B2F4C">
        <w:rPr>
          <w:rFonts w:ascii="Palatino Linotype" w:eastAsia="Calibri" w:hAnsi="Palatino Linotype"/>
          <w:b/>
          <w:sz w:val="24"/>
          <w:lang w:val="es-ES"/>
        </w:rPr>
        <w:t>Constitución Política de los Estados Unidos Mexicanos</w:t>
      </w:r>
      <w:r w:rsidRPr="002B2F4C">
        <w:rPr>
          <w:rFonts w:ascii="Palatino Linotype" w:eastAsia="Calibri" w:hAnsi="Palatino Linotype"/>
          <w:sz w:val="24"/>
          <w:lang w:val="es-ES"/>
        </w:rPr>
        <w:t xml:space="preserve">; 5, párrafos </w:t>
      </w:r>
      <w:r w:rsidRPr="002B2F4C">
        <w:rPr>
          <w:rFonts w:ascii="Palatino Linotype" w:hAnsi="Palatino Linotype" w:cs="Arial"/>
          <w:bCs/>
          <w:color w:val="222222"/>
          <w:sz w:val="24"/>
          <w:lang w:val="es-ES"/>
        </w:rPr>
        <w:t>trigésimo y trigésimo primero fracciones</w:t>
      </w:r>
      <w:r w:rsidRPr="002B2F4C">
        <w:rPr>
          <w:rFonts w:ascii="Palatino Linotype" w:eastAsia="Calibri" w:hAnsi="Palatino Linotype"/>
          <w:sz w:val="24"/>
          <w:lang w:val="es-ES"/>
        </w:rPr>
        <w:t xml:space="preserve"> IV y V de la </w:t>
      </w:r>
      <w:r w:rsidRPr="002B2F4C">
        <w:rPr>
          <w:rFonts w:ascii="Palatino Linotype" w:eastAsia="Calibri" w:hAnsi="Palatino Linotype"/>
          <w:b/>
          <w:sz w:val="24"/>
          <w:lang w:val="es-ES"/>
        </w:rPr>
        <w:t>Constitución Política del Estado Libre y Soberano de México</w:t>
      </w:r>
      <w:r w:rsidRPr="002B2F4C">
        <w:rPr>
          <w:rFonts w:ascii="Palatino Linotype" w:eastAsia="Calibri" w:hAnsi="Palatino Linotype"/>
          <w:sz w:val="24"/>
          <w:lang w:val="es-ES"/>
        </w:rPr>
        <w:t xml:space="preserve">; artículos 1, 2 fracción II, 13, 29, 36 fracciones I y II, 176, 178, 179, 181 párrafo tercero y 185 </w:t>
      </w:r>
      <w:r w:rsidRPr="002B2F4C">
        <w:rPr>
          <w:rFonts w:ascii="Palatino Linotype" w:eastAsia="Calibri" w:hAnsi="Palatino Linotype" w:cs="Arial"/>
          <w:sz w:val="24"/>
          <w:lang w:val="es-ES"/>
        </w:rPr>
        <w:t xml:space="preserve">de la </w:t>
      </w:r>
      <w:r w:rsidRPr="002B2F4C">
        <w:rPr>
          <w:rFonts w:ascii="Palatino Linotype" w:eastAsia="Calibri" w:hAnsi="Palatino Linotype" w:cs="Arial"/>
          <w:b/>
          <w:sz w:val="24"/>
          <w:lang w:val="es-ES"/>
        </w:rPr>
        <w:t>Ley de Transparencia y Acceso a la Información Pública del Estado de México y Municipios</w:t>
      </w:r>
      <w:r w:rsidRPr="002B2F4C">
        <w:rPr>
          <w:rFonts w:ascii="Palatino Linotype" w:eastAsia="Calibri" w:hAnsi="Palatino Linotype" w:cs="Arial"/>
          <w:sz w:val="24"/>
          <w:lang w:val="es-ES"/>
        </w:rPr>
        <w:t xml:space="preserve">; y 7, 9 fracciones I y XXIV, y 11 del </w:t>
      </w:r>
      <w:r w:rsidRPr="002B2F4C">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B2F4C">
        <w:rPr>
          <w:rFonts w:ascii="Palatino Linotype" w:hAnsi="Palatino Linotype"/>
          <w:sz w:val="24"/>
        </w:rPr>
        <w:t>.</w:t>
      </w:r>
    </w:p>
    <w:p w14:paraId="6D296A9A" w14:textId="77777777" w:rsidR="005000AA" w:rsidRPr="002B2F4C" w:rsidRDefault="005000AA" w:rsidP="005000AA">
      <w:pPr>
        <w:pStyle w:val="Ttulo2"/>
        <w:rPr>
          <w:rFonts w:ascii="Palatino Linotype" w:hAnsi="Palatino Linotype"/>
          <w:b/>
          <w:color w:val="auto"/>
          <w:sz w:val="24"/>
          <w:szCs w:val="24"/>
        </w:rPr>
      </w:pPr>
      <w:bookmarkStart w:id="6" w:name="_Toc87549674"/>
      <w:r w:rsidRPr="002B2F4C">
        <w:rPr>
          <w:rFonts w:ascii="Palatino Linotype" w:hAnsi="Palatino Linotype"/>
          <w:b/>
          <w:color w:val="auto"/>
          <w:sz w:val="24"/>
          <w:szCs w:val="24"/>
        </w:rPr>
        <w:t>SEGUNDO. De la oportunidad y procedencia.</w:t>
      </w:r>
      <w:bookmarkEnd w:id="6"/>
    </w:p>
    <w:p w14:paraId="53051EF8" w14:textId="77777777" w:rsidR="00BC6FDD" w:rsidRPr="002B2F4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B2F4C">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2B2F4C">
        <w:rPr>
          <w:rFonts w:ascii="Palatino Linotype" w:eastAsia="Calibri" w:hAnsi="Palatino Linotype" w:cs="Arial"/>
          <w:b/>
          <w:sz w:val="24"/>
          <w:szCs w:val="24"/>
          <w:lang w:val="es-ES"/>
        </w:rPr>
        <w:t>SUJETO OBLIGADO</w:t>
      </w:r>
      <w:r w:rsidRPr="002B2F4C">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2B2F4C"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2B2F4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B2F4C">
        <w:rPr>
          <w:rFonts w:ascii="Palatino Linotype" w:eastAsia="Calibri" w:hAnsi="Palatino Linotype" w:cs="Arial"/>
          <w:sz w:val="24"/>
          <w:szCs w:val="24"/>
          <w:lang w:val="es-ES"/>
        </w:rPr>
        <w:t xml:space="preserve">Por ende, se constituye la figura jurídica de la </w:t>
      </w:r>
      <w:r w:rsidRPr="002B2F4C">
        <w:rPr>
          <w:rFonts w:ascii="Palatino Linotype" w:eastAsia="Calibri" w:hAnsi="Palatino Linotype" w:cs="Arial"/>
          <w:i/>
          <w:sz w:val="24"/>
          <w:szCs w:val="24"/>
          <w:lang w:val="es-ES"/>
        </w:rPr>
        <w:t>negativa ficta</w:t>
      </w:r>
      <w:r w:rsidRPr="002B2F4C">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2B2F4C">
        <w:rPr>
          <w:rFonts w:ascii="Palatino Linotype" w:eastAsia="Calibri" w:hAnsi="Palatino Linotype" w:cs="Arial"/>
          <w:b/>
          <w:sz w:val="24"/>
          <w:szCs w:val="24"/>
          <w:lang w:val="es-ES"/>
        </w:rPr>
        <w:t>178</w:t>
      </w:r>
      <w:r w:rsidRPr="002B2F4C">
        <w:rPr>
          <w:rFonts w:ascii="Palatino Linotype" w:eastAsia="Calibri" w:hAnsi="Palatino Linotype" w:cs="Arial"/>
          <w:sz w:val="24"/>
          <w:szCs w:val="24"/>
          <w:lang w:val="es-ES"/>
        </w:rPr>
        <w:t xml:space="preserve"> segundo párrafo de </w:t>
      </w:r>
      <w:r w:rsidRPr="002B2F4C">
        <w:rPr>
          <w:rFonts w:ascii="Palatino Linotype" w:eastAsia="Calibri" w:hAnsi="Palatino Linotype" w:cs="Arial"/>
          <w:b/>
          <w:sz w:val="24"/>
          <w:szCs w:val="24"/>
          <w:lang w:val="es-ES"/>
        </w:rPr>
        <w:t>Ley de Transparencia y Acceso a la Información Pública del Estado de México y Municipios</w:t>
      </w:r>
      <w:r w:rsidRPr="002B2F4C">
        <w:rPr>
          <w:rFonts w:ascii="Palatino Linotype" w:eastAsia="Calibri" w:hAnsi="Palatino Linotype"/>
          <w:color w:val="000000"/>
          <w:sz w:val="24"/>
          <w:szCs w:val="24"/>
          <w:shd w:val="clear" w:color="auto" w:fill="FFFFFF"/>
        </w:rPr>
        <w:t xml:space="preserve">, que dispone; ante la falta de respuesta del </w:t>
      </w:r>
      <w:r w:rsidRPr="002B2F4C">
        <w:rPr>
          <w:rFonts w:ascii="Palatino Linotype" w:eastAsia="Calibri" w:hAnsi="Palatino Linotype"/>
          <w:b/>
          <w:color w:val="000000"/>
          <w:sz w:val="24"/>
          <w:szCs w:val="24"/>
          <w:shd w:val="clear" w:color="auto" w:fill="FFFFFF"/>
        </w:rPr>
        <w:t>SUJETO OBLIGADO,</w:t>
      </w:r>
      <w:r w:rsidRPr="002B2F4C">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2B2F4C">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2B2F4C"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2B2F4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B2F4C">
        <w:rPr>
          <w:rFonts w:ascii="Palatino Linotype" w:eastAsia="Calibri" w:hAnsi="Palatino Linotype" w:cs="Arial"/>
          <w:sz w:val="24"/>
          <w:szCs w:val="24"/>
          <w:lang w:val="es-ES"/>
        </w:rPr>
        <w:t xml:space="preserve">Por lo que, tratándose de la </w:t>
      </w:r>
      <w:r w:rsidRPr="002B2F4C">
        <w:rPr>
          <w:rFonts w:ascii="Palatino Linotype" w:eastAsia="Calibri" w:hAnsi="Palatino Linotype" w:cs="Arial"/>
          <w:i/>
          <w:sz w:val="24"/>
          <w:szCs w:val="24"/>
          <w:lang w:val="es-ES"/>
        </w:rPr>
        <w:t>negativa ficta</w:t>
      </w:r>
      <w:r w:rsidRPr="002B2F4C">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B2F4C">
        <w:rPr>
          <w:rFonts w:ascii="Palatino Linotype" w:eastAsia="Calibri" w:hAnsi="Palatino Linotype" w:cs="Arial"/>
          <w:i/>
          <w:sz w:val="24"/>
          <w:szCs w:val="24"/>
          <w:lang w:val="es-ES"/>
        </w:rPr>
        <w:t>negativa ficta</w:t>
      </w:r>
      <w:r w:rsidRPr="002B2F4C">
        <w:rPr>
          <w:rFonts w:ascii="Palatino Linotype" w:eastAsia="Calibri" w:hAnsi="Palatino Linotype" w:cs="Arial"/>
          <w:sz w:val="24"/>
          <w:szCs w:val="24"/>
          <w:lang w:val="es-ES"/>
        </w:rPr>
        <w:t>, que señala:</w:t>
      </w:r>
    </w:p>
    <w:p w14:paraId="7827B0A4" w14:textId="77777777" w:rsidR="00BC6FDD" w:rsidRPr="002B2F4C"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2B2F4C">
        <w:rPr>
          <w:rFonts w:ascii="Palatino Linotype" w:eastAsia="Calibri" w:hAnsi="Palatino Linotype" w:cs="Arial"/>
          <w:b/>
          <w:sz w:val="24"/>
          <w:szCs w:val="24"/>
          <w:lang w:val="es-ES"/>
        </w:rPr>
        <w:t>Criterio 0001-15</w:t>
      </w:r>
    </w:p>
    <w:p w14:paraId="25B06B5B" w14:textId="77777777" w:rsidR="00BC6FDD" w:rsidRPr="002B2F4C"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2B2F4C">
        <w:rPr>
          <w:rFonts w:ascii="Palatino Linotype" w:eastAsia="Calibri" w:hAnsi="Palatino Linotype" w:cs="Arial"/>
          <w:b/>
          <w:i/>
          <w:sz w:val="24"/>
          <w:szCs w:val="24"/>
          <w:lang w:val="es-ES"/>
        </w:rPr>
        <w:lastRenderedPageBreak/>
        <w:t>NEGATIVA FICTA. PLAZO PARA INTERPONER EL RECURSO DE REVISIÓN TRATÁNDOSE DE.</w:t>
      </w:r>
      <w:r w:rsidRPr="002B2F4C">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2B2F4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2B2F4C">
        <w:rPr>
          <w:rFonts w:ascii="Palatino Linotype" w:hAnsi="Palatino Linotype" w:cs="Arial"/>
          <w:color w:val="000000" w:themeColor="text1"/>
          <w:sz w:val="24"/>
          <w:szCs w:val="24"/>
          <w:lang w:val="es-ES" w:eastAsia="es-MX"/>
        </w:rPr>
        <w:t xml:space="preserve">Lo anterior, se explica porque la </w:t>
      </w:r>
      <w:r w:rsidRPr="002B2F4C">
        <w:rPr>
          <w:rFonts w:ascii="Palatino Linotype" w:hAnsi="Palatino Linotype" w:cs="Arial"/>
          <w:b/>
          <w:color w:val="000000" w:themeColor="text1"/>
          <w:sz w:val="24"/>
          <w:szCs w:val="24"/>
          <w:u w:val="single"/>
          <w:lang w:val="es-ES" w:eastAsia="es-MX"/>
        </w:rPr>
        <w:t>posible ausencia</w:t>
      </w:r>
      <w:r w:rsidRPr="002B2F4C">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B2F4C">
        <w:rPr>
          <w:rFonts w:ascii="Palatino Linotype" w:hAnsi="Palatino Linotype" w:cs="Arial"/>
          <w:b/>
          <w:color w:val="000000" w:themeColor="text1"/>
          <w:sz w:val="24"/>
          <w:szCs w:val="24"/>
          <w:lang w:val="es-ES" w:eastAsia="es-MX"/>
        </w:rPr>
        <w:t>SUJETO OBLIGADO</w:t>
      </w:r>
      <w:r w:rsidRPr="002B2F4C">
        <w:rPr>
          <w:rFonts w:ascii="Palatino Linotype" w:hAnsi="Palatino Linotype" w:cs="Arial"/>
          <w:color w:val="000000" w:themeColor="text1"/>
          <w:sz w:val="24"/>
          <w:szCs w:val="24"/>
          <w:lang w:val="es-ES" w:eastAsia="es-MX"/>
        </w:rPr>
        <w:t>.</w:t>
      </w:r>
    </w:p>
    <w:p w14:paraId="0B46B46C" w14:textId="77777777" w:rsidR="00BC6FDD" w:rsidRPr="002B2F4C"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2B2F4C"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2B2F4C">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Pr="002B2F4C" w:rsidRDefault="005000AA" w:rsidP="005000AA">
      <w:pPr>
        <w:pStyle w:val="Ttulo1"/>
        <w:rPr>
          <w:rFonts w:ascii="Palatino Linotype" w:eastAsia="MS Mincho" w:hAnsi="Palatino Linotype" w:cs="Times New Roman"/>
          <w:b/>
          <w:color w:val="auto"/>
          <w:sz w:val="24"/>
          <w:szCs w:val="24"/>
        </w:rPr>
      </w:pPr>
      <w:bookmarkStart w:id="7" w:name="_Toc87549675"/>
      <w:r w:rsidRPr="002B2F4C">
        <w:rPr>
          <w:rFonts w:ascii="Palatino Linotype" w:hAnsi="Palatino Linotype"/>
          <w:b/>
          <w:color w:val="auto"/>
          <w:sz w:val="24"/>
          <w:szCs w:val="24"/>
        </w:rPr>
        <w:t xml:space="preserve">TERCERO. </w:t>
      </w:r>
      <w:r w:rsidR="006411BB" w:rsidRPr="002B2F4C">
        <w:rPr>
          <w:rFonts w:ascii="Palatino Linotype" w:hAnsi="Palatino Linotype"/>
          <w:b/>
          <w:color w:val="auto"/>
          <w:sz w:val="24"/>
          <w:szCs w:val="24"/>
        </w:rPr>
        <w:t>De las causales del sobreseimiento</w:t>
      </w:r>
      <w:bookmarkEnd w:id="7"/>
      <w:r w:rsidRPr="002B2F4C">
        <w:rPr>
          <w:rFonts w:ascii="Palatino Linotype" w:hAnsi="Palatino Linotype"/>
          <w:b/>
          <w:color w:val="auto"/>
          <w:sz w:val="24"/>
          <w:szCs w:val="24"/>
        </w:rPr>
        <w:t xml:space="preserve"> </w:t>
      </w:r>
    </w:p>
    <w:p w14:paraId="3DC4CDF7" w14:textId="1AF93F90" w:rsidR="00396CF5" w:rsidRPr="002B2F4C"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B2F4C">
        <w:rPr>
          <w:rFonts w:ascii="Palatino Linotype" w:hAnsi="Palatino Linotype"/>
          <w:bCs/>
          <w:sz w:val="24"/>
        </w:rPr>
        <w:t>El recurrente solicitó</w:t>
      </w:r>
      <w:r w:rsidR="00495DAC" w:rsidRPr="002B2F4C">
        <w:rPr>
          <w:rFonts w:ascii="Palatino Linotype" w:hAnsi="Palatino Linotype"/>
          <w:bCs/>
          <w:sz w:val="24"/>
        </w:rPr>
        <w:t xml:space="preserve"> lo siguiente:</w:t>
      </w:r>
    </w:p>
    <w:p w14:paraId="670825C4" w14:textId="77777777" w:rsidR="004934A5" w:rsidRPr="002B2F4C" w:rsidRDefault="004934A5" w:rsidP="004934A5">
      <w:pPr>
        <w:pStyle w:val="Prrafodelista"/>
        <w:spacing w:before="240" w:after="240" w:line="360" w:lineRule="auto"/>
        <w:ind w:left="0" w:right="49"/>
        <w:jc w:val="both"/>
        <w:rPr>
          <w:rFonts w:ascii="Palatino Linotype" w:hAnsi="Palatino Linotype"/>
          <w:i/>
          <w:sz w:val="24"/>
          <w:lang w:eastAsia="es-MX"/>
        </w:rPr>
      </w:pPr>
    </w:p>
    <w:p w14:paraId="18F3541A" w14:textId="54428B10" w:rsidR="004934A5" w:rsidRPr="002B2F4C"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r w:rsidRPr="002B2F4C">
        <w:rPr>
          <w:rFonts w:ascii="Palatino Linotype" w:eastAsiaTheme="minorEastAsia" w:hAnsi="Palatino Linotype"/>
          <w:iCs/>
          <w:sz w:val="24"/>
          <w:lang w:val="es-ES_tradnl"/>
        </w:rPr>
        <w:t>“</w:t>
      </w:r>
      <w:proofErr w:type="spellStart"/>
      <w:r w:rsidR="005358D9" w:rsidRPr="002B2F4C">
        <w:rPr>
          <w:rFonts w:ascii="Palatino Linotype" w:eastAsiaTheme="minorEastAsia" w:hAnsi="Palatino Linotype"/>
          <w:iCs/>
          <w:sz w:val="24"/>
          <w:lang w:val="es-ES_tradnl"/>
        </w:rPr>
        <w:t>Curriculum</w:t>
      </w:r>
      <w:proofErr w:type="spellEnd"/>
      <w:r w:rsidR="005358D9" w:rsidRPr="002B2F4C">
        <w:rPr>
          <w:rFonts w:ascii="Palatino Linotype" w:eastAsiaTheme="minorEastAsia" w:hAnsi="Palatino Linotype"/>
          <w:iCs/>
          <w:sz w:val="24"/>
          <w:lang w:val="es-ES_tradnl"/>
        </w:rPr>
        <w:t xml:space="preserve"> del personal adscrito al </w:t>
      </w:r>
      <w:proofErr w:type="spellStart"/>
      <w:r w:rsidR="005358D9" w:rsidRPr="002B2F4C">
        <w:rPr>
          <w:rFonts w:ascii="Palatino Linotype" w:eastAsiaTheme="minorEastAsia" w:hAnsi="Palatino Linotype"/>
          <w:iCs/>
          <w:sz w:val="24"/>
          <w:lang w:val="es-ES_tradnl"/>
        </w:rPr>
        <w:t>imcufidem</w:t>
      </w:r>
      <w:proofErr w:type="spellEnd"/>
      <w:r w:rsidRPr="002B2F4C">
        <w:rPr>
          <w:rFonts w:ascii="Palatino Linotype" w:eastAsiaTheme="minorEastAsia" w:hAnsi="Palatino Linotype"/>
          <w:iCs/>
          <w:sz w:val="24"/>
          <w:lang w:val="es-ES_tradnl"/>
        </w:rPr>
        <w:t xml:space="preserve">” </w:t>
      </w:r>
    </w:p>
    <w:p w14:paraId="1D4AE1A2" w14:textId="77777777" w:rsidR="004934A5" w:rsidRPr="002B2F4C"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2B2F4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2B2F4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2B2F4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B2F4C">
        <w:rPr>
          <w:rFonts w:ascii="Palatino Linotype" w:eastAsiaTheme="minorEastAsia" w:hAnsi="Palatino Linotype" w:cs="Arial"/>
          <w:sz w:val="24"/>
          <w:szCs w:val="24"/>
          <w:lang w:val="es-ES_tradnl"/>
        </w:rPr>
        <w:t xml:space="preserve">Por lo tanto, el presente recurso de revisión se circunscribe en determinar si se </w:t>
      </w:r>
      <w:r w:rsidRPr="002B2F4C">
        <w:rPr>
          <w:rFonts w:ascii="Palatino Linotype" w:hAnsi="Palatino Linotype"/>
          <w:sz w:val="24"/>
          <w:szCs w:val="24"/>
          <w:lang w:val="es-ES_tradnl"/>
        </w:rPr>
        <w:t>actualiza las causales de procedencia</w:t>
      </w:r>
      <w:r w:rsidRPr="002B2F4C">
        <w:rPr>
          <w:rFonts w:ascii="Palatino Linotype" w:hAnsi="Palatino Linotype"/>
          <w:b/>
          <w:sz w:val="24"/>
          <w:szCs w:val="24"/>
          <w:lang w:val="es-ES_tradnl"/>
        </w:rPr>
        <w:t xml:space="preserve"> </w:t>
      </w:r>
      <w:r w:rsidRPr="002B2F4C">
        <w:rPr>
          <w:rFonts w:ascii="Palatino Linotype" w:hAnsi="Palatino Linotype" w:cs="Arial"/>
          <w:sz w:val="24"/>
          <w:szCs w:val="24"/>
          <w:lang w:val="es-ES_tradnl" w:eastAsia="es-MX"/>
        </w:rPr>
        <w:t xml:space="preserve">contenidas en </w:t>
      </w:r>
      <w:r w:rsidRPr="002B2F4C">
        <w:rPr>
          <w:rFonts w:ascii="Palatino Linotype" w:hAnsi="Palatino Linotype" w:cs="Arial"/>
          <w:sz w:val="24"/>
          <w:szCs w:val="24"/>
          <w:lang w:val="es-ES" w:eastAsia="es-MX"/>
        </w:rPr>
        <w:t xml:space="preserve">el artículo 179 fracciones VII de la </w:t>
      </w:r>
      <w:r w:rsidRPr="002B2F4C">
        <w:rPr>
          <w:rFonts w:ascii="Palatino Linotype" w:eastAsia="Calibri" w:hAnsi="Palatino Linotype" w:cs="Arial"/>
          <w:b/>
          <w:sz w:val="24"/>
          <w:szCs w:val="24"/>
          <w:lang w:val="es-ES"/>
        </w:rPr>
        <w:t>Ley de Transparencia y Acceso a la Información Pública del Estado de México y Municipios</w:t>
      </w:r>
      <w:r w:rsidRPr="002B2F4C">
        <w:rPr>
          <w:rFonts w:ascii="Palatino Linotype" w:hAnsi="Palatino Linotype" w:cs="Arial"/>
          <w:sz w:val="24"/>
          <w:szCs w:val="24"/>
          <w:lang w:val="es-ES" w:eastAsia="es-MX"/>
        </w:rPr>
        <w:t>.</w:t>
      </w:r>
    </w:p>
    <w:p w14:paraId="0D89BECC" w14:textId="77777777" w:rsidR="005000AA" w:rsidRPr="002B2F4C" w:rsidRDefault="005000AA" w:rsidP="005000AA">
      <w:pPr>
        <w:pStyle w:val="Prrafodelista"/>
        <w:rPr>
          <w:rFonts w:ascii="Palatino Linotype" w:hAnsi="Palatino Linotype"/>
          <w:bCs/>
          <w:sz w:val="24"/>
        </w:rPr>
      </w:pPr>
    </w:p>
    <w:p w14:paraId="0CF86C13" w14:textId="77777777" w:rsidR="006D3646" w:rsidRPr="002B2F4C" w:rsidRDefault="006D3646" w:rsidP="00E216AD">
      <w:pPr>
        <w:pStyle w:val="Ttulo2"/>
        <w:numPr>
          <w:ilvl w:val="0"/>
          <w:numId w:val="4"/>
        </w:numPr>
        <w:spacing w:line="360" w:lineRule="auto"/>
        <w:ind w:left="709"/>
        <w:rPr>
          <w:rFonts w:ascii="Palatino Linotype" w:hAnsi="Palatino Linotype"/>
          <w:b/>
          <w:color w:val="auto"/>
          <w:sz w:val="24"/>
        </w:rPr>
      </w:pPr>
      <w:bookmarkStart w:id="8" w:name="_Toc517362765"/>
      <w:bookmarkStart w:id="9" w:name="_Toc34910145"/>
      <w:bookmarkStart w:id="10" w:name="_Toc65830217"/>
      <w:r w:rsidRPr="002B2F4C">
        <w:rPr>
          <w:rFonts w:ascii="Palatino Linotype" w:hAnsi="Palatino Linotype"/>
          <w:b/>
          <w:color w:val="auto"/>
          <w:sz w:val="24"/>
        </w:rPr>
        <w:t>Omisión de atender una solicitud de información.</w:t>
      </w:r>
      <w:bookmarkEnd w:id="8"/>
      <w:bookmarkEnd w:id="9"/>
      <w:bookmarkEnd w:id="10"/>
    </w:p>
    <w:p w14:paraId="3156DD22" w14:textId="77777777" w:rsidR="006D3646" w:rsidRPr="002B2F4C" w:rsidRDefault="006D3646" w:rsidP="006D3646"/>
    <w:p w14:paraId="6C6E3F16" w14:textId="77777777" w:rsidR="006D3646" w:rsidRPr="002B2F4C"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2B2F4C">
        <w:rPr>
          <w:rFonts w:ascii="Palatino Linotype" w:hAnsi="Palatino Linotype" w:cs="Arial"/>
          <w:color w:val="000000"/>
          <w:sz w:val="24"/>
        </w:rPr>
        <w:t xml:space="preserve">Tal y como se puede apreciar en el expediente electrónico que obra en el SAIMEX, el Sujeto Obligado fue omiso en atender la solicitud de información que </w:t>
      </w:r>
      <w:r w:rsidRPr="002B2F4C">
        <w:rPr>
          <w:rFonts w:ascii="Palatino Linotype" w:hAnsi="Palatino Linotype" w:cs="Arial"/>
          <w:color w:val="000000"/>
          <w:sz w:val="24"/>
        </w:rPr>
        <w:lastRenderedPageBreak/>
        <w:t xml:space="preserve">formuló el particular, aún y cuando la Constitución Política de los Estados Unidos Mexicanos establece que </w:t>
      </w:r>
      <w:r w:rsidRPr="002B2F4C">
        <w:rPr>
          <w:rFonts w:ascii="Palatino Linotype" w:hAnsi="Palatino Linotype" w:cs="Arial"/>
          <w:color w:val="000000"/>
        </w:rPr>
        <w:t>“</w:t>
      </w:r>
      <w:r w:rsidRPr="002B2F4C">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2B2F4C">
        <w:rPr>
          <w:rStyle w:val="Refdenotaalpie"/>
          <w:rFonts w:ascii="Palatino Linotype" w:hAnsi="Palatino Linotype" w:cs="Helvetica"/>
          <w:i/>
          <w:szCs w:val="23"/>
          <w:shd w:val="clear" w:color="auto" w:fill="FFFFFF"/>
        </w:rPr>
        <w:footnoteReference w:id="1"/>
      </w:r>
      <w:r w:rsidRPr="002B2F4C">
        <w:rPr>
          <w:rFonts w:ascii="Palatino Linotype" w:hAnsi="Palatino Linotype" w:cs="Helvetica"/>
          <w:szCs w:val="23"/>
          <w:shd w:val="clear" w:color="auto" w:fill="FFFFFF"/>
        </w:rPr>
        <w:t>, por lo tanto, como el mismo ordenamiento refiere que “</w:t>
      </w:r>
      <w:r w:rsidRPr="002B2F4C">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2B2F4C">
        <w:rPr>
          <w:rStyle w:val="Refdenotaalpie"/>
          <w:rFonts w:ascii="Palatino Linotype" w:hAnsi="Palatino Linotype"/>
          <w:i/>
        </w:rPr>
        <w:footnoteReference w:id="2"/>
      </w:r>
      <w:r w:rsidRPr="002B2F4C">
        <w:rPr>
          <w:rFonts w:ascii="Palatino Linotype" w:hAnsi="Palatino Linotype"/>
          <w:i/>
          <w:szCs w:val="20"/>
        </w:rPr>
        <w:t xml:space="preserve">,  </w:t>
      </w:r>
      <w:r w:rsidRPr="002B2F4C">
        <w:rPr>
          <w:rFonts w:ascii="Palatino Linotype" w:hAnsi="Palatino Linotype"/>
          <w:sz w:val="24"/>
          <w:szCs w:val="20"/>
        </w:rPr>
        <w:t>se e</w:t>
      </w:r>
      <w:r w:rsidRPr="002B2F4C">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2B2F4C">
        <w:rPr>
          <w:rFonts w:ascii="Palatino Linotype" w:hAnsi="Palatino Linotype" w:cs="Helvetica"/>
          <w:b/>
          <w:sz w:val="24"/>
          <w:szCs w:val="23"/>
          <w:shd w:val="clear" w:color="auto" w:fill="FFFFFF"/>
        </w:rPr>
        <w:t>promover, proteger, respetar y garantizar</w:t>
      </w:r>
      <w:r w:rsidRPr="002B2F4C">
        <w:rPr>
          <w:rFonts w:ascii="Palatino Linotype" w:hAnsi="Palatino Linotype" w:cs="Helvetica"/>
          <w:sz w:val="24"/>
          <w:szCs w:val="23"/>
          <w:shd w:val="clear" w:color="auto" w:fill="FFFFFF"/>
        </w:rPr>
        <w:t xml:space="preserve"> el libre acceso a la información.</w:t>
      </w:r>
    </w:p>
    <w:p w14:paraId="5C7711BF" w14:textId="77777777" w:rsidR="006D3646" w:rsidRPr="002B2F4C" w:rsidRDefault="006D3646" w:rsidP="006D3646">
      <w:pPr>
        <w:pStyle w:val="Prrafodelista"/>
        <w:spacing w:line="360" w:lineRule="auto"/>
        <w:ind w:left="0" w:right="49"/>
        <w:jc w:val="both"/>
        <w:rPr>
          <w:rFonts w:ascii="Palatino Linotype" w:hAnsi="Palatino Linotype" w:cs="Arial"/>
          <w:color w:val="000000"/>
          <w:sz w:val="24"/>
        </w:rPr>
      </w:pPr>
    </w:p>
    <w:p w14:paraId="5EF0B5CF" w14:textId="77777777" w:rsidR="006D3646" w:rsidRPr="002B2F4C"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2B2F4C">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2B2F4C">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2B2F4C">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2B2F4C">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2B2F4C">
        <w:rPr>
          <w:rStyle w:val="Refdenotaalpie"/>
          <w:rFonts w:ascii="Palatino Linotype" w:hAnsi="Palatino Linotype" w:cs="Helvetica"/>
          <w:i/>
          <w:sz w:val="24"/>
          <w:szCs w:val="23"/>
          <w:shd w:val="clear" w:color="auto" w:fill="FFFFFF"/>
        </w:rPr>
        <w:footnoteReference w:id="3"/>
      </w:r>
      <w:r w:rsidRPr="002B2F4C">
        <w:rPr>
          <w:rFonts w:ascii="Palatino Linotype" w:hAnsi="Palatino Linotype" w:cs="Helvetica"/>
          <w:i/>
          <w:sz w:val="24"/>
          <w:szCs w:val="23"/>
          <w:shd w:val="clear" w:color="auto" w:fill="FFFFFF"/>
        </w:rPr>
        <w:t xml:space="preserve"> </w:t>
      </w:r>
      <w:r w:rsidRPr="002B2F4C">
        <w:rPr>
          <w:rFonts w:ascii="Palatino Linotype" w:hAnsi="Palatino Linotype" w:cs="Helvetica"/>
          <w:sz w:val="24"/>
          <w:szCs w:val="23"/>
          <w:shd w:val="clear" w:color="auto" w:fill="FFFFFF"/>
        </w:rPr>
        <w:t>siendo el recurso de revisión.</w:t>
      </w:r>
    </w:p>
    <w:p w14:paraId="537BB5D7" w14:textId="77777777" w:rsidR="006D3646" w:rsidRPr="002B2F4C" w:rsidRDefault="006D3646" w:rsidP="006D3646">
      <w:pPr>
        <w:pStyle w:val="Prrafodelista"/>
        <w:spacing w:line="360" w:lineRule="auto"/>
        <w:rPr>
          <w:rFonts w:ascii="Palatino Linotype" w:hAnsi="Palatino Linotype" w:cs="Arial"/>
          <w:color w:val="000000"/>
          <w:sz w:val="24"/>
        </w:rPr>
      </w:pPr>
    </w:p>
    <w:p w14:paraId="4BFBEBAC" w14:textId="77777777" w:rsidR="006D3646" w:rsidRPr="002B2F4C"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2B2F4C">
        <w:rPr>
          <w:rFonts w:ascii="Palatino Linotype" w:hAnsi="Palatino Linotype" w:cs="Arial"/>
          <w:color w:val="000000"/>
          <w:sz w:val="24"/>
        </w:rPr>
        <w:t xml:space="preserve">Se reitera que la omisión a atender una solicitud de información representa una afectación continua al derecho de acceso a la información, y es importante señalar que este derecho se colma una vez que se hace entrega </w:t>
      </w:r>
      <w:r w:rsidRPr="002B2F4C">
        <w:rPr>
          <w:rFonts w:ascii="Palatino Linotype" w:hAnsi="Palatino Linotype" w:cs="Arial"/>
          <w:sz w:val="24"/>
        </w:rPr>
        <w:t xml:space="preserve">del </w:t>
      </w:r>
      <w:r w:rsidRPr="002B2F4C">
        <w:rPr>
          <w:rFonts w:ascii="Palatino Linotype" w:hAnsi="Palatino Linotype" w:cs="Arial"/>
          <w:b/>
          <w:sz w:val="24"/>
          <w:u w:val="single"/>
        </w:rPr>
        <w:t>soporte documental</w:t>
      </w:r>
      <w:r w:rsidRPr="002B2F4C">
        <w:rPr>
          <w:rFonts w:ascii="Palatino Linotype" w:hAnsi="Palatino Linotype" w:cs="Arial"/>
          <w:sz w:val="24"/>
        </w:rPr>
        <w:t xml:space="preserve"> que el </w:t>
      </w:r>
      <w:r w:rsidRPr="002B2F4C">
        <w:rPr>
          <w:rFonts w:ascii="Palatino Linotype" w:hAnsi="Palatino Linotype" w:cs="Arial"/>
          <w:b/>
          <w:sz w:val="24"/>
        </w:rPr>
        <w:t>Sujeto Obligado</w:t>
      </w:r>
      <w:r w:rsidRPr="002B2F4C">
        <w:rPr>
          <w:rFonts w:ascii="Palatino Linotype" w:hAnsi="Palatino Linotype" w:cs="Arial"/>
          <w:sz w:val="24"/>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1A8CF4E9" w14:textId="77777777" w:rsidR="006D3646" w:rsidRPr="002B2F4C" w:rsidRDefault="006D3646" w:rsidP="006D3646">
      <w:pPr>
        <w:pStyle w:val="Prrafodelista"/>
        <w:autoSpaceDE w:val="0"/>
        <w:autoSpaceDN w:val="0"/>
        <w:adjustRightInd w:val="0"/>
        <w:spacing w:line="360" w:lineRule="auto"/>
        <w:ind w:left="0"/>
        <w:jc w:val="both"/>
        <w:rPr>
          <w:rFonts w:ascii="Palatino Linotype" w:hAnsi="Palatino Linotype"/>
          <w:sz w:val="24"/>
        </w:rPr>
      </w:pPr>
    </w:p>
    <w:p w14:paraId="2C9C56CD" w14:textId="77777777" w:rsidR="006D3646" w:rsidRPr="002B2F4C" w:rsidRDefault="006D3646" w:rsidP="006D3646">
      <w:pPr>
        <w:pStyle w:val="Prrafodelista"/>
        <w:numPr>
          <w:ilvl w:val="0"/>
          <w:numId w:val="2"/>
        </w:numPr>
        <w:autoSpaceDE w:val="0"/>
        <w:autoSpaceDN w:val="0"/>
        <w:adjustRightInd w:val="0"/>
        <w:spacing w:line="360" w:lineRule="auto"/>
        <w:ind w:left="0" w:firstLine="0"/>
        <w:jc w:val="both"/>
        <w:rPr>
          <w:rFonts w:ascii="Palatino Linotype" w:hAnsi="Palatino Linotype"/>
          <w:b/>
          <w:sz w:val="24"/>
        </w:rPr>
      </w:pPr>
      <w:r w:rsidRPr="002B2F4C">
        <w:rPr>
          <w:rFonts w:ascii="Palatino Linotype" w:hAnsi="Palatino Linotype"/>
          <w:sz w:val="24"/>
        </w:rPr>
        <w:t>Bajo ese tenor y de acuerdo con el artículo 166 primer párrafo de la</w:t>
      </w:r>
      <w:r w:rsidRPr="002B2F4C">
        <w:rPr>
          <w:sz w:val="24"/>
          <w:lang w:eastAsia="en-US"/>
        </w:rPr>
        <w:t xml:space="preserve"> </w:t>
      </w:r>
      <w:r w:rsidRPr="002B2F4C">
        <w:rPr>
          <w:rFonts w:ascii="Palatino Linotype" w:hAnsi="Palatino Linotype"/>
          <w:b/>
          <w:sz w:val="24"/>
        </w:rPr>
        <w:t xml:space="preserve">Ley de Transparencia y Acceso a la Información Pública del Estado de México y Municipios, </w:t>
      </w:r>
      <w:r w:rsidRPr="002B2F4C">
        <w:rPr>
          <w:rFonts w:ascii="Palatino Linotype" w:hAnsi="Palatino Linotype"/>
          <w:color w:val="000000" w:themeColor="text1"/>
          <w:sz w:val="24"/>
        </w:rPr>
        <w:t>la obligación de acceso a la información pública se tendrá por cumplida cuando el solicitante tenga a su disposición la información requerida, o cuando realice la consulta de la misma en el lugar en el que ésta se localice, tal como se cita:</w:t>
      </w:r>
    </w:p>
    <w:p w14:paraId="04BACD3E" w14:textId="77777777" w:rsidR="006D3646" w:rsidRPr="002B2F4C" w:rsidRDefault="006D3646" w:rsidP="006D3646">
      <w:pPr>
        <w:pStyle w:val="Prrafodelista"/>
        <w:autoSpaceDE w:val="0"/>
        <w:autoSpaceDN w:val="0"/>
        <w:adjustRightInd w:val="0"/>
        <w:spacing w:line="360" w:lineRule="auto"/>
        <w:ind w:left="0"/>
        <w:jc w:val="both"/>
        <w:rPr>
          <w:rFonts w:ascii="Palatino Linotype" w:hAnsi="Palatino Linotype"/>
          <w:b/>
          <w:sz w:val="24"/>
        </w:rPr>
      </w:pPr>
    </w:p>
    <w:p w14:paraId="0D60840A" w14:textId="77777777" w:rsidR="006D3646" w:rsidRPr="002B2F4C" w:rsidRDefault="006D3646" w:rsidP="006D3646">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2B2F4C">
        <w:rPr>
          <w:rFonts w:ascii="Palatino Linotype" w:hAnsi="Palatino Linotype"/>
          <w:b/>
          <w:i/>
          <w:color w:val="000000" w:themeColor="text1"/>
          <w:szCs w:val="22"/>
        </w:rPr>
        <w:t>Artículo 166.</w:t>
      </w:r>
      <w:r w:rsidRPr="002B2F4C">
        <w:rPr>
          <w:rFonts w:ascii="Palatino Linotype" w:hAnsi="Palatino Linotype"/>
          <w:i/>
          <w:color w:val="000000" w:themeColor="text1"/>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4AB6362B" w14:textId="77777777" w:rsidR="006D3646" w:rsidRPr="002B2F4C" w:rsidRDefault="006D3646" w:rsidP="006D3646">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2B2F4C">
        <w:rPr>
          <w:rFonts w:ascii="Palatino Linotype" w:hAnsi="Palatino Linotype"/>
          <w:b/>
          <w:i/>
          <w:color w:val="000000" w:themeColor="text1"/>
          <w:szCs w:val="22"/>
        </w:rPr>
        <w:t>…</w:t>
      </w:r>
    </w:p>
    <w:p w14:paraId="4B48F4D9" w14:textId="77777777" w:rsidR="006D3646" w:rsidRPr="002B2F4C" w:rsidRDefault="006D3646" w:rsidP="006D3646">
      <w:pPr>
        <w:pStyle w:val="Prrafodelista"/>
        <w:autoSpaceDE w:val="0"/>
        <w:autoSpaceDN w:val="0"/>
        <w:adjustRightInd w:val="0"/>
        <w:spacing w:line="360" w:lineRule="auto"/>
        <w:ind w:left="0"/>
        <w:jc w:val="both"/>
        <w:rPr>
          <w:rFonts w:ascii="Palatino Linotype" w:hAnsi="Palatino Linotype"/>
        </w:rPr>
      </w:pPr>
    </w:p>
    <w:p w14:paraId="48E611E2" w14:textId="77777777" w:rsidR="006D3646" w:rsidRPr="002B2F4C" w:rsidRDefault="006D3646" w:rsidP="006D3646">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rPr>
      </w:pPr>
      <w:r w:rsidRPr="002B2F4C">
        <w:rPr>
          <w:rFonts w:ascii="Palatino Linotype" w:hAnsi="Palatino Linotype" w:cs="Arial"/>
          <w:color w:val="000000" w:themeColor="text1"/>
          <w:sz w:val="24"/>
          <w:lang w:eastAsia="es-MX"/>
        </w:rPr>
        <w:lastRenderedPageBreak/>
        <w:t xml:space="preserve">Además, el derecho a la información es la </w:t>
      </w:r>
      <w:r w:rsidRPr="002B2F4C">
        <w:rPr>
          <w:rFonts w:ascii="Palatino Linotype" w:eastAsia="MS Mincho" w:hAnsi="Palatino Linotype"/>
          <w:i/>
          <w:sz w:val="24"/>
        </w:rPr>
        <w:t>igualdad de oportunidades para recibir, buscar e impartir información</w:t>
      </w:r>
      <w:r w:rsidRPr="002B2F4C">
        <w:rPr>
          <w:rStyle w:val="Refdenotaalpie"/>
          <w:rFonts w:ascii="Palatino Linotype" w:eastAsia="MS Mincho" w:hAnsi="Palatino Linotype"/>
          <w:i/>
          <w:sz w:val="24"/>
        </w:rPr>
        <w:footnoteReference w:id="4"/>
      </w:r>
      <w:r w:rsidRPr="002B2F4C">
        <w:rPr>
          <w:rFonts w:ascii="Palatino Linotype" w:eastAsia="MS Mincho" w:hAnsi="Palatino Linotype"/>
          <w:i/>
          <w:sz w:val="24"/>
        </w:rPr>
        <w:t xml:space="preserve"> </w:t>
      </w:r>
      <w:r w:rsidRPr="002B2F4C">
        <w:rPr>
          <w:rFonts w:ascii="Palatino Linotype" w:eastAsia="MS Mincho"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B2F4C">
        <w:rPr>
          <w:rStyle w:val="Refdenotaalpie"/>
          <w:rFonts w:ascii="Palatino Linotype" w:eastAsia="MS Mincho" w:hAnsi="Palatino Linotype"/>
        </w:rPr>
        <w:footnoteReference w:id="5"/>
      </w:r>
      <w:r w:rsidRPr="002B2F4C">
        <w:rPr>
          <w:rFonts w:ascii="Palatino Linotype" w:eastAsia="MS Mincho" w:hAnsi="Palatino Linotype"/>
          <w:i/>
        </w:rPr>
        <w:t xml:space="preserve"> </w:t>
      </w:r>
      <w:r w:rsidRPr="002B2F4C">
        <w:rPr>
          <w:rFonts w:ascii="Palatino Linotype" w:eastAsia="MS Mincho" w:hAnsi="Palatino Linotype"/>
          <w:sz w:val="24"/>
        </w:rPr>
        <w:t xml:space="preserve">que se constituye como una herramienta fundamental para </w:t>
      </w:r>
      <w:r w:rsidRPr="002B2F4C">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2B2F4C">
        <w:rPr>
          <w:rStyle w:val="Refdenotaalpie"/>
          <w:rFonts w:ascii="Palatino Linotype" w:eastAsia="MS Mincho" w:hAnsi="Palatino Linotype"/>
          <w:i/>
          <w:sz w:val="24"/>
        </w:rPr>
        <w:footnoteReference w:id="6"/>
      </w:r>
      <w:r w:rsidRPr="002B2F4C">
        <w:rPr>
          <w:rFonts w:ascii="Palatino Linotype" w:eastAsia="MS Mincho" w:hAnsi="Palatino Linotype"/>
          <w:sz w:val="24"/>
        </w:rPr>
        <w:t>fomentando</w:t>
      </w:r>
      <w:r w:rsidRPr="002B2F4C">
        <w:rPr>
          <w:rFonts w:ascii="Palatino Linotype" w:eastAsia="MS Mincho" w:hAnsi="Palatino Linotype"/>
          <w:i/>
          <w:sz w:val="24"/>
        </w:rPr>
        <w:t xml:space="preserve"> </w:t>
      </w:r>
      <w:r w:rsidRPr="002B2F4C">
        <w:rPr>
          <w:rFonts w:ascii="Palatino Linotype" w:eastAsia="MS Mincho" w:hAnsi="Palatino Linotype"/>
          <w:i/>
        </w:rPr>
        <w:t>la transparencia de las actividades estatales y</w:t>
      </w:r>
      <w:r w:rsidRPr="002B2F4C">
        <w:rPr>
          <w:rFonts w:ascii="Palatino Linotype" w:eastAsia="MS Mincho" w:hAnsi="Palatino Linotype"/>
        </w:rPr>
        <w:t xml:space="preserve"> promoviendo</w:t>
      </w:r>
      <w:r w:rsidRPr="002B2F4C">
        <w:rPr>
          <w:rFonts w:ascii="Palatino Linotype" w:eastAsia="MS Mincho" w:hAnsi="Palatino Linotype"/>
          <w:i/>
        </w:rPr>
        <w:t xml:space="preserve"> la responsabilidad de los funcionarios sobre su gestión pública</w:t>
      </w:r>
      <w:r w:rsidRPr="002B2F4C">
        <w:rPr>
          <w:rStyle w:val="Refdenotaalpie"/>
          <w:rFonts w:ascii="Palatino Linotype" w:eastAsia="MS Mincho" w:hAnsi="Palatino Linotype"/>
          <w:i/>
          <w:sz w:val="24"/>
        </w:rPr>
        <w:footnoteReference w:id="7"/>
      </w:r>
      <w:r w:rsidRPr="002B2F4C">
        <w:rPr>
          <w:rFonts w:ascii="Palatino Linotype" w:eastAsia="MS Mincho" w:hAnsi="Palatino Linotype"/>
          <w:i/>
          <w:sz w:val="24"/>
        </w:rPr>
        <w:t xml:space="preserve"> </w:t>
      </w:r>
      <w:r w:rsidRPr="002B2F4C">
        <w:rPr>
          <w:rFonts w:ascii="Palatino Linotype" w:eastAsia="MS Mincho" w:hAnsi="Palatino Linotype"/>
          <w:sz w:val="24"/>
        </w:rPr>
        <w:t>que permite</w:t>
      </w:r>
      <w:r w:rsidRPr="002B2F4C">
        <w:rPr>
          <w:rFonts w:ascii="Palatino Linotype" w:eastAsia="MS Mincho" w:hAnsi="Palatino Linotype"/>
          <w:i/>
          <w:sz w:val="24"/>
        </w:rPr>
        <w:t xml:space="preserve"> </w:t>
      </w:r>
      <w:r w:rsidRPr="002B2F4C">
        <w:rPr>
          <w:rFonts w:ascii="Palatino Linotype" w:eastAsia="MS Mincho" w:hAnsi="Palatino Linotype"/>
          <w:i/>
        </w:rPr>
        <w:t>saber qué están haciendo los gobiernos por sus pueblos, sin lo cual la verdad languidecería y la participación en el gobierno permanecería fragmentada.</w:t>
      </w:r>
      <w:r w:rsidRPr="002B2F4C">
        <w:rPr>
          <w:rStyle w:val="Refdenotaalpie"/>
          <w:rFonts w:ascii="Palatino Linotype" w:eastAsia="MS Mincho" w:hAnsi="Palatino Linotype"/>
          <w:i/>
        </w:rPr>
        <w:footnoteReference w:id="8"/>
      </w:r>
      <w:r w:rsidRPr="002B2F4C">
        <w:rPr>
          <w:rFonts w:ascii="Palatino Linotype" w:eastAsia="MS Mincho" w:hAnsi="Palatino Linotype"/>
        </w:rPr>
        <w:t xml:space="preserve"> ”.</w:t>
      </w:r>
    </w:p>
    <w:p w14:paraId="3D48D7E7" w14:textId="77777777" w:rsidR="006D3646" w:rsidRPr="002B2F4C" w:rsidRDefault="006D3646" w:rsidP="006D3646">
      <w:pPr>
        <w:pStyle w:val="Prrafodelista"/>
        <w:autoSpaceDE w:val="0"/>
        <w:autoSpaceDN w:val="0"/>
        <w:adjustRightInd w:val="0"/>
        <w:spacing w:before="240" w:after="360" w:line="360" w:lineRule="auto"/>
        <w:ind w:left="0"/>
        <w:jc w:val="both"/>
        <w:rPr>
          <w:rFonts w:ascii="Palatino Linotype" w:hAnsi="Palatino Linotype"/>
          <w:sz w:val="24"/>
        </w:rPr>
      </w:pPr>
    </w:p>
    <w:p w14:paraId="2E8F99BA" w14:textId="77777777" w:rsidR="006D3646" w:rsidRPr="002B2F4C" w:rsidRDefault="006D3646" w:rsidP="006D3646">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B2F4C">
        <w:rPr>
          <w:rFonts w:ascii="Palatino Linotype" w:hAnsi="Palatino Linotype" w:cs="Arial"/>
          <w:sz w:val="24"/>
        </w:rPr>
        <w:t xml:space="preserve">Ahora bien para entender los alcances de la información pública se considera importante citar el criterio </w:t>
      </w:r>
      <w:r w:rsidRPr="002B2F4C">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2B2F4C">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2B2F4C">
        <w:rPr>
          <w:rFonts w:ascii="Palatino Linotype" w:hAnsi="Palatino Linotype" w:cs="Arial"/>
          <w:sz w:val="24"/>
        </w:rPr>
        <w:t>cuyo rubro y texto dispone:</w:t>
      </w:r>
    </w:p>
    <w:p w14:paraId="5609421F" w14:textId="77777777" w:rsidR="006D3646" w:rsidRPr="002B2F4C" w:rsidRDefault="006D3646" w:rsidP="006D3646">
      <w:pPr>
        <w:pStyle w:val="Prrafodelista"/>
        <w:autoSpaceDE w:val="0"/>
        <w:autoSpaceDN w:val="0"/>
        <w:adjustRightInd w:val="0"/>
        <w:spacing w:line="360" w:lineRule="auto"/>
        <w:ind w:left="0"/>
        <w:jc w:val="both"/>
        <w:rPr>
          <w:rFonts w:ascii="Palatino Linotype" w:hAnsi="Palatino Linotype" w:cs="Arial"/>
          <w:sz w:val="24"/>
        </w:rPr>
      </w:pPr>
    </w:p>
    <w:p w14:paraId="3C3A7907" w14:textId="77777777" w:rsidR="006D3646" w:rsidRPr="002B2F4C" w:rsidRDefault="006D3646" w:rsidP="006D3646">
      <w:pPr>
        <w:autoSpaceDE w:val="0"/>
        <w:autoSpaceDN w:val="0"/>
        <w:adjustRightInd w:val="0"/>
        <w:spacing w:line="360" w:lineRule="auto"/>
        <w:ind w:left="567" w:right="567"/>
        <w:jc w:val="both"/>
        <w:rPr>
          <w:rFonts w:ascii="Palatino Linotype" w:hAnsi="Palatino Linotype" w:cs="Arial"/>
          <w:b/>
          <w:i/>
          <w:sz w:val="22"/>
          <w:szCs w:val="22"/>
          <w:lang w:eastAsia="es-MX"/>
        </w:rPr>
      </w:pPr>
      <w:r w:rsidRPr="002B2F4C">
        <w:rPr>
          <w:rFonts w:ascii="Palatino Linotype" w:hAnsi="Palatino Linotype" w:cs="Arial"/>
          <w:b/>
          <w:i/>
          <w:sz w:val="22"/>
          <w:szCs w:val="22"/>
          <w:lang w:eastAsia="es-MX"/>
        </w:rPr>
        <w:t>“CRITERIO 0002-11</w:t>
      </w:r>
    </w:p>
    <w:p w14:paraId="2A41CC40" w14:textId="77777777" w:rsidR="006D3646" w:rsidRPr="002B2F4C" w:rsidRDefault="006D3646" w:rsidP="006D3646">
      <w:pPr>
        <w:autoSpaceDE w:val="0"/>
        <w:autoSpaceDN w:val="0"/>
        <w:adjustRightInd w:val="0"/>
        <w:spacing w:line="360" w:lineRule="auto"/>
        <w:ind w:left="567" w:right="567"/>
        <w:jc w:val="both"/>
        <w:rPr>
          <w:rFonts w:ascii="Palatino Linotype" w:hAnsi="Palatino Linotype" w:cs="Arial"/>
          <w:i/>
          <w:sz w:val="22"/>
          <w:szCs w:val="22"/>
          <w:lang w:eastAsia="es-MX"/>
        </w:rPr>
      </w:pPr>
      <w:r w:rsidRPr="002B2F4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B2F4C">
        <w:rPr>
          <w:rFonts w:ascii="Palatino Linotype" w:hAnsi="Palatino Linotype" w:cs="Arial"/>
          <w:b/>
          <w:bCs/>
          <w:i/>
          <w:sz w:val="22"/>
          <w:szCs w:val="22"/>
          <w:lang w:eastAsia="es-MX"/>
        </w:rPr>
        <w:t xml:space="preserve">V, XV, Y XVI, </w:t>
      </w:r>
      <w:r w:rsidRPr="002B2F4C">
        <w:rPr>
          <w:rFonts w:ascii="Palatino Linotype" w:hAnsi="Palatino Linotype" w:cs="Arial"/>
          <w:b/>
          <w:i/>
          <w:sz w:val="22"/>
          <w:szCs w:val="22"/>
          <w:lang w:eastAsia="es-MX"/>
        </w:rPr>
        <w:t>3, 4,11 Y 41.</w:t>
      </w:r>
      <w:r w:rsidRPr="002B2F4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456A66" w14:textId="77777777" w:rsidR="006D3646" w:rsidRPr="002B2F4C" w:rsidRDefault="006D3646" w:rsidP="006D3646">
      <w:pPr>
        <w:autoSpaceDE w:val="0"/>
        <w:autoSpaceDN w:val="0"/>
        <w:adjustRightInd w:val="0"/>
        <w:spacing w:line="360" w:lineRule="auto"/>
        <w:ind w:left="567" w:right="567"/>
        <w:jc w:val="both"/>
        <w:rPr>
          <w:rFonts w:ascii="Palatino Linotype" w:hAnsi="Palatino Linotype" w:cs="Arial"/>
          <w:i/>
          <w:sz w:val="22"/>
          <w:szCs w:val="22"/>
          <w:lang w:eastAsia="es-MX"/>
        </w:rPr>
      </w:pPr>
      <w:r w:rsidRPr="002B2F4C">
        <w:rPr>
          <w:rFonts w:ascii="Palatino Linotype" w:hAnsi="Palatino Linotype" w:cs="Arial"/>
          <w:i/>
          <w:sz w:val="22"/>
          <w:szCs w:val="22"/>
          <w:lang w:eastAsia="es-MX"/>
        </w:rPr>
        <w:t>En consecuencia el acceso a la información se refiere a que se cumplan cualquiera de los siguientes tres supuestos:</w:t>
      </w:r>
    </w:p>
    <w:p w14:paraId="370F98E8" w14:textId="77777777" w:rsidR="006D3646" w:rsidRPr="002B2F4C" w:rsidRDefault="006D3646" w:rsidP="006D3646">
      <w:pPr>
        <w:autoSpaceDE w:val="0"/>
        <w:autoSpaceDN w:val="0"/>
        <w:adjustRightInd w:val="0"/>
        <w:spacing w:line="360" w:lineRule="auto"/>
        <w:ind w:left="567" w:right="567"/>
        <w:jc w:val="both"/>
        <w:rPr>
          <w:rFonts w:ascii="Palatino Linotype" w:hAnsi="Palatino Linotype" w:cs="Arial"/>
          <w:i/>
          <w:sz w:val="22"/>
          <w:szCs w:val="22"/>
          <w:lang w:eastAsia="es-MX"/>
        </w:rPr>
      </w:pPr>
      <w:r w:rsidRPr="002B2F4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C69CB8E" w14:textId="77777777" w:rsidR="006D3646" w:rsidRPr="002B2F4C" w:rsidRDefault="006D3646" w:rsidP="006D3646">
      <w:pPr>
        <w:autoSpaceDE w:val="0"/>
        <w:autoSpaceDN w:val="0"/>
        <w:adjustRightInd w:val="0"/>
        <w:spacing w:line="360" w:lineRule="auto"/>
        <w:ind w:left="567" w:right="567"/>
        <w:jc w:val="both"/>
        <w:rPr>
          <w:rFonts w:ascii="Palatino Linotype" w:hAnsi="Palatino Linotype" w:cs="Arial"/>
          <w:i/>
          <w:sz w:val="22"/>
          <w:szCs w:val="22"/>
          <w:lang w:eastAsia="es-MX"/>
        </w:rPr>
      </w:pPr>
      <w:r w:rsidRPr="002B2F4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31B2E72B" w14:textId="77777777" w:rsidR="006D3646" w:rsidRPr="002B2F4C" w:rsidRDefault="006D3646" w:rsidP="006D3646">
      <w:pPr>
        <w:spacing w:line="360" w:lineRule="auto"/>
        <w:ind w:left="567" w:right="567"/>
        <w:jc w:val="both"/>
        <w:rPr>
          <w:rFonts w:ascii="Palatino Linotype" w:hAnsi="Palatino Linotype" w:cs="Arial"/>
          <w:i/>
          <w:color w:val="000000" w:themeColor="text1"/>
          <w:sz w:val="22"/>
          <w:szCs w:val="22"/>
        </w:rPr>
      </w:pPr>
      <w:r w:rsidRPr="002B2F4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75B3BB5" w14:textId="77777777" w:rsidR="006D3646" w:rsidRPr="002B2F4C" w:rsidRDefault="006D3646" w:rsidP="006D3646">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B2F4C">
        <w:rPr>
          <w:rFonts w:ascii="Palatino Linotype" w:hAnsi="Palatino Linotype"/>
          <w:color w:val="000000" w:themeColor="text1"/>
          <w:sz w:val="24"/>
        </w:rPr>
        <w:t>En esa virtud, el</w:t>
      </w:r>
      <w:r w:rsidRPr="002B2F4C">
        <w:rPr>
          <w:rStyle w:val="apple-converted-space"/>
          <w:rFonts w:ascii="Palatino Linotype" w:hAnsi="Palatino Linotype"/>
          <w:color w:val="000000" w:themeColor="text1"/>
          <w:sz w:val="24"/>
        </w:rPr>
        <w:t xml:space="preserve"> </w:t>
      </w:r>
      <w:r w:rsidRPr="002B2F4C">
        <w:rPr>
          <w:rFonts w:ascii="Palatino Linotype" w:hAnsi="Palatino Linotype"/>
          <w:b/>
          <w:bCs/>
          <w:color w:val="000000" w:themeColor="text1"/>
          <w:sz w:val="24"/>
        </w:rPr>
        <w:t>Sujeto Obligado</w:t>
      </w:r>
      <w:r w:rsidRPr="002B2F4C">
        <w:rPr>
          <w:rStyle w:val="apple-converted-space"/>
          <w:rFonts w:ascii="Palatino Linotype" w:hAnsi="Palatino Linotype"/>
          <w:color w:val="000000" w:themeColor="text1"/>
          <w:sz w:val="24"/>
        </w:rPr>
        <w:t xml:space="preserve"> </w:t>
      </w:r>
      <w:r w:rsidRPr="002B2F4C">
        <w:rPr>
          <w:rFonts w:ascii="Palatino Linotype" w:hAnsi="Palatino Linotype"/>
          <w:color w:val="000000" w:themeColor="text1"/>
          <w:sz w:val="24"/>
        </w:rPr>
        <w:t>está constreñido a entregar los documentos en los que conste la información que sea generada, poseída o administrada en el ejercicio de sus atribuciones a toda persona que lo solicite.</w:t>
      </w:r>
    </w:p>
    <w:p w14:paraId="420E557D" w14:textId="77777777" w:rsidR="006D3646" w:rsidRPr="002B2F4C" w:rsidRDefault="006D3646" w:rsidP="006D3646">
      <w:pPr>
        <w:pStyle w:val="Prrafodelista"/>
        <w:spacing w:before="240" w:after="360" w:line="360" w:lineRule="auto"/>
        <w:ind w:left="0"/>
        <w:jc w:val="both"/>
        <w:rPr>
          <w:rFonts w:ascii="Palatino Linotype" w:hAnsi="Palatino Linotype" w:cs="Arial"/>
          <w:i/>
          <w:color w:val="000000" w:themeColor="text1"/>
          <w:sz w:val="24"/>
        </w:rPr>
      </w:pPr>
    </w:p>
    <w:p w14:paraId="3AF261DF" w14:textId="77777777" w:rsidR="006D3646" w:rsidRPr="002B2F4C" w:rsidRDefault="006D3646" w:rsidP="006D3646">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B2F4C">
        <w:rPr>
          <w:rFonts w:ascii="Palatino Linotype" w:hAnsi="Palatino Linotype"/>
          <w:color w:val="000000" w:themeColor="text1"/>
          <w:sz w:val="24"/>
        </w:rPr>
        <w:lastRenderedPageBreak/>
        <w:t xml:space="preserve">Robustece lo anterior expuesto el primer párrafo del artículo 160 de la </w:t>
      </w:r>
      <w:r w:rsidRPr="002B2F4C">
        <w:rPr>
          <w:rFonts w:ascii="Palatino Linotype" w:hAnsi="Palatino Linotype"/>
          <w:b/>
          <w:sz w:val="24"/>
        </w:rPr>
        <w:t xml:space="preserve">Ley de Transparencia y Acceso a la Información Pública del Estado de México y Municipios, </w:t>
      </w:r>
      <w:r w:rsidRPr="002B2F4C">
        <w:rPr>
          <w:rFonts w:ascii="Palatino Linotype" w:hAnsi="Palatino Linotype" w:cs="Tahoma"/>
          <w:sz w:val="24"/>
        </w:rPr>
        <w:t>que a la letra dispone:</w:t>
      </w:r>
    </w:p>
    <w:p w14:paraId="7FA16A18" w14:textId="77777777" w:rsidR="006D3646" w:rsidRPr="002B2F4C" w:rsidRDefault="006D3646" w:rsidP="006D3646">
      <w:pPr>
        <w:pStyle w:val="Prrafodelista"/>
        <w:spacing w:before="240" w:after="360" w:line="360" w:lineRule="auto"/>
        <w:ind w:left="0"/>
        <w:jc w:val="both"/>
        <w:rPr>
          <w:rFonts w:ascii="Palatino Linotype" w:hAnsi="Palatino Linotype" w:cs="Arial"/>
          <w:color w:val="000000" w:themeColor="text1"/>
          <w:sz w:val="24"/>
        </w:rPr>
      </w:pPr>
    </w:p>
    <w:p w14:paraId="6E7022DC" w14:textId="77777777" w:rsidR="006D3646" w:rsidRPr="002B2F4C" w:rsidRDefault="006D3646" w:rsidP="006D3646">
      <w:pPr>
        <w:pStyle w:val="Prrafodelista"/>
        <w:spacing w:before="240" w:after="360" w:line="360" w:lineRule="auto"/>
        <w:ind w:left="567" w:right="567"/>
        <w:jc w:val="both"/>
        <w:rPr>
          <w:rFonts w:ascii="Palatino Linotype" w:hAnsi="Palatino Linotype" w:cs="Arial"/>
          <w:i/>
          <w:szCs w:val="22"/>
        </w:rPr>
      </w:pPr>
      <w:r w:rsidRPr="002B2F4C">
        <w:rPr>
          <w:rFonts w:ascii="Palatino Linotype" w:hAnsi="Palatino Linotype"/>
          <w:b/>
          <w:i/>
          <w:szCs w:val="22"/>
        </w:rPr>
        <w:t>Artículo 160.</w:t>
      </w:r>
      <w:r w:rsidRPr="002B2F4C">
        <w:rPr>
          <w:rFonts w:ascii="Palatino Linotype" w:hAnsi="Palatino Linotype"/>
          <w:i/>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F653C5" w14:textId="77777777" w:rsidR="006D3646" w:rsidRPr="002B2F4C" w:rsidRDefault="006D3646" w:rsidP="006D3646">
      <w:pPr>
        <w:pStyle w:val="Prrafodelista"/>
        <w:spacing w:before="240" w:after="360" w:line="360" w:lineRule="auto"/>
        <w:ind w:left="0"/>
        <w:jc w:val="both"/>
        <w:rPr>
          <w:rFonts w:ascii="Palatino Linotype" w:hAnsi="Palatino Linotype" w:cs="Arial"/>
          <w:color w:val="000000" w:themeColor="text1"/>
          <w:sz w:val="24"/>
        </w:rPr>
      </w:pPr>
    </w:p>
    <w:p w14:paraId="2AF8A487" w14:textId="77777777" w:rsidR="006D3646" w:rsidRPr="002B2F4C" w:rsidRDefault="006D3646" w:rsidP="006D3646">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2B2F4C">
        <w:rPr>
          <w:rFonts w:ascii="Palatino Linotype" w:hAnsi="Palatino Linotype" w:cs="Arial"/>
          <w:bCs/>
          <w:color w:val="000000" w:themeColor="text1"/>
          <w:sz w:val="24"/>
          <w:lang w:val="es-ES"/>
        </w:rPr>
        <w:t xml:space="preserve">Por ello, el </w:t>
      </w:r>
      <w:r w:rsidRPr="002B2F4C">
        <w:rPr>
          <w:rFonts w:ascii="Palatino Linotype" w:hAnsi="Palatino Linotype" w:cs="Arial"/>
          <w:b/>
          <w:bCs/>
          <w:color w:val="000000" w:themeColor="text1"/>
          <w:sz w:val="24"/>
          <w:lang w:val="es-ES"/>
        </w:rPr>
        <w:t>Sujeto Obligado</w:t>
      </w:r>
      <w:r w:rsidRPr="002B2F4C">
        <w:rPr>
          <w:rFonts w:ascii="Palatino Linotype" w:hAnsi="Palatino Linotype" w:cs="Arial"/>
          <w:bCs/>
          <w:color w:val="000000" w:themeColor="text1"/>
          <w:sz w:val="24"/>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1FCCA177" w14:textId="77777777" w:rsidR="006D3646" w:rsidRPr="002B2F4C" w:rsidRDefault="006D3646" w:rsidP="00E216AD">
      <w:pPr>
        <w:pStyle w:val="Ttulo2"/>
        <w:numPr>
          <w:ilvl w:val="0"/>
          <w:numId w:val="4"/>
        </w:numPr>
        <w:spacing w:line="360" w:lineRule="auto"/>
        <w:ind w:left="709"/>
        <w:rPr>
          <w:rFonts w:ascii="Palatino Linotype" w:hAnsi="Palatino Linotype"/>
          <w:b/>
          <w:color w:val="auto"/>
          <w:sz w:val="24"/>
        </w:rPr>
      </w:pPr>
      <w:bookmarkStart w:id="11" w:name="_Toc23418068"/>
      <w:bookmarkStart w:id="12" w:name="_Toc25251825"/>
      <w:bookmarkStart w:id="13" w:name="_Toc34910146"/>
      <w:bookmarkStart w:id="14" w:name="_Toc65830218"/>
      <w:r w:rsidRPr="002B2F4C">
        <w:rPr>
          <w:rFonts w:ascii="Palatino Linotype" w:hAnsi="Palatino Linotype"/>
          <w:b/>
          <w:color w:val="auto"/>
          <w:sz w:val="24"/>
        </w:rPr>
        <w:t>Fuente Obligacional.</w:t>
      </w:r>
      <w:bookmarkEnd w:id="11"/>
      <w:bookmarkEnd w:id="12"/>
      <w:bookmarkEnd w:id="13"/>
      <w:bookmarkEnd w:id="14"/>
      <w:r w:rsidRPr="002B2F4C">
        <w:rPr>
          <w:rFonts w:ascii="Palatino Linotype" w:hAnsi="Palatino Linotype"/>
          <w:b/>
          <w:color w:val="auto"/>
          <w:sz w:val="24"/>
        </w:rPr>
        <w:t xml:space="preserve"> </w:t>
      </w:r>
    </w:p>
    <w:p w14:paraId="085B2495" w14:textId="77777777" w:rsidR="006D3646" w:rsidRPr="002B2F4C" w:rsidRDefault="006D3646" w:rsidP="006D3646">
      <w:pPr>
        <w:rPr>
          <w:lang w:eastAsia="en-US"/>
        </w:rPr>
      </w:pPr>
    </w:p>
    <w:p w14:paraId="2B970D25" w14:textId="77777777" w:rsidR="006D3646" w:rsidRPr="002B2F4C" w:rsidRDefault="006D3646" w:rsidP="00E216AD">
      <w:pPr>
        <w:pStyle w:val="Ttulo3"/>
        <w:numPr>
          <w:ilvl w:val="0"/>
          <w:numId w:val="8"/>
        </w:numPr>
        <w:rPr>
          <w:rFonts w:ascii="Palatino Linotype" w:hAnsi="Palatino Linotype"/>
          <w:b/>
          <w:color w:val="auto"/>
        </w:rPr>
      </w:pPr>
      <w:bookmarkStart w:id="15" w:name="_Toc23418069"/>
      <w:bookmarkStart w:id="16" w:name="_Toc25251826"/>
      <w:bookmarkStart w:id="17" w:name="_Toc34910147"/>
      <w:bookmarkStart w:id="18" w:name="_Toc65830219"/>
      <w:r w:rsidRPr="002B2F4C">
        <w:rPr>
          <w:rFonts w:ascii="Palatino Linotype" w:hAnsi="Palatino Linotype"/>
          <w:b/>
          <w:color w:val="auto"/>
        </w:rPr>
        <w:t>De la obligación de transparencia.</w:t>
      </w:r>
      <w:bookmarkEnd w:id="15"/>
      <w:bookmarkEnd w:id="16"/>
      <w:bookmarkEnd w:id="17"/>
      <w:bookmarkEnd w:id="18"/>
    </w:p>
    <w:p w14:paraId="5CE013F0" w14:textId="77777777" w:rsidR="006D3646" w:rsidRPr="002B2F4C" w:rsidRDefault="006D3646" w:rsidP="006D3646">
      <w:pPr>
        <w:rPr>
          <w:sz w:val="22"/>
        </w:rPr>
      </w:pPr>
    </w:p>
    <w:p w14:paraId="1B69D3AD" w14:textId="77777777" w:rsidR="006D3646" w:rsidRPr="002B2F4C" w:rsidRDefault="006D3646" w:rsidP="006D3646">
      <w:pPr>
        <w:rPr>
          <w:sz w:val="22"/>
        </w:rPr>
      </w:pPr>
    </w:p>
    <w:p w14:paraId="45EA667E" w14:textId="77777777" w:rsidR="006D3646" w:rsidRPr="002B2F4C" w:rsidRDefault="006D3646" w:rsidP="006D3646">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2B2F4C">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C6AD706" w14:textId="77777777" w:rsidR="006D3646" w:rsidRPr="002B2F4C" w:rsidRDefault="006D3646" w:rsidP="006D3646">
      <w:pPr>
        <w:spacing w:line="360" w:lineRule="auto"/>
        <w:jc w:val="both"/>
        <w:rPr>
          <w:rFonts w:ascii="Palatino Linotype" w:hAnsi="Palatino Linotype" w:cs="Arial"/>
          <w:sz w:val="22"/>
        </w:rPr>
      </w:pPr>
    </w:p>
    <w:p w14:paraId="39C7E68F"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b/>
          <w:i/>
          <w:sz w:val="22"/>
        </w:rPr>
        <w:t>“Artículo 6o.</w:t>
      </w:r>
      <w:r w:rsidRPr="002B2F4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B2F4C">
        <w:rPr>
          <w:rFonts w:ascii="Palatino Linotype" w:hAnsi="Palatino Linotype" w:cs="Arial"/>
          <w:b/>
          <w:i/>
          <w:sz w:val="22"/>
        </w:rPr>
        <w:t>El derecho a la información será garantizado por el Estado.</w:t>
      </w:r>
      <w:r w:rsidRPr="002B2F4C">
        <w:rPr>
          <w:rFonts w:ascii="Palatino Linotype" w:hAnsi="Palatino Linotype" w:cs="Arial"/>
          <w:i/>
          <w:sz w:val="22"/>
        </w:rPr>
        <w:t xml:space="preserve"> </w:t>
      </w:r>
    </w:p>
    <w:p w14:paraId="44E4CC92" w14:textId="77777777" w:rsidR="006D3646" w:rsidRPr="002B2F4C" w:rsidRDefault="006D3646" w:rsidP="006D3646">
      <w:pPr>
        <w:spacing w:line="360" w:lineRule="auto"/>
        <w:ind w:left="567" w:right="567"/>
        <w:jc w:val="both"/>
        <w:rPr>
          <w:rFonts w:ascii="Palatino Linotype" w:hAnsi="Palatino Linotype" w:cs="Arial"/>
          <w:i/>
          <w:sz w:val="22"/>
        </w:rPr>
      </w:pPr>
    </w:p>
    <w:p w14:paraId="1888E7F7"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737A9EC" w14:textId="77777777" w:rsidR="006D3646" w:rsidRPr="002B2F4C" w:rsidRDefault="006D3646" w:rsidP="006D3646">
      <w:pPr>
        <w:spacing w:line="360" w:lineRule="auto"/>
        <w:ind w:left="567" w:right="567"/>
        <w:jc w:val="both"/>
        <w:rPr>
          <w:rFonts w:ascii="Palatino Linotype" w:hAnsi="Palatino Linotype" w:cs="Arial"/>
          <w:i/>
          <w:sz w:val="22"/>
        </w:rPr>
      </w:pPr>
    </w:p>
    <w:p w14:paraId="0D7EAF9C"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Para efectos de lo dispuesto en el presente artículo se observará lo siguiente:</w:t>
      </w:r>
    </w:p>
    <w:p w14:paraId="5023A43A" w14:textId="77777777" w:rsidR="006D3646" w:rsidRPr="002B2F4C" w:rsidRDefault="006D3646" w:rsidP="006D3646">
      <w:pPr>
        <w:spacing w:line="360" w:lineRule="auto"/>
        <w:ind w:left="567" w:right="567"/>
        <w:jc w:val="both"/>
        <w:rPr>
          <w:rFonts w:ascii="Palatino Linotype" w:hAnsi="Palatino Linotype" w:cs="Arial"/>
          <w:i/>
          <w:sz w:val="22"/>
        </w:rPr>
      </w:pPr>
    </w:p>
    <w:p w14:paraId="02601386"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AD9B5F9" w14:textId="77777777" w:rsidR="006D3646" w:rsidRPr="002B2F4C" w:rsidRDefault="006D3646" w:rsidP="006D3646">
      <w:pPr>
        <w:spacing w:line="360" w:lineRule="auto"/>
        <w:ind w:left="567" w:right="567"/>
        <w:jc w:val="both"/>
        <w:rPr>
          <w:rFonts w:ascii="Palatino Linotype" w:hAnsi="Palatino Linotype" w:cs="Arial"/>
          <w:b/>
          <w:i/>
          <w:sz w:val="22"/>
        </w:rPr>
      </w:pPr>
    </w:p>
    <w:p w14:paraId="4D26F770"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b/>
          <w:i/>
          <w:sz w:val="22"/>
        </w:rPr>
        <w:t>I. Toda la información en posesión de</w:t>
      </w:r>
      <w:r w:rsidRPr="002B2F4C">
        <w:rPr>
          <w:rFonts w:ascii="Palatino Linotype" w:hAnsi="Palatino Linotype" w:cs="Arial"/>
          <w:i/>
          <w:sz w:val="22"/>
        </w:rPr>
        <w:t xml:space="preserve"> </w:t>
      </w:r>
      <w:r w:rsidRPr="002B2F4C">
        <w:rPr>
          <w:rFonts w:ascii="Palatino Linotype" w:hAnsi="Palatino Linotype" w:cs="Arial"/>
          <w:b/>
          <w:i/>
          <w:sz w:val="22"/>
        </w:rPr>
        <w:t>cualquier autoridad</w:t>
      </w:r>
      <w:r w:rsidRPr="002B2F4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B2F4C">
        <w:rPr>
          <w:rFonts w:ascii="Palatino Linotype" w:hAnsi="Palatino Linotype" w:cs="Arial"/>
          <w:b/>
          <w:i/>
          <w:sz w:val="22"/>
        </w:rPr>
        <w:t>es pública</w:t>
      </w:r>
      <w:r w:rsidRPr="002B2F4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B2F4C">
        <w:rPr>
          <w:rFonts w:ascii="Palatino Linotype" w:hAnsi="Palatino Linotype" w:cs="Arial"/>
          <w:b/>
          <w:i/>
          <w:sz w:val="22"/>
        </w:rPr>
        <w:t xml:space="preserve">Los </w:t>
      </w:r>
      <w:r w:rsidRPr="002B2F4C">
        <w:rPr>
          <w:rFonts w:ascii="Palatino Linotype" w:hAnsi="Palatino Linotype" w:cs="Arial"/>
          <w:b/>
          <w:i/>
          <w:sz w:val="22"/>
        </w:rPr>
        <w:lastRenderedPageBreak/>
        <w:t>sujetos obligados deberán documentar todo acto que derive del ejercicio de sus facultades, competencias o funciones</w:t>
      </w:r>
      <w:r w:rsidRPr="002B2F4C">
        <w:rPr>
          <w:rFonts w:ascii="Palatino Linotype" w:hAnsi="Palatino Linotype" w:cs="Arial"/>
          <w:i/>
          <w:sz w:val="22"/>
        </w:rPr>
        <w:t>, la ley determinará los supuestos específicos bajo los cuales procederá la declaración de inexistencia de la información.</w:t>
      </w:r>
    </w:p>
    <w:p w14:paraId="6AEF5655" w14:textId="77777777" w:rsidR="006D3646" w:rsidRPr="002B2F4C" w:rsidRDefault="006D3646" w:rsidP="006D3646">
      <w:pPr>
        <w:spacing w:line="360" w:lineRule="auto"/>
        <w:ind w:left="567" w:right="567"/>
        <w:jc w:val="both"/>
        <w:rPr>
          <w:rFonts w:ascii="Palatino Linotype" w:hAnsi="Palatino Linotype" w:cs="Arial"/>
          <w:i/>
          <w:sz w:val="22"/>
        </w:rPr>
      </w:pPr>
    </w:p>
    <w:p w14:paraId="7ACFE220"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II. La información que se refiere a la vida privada y los datos personales será protegida en los términos y con las excepciones que fijen las leyes.</w:t>
      </w:r>
    </w:p>
    <w:p w14:paraId="1422F185" w14:textId="77777777" w:rsidR="006D3646" w:rsidRPr="002B2F4C" w:rsidRDefault="006D3646" w:rsidP="006D3646">
      <w:pPr>
        <w:spacing w:line="360" w:lineRule="auto"/>
        <w:ind w:left="567" w:right="567"/>
        <w:jc w:val="both"/>
        <w:rPr>
          <w:rFonts w:ascii="Palatino Linotype" w:hAnsi="Palatino Linotype" w:cs="Arial"/>
          <w:i/>
          <w:sz w:val="22"/>
        </w:rPr>
      </w:pPr>
    </w:p>
    <w:p w14:paraId="1B983397"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8FFEB24" w14:textId="77777777" w:rsidR="006D3646" w:rsidRPr="002B2F4C" w:rsidRDefault="006D3646" w:rsidP="006D3646">
      <w:pPr>
        <w:spacing w:line="360" w:lineRule="auto"/>
        <w:ind w:left="567" w:right="567"/>
        <w:jc w:val="both"/>
        <w:rPr>
          <w:rFonts w:ascii="Palatino Linotype" w:hAnsi="Palatino Linotype" w:cs="Arial"/>
          <w:i/>
          <w:sz w:val="22"/>
        </w:rPr>
      </w:pPr>
    </w:p>
    <w:p w14:paraId="4CECA243"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2D19CA8B" w14:textId="77777777" w:rsidR="006D3646" w:rsidRPr="002B2F4C" w:rsidRDefault="006D3646" w:rsidP="006D3646">
      <w:pPr>
        <w:spacing w:line="360" w:lineRule="auto"/>
        <w:ind w:left="567" w:right="567"/>
        <w:jc w:val="both"/>
        <w:rPr>
          <w:rFonts w:ascii="Palatino Linotype" w:hAnsi="Palatino Linotype" w:cs="Arial"/>
          <w:b/>
          <w:i/>
          <w:sz w:val="22"/>
        </w:rPr>
      </w:pPr>
    </w:p>
    <w:p w14:paraId="517C070B"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b/>
          <w:i/>
          <w:sz w:val="22"/>
        </w:rPr>
        <w:t>V. Los sujetos obligados deberán preservar sus documentos en archivos administrativos actualizados y publicarán, a través de los medios electrónicos disponibles</w:t>
      </w:r>
      <w:r w:rsidRPr="002B2F4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E2714F4" w14:textId="77777777" w:rsidR="006D3646" w:rsidRPr="002B2F4C" w:rsidRDefault="006D3646" w:rsidP="006D3646">
      <w:pPr>
        <w:spacing w:line="360" w:lineRule="auto"/>
        <w:ind w:left="567" w:right="567"/>
        <w:jc w:val="both"/>
        <w:rPr>
          <w:rFonts w:ascii="Palatino Linotype" w:hAnsi="Palatino Linotype" w:cs="Arial"/>
          <w:i/>
          <w:sz w:val="22"/>
        </w:rPr>
      </w:pPr>
    </w:p>
    <w:p w14:paraId="5C5B93F4"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047E423" w14:textId="77777777" w:rsidR="006D3646" w:rsidRPr="002B2F4C" w:rsidRDefault="006D3646" w:rsidP="006D3646">
      <w:pPr>
        <w:spacing w:line="360" w:lineRule="auto"/>
        <w:ind w:left="567" w:right="567"/>
        <w:jc w:val="both"/>
        <w:rPr>
          <w:rFonts w:ascii="Palatino Linotype" w:hAnsi="Palatino Linotype" w:cs="Arial"/>
          <w:i/>
          <w:sz w:val="22"/>
        </w:rPr>
      </w:pPr>
    </w:p>
    <w:p w14:paraId="2107ED28"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21D439" w14:textId="77777777" w:rsidR="006D3646" w:rsidRPr="002B2F4C" w:rsidRDefault="006D3646" w:rsidP="006D3646">
      <w:pPr>
        <w:spacing w:line="360" w:lineRule="auto"/>
        <w:ind w:left="567" w:right="567"/>
        <w:jc w:val="both"/>
        <w:rPr>
          <w:rFonts w:ascii="Palatino Linotype" w:hAnsi="Palatino Linotype" w:cs="Arial"/>
          <w:i/>
          <w:sz w:val="22"/>
        </w:rPr>
      </w:pPr>
    </w:p>
    <w:p w14:paraId="54D76D7E"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7904BFE"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w:t>
      </w:r>
    </w:p>
    <w:p w14:paraId="25C04B95"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cs="Arial"/>
          <w:i/>
          <w:sz w:val="22"/>
        </w:rPr>
        <w:t>La ley establecerá aquella información que se considere reservada o confidencial.”</w:t>
      </w:r>
    </w:p>
    <w:p w14:paraId="5D2053B7" w14:textId="77777777" w:rsidR="006D3646" w:rsidRPr="002B2F4C" w:rsidRDefault="006D3646" w:rsidP="006D3646">
      <w:pPr>
        <w:spacing w:line="360" w:lineRule="auto"/>
        <w:ind w:left="567" w:right="567"/>
        <w:jc w:val="both"/>
        <w:rPr>
          <w:rFonts w:ascii="Palatino Linotype" w:hAnsi="Palatino Linotype"/>
          <w:i/>
          <w:sz w:val="22"/>
        </w:rPr>
      </w:pPr>
    </w:p>
    <w:p w14:paraId="3C388359"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i/>
          <w:sz w:val="22"/>
        </w:rPr>
        <w:t>(Énfasis añadido)</w:t>
      </w:r>
    </w:p>
    <w:p w14:paraId="5F13CE70" w14:textId="77777777" w:rsidR="006D3646" w:rsidRPr="002B2F4C" w:rsidRDefault="006D3646" w:rsidP="006D3646">
      <w:pPr>
        <w:spacing w:line="360" w:lineRule="auto"/>
        <w:ind w:left="709" w:right="757"/>
        <w:jc w:val="both"/>
        <w:rPr>
          <w:rFonts w:ascii="Palatino Linotype" w:hAnsi="Palatino Linotype"/>
        </w:rPr>
      </w:pPr>
    </w:p>
    <w:p w14:paraId="15E3881D" w14:textId="77777777" w:rsidR="006D3646" w:rsidRPr="002B2F4C" w:rsidRDefault="006D3646" w:rsidP="006D3646">
      <w:pPr>
        <w:pStyle w:val="Prrafodelista"/>
        <w:numPr>
          <w:ilvl w:val="0"/>
          <w:numId w:val="2"/>
        </w:numPr>
        <w:spacing w:line="360" w:lineRule="auto"/>
        <w:ind w:left="0" w:firstLine="0"/>
        <w:jc w:val="both"/>
        <w:rPr>
          <w:rFonts w:ascii="Palatino Linotype" w:hAnsi="Palatino Linotype" w:cs="Arial"/>
          <w:sz w:val="24"/>
        </w:rPr>
      </w:pPr>
      <w:r w:rsidRPr="002B2F4C">
        <w:rPr>
          <w:rFonts w:ascii="Palatino Linotype" w:hAnsi="Palatino Linotype" w:cs="Arial"/>
          <w:sz w:val="24"/>
        </w:rPr>
        <w:t>Por su parte, la Constitución Política del Estado Libre y Soberano de México, en su artículo 5°, dispone en su parte conducente, lo siguiente:</w:t>
      </w:r>
    </w:p>
    <w:p w14:paraId="54E989D0" w14:textId="77777777" w:rsidR="006D3646" w:rsidRPr="002B2F4C" w:rsidRDefault="006D3646" w:rsidP="006D3646">
      <w:pPr>
        <w:spacing w:line="360" w:lineRule="auto"/>
        <w:ind w:left="709" w:right="757"/>
        <w:jc w:val="both"/>
        <w:rPr>
          <w:rFonts w:ascii="Palatino Linotype" w:hAnsi="Palatino Linotype" w:cs="Arial"/>
          <w:sz w:val="22"/>
        </w:rPr>
      </w:pPr>
    </w:p>
    <w:p w14:paraId="1E58E321" w14:textId="77777777" w:rsidR="006D3646" w:rsidRPr="002B2F4C" w:rsidRDefault="006D3646" w:rsidP="006D3646">
      <w:pPr>
        <w:spacing w:line="360" w:lineRule="auto"/>
        <w:ind w:left="567" w:right="567"/>
        <w:jc w:val="both"/>
        <w:rPr>
          <w:rFonts w:ascii="Palatino Linotype" w:hAnsi="Palatino Linotype" w:cs="Arial"/>
          <w:b/>
          <w:i/>
          <w:sz w:val="22"/>
        </w:rPr>
      </w:pPr>
      <w:r w:rsidRPr="002B2F4C">
        <w:rPr>
          <w:rFonts w:ascii="Palatino Linotype" w:hAnsi="Palatino Linotype" w:cs="Arial"/>
          <w:b/>
          <w:i/>
          <w:sz w:val="22"/>
        </w:rPr>
        <w:t xml:space="preserve">“Artículo 5. … </w:t>
      </w:r>
    </w:p>
    <w:p w14:paraId="530E3869"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b/>
          <w:i/>
          <w:sz w:val="22"/>
        </w:rPr>
        <w:t>El derecho a la información será garantizado por el Estado</w:t>
      </w:r>
      <w:r w:rsidRPr="002B2F4C">
        <w:rPr>
          <w:rFonts w:ascii="Palatino Linotype" w:hAnsi="Palatino Linotype"/>
          <w:i/>
          <w:sz w:val="22"/>
        </w:rPr>
        <w:t xml:space="preserve">. La ley establecerá las previsiones que permitan asegurar la protección, el respeto y la difusión de este derecho. </w:t>
      </w:r>
    </w:p>
    <w:p w14:paraId="639702A9"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34E0A87" w14:textId="77777777" w:rsidR="006D3646" w:rsidRPr="002B2F4C" w:rsidRDefault="006D3646" w:rsidP="006D3646">
      <w:pPr>
        <w:spacing w:line="360" w:lineRule="auto"/>
        <w:ind w:left="567" w:right="567"/>
        <w:jc w:val="both"/>
        <w:rPr>
          <w:rFonts w:ascii="Palatino Linotype" w:hAnsi="Palatino Linotype"/>
          <w:i/>
          <w:sz w:val="22"/>
        </w:rPr>
      </w:pPr>
    </w:p>
    <w:p w14:paraId="53F69D8E"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i/>
          <w:sz w:val="22"/>
        </w:rPr>
        <w:t>Este derecho se regirá por los principios y bases siguientes:</w:t>
      </w:r>
    </w:p>
    <w:p w14:paraId="3707397D" w14:textId="77777777" w:rsidR="006D3646" w:rsidRPr="002B2F4C" w:rsidRDefault="006D3646" w:rsidP="006D3646">
      <w:pPr>
        <w:spacing w:line="360" w:lineRule="auto"/>
        <w:ind w:left="567" w:right="567"/>
        <w:jc w:val="both"/>
        <w:rPr>
          <w:rFonts w:ascii="Palatino Linotype" w:hAnsi="Palatino Linotype"/>
          <w:b/>
          <w:i/>
          <w:sz w:val="22"/>
        </w:rPr>
      </w:pPr>
    </w:p>
    <w:p w14:paraId="2B352F47"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b/>
          <w:i/>
          <w:sz w:val="22"/>
        </w:rPr>
        <w:t xml:space="preserve">I. Toda la información en posesión </w:t>
      </w:r>
      <w:r w:rsidRPr="002B2F4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B2F4C">
        <w:rPr>
          <w:rFonts w:ascii="Palatino Linotype" w:hAnsi="Palatino Linotype"/>
          <w:b/>
          <w:i/>
          <w:sz w:val="22"/>
        </w:rPr>
        <w:t>del gobierno y de la administración pública municipal y sus organismos descentralizados</w:t>
      </w:r>
      <w:r w:rsidRPr="002B2F4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B2F4C">
        <w:rPr>
          <w:rFonts w:ascii="Palatino Linotype" w:hAnsi="Palatino Linotype"/>
          <w:b/>
          <w:i/>
          <w:sz w:val="22"/>
        </w:rPr>
        <w:t>es pública</w:t>
      </w:r>
      <w:r w:rsidRPr="002B2F4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63797B" w14:textId="77777777" w:rsidR="006D3646" w:rsidRPr="002B2F4C" w:rsidRDefault="006D3646" w:rsidP="006D3646">
      <w:pPr>
        <w:spacing w:line="360" w:lineRule="auto"/>
        <w:ind w:left="567" w:right="567"/>
        <w:jc w:val="both"/>
        <w:rPr>
          <w:rFonts w:ascii="Palatino Linotype" w:hAnsi="Palatino Linotype"/>
          <w:i/>
          <w:sz w:val="22"/>
        </w:rPr>
      </w:pPr>
    </w:p>
    <w:p w14:paraId="2D38307D"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FA8E5DA" w14:textId="77777777" w:rsidR="006D3646" w:rsidRPr="002B2F4C" w:rsidRDefault="006D3646" w:rsidP="006D3646">
      <w:pPr>
        <w:spacing w:line="360" w:lineRule="auto"/>
        <w:ind w:left="567" w:right="567"/>
        <w:jc w:val="both"/>
        <w:rPr>
          <w:rFonts w:ascii="Palatino Linotype" w:hAnsi="Palatino Linotype"/>
          <w:i/>
          <w:sz w:val="22"/>
        </w:rPr>
      </w:pPr>
    </w:p>
    <w:p w14:paraId="6D86D01B"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67EA9BEF" w14:textId="77777777" w:rsidR="006D3646" w:rsidRPr="002B2F4C" w:rsidRDefault="006D3646" w:rsidP="006D3646">
      <w:pPr>
        <w:spacing w:line="360" w:lineRule="auto"/>
        <w:ind w:left="567" w:right="567"/>
        <w:jc w:val="both"/>
        <w:rPr>
          <w:rFonts w:ascii="Palatino Linotype" w:hAnsi="Palatino Linotype"/>
          <w:i/>
          <w:sz w:val="22"/>
        </w:rPr>
      </w:pPr>
    </w:p>
    <w:p w14:paraId="2E6D110B"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29339815" w14:textId="77777777" w:rsidR="006D3646" w:rsidRPr="002B2F4C" w:rsidRDefault="006D3646" w:rsidP="006D3646">
      <w:pPr>
        <w:spacing w:line="360" w:lineRule="auto"/>
        <w:ind w:left="567" w:right="567"/>
        <w:jc w:val="both"/>
        <w:rPr>
          <w:rFonts w:ascii="Palatino Linotype" w:hAnsi="Palatino Linotype"/>
          <w:i/>
          <w:sz w:val="22"/>
        </w:rPr>
      </w:pPr>
    </w:p>
    <w:p w14:paraId="3B5E233D"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57AAB2F" w14:textId="77777777" w:rsidR="006D3646" w:rsidRPr="002B2F4C" w:rsidRDefault="006D3646" w:rsidP="006D3646">
      <w:pPr>
        <w:spacing w:line="360" w:lineRule="auto"/>
        <w:ind w:left="567" w:right="567"/>
        <w:jc w:val="both"/>
        <w:rPr>
          <w:rFonts w:ascii="Palatino Linotype" w:hAnsi="Palatino Linotype"/>
          <w:b/>
          <w:i/>
          <w:sz w:val="22"/>
        </w:rPr>
      </w:pPr>
    </w:p>
    <w:p w14:paraId="6E06039C" w14:textId="77777777" w:rsidR="006D3646" w:rsidRPr="002B2F4C" w:rsidRDefault="006D3646" w:rsidP="006D3646">
      <w:pPr>
        <w:spacing w:line="360" w:lineRule="auto"/>
        <w:ind w:left="567" w:right="567"/>
        <w:jc w:val="both"/>
        <w:rPr>
          <w:rFonts w:ascii="Palatino Linotype" w:hAnsi="Palatino Linotype"/>
          <w:i/>
          <w:sz w:val="22"/>
        </w:rPr>
      </w:pPr>
      <w:r w:rsidRPr="002B2F4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B2F4C">
        <w:rPr>
          <w:rFonts w:ascii="Palatino Linotype" w:hAnsi="Palatino Linotype"/>
          <w:i/>
          <w:sz w:val="22"/>
        </w:rPr>
        <w:t xml:space="preserve"> y los indicadores que permitan rendir cuenta del cumplimiento de sus objetivos y los resultados obtenidos.</w:t>
      </w:r>
    </w:p>
    <w:p w14:paraId="77C57A32" w14:textId="77777777" w:rsidR="006D3646" w:rsidRPr="002B2F4C" w:rsidRDefault="006D3646" w:rsidP="006D3646">
      <w:pPr>
        <w:spacing w:line="360" w:lineRule="auto"/>
        <w:ind w:left="567" w:right="567"/>
        <w:jc w:val="both"/>
        <w:rPr>
          <w:rFonts w:ascii="Palatino Linotype" w:hAnsi="Palatino Linotype"/>
          <w:i/>
          <w:sz w:val="22"/>
        </w:rPr>
      </w:pPr>
    </w:p>
    <w:p w14:paraId="6DEDBA2F" w14:textId="77777777" w:rsidR="006D3646" w:rsidRPr="002B2F4C" w:rsidRDefault="006D3646" w:rsidP="006D3646">
      <w:pPr>
        <w:spacing w:line="360" w:lineRule="auto"/>
        <w:ind w:left="567" w:right="567"/>
        <w:jc w:val="both"/>
        <w:rPr>
          <w:rFonts w:ascii="Palatino Linotype" w:hAnsi="Palatino Linotype" w:cs="Arial"/>
          <w:i/>
          <w:sz w:val="22"/>
        </w:rPr>
      </w:pPr>
      <w:r w:rsidRPr="002B2F4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40C9E2D" w14:textId="77777777" w:rsidR="006D3646" w:rsidRPr="002B2F4C" w:rsidRDefault="006D3646" w:rsidP="006D3646">
      <w:pPr>
        <w:spacing w:line="360" w:lineRule="auto"/>
        <w:ind w:left="567" w:right="567"/>
        <w:jc w:val="both"/>
        <w:rPr>
          <w:rFonts w:ascii="Palatino Linotype" w:hAnsi="Palatino Linotype"/>
          <w:sz w:val="22"/>
        </w:rPr>
      </w:pPr>
    </w:p>
    <w:p w14:paraId="031CFCFE" w14:textId="77777777" w:rsidR="006D3646" w:rsidRPr="002B2F4C" w:rsidRDefault="006D3646" w:rsidP="006D3646">
      <w:pPr>
        <w:spacing w:line="360" w:lineRule="auto"/>
        <w:ind w:left="567" w:right="567"/>
        <w:jc w:val="both"/>
        <w:rPr>
          <w:rFonts w:ascii="Palatino Linotype" w:hAnsi="Palatino Linotype"/>
          <w:sz w:val="22"/>
        </w:rPr>
      </w:pPr>
      <w:r w:rsidRPr="002B2F4C">
        <w:rPr>
          <w:rFonts w:ascii="Palatino Linotype" w:hAnsi="Palatino Linotype"/>
          <w:sz w:val="22"/>
        </w:rPr>
        <w:t>(Énfasis añadido)</w:t>
      </w:r>
    </w:p>
    <w:p w14:paraId="0A224B2F" w14:textId="77777777" w:rsidR="006D3646" w:rsidRPr="002B2F4C" w:rsidRDefault="006D3646" w:rsidP="006D3646">
      <w:pPr>
        <w:spacing w:line="360" w:lineRule="auto"/>
        <w:ind w:left="567" w:right="567"/>
        <w:jc w:val="both"/>
        <w:rPr>
          <w:rFonts w:ascii="Palatino Linotype" w:hAnsi="Palatino Linotype"/>
          <w:sz w:val="24"/>
        </w:rPr>
      </w:pPr>
    </w:p>
    <w:p w14:paraId="60AAF250" w14:textId="77777777" w:rsidR="006D3646" w:rsidRPr="002B2F4C" w:rsidRDefault="006D3646" w:rsidP="006D3646">
      <w:pPr>
        <w:pStyle w:val="Prrafodelista"/>
        <w:numPr>
          <w:ilvl w:val="0"/>
          <w:numId w:val="2"/>
        </w:numPr>
        <w:spacing w:line="360" w:lineRule="auto"/>
        <w:ind w:left="0" w:firstLine="0"/>
        <w:jc w:val="both"/>
        <w:rPr>
          <w:rFonts w:ascii="Palatino Linotype" w:hAnsi="Palatino Linotype" w:cs="Arial"/>
          <w:sz w:val="24"/>
        </w:rPr>
      </w:pPr>
      <w:r w:rsidRPr="002B2F4C">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191EC64A" w14:textId="77777777" w:rsidR="006D3646" w:rsidRPr="002B2F4C" w:rsidRDefault="006D3646" w:rsidP="006D3646">
      <w:pPr>
        <w:spacing w:line="360" w:lineRule="auto"/>
        <w:jc w:val="both"/>
        <w:rPr>
          <w:rFonts w:ascii="Palatino Linotype" w:hAnsi="Palatino Linotype" w:cs="Arial"/>
          <w:sz w:val="22"/>
        </w:rPr>
      </w:pPr>
    </w:p>
    <w:p w14:paraId="4CA9CA44" w14:textId="77777777" w:rsidR="006D3646" w:rsidRPr="002B2F4C" w:rsidRDefault="006D3646" w:rsidP="006D3646">
      <w:pPr>
        <w:ind w:left="567" w:right="567"/>
        <w:jc w:val="both"/>
        <w:rPr>
          <w:rFonts w:ascii="Palatino Linotype" w:hAnsi="Palatino Linotype" w:cs="Arial"/>
          <w:i/>
          <w:sz w:val="22"/>
        </w:rPr>
      </w:pPr>
      <w:r w:rsidRPr="002B2F4C">
        <w:rPr>
          <w:rFonts w:ascii="Palatino Linotype" w:hAnsi="Palatino Linotype" w:cs="Arial"/>
          <w:b/>
          <w:i/>
          <w:sz w:val="22"/>
        </w:rPr>
        <w:t xml:space="preserve">“Artículo 23. Son sujetos obligados a transparentar y permitir el acceso a su información y </w:t>
      </w:r>
      <w:r w:rsidRPr="002B2F4C">
        <w:rPr>
          <w:rFonts w:ascii="Palatino Linotype" w:hAnsi="Palatino Linotype"/>
          <w:b/>
          <w:i/>
          <w:sz w:val="22"/>
        </w:rPr>
        <w:t>proteger</w:t>
      </w:r>
      <w:r w:rsidRPr="002B2F4C">
        <w:rPr>
          <w:rFonts w:ascii="Palatino Linotype" w:hAnsi="Palatino Linotype" w:cs="Arial"/>
          <w:b/>
          <w:i/>
          <w:sz w:val="22"/>
        </w:rPr>
        <w:t xml:space="preserve"> los datos personales que obren en su poder</w:t>
      </w:r>
      <w:r w:rsidRPr="002B2F4C">
        <w:rPr>
          <w:rFonts w:ascii="Palatino Linotype" w:hAnsi="Palatino Linotype" w:cs="Arial"/>
          <w:i/>
          <w:sz w:val="22"/>
        </w:rPr>
        <w:t>:</w:t>
      </w:r>
    </w:p>
    <w:p w14:paraId="28C17430" w14:textId="77777777" w:rsidR="006D3646" w:rsidRPr="002B2F4C" w:rsidRDefault="006D3646" w:rsidP="006D3646">
      <w:pPr>
        <w:ind w:left="567" w:right="567"/>
        <w:jc w:val="both"/>
        <w:rPr>
          <w:rFonts w:ascii="Palatino Linotype" w:hAnsi="Palatino Linotype" w:cs="Arial"/>
          <w:i/>
          <w:sz w:val="22"/>
        </w:rPr>
      </w:pPr>
      <w:r w:rsidRPr="002B2F4C">
        <w:rPr>
          <w:rFonts w:ascii="Palatino Linotype" w:hAnsi="Palatino Linotype" w:cs="Arial"/>
          <w:i/>
          <w:sz w:val="22"/>
        </w:rPr>
        <w:t>…</w:t>
      </w:r>
    </w:p>
    <w:p w14:paraId="209314FB" w14:textId="77777777" w:rsidR="006D3646" w:rsidRPr="002B2F4C" w:rsidRDefault="006D3646" w:rsidP="006D3646">
      <w:pPr>
        <w:ind w:left="567" w:right="567"/>
        <w:jc w:val="both"/>
        <w:rPr>
          <w:rFonts w:ascii="Palatino Linotype" w:hAnsi="Palatino Linotype" w:cs="Arial"/>
          <w:i/>
          <w:sz w:val="22"/>
        </w:rPr>
      </w:pPr>
    </w:p>
    <w:p w14:paraId="459895DC" w14:textId="77777777" w:rsidR="006D3646" w:rsidRPr="002B2F4C" w:rsidRDefault="006D3646" w:rsidP="006D3646">
      <w:pPr>
        <w:ind w:left="567" w:right="567"/>
        <w:jc w:val="both"/>
        <w:rPr>
          <w:rFonts w:ascii="Palatino Linotype" w:hAnsi="Palatino Linotype" w:cs="Arial"/>
          <w:b/>
          <w:i/>
          <w:sz w:val="22"/>
          <w:szCs w:val="22"/>
        </w:rPr>
      </w:pPr>
      <w:r w:rsidRPr="002B2F4C">
        <w:rPr>
          <w:rFonts w:ascii="Palatino Linotype" w:hAnsi="Palatino Linotype" w:cs="Arial"/>
          <w:b/>
          <w:i/>
          <w:sz w:val="22"/>
          <w:szCs w:val="22"/>
        </w:rPr>
        <w:t xml:space="preserve">IV. </w:t>
      </w:r>
      <w:r w:rsidRPr="002B2F4C">
        <w:rPr>
          <w:rFonts w:ascii="Palatino Linotype" w:eastAsiaTheme="minorHAnsi" w:hAnsi="Palatino Linotype" w:cs="Bookman Old Style"/>
          <w:b/>
          <w:i/>
          <w:sz w:val="22"/>
          <w:szCs w:val="22"/>
          <w:lang w:eastAsia="en-US"/>
        </w:rPr>
        <w:t>Los ayuntamientos</w:t>
      </w:r>
      <w:r w:rsidRPr="002B2F4C">
        <w:rPr>
          <w:rFonts w:ascii="Palatino Linotype" w:eastAsiaTheme="minorHAnsi" w:hAnsi="Palatino Linotype" w:cs="Bookman Old Style"/>
          <w:i/>
          <w:sz w:val="22"/>
          <w:szCs w:val="22"/>
          <w:lang w:eastAsia="en-US"/>
        </w:rPr>
        <w:t xml:space="preserve"> y las dependencias, organismos, órganos y entidades de la administración municipal;</w:t>
      </w:r>
    </w:p>
    <w:p w14:paraId="09B9E700" w14:textId="77777777" w:rsidR="006D3646" w:rsidRPr="002B2F4C" w:rsidRDefault="006D3646" w:rsidP="006D3646">
      <w:pPr>
        <w:ind w:left="567" w:right="567"/>
        <w:jc w:val="both"/>
        <w:rPr>
          <w:rFonts w:ascii="Palatino Linotype" w:hAnsi="Palatino Linotype" w:cs="Arial"/>
          <w:i/>
          <w:sz w:val="22"/>
        </w:rPr>
      </w:pPr>
      <w:r w:rsidRPr="002B2F4C">
        <w:rPr>
          <w:rFonts w:ascii="Palatino Linotype" w:hAnsi="Palatino Linotype" w:cs="Arial"/>
          <w:i/>
          <w:sz w:val="22"/>
        </w:rPr>
        <w:t>…</w:t>
      </w:r>
    </w:p>
    <w:p w14:paraId="3BDFA8D1" w14:textId="77777777" w:rsidR="006D3646" w:rsidRPr="002B2F4C" w:rsidRDefault="006D3646" w:rsidP="006D3646">
      <w:pPr>
        <w:ind w:left="567" w:right="567"/>
        <w:jc w:val="both"/>
        <w:rPr>
          <w:rFonts w:ascii="Palatino Linotype" w:hAnsi="Palatino Linotype"/>
          <w:i/>
          <w:sz w:val="22"/>
        </w:rPr>
      </w:pPr>
    </w:p>
    <w:p w14:paraId="0E5C2E26" w14:textId="77777777" w:rsidR="006D3646" w:rsidRPr="002B2F4C" w:rsidRDefault="006D3646" w:rsidP="006D3646">
      <w:pPr>
        <w:ind w:left="567" w:right="567"/>
        <w:jc w:val="both"/>
        <w:rPr>
          <w:rFonts w:ascii="Palatino Linotype" w:hAnsi="Palatino Linotype"/>
          <w:i/>
          <w:sz w:val="22"/>
        </w:rPr>
      </w:pPr>
      <w:r w:rsidRPr="002B2F4C">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1632194" w14:textId="77777777" w:rsidR="006D3646" w:rsidRPr="002B2F4C" w:rsidRDefault="006D3646" w:rsidP="006D3646">
      <w:pPr>
        <w:ind w:left="567" w:right="567"/>
        <w:jc w:val="both"/>
        <w:rPr>
          <w:rFonts w:ascii="Palatino Linotype" w:hAnsi="Palatino Linotype" w:cs="Arial"/>
          <w:b/>
          <w:i/>
          <w:sz w:val="22"/>
        </w:rPr>
      </w:pPr>
    </w:p>
    <w:p w14:paraId="530BDFF7" w14:textId="77777777" w:rsidR="006D3646" w:rsidRPr="002B2F4C" w:rsidRDefault="006D3646" w:rsidP="006D3646">
      <w:pPr>
        <w:ind w:left="567" w:right="567"/>
        <w:jc w:val="both"/>
        <w:rPr>
          <w:rFonts w:ascii="Palatino Linotype" w:hAnsi="Palatino Linotype" w:cs="Arial"/>
          <w:i/>
          <w:sz w:val="22"/>
        </w:rPr>
      </w:pPr>
      <w:r w:rsidRPr="002B2F4C">
        <w:rPr>
          <w:rFonts w:ascii="Palatino Linotype" w:hAnsi="Palatino Linotype" w:cs="Arial"/>
          <w:b/>
          <w:i/>
          <w:sz w:val="22"/>
        </w:rPr>
        <w:t>Los servidores públicos deberán transparentar sus acciones así como garantizar y respetar el derecho de acceso a la información pública.”</w:t>
      </w:r>
    </w:p>
    <w:p w14:paraId="099BDF3A" w14:textId="77777777" w:rsidR="006D3646" w:rsidRPr="002B2F4C" w:rsidRDefault="006D3646" w:rsidP="006D3646">
      <w:pPr>
        <w:ind w:left="567" w:right="567"/>
        <w:jc w:val="both"/>
        <w:rPr>
          <w:rFonts w:ascii="Palatino Linotype" w:hAnsi="Palatino Linotype" w:cs="Arial"/>
          <w:sz w:val="22"/>
        </w:rPr>
      </w:pPr>
    </w:p>
    <w:p w14:paraId="3BCF6081" w14:textId="77777777" w:rsidR="006D3646" w:rsidRPr="002B2F4C" w:rsidRDefault="006D3646" w:rsidP="006D3646">
      <w:pPr>
        <w:ind w:left="567" w:right="567"/>
        <w:jc w:val="both"/>
        <w:rPr>
          <w:rFonts w:ascii="Palatino Linotype" w:hAnsi="Palatino Linotype" w:cs="Arial"/>
          <w:sz w:val="22"/>
        </w:rPr>
      </w:pPr>
      <w:r w:rsidRPr="002B2F4C">
        <w:rPr>
          <w:rFonts w:ascii="Palatino Linotype" w:hAnsi="Palatino Linotype" w:cs="Arial"/>
          <w:sz w:val="22"/>
        </w:rPr>
        <w:t>(Énfasis añadido)</w:t>
      </w:r>
    </w:p>
    <w:p w14:paraId="1DB603B1" w14:textId="77777777" w:rsidR="006D3646" w:rsidRPr="002B2F4C" w:rsidRDefault="006D3646" w:rsidP="006D3646">
      <w:pPr>
        <w:spacing w:line="360" w:lineRule="auto"/>
        <w:jc w:val="both"/>
        <w:rPr>
          <w:rFonts w:ascii="Palatino Linotype" w:hAnsi="Palatino Linotype" w:cs="Arial"/>
          <w:sz w:val="22"/>
        </w:rPr>
      </w:pPr>
    </w:p>
    <w:p w14:paraId="6AB85412" w14:textId="77777777" w:rsidR="006D3646" w:rsidRPr="002B2F4C" w:rsidRDefault="006D3646" w:rsidP="006D3646">
      <w:pPr>
        <w:pStyle w:val="Prrafodelista"/>
        <w:numPr>
          <w:ilvl w:val="0"/>
          <w:numId w:val="2"/>
        </w:numPr>
        <w:spacing w:line="360" w:lineRule="auto"/>
        <w:ind w:left="0" w:firstLine="0"/>
        <w:jc w:val="both"/>
        <w:rPr>
          <w:rFonts w:ascii="Palatino Linotype" w:hAnsi="Palatino Linotype" w:cs="Arial"/>
          <w:sz w:val="24"/>
        </w:rPr>
      </w:pPr>
      <w:r w:rsidRPr="002B2F4C">
        <w:rPr>
          <w:rFonts w:ascii="Palatino Linotype" w:hAnsi="Palatino Linotype" w:cs="Arial"/>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C7E2E46" w14:textId="77777777" w:rsidR="006D3646" w:rsidRPr="002B2F4C" w:rsidRDefault="006D3646" w:rsidP="006D3646">
      <w:pPr>
        <w:pStyle w:val="Prrafodelista"/>
        <w:spacing w:line="360" w:lineRule="auto"/>
        <w:ind w:left="0"/>
        <w:jc w:val="both"/>
        <w:rPr>
          <w:rFonts w:ascii="Palatino Linotype" w:hAnsi="Palatino Linotype" w:cs="Arial"/>
          <w:sz w:val="24"/>
        </w:rPr>
      </w:pPr>
    </w:p>
    <w:p w14:paraId="1B8D19A4" w14:textId="77777777" w:rsidR="00C00B51" w:rsidRPr="002B2F4C" w:rsidRDefault="00C00B51" w:rsidP="006D3646">
      <w:pPr>
        <w:pStyle w:val="Prrafodelista"/>
        <w:numPr>
          <w:ilvl w:val="0"/>
          <w:numId w:val="2"/>
        </w:numPr>
        <w:spacing w:line="360" w:lineRule="auto"/>
        <w:ind w:left="0" w:firstLine="0"/>
        <w:jc w:val="both"/>
        <w:rPr>
          <w:rFonts w:ascii="Palatino Linotype" w:hAnsi="Palatino Linotype" w:cs="Arial"/>
          <w:sz w:val="24"/>
        </w:rPr>
      </w:pPr>
      <w:r w:rsidRPr="002B2F4C">
        <w:rPr>
          <w:rFonts w:ascii="Palatino Linotype" w:hAnsi="Palatino Linotype" w:cs="Arial"/>
          <w:sz w:val="24"/>
        </w:rPr>
        <w:lastRenderedPageBreak/>
        <w:t>Dicho lo anterior, es necesario traer a contexto los requerimientos del particular, siendo los siguientes:</w:t>
      </w:r>
    </w:p>
    <w:p w14:paraId="75A06866" w14:textId="77777777" w:rsidR="00C00B51" w:rsidRPr="002B2F4C" w:rsidRDefault="00C00B51" w:rsidP="00C00B51">
      <w:pPr>
        <w:pStyle w:val="Prrafodelista"/>
        <w:rPr>
          <w:rFonts w:ascii="Palatino Linotype" w:hAnsi="Palatino Linotype" w:cs="Arial"/>
          <w:sz w:val="24"/>
        </w:rPr>
      </w:pPr>
    </w:p>
    <w:p w14:paraId="5B9313DB" w14:textId="55418519" w:rsidR="00C00B51" w:rsidRPr="002B2F4C" w:rsidRDefault="00C00B51" w:rsidP="00E216AD">
      <w:pPr>
        <w:pStyle w:val="Prrafodelista"/>
        <w:numPr>
          <w:ilvl w:val="0"/>
          <w:numId w:val="9"/>
        </w:numPr>
        <w:spacing w:line="360" w:lineRule="auto"/>
        <w:jc w:val="both"/>
        <w:rPr>
          <w:rFonts w:ascii="Palatino Linotype" w:hAnsi="Palatino Linotype" w:cs="Arial"/>
          <w:sz w:val="24"/>
        </w:rPr>
      </w:pPr>
      <w:r w:rsidRPr="002B2F4C">
        <w:rPr>
          <w:rFonts w:ascii="Palatino Linotype" w:hAnsi="Palatino Linotype" w:cs="Arial"/>
          <w:sz w:val="24"/>
        </w:rPr>
        <w:t>Currículum del personal adscrito al IMCUFIDEM</w:t>
      </w:r>
      <w:r w:rsidR="008F01BD" w:rsidRPr="002B2F4C">
        <w:rPr>
          <w:rFonts w:ascii="Palatino Linotype" w:hAnsi="Palatino Linotype" w:cs="Arial"/>
          <w:sz w:val="24"/>
        </w:rPr>
        <w:t>.</w:t>
      </w:r>
    </w:p>
    <w:p w14:paraId="669C668C" w14:textId="77777777" w:rsidR="00C00B51" w:rsidRPr="002B2F4C" w:rsidRDefault="00C00B51" w:rsidP="00C00B51">
      <w:pPr>
        <w:pStyle w:val="Prrafodelista"/>
        <w:spacing w:line="360" w:lineRule="auto"/>
        <w:ind w:left="0"/>
        <w:jc w:val="both"/>
        <w:rPr>
          <w:rFonts w:ascii="Palatino Linotype" w:hAnsi="Palatino Linotype" w:cs="Arial"/>
          <w:sz w:val="24"/>
        </w:rPr>
      </w:pPr>
    </w:p>
    <w:p w14:paraId="2478230E" w14:textId="541E6DB7" w:rsidR="00C00B51" w:rsidRPr="002B2F4C" w:rsidRDefault="00C00B51" w:rsidP="006D3646">
      <w:pPr>
        <w:pStyle w:val="Prrafodelista"/>
        <w:numPr>
          <w:ilvl w:val="0"/>
          <w:numId w:val="2"/>
        </w:numPr>
        <w:spacing w:line="360" w:lineRule="auto"/>
        <w:ind w:left="0" w:firstLine="0"/>
        <w:jc w:val="both"/>
        <w:rPr>
          <w:rFonts w:ascii="Palatino Linotype" w:hAnsi="Palatino Linotype" w:cs="Arial"/>
          <w:sz w:val="24"/>
        </w:rPr>
      </w:pPr>
      <w:r w:rsidRPr="002B2F4C">
        <w:rPr>
          <w:rFonts w:ascii="Palatino Linotype" w:hAnsi="Palatino Linotype" w:cs="Arial"/>
          <w:sz w:val="24"/>
        </w:rPr>
        <w:t>De la entrega de la información en el cumplimiento de la Resolución. Se aprecia que el Sujeto Obligado entregó diversos currículum vitae en versión p</w:t>
      </w:r>
      <w:r w:rsidR="008F01BD" w:rsidRPr="002B2F4C">
        <w:rPr>
          <w:rFonts w:ascii="Palatino Linotype" w:hAnsi="Palatino Linotype" w:cs="Arial"/>
          <w:sz w:val="24"/>
        </w:rPr>
        <w:t>ública, así como el acta del Comité de Transparencia que sustenta las versiones públicas.</w:t>
      </w:r>
    </w:p>
    <w:p w14:paraId="134B391C" w14:textId="77777777" w:rsidR="00C00B51" w:rsidRPr="002B2F4C" w:rsidRDefault="00C00B51" w:rsidP="00C00B51">
      <w:pPr>
        <w:pStyle w:val="Prrafodelista"/>
        <w:spacing w:line="360" w:lineRule="auto"/>
        <w:ind w:left="0"/>
        <w:jc w:val="both"/>
        <w:rPr>
          <w:rFonts w:ascii="Palatino Linotype" w:hAnsi="Palatino Linotype" w:cs="Arial"/>
          <w:sz w:val="24"/>
        </w:rPr>
      </w:pPr>
    </w:p>
    <w:p w14:paraId="47DA91A8" w14:textId="229BD04B" w:rsidR="00C00B51" w:rsidRPr="002B2F4C" w:rsidRDefault="008F01BD" w:rsidP="006D3646">
      <w:pPr>
        <w:pStyle w:val="Prrafodelista"/>
        <w:numPr>
          <w:ilvl w:val="0"/>
          <w:numId w:val="2"/>
        </w:numPr>
        <w:spacing w:line="360" w:lineRule="auto"/>
        <w:ind w:left="0" w:firstLine="0"/>
        <w:jc w:val="both"/>
        <w:rPr>
          <w:rFonts w:ascii="Palatino Linotype" w:hAnsi="Palatino Linotype" w:cs="Arial"/>
          <w:sz w:val="24"/>
        </w:rPr>
      </w:pPr>
      <w:r w:rsidRPr="002B2F4C">
        <w:rPr>
          <w:rFonts w:ascii="Palatino Linotype" w:hAnsi="Palatino Linotype" w:cs="Arial"/>
          <w:sz w:val="24"/>
        </w:rPr>
        <w:t>El Particular se inconformó medularmente porque no se realizaron correctamente las versiones públicas, dejando a la vista datos personales como pasatiempos, referencias laborales, referencias personales, teléfonos, sueldos anteriores y nacionalidad, entre otros.</w:t>
      </w:r>
    </w:p>
    <w:p w14:paraId="28286B5E" w14:textId="77777777" w:rsidR="008F01BD" w:rsidRPr="002B2F4C" w:rsidRDefault="008F01BD" w:rsidP="008F01BD">
      <w:pPr>
        <w:pStyle w:val="Prrafodelista"/>
        <w:rPr>
          <w:rFonts w:ascii="Palatino Linotype" w:hAnsi="Palatino Linotype" w:cs="Arial"/>
          <w:sz w:val="24"/>
        </w:rPr>
      </w:pPr>
    </w:p>
    <w:p w14:paraId="0BB0B9ED" w14:textId="3D85F223" w:rsidR="008F01BD" w:rsidRPr="002B2F4C" w:rsidRDefault="008F01BD" w:rsidP="008F01BD">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B2F4C">
        <w:rPr>
          <w:rFonts w:ascii="Palatino Linotype" w:eastAsia="MS Mincho" w:hAnsi="Palatino Linotype"/>
          <w:sz w:val="24"/>
        </w:rPr>
        <w:t>De lo anterior, se tiene que el Particular no mostró inconformidad por la información incompleta; en consecuencia, los rubros que no fueron motivo de inconformidad d</w:t>
      </w:r>
      <w:r w:rsidRPr="002B2F4C">
        <w:rPr>
          <w:rFonts w:ascii="Palatino Linotype" w:eastAsia="Calibri" w:hAnsi="Palatino Linotype" w:cs="Arial"/>
          <w:sz w:val="24"/>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5D95ECA" w14:textId="77777777" w:rsidR="008F01BD" w:rsidRPr="002B2F4C" w:rsidRDefault="008F01BD" w:rsidP="008F01BD">
      <w:pPr>
        <w:autoSpaceDE w:val="0"/>
        <w:autoSpaceDN w:val="0"/>
        <w:adjustRightInd w:val="0"/>
        <w:spacing w:before="240" w:after="360"/>
        <w:ind w:left="851" w:right="900"/>
        <w:jc w:val="both"/>
        <w:rPr>
          <w:rFonts w:ascii="Palatino Linotype" w:eastAsia="Calibri" w:hAnsi="Palatino Linotype" w:cs="Arial"/>
          <w:i/>
          <w:sz w:val="22"/>
        </w:rPr>
      </w:pPr>
      <w:r w:rsidRPr="002B2F4C">
        <w:rPr>
          <w:rFonts w:ascii="Palatino Linotype" w:eastAsia="Calibri" w:hAnsi="Palatino Linotype" w:cs="Arial"/>
          <w:b/>
          <w:i/>
          <w:sz w:val="22"/>
        </w:rPr>
        <w:t xml:space="preserve">“REVISIÓN EN AMPARO. LOS RESOLUTIVOS NO COMBATIDOS DEBEN DECLARARSE FIRMES. </w:t>
      </w:r>
      <w:r w:rsidRPr="002B2F4C">
        <w:rPr>
          <w:rFonts w:ascii="Palatino Linotype" w:eastAsia="Calibri" w:hAnsi="Palatino Linotype" w:cs="Arial"/>
          <w:bCs/>
          <w:i/>
          <w:iCs/>
          <w:sz w:val="22"/>
        </w:rPr>
        <w:t xml:space="preserve">Cuando algún resolutivo de la sentencia </w:t>
      </w:r>
      <w:r w:rsidRPr="002B2F4C">
        <w:rPr>
          <w:rFonts w:ascii="Palatino Linotype" w:eastAsia="Calibri" w:hAnsi="Palatino Linotype" w:cs="Arial"/>
          <w:bCs/>
          <w:i/>
          <w:iCs/>
          <w:sz w:val="22"/>
        </w:rPr>
        <w:lastRenderedPageBreak/>
        <w:t>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F162CDF" w14:textId="77777777" w:rsidR="008F01BD" w:rsidRPr="002B2F4C" w:rsidRDefault="008F01BD" w:rsidP="008F01BD">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2B2F4C">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20C43769" w14:textId="77777777" w:rsidR="008F01BD" w:rsidRPr="002B2F4C" w:rsidRDefault="008F01BD" w:rsidP="008F01BD">
      <w:pPr>
        <w:pStyle w:val="Prrafodelista"/>
        <w:spacing w:before="240" w:after="240" w:line="360" w:lineRule="auto"/>
        <w:ind w:left="0"/>
        <w:jc w:val="both"/>
        <w:rPr>
          <w:rFonts w:ascii="Palatino Linotype" w:eastAsia="Arial Unicode MS" w:hAnsi="Palatino Linotype" w:cs="Arial"/>
          <w:sz w:val="24"/>
        </w:rPr>
      </w:pPr>
    </w:p>
    <w:p w14:paraId="228E8D2A" w14:textId="77777777" w:rsidR="008F01BD" w:rsidRPr="002B2F4C" w:rsidRDefault="008F01BD" w:rsidP="008F01BD">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2B2F4C">
        <w:rPr>
          <w:rFonts w:ascii="Palatino Linotype" w:eastAsia="Arial Unicode MS" w:hAnsi="Palatino Linotype" w:cs="Arial"/>
          <w:sz w:val="24"/>
        </w:rPr>
        <w:t xml:space="preserve">Sirve de sustento a lo anterior por analogía la tesis jurisprudencial número </w:t>
      </w:r>
      <w:r w:rsidRPr="002B2F4C">
        <w:rPr>
          <w:rFonts w:ascii="Palatino Linotype" w:eastAsia="Calibri" w:hAnsi="Palatino Linotype" w:cs="Arial"/>
          <w:sz w:val="24"/>
        </w:rPr>
        <w:t>VI.3o.C. J/60, publicada en el Semanario Judicial de la Federación y su Gaceta bajo el número de registro 176,608 que a la letra dice:</w:t>
      </w:r>
    </w:p>
    <w:p w14:paraId="51CA4BD0" w14:textId="77777777" w:rsidR="008F01BD" w:rsidRPr="002B2F4C" w:rsidRDefault="008F01BD" w:rsidP="008F01BD">
      <w:pPr>
        <w:pStyle w:val="Prrafodelista"/>
        <w:rPr>
          <w:rFonts w:ascii="Palatino Linotype" w:eastAsia="Arial Unicode MS" w:hAnsi="Palatino Linotype" w:cs="Arial"/>
        </w:rPr>
      </w:pPr>
    </w:p>
    <w:p w14:paraId="58CB564F" w14:textId="77777777" w:rsidR="008F01BD" w:rsidRPr="002B2F4C" w:rsidRDefault="008F01BD" w:rsidP="008F01BD">
      <w:pPr>
        <w:pStyle w:val="Prrafodelista"/>
        <w:spacing w:line="360" w:lineRule="auto"/>
        <w:ind w:left="567" w:right="616"/>
        <w:jc w:val="both"/>
        <w:rPr>
          <w:rFonts w:ascii="Palatino Linotype" w:hAnsi="Palatino Linotype" w:cs="Arial"/>
          <w:i/>
        </w:rPr>
      </w:pPr>
      <w:r w:rsidRPr="002B2F4C">
        <w:rPr>
          <w:rFonts w:ascii="Palatino Linotype" w:hAnsi="Palatino Linotype" w:cs="Arial"/>
          <w:b/>
          <w:bCs/>
          <w:i/>
          <w:caps/>
        </w:rPr>
        <w:t xml:space="preserve">“ACTOS CONSENTIDOS. SON LOS QUE NO SE IMPUGNAN MEDIANTE EL RECURSO IDÓNEO. </w:t>
      </w:r>
      <w:r w:rsidRPr="002B2F4C">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BBAF62F" w14:textId="77777777" w:rsidR="008F01BD" w:rsidRPr="002B2F4C" w:rsidRDefault="008F01BD" w:rsidP="008F01BD">
      <w:pPr>
        <w:pStyle w:val="Prrafodelista"/>
        <w:tabs>
          <w:tab w:val="left" w:pos="567"/>
        </w:tabs>
        <w:spacing w:line="360" w:lineRule="auto"/>
        <w:ind w:left="0"/>
        <w:jc w:val="both"/>
        <w:rPr>
          <w:rFonts w:ascii="Palatino Linotype" w:eastAsia="Calibri" w:hAnsi="Palatino Linotype" w:cs="Arial"/>
        </w:rPr>
      </w:pPr>
    </w:p>
    <w:p w14:paraId="1E83289E" w14:textId="69998CDD" w:rsidR="008F01BD" w:rsidRPr="002B2F4C" w:rsidRDefault="008F01BD" w:rsidP="008F01BD">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B2F4C">
        <w:rPr>
          <w:rFonts w:ascii="Palatino Linotype" w:eastAsia="Calibri" w:hAnsi="Palatino Linotype" w:cs="Arial"/>
          <w:sz w:val="24"/>
        </w:rPr>
        <w:lastRenderedPageBreak/>
        <w:t xml:space="preserve">Por lo que el análisis y estudio se centrará en los requerimientos por los que se inconformó el particular y que </w:t>
      </w:r>
      <w:r w:rsidR="002C3F45" w:rsidRPr="002B2F4C">
        <w:rPr>
          <w:rFonts w:ascii="Palatino Linotype" w:eastAsia="Calibri" w:hAnsi="Palatino Linotype" w:cs="Arial"/>
          <w:sz w:val="24"/>
        </w:rPr>
        <w:t>se refiere a la exposición de datos personales.</w:t>
      </w:r>
    </w:p>
    <w:p w14:paraId="486EF944" w14:textId="77777777" w:rsidR="00463BCB" w:rsidRPr="002B2F4C" w:rsidRDefault="00463BCB" w:rsidP="00463BCB">
      <w:pPr>
        <w:pStyle w:val="Prrafodelista"/>
        <w:tabs>
          <w:tab w:val="left" w:pos="567"/>
        </w:tabs>
        <w:spacing w:line="360" w:lineRule="auto"/>
        <w:ind w:left="0"/>
        <w:jc w:val="both"/>
        <w:rPr>
          <w:rFonts w:ascii="Palatino Linotype" w:eastAsia="Calibri" w:hAnsi="Palatino Linotype" w:cs="Arial"/>
          <w:sz w:val="24"/>
        </w:rPr>
      </w:pPr>
    </w:p>
    <w:p w14:paraId="0432E414" w14:textId="01BA4666" w:rsidR="00F04A6E" w:rsidRPr="002B2F4C" w:rsidRDefault="00F04A6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2B2F4C">
        <w:rPr>
          <w:rFonts w:ascii="Palatino Linotype" w:hAnsi="Palatino Linotype" w:cs="Arial"/>
          <w:sz w:val="24"/>
        </w:rPr>
        <w:t xml:space="preserve">El Sujeto Obligado a través del cumplimiento a la Resolución entregó la información requerida por el particular, tan es así que, la Dirección de Transparencia y Gobierno Abierto de este Órgano Garante a través del oficio </w:t>
      </w:r>
      <w:proofErr w:type="spellStart"/>
      <w:r w:rsidRPr="002B2F4C">
        <w:rPr>
          <w:rFonts w:ascii="Palatino Linotype" w:hAnsi="Palatino Linotype" w:cs="Tahoma"/>
          <w:sz w:val="24"/>
        </w:rPr>
        <w:t>DTyGA</w:t>
      </w:r>
      <w:proofErr w:type="spellEnd"/>
      <w:r w:rsidRPr="002B2F4C">
        <w:rPr>
          <w:rFonts w:ascii="Palatino Linotype" w:hAnsi="Palatino Linotype" w:cs="Tahoma"/>
          <w:sz w:val="24"/>
        </w:rPr>
        <w:t>/MET/3433/2022 determinó que la información proporcionada estaba completa. Actualizando lo dispuesto en el primer párrafo del artículo 166 de la Ley de Transparencia y Acceso a la Información Pública del Estado de México y Municipios, el cual dispone lo siguiente:</w:t>
      </w:r>
    </w:p>
    <w:p w14:paraId="04E54EA7" w14:textId="77777777" w:rsidR="00F04A6E" w:rsidRPr="002B2F4C" w:rsidRDefault="00F04A6E" w:rsidP="00F04A6E">
      <w:pPr>
        <w:pStyle w:val="Prrafodelista"/>
        <w:rPr>
          <w:rFonts w:ascii="Palatino Linotype" w:hAnsi="Palatino Linotype" w:cs="Arial"/>
          <w:sz w:val="24"/>
        </w:rPr>
      </w:pPr>
    </w:p>
    <w:p w14:paraId="2DAA9A11" w14:textId="3BE414AB"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cs="Arial"/>
          <w:i/>
          <w:sz w:val="24"/>
        </w:rPr>
      </w:pPr>
      <w:r w:rsidRPr="002B2F4C">
        <w:rPr>
          <w:rFonts w:ascii="Palatino Linotype" w:hAnsi="Palatino Linotype"/>
          <w:i/>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05EC19E8" w14:textId="77777777" w:rsidR="00F04A6E" w:rsidRPr="002B2F4C" w:rsidRDefault="00F04A6E" w:rsidP="00F04A6E">
      <w:pPr>
        <w:pStyle w:val="Prrafodelista"/>
        <w:rPr>
          <w:rFonts w:ascii="Palatino Linotype" w:hAnsi="Palatino Linotype" w:cs="Arial"/>
          <w:sz w:val="24"/>
        </w:rPr>
      </w:pPr>
    </w:p>
    <w:p w14:paraId="7B7738E5" w14:textId="450B2655" w:rsidR="00F04A6E" w:rsidRPr="002B2F4C" w:rsidRDefault="00F04A6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2B2F4C">
        <w:rPr>
          <w:rFonts w:ascii="Palatino Linotype" w:hAnsi="Palatino Linotype" w:cs="Arial"/>
          <w:sz w:val="24"/>
        </w:rPr>
        <w:t>Es así que, en el presente asunto en particular, la obligación de acceso a la información se tiene por cumplida, tan es así que el particular no se inconformó por la información incompleta, sino por la exposición de datos personales.</w:t>
      </w:r>
    </w:p>
    <w:p w14:paraId="3F0E9063" w14:textId="77777777" w:rsidR="00F04A6E" w:rsidRPr="002B2F4C" w:rsidRDefault="00F04A6E" w:rsidP="00F04A6E">
      <w:pPr>
        <w:pStyle w:val="Prrafodelista"/>
        <w:autoSpaceDE w:val="0"/>
        <w:autoSpaceDN w:val="0"/>
        <w:adjustRightInd w:val="0"/>
        <w:spacing w:before="120" w:after="120" w:line="360" w:lineRule="auto"/>
        <w:ind w:left="0"/>
        <w:jc w:val="both"/>
        <w:rPr>
          <w:rFonts w:ascii="Palatino Linotype" w:hAnsi="Palatino Linotype" w:cs="Arial"/>
          <w:sz w:val="24"/>
        </w:rPr>
      </w:pPr>
    </w:p>
    <w:p w14:paraId="2CC5F265" w14:textId="06BED613" w:rsidR="00F04A6E" w:rsidRPr="002B2F4C" w:rsidRDefault="00F04A6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2B2F4C">
        <w:rPr>
          <w:rFonts w:ascii="Palatino Linotype" w:hAnsi="Palatino Linotype" w:cs="Arial"/>
          <w:sz w:val="24"/>
        </w:rPr>
        <w:t>Por lo anterior, es necesario traer a contexto el artículo 179, el cual dispone lo siguiente:</w:t>
      </w:r>
    </w:p>
    <w:p w14:paraId="13505069"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52D82B03"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I. La negativa a la información solicitada; </w:t>
      </w:r>
    </w:p>
    <w:p w14:paraId="506F6F78"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II. La clasificación de la información; </w:t>
      </w:r>
    </w:p>
    <w:p w14:paraId="44D62DB7"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III. La declaración de inexistencia de la información; </w:t>
      </w:r>
    </w:p>
    <w:p w14:paraId="543555ED"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IV. La declaración de incompetencia por el sujeto obligado; </w:t>
      </w:r>
    </w:p>
    <w:p w14:paraId="10B5DFEF"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V. La entrega de información incompleta; </w:t>
      </w:r>
    </w:p>
    <w:p w14:paraId="75B69B85"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VI. La entrega de información que no corresponda con lo solicitado; </w:t>
      </w:r>
    </w:p>
    <w:p w14:paraId="39C9F99E"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VII. La falta de respuesta a una solicitud de acceso a la información; </w:t>
      </w:r>
    </w:p>
    <w:p w14:paraId="265B8702"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VIII. La notificación, entrega o puesta a disposición de información en una modalidad o formato distinto al solicitado; </w:t>
      </w:r>
    </w:p>
    <w:p w14:paraId="47F948AE"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IX. La entrega o puesta a disposición de información en un formato incomprensible y/o no accesible para el solicitante; </w:t>
      </w:r>
    </w:p>
    <w:p w14:paraId="0602D139"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X. Los costos o tiempos de entrega de la información; </w:t>
      </w:r>
    </w:p>
    <w:p w14:paraId="1A79C372"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XI. La falta de trámite a una solicitud; </w:t>
      </w:r>
    </w:p>
    <w:p w14:paraId="55D5AC7C" w14:textId="4C4BBE9C"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XII. La negativa a permitir la consulta directa de la información; </w:t>
      </w:r>
    </w:p>
    <w:p w14:paraId="10DC55FB"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XIII. La falta, deficiencia o insuficiencia de la fundamentación y/o motivación en la respuesta; y </w:t>
      </w:r>
    </w:p>
    <w:p w14:paraId="48ECFC78"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XIV. La orientación a un trámite específico. </w:t>
      </w:r>
    </w:p>
    <w:p w14:paraId="45576DA2" w14:textId="77777777"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p>
    <w:p w14:paraId="62274462" w14:textId="469E6361" w:rsidR="00F04A6E" w:rsidRPr="002B2F4C" w:rsidRDefault="00F04A6E" w:rsidP="00F04A6E">
      <w:pPr>
        <w:pStyle w:val="Prrafodelista"/>
        <w:autoSpaceDE w:val="0"/>
        <w:autoSpaceDN w:val="0"/>
        <w:adjustRightInd w:val="0"/>
        <w:spacing w:before="120" w:after="120" w:line="360" w:lineRule="auto"/>
        <w:ind w:left="567" w:right="822"/>
        <w:jc w:val="both"/>
        <w:rPr>
          <w:rFonts w:ascii="Palatino Linotype" w:hAnsi="Palatino Linotype"/>
          <w:i/>
        </w:rPr>
      </w:pPr>
      <w:r w:rsidRPr="002B2F4C">
        <w:rPr>
          <w:rFonts w:ascii="Palatino Linotype" w:hAnsi="Palatino Linotype"/>
          <w:i/>
        </w:rPr>
        <w:t xml:space="preserve">La respuesta que den los sujetos obligados derivada de la resolución a un recurso de revisión que proceda por las causales señaladas en las fracciones IV, VII, IX, X, XI y XII </w:t>
      </w:r>
      <w:r w:rsidRPr="002B2F4C">
        <w:rPr>
          <w:rFonts w:ascii="Palatino Linotype" w:hAnsi="Palatino Linotype"/>
          <w:i/>
        </w:rPr>
        <w:lastRenderedPageBreak/>
        <w:t>es susceptible de ser impugnada de nueva cuenta, mediante recurso de revisión, ante el Instituto.</w:t>
      </w:r>
    </w:p>
    <w:p w14:paraId="01862BF0" w14:textId="77777777" w:rsidR="00F04A6E" w:rsidRPr="002B2F4C" w:rsidRDefault="00F04A6E" w:rsidP="00F04A6E">
      <w:pPr>
        <w:pStyle w:val="Prrafodelista"/>
        <w:autoSpaceDE w:val="0"/>
        <w:autoSpaceDN w:val="0"/>
        <w:adjustRightInd w:val="0"/>
        <w:spacing w:before="120" w:after="120" w:line="360" w:lineRule="auto"/>
        <w:ind w:left="0"/>
        <w:jc w:val="both"/>
        <w:rPr>
          <w:rFonts w:ascii="Palatino Linotype" w:hAnsi="Palatino Linotype" w:cs="Arial"/>
        </w:rPr>
      </w:pPr>
    </w:p>
    <w:p w14:paraId="19878263" w14:textId="60367546" w:rsidR="000F5D14" w:rsidRPr="002B2F4C" w:rsidRDefault="004528B2"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2B2F4C">
        <w:rPr>
          <w:rFonts w:ascii="Palatino Linotype" w:hAnsi="Palatino Linotype" w:cs="Arial"/>
          <w:sz w:val="24"/>
        </w:rPr>
        <w:t>La exposición de datos personales no corresponde a una clasificación de información, ya que esta última presupone una limitación al derecho para acceder a cierta información por ser confidencial o reservada, mientras que la exposición de datos personales es una violación al derecho de su protección por una incorrecta práctica de los servidores públicos encargados de su resguardo.</w:t>
      </w:r>
      <w:r w:rsidR="00CE6484" w:rsidRPr="002B2F4C">
        <w:rPr>
          <w:rFonts w:ascii="Palatino Linotype" w:hAnsi="Palatino Linotype" w:cs="Arial"/>
          <w:sz w:val="24"/>
        </w:rPr>
        <w:t xml:space="preserve"> Por lo tanto, la exposición de datos personales no actualiza ninguna causal de procedencia contemplada en el artículo 179 antes referido, más aún de que ya se dio cumplimiento al derecho accionado por el particular, por el hecho de que tienen en su posesión los documentos requeridos, aún y cuando pudieran contener datos personales.</w:t>
      </w:r>
    </w:p>
    <w:p w14:paraId="1E271F7C" w14:textId="77777777" w:rsidR="000F5D14" w:rsidRPr="002B2F4C" w:rsidRDefault="000F5D14" w:rsidP="00CE6484">
      <w:pPr>
        <w:pStyle w:val="Prrafodelista"/>
        <w:autoSpaceDE w:val="0"/>
        <w:autoSpaceDN w:val="0"/>
        <w:adjustRightInd w:val="0"/>
        <w:spacing w:before="120" w:after="120" w:line="360" w:lineRule="auto"/>
        <w:ind w:left="0"/>
        <w:jc w:val="both"/>
        <w:rPr>
          <w:rFonts w:ascii="Palatino Linotype" w:hAnsi="Palatino Linotype" w:cs="Arial"/>
          <w:sz w:val="24"/>
        </w:rPr>
      </w:pPr>
    </w:p>
    <w:p w14:paraId="640E622E" w14:textId="524B89FF" w:rsidR="00463BCB" w:rsidRPr="002B2F4C" w:rsidRDefault="00CE6484"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2B2F4C">
        <w:rPr>
          <w:rFonts w:ascii="Palatino Linotype" w:hAnsi="Palatino Linotype" w:cs="Arial"/>
          <w:sz w:val="24"/>
        </w:rPr>
        <w:t xml:space="preserve">Entonces, dicho lo anterior, es necesario traer a contexto la fracción III del artículo 191 </w:t>
      </w:r>
      <w:r w:rsidR="00463BCB" w:rsidRPr="002B2F4C">
        <w:rPr>
          <w:rFonts w:ascii="Palatino Linotype" w:hAnsi="Palatino Linotype" w:cs="Arial"/>
          <w:sz w:val="24"/>
        </w:rPr>
        <w:t>de la Ley en comento</w:t>
      </w:r>
      <w:r w:rsidRPr="002B2F4C">
        <w:rPr>
          <w:rFonts w:ascii="Palatino Linotype" w:hAnsi="Palatino Linotype" w:cs="Arial"/>
          <w:sz w:val="24"/>
        </w:rPr>
        <w:t>, el cual establece lo siguiente</w:t>
      </w:r>
      <w:r w:rsidR="00463BCB" w:rsidRPr="002B2F4C">
        <w:rPr>
          <w:rFonts w:ascii="Palatino Linotype" w:hAnsi="Palatino Linotype" w:cs="Arial"/>
          <w:sz w:val="24"/>
        </w:rPr>
        <w:t>:</w:t>
      </w:r>
    </w:p>
    <w:p w14:paraId="16D97C5E" w14:textId="77777777" w:rsidR="00463BCB" w:rsidRPr="002B2F4C" w:rsidRDefault="00463BCB" w:rsidP="00463BCB">
      <w:pPr>
        <w:pStyle w:val="Prrafodelista"/>
        <w:autoSpaceDE w:val="0"/>
        <w:autoSpaceDN w:val="0"/>
        <w:adjustRightInd w:val="0"/>
        <w:spacing w:before="120" w:after="120" w:line="360" w:lineRule="auto"/>
        <w:ind w:left="567" w:right="616"/>
        <w:jc w:val="both"/>
        <w:rPr>
          <w:rFonts w:ascii="Palatino Linotype" w:hAnsi="Palatino Linotype"/>
          <w:i/>
        </w:rPr>
      </w:pPr>
    </w:p>
    <w:p w14:paraId="3084ED14" w14:textId="77777777" w:rsidR="00463BCB" w:rsidRPr="002B2F4C" w:rsidRDefault="00463BCB" w:rsidP="00463BCB">
      <w:pPr>
        <w:pStyle w:val="Prrafodelista"/>
        <w:autoSpaceDE w:val="0"/>
        <w:autoSpaceDN w:val="0"/>
        <w:adjustRightInd w:val="0"/>
        <w:spacing w:before="120" w:after="120" w:line="360" w:lineRule="auto"/>
        <w:ind w:left="567" w:right="616"/>
        <w:jc w:val="both"/>
        <w:rPr>
          <w:rFonts w:ascii="Palatino Linotype" w:hAnsi="Palatino Linotype"/>
          <w:i/>
        </w:rPr>
      </w:pPr>
      <w:r w:rsidRPr="002B2F4C">
        <w:rPr>
          <w:rFonts w:ascii="Palatino Linotype" w:hAnsi="Palatino Linotype"/>
          <w:i/>
        </w:rPr>
        <w:t>Artículo 191. El recurso será desechado por improcedente cuando:</w:t>
      </w:r>
    </w:p>
    <w:p w14:paraId="7687E451" w14:textId="77777777" w:rsidR="00463BCB" w:rsidRPr="002B2F4C" w:rsidRDefault="00463BCB" w:rsidP="00463BCB">
      <w:pPr>
        <w:pStyle w:val="Prrafodelista"/>
        <w:autoSpaceDE w:val="0"/>
        <w:autoSpaceDN w:val="0"/>
        <w:adjustRightInd w:val="0"/>
        <w:spacing w:before="120" w:after="120" w:line="360" w:lineRule="auto"/>
        <w:ind w:left="567" w:right="616"/>
        <w:jc w:val="both"/>
        <w:rPr>
          <w:rFonts w:ascii="Palatino Linotype" w:hAnsi="Palatino Linotype"/>
          <w:i/>
        </w:rPr>
      </w:pPr>
      <w:r w:rsidRPr="002B2F4C">
        <w:rPr>
          <w:rFonts w:ascii="Palatino Linotype" w:hAnsi="Palatino Linotype"/>
          <w:i/>
        </w:rPr>
        <w:t>…</w:t>
      </w:r>
    </w:p>
    <w:p w14:paraId="6577C23B" w14:textId="77777777" w:rsidR="006411BB" w:rsidRPr="002B2F4C" w:rsidRDefault="006411BB" w:rsidP="00463BCB">
      <w:pPr>
        <w:pStyle w:val="Prrafodelista"/>
        <w:autoSpaceDE w:val="0"/>
        <w:autoSpaceDN w:val="0"/>
        <w:adjustRightInd w:val="0"/>
        <w:spacing w:before="120" w:after="120" w:line="360" w:lineRule="auto"/>
        <w:ind w:left="567" w:right="616"/>
        <w:jc w:val="both"/>
        <w:rPr>
          <w:rFonts w:ascii="Palatino Linotype" w:hAnsi="Palatino Linotype"/>
          <w:i/>
        </w:rPr>
      </w:pPr>
      <w:r w:rsidRPr="002B2F4C">
        <w:rPr>
          <w:rFonts w:ascii="Palatino Linotype" w:hAnsi="Palatino Linotype"/>
          <w:i/>
        </w:rPr>
        <w:t>III. No actualice alguno de los supuestos previstos en la presente Ley;</w:t>
      </w:r>
    </w:p>
    <w:p w14:paraId="7FBB3278" w14:textId="1F90B76B" w:rsidR="006411BB" w:rsidRPr="002B2F4C" w:rsidRDefault="006411BB" w:rsidP="00463BCB">
      <w:pPr>
        <w:pStyle w:val="Prrafodelista"/>
        <w:autoSpaceDE w:val="0"/>
        <w:autoSpaceDN w:val="0"/>
        <w:adjustRightInd w:val="0"/>
        <w:spacing w:before="120" w:after="120" w:line="360" w:lineRule="auto"/>
        <w:ind w:left="567" w:right="616"/>
        <w:jc w:val="both"/>
        <w:rPr>
          <w:rFonts w:ascii="Palatino Linotype" w:hAnsi="Palatino Linotype"/>
          <w:i/>
        </w:rPr>
      </w:pPr>
      <w:r w:rsidRPr="002B2F4C">
        <w:rPr>
          <w:rFonts w:ascii="Palatino Linotype" w:hAnsi="Palatino Linotype"/>
          <w:i/>
        </w:rPr>
        <w:t>…</w:t>
      </w:r>
    </w:p>
    <w:p w14:paraId="2AD87758" w14:textId="77777777" w:rsidR="00463BCB" w:rsidRPr="002B2F4C" w:rsidRDefault="00463BCB" w:rsidP="00463BCB">
      <w:pPr>
        <w:pStyle w:val="Prrafodelista"/>
        <w:autoSpaceDE w:val="0"/>
        <w:autoSpaceDN w:val="0"/>
        <w:adjustRightInd w:val="0"/>
        <w:spacing w:before="120" w:after="120" w:line="360" w:lineRule="auto"/>
        <w:ind w:left="0"/>
        <w:jc w:val="both"/>
        <w:rPr>
          <w:rFonts w:ascii="Palatino Linotype" w:hAnsi="Palatino Linotype" w:cs="Arial"/>
        </w:rPr>
      </w:pPr>
    </w:p>
    <w:p w14:paraId="4D67288F" w14:textId="67AA80E5" w:rsidR="00463BCB" w:rsidRPr="002B2F4C" w:rsidRDefault="00463BCB" w:rsidP="00463BC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B2F4C">
        <w:rPr>
          <w:rFonts w:ascii="Palatino Linotype" w:eastAsia="Calibri" w:hAnsi="Palatino Linotype" w:cs="Arial"/>
          <w:sz w:val="24"/>
        </w:rPr>
        <w:t xml:space="preserve">La fracción </w:t>
      </w:r>
      <w:r w:rsidR="00CE6484" w:rsidRPr="002B2F4C">
        <w:rPr>
          <w:rFonts w:ascii="Palatino Linotype" w:eastAsia="Calibri" w:hAnsi="Palatino Linotype" w:cs="Arial"/>
          <w:sz w:val="24"/>
        </w:rPr>
        <w:t>III</w:t>
      </w:r>
      <w:r w:rsidRPr="002B2F4C">
        <w:rPr>
          <w:rFonts w:ascii="Palatino Linotype" w:eastAsia="Calibri" w:hAnsi="Palatino Linotype" w:cs="Arial"/>
          <w:sz w:val="24"/>
        </w:rPr>
        <w:t xml:space="preserve"> del citado precepto legal, contempla la improcedencia del recurso de revisión cuando</w:t>
      </w:r>
      <w:r w:rsidR="00CE6484" w:rsidRPr="002B2F4C">
        <w:rPr>
          <w:rFonts w:ascii="Palatino Linotype" w:eastAsia="Calibri" w:hAnsi="Palatino Linotype" w:cs="Arial"/>
          <w:sz w:val="24"/>
        </w:rPr>
        <w:t xml:space="preserve"> no actualice ninguno de los supuestos previstos en la presente Ley.</w:t>
      </w:r>
    </w:p>
    <w:p w14:paraId="098BDBA1" w14:textId="77777777" w:rsidR="00463BCB" w:rsidRPr="002B2F4C" w:rsidRDefault="00463BCB" w:rsidP="00463BCB">
      <w:pPr>
        <w:pStyle w:val="Prrafodelista"/>
        <w:tabs>
          <w:tab w:val="left" w:pos="567"/>
        </w:tabs>
        <w:spacing w:line="360" w:lineRule="auto"/>
        <w:ind w:left="0"/>
        <w:jc w:val="both"/>
        <w:rPr>
          <w:rFonts w:ascii="Palatino Linotype" w:eastAsia="Calibri" w:hAnsi="Palatino Linotype" w:cs="Arial"/>
          <w:sz w:val="24"/>
        </w:rPr>
      </w:pPr>
    </w:p>
    <w:p w14:paraId="5575759F" w14:textId="77777777" w:rsidR="00463BCB" w:rsidRPr="002B2F4C" w:rsidRDefault="00463BCB" w:rsidP="00463BC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B2F4C">
        <w:rPr>
          <w:rFonts w:ascii="Palatino Linotype" w:eastAsia="Calibri" w:hAnsi="Palatino Linotype" w:cs="Arial"/>
          <w:sz w:val="24"/>
        </w:rPr>
        <w:t>Sin embargo, al haber sido admitido el recurso de revisión, aún y cuando actualiza una causal de improcedencia, es necesario traer a contexto el artículo 192 fracción IV, de la multicitada Ley de Transparencia:</w:t>
      </w:r>
    </w:p>
    <w:p w14:paraId="162E2F34" w14:textId="77777777" w:rsidR="00463BCB" w:rsidRPr="002B2F4C" w:rsidRDefault="00463BCB" w:rsidP="00463BCB">
      <w:pPr>
        <w:pStyle w:val="Prrafodelista"/>
        <w:tabs>
          <w:tab w:val="left" w:pos="567"/>
        </w:tabs>
        <w:spacing w:line="360" w:lineRule="auto"/>
        <w:ind w:left="0"/>
        <w:jc w:val="both"/>
        <w:rPr>
          <w:rFonts w:ascii="Palatino Linotype" w:eastAsia="Calibri" w:hAnsi="Palatino Linotype" w:cs="Arial"/>
        </w:rPr>
      </w:pPr>
    </w:p>
    <w:p w14:paraId="04D59A96" w14:textId="77777777" w:rsidR="00463BCB" w:rsidRPr="002B2F4C" w:rsidRDefault="00463BCB" w:rsidP="00463BCB">
      <w:pPr>
        <w:pStyle w:val="Prrafodelista"/>
        <w:tabs>
          <w:tab w:val="left" w:pos="567"/>
        </w:tabs>
        <w:spacing w:line="360" w:lineRule="auto"/>
        <w:ind w:left="567" w:right="822"/>
        <w:jc w:val="both"/>
        <w:rPr>
          <w:rFonts w:ascii="Palatino Linotype" w:eastAsia="Calibri" w:hAnsi="Palatino Linotype" w:cs="Arial"/>
          <w:i/>
        </w:rPr>
      </w:pPr>
      <w:r w:rsidRPr="002B2F4C">
        <w:rPr>
          <w:rFonts w:ascii="Palatino Linotype" w:hAnsi="Palatino Linotype"/>
          <w:i/>
        </w:rPr>
        <w:t>Artículo 192. El recurso será sobreseído, en todo o en parte, cuando una vez admitido, se actualicen alguno de los siguientes supuestos:</w:t>
      </w:r>
    </w:p>
    <w:p w14:paraId="119824EB" w14:textId="77777777" w:rsidR="00463BCB" w:rsidRPr="002B2F4C" w:rsidRDefault="00463BCB" w:rsidP="00463BCB">
      <w:pPr>
        <w:pStyle w:val="Prrafodelista"/>
        <w:tabs>
          <w:tab w:val="left" w:pos="567"/>
        </w:tabs>
        <w:spacing w:line="360" w:lineRule="auto"/>
        <w:ind w:left="567" w:right="822"/>
        <w:jc w:val="both"/>
        <w:rPr>
          <w:rFonts w:ascii="Palatino Linotype" w:hAnsi="Palatino Linotype"/>
          <w:i/>
        </w:rPr>
      </w:pPr>
      <w:r w:rsidRPr="002B2F4C">
        <w:rPr>
          <w:rFonts w:ascii="Palatino Linotype" w:hAnsi="Palatino Linotype"/>
          <w:i/>
        </w:rPr>
        <w:t xml:space="preserve">I. El recurrente se desista expresamente del recurso; </w:t>
      </w:r>
    </w:p>
    <w:p w14:paraId="14CCF63C" w14:textId="77777777" w:rsidR="00463BCB" w:rsidRPr="002B2F4C" w:rsidRDefault="00463BCB" w:rsidP="00463BCB">
      <w:pPr>
        <w:pStyle w:val="Prrafodelista"/>
        <w:tabs>
          <w:tab w:val="left" w:pos="567"/>
        </w:tabs>
        <w:spacing w:line="360" w:lineRule="auto"/>
        <w:ind w:left="567" w:right="822"/>
        <w:jc w:val="both"/>
        <w:rPr>
          <w:rFonts w:ascii="Palatino Linotype" w:hAnsi="Palatino Linotype"/>
          <w:i/>
        </w:rPr>
      </w:pPr>
      <w:r w:rsidRPr="002B2F4C">
        <w:rPr>
          <w:rFonts w:ascii="Palatino Linotype" w:hAnsi="Palatino Linotype"/>
          <w:i/>
        </w:rPr>
        <w:t xml:space="preserve">II. El recurrente fallezca o, tratándose de personas jurídicas colectivas, se disuelva; </w:t>
      </w:r>
    </w:p>
    <w:p w14:paraId="160F0B61" w14:textId="77777777" w:rsidR="00463BCB" w:rsidRPr="002B2F4C" w:rsidRDefault="00463BCB" w:rsidP="00463BCB">
      <w:pPr>
        <w:pStyle w:val="Prrafodelista"/>
        <w:tabs>
          <w:tab w:val="left" w:pos="567"/>
        </w:tabs>
        <w:spacing w:line="360" w:lineRule="auto"/>
        <w:ind w:left="567" w:right="822"/>
        <w:jc w:val="both"/>
        <w:rPr>
          <w:rFonts w:ascii="Palatino Linotype" w:hAnsi="Palatino Linotype"/>
          <w:i/>
        </w:rPr>
      </w:pPr>
      <w:r w:rsidRPr="002B2F4C">
        <w:rPr>
          <w:rFonts w:ascii="Palatino Linotype" w:hAnsi="Palatino Linotype"/>
          <w:i/>
        </w:rPr>
        <w:t xml:space="preserve">III. El sujeto obligado responsable del acto lo modifique o revoque de tal manera que el recurso de revisión quede sin materia; </w:t>
      </w:r>
    </w:p>
    <w:p w14:paraId="5A3448D3" w14:textId="77777777" w:rsidR="00463BCB" w:rsidRPr="002B2F4C" w:rsidRDefault="00463BCB" w:rsidP="00463BCB">
      <w:pPr>
        <w:pStyle w:val="Prrafodelista"/>
        <w:tabs>
          <w:tab w:val="left" w:pos="567"/>
        </w:tabs>
        <w:spacing w:line="360" w:lineRule="auto"/>
        <w:ind w:left="567" w:right="822"/>
        <w:jc w:val="both"/>
        <w:rPr>
          <w:rFonts w:ascii="Palatino Linotype" w:hAnsi="Palatino Linotype"/>
          <w:b/>
          <w:i/>
        </w:rPr>
      </w:pPr>
      <w:r w:rsidRPr="002B2F4C">
        <w:rPr>
          <w:rFonts w:ascii="Palatino Linotype" w:hAnsi="Palatino Linotype"/>
          <w:b/>
          <w:i/>
        </w:rPr>
        <w:t xml:space="preserve">IV. Admitido el recurso de revisión, aparezca alguna causal de improcedencia en los términos de la presente Ley; y </w:t>
      </w:r>
    </w:p>
    <w:p w14:paraId="22DAB686" w14:textId="77777777" w:rsidR="00463BCB" w:rsidRPr="002B2F4C" w:rsidRDefault="00463BCB" w:rsidP="00463BCB">
      <w:pPr>
        <w:pStyle w:val="Prrafodelista"/>
        <w:tabs>
          <w:tab w:val="left" w:pos="567"/>
        </w:tabs>
        <w:spacing w:line="360" w:lineRule="auto"/>
        <w:ind w:left="567" w:right="822"/>
        <w:jc w:val="both"/>
        <w:rPr>
          <w:rFonts w:ascii="Palatino Linotype" w:eastAsia="Calibri" w:hAnsi="Palatino Linotype" w:cs="Arial"/>
          <w:i/>
        </w:rPr>
      </w:pPr>
      <w:r w:rsidRPr="002B2F4C">
        <w:rPr>
          <w:rFonts w:ascii="Palatino Linotype" w:hAnsi="Palatino Linotype"/>
          <w:i/>
        </w:rPr>
        <w:t>V. Cuando por cualquier motivo quede sin materia el recurso.</w:t>
      </w:r>
    </w:p>
    <w:p w14:paraId="3B98ED6D" w14:textId="77777777" w:rsidR="00463BCB" w:rsidRPr="002B2F4C" w:rsidRDefault="00463BCB" w:rsidP="00463BCB">
      <w:pPr>
        <w:pStyle w:val="Prrafodelista"/>
        <w:tabs>
          <w:tab w:val="left" w:pos="567"/>
        </w:tabs>
        <w:spacing w:line="360" w:lineRule="auto"/>
        <w:ind w:left="0"/>
        <w:jc w:val="both"/>
        <w:rPr>
          <w:rFonts w:ascii="Palatino Linotype" w:eastAsia="Calibri" w:hAnsi="Palatino Linotype" w:cs="Arial"/>
        </w:rPr>
      </w:pPr>
    </w:p>
    <w:p w14:paraId="74D931A8" w14:textId="463DE689" w:rsidR="00463BCB" w:rsidRPr="002B2F4C" w:rsidRDefault="00463BCB" w:rsidP="00463BC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B2F4C">
        <w:rPr>
          <w:rFonts w:ascii="Palatino Linotype" w:eastAsia="Calibri" w:hAnsi="Palatino Linotype" w:cs="Arial"/>
          <w:sz w:val="24"/>
        </w:rPr>
        <w:t xml:space="preserve">Es así que, el recurso de revisión actualiza la causal de sobreseimiento establecida en la fracción IV del artículo 192, en relación a la fracción </w:t>
      </w:r>
      <w:r w:rsidR="00CE6484" w:rsidRPr="002B2F4C">
        <w:rPr>
          <w:rFonts w:ascii="Palatino Linotype" w:eastAsia="Calibri" w:hAnsi="Palatino Linotype" w:cs="Arial"/>
          <w:sz w:val="24"/>
        </w:rPr>
        <w:t>III</w:t>
      </w:r>
      <w:r w:rsidRPr="002B2F4C">
        <w:rPr>
          <w:rFonts w:ascii="Palatino Linotype" w:eastAsia="Calibri" w:hAnsi="Palatino Linotype" w:cs="Arial"/>
          <w:sz w:val="24"/>
        </w:rPr>
        <w:t xml:space="preserve"> del artículo 191, ambos de la Ley de Transparencia y Acceso a la Información Pública del Estado de México y Municipios.</w:t>
      </w:r>
    </w:p>
    <w:p w14:paraId="4B52E9AD" w14:textId="77777777" w:rsidR="00463BCB" w:rsidRPr="002B2F4C" w:rsidRDefault="00463BCB" w:rsidP="00463BCB">
      <w:pPr>
        <w:pStyle w:val="Prrafodelista"/>
        <w:spacing w:before="240" w:after="240" w:line="360" w:lineRule="auto"/>
        <w:ind w:left="0"/>
        <w:jc w:val="both"/>
        <w:rPr>
          <w:rFonts w:ascii="Palatino Linotype" w:hAnsi="Palatino Linotype"/>
          <w:sz w:val="24"/>
        </w:rPr>
      </w:pPr>
    </w:p>
    <w:p w14:paraId="46DB5E33" w14:textId="77777777" w:rsidR="00463BCB" w:rsidRPr="002B2F4C" w:rsidRDefault="00463BCB" w:rsidP="00463BCB">
      <w:pPr>
        <w:pStyle w:val="Prrafodelista"/>
        <w:numPr>
          <w:ilvl w:val="0"/>
          <w:numId w:val="2"/>
        </w:numPr>
        <w:spacing w:before="240" w:after="240" w:line="360" w:lineRule="auto"/>
        <w:ind w:left="0" w:firstLine="0"/>
        <w:jc w:val="both"/>
        <w:rPr>
          <w:rFonts w:ascii="Palatino Linotype" w:hAnsi="Palatino Linotype"/>
          <w:sz w:val="24"/>
        </w:rPr>
      </w:pPr>
      <w:r w:rsidRPr="002B2F4C">
        <w:rPr>
          <w:rFonts w:ascii="Palatino Linotype" w:hAnsi="Palatino Linotype" w:cs="Arial"/>
          <w:sz w:val="24"/>
        </w:rPr>
        <w:t xml:space="preserve">Lo anterior tiene sustento en la Tesis: I.7o.C.54 K, del Séptimo Tribunal Colegiado en Materia Civil Del Primer Circuito publicada en el Semanario Judicial de </w:t>
      </w:r>
      <w:r w:rsidRPr="002B2F4C">
        <w:rPr>
          <w:rFonts w:ascii="Palatino Linotype" w:hAnsi="Palatino Linotype" w:cs="Arial"/>
          <w:sz w:val="24"/>
        </w:rPr>
        <w:lastRenderedPageBreak/>
        <w:t>la Federación y su Gaceta, de la Novena Época, en el Tomo XXIX, Enero de 2009, a página 2837, que literalmente establece:</w:t>
      </w:r>
    </w:p>
    <w:p w14:paraId="68B9A7E3" w14:textId="77777777" w:rsidR="00463BCB" w:rsidRPr="002B2F4C" w:rsidRDefault="00463BCB" w:rsidP="00463BCB">
      <w:pPr>
        <w:spacing w:line="360" w:lineRule="auto"/>
        <w:ind w:left="567" w:right="567"/>
        <w:jc w:val="both"/>
        <w:rPr>
          <w:rFonts w:ascii="Palatino Linotype" w:hAnsi="Palatino Linotype" w:cs="Arial"/>
          <w:i/>
          <w:sz w:val="22"/>
          <w:szCs w:val="22"/>
        </w:rPr>
      </w:pPr>
      <w:r w:rsidRPr="002B2F4C">
        <w:rPr>
          <w:rFonts w:ascii="Palatino Linotype" w:hAnsi="Palatino Linotype" w:cs="Arial"/>
          <w:i/>
          <w:sz w:val="22"/>
          <w:szCs w:val="22"/>
        </w:rPr>
        <w:t>“</w:t>
      </w:r>
      <w:r w:rsidRPr="002B2F4C">
        <w:rPr>
          <w:rFonts w:ascii="Palatino Linotype" w:hAnsi="Palatino Linotype" w:cs="Arial"/>
          <w:b/>
          <w:i/>
          <w:sz w:val="22"/>
          <w:szCs w:val="22"/>
        </w:rPr>
        <w:t>SOBRESEIMIENTO EN EL JUICIO DE AMPARO DIRECTO. IMPIDE EL ESTUDIO DE LAS VIOLACIONES PROCESALES PLANTEADAS EN LOS CONCEPTOS DE VIOLACIÓN.</w:t>
      </w:r>
      <w:r w:rsidRPr="002B2F4C">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56A95BE" w14:textId="77777777" w:rsidR="00463BCB" w:rsidRPr="002B2F4C" w:rsidRDefault="00463BCB" w:rsidP="00463BCB">
      <w:pPr>
        <w:spacing w:line="360" w:lineRule="auto"/>
        <w:ind w:left="567" w:right="567"/>
        <w:jc w:val="both"/>
        <w:rPr>
          <w:rFonts w:ascii="Palatino Linotype" w:hAnsi="Palatino Linotype" w:cs="Arial"/>
          <w:i/>
          <w:sz w:val="22"/>
          <w:szCs w:val="22"/>
        </w:rPr>
      </w:pPr>
      <w:r w:rsidRPr="002B2F4C">
        <w:rPr>
          <w:rFonts w:ascii="Palatino Linotype" w:hAnsi="Palatino Linotype" w:cs="Arial"/>
          <w:i/>
          <w:sz w:val="22"/>
          <w:szCs w:val="22"/>
        </w:rPr>
        <w:t>SEPTIMO TRIBUNAL COLEGIADO EN MATERIA CIVIL DEL PRIMER CIRCUITO</w:t>
      </w:r>
    </w:p>
    <w:p w14:paraId="54FF718A" w14:textId="77777777" w:rsidR="00463BCB" w:rsidRPr="002B2F4C" w:rsidRDefault="00463BCB" w:rsidP="00463BCB">
      <w:pPr>
        <w:spacing w:line="360" w:lineRule="auto"/>
        <w:ind w:left="567" w:right="567"/>
        <w:jc w:val="both"/>
        <w:rPr>
          <w:rFonts w:ascii="Palatino Linotype" w:hAnsi="Palatino Linotype" w:cs="Arial"/>
          <w:i/>
          <w:sz w:val="22"/>
          <w:szCs w:val="22"/>
        </w:rPr>
      </w:pPr>
      <w:r w:rsidRPr="002B2F4C">
        <w:rPr>
          <w:rFonts w:ascii="Palatino Linotype" w:hAnsi="Palatino Linotype" w:cs="Arial"/>
          <w:i/>
          <w:sz w:val="22"/>
          <w:szCs w:val="22"/>
        </w:rPr>
        <w:t xml:space="preserve">Amparo directo 699/2008. Mariana Leticia González </w:t>
      </w:r>
      <w:proofErr w:type="spellStart"/>
      <w:r w:rsidRPr="002B2F4C">
        <w:rPr>
          <w:rFonts w:ascii="Palatino Linotype" w:hAnsi="Palatino Linotype" w:cs="Arial"/>
          <w:i/>
          <w:sz w:val="22"/>
          <w:szCs w:val="22"/>
        </w:rPr>
        <w:t>Steele</w:t>
      </w:r>
      <w:proofErr w:type="spellEnd"/>
      <w:r w:rsidRPr="002B2F4C">
        <w:rPr>
          <w:rFonts w:ascii="Palatino Linotype" w:hAnsi="Palatino Linotype" w:cs="Arial"/>
          <w:i/>
          <w:sz w:val="22"/>
          <w:szCs w:val="22"/>
        </w:rPr>
        <w:t>. 13 de noviembre de 2008. Unanimidad de votos. Ponente: Sara Judith Montalvo Trejo. Secretario: Arnulfo Mateos García.”</w:t>
      </w:r>
    </w:p>
    <w:p w14:paraId="66B39AF7" w14:textId="77777777" w:rsidR="00463BCB" w:rsidRPr="002B2F4C" w:rsidRDefault="00463BCB" w:rsidP="00463BCB">
      <w:pPr>
        <w:pStyle w:val="Prrafodelista"/>
        <w:tabs>
          <w:tab w:val="left" w:pos="567"/>
        </w:tabs>
        <w:spacing w:line="360" w:lineRule="auto"/>
        <w:ind w:left="0"/>
        <w:jc w:val="both"/>
        <w:rPr>
          <w:rFonts w:ascii="Palatino Linotype" w:eastAsia="Calibri" w:hAnsi="Palatino Linotype" w:cs="Arial"/>
        </w:rPr>
      </w:pPr>
    </w:p>
    <w:p w14:paraId="2125BCB0" w14:textId="557B3DE5" w:rsidR="00463BCB" w:rsidRPr="002B2F4C" w:rsidRDefault="00463BCB" w:rsidP="00463BCB">
      <w:pPr>
        <w:pStyle w:val="Prrafodelista"/>
        <w:numPr>
          <w:ilvl w:val="0"/>
          <w:numId w:val="2"/>
        </w:numPr>
        <w:spacing w:line="360" w:lineRule="auto"/>
        <w:ind w:left="0" w:firstLine="0"/>
        <w:jc w:val="both"/>
        <w:rPr>
          <w:rFonts w:ascii="Palatino Linotype" w:hAnsi="Palatino Linotype" w:cs="Palatino Linotype"/>
          <w:sz w:val="24"/>
        </w:rPr>
      </w:pPr>
      <w:r w:rsidRPr="002B2F4C">
        <w:rPr>
          <w:rFonts w:ascii="Palatino Linotype" w:hAnsi="Palatino Linotype" w:cs="Arial"/>
          <w:sz w:val="24"/>
        </w:rPr>
        <w:t xml:space="preserve">Bajo esas consideraciones, se afirma que en el recurso de revisión sujeto a estudio se actualiza la hipótesis jurídica citada, toda vez que quedó probado que el </w:t>
      </w:r>
      <w:r w:rsidR="00CE6484" w:rsidRPr="002B2F4C">
        <w:rPr>
          <w:rFonts w:ascii="Palatino Linotype" w:hAnsi="Palatino Linotype" w:cs="Arial"/>
          <w:sz w:val="24"/>
        </w:rPr>
        <w:t xml:space="preserve">recurso de revisión interpuesto por el </w:t>
      </w:r>
      <w:r w:rsidRPr="002B2F4C">
        <w:rPr>
          <w:rFonts w:ascii="Palatino Linotype" w:hAnsi="Palatino Linotype" w:cs="Arial"/>
          <w:sz w:val="24"/>
        </w:rPr>
        <w:t xml:space="preserve">particular </w:t>
      </w:r>
      <w:r w:rsidR="00CE6484" w:rsidRPr="002B2F4C">
        <w:rPr>
          <w:rFonts w:ascii="Palatino Linotype" w:hAnsi="Palatino Linotype" w:cs="Arial"/>
          <w:sz w:val="24"/>
        </w:rPr>
        <w:t>no actualiza ningún supuesto establecido en el artículo 179 de la Ley de Transparencia.</w:t>
      </w:r>
      <w:r w:rsidRPr="002B2F4C">
        <w:rPr>
          <w:rFonts w:ascii="Palatino Linotype" w:hAnsi="Palatino Linotype" w:cs="Arial"/>
          <w:sz w:val="24"/>
        </w:rPr>
        <w:t xml:space="preserve"> </w:t>
      </w:r>
    </w:p>
    <w:p w14:paraId="724065AC" w14:textId="77777777" w:rsidR="00463BCB" w:rsidRPr="002B2F4C" w:rsidRDefault="00463BCB" w:rsidP="00463BCB">
      <w:pPr>
        <w:pStyle w:val="Prrafodelista"/>
        <w:tabs>
          <w:tab w:val="left" w:pos="567"/>
        </w:tabs>
        <w:spacing w:line="360" w:lineRule="auto"/>
        <w:ind w:left="0"/>
        <w:jc w:val="both"/>
        <w:rPr>
          <w:rFonts w:ascii="Palatino Linotype" w:eastAsia="Calibri" w:hAnsi="Palatino Linotype" w:cs="Arial"/>
          <w:sz w:val="24"/>
        </w:rPr>
      </w:pPr>
    </w:p>
    <w:p w14:paraId="6B271B51" w14:textId="77777777" w:rsidR="002C3F45" w:rsidRPr="002B2F4C" w:rsidRDefault="002C3F45" w:rsidP="002C3F45">
      <w:pPr>
        <w:pStyle w:val="Prrafodelista"/>
        <w:numPr>
          <w:ilvl w:val="0"/>
          <w:numId w:val="2"/>
        </w:numPr>
        <w:spacing w:line="360" w:lineRule="auto"/>
        <w:ind w:left="0" w:right="49" w:firstLine="0"/>
        <w:jc w:val="both"/>
        <w:rPr>
          <w:rFonts w:ascii="Palatino Linotype" w:eastAsia="MS Mincho" w:hAnsi="Palatino Linotype" w:cs="Bookman Old Style"/>
          <w:sz w:val="24"/>
        </w:rPr>
      </w:pPr>
      <w:r w:rsidRPr="002B2F4C">
        <w:rPr>
          <w:rFonts w:ascii="Palatino Linotype" w:eastAsia="MS Mincho" w:hAnsi="Palatino Linotype" w:cs="Bookman Old Style"/>
          <w:sz w:val="24"/>
        </w:rPr>
        <w:lastRenderedPageBreak/>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2B2F4C">
        <w:rPr>
          <w:rFonts w:ascii="Palatino Linotype" w:eastAsia="MS Mincho" w:hAnsi="Palatino Linotype" w:cs="Bookman Old Style"/>
          <w:b/>
          <w:sz w:val="24"/>
        </w:rPr>
        <w:t>LEY FEDERAL DE PROTECCIÓN DE DATOS PERSONALES EN POSESIÓN DE LOS PARTICULARES</w:t>
      </w:r>
      <w:r w:rsidRPr="002B2F4C">
        <w:rPr>
          <w:rFonts w:ascii="Palatino Linotype" w:eastAsia="MS Mincho" w:hAnsi="Palatino Linotype" w:cs="Bookman Old Style"/>
          <w:sz w:val="24"/>
        </w:rPr>
        <w:t xml:space="preserve"> que señala puntualmente en su artículo 1 lo siguiente:</w:t>
      </w:r>
    </w:p>
    <w:p w14:paraId="564FD076" w14:textId="77777777" w:rsidR="002C3F45" w:rsidRPr="002B2F4C" w:rsidRDefault="002C3F45" w:rsidP="002C3F45">
      <w:pPr>
        <w:pStyle w:val="Prrafodelista"/>
        <w:rPr>
          <w:rFonts w:ascii="Palatino Linotype" w:eastAsia="MS Mincho" w:hAnsi="Palatino Linotype" w:cs="Bookman Old Style"/>
          <w:sz w:val="28"/>
        </w:rPr>
      </w:pPr>
    </w:p>
    <w:p w14:paraId="4EFD1735" w14:textId="77777777" w:rsidR="002C3F45" w:rsidRPr="002B2F4C" w:rsidRDefault="002C3F45" w:rsidP="002C3F45">
      <w:pPr>
        <w:pStyle w:val="Prrafodelista"/>
        <w:spacing w:line="360" w:lineRule="auto"/>
        <w:ind w:left="567" w:right="567"/>
        <w:jc w:val="both"/>
        <w:rPr>
          <w:rFonts w:ascii="Palatino Linotype" w:eastAsia="MS Mincho" w:hAnsi="Palatino Linotype" w:cs="Bookman Old Style"/>
          <w:i/>
        </w:rPr>
      </w:pPr>
      <w:r w:rsidRPr="002B2F4C">
        <w:rPr>
          <w:rFonts w:ascii="Palatino Linotype" w:hAnsi="Palatino Linotype"/>
          <w:i/>
        </w:rPr>
        <w:t xml:space="preserve">Artículo 1.- La presente Ley es de orden público y de observancia general en toda la República y </w:t>
      </w:r>
      <w:r w:rsidRPr="002B2F4C">
        <w:rPr>
          <w:rFonts w:ascii="Palatino Linotype" w:hAnsi="Palatino Linotype"/>
          <w:b/>
          <w:i/>
        </w:rPr>
        <w:t>tiene por objeto la protección de los datos personales en posesión de los particulares</w:t>
      </w:r>
      <w:r w:rsidRPr="002B2F4C">
        <w:rPr>
          <w:rFonts w:ascii="Palatino Linotype" w:hAnsi="Palatino Linotype"/>
          <w:i/>
        </w:rPr>
        <w:t>, con la finalidad de regular su tratamiento legítimo, controlado e informado, a efecto de garantizar la privacidad y el derecho a la autodeterminación informativa de las personas.</w:t>
      </w:r>
    </w:p>
    <w:p w14:paraId="5E702C03" w14:textId="77777777" w:rsidR="002C3F45" w:rsidRPr="002B2F4C" w:rsidRDefault="002C3F45" w:rsidP="002C3F45">
      <w:pPr>
        <w:spacing w:line="360" w:lineRule="auto"/>
        <w:ind w:right="49"/>
        <w:jc w:val="both"/>
        <w:rPr>
          <w:rFonts w:ascii="Palatino Linotype" w:eastAsia="MS Mincho" w:hAnsi="Palatino Linotype" w:cs="Bookman Old Style"/>
        </w:rPr>
      </w:pPr>
    </w:p>
    <w:p w14:paraId="10554E2D" w14:textId="77777777" w:rsidR="002C3F45" w:rsidRPr="002B2F4C" w:rsidRDefault="002C3F45" w:rsidP="002C3F45">
      <w:pPr>
        <w:pStyle w:val="Prrafodelista"/>
        <w:numPr>
          <w:ilvl w:val="0"/>
          <w:numId w:val="2"/>
        </w:numPr>
        <w:spacing w:line="360" w:lineRule="auto"/>
        <w:ind w:left="0" w:right="49" w:firstLine="0"/>
        <w:jc w:val="both"/>
        <w:rPr>
          <w:rFonts w:ascii="Palatino Linotype" w:eastAsia="MS Mincho" w:hAnsi="Palatino Linotype" w:cs="Bookman Old Style"/>
          <w:sz w:val="24"/>
        </w:rPr>
      </w:pPr>
      <w:r w:rsidRPr="002B2F4C">
        <w:rPr>
          <w:rFonts w:ascii="Palatino Linotype" w:eastAsia="MS Mincho" w:hAnsi="Palatino Linotype" w:cs="Bookman Old Style"/>
          <w:sz w:val="24"/>
        </w:rPr>
        <w:t>En ese escenario, el particular deberá de ser responsable en el buen uso de la información proporcionada, pues se trata de datos personales que le fueron proporcionados por haber incurrido en una probable violación a la privacidad de las personas.</w:t>
      </w:r>
    </w:p>
    <w:p w14:paraId="33A4DB15" w14:textId="77777777" w:rsidR="002C3F45" w:rsidRPr="002B2F4C" w:rsidRDefault="002C3F45" w:rsidP="002C3F45">
      <w:pPr>
        <w:spacing w:line="360" w:lineRule="auto"/>
        <w:jc w:val="both"/>
        <w:rPr>
          <w:rFonts w:ascii="Palatino Linotype" w:hAnsi="Palatino Linotype" w:cs="Arial"/>
          <w:sz w:val="24"/>
          <w:szCs w:val="24"/>
        </w:rPr>
      </w:pPr>
    </w:p>
    <w:p w14:paraId="18814E0F" w14:textId="77777777" w:rsidR="005000AA" w:rsidRPr="002B2F4C"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B2F4C">
        <w:rPr>
          <w:rFonts w:ascii="Palatino Linotype" w:hAnsi="Palatino Linotype" w:cs="Arial"/>
          <w:color w:val="222222"/>
          <w:sz w:val="24"/>
          <w:lang w:eastAsia="es-MX"/>
        </w:rPr>
        <w:t xml:space="preserve">Por lo anteriormente expuesto y fundado, este </w:t>
      </w:r>
      <w:r w:rsidRPr="002B2F4C">
        <w:rPr>
          <w:rFonts w:ascii="Palatino Linotype" w:hAnsi="Palatino Linotype" w:cs="Arial"/>
          <w:b/>
          <w:bCs/>
          <w:color w:val="222222"/>
          <w:sz w:val="24"/>
          <w:lang w:eastAsia="es-MX"/>
        </w:rPr>
        <w:t>ÓRGANO GARANTE</w:t>
      </w:r>
      <w:r w:rsidRPr="002B2F4C">
        <w:rPr>
          <w:rFonts w:ascii="Palatino Linotype" w:hAnsi="Palatino Linotype" w:cs="Arial"/>
          <w:color w:val="222222"/>
          <w:sz w:val="24"/>
          <w:lang w:eastAsia="es-MX"/>
        </w:rPr>
        <w:t xml:space="preserve"> emite los siguientes:</w:t>
      </w:r>
    </w:p>
    <w:p w14:paraId="463AEB82" w14:textId="1A6F6637" w:rsidR="005000AA" w:rsidRPr="002B2F4C" w:rsidRDefault="005000AA" w:rsidP="00C53585">
      <w:pPr>
        <w:pStyle w:val="Ttulo1"/>
        <w:jc w:val="center"/>
        <w:rPr>
          <w:rFonts w:ascii="Palatino Linotype" w:hAnsi="Palatino Linotype"/>
          <w:b/>
          <w:color w:val="auto"/>
          <w:sz w:val="24"/>
          <w:szCs w:val="24"/>
        </w:rPr>
      </w:pPr>
      <w:bookmarkStart w:id="19" w:name="_Toc4061692"/>
      <w:bookmarkStart w:id="20" w:name="_Toc486525261"/>
      <w:bookmarkStart w:id="21" w:name="_Toc445745148"/>
      <w:bookmarkStart w:id="22" w:name="_Toc447699324"/>
      <w:bookmarkStart w:id="23" w:name="_Toc87549684"/>
      <w:r w:rsidRPr="002B2F4C">
        <w:rPr>
          <w:rFonts w:ascii="Palatino Linotype" w:hAnsi="Palatino Linotype"/>
          <w:b/>
          <w:color w:val="auto"/>
          <w:sz w:val="24"/>
          <w:szCs w:val="24"/>
        </w:rPr>
        <w:lastRenderedPageBreak/>
        <w:t>R E S O L U T I V O S</w:t>
      </w:r>
      <w:bookmarkEnd w:id="19"/>
      <w:bookmarkEnd w:id="20"/>
      <w:bookmarkEnd w:id="21"/>
      <w:bookmarkEnd w:id="22"/>
      <w:bookmarkEnd w:id="23"/>
    </w:p>
    <w:p w14:paraId="2B38CFA8" w14:textId="77777777" w:rsidR="00C53585" w:rsidRPr="002B2F4C"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7671D52A" w:rsidR="006411BB" w:rsidRPr="002B2F4C"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24" w:name="_Toc450120669"/>
      <w:bookmarkStart w:id="25" w:name="_Toc460947011"/>
      <w:r w:rsidRPr="002B2F4C">
        <w:rPr>
          <w:rFonts w:ascii="Palatino Linotype" w:hAnsi="Palatino Linotype" w:cs="Arial"/>
          <w:b/>
          <w:sz w:val="24"/>
        </w:rPr>
        <w:t xml:space="preserve">PRIMERO. </w:t>
      </w:r>
      <w:r w:rsidRPr="002B2F4C">
        <w:rPr>
          <w:rFonts w:ascii="Palatino Linotype" w:hAnsi="Palatino Linotype"/>
          <w:sz w:val="24"/>
        </w:rPr>
        <w:t xml:space="preserve">Se </w:t>
      </w:r>
      <w:r w:rsidRPr="002B2F4C">
        <w:rPr>
          <w:rFonts w:ascii="Palatino Linotype" w:hAnsi="Palatino Linotype"/>
          <w:b/>
          <w:sz w:val="24"/>
        </w:rPr>
        <w:t>SOBRESEE</w:t>
      </w:r>
      <w:r w:rsidRPr="002B2F4C">
        <w:rPr>
          <w:rFonts w:ascii="Palatino Linotype" w:hAnsi="Palatino Linotype"/>
          <w:sz w:val="24"/>
        </w:rPr>
        <w:t xml:space="preserve"> el recurso de revisión número </w:t>
      </w:r>
      <w:r w:rsidRPr="002B2F4C">
        <w:rPr>
          <w:rFonts w:ascii="Palatino Linotype" w:hAnsi="Palatino Linotype"/>
          <w:b/>
          <w:sz w:val="24"/>
        </w:rPr>
        <w:t xml:space="preserve">12543/INFOEM/ICR-84//IP/RR/2022, </w:t>
      </w:r>
      <w:r w:rsidRPr="002B2F4C">
        <w:rPr>
          <w:rFonts w:ascii="Palatino Linotype" w:hAnsi="Palatino Linotype"/>
          <w:sz w:val="24"/>
        </w:rPr>
        <w:t xml:space="preserve">conforme al artículo 192 fracción IV, en relación con la fracción III, del artículo 191 de la Ley de Transparencia y Acceso a la Información Pública del Estado de México y Municipios, en términos del Considerando </w:t>
      </w:r>
      <w:r w:rsidRPr="002B2F4C">
        <w:rPr>
          <w:rFonts w:ascii="Palatino Linotype" w:hAnsi="Palatino Linotype"/>
          <w:b/>
          <w:sz w:val="24"/>
        </w:rPr>
        <w:t>TERCERO</w:t>
      </w:r>
      <w:r w:rsidRPr="002B2F4C">
        <w:rPr>
          <w:rFonts w:ascii="Palatino Linotype" w:hAnsi="Palatino Linotype"/>
          <w:sz w:val="24"/>
        </w:rPr>
        <w:t xml:space="preserve"> de la presente resolución.</w:t>
      </w:r>
    </w:p>
    <w:p w14:paraId="7070422B" w14:textId="77777777" w:rsidR="006411BB" w:rsidRPr="002B2F4C"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r w:rsidRPr="002B2F4C">
        <w:rPr>
          <w:rFonts w:ascii="Palatino Linotype" w:hAnsi="Palatino Linotype" w:cs="Arial"/>
          <w:b/>
          <w:sz w:val="24"/>
          <w:szCs w:val="24"/>
        </w:rPr>
        <w:t>SEGUNDO.</w:t>
      </w:r>
      <w:bookmarkEnd w:id="26"/>
      <w:bookmarkEnd w:id="27"/>
      <w:bookmarkEnd w:id="28"/>
      <w:bookmarkEnd w:id="29"/>
      <w:bookmarkEnd w:id="30"/>
      <w:bookmarkEnd w:id="31"/>
      <w:bookmarkEnd w:id="32"/>
      <w:bookmarkEnd w:id="33"/>
      <w:bookmarkEnd w:id="34"/>
      <w:r w:rsidRPr="002B2F4C">
        <w:rPr>
          <w:rStyle w:val="Ttulo2Car"/>
          <w:rFonts w:ascii="Palatino Linotype" w:hAnsi="Palatino Linotype"/>
          <w:b/>
          <w:color w:val="000000" w:themeColor="text1"/>
          <w:sz w:val="24"/>
          <w:szCs w:val="24"/>
        </w:rPr>
        <w:t xml:space="preserve"> </w:t>
      </w:r>
      <w:r w:rsidRPr="002B2F4C">
        <w:rPr>
          <w:rFonts w:ascii="Palatino Linotype" w:eastAsia="MS Mincho" w:hAnsi="Palatino Linotype" w:cs="Arial"/>
          <w:b/>
          <w:bCs/>
          <w:color w:val="000000" w:themeColor="text1"/>
          <w:sz w:val="24"/>
          <w:szCs w:val="24"/>
          <w:shd w:val="clear" w:color="auto" w:fill="FFFFFF"/>
        </w:rPr>
        <w:t xml:space="preserve">Remítase </w:t>
      </w:r>
      <w:r w:rsidRPr="002B2F4C">
        <w:rPr>
          <w:rFonts w:ascii="Palatino Linotype" w:eastAsia="MS Mincho" w:hAnsi="Palatino Linotype"/>
          <w:color w:val="000000" w:themeColor="text1"/>
          <w:sz w:val="24"/>
          <w:szCs w:val="24"/>
          <w:shd w:val="clear" w:color="auto" w:fill="FFFFFF"/>
        </w:rPr>
        <w:t>al Titular de la Unidad de Transparencia del</w:t>
      </w:r>
      <w:r w:rsidRPr="002B2F4C">
        <w:rPr>
          <w:rFonts w:ascii="Palatino Linotype" w:eastAsia="MS Mincho" w:hAnsi="Palatino Linotype"/>
          <w:b/>
          <w:bCs/>
          <w:color w:val="000000" w:themeColor="text1"/>
          <w:sz w:val="24"/>
          <w:szCs w:val="24"/>
          <w:shd w:val="clear" w:color="auto" w:fill="FFFFFF"/>
        </w:rPr>
        <w:t xml:space="preserve"> SUJETO OBLIGADO</w:t>
      </w:r>
      <w:r w:rsidRPr="002B2F4C">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1DA76109" w14:textId="77777777" w:rsidR="006411BB" w:rsidRPr="002B2F4C" w:rsidRDefault="006411BB" w:rsidP="006411BB">
      <w:pPr>
        <w:spacing w:line="360" w:lineRule="auto"/>
        <w:jc w:val="both"/>
        <w:rPr>
          <w:rFonts w:ascii="Palatino Linotype" w:hAnsi="Palatino Linotype"/>
          <w:sz w:val="24"/>
          <w:szCs w:val="24"/>
        </w:rPr>
      </w:pPr>
      <w:bookmarkStart w:id="35" w:name="_Toc460947013"/>
      <w:bookmarkEnd w:id="24"/>
      <w:bookmarkEnd w:id="25"/>
      <w:r w:rsidRPr="002B2F4C">
        <w:rPr>
          <w:rFonts w:ascii="Palatino Linotype" w:hAnsi="Palatino Linotype" w:cs="Arial"/>
          <w:b/>
          <w:sz w:val="24"/>
          <w:szCs w:val="24"/>
        </w:rPr>
        <w:t xml:space="preserve">TERCERO. </w:t>
      </w:r>
      <w:r w:rsidRPr="002B2F4C">
        <w:rPr>
          <w:rFonts w:ascii="Palatino Linotype" w:hAnsi="Palatino Linotype"/>
          <w:b/>
          <w:bCs/>
          <w:color w:val="222222"/>
          <w:sz w:val="24"/>
          <w:szCs w:val="24"/>
          <w:lang w:val="es-ES"/>
        </w:rPr>
        <w:t>Notifíquese a</w:t>
      </w:r>
      <w:r w:rsidRPr="002B2F4C">
        <w:rPr>
          <w:rFonts w:ascii="Palatino Linotype" w:hAnsi="Palatino Linotype"/>
          <w:b/>
          <w:sz w:val="24"/>
          <w:szCs w:val="24"/>
        </w:rPr>
        <w:t xml:space="preserve">l RECURRENTE </w:t>
      </w:r>
      <w:r w:rsidRPr="002B2F4C">
        <w:rPr>
          <w:rFonts w:ascii="Palatino Linotype" w:hAnsi="Palatino Linotype"/>
          <w:sz w:val="24"/>
          <w:szCs w:val="24"/>
        </w:rPr>
        <w:t>la presente resolución.</w:t>
      </w:r>
    </w:p>
    <w:p w14:paraId="39426206" w14:textId="77777777" w:rsidR="006411BB" w:rsidRPr="002B2F4C" w:rsidRDefault="006411BB" w:rsidP="006411BB">
      <w:pPr>
        <w:spacing w:line="360" w:lineRule="auto"/>
        <w:jc w:val="both"/>
        <w:rPr>
          <w:rFonts w:ascii="Palatino Linotype" w:hAnsi="Palatino Linotype"/>
          <w:sz w:val="24"/>
          <w:szCs w:val="24"/>
        </w:rPr>
      </w:pPr>
    </w:p>
    <w:bookmarkEnd w:id="35"/>
    <w:p w14:paraId="42B74C28" w14:textId="77777777" w:rsidR="006411BB" w:rsidRPr="002B2F4C" w:rsidRDefault="006411BB" w:rsidP="006411BB">
      <w:pPr>
        <w:spacing w:line="360" w:lineRule="auto"/>
        <w:jc w:val="both"/>
        <w:rPr>
          <w:rFonts w:ascii="Palatino Linotype" w:eastAsia="MS Mincho" w:hAnsi="Palatino Linotype"/>
          <w:sz w:val="24"/>
          <w:szCs w:val="24"/>
          <w:lang w:val="es-ES"/>
        </w:rPr>
      </w:pPr>
      <w:r w:rsidRPr="002B2F4C">
        <w:rPr>
          <w:rFonts w:ascii="Palatino Linotype" w:eastAsia="MS Mincho" w:hAnsi="Palatino Linotype"/>
          <w:b/>
          <w:sz w:val="24"/>
          <w:szCs w:val="24"/>
        </w:rPr>
        <w:t>CUARTO.</w:t>
      </w:r>
      <w:r w:rsidRPr="002B2F4C">
        <w:rPr>
          <w:rFonts w:ascii="Palatino Linotype" w:eastAsia="MS Mincho" w:hAnsi="Palatino Linotype"/>
          <w:sz w:val="24"/>
          <w:szCs w:val="24"/>
        </w:rPr>
        <w:t xml:space="preserve"> </w:t>
      </w:r>
      <w:r w:rsidRPr="002B2F4C">
        <w:rPr>
          <w:rFonts w:ascii="Palatino Linotype" w:eastAsia="MS Mincho" w:hAnsi="Palatino Linotype"/>
          <w:sz w:val="24"/>
          <w:szCs w:val="24"/>
          <w:lang w:val="es-ES"/>
        </w:rPr>
        <w:t xml:space="preserve">Se hace del conocimiento de </w:t>
      </w:r>
      <w:r w:rsidRPr="002B2F4C">
        <w:rPr>
          <w:rFonts w:ascii="Palatino Linotype" w:eastAsia="Calibri" w:hAnsi="Palatino Linotype" w:cs="Tahoma"/>
          <w:b/>
          <w:sz w:val="24"/>
          <w:szCs w:val="24"/>
          <w:lang w:eastAsia="en-US"/>
        </w:rPr>
        <w:t>RECURRENTE</w:t>
      </w:r>
      <w:r w:rsidRPr="002B2F4C">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B2F4C">
        <w:rPr>
          <w:rFonts w:ascii="Palatino Linotype" w:eastAsia="MS Mincho" w:hAnsi="Palatino Linotype"/>
          <w:bCs/>
          <w:sz w:val="24"/>
          <w:szCs w:val="24"/>
          <w:lang w:val="es-ES"/>
        </w:rPr>
        <w:t>vía juicio de amparo</w:t>
      </w:r>
      <w:r w:rsidRPr="002B2F4C">
        <w:rPr>
          <w:rFonts w:ascii="Palatino Linotype" w:eastAsia="MS Mincho" w:hAnsi="Palatino Linotype"/>
          <w:sz w:val="24"/>
          <w:szCs w:val="24"/>
          <w:lang w:val="es-ES"/>
        </w:rPr>
        <w:t> en los términos de las leyes aplicables.</w:t>
      </w:r>
      <w:bookmarkStart w:id="36" w:name="_Toc466371865"/>
      <w:bookmarkStart w:id="37" w:name="_Toc466377653"/>
    </w:p>
    <w:bookmarkEnd w:id="36"/>
    <w:bookmarkEnd w:id="37"/>
    <w:p w14:paraId="0CF17B6B" w14:textId="77777777" w:rsidR="006411BB" w:rsidRPr="002B2F4C" w:rsidRDefault="006411BB" w:rsidP="00616297">
      <w:pPr>
        <w:tabs>
          <w:tab w:val="left" w:pos="284"/>
        </w:tabs>
        <w:spacing w:line="360" w:lineRule="auto"/>
        <w:jc w:val="both"/>
        <w:rPr>
          <w:rFonts w:ascii="Palatino Linotype" w:hAnsi="Palatino Linotype" w:cs="Arial"/>
          <w:b/>
          <w:sz w:val="24"/>
          <w:szCs w:val="24"/>
          <w:lang w:val="es-ES_tradnl"/>
        </w:rPr>
      </w:pPr>
    </w:p>
    <w:p w14:paraId="32775E84" w14:textId="77777777" w:rsidR="001E1517" w:rsidRPr="001E1517" w:rsidRDefault="001E1517" w:rsidP="001E1517">
      <w:pPr>
        <w:spacing w:before="240" w:after="240" w:line="360" w:lineRule="auto"/>
        <w:jc w:val="both"/>
        <w:rPr>
          <w:rFonts w:ascii="Palatino Linotype" w:hAnsi="Palatino Linotype"/>
          <w:sz w:val="24"/>
        </w:rPr>
      </w:pPr>
      <w:r w:rsidRPr="002B2F4C">
        <w:rPr>
          <w:rFonts w:ascii="Palatino Linotype" w:hAnsi="Palatino Linotype"/>
          <w:sz w:val="24"/>
        </w:rPr>
        <w:t xml:space="preserve">ASÍ LO RESUELVE, POR UNANIMIDAD DE VOTOS, EL PLENO DEL INSTITUTO DE TRANSPARENCIA, ACCESO A LA INFORMACIÓN PÚBLICA Y PROTECCIÓN </w:t>
      </w:r>
      <w:r w:rsidRPr="002B2F4C">
        <w:rPr>
          <w:rFonts w:ascii="Palatino Linotype" w:hAnsi="Palatino Linotype"/>
          <w:sz w:val="24"/>
        </w:rPr>
        <w:lastRenderedPageBreak/>
        <w:t>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38" w:name="_GoBack"/>
      <w:bookmarkEnd w:id="38"/>
      <w:r w:rsidRPr="001E1517">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FE7BF" w14:textId="77777777" w:rsidR="00B375DA" w:rsidRDefault="00B375DA">
      <w:r>
        <w:separator/>
      </w:r>
    </w:p>
  </w:endnote>
  <w:endnote w:type="continuationSeparator" w:id="0">
    <w:p w14:paraId="3D1C9D9D" w14:textId="77777777" w:rsidR="00B375DA" w:rsidRDefault="00B3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2F4C">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2F4C">
              <w:rPr>
                <w:b/>
                <w:bCs/>
                <w:noProof/>
              </w:rPr>
              <w:t>35</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2F4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2F4C">
              <w:rPr>
                <w:b/>
                <w:bCs/>
                <w:noProof/>
              </w:rPr>
              <w:t>35</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13D3D" w14:textId="77777777" w:rsidR="00B375DA" w:rsidRDefault="00B375DA">
      <w:r>
        <w:separator/>
      </w:r>
    </w:p>
  </w:footnote>
  <w:footnote w:type="continuationSeparator" w:id="0">
    <w:p w14:paraId="45C55CE4" w14:textId="77777777" w:rsidR="00B375DA" w:rsidRDefault="00B375DA">
      <w:r>
        <w:continuationSeparator/>
      </w:r>
    </w:p>
  </w:footnote>
  <w:footnote w:id="1">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 w:id="4">
    <w:p w14:paraId="2E471AB9" w14:textId="77777777" w:rsidR="00463BCB" w:rsidRDefault="00463BCB" w:rsidP="006D3646">
      <w:pPr>
        <w:pStyle w:val="Textonotapie"/>
      </w:pPr>
      <w:r>
        <w:rPr>
          <w:rStyle w:val="Refdenotaalpie"/>
        </w:rPr>
        <w:footnoteRef/>
      </w:r>
      <w:r>
        <w:t xml:space="preserve"> Convención Americana sobre Derechos Humanos. Artículo 13.</w:t>
      </w:r>
    </w:p>
  </w:footnote>
  <w:footnote w:id="5">
    <w:p w14:paraId="78D8FEC0" w14:textId="77777777" w:rsidR="00463BCB" w:rsidRDefault="00463BCB" w:rsidP="006D3646">
      <w:pPr>
        <w:pStyle w:val="Textonotapie"/>
      </w:pPr>
      <w:r>
        <w:rPr>
          <w:rStyle w:val="Refdenotaalpie"/>
        </w:rPr>
        <w:footnoteRef/>
      </w:r>
      <w:r>
        <w:t xml:space="preserve"> Constitución Política de los Estados Unidos Mexicanos. Artículo sexto, sección A, Fracción I.</w:t>
      </w:r>
    </w:p>
  </w:footnote>
  <w:footnote w:id="6">
    <w:p w14:paraId="37B1F9E5" w14:textId="77777777" w:rsidR="00463BCB" w:rsidRDefault="00463BCB" w:rsidP="006D364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1CCA0A1" w14:textId="77777777" w:rsidR="00463BCB" w:rsidRDefault="00463BCB" w:rsidP="006D3646">
      <w:pPr>
        <w:pStyle w:val="Textonotapie"/>
      </w:pPr>
      <w:r>
        <w:rPr>
          <w:rStyle w:val="Refdenotaalpie"/>
        </w:rPr>
        <w:footnoteRef/>
      </w:r>
      <w:r>
        <w:t xml:space="preserve"> Ibídem. Párr. 87.</w:t>
      </w:r>
    </w:p>
  </w:footnote>
  <w:footnote w:id="8">
    <w:p w14:paraId="623B238B" w14:textId="77777777" w:rsidR="00463BCB" w:rsidRDefault="00463BCB" w:rsidP="006D3646">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B375D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727F90BF" w14:textId="77777777" w:rsidTr="008306E4">
            <w:trPr>
              <w:trHeight w:val="338"/>
            </w:trPr>
            <w:tc>
              <w:tcPr>
                <w:tcW w:w="2551" w:type="dxa"/>
              </w:tcPr>
              <w:p w14:paraId="23087CD5" w14:textId="77777777" w:rsidR="00463BCB" w:rsidRDefault="00463BCB">
                <w:pPr>
                  <w:tabs>
                    <w:tab w:val="right" w:pos="8838"/>
                  </w:tabs>
                  <w:ind w:right="-105"/>
                  <w:rPr>
                    <w:rFonts w:ascii="Palatino Linotype" w:eastAsia="Calibri" w:hAnsi="Palatino Linotype" w:cs="Tahoma"/>
                    <w:b/>
                    <w:sz w:val="22"/>
                    <w:szCs w:val="22"/>
                    <w:lang w:eastAsia="en-US"/>
                  </w:rPr>
                </w:pPr>
              </w:p>
              <w:p w14:paraId="410A3741" w14:textId="535C9D39"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463BCB" w:rsidRDefault="00463BCB" w:rsidP="00427B6E">
                <w:pPr>
                  <w:tabs>
                    <w:tab w:val="right" w:pos="8838"/>
                  </w:tabs>
                  <w:ind w:right="-105" w:hanging="101"/>
                  <w:jc w:val="both"/>
                  <w:rPr>
                    <w:rFonts w:ascii="Palatino Linotype" w:eastAsia="Calibri" w:hAnsi="Palatino Linotype" w:cs="Tahoma"/>
                    <w:bCs/>
                    <w:sz w:val="22"/>
                    <w:szCs w:val="22"/>
                    <w:lang w:eastAsia="en-US"/>
                  </w:rPr>
                </w:pPr>
              </w:p>
              <w:p w14:paraId="3FF69A05" w14:textId="052A9955" w:rsidR="00463BCB" w:rsidRDefault="008306E4" w:rsidP="00CA3902">
                <w:pPr>
                  <w:tabs>
                    <w:tab w:val="right" w:pos="8838"/>
                  </w:tabs>
                  <w:ind w:right="-105" w:hanging="101"/>
                  <w:jc w:val="both"/>
                  <w:rPr>
                    <w:rFonts w:ascii="Palatino Linotype" w:eastAsia="Calibri" w:hAnsi="Palatino Linotype" w:cs="Tahoma"/>
                    <w:bCs/>
                    <w:sz w:val="22"/>
                    <w:szCs w:val="22"/>
                    <w:lang w:eastAsia="en-US"/>
                  </w:rPr>
                </w:pPr>
                <w:r w:rsidRPr="004934A5">
                  <w:rPr>
                    <w:rFonts w:ascii="Palatino Linotype" w:hAnsi="Palatino Linotype" w:cs="Arial"/>
                    <w:b/>
                    <w:sz w:val="22"/>
                    <w:szCs w:val="24"/>
                  </w:rPr>
                  <w:t>12</w:t>
                </w:r>
                <w:r>
                  <w:rPr>
                    <w:rFonts w:ascii="Palatino Linotype" w:hAnsi="Palatino Linotype" w:cs="Arial"/>
                    <w:b/>
                    <w:sz w:val="22"/>
                    <w:szCs w:val="24"/>
                  </w:rPr>
                  <w:t>543</w:t>
                </w:r>
                <w:r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/ICR-84</w:t>
                </w:r>
                <w:r w:rsidRPr="004934A5">
                  <w:rPr>
                    <w:rFonts w:ascii="Palatino Linotype" w:eastAsia="Calibri" w:hAnsi="Palatino Linotype" w:cs="Tahoma"/>
                    <w:b/>
                    <w:sz w:val="22"/>
                    <w:lang w:eastAsia="en-US"/>
                  </w:rPr>
                  <w:t>/IP/RR/2022</w:t>
                </w:r>
              </w:p>
            </w:tc>
          </w:tr>
          <w:tr w:rsidR="00463BCB" w14:paraId="1389436A" w14:textId="4EB800AC" w:rsidTr="008306E4">
            <w:trPr>
              <w:trHeight w:val="283"/>
            </w:trPr>
            <w:tc>
              <w:tcPr>
                <w:tcW w:w="2551" w:type="dxa"/>
              </w:tcPr>
              <w:p w14:paraId="22E0F4E9" w14:textId="77777777" w:rsidR="00463BCB" w:rsidRDefault="00463BCB">
                <w:pPr>
                  <w:tabs>
                    <w:tab w:val="right" w:pos="8838"/>
                  </w:tabs>
                  <w:ind w:right="-105"/>
                  <w:rPr>
                    <w:rFonts w:ascii="Palatino Linotype" w:eastAsia="Calibri" w:hAnsi="Palatino Linotype" w:cs="Tahoma"/>
                    <w:b/>
                    <w:sz w:val="22"/>
                    <w:szCs w:val="22"/>
                    <w:lang w:eastAsia="en-US"/>
                  </w:rPr>
                </w:pPr>
                <w:bookmarkStart w:id="39" w:name="_Hlk33010189"/>
                <w:r>
                  <w:rPr>
                    <w:rFonts w:ascii="Palatino Linotype" w:eastAsia="Calibri" w:hAnsi="Palatino Linotype" w:cs="Tahoma"/>
                    <w:b/>
                    <w:sz w:val="22"/>
                    <w:szCs w:val="22"/>
                    <w:lang w:eastAsia="en-US"/>
                  </w:rPr>
                  <w:t>Sujeto Obligado:</w:t>
                </w:r>
              </w:p>
            </w:tc>
            <w:tc>
              <w:tcPr>
                <w:tcW w:w="4544" w:type="dxa"/>
              </w:tcPr>
              <w:p w14:paraId="2B205C7F" w14:textId="0D08DAAD" w:rsidR="00463BCB" w:rsidRPr="00130842" w:rsidRDefault="00463BCB"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Metepec</w:t>
                </w:r>
              </w:p>
            </w:tc>
          </w:tr>
          <w:bookmarkEnd w:id="39"/>
          <w:tr w:rsidR="00463BCB" w14:paraId="28CCE4E5" w14:textId="77777777" w:rsidTr="008306E4">
            <w:trPr>
              <w:trHeight w:val="283"/>
            </w:trPr>
            <w:tc>
              <w:tcPr>
                <w:tcW w:w="2551" w:type="dxa"/>
              </w:tcPr>
              <w:p w14:paraId="13EBF3BB" w14:textId="6E4ECE4B"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463BCB" w:rsidRPr="00130842" w:rsidRDefault="00463BCB"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B375D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40" w:name="_Hlk12526980"/>
                <w:r>
                  <w:rPr>
                    <w:rFonts w:ascii="Palatino Linotype" w:eastAsia="Calibri" w:hAnsi="Palatino Linotype" w:cs="Tahoma"/>
                    <w:b/>
                    <w:sz w:val="22"/>
                    <w:szCs w:val="22"/>
                    <w:lang w:eastAsia="en-US"/>
                  </w:rPr>
                  <w:t>Recurso de Revisión:</w:t>
                </w:r>
              </w:p>
            </w:tc>
            <w:tc>
              <w:tcPr>
                <w:tcW w:w="4646" w:type="dxa"/>
              </w:tcPr>
              <w:p w14:paraId="0DE47EE2" w14:textId="4D3CBD36" w:rsidR="00463BCB" w:rsidRPr="0000791B" w:rsidRDefault="00463BCB" w:rsidP="00B93FF6">
                <w:pPr>
                  <w:tabs>
                    <w:tab w:val="right" w:pos="8838"/>
                  </w:tabs>
                  <w:ind w:left="-3" w:right="-105"/>
                  <w:jc w:val="both"/>
                  <w:rPr>
                    <w:rFonts w:ascii="Palatino Linotype" w:eastAsia="Calibri" w:hAnsi="Palatino Linotype" w:cs="Tahoma"/>
                    <w:sz w:val="22"/>
                    <w:szCs w:val="22"/>
                    <w:lang w:eastAsia="en-US"/>
                  </w:rPr>
                </w:pPr>
                <w:r w:rsidRPr="004934A5">
                  <w:rPr>
                    <w:rFonts w:ascii="Palatino Linotype" w:hAnsi="Palatino Linotype" w:cs="Arial"/>
                    <w:b/>
                    <w:sz w:val="22"/>
                    <w:szCs w:val="24"/>
                  </w:rPr>
                  <w:t>12</w:t>
                </w:r>
                <w:r>
                  <w:rPr>
                    <w:rFonts w:ascii="Palatino Linotype" w:hAnsi="Palatino Linotype" w:cs="Arial"/>
                    <w:b/>
                    <w:sz w:val="22"/>
                    <w:szCs w:val="24"/>
                  </w:rPr>
                  <w:t>543</w:t>
                </w:r>
                <w:r w:rsidRPr="004934A5">
                  <w:rPr>
                    <w:rFonts w:ascii="Palatino Linotype" w:eastAsia="Calibri" w:hAnsi="Palatino Linotype" w:cs="Tahoma"/>
                    <w:b/>
                    <w:sz w:val="22"/>
                    <w:lang w:eastAsia="en-US"/>
                  </w:rPr>
                  <w:t>/INFOEM</w:t>
                </w:r>
                <w:r w:rsidR="008306E4">
                  <w:rPr>
                    <w:rFonts w:ascii="Palatino Linotype" w:eastAsia="Calibri" w:hAnsi="Palatino Linotype" w:cs="Tahoma"/>
                    <w:b/>
                    <w:sz w:val="22"/>
                    <w:lang w:eastAsia="en-US"/>
                  </w:rPr>
                  <w:t>/ICR-84</w:t>
                </w:r>
                <w:r w:rsidRPr="004934A5">
                  <w:rPr>
                    <w:rFonts w:ascii="Palatino Linotype" w:eastAsia="Calibri" w:hAnsi="Palatino Linotype" w:cs="Tahoma"/>
                    <w:b/>
                    <w:sz w:val="22"/>
                    <w:lang w:eastAsia="en-US"/>
                  </w:rPr>
                  <w:t>/IP/RR/2022</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41" w:name="_Hlk10641523"/>
                <w:bookmarkEnd w:id="40"/>
                <w:r>
                  <w:rPr>
                    <w:rFonts w:ascii="Palatino Linotype" w:eastAsia="Calibri" w:hAnsi="Palatino Linotype" w:cs="Tahoma"/>
                    <w:b/>
                    <w:sz w:val="22"/>
                    <w:szCs w:val="22"/>
                    <w:lang w:eastAsia="en-US"/>
                  </w:rPr>
                  <w:t>Recurrente:</w:t>
                </w:r>
              </w:p>
            </w:tc>
            <w:tc>
              <w:tcPr>
                <w:tcW w:w="4646" w:type="dxa"/>
              </w:tcPr>
              <w:p w14:paraId="73C065CD" w14:textId="3C03431A" w:rsidR="00463BCB" w:rsidRPr="00427E2F" w:rsidRDefault="00463BCB"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41"/>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4F596A1" w:rsidR="00463BCB" w:rsidRPr="00130842" w:rsidRDefault="00463BCB"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Metepec</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130842" w:rsidRDefault="00463BCB"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6CB7D4AE" w:rsidR="00463BCB" w:rsidRDefault="00B375D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46A1E"/>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517"/>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2F4C"/>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4B75"/>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60346"/>
    <w:rsid w:val="00961540"/>
    <w:rsid w:val="009617D3"/>
    <w:rsid w:val="009629BE"/>
    <w:rsid w:val="00962C63"/>
    <w:rsid w:val="00964061"/>
    <w:rsid w:val="0096463B"/>
    <w:rsid w:val="00965001"/>
    <w:rsid w:val="00965A85"/>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5DA"/>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A7E9E"/>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5649"/>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4127"/>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35DCB-1C19-4DE8-BBE5-C47B9F3A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35</Pages>
  <Words>6698</Words>
  <Characters>36841</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15</cp:revision>
  <cp:lastPrinted>2021-08-18T17:12:00Z</cp:lastPrinted>
  <dcterms:created xsi:type="dcterms:W3CDTF">2022-08-09T21:11:00Z</dcterms:created>
  <dcterms:modified xsi:type="dcterms:W3CDTF">2022-12-12T18:27:00Z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